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FA" w:rsidRPr="000D66A0" w:rsidRDefault="00EE64FA" w:rsidP="004B54CA">
      <w:pPr>
        <w:rPr>
          <w:rStyle w:val="BookTitle"/>
          <w:i w:val="0"/>
          <w:iCs w:val="0"/>
          <w:smallCaps w:val="0"/>
          <w:spacing w:val="0"/>
          <w:sz w:val="24"/>
          <w:szCs w:val="24"/>
        </w:rPr>
      </w:pPr>
      <w:bookmarkStart w:id="0" w:name="_GoBack"/>
      <w:bookmarkEnd w:id="0"/>
      <w:r w:rsidRPr="000D66A0">
        <w:rPr>
          <w:rStyle w:val="BookTitle"/>
          <w:b/>
          <w:i w:val="0"/>
          <w:iCs w:val="0"/>
          <w:smallCaps w:val="0"/>
          <w:spacing w:val="0"/>
          <w:sz w:val="24"/>
          <w:szCs w:val="24"/>
        </w:rPr>
        <w:t>Quarterly Report to the Australian Human Rights Commission</w:t>
      </w:r>
      <w:r w:rsidRPr="000D66A0">
        <w:rPr>
          <w:rStyle w:val="BookTitle"/>
          <w:i w:val="0"/>
          <w:iCs w:val="0"/>
          <w:smallCaps w:val="0"/>
          <w:spacing w:val="0"/>
          <w:sz w:val="24"/>
          <w:szCs w:val="24"/>
        </w:rPr>
        <w:t xml:space="preserve"> </w:t>
      </w:r>
    </w:p>
    <w:p w:rsidR="00EE64FA" w:rsidRPr="000D66A0" w:rsidRDefault="00EE64FA" w:rsidP="004B54CA">
      <w:pPr>
        <w:rPr>
          <w:rStyle w:val="BookTitle"/>
          <w:i w:val="0"/>
          <w:iCs w:val="0"/>
          <w:smallCaps w:val="0"/>
          <w:spacing w:val="0"/>
          <w:sz w:val="24"/>
          <w:szCs w:val="24"/>
        </w:rPr>
      </w:pPr>
      <w:r w:rsidRPr="000D66A0">
        <w:rPr>
          <w:rStyle w:val="BookTitle"/>
          <w:b/>
          <w:i w:val="0"/>
          <w:iCs w:val="0"/>
          <w:smallCaps w:val="0"/>
          <w:spacing w:val="0"/>
          <w:sz w:val="24"/>
          <w:szCs w:val="24"/>
        </w:rPr>
        <w:t>Reporting period</w:t>
      </w:r>
      <w:r w:rsidRPr="000D66A0">
        <w:rPr>
          <w:rStyle w:val="BookTitle"/>
          <w:i w:val="0"/>
          <w:iCs w:val="0"/>
          <w:smallCaps w:val="0"/>
          <w:spacing w:val="0"/>
          <w:sz w:val="24"/>
          <w:szCs w:val="24"/>
        </w:rPr>
        <w:t>: 30 April 2014 to 31 July 2014.</w:t>
      </w:r>
    </w:p>
    <w:p w:rsidR="00E31686" w:rsidRPr="00E31686" w:rsidRDefault="00E31686" w:rsidP="00E31686">
      <w:pPr>
        <w:spacing w:before="240" w:after="240" w:line="240" w:lineRule="auto"/>
        <w:rPr>
          <w:rFonts w:eastAsia="Times New Roman" w:cs="Times New Roman"/>
          <w:color w:val="000000"/>
          <w:sz w:val="24"/>
          <w:szCs w:val="20"/>
        </w:rPr>
      </w:pPr>
      <w:r>
        <w:rPr>
          <w:rFonts w:eastAsia="Times New Roman" w:cs="Times New Roman"/>
          <w:sz w:val="24"/>
          <w:szCs w:val="24"/>
          <w:lang w:eastAsia="en-AU"/>
        </w:rPr>
        <w:t>On the 29 April 2014, the Australian Human Rights Commission</w:t>
      </w:r>
      <w:r w:rsidR="00B82A8F">
        <w:rPr>
          <w:rFonts w:eastAsia="Times New Roman" w:cs="Times New Roman"/>
          <w:sz w:val="24"/>
          <w:szCs w:val="24"/>
          <w:lang w:eastAsia="en-AU"/>
        </w:rPr>
        <w:t xml:space="preserve"> (AHRC)</w:t>
      </w:r>
      <w:r>
        <w:rPr>
          <w:rFonts w:eastAsia="Times New Roman" w:cs="Times New Roman"/>
          <w:sz w:val="24"/>
          <w:szCs w:val="24"/>
          <w:lang w:eastAsia="en-AU"/>
        </w:rPr>
        <w:t xml:space="preserve"> granted </w:t>
      </w:r>
      <w:r w:rsidRPr="00E31686">
        <w:rPr>
          <w:rFonts w:eastAsia="Times New Roman" w:cs="Times New Roman"/>
          <w:sz w:val="24"/>
          <w:szCs w:val="24"/>
          <w:lang w:eastAsia="en-AU"/>
        </w:rPr>
        <w:t xml:space="preserve">the Commonwealth and all Australian Disability Enterprises (ADEs) using or proposing to use the Business Services Wage Assessment Tool </w:t>
      </w:r>
      <w:r w:rsidR="00B82A8F">
        <w:rPr>
          <w:rFonts w:eastAsia="Times New Roman" w:cs="Times New Roman"/>
          <w:sz w:val="24"/>
          <w:szCs w:val="24"/>
          <w:lang w:eastAsia="en-AU"/>
        </w:rPr>
        <w:t xml:space="preserve">(BSWAT) </w:t>
      </w:r>
      <w:r w:rsidRPr="00E31686">
        <w:rPr>
          <w:rFonts w:eastAsia="Times New Roman" w:cs="Times New Roman"/>
          <w:sz w:val="24"/>
          <w:szCs w:val="24"/>
          <w:lang w:eastAsia="en-AU"/>
        </w:rPr>
        <w:t xml:space="preserve">an exemption </w:t>
      </w:r>
      <w:r>
        <w:rPr>
          <w:rFonts w:eastAsia="Times New Roman" w:cs="Times New Roman"/>
          <w:sz w:val="24"/>
          <w:szCs w:val="24"/>
          <w:lang w:eastAsia="en-AU"/>
        </w:rPr>
        <w:t>for a 12</w:t>
      </w:r>
      <w:r w:rsidR="0008470C">
        <w:rPr>
          <w:rFonts w:eastAsia="Times New Roman" w:cs="Times New Roman"/>
          <w:sz w:val="24"/>
          <w:szCs w:val="24"/>
          <w:lang w:eastAsia="en-AU"/>
        </w:rPr>
        <w:t>-</w:t>
      </w:r>
      <w:r>
        <w:rPr>
          <w:rFonts w:eastAsia="Times New Roman" w:cs="Times New Roman"/>
          <w:sz w:val="24"/>
          <w:szCs w:val="24"/>
          <w:lang w:eastAsia="en-AU"/>
        </w:rPr>
        <w:t xml:space="preserve">month period </w:t>
      </w:r>
      <w:r w:rsidRPr="00E31686">
        <w:rPr>
          <w:rFonts w:eastAsia="Times New Roman" w:cs="Times New Roman"/>
          <w:sz w:val="24"/>
          <w:szCs w:val="24"/>
          <w:lang w:eastAsia="en-AU"/>
        </w:rPr>
        <w:t xml:space="preserve">from the operation of sections 15, 24 and 29 of the </w:t>
      </w:r>
      <w:r w:rsidRPr="00891C65">
        <w:rPr>
          <w:rFonts w:eastAsia="Times New Roman" w:cs="Times New Roman"/>
          <w:i/>
          <w:sz w:val="24"/>
          <w:szCs w:val="24"/>
          <w:lang w:eastAsia="en-AU"/>
        </w:rPr>
        <w:t>Disability Discrimination Act</w:t>
      </w:r>
      <w:r w:rsidR="00B82A8F" w:rsidRPr="00891C65">
        <w:rPr>
          <w:rFonts w:eastAsia="Times New Roman" w:cs="Times New Roman"/>
          <w:i/>
          <w:sz w:val="24"/>
          <w:szCs w:val="24"/>
          <w:lang w:eastAsia="en-AU"/>
        </w:rPr>
        <w:t xml:space="preserve"> 1992 </w:t>
      </w:r>
      <w:r w:rsidR="00B82A8F">
        <w:rPr>
          <w:rFonts w:eastAsia="Times New Roman" w:cs="Times New Roman"/>
          <w:sz w:val="24"/>
          <w:szCs w:val="24"/>
          <w:lang w:eastAsia="en-AU"/>
        </w:rPr>
        <w:t>(the DDA)</w:t>
      </w:r>
      <w:r w:rsidRPr="00E31686">
        <w:rPr>
          <w:rFonts w:eastAsia="Times New Roman" w:cs="Times New Roman"/>
          <w:sz w:val="24"/>
          <w:szCs w:val="24"/>
          <w:lang w:eastAsia="en-AU"/>
        </w:rPr>
        <w:t>.</w:t>
      </w:r>
      <w:r w:rsidR="006A6C5C">
        <w:rPr>
          <w:rFonts w:eastAsia="Times New Roman" w:cs="Times New Roman"/>
          <w:sz w:val="24"/>
          <w:szCs w:val="24"/>
          <w:lang w:eastAsia="en-AU"/>
        </w:rPr>
        <w:t xml:space="preserve"> </w:t>
      </w:r>
      <w:r w:rsidRPr="00E31686">
        <w:rPr>
          <w:rFonts w:eastAsia="Times New Roman" w:cs="Times New Roman"/>
          <w:color w:val="000000"/>
          <w:sz w:val="24"/>
          <w:szCs w:val="20"/>
        </w:rPr>
        <w:t xml:space="preserve">The </w:t>
      </w:r>
      <w:r w:rsidRPr="00E31686">
        <w:rPr>
          <w:rFonts w:eastAsia="Times New Roman" w:cs="Times New Roman"/>
          <w:sz w:val="24"/>
          <w:szCs w:val="24"/>
          <w:lang w:eastAsia="en-AU"/>
        </w:rPr>
        <w:t>exemption</w:t>
      </w:r>
      <w:r w:rsidRPr="00E31686">
        <w:rPr>
          <w:rFonts w:eastAsia="Times New Roman" w:cs="Times New Roman"/>
          <w:color w:val="000000"/>
          <w:sz w:val="24"/>
          <w:szCs w:val="20"/>
        </w:rPr>
        <w:t xml:space="preserve"> </w:t>
      </w:r>
      <w:r>
        <w:rPr>
          <w:rFonts w:eastAsia="Times New Roman" w:cs="Times New Roman"/>
          <w:color w:val="000000"/>
          <w:sz w:val="24"/>
          <w:szCs w:val="20"/>
        </w:rPr>
        <w:t>was</w:t>
      </w:r>
      <w:r w:rsidRPr="00E31686">
        <w:rPr>
          <w:rFonts w:eastAsia="Times New Roman" w:cs="Times New Roman"/>
          <w:color w:val="000000"/>
          <w:sz w:val="24"/>
          <w:szCs w:val="20"/>
        </w:rPr>
        <w:t xml:space="preserve"> granted to allow the payment of wages to ADE employees, based on current assessments already conducted with the BSWAT subject to the conditions</w:t>
      </w:r>
      <w:r w:rsidR="000D66A0">
        <w:rPr>
          <w:rFonts w:eastAsia="Times New Roman" w:cs="Times New Roman"/>
          <w:color w:val="000000"/>
          <w:sz w:val="24"/>
          <w:szCs w:val="20"/>
        </w:rPr>
        <w:t xml:space="preserve"> for the Commonwealth outlined below. Progress against these</w:t>
      </w:r>
      <w:r w:rsidR="00B82A8F">
        <w:rPr>
          <w:rFonts w:eastAsia="Times New Roman" w:cs="Times New Roman"/>
          <w:color w:val="000000"/>
          <w:sz w:val="24"/>
          <w:szCs w:val="20"/>
        </w:rPr>
        <w:t xml:space="preserve"> conditions</w:t>
      </w:r>
      <w:r w:rsidR="000D66A0">
        <w:rPr>
          <w:rFonts w:eastAsia="Times New Roman" w:cs="Times New Roman"/>
          <w:color w:val="000000"/>
          <w:sz w:val="24"/>
          <w:szCs w:val="20"/>
        </w:rPr>
        <w:t xml:space="preserve"> is provided as follows</w:t>
      </w:r>
      <w:r w:rsidRPr="00E31686">
        <w:rPr>
          <w:rFonts w:eastAsia="Times New Roman" w:cs="Times New Roman"/>
          <w:color w:val="000000"/>
          <w:sz w:val="24"/>
          <w:szCs w:val="20"/>
        </w:rPr>
        <w:t>:</w:t>
      </w:r>
    </w:p>
    <w:p w:rsidR="00E31686" w:rsidRDefault="00E31686" w:rsidP="00E31686">
      <w:pPr>
        <w:pStyle w:val="SubmissionNormal"/>
        <w:numPr>
          <w:ilvl w:val="0"/>
          <w:numId w:val="5"/>
        </w:numPr>
        <w:ind w:left="426" w:hanging="426"/>
        <w:rPr>
          <w:b/>
          <w:color w:val="auto"/>
          <w:szCs w:val="24"/>
          <w:lang w:eastAsia="en-AU"/>
        </w:rPr>
      </w:pPr>
      <w:r w:rsidRPr="007D0374">
        <w:rPr>
          <w:b/>
          <w:color w:val="auto"/>
          <w:szCs w:val="24"/>
          <w:lang w:eastAsia="en-AU"/>
        </w:rPr>
        <w:t xml:space="preserve">Take all necessary steps to transition from the BSWAT to the Supported Wage System (SWS), or an alternative tool approved by the Fair Work Commission (FWC), as quickly as possible. </w:t>
      </w:r>
    </w:p>
    <w:p w:rsidR="000356AD" w:rsidRPr="001E6C76" w:rsidRDefault="000356AD" w:rsidP="000356AD">
      <w:pPr>
        <w:pStyle w:val="SubmissionNormal"/>
        <w:numPr>
          <w:ilvl w:val="0"/>
          <w:numId w:val="7"/>
        </w:numPr>
        <w:rPr>
          <w:lang w:val="en" w:eastAsia="en-AU"/>
        </w:rPr>
      </w:pPr>
      <w:r w:rsidRPr="000A753A">
        <w:rPr>
          <w:color w:val="auto"/>
          <w:szCs w:val="24"/>
          <w:lang w:eastAsia="en-AU"/>
        </w:rPr>
        <w:t xml:space="preserve">The </w:t>
      </w:r>
      <w:r>
        <w:rPr>
          <w:color w:val="auto"/>
          <w:szCs w:val="24"/>
          <w:lang w:eastAsia="en-AU"/>
        </w:rPr>
        <w:t>Department of Social Services</w:t>
      </w:r>
      <w:r w:rsidRPr="000A753A">
        <w:rPr>
          <w:color w:val="auto"/>
          <w:szCs w:val="24"/>
          <w:lang w:eastAsia="en-AU"/>
        </w:rPr>
        <w:t xml:space="preserve"> </w:t>
      </w:r>
      <w:r>
        <w:rPr>
          <w:color w:val="auto"/>
          <w:szCs w:val="24"/>
          <w:lang w:eastAsia="en-AU"/>
        </w:rPr>
        <w:t xml:space="preserve">(the Department) </w:t>
      </w:r>
      <w:r w:rsidRPr="000A753A">
        <w:rPr>
          <w:color w:val="auto"/>
          <w:szCs w:val="24"/>
          <w:lang w:eastAsia="en-AU"/>
        </w:rPr>
        <w:t xml:space="preserve">regularly provides information to the ADE sector on </w:t>
      </w:r>
      <w:r w:rsidR="000D66A0">
        <w:rPr>
          <w:color w:val="auto"/>
          <w:szCs w:val="24"/>
          <w:lang w:eastAsia="en-AU"/>
        </w:rPr>
        <w:t>a range of</w:t>
      </w:r>
      <w:r w:rsidRPr="000A753A">
        <w:rPr>
          <w:color w:val="auto"/>
          <w:szCs w:val="24"/>
          <w:lang w:eastAsia="en-AU"/>
        </w:rPr>
        <w:t xml:space="preserve"> implications arising from the findings of the </w:t>
      </w:r>
      <w:r>
        <w:rPr>
          <w:color w:val="auto"/>
          <w:szCs w:val="24"/>
          <w:lang w:eastAsia="en-AU"/>
        </w:rPr>
        <w:t xml:space="preserve">Full </w:t>
      </w:r>
      <w:r w:rsidRPr="000A753A">
        <w:rPr>
          <w:color w:val="auto"/>
          <w:szCs w:val="24"/>
          <w:lang w:eastAsia="en-AU"/>
        </w:rPr>
        <w:t>Federal Court</w:t>
      </w:r>
      <w:r>
        <w:rPr>
          <w:color w:val="auto"/>
          <w:szCs w:val="24"/>
          <w:lang w:eastAsia="en-AU"/>
        </w:rPr>
        <w:t xml:space="preserve">, the </w:t>
      </w:r>
      <w:r w:rsidRPr="000A753A">
        <w:rPr>
          <w:color w:val="auto"/>
          <w:szCs w:val="24"/>
          <w:lang w:eastAsia="en-AU"/>
        </w:rPr>
        <w:t xml:space="preserve">AHRC decision </w:t>
      </w:r>
      <w:r>
        <w:rPr>
          <w:color w:val="auto"/>
          <w:szCs w:val="24"/>
          <w:lang w:eastAsia="en-AU"/>
        </w:rPr>
        <w:t xml:space="preserve">on the 29 April 2014 </w:t>
      </w:r>
      <w:r w:rsidR="0008470C">
        <w:rPr>
          <w:color w:val="auto"/>
          <w:szCs w:val="24"/>
          <w:lang w:eastAsia="en-AU"/>
        </w:rPr>
        <w:t>to grant a 12-</w:t>
      </w:r>
      <w:r w:rsidRPr="000A753A">
        <w:rPr>
          <w:color w:val="auto"/>
          <w:szCs w:val="24"/>
          <w:lang w:eastAsia="en-AU"/>
        </w:rPr>
        <w:t xml:space="preserve">month exemption from the </w:t>
      </w:r>
      <w:r>
        <w:rPr>
          <w:color w:val="auto"/>
          <w:szCs w:val="24"/>
          <w:lang w:eastAsia="en-AU"/>
        </w:rPr>
        <w:t>DDA</w:t>
      </w:r>
      <w:r w:rsidRPr="000A753A">
        <w:rPr>
          <w:color w:val="auto"/>
          <w:szCs w:val="24"/>
          <w:lang w:eastAsia="en-AU"/>
        </w:rPr>
        <w:t xml:space="preserve"> to allow wages to supported employees to be paid base</w:t>
      </w:r>
      <w:r>
        <w:rPr>
          <w:color w:val="auto"/>
          <w:szCs w:val="24"/>
          <w:lang w:eastAsia="en-AU"/>
        </w:rPr>
        <w:t>d on an assessment of the BSWAT</w:t>
      </w:r>
      <w:r w:rsidR="000D66A0">
        <w:rPr>
          <w:color w:val="auto"/>
          <w:szCs w:val="24"/>
          <w:lang w:eastAsia="en-AU"/>
        </w:rPr>
        <w:t>,</w:t>
      </w:r>
      <w:r>
        <w:rPr>
          <w:color w:val="auto"/>
          <w:szCs w:val="24"/>
          <w:lang w:eastAsia="en-AU"/>
        </w:rPr>
        <w:t xml:space="preserve"> and proceedings before the </w:t>
      </w:r>
      <w:r w:rsidR="00B82A8F">
        <w:rPr>
          <w:color w:val="auto"/>
          <w:szCs w:val="24"/>
          <w:lang w:eastAsia="en-AU"/>
        </w:rPr>
        <w:t xml:space="preserve">FWC </w:t>
      </w:r>
      <w:r w:rsidR="000D66A0">
        <w:rPr>
          <w:color w:val="auto"/>
          <w:szCs w:val="24"/>
          <w:lang w:eastAsia="en-AU"/>
        </w:rPr>
        <w:t>and the Federal Court</w:t>
      </w:r>
      <w:r>
        <w:rPr>
          <w:color w:val="auto"/>
          <w:szCs w:val="24"/>
          <w:lang w:eastAsia="en-AU"/>
        </w:rPr>
        <w:t xml:space="preserve">. </w:t>
      </w:r>
      <w:r w:rsidR="00154C91">
        <w:rPr>
          <w:color w:val="auto"/>
          <w:szCs w:val="24"/>
          <w:lang w:eastAsia="en-AU"/>
        </w:rPr>
        <w:t xml:space="preserve"> </w:t>
      </w:r>
      <w:r>
        <w:rPr>
          <w:color w:val="auto"/>
          <w:szCs w:val="24"/>
          <w:lang w:eastAsia="en-AU"/>
        </w:rPr>
        <w:t xml:space="preserve">The </w:t>
      </w:r>
      <w:r w:rsidR="0008470C">
        <w:rPr>
          <w:color w:val="auto"/>
          <w:szCs w:val="24"/>
          <w:lang w:eastAsia="en-AU"/>
        </w:rPr>
        <w:t xml:space="preserve">main </w:t>
      </w:r>
      <w:r>
        <w:rPr>
          <w:color w:val="auto"/>
          <w:szCs w:val="24"/>
          <w:lang w:eastAsia="en-AU"/>
        </w:rPr>
        <w:t xml:space="preserve">mechanisms used for this communication include </w:t>
      </w:r>
      <w:proofErr w:type="spellStart"/>
      <w:r>
        <w:rPr>
          <w:color w:val="auto"/>
          <w:szCs w:val="24"/>
          <w:lang w:eastAsia="en-AU"/>
        </w:rPr>
        <w:t>disAbility</w:t>
      </w:r>
      <w:proofErr w:type="spellEnd"/>
      <w:r>
        <w:rPr>
          <w:color w:val="auto"/>
          <w:szCs w:val="24"/>
          <w:lang w:eastAsia="en-AU"/>
        </w:rPr>
        <w:t xml:space="preserve"> e-news and departmental representation at National Disability Services’ national and state forums.  </w:t>
      </w:r>
      <w:proofErr w:type="spellStart"/>
      <w:r>
        <w:rPr>
          <w:color w:val="auto"/>
          <w:szCs w:val="24"/>
          <w:lang w:eastAsia="en-AU"/>
        </w:rPr>
        <w:t>DisAbility</w:t>
      </w:r>
      <w:proofErr w:type="spellEnd"/>
      <w:r>
        <w:rPr>
          <w:color w:val="auto"/>
          <w:szCs w:val="24"/>
          <w:lang w:eastAsia="en-AU"/>
        </w:rPr>
        <w:t xml:space="preserve"> e-news is a </w:t>
      </w:r>
      <w:r w:rsidRPr="001E6C76">
        <w:rPr>
          <w:lang w:val="en" w:eastAsia="en-AU"/>
        </w:rPr>
        <w:t xml:space="preserve">regular </w:t>
      </w:r>
      <w:r>
        <w:rPr>
          <w:lang w:val="en" w:eastAsia="en-AU"/>
        </w:rPr>
        <w:t>departmental email</w:t>
      </w:r>
      <w:r w:rsidRPr="001E6C76">
        <w:rPr>
          <w:lang w:val="en" w:eastAsia="en-AU"/>
        </w:rPr>
        <w:t xml:space="preserve"> </w:t>
      </w:r>
      <w:r>
        <w:rPr>
          <w:lang w:val="en" w:eastAsia="en-AU"/>
        </w:rPr>
        <w:t xml:space="preserve">newsletter designed </w:t>
      </w:r>
      <w:r w:rsidRPr="001E6C76">
        <w:rPr>
          <w:lang w:val="en" w:eastAsia="en-AU"/>
        </w:rPr>
        <w:t xml:space="preserve">to keep </w:t>
      </w:r>
      <w:proofErr w:type="gramStart"/>
      <w:r w:rsidR="00154C91">
        <w:rPr>
          <w:lang w:val="en" w:eastAsia="en-AU"/>
        </w:rPr>
        <w:t>the</w:t>
      </w:r>
      <w:proofErr w:type="gramEnd"/>
      <w:r w:rsidR="00154C91">
        <w:rPr>
          <w:lang w:val="en" w:eastAsia="en-AU"/>
        </w:rPr>
        <w:t xml:space="preserve"> D</w:t>
      </w:r>
      <w:r w:rsidR="000D66A0">
        <w:rPr>
          <w:lang w:val="en" w:eastAsia="en-AU"/>
        </w:rPr>
        <w:t>epartment’s disability providers</w:t>
      </w:r>
      <w:r w:rsidRPr="001E6C76">
        <w:rPr>
          <w:lang w:val="en" w:eastAsia="en-AU"/>
        </w:rPr>
        <w:t xml:space="preserve"> </w:t>
      </w:r>
      <w:r w:rsidR="0008470C">
        <w:rPr>
          <w:lang w:val="en" w:eastAsia="en-AU"/>
        </w:rPr>
        <w:t xml:space="preserve">(including ADEs) </w:t>
      </w:r>
      <w:r>
        <w:rPr>
          <w:lang w:val="en" w:eastAsia="en-AU"/>
        </w:rPr>
        <w:t xml:space="preserve">and other interested readers </w:t>
      </w:r>
      <w:r w:rsidRPr="001E6C76">
        <w:rPr>
          <w:lang w:val="en" w:eastAsia="en-AU"/>
        </w:rPr>
        <w:t>informed about disability issues</w:t>
      </w:r>
      <w:r w:rsidR="000D66A0">
        <w:rPr>
          <w:lang w:val="en" w:eastAsia="en-AU"/>
        </w:rPr>
        <w:t xml:space="preserve"> and current work being undertaken</w:t>
      </w:r>
      <w:r>
        <w:rPr>
          <w:lang w:val="en" w:eastAsia="en-AU"/>
        </w:rPr>
        <w:t xml:space="preserve">. </w:t>
      </w:r>
    </w:p>
    <w:p w:rsidR="000A753A" w:rsidRPr="000A753A" w:rsidRDefault="000A753A" w:rsidP="000A753A">
      <w:pPr>
        <w:pStyle w:val="SubmissionNormal"/>
        <w:numPr>
          <w:ilvl w:val="0"/>
          <w:numId w:val="5"/>
        </w:numPr>
        <w:ind w:left="426" w:hanging="426"/>
        <w:rPr>
          <w:b/>
          <w:color w:val="auto"/>
          <w:szCs w:val="24"/>
          <w:lang w:eastAsia="en-AU"/>
        </w:rPr>
      </w:pPr>
      <w:r w:rsidRPr="000A753A">
        <w:rPr>
          <w:b/>
          <w:color w:val="auto"/>
          <w:szCs w:val="24"/>
          <w:lang w:eastAsia="en-AU"/>
        </w:rPr>
        <w:t>Take all appropriate steps to ensure ADEs using or proposing to use the BSWAT to conduct wage assessments immediately commence using the SWS, or an alternative tool approved by FWC, (other than the BSWAT) to conduct new and outstanding wage assessments.</w:t>
      </w:r>
    </w:p>
    <w:p w:rsidR="006275A3" w:rsidRPr="000356AD" w:rsidRDefault="00B361E9" w:rsidP="006275A3">
      <w:pPr>
        <w:pStyle w:val="SubmissionNormal"/>
        <w:numPr>
          <w:ilvl w:val="0"/>
          <w:numId w:val="7"/>
        </w:numPr>
        <w:rPr>
          <w:iCs/>
          <w:szCs w:val="24"/>
          <w:lang w:eastAsia="en-AU"/>
        </w:rPr>
      </w:pPr>
      <w:r>
        <w:rPr>
          <w:color w:val="auto"/>
          <w:szCs w:val="24"/>
          <w:lang w:eastAsia="en-AU"/>
        </w:rPr>
        <w:t xml:space="preserve">The Commonwealth ceased </w:t>
      </w:r>
      <w:r w:rsidR="001A344A">
        <w:rPr>
          <w:color w:val="auto"/>
          <w:szCs w:val="24"/>
          <w:lang w:eastAsia="en-AU"/>
        </w:rPr>
        <w:t>allowing</w:t>
      </w:r>
      <w:r>
        <w:rPr>
          <w:color w:val="auto"/>
          <w:szCs w:val="24"/>
          <w:lang w:eastAsia="en-AU"/>
        </w:rPr>
        <w:t xml:space="preserve"> BSWAT wage assessments for supported employees working in ADEs on </w:t>
      </w:r>
      <w:r w:rsidR="000555A6">
        <w:rPr>
          <w:color w:val="auto"/>
          <w:szCs w:val="24"/>
          <w:lang w:eastAsia="en-AU"/>
        </w:rPr>
        <w:t>24</w:t>
      </w:r>
      <w:r w:rsidRPr="00EB0520">
        <w:rPr>
          <w:color w:val="auto"/>
          <w:szCs w:val="24"/>
          <w:lang w:eastAsia="en-AU"/>
        </w:rPr>
        <w:t xml:space="preserve"> December 2012</w:t>
      </w:r>
      <w:r w:rsidR="006275A3">
        <w:rPr>
          <w:color w:val="auto"/>
          <w:szCs w:val="24"/>
          <w:lang w:eastAsia="en-AU"/>
        </w:rPr>
        <w:t xml:space="preserve"> </w:t>
      </w:r>
      <w:r w:rsidR="000555A6">
        <w:rPr>
          <w:color w:val="auto"/>
          <w:szCs w:val="24"/>
          <w:lang w:eastAsia="en-AU"/>
        </w:rPr>
        <w:t xml:space="preserve">following </w:t>
      </w:r>
      <w:r w:rsidR="006275A3">
        <w:rPr>
          <w:color w:val="auto"/>
          <w:szCs w:val="24"/>
          <w:lang w:eastAsia="en-AU"/>
        </w:rPr>
        <w:t>t</w:t>
      </w:r>
      <w:r w:rsidR="006275A3" w:rsidRPr="006275A3">
        <w:rPr>
          <w:iCs/>
          <w:szCs w:val="24"/>
          <w:lang w:eastAsia="en-AU"/>
        </w:rPr>
        <w:t xml:space="preserve">he </w:t>
      </w:r>
      <w:r w:rsidR="006275A3" w:rsidRPr="006275A3">
        <w:rPr>
          <w:szCs w:val="24"/>
          <w:lang w:eastAsia="en-AU"/>
        </w:rPr>
        <w:t xml:space="preserve">Full Federal Court </w:t>
      </w:r>
      <w:r w:rsidR="000555A6">
        <w:rPr>
          <w:szCs w:val="24"/>
          <w:lang w:eastAsia="en-AU"/>
        </w:rPr>
        <w:t>finding that</w:t>
      </w:r>
      <w:r w:rsidR="006275A3" w:rsidRPr="006275A3">
        <w:rPr>
          <w:szCs w:val="24"/>
          <w:lang w:eastAsia="en-AU"/>
        </w:rPr>
        <w:t xml:space="preserve"> the use of the </w:t>
      </w:r>
      <w:r w:rsidR="00653246">
        <w:rPr>
          <w:szCs w:val="24"/>
          <w:lang w:eastAsia="en-AU"/>
        </w:rPr>
        <w:t>BSWAT</w:t>
      </w:r>
      <w:r w:rsidR="006275A3" w:rsidRPr="006275A3">
        <w:rPr>
          <w:szCs w:val="24"/>
          <w:lang w:eastAsia="en-AU"/>
        </w:rPr>
        <w:t xml:space="preserve"> by ADEs to assess </w:t>
      </w:r>
      <w:r w:rsidR="005D1DEB">
        <w:rPr>
          <w:szCs w:val="24"/>
          <w:lang w:eastAsia="en-AU"/>
        </w:rPr>
        <w:t xml:space="preserve">the </w:t>
      </w:r>
      <w:r w:rsidR="006275A3" w:rsidRPr="006275A3">
        <w:rPr>
          <w:szCs w:val="24"/>
          <w:lang w:eastAsia="en-AU"/>
        </w:rPr>
        <w:t xml:space="preserve">wages constituted indirect discrimination under the </w:t>
      </w:r>
      <w:r w:rsidR="000B330D">
        <w:rPr>
          <w:szCs w:val="24"/>
          <w:lang w:eastAsia="en-AU"/>
        </w:rPr>
        <w:t>DDA</w:t>
      </w:r>
      <w:r w:rsidR="000D66A0">
        <w:rPr>
          <w:szCs w:val="24"/>
          <w:lang w:eastAsia="en-AU"/>
        </w:rPr>
        <w:t xml:space="preserve"> in relation to </w:t>
      </w:r>
      <w:r w:rsidR="000D66A0" w:rsidRPr="006275A3">
        <w:rPr>
          <w:szCs w:val="24"/>
          <w:lang w:eastAsia="en-AU"/>
        </w:rPr>
        <w:t xml:space="preserve">Mr </w:t>
      </w:r>
      <w:proofErr w:type="spellStart"/>
      <w:r w:rsidR="000D66A0" w:rsidRPr="006275A3">
        <w:rPr>
          <w:szCs w:val="24"/>
          <w:lang w:eastAsia="en-AU"/>
        </w:rPr>
        <w:t>Nojin</w:t>
      </w:r>
      <w:proofErr w:type="spellEnd"/>
      <w:r w:rsidR="000D66A0" w:rsidRPr="006275A3">
        <w:rPr>
          <w:szCs w:val="24"/>
          <w:lang w:eastAsia="en-AU"/>
        </w:rPr>
        <w:t xml:space="preserve"> and Mr Prior</w:t>
      </w:r>
      <w:r w:rsidR="000D66A0">
        <w:rPr>
          <w:szCs w:val="24"/>
          <w:lang w:eastAsia="en-AU"/>
        </w:rPr>
        <w:t>.</w:t>
      </w:r>
    </w:p>
    <w:p w:rsidR="00F3409E" w:rsidRDefault="00F3409E" w:rsidP="00F3409E">
      <w:pPr>
        <w:pStyle w:val="SubmissionNormal"/>
        <w:numPr>
          <w:ilvl w:val="0"/>
          <w:numId w:val="7"/>
        </w:numPr>
        <w:rPr>
          <w:color w:val="auto"/>
          <w:szCs w:val="24"/>
          <w:lang w:eastAsia="en-AU"/>
        </w:rPr>
      </w:pPr>
      <w:r w:rsidRPr="00132316">
        <w:rPr>
          <w:color w:val="auto"/>
          <w:szCs w:val="24"/>
          <w:lang w:eastAsia="en-AU"/>
        </w:rPr>
        <w:t xml:space="preserve">ADEs are not-for-profit organisations with organisational governance arrangements independent from government. </w:t>
      </w:r>
      <w:r w:rsidR="00154C91">
        <w:rPr>
          <w:color w:val="auto"/>
          <w:szCs w:val="24"/>
          <w:lang w:eastAsia="en-AU"/>
        </w:rPr>
        <w:t xml:space="preserve"> </w:t>
      </w:r>
      <w:r>
        <w:rPr>
          <w:color w:val="auto"/>
          <w:szCs w:val="24"/>
          <w:lang w:eastAsia="en-AU"/>
        </w:rPr>
        <w:t>Day</w:t>
      </w:r>
      <w:r w:rsidR="0008470C">
        <w:rPr>
          <w:color w:val="auto"/>
          <w:szCs w:val="24"/>
          <w:lang w:eastAsia="en-AU"/>
        </w:rPr>
        <w:t xml:space="preserve"> </w:t>
      </w:r>
      <w:r>
        <w:rPr>
          <w:color w:val="auto"/>
          <w:szCs w:val="24"/>
          <w:lang w:eastAsia="en-AU"/>
        </w:rPr>
        <w:t>to</w:t>
      </w:r>
      <w:r w:rsidR="0008470C">
        <w:rPr>
          <w:color w:val="auto"/>
          <w:szCs w:val="24"/>
          <w:lang w:eastAsia="en-AU"/>
        </w:rPr>
        <w:t xml:space="preserve"> </w:t>
      </w:r>
      <w:r>
        <w:rPr>
          <w:color w:val="auto"/>
          <w:szCs w:val="24"/>
          <w:lang w:eastAsia="en-AU"/>
        </w:rPr>
        <w:t>day business decisions and the overall business management of each ADE sit with the</w:t>
      </w:r>
      <w:r w:rsidR="00B82A8F">
        <w:rPr>
          <w:color w:val="auto"/>
          <w:szCs w:val="24"/>
          <w:lang w:eastAsia="en-AU"/>
        </w:rPr>
        <w:t xml:space="preserve"> relevant</w:t>
      </w:r>
      <w:r>
        <w:rPr>
          <w:color w:val="auto"/>
          <w:szCs w:val="24"/>
          <w:lang w:eastAsia="en-AU"/>
        </w:rPr>
        <w:t xml:space="preserve"> management team and Board. </w:t>
      </w:r>
      <w:r w:rsidR="00154C91">
        <w:rPr>
          <w:color w:val="auto"/>
          <w:szCs w:val="24"/>
          <w:lang w:eastAsia="en-AU"/>
        </w:rPr>
        <w:t xml:space="preserve"> </w:t>
      </w:r>
      <w:r>
        <w:rPr>
          <w:color w:val="auto"/>
          <w:szCs w:val="24"/>
          <w:lang w:eastAsia="en-AU"/>
        </w:rPr>
        <w:t xml:space="preserve">As such, each </w:t>
      </w:r>
      <w:r w:rsidRPr="00132316">
        <w:rPr>
          <w:color w:val="auto"/>
          <w:szCs w:val="24"/>
          <w:lang w:eastAsia="en-AU"/>
        </w:rPr>
        <w:t xml:space="preserve">ADE </w:t>
      </w:r>
      <w:r>
        <w:rPr>
          <w:color w:val="auto"/>
          <w:szCs w:val="24"/>
          <w:lang w:eastAsia="en-AU"/>
        </w:rPr>
        <w:t>will</w:t>
      </w:r>
      <w:r w:rsidRPr="00132316">
        <w:rPr>
          <w:color w:val="auto"/>
          <w:szCs w:val="24"/>
          <w:lang w:eastAsia="en-AU"/>
        </w:rPr>
        <w:t xml:space="preserve"> make </w:t>
      </w:r>
      <w:r>
        <w:rPr>
          <w:color w:val="auto"/>
          <w:szCs w:val="24"/>
          <w:lang w:eastAsia="en-AU"/>
        </w:rPr>
        <w:t xml:space="preserve">independent </w:t>
      </w:r>
      <w:r w:rsidRPr="00132316">
        <w:rPr>
          <w:color w:val="auto"/>
          <w:szCs w:val="24"/>
          <w:lang w:eastAsia="en-AU"/>
        </w:rPr>
        <w:t xml:space="preserve">decisions about wage assessment </w:t>
      </w:r>
      <w:r>
        <w:rPr>
          <w:color w:val="auto"/>
          <w:szCs w:val="24"/>
          <w:lang w:eastAsia="en-AU"/>
        </w:rPr>
        <w:t>arrangements</w:t>
      </w:r>
      <w:r w:rsidRPr="00132316">
        <w:rPr>
          <w:color w:val="auto"/>
          <w:szCs w:val="24"/>
          <w:lang w:eastAsia="en-AU"/>
        </w:rPr>
        <w:t xml:space="preserve"> within the industrial relations framework</w:t>
      </w:r>
      <w:r>
        <w:rPr>
          <w:color w:val="auto"/>
          <w:szCs w:val="24"/>
          <w:lang w:eastAsia="en-AU"/>
        </w:rPr>
        <w:t xml:space="preserve"> and </w:t>
      </w:r>
      <w:r w:rsidR="00B82A8F">
        <w:rPr>
          <w:color w:val="auto"/>
          <w:szCs w:val="24"/>
          <w:lang w:eastAsia="en-AU"/>
        </w:rPr>
        <w:t>its</w:t>
      </w:r>
      <w:r>
        <w:rPr>
          <w:color w:val="auto"/>
          <w:szCs w:val="24"/>
          <w:lang w:eastAsia="en-AU"/>
        </w:rPr>
        <w:t xml:space="preserve"> business/philosophical requirements</w:t>
      </w:r>
      <w:r w:rsidRPr="00132316">
        <w:rPr>
          <w:color w:val="auto"/>
          <w:szCs w:val="24"/>
          <w:lang w:eastAsia="en-AU"/>
        </w:rPr>
        <w:t xml:space="preserve">. </w:t>
      </w:r>
      <w:r>
        <w:rPr>
          <w:color w:val="auto"/>
          <w:szCs w:val="24"/>
          <w:lang w:eastAsia="en-AU"/>
        </w:rPr>
        <w:t xml:space="preserve"> </w:t>
      </w:r>
    </w:p>
    <w:p w:rsidR="00967D8C" w:rsidRDefault="00653246" w:rsidP="00132316">
      <w:pPr>
        <w:pStyle w:val="SubmissionNormal"/>
        <w:numPr>
          <w:ilvl w:val="0"/>
          <w:numId w:val="7"/>
        </w:numPr>
        <w:rPr>
          <w:color w:val="auto"/>
          <w:szCs w:val="24"/>
          <w:lang w:eastAsia="en-AU"/>
        </w:rPr>
      </w:pPr>
      <w:r>
        <w:rPr>
          <w:color w:val="auto"/>
          <w:szCs w:val="24"/>
          <w:lang w:eastAsia="en-AU"/>
        </w:rPr>
        <w:t>T</w:t>
      </w:r>
      <w:r w:rsidR="00FC67C0" w:rsidRPr="006275A3">
        <w:rPr>
          <w:color w:val="auto"/>
          <w:szCs w:val="24"/>
          <w:lang w:eastAsia="en-AU"/>
        </w:rPr>
        <w:t xml:space="preserve">here are </w:t>
      </w:r>
      <w:r w:rsidR="00EB0520" w:rsidRPr="006275A3">
        <w:rPr>
          <w:color w:val="auto"/>
          <w:szCs w:val="24"/>
          <w:lang w:eastAsia="en-AU"/>
        </w:rPr>
        <w:t>29</w:t>
      </w:r>
      <w:r w:rsidR="00FC67C0" w:rsidRPr="006275A3">
        <w:rPr>
          <w:color w:val="auto"/>
          <w:szCs w:val="24"/>
          <w:lang w:eastAsia="en-AU"/>
        </w:rPr>
        <w:t xml:space="preserve"> wage assessment tools</w:t>
      </w:r>
      <w:r w:rsidR="006275A3" w:rsidRPr="006275A3">
        <w:rPr>
          <w:color w:val="auto"/>
          <w:szCs w:val="24"/>
          <w:lang w:eastAsia="en-AU"/>
        </w:rPr>
        <w:t xml:space="preserve"> </w:t>
      </w:r>
      <w:r w:rsidR="001A344A">
        <w:rPr>
          <w:color w:val="auto"/>
          <w:szCs w:val="24"/>
          <w:lang w:eastAsia="en-AU"/>
        </w:rPr>
        <w:t xml:space="preserve">currently </w:t>
      </w:r>
      <w:r w:rsidR="00FC67C0" w:rsidRPr="006275A3">
        <w:rPr>
          <w:color w:val="auto"/>
          <w:szCs w:val="24"/>
          <w:lang w:eastAsia="en-AU"/>
        </w:rPr>
        <w:t xml:space="preserve">listed in the </w:t>
      </w:r>
      <w:r w:rsidR="007D0374" w:rsidRPr="005D1DEB">
        <w:rPr>
          <w:i/>
          <w:color w:val="auto"/>
          <w:szCs w:val="24"/>
          <w:lang w:eastAsia="en-AU"/>
        </w:rPr>
        <w:t>Supported Employment Services</w:t>
      </w:r>
      <w:r w:rsidR="00FC67C0" w:rsidRPr="005D1DEB">
        <w:rPr>
          <w:i/>
          <w:color w:val="auto"/>
          <w:szCs w:val="24"/>
          <w:lang w:eastAsia="en-AU"/>
        </w:rPr>
        <w:t xml:space="preserve"> Award </w:t>
      </w:r>
      <w:r w:rsidR="007D0374" w:rsidRPr="005D1DEB">
        <w:rPr>
          <w:i/>
          <w:color w:val="auto"/>
          <w:szCs w:val="24"/>
          <w:lang w:eastAsia="en-AU"/>
        </w:rPr>
        <w:t>2010</w:t>
      </w:r>
      <w:r>
        <w:rPr>
          <w:color w:val="auto"/>
          <w:szCs w:val="24"/>
          <w:lang w:eastAsia="en-AU"/>
        </w:rPr>
        <w:t>, not including BSWAT</w:t>
      </w:r>
      <w:r w:rsidR="00B361E9" w:rsidRPr="006275A3">
        <w:rPr>
          <w:color w:val="auto"/>
          <w:szCs w:val="24"/>
          <w:lang w:eastAsia="en-AU"/>
        </w:rPr>
        <w:t xml:space="preserve">. </w:t>
      </w:r>
      <w:r w:rsidR="00154C91">
        <w:rPr>
          <w:color w:val="auto"/>
          <w:szCs w:val="24"/>
          <w:lang w:eastAsia="en-AU"/>
        </w:rPr>
        <w:t xml:space="preserve"> </w:t>
      </w:r>
      <w:r w:rsidR="006275A3">
        <w:rPr>
          <w:color w:val="auto"/>
          <w:szCs w:val="24"/>
          <w:lang w:eastAsia="en-AU"/>
        </w:rPr>
        <w:t>Of the 29 tools, the Co</w:t>
      </w:r>
      <w:r w:rsidR="001A344A">
        <w:rPr>
          <w:color w:val="auto"/>
          <w:szCs w:val="24"/>
          <w:lang w:eastAsia="en-AU"/>
        </w:rPr>
        <w:t>mmonwealth administers only</w:t>
      </w:r>
      <w:r w:rsidR="006275A3">
        <w:rPr>
          <w:color w:val="auto"/>
          <w:szCs w:val="24"/>
          <w:lang w:eastAsia="en-AU"/>
        </w:rPr>
        <w:t xml:space="preserve"> SWS.</w:t>
      </w:r>
    </w:p>
    <w:p w:rsidR="00DD69F3" w:rsidRPr="00967D8C" w:rsidRDefault="00653246" w:rsidP="00DD69F3">
      <w:pPr>
        <w:pStyle w:val="SubmissionNormal"/>
        <w:numPr>
          <w:ilvl w:val="0"/>
          <w:numId w:val="7"/>
        </w:numPr>
        <w:rPr>
          <w:szCs w:val="24"/>
          <w:lang w:val="en-US" w:eastAsia="en-AU"/>
        </w:rPr>
      </w:pPr>
      <w:r>
        <w:rPr>
          <w:color w:val="auto"/>
          <w:szCs w:val="24"/>
          <w:lang w:eastAsia="en-AU"/>
        </w:rPr>
        <w:lastRenderedPageBreak/>
        <w:t>F</w:t>
      </w:r>
      <w:r w:rsidR="00B361E9" w:rsidRPr="006275A3">
        <w:rPr>
          <w:color w:val="auto"/>
          <w:szCs w:val="24"/>
          <w:lang w:eastAsia="en-AU"/>
        </w:rPr>
        <w:t xml:space="preserve">ive </w:t>
      </w:r>
      <w:r w:rsidR="00215240" w:rsidRPr="006275A3">
        <w:rPr>
          <w:color w:val="auto"/>
          <w:szCs w:val="24"/>
          <w:lang w:eastAsia="en-AU"/>
        </w:rPr>
        <w:t xml:space="preserve">of the listed assessment </w:t>
      </w:r>
      <w:r w:rsidR="00B361E9" w:rsidRPr="006275A3">
        <w:rPr>
          <w:color w:val="auto"/>
          <w:szCs w:val="24"/>
          <w:lang w:eastAsia="en-AU"/>
        </w:rPr>
        <w:t>tools</w:t>
      </w:r>
      <w:r w:rsidR="006275A3">
        <w:rPr>
          <w:color w:val="auto"/>
          <w:szCs w:val="24"/>
          <w:lang w:eastAsia="en-AU"/>
        </w:rPr>
        <w:t xml:space="preserve"> in </w:t>
      </w:r>
      <w:r w:rsidR="006275A3" w:rsidRPr="005D1DEB">
        <w:rPr>
          <w:i/>
          <w:color w:val="auto"/>
          <w:szCs w:val="24"/>
          <w:lang w:eastAsia="en-AU"/>
        </w:rPr>
        <w:t>Supporte</w:t>
      </w:r>
      <w:r w:rsidR="005D1DEB">
        <w:rPr>
          <w:i/>
          <w:color w:val="auto"/>
          <w:szCs w:val="24"/>
          <w:lang w:eastAsia="en-AU"/>
        </w:rPr>
        <w:t>d Employment Services Award 2010</w:t>
      </w:r>
      <w:r>
        <w:rPr>
          <w:color w:val="auto"/>
          <w:szCs w:val="24"/>
          <w:lang w:eastAsia="en-AU"/>
        </w:rPr>
        <w:t xml:space="preserve"> have their use </w:t>
      </w:r>
      <w:r w:rsidR="00215240" w:rsidRPr="006275A3">
        <w:rPr>
          <w:color w:val="auto"/>
          <w:szCs w:val="24"/>
          <w:lang w:eastAsia="en-AU"/>
        </w:rPr>
        <w:t xml:space="preserve">restricted </w:t>
      </w:r>
      <w:r w:rsidR="006275A3">
        <w:rPr>
          <w:color w:val="auto"/>
          <w:szCs w:val="24"/>
          <w:lang w:eastAsia="en-AU"/>
        </w:rPr>
        <w:t xml:space="preserve">by the Award </w:t>
      </w:r>
      <w:r w:rsidR="00215240" w:rsidRPr="006275A3">
        <w:rPr>
          <w:color w:val="auto"/>
          <w:szCs w:val="24"/>
          <w:lang w:eastAsia="en-AU"/>
        </w:rPr>
        <w:t xml:space="preserve">to specific </w:t>
      </w:r>
      <w:r w:rsidR="006275A3" w:rsidRPr="006275A3">
        <w:rPr>
          <w:color w:val="auto"/>
          <w:szCs w:val="24"/>
          <w:lang w:eastAsia="en-AU"/>
        </w:rPr>
        <w:t>ADE</w:t>
      </w:r>
      <w:r w:rsidR="00934DB3">
        <w:rPr>
          <w:color w:val="auto"/>
          <w:szCs w:val="24"/>
          <w:lang w:eastAsia="en-AU"/>
        </w:rPr>
        <w:t xml:space="preserve"> provider</w:t>
      </w:r>
      <w:r w:rsidR="006275A3" w:rsidRPr="006275A3">
        <w:rPr>
          <w:color w:val="auto"/>
          <w:szCs w:val="24"/>
          <w:lang w:eastAsia="en-AU"/>
        </w:rPr>
        <w:t>s</w:t>
      </w:r>
      <w:r>
        <w:rPr>
          <w:color w:val="auto"/>
          <w:szCs w:val="24"/>
          <w:lang w:eastAsia="en-AU"/>
        </w:rPr>
        <w:t>.  Under curre</w:t>
      </w:r>
      <w:r w:rsidR="00934DB3">
        <w:rPr>
          <w:color w:val="auto"/>
          <w:szCs w:val="24"/>
          <w:lang w:eastAsia="en-AU"/>
        </w:rPr>
        <w:t xml:space="preserve">nt industrial arrangements, ADEs </w:t>
      </w:r>
      <w:r w:rsidR="006A6C5C">
        <w:rPr>
          <w:color w:val="auto"/>
          <w:szCs w:val="24"/>
          <w:lang w:eastAsia="en-AU"/>
        </w:rPr>
        <w:t>are able to</w:t>
      </w:r>
      <w:r w:rsidR="00215240" w:rsidRPr="006275A3">
        <w:rPr>
          <w:color w:val="auto"/>
          <w:szCs w:val="24"/>
          <w:lang w:eastAsia="en-AU"/>
        </w:rPr>
        <w:t xml:space="preserve"> </w:t>
      </w:r>
      <w:r w:rsidR="006275A3" w:rsidRPr="006275A3">
        <w:rPr>
          <w:color w:val="auto"/>
          <w:szCs w:val="24"/>
          <w:lang w:eastAsia="en-AU"/>
        </w:rPr>
        <w:t>use</w:t>
      </w:r>
      <w:r w:rsidR="006A6C5C">
        <w:rPr>
          <w:color w:val="auto"/>
          <w:szCs w:val="24"/>
          <w:lang w:eastAsia="en-AU"/>
        </w:rPr>
        <w:t>, or to transition to,</w:t>
      </w:r>
      <w:r w:rsidR="006275A3" w:rsidRPr="006275A3">
        <w:rPr>
          <w:color w:val="auto"/>
          <w:szCs w:val="24"/>
          <w:lang w:eastAsia="en-AU"/>
        </w:rPr>
        <w:t xml:space="preserve"> </w:t>
      </w:r>
      <w:r w:rsidR="00215240" w:rsidRPr="006275A3">
        <w:rPr>
          <w:color w:val="auto"/>
          <w:szCs w:val="24"/>
          <w:lang w:eastAsia="en-AU"/>
        </w:rPr>
        <w:t>any of the remaining 24 wage assessment tools</w:t>
      </w:r>
      <w:r w:rsidR="00967D8C">
        <w:rPr>
          <w:color w:val="auto"/>
          <w:szCs w:val="24"/>
          <w:lang w:eastAsia="en-AU"/>
        </w:rPr>
        <w:t>, including SWS</w:t>
      </w:r>
      <w:r w:rsidR="00215240" w:rsidRPr="006275A3">
        <w:rPr>
          <w:color w:val="auto"/>
          <w:szCs w:val="24"/>
          <w:lang w:eastAsia="en-AU"/>
        </w:rPr>
        <w:t>.</w:t>
      </w:r>
      <w:r w:rsidR="00DD69F3">
        <w:rPr>
          <w:color w:val="auto"/>
          <w:szCs w:val="24"/>
          <w:lang w:eastAsia="en-AU"/>
        </w:rPr>
        <w:t xml:space="preserve"> </w:t>
      </w:r>
    </w:p>
    <w:p w:rsidR="001A344A" w:rsidRPr="00132316" w:rsidRDefault="001A344A" w:rsidP="001A344A">
      <w:pPr>
        <w:pStyle w:val="SubmissionNormal"/>
        <w:numPr>
          <w:ilvl w:val="0"/>
          <w:numId w:val="7"/>
        </w:numPr>
        <w:rPr>
          <w:color w:val="auto"/>
          <w:szCs w:val="24"/>
          <w:lang w:eastAsia="en-AU"/>
        </w:rPr>
      </w:pPr>
      <w:r w:rsidRPr="00132316">
        <w:rPr>
          <w:color w:val="auto"/>
          <w:szCs w:val="24"/>
          <w:lang w:eastAsia="en-AU"/>
        </w:rPr>
        <w:t>The</w:t>
      </w:r>
      <w:r w:rsidR="00154C91">
        <w:rPr>
          <w:color w:val="auto"/>
          <w:szCs w:val="24"/>
          <w:lang w:eastAsia="en-AU"/>
        </w:rPr>
        <w:t xml:space="preserve"> D</w:t>
      </w:r>
      <w:r>
        <w:rPr>
          <w:color w:val="auto"/>
          <w:szCs w:val="24"/>
          <w:lang w:eastAsia="en-AU"/>
        </w:rPr>
        <w:t xml:space="preserve">epartment believes there </w:t>
      </w:r>
      <w:r w:rsidRPr="00132316">
        <w:rPr>
          <w:color w:val="auto"/>
          <w:szCs w:val="24"/>
          <w:lang w:eastAsia="en-AU"/>
        </w:rPr>
        <w:t xml:space="preserve">are approximately 15 ADEs who </w:t>
      </w:r>
      <w:r>
        <w:rPr>
          <w:color w:val="auto"/>
          <w:szCs w:val="24"/>
          <w:lang w:eastAsia="en-AU"/>
        </w:rPr>
        <w:t xml:space="preserve">currently </w:t>
      </w:r>
      <w:r w:rsidRPr="00132316">
        <w:rPr>
          <w:color w:val="auto"/>
          <w:szCs w:val="24"/>
          <w:lang w:eastAsia="en-AU"/>
        </w:rPr>
        <w:t>use SWS</w:t>
      </w:r>
      <w:r w:rsidR="0008470C">
        <w:rPr>
          <w:color w:val="auto"/>
          <w:szCs w:val="24"/>
          <w:lang w:eastAsia="en-AU"/>
        </w:rPr>
        <w:t>,</w:t>
      </w:r>
      <w:r w:rsidRPr="00132316">
        <w:rPr>
          <w:color w:val="auto"/>
          <w:szCs w:val="24"/>
          <w:lang w:eastAsia="en-AU"/>
        </w:rPr>
        <w:t xml:space="preserve"> with about 600 approved </w:t>
      </w:r>
      <w:r>
        <w:rPr>
          <w:color w:val="auto"/>
          <w:szCs w:val="24"/>
          <w:lang w:eastAsia="en-AU"/>
        </w:rPr>
        <w:t>SWS agreements</w:t>
      </w:r>
      <w:r w:rsidR="00352C40">
        <w:rPr>
          <w:color w:val="auto"/>
          <w:szCs w:val="24"/>
          <w:lang w:eastAsia="en-AU"/>
        </w:rPr>
        <w:t xml:space="preserve"> in place</w:t>
      </w:r>
      <w:r>
        <w:rPr>
          <w:color w:val="auto"/>
          <w:szCs w:val="24"/>
          <w:lang w:eastAsia="en-AU"/>
        </w:rPr>
        <w:t>.</w:t>
      </w:r>
    </w:p>
    <w:p w:rsidR="00E31686" w:rsidRPr="00653246" w:rsidRDefault="00E31686" w:rsidP="00E31686">
      <w:pPr>
        <w:pStyle w:val="SubmissionNormal"/>
        <w:numPr>
          <w:ilvl w:val="0"/>
          <w:numId w:val="5"/>
        </w:numPr>
        <w:ind w:left="426" w:hanging="426"/>
        <w:rPr>
          <w:b/>
          <w:color w:val="auto"/>
          <w:szCs w:val="24"/>
          <w:lang w:eastAsia="en-AU"/>
        </w:rPr>
      </w:pPr>
      <w:r w:rsidRPr="00653246">
        <w:rPr>
          <w:b/>
          <w:color w:val="auto"/>
          <w:szCs w:val="24"/>
          <w:lang w:eastAsia="en-AU"/>
        </w:rPr>
        <w:t>Report to the Commission, on a quarterly basis during the exemption period, as to:</w:t>
      </w:r>
    </w:p>
    <w:p w:rsidR="00E31686" w:rsidRPr="00653246" w:rsidRDefault="00E31686" w:rsidP="00E31686">
      <w:pPr>
        <w:pStyle w:val="SubmissionNormal"/>
        <w:numPr>
          <w:ilvl w:val="0"/>
          <w:numId w:val="6"/>
        </w:numPr>
        <w:ind w:left="1134" w:hanging="425"/>
        <w:rPr>
          <w:b/>
          <w:color w:val="auto"/>
          <w:szCs w:val="24"/>
          <w:lang w:eastAsia="en-AU"/>
        </w:rPr>
      </w:pPr>
      <w:r w:rsidRPr="00653246">
        <w:rPr>
          <w:b/>
          <w:color w:val="auto"/>
          <w:szCs w:val="24"/>
          <w:lang w:eastAsia="en-AU"/>
        </w:rPr>
        <w:t>The number of assessments conducted each quarter; and</w:t>
      </w:r>
    </w:p>
    <w:p w:rsidR="00E31686" w:rsidRPr="00653246" w:rsidRDefault="00E31686" w:rsidP="00E31686">
      <w:pPr>
        <w:pStyle w:val="SubmissionNormal"/>
        <w:numPr>
          <w:ilvl w:val="0"/>
          <w:numId w:val="6"/>
        </w:numPr>
        <w:ind w:left="1134" w:hanging="425"/>
        <w:rPr>
          <w:b/>
          <w:color w:val="auto"/>
          <w:szCs w:val="24"/>
          <w:lang w:eastAsia="en-AU"/>
        </w:rPr>
      </w:pPr>
      <w:r w:rsidRPr="00653246">
        <w:rPr>
          <w:b/>
          <w:color w:val="auto"/>
          <w:szCs w:val="24"/>
          <w:lang w:eastAsia="en-AU"/>
        </w:rPr>
        <w:t>The number of assessments still to be conducted.</w:t>
      </w:r>
    </w:p>
    <w:p w:rsidR="00653246" w:rsidRPr="008424A6" w:rsidRDefault="00891C65" w:rsidP="00653246">
      <w:pPr>
        <w:pStyle w:val="SubmissionNormal"/>
        <w:numPr>
          <w:ilvl w:val="0"/>
          <w:numId w:val="7"/>
        </w:numPr>
        <w:rPr>
          <w:color w:val="auto"/>
          <w:szCs w:val="24"/>
          <w:lang w:eastAsia="en-AU"/>
        </w:rPr>
      </w:pPr>
      <w:r>
        <w:rPr>
          <w:color w:val="auto"/>
          <w:szCs w:val="24"/>
          <w:lang w:eastAsia="en-AU"/>
        </w:rPr>
        <w:t xml:space="preserve">The Commonwealth formally ceased BSWAT wage assessments on </w:t>
      </w:r>
      <w:r w:rsidR="00456733">
        <w:rPr>
          <w:color w:val="auto"/>
          <w:szCs w:val="24"/>
          <w:lang w:eastAsia="en-AU"/>
        </w:rPr>
        <w:br/>
      </w:r>
      <w:r>
        <w:rPr>
          <w:color w:val="auto"/>
          <w:szCs w:val="24"/>
          <w:lang w:eastAsia="en-AU"/>
        </w:rPr>
        <w:t>24</w:t>
      </w:r>
      <w:r w:rsidRPr="00EB0520">
        <w:rPr>
          <w:color w:val="auto"/>
          <w:szCs w:val="24"/>
          <w:lang w:eastAsia="en-AU"/>
        </w:rPr>
        <w:t xml:space="preserve"> December 2012</w:t>
      </w:r>
      <w:r>
        <w:rPr>
          <w:color w:val="auto"/>
          <w:szCs w:val="24"/>
          <w:lang w:eastAsia="en-AU"/>
        </w:rPr>
        <w:t xml:space="preserve">.  There have been no BSWAT assessments </w:t>
      </w:r>
      <w:r w:rsidR="00C332F6">
        <w:rPr>
          <w:color w:val="auto"/>
          <w:szCs w:val="24"/>
          <w:lang w:eastAsia="en-AU"/>
        </w:rPr>
        <w:t xml:space="preserve">conducted </w:t>
      </w:r>
      <w:r>
        <w:rPr>
          <w:color w:val="auto"/>
          <w:szCs w:val="24"/>
          <w:lang w:eastAsia="en-AU"/>
        </w:rPr>
        <w:t xml:space="preserve">since 19 December 2012.  </w:t>
      </w:r>
    </w:p>
    <w:p w:rsidR="00B82A8F" w:rsidRDefault="00653246" w:rsidP="00C67BC7">
      <w:pPr>
        <w:pStyle w:val="SubmissionNormal"/>
        <w:numPr>
          <w:ilvl w:val="0"/>
          <w:numId w:val="7"/>
        </w:numPr>
        <w:rPr>
          <w:color w:val="auto"/>
          <w:szCs w:val="24"/>
          <w:lang w:eastAsia="en-AU"/>
        </w:rPr>
      </w:pPr>
      <w:r w:rsidRPr="00653246">
        <w:rPr>
          <w:color w:val="auto"/>
          <w:szCs w:val="24"/>
          <w:lang w:eastAsia="en-AU"/>
        </w:rPr>
        <w:t xml:space="preserve">For the period from </w:t>
      </w:r>
      <w:r w:rsidR="00891C65">
        <w:rPr>
          <w:color w:val="auto"/>
          <w:szCs w:val="24"/>
          <w:lang w:eastAsia="en-AU"/>
        </w:rPr>
        <w:t>30</w:t>
      </w:r>
      <w:r w:rsidR="00891C65" w:rsidRPr="00653246">
        <w:rPr>
          <w:color w:val="auto"/>
          <w:szCs w:val="24"/>
          <w:lang w:eastAsia="en-AU"/>
        </w:rPr>
        <w:t xml:space="preserve"> </w:t>
      </w:r>
      <w:r w:rsidRPr="00653246">
        <w:rPr>
          <w:color w:val="auto"/>
          <w:szCs w:val="24"/>
          <w:lang w:eastAsia="en-AU"/>
        </w:rPr>
        <w:t>April 2014 to 25 July 2014</w:t>
      </w:r>
      <w:r w:rsidR="0008470C">
        <w:rPr>
          <w:color w:val="auto"/>
          <w:szCs w:val="24"/>
          <w:lang w:eastAsia="en-AU"/>
        </w:rPr>
        <w:t>,</w:t>
      </w:r>
      <w:r w:rsidRPr="00653246">
        <w:rPr>
          <w:color w:val="auto"/>
          <w:szCs w:val="24"/>
          <w:lang w:eastAsia="en-AU"/>
        </w:rPr>
        <w:t xml:space="preserve"> there were 32 SWS applications for 32 ADE employees. </w:t>
      </w:r>
    </w:p>
    <w:p w:rsidR="00653246" w:rsidRPr="00C67BC7" w:rsidRDefault="00F3409E" w:rsidP="00C67BC7">
      <w:pPr>
        <w:pStyle w:val="SubmissionNormal"/>
        <w:numPr>
          <w:ilvl w:val="0"/>
          <w:numId w:val="7"/>
        </w:numPr>
        <w:rPr>
          <w:color w:val="auto"/>
          <w:szCs w:val="24"/>
          <w:lang w:eastAsia="en-AU"/>
        </w:rPr>
      </w:pPr>
      <w:r>
        <w:rPr>
          <w:color w:val="auto"/>
          <w:szCs w:val="24"/>
          <w:lang w:eastAsia="en-AU"/>
        </w:rPr>
        <w:t>Informally</w:t>
      </w:r>
      <w:r w:rsidR="00C67BC7" w:rsidRPr="00D9774F">
        <w:rPr>
          <w:color w:val="auto"/>
          <w:szCs w:val="24"/>
          <w:lang w:eastAsia="en-AU"/>
        </w:rPr>
        <w:t>, the Department is</w:t>
      </w:r>
      <w:r w:rsidR="00C67BC7">
        <w:rPr>
          <w:color w:val="auto"/>
          <w:szCs w:val="24"/>
          <w:lang w:eastAsia="en-AU"/>
        </w:rPr>
        <w:t xml:space="preserve"> also</w:t>
      </w:r>
      <w:r w:rsidR="00C67BC7" w:rsidRPr="00D9774F">
        <w:rPr>
          <w:color w:val="auto"/>
          <w:szCs w:val="24"/>
          <w:lang w:eastAsia="en-AU"/>
        </w:rPr>
        <w:t xml:space="preserve"> aware of t</w:t>
      </w:r>
      <w:r w:rsidR="00DE51B8">
        <w:rPr>
          <w:color w:val="auto"/>
          <w:szCs w:val="24"/>
          <w:lang w:eastAsia="en-AU"/>
        </w:rPr>
        <w:t>hree</w:t>
      </w:r>
      <w:r w:rsidR="00C67BC7" w:rsidRPr="00D9774F">
        <w:rPr>
          <w:color w:val="auto"/>
          <w:szCs w:val="24"/>
          <w:lang w:eastAsia="en-AU"/>
        </w:rPr>
        <w:t xml:space="preserve"> small</w:t>
      </w:r>
      <w:r w:rsidR="00B82A8F">
        <w:rPr>
          <w:color w:val="auto"/>
          <w:szCs w:val="24"/>
          <w:lang w:eastAsia="en-AU"/>
        </w:rPr>
        <w:t>-</w:t>
      </w:r>
      <w:r w:rsidR="00C67BC7" w:rsidRPr="00D9774F">
        <w:rPr>
          <w:color w:val="auto"/>
          <w:szCs w:val="24"/>
          <w:lang w:eastAsia="en-AU"/>
        </w:rPr>
        <w:t>to</w:t>
      </w:r>
      <w:r w:rsidR="00B82A8F">
        <w:rPr>
          <w:color w:val="auto"/>
          <w:szCs w:val="24"/>
          <w:lang w:eastAsia="en-AU"/>
        </w:rPr>
        <w:t>-</w:t>
      </w:r>
      <w:r w:rsidR="00C67BC7" w:rsidRPr="00D9774F">
        <w:rPr>
          <w:color w:val="auto"/>
          <w:szCs w:val="24"/>
          <w:lang w:eastAsia="en-AU"/>
        </w:rPr>
        <w:t xml:space="preserve">medium size ADEs </w:t>
      </w:r>
      <w:r w:rsidR="0008470C">
        <w:rPr>
          <w:color w:val="auto"/>
          <w:szCs w:val="24"/>
          <w:lang w:eastAsia="en-AU"/>
        </w:rPr>
        <w:t>which</w:t>
      </w:r>
      <w:r w:rsidR="00C67BC7" w:rsidRPr="00D9774F">
        <w:rPr>
          <w:color w:val="auto"/>
          <w:szCs w:val="24"/>
          <w:lang w:eastAsia="en-AU"/>
        </w:rPr>
        <w:t xml:space="preserve"> </w:t>
      </w:r>
      <w:r w:rsidR="00B82A8F">
        <w:rPr>
          <w:color w:val="auto"/>
          <w:szCs w:val="24"/>
          <w:lang w:eastAsia="en-AU"/>
        </w:rPr>
        <w:t xml:space="preserve">have </w:t>
      </w:r>
      <w:r w:rsidR="00C67BC7" w:rsidRPr="00D9774F">
        <w:rPr>
          <w:color w:val="auto"/>
          <w:szCs w:val="24"/>
          <w:lang w:eastAsia="en-AU"/>
        </w:rPr>
        <w:t xml:space="preserve">transitioned to the SWS since 21 December 2012.  </w:t>
      </w:r>
    </w:p>
    <w:p w:rsidR="00F3409E" w:rsidRDefault="00F3409E" w:rsidP="00F3409E">
      <w:pPr>
        <w:pStyle w:val="SubmissionNormal"/>
        <w:numPr>
          <w:ilvl w:val="0"/>
          <w:numId w:val="7"/>
        </w:numPr>
        <w:rPr>
          <w:color w:val="auto"/>
          <w:szCs w:val="24"/>
          <w:lang w:eastAsia="en-AU"/>
        </w:rPr>
      </w:pPr>
      <w:r>
        <w:rPr>
          <w:color w:val="auto"/>
          <w:szCs w:val="24"/>
          <w:lang w:eastAsia="en-AU"/>
        </w:rPr>
        <w:t xml:space="preserve">Scope, a large Victorian ADE provider with 243 supported employment places, advised the Department that it is moving to the </w:t>
      </w:r>
      <w:proofErr w:type="spellStart"/>
      <w:r>
        <w:rPr>
          <w:color w:val="auto"/>
          <w:szCs w:val="24"/>
          <w:lang w:eastAsia="en-AU"/>
        </w:rPr>
        <w:t>Skillsmaster</w:t>
      </w:r>
      <w:proofErr w:type="spellEnd"/>
      <w:r>
        <w:rPr>
          <w:color w:val="auto"/>
          <w:szCs w:val="24"/>
          <w:lang w:eastAsia="en-AU"/>
        </w:rPr>
        <w:t xml:space="preserve"> Wage Assessment Tool.  </w:t>
      </w:r>
      <w:proofErr w:type="spellStart"/>
      <w:r>
        <w:rPr>
          <w:color w:val="auto"/>
          <w:szCs w:val="24"/>
          <w:lang w:eastAsia="en-AU"/>
        </w:rPr>
        <w:t>Skillsmaster</w:t>
      </w:r>
      <w:proofErr w:type="spellEnd"/>
      <w:r>
        <w:rPr>
          <w:color w:val="auto"/>
          <w:szCs w:val="24"/>
          <w:lang w:eastAsia="en-AU"/>
        </w:rPr>
        <w:t xml:space="preserve"> is one of the 24 tools listed in the </w:t>
      </w:r>
      <w:r w:rsidRPr="005D1DEB">
        <w:rPr>
          <w:i/>
          <w:color w:val="auto"/>
          <w:szCs w:val="24"/>
          <w:lang w:eastAsia="en-AU"/>
        </w:rPr>
        <w:t>Supported Employment Services Award 2010</w:t>
      </w:r>
      <w:r>
        <w:rPr>
          <w:color w:val="auto"/>
          <w:szCs w:val="24"/>
          <w:lang w:eastAsia="en-AU"/>
        </w:rPr>
        <w:t xml:space="preserve"> </w:t>
      </w:r>
      <w:r w:rsidR="00B82A8F">
        <w:rPr>
          <w:color w:val="auto"/>
          <w:szCs w:val="24"/>
          <w:lang w:eastAsia="en-AU"/>
        </w:rPr>
        <w:t xml:space="preserve">that ADEs can use. </w:t>
      </w:r>
    </w:p>
    <w:p w:rsidR="00C67BC7" w:rsidRDefault="00C67BC7" w:rsidP="00C67BC7">
      <w:pPr>
        <w:pStyle w:val="SubmissionNormal"/>
        <w:numPr>
          <w:ilvl w:val="0"/>
          <w:numId w:val="7"/>
        </w:numPr>
        <w:rPr>
          <w:color w:val="auto"/>
          <w:szCs w:val="24"/>
          <w:lang w:eastAsia="en-AU"/>
        </w:rPr>
      </w:pPr>
      <w:r>
        <w:rPr>
          <w:color w:val="auto"/>
          <w:szCs w:val="24"/>
          <w:lang w:eastAsia="en-AU"/>
        </w:rPr>
        <w:t>T</w:t>
      </w:r>
      <w:r w:rsidR="00154C91">
        <w:rPr>
          <w:color w:val="auto"/>
          <w:szCs w:val="24"/>
          <w:lang w:eastAsia="en-AU"/>
        </w:rPr>
        <w:t xml:space="preserve">he Department’s </w:t>
      </w:r>
      <w:r w:rsidRPr="00C67BC7">
        <w:rPr>
          <w:color w:val="auto"/>
          <w:szCs w:val="24"/>
          <w:lang w:eastAsia="en-AU"/>
        </w:rPr>
        <w:t xml:space="preserve">State Offices have reported </w:t>
      </w:r>
      <w:r w:rsidR="0008470C">
        <w:rPr>
          <w:color w:val="auto"/>
          <w:szCs w:val="24"/>
          <w:lang w:eastAsia="en-AU"/>
        </w:rPr>
        <w:t>an increased number</w:t>
      </w:r>
      <w:r w:rsidRPr="00C67BC7">
        <w:rPr>
          <w:color w:val="auto"/>
          <w:szCs w:val="24"/>
          <w:lang w:eastAsia="en-AU"/>
        </w:rPr>
        <w:t xml:space="preserve"> of enquiries from ADEs about SWS.  </w:t>
      </w:r>
    </w:p>
    <w:p w:rsidR="00C67BC7" w:rsidRDefault="00934DB3" w:rsidP="006535EC">
      <w:pPr>
        <w:pStyle w:val="SubmissionNormal"/>
        <w:numPr>
          <w:ilvl w:val="0"/>
          <w:numId w:val="7"/>
        </w:numPr>
        <w:rPr>
          <w:color w:val="auto"/>
          <w:szCs w:val="24"/>
          <w:lang w:eastAsia="en-AU"/>
        </w:rPr>
      </w:pPr>
      <w:r w:rsidRPr="00C67BC7">
        <w:rPr>
          <w:color w:val="auto"/>
          <w:szCs w:val="24"/>
          <w:lang w:eastAsia="en-AU"/>
        </w:rPr>
        <w:t>The Department can also report that a</w:t>
      </w:r>
      <w:r w:rsidR="006535EC" w:rsidRPr="00C67BC7">
        <w:rPr>
          <w:color w:val="auto"/>
          <w:szCs w:val="24"/>
          <w:lang w:eastAsia="en-AU"/>
        </w:rPr>
        <w:t xml:space="preserve"> large ADE has approached the Department about </w:t>
      </w:r>
      <w:r w:rsidR="005D1DEB" w:rsidRPr="00C67BC7">
        <w:rPr>
          <w:color w:val="auto"/>
          <w:szCs w:val="24"/>
          <w:lang w:eastAsia="en-AU"/>
        </w:rPr>
        <w:t xml:space="preserve">SWS </w:t>
      </w:r>
      <w:r w:rsidR="006535EC" w:rsidRPr="00C67BC7">
        <w:rPr>
          <w:color w:val="auto"/>
          <w:szCs w:val="24"/>
          <w:lang w:eastAsia="en-AU"/>
        </w:rPr>
        <w:t>assessment for their workforce</w:t>
      </w:r>
      <w:r w:rsidR="0008470C">
        <w:rPr>
          <w:color w:val="auto"/>
          <w:szCs w:val="24"/>
          <w:lang w:eastAsia="en-AU"/>
        </w:rPr>
        <w:t>,</w:t>
      </w:r>
      <w:r w:rsidR="006535EC" w:rsidRPr="00C67BC7">
        <w:rPr>
          <w:color w:val="auto"/>
          <w:szCs w:val="24"/>
          <w:lang w:eastAsia="en-AU"/>
        </w:rPr>
        <w:t xml:space="preserve"> but has so far lodged only one application. </w:t>
      </w:r>
    </w:p>
    <w:p w:rsidR="001E24A2" w:rsidRDefault="00001044" w:rsidP="00C67BC7">
      <w:pPr>
        <w:pStyle w:val="SubmissionNormal"/>
        <w:numPr>
          <w:ilvl w:val="0"/>
          <w:numId w:val="7"/>
        </w:numPr>
        <w:rPr>
          <w:color w:val="auto"/>
          <w:szCs w:val="24"/>
          <w:lang w:eastAsia="en-AU"/>
        </w:rPr>
      </w:pPr>
      <w:r w:rsidRPr="001E24A2">
        <w:rPr>
          <w:color w:val="auto"/>
          <w:szCs w:val="24"/>
          <w:lang w:eastAsia="en-AU"/>
        </w:rPr>
        <w:t xml:space="preserve">The Department is </w:t>
      </w:r>
      <w:r w:rsidR="00C67BC7" w:rsidRPr="001E24A2">
        <w:rPr>
          <w:color w:val="auto"/>
          <w:szCs w:val="24"/>
          <w:lang w:eastAsia="en-AU"/>
        </w:rPr>
        <w:t xml:space="preserve">currently looking to </w:t>
      </w:r>
      <w:r w:rsidR="00DB14B1" w:rsidRPr="001E24A2">
        <w:rPr>
          <w:color w:val="auto"/>
          <w:szCs w:val="24"/>
          <w:lang w:eastAsia="en-AU"/>
        </w:rPr>
        <w:t xml:space="preserve">implement a more efficient </w:t>
      </w:r>
      <w:r w:rsidR="000555A6" w:rsidRPr="001E24A2">
        <w:rPr>
          <w:color w:val="auto"/>
          <w:szCs w:val="24"/>
          <w:lang w:eastAsia="en-AU"/>
        </w:rPr>
        <w:t xml:space="preserve">process </w:t>
      </w:r>
      <w:r w:rsidRPr="001E24A2">
        <w:rPr>
          <w:color w:val="auto"/>
          <w:szCs w:val="24"/>
          <w:lang w:eastAsia="en-AU"/>
        </w:rPr>
        <w:t>to accommodate ADE</w:t>
      </w:r>
      <w:r w:rsidR="00934DB3" w:rsidRPr="001E24A2">
        <w:rPr>
          <w:color w:val="auto"/>
          <w:szCs w:val="24"/>
          <w:lang w:eastAsia="en-AU"/>
        </w:rPr>
        <w:t xml:space="preserve"> providers</w:t>
      </w:r>
      <w:r w:rsidRPr="001E24A2">
        <w:rPr>
          <w:color w:val="auto"/>
          <w:szCs w:val="24"/>
          <w:lang w:eastAsia="en-AU"/>
        </w:rPr>
        <w:t xml:space="preserve"> </w:t>
      </w:r>
      <w:r w:rsidR="00DB14B1" w:rsidRPr="001E24A2">
        <w:rPr>
          <w:color w:val="auto"/>
          <w:szCs w:val="24"/>
          <w:lang w:eastAsia="en-AU"/>
        </w:rPr>
        <w:t xml:space="preserve">seeking </w:t>
      </w:r>
      <w:r w:rsidRPr="001E24A2">
        <w:rPr>
          <w:color w:val="auto"/>
          <w:szCs w:val="24"/>
          <w:lang w:eastAsia="en-AU"/>
        </w:rPr>
        <w:t xml:space="preserve">multiple </w:t>
      </w:r>
      <w:r w:rsidR="005D1DEB" w:rsidRPr="001E24A2">
        <w:rPr>
          <w:color w:val="auto"/>
          <w:szCs w:val="24"/>
          <w:lang w:eastAsia="en-AU"/>
        </w:rPr>
        <w:t xml:space="preserve">SWS </w:t>
      </w:r>
      <w:r w:rsidRPr="001E24A2">
        <w:rPr>
          <w:color w:val="auto"/>
          <w:szCs w:val="24"/>
          <w:lang w:eastAsia="en-AU"/>
        </w:rPr>
        <w:t>assessments.</w:t>
      </w:r>
      <w:r w:rsidR="000555A6" w:rsidRPr="001E24A2">
        <w:rPr>
          <w:color w:val="auto"/>
          <w:szCs w:val="24"/>
          <w:lang w:eastAsia="en-AU"/>
        </w:rPr>
        <w:t xml:space="preserve"> </w:t>
      </w:r>
      <w:r w:rsidR="00C67BC7" w:rsidRPr="001E24A2">
        <w:rPr>
          <w:color w:val="auto"/>
          <w:szCs w:val="24"/>
          <w:lang w:eastAsia="en-AU"/>
        </w:rPr>
        <w:t>Currently</w:t>
      </w:r>
      <w:r w:rsidR="0008470C" w:rsidRPr="001E24A2">
        <w:rPr>
          <w:color w:val="auto"/>
          <w:szCs w:val="24"/>
          <w:lang w:eastAsia="en-AU"/>
        </w:rPr>
        <w:t>,</w:t>
      </w:r>
      <w:r w:rsidR="00C67BC7" w:rsidRPr="001E24A2">
        <w:rPr>
          <w:color w:val="auto"/>
          <w:szCs w:val="24"/>
          <w:lang w:eastAsia="en-AU"/>
        </w:rPr>
        <w:t xml:space="preserve"> SWS operates </w:t>
      </w:r>
      <w:r w:rsidR="00934DB3" w:rsidRPr="001E24A2">
        <w:rPr>
          <w:color w:val="auto"/>
          <w:szCs w:val="24"/>
          <w:lang w:eastAsia="en-AU"/>
        </w:rPr>
        <w:t xml:space="preserve">as an automated process which requires </w:t>
      </w:r>
      <w:r w:rsidR="000555A6" w:rsidRPr="001E24A2">
        <w:rPr>
          <w:color w:val="auto"/>
          <w:szCs w:val="24"/>
          <w:lang w:eastAsia="en-AU"/>
        </w:rPr>
        <w:t xml:space="preserve">an individual application </w:t>
      </w:r>
      <w:r w:rsidR="00AC66FF" w:rsidRPr="001E24A2">
        <w:rPr>
          <w:color w:val="auto"/>
          <w:szCs w:val="24"/>
          <w:lang w:eastAsia="en-AU"/>
        </w:rPr>
        <w:t xml:space="preserve">for each </w:t>
      </w:r>
      <w:r w:rsidR="000555A6" w:rsidRPr="001E24A2">
        <w:rPr>
          <w:color w:val="auto"/>
          <w:szCs w:val="24"/>
          <w:lang w:eastAsia="en-AU"/>
        </w:rPr>
        <w:t>individual assessment</w:t>
      </w:r>
      <w:r w:rsidR="00C67BC7" w:rsidRPr="001E24A2">
        <w:rPr>
          <w:color w:val="auto"/>
          <w:szCs w:val="24"/>
          <w:lang w:eastAsia="en-AU"/>
        </w:rPr>
        <w:t>.</w:t>
      </w:r>
      <w:r w:rsidR="00AC66FF" w:rsidRPr="001E24A2">
        <w:rPr>
          <w:color w:val="auto"/>
          <w:szCs w:val="24"/>
          <w:lang w:eastAsia="en-AU"/>
        </w:rPr>
        <w:t xml:space="preserve"> </w:t>
      </w:r>
    </w:p>
    <w:p w:rsidR="00C67BC7" w:rsidRPr="001E24A2" w:rsidRDefault="00293CDA" w:rsidP="00C67BC7">
      <w:pPr>
        <w:pStyle w:val="SubmissionNormal"/>
        <w:numPr>
          <w:ilvl w:val="0"/>
          <w:numId w:val="7"/>
        </w:numPr>
        <w:rPr>
          <w:color w:val="auto"/>
          <w:szCs w:val="24"/>
          <w:lang w:eastAsia="en-AU"/>
        </w:rPr>
      </w:pPr>
      <w:r w:rsidRPr="001E24A2">
        <w:rPr>
          <w:color w:val="auto"/>
          <w:szCs w:val="24"/>
          <w:lang w:eastAsia="en-AU"/>
        </w:rPr>
        <w:t xml:space="preserve">The Department is unable to provide the number of assessments still to be conducted as it </w:t>
      </w:r>
      <w:r w:rsidR="00C67BC7" w:rsidRPr="001E24A2">
        <w:rPr>
          <w:color w:val="auto"/>
          <w:szCs w:val="24"/>
          <w:lang w:eastAsia="en-AU"/>
        </w:rPr>
        <w:t xml:space="preserve">does not keep data in relation to when new assessments are due. </w:t>
      </w:r>
    </w:p>
    <w:p w:rsidR="00C67BC7" w:rsidRDefault="00C67BC7" w:rsidP="00C67BC7">
      <w:pPr>
        <w:pStyle w:val="SubmissionNormal"/>
        <w:numPr>
          <w:ilvl w:val="0"/>
          <w:numId w:val="7"/>
        </w:numPr>
        <w:rPr>
          <w:color w:val="auto"/>
          <w:szCs w:val="24"/>
          <w:lang w:eastAsia="en-AU"/>
        </w:rPr>
      </w:pPr>
      <w:r>
        <w:rPr>
          <w:color w:val="auto"/>
          <w:szCs w:val="24"/>
          <w:lang w:eastAsia="en-AU"/>
        </w:rPr>
        <w:t>The Department has no data on the use of the other 28 approved tools.  Therefore</w:t>
      </w:r>
      <w:r w:rsidR="0008470C">
        <w:rPr>
          <w:color w:val="auto"/>
          <w:szCs w:val="24"/>
          <w:lang w:eastAsia="en-AU"/>
        </w:rPr>
        <w:t>,</w:t>
      </w:r>
      <w:r>
        <w:rPr>
          <w:color w:val="auto"/>
          <w:szCs w:val="24"/>
          <w:lang w:eastAsia="en-AU"/>
        </w:rPr>
        <w:t xml:space="preserve"> we are unable to provide advice as to what other tools have been used, if any, to assess wages during the </w:t>
      </w:r>
      <w:r w:rsidR="00DB14B1">
        <w:rPr>
          <w:color w:val="auto"/>
          <w:szCs w:val="24"/>
          <w:lang w:eastAsia="en-AU"/>
        </w:rPr>
        <w:t xml:space="preserve">reporting </w:t>
      </w:r>
      <w:r>
        <w:rPr>
          <w:color w:val="auto"/>
          <w:szCs w:val="24"/>
          <w:lang w:eastAsia="en-AU"/>
        </w:rPr>
        <w:t>period.</w:t>
      </w:r>
    </w:p>
    <w:p w:rsidR="00E31686" w:rsidRDefault="00E31686" w:rsidP="00E31686">
      <w:pPr>
        <w:pStyle w:val="SubmissionNormal"/>
        <w:numPr>
          <w:ilvl w:val="0"/>
          <w:numId w:val="5"/>
        </w:numPr>
        <w:ind w:left="426" w:hanging="426"/>
        <w:rPr>
          <w:b/>
          <w:color w:val="auto"/>
          <w:szCs w:val="24"/>
          <w:lang w:eastAsia="en-AU"/>
        </w:rPr>
      </w:pPr>
      <w:r w:rsidRPr="00001044">
        <w:rPr>
          <w:b/>
          <w:color w:val="auto"/>
          <w:szCs w:val="24"/>
          <w:lang w:eastAsia="en-AU"/>
        </w:rPr>
        <w:lastRenderedPageBreak/>
        <w:t>Give consideration to ensuring that no disadvantage is suffered by ADE employees whose wages may be reduced as a result of the application of the SWS or alternative tool.</w:t>
      </w:r>
    </w:p>
    <w:p w:rsidR="006A6C5C" w:rsidRDefault="006A6C5C" w:rsidP="006A6C5C">
      <w:pPr>
        <w:pStyle w:val="SubmissionNormal"/>
        <w:numPr>
          <w:ilvl w:val="0"/>
          <w:numId w:val="7"/>
        </w:numPr>
        <w:rPr>
          <w:color w:val="auto"/>
          <w:szCs w:val="24"/>
          <w:lang w:eastAsia="en-AU"/>
        </w:rPr>
      </w:pPr>
      <w:r w:rsidRPr="000A753A">
        <w:rPr>
          <w:color w:val="auto"/>
          <w:szCs w:val="24"/>
          <w:lang w:eastAsia="en-AU"/>
        </w:rPr>
        <w:t xml:space="preserve">The Commonwealth’s ongoing funding </w:t>
      </w:r>
      <w:r>
        <w:rPr>
          <w:color w:val="auto"/>
          <w:szCs w:val="24"/>
          <w:lang w:eastAsia="en-AU"/>
        </w:rPr>
        <w:t xml:space="preserve">arrangements with </w:t>
      </w:r>
      <w:r w:rsidRPr="000A753A">
        <w:rPr>
          <w:color w:val="auto"/>
          <w:szCs w:val="24"/>
          <w:lang w:eastAsia="en-AU"/>
        </w:rPr>
        <w:t>ADEs is l</w:t>
      </w:r>
      <w:r w:rsidR="0008470C">
        <w:rPr>
          <w:color w:val="auto"/>
          <w:szCs w:val="24"/>
          <w:lang w:eastAsia="en-AU"/>
        </w:rPr>
        <w:t>imited to the provision of case-</w:t>
      </w:r>
      <w:r w:rsidRPr="000A753A">
        <w:rPr>
          <w:color w:val="auto"/>
          <w:szCs w:val="24"/>
          <w:lang w:eastAsia="en-AU"/>
        </w:rPr>
        <w:t xml:space="preserve">based funding which provides support to assist </w:t>
      </w:r>
      <w:r>
        <w:rPr>
          <w:color w:val="auto"/>
          <w:szCs w:val="24"/>
          <w:lang w:eastAsia="en-AU"/>
        </w:rPr>
        <w:t>supported employees</w:t>
      </w:r>
      <w:r w:rsidRPr="000A753A">
        <w:rPr>
          <w:color w:val="auto"/>
          <w:szCs w:val="24"/>
          <w:lang w:eastAsia="en-AU"/>
        </w:rPr>
        <w:t xml:space="preserve"> in their workplace. </w:t>
      </w:r>
    </w:p>
    <w:p w:rsidR="00132316" w:rsidRDefault="00F3409E" w:rsidP="006A6C5C">
      <w:pPr>
        <w:pStyle w:val="SubmissionNormal"/>
        <w:numPr>
          <w:ilvl w:val="0"/>
          <w:numId w:val="7"/>
        </w:numPr>
        <w:rPr>
          <w:color w:val="auto"/>
          <w:szCs w:val="24"/>
          <w:lang w:eastAsia="en-AU"/>
        </w:rPr>
      </w:pPr>
      <w:r>
        <w:rPr>
          <w:color w:val="auto"/>
          <w:szCs w:val="24"/>
          <w:lang w:eastAsia="en-AU"/>
        </w:rPr>
        <w:t>Informally</w:t>
      </w:r>
      <w:r w:rsidR="005D27D7">
        <w:rPr>
          <w:color w:val="auto"/>
          <w:szCs w:val="24"/>
          <w:lang w:eastAsia="en-AU"/>
        </w:rPr>
        <w:t xml:space="preserve">, one small to medium size ADE which has almost completed a transition to SWS has voluntarily shared </w:t>
      </w:r>
      <w:r w:rsidR="00DB14B1">
        <w:rPr>
          <w:color w:val="auto"/>
          <w:szCs w:val="24"/>
          <w:lang w:eastAsia="en-AU"/>
        </w:rPr>
        <w:t xml:space="preserve">its </w:t>
      </w:r>
      <w:r w:rsidR="005D27D7">
        <w:rPr>
          <w:color w:val="auto"/>
          <w:szCs w:val="24"/>
          <w:lang w:eastAsia="en-AU"/>
        </w:rPr>
        <w:t xml:space="preserve">experience </w:t>
      </w:r>
      <w:r w:rsidR="005D1DEB">
        <w:rPr>
          <w:color w:val="auto"/>
          <w:szCs w:val="24"/>
          <w:lang w:eastAsia="en-AU"/>
        </w:rPr>
        <w:t xml:space="preserve">and outcomes </w:t>
      </w:r>
      <w:r w:rsidR="00243F81">
        <w:rPr>
          <w:color w:val="auto"/>
          <w:szCs w:val="24"/>
          <w:lang w:eastAsia="en-AU"/>
        </w:rPr>
        <w:t>from</w:t>
      </w:r>
      <w:r w:rsidR="005D27D7">
        <w:rPr>
          <w:color w:val="auto"/>
          <w:szCs w:val="24"/>
          <w:lang w:eastAsia="en-AU"/>
        </w:rPr>
        <w:t xml:space="preserve"> </w:t>
      </w:r>
      <w:r w:rsidR="005D1DEB">
        <w:rPr>
          <w:color w:val="auto"/>
          <w:szCs w:val="24"/>
          <w:lang w:eastAsia="en-AU"/>
        </w:rPr>
        <w:t>the</w:t>
      </w:r>
      <w:r w:rsidR="005D27D7">
        <w:rPr>
          <w:color w:val="auto"/>
          <w:szCs w:val="24"/>
          <w:lang w:eastAsia="en-AU"/>
        </w:rPr>
        <w:t xml:space="preserve"> transition with the Department. The ADE reported that SWS </w:t>
      </w:r>
      <w:r w:rsidR="0008470C">
        <w:rPr>
          <w:color w:val="auto"/>
          <w:szCs w:val="24"/>
          <w:lang w:eastAsia="en-AU"/>
        </w:rPr>
        <w:t xml:space="preserve">wage </w:t>
      </w:r>
      <w:r w:rsidR="005D27D7">
        <w:rPr>
          <w:color w:val="auto"/>
          <w:szCs w:val="24"/>
          <w:lang w:eastAsia="en-AU"/>
        </w:rPr>
        <w:t xml:space="preserve">assessment resulted in 10 per cent of </w:t>
      </w:r>
      <w:r w:rsidR="005D1DEB">
        <w:rPr>
          <w:color w:val="auto"/>
          <w:szCs w:val="24"/>
          <w:lang w:eastAsia="en-AU"/>
        </w:rPr>
        <w:t>the supported employees</w:t>
      </w:r>
      <w:r w:rsidR="00154C91">
        <w:rPr>
          <w:color w:val="auto"/>
          <w:szCs w:val="24"/>
          <w:lang w:eastAsia="en-AU"/>
        </w:rPr>
        <w:t>’ wages</w:t>
      </w:r>
      <w:r w:rsidR="005D1DEB">
        <w:rPr>
          <w:color w:val="auto"/>
          <w:szCs w:val="24"/>
          <w:lang w:eastAsia="en-AU"/>
        </w:rPr>
        <w:t xml:space="preserve"> </w:t>
      </w:r>
      <w:r w:rsidR="005D27D7">
        <w:rPr>
          <w:color w:val="auto"/>
          <w:szCs w:val="24"/>
          <w:lang w:eastAsia="en-AU"/>
        </w:rPr>
        <w:t xml:space="preserve">being reduced. </w:t>
      </w:r>
      <w:r w:rsidR="00DB14B1">
        <w:rPr>
          <w:color w:val="auto"/>
          <w:szCs w:val="24"/>
          <w:lang w:eastAsia="en-AU"/>
        </w:rPr>
        <w:t>A number of strategies were put in place by the ADE employer to make up</w:t>
      </w:r>
      <w:r w:rsidR="0008470C">
        <w:rPr>
          <w:color w:val="auto"/>
          <w:szCs w:val="24"/>
          <w:lang w:eastAsia="en-AU"/>
        </w:rPr>
        <w:t xml:space="preserve"> </w:t>
      </w:r>
      <w:r w:rsidR="00DB14B1">
        <w:rPr>
          <w:color w:val="auto"/>
          <w:szCs w:val="24"/>
          <w:lang w:eastAsia="en-AU"/>
        </w:rPr>
        <w:t>for the short fall in wages for these individuals.</w:t>
      </w:r>
    </w:p>
    <w:sectPr w:rsidR="00132316">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762A97" w15:done="0"/>
  <w15:commentEx w15:paraId="494CC1B7" w15:done="0"/>
  <w15:commentEx w15:paraId="20B061AC" w15:done="0"/>
  <w15:commentEx w15:paraId="299FD54F" w15:done="0"/>
  <w15:commentEx w15:paraId="73C6F8A9" w15:done="0"/>
  <w15:commentEx w15:paraId="333E57BE" w15:done="0"/>
  <w15:commentEx w15:paraId="79B8E0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38E" w:rsidRDefault="00FC738E" w:rsidP="00967FF4">
      <w:pPr>
        <w:spacing w:after="0" w:line="240" w:lineRule="auto"/>
      </w:pPr>
      <w:r>
        <w:separator/>
      </w:r>
    </w:p>
  </w:endnote>
  <w:endnote w:type="continuationSeparator" w:id="0">
    <w:p w:rsidR="00FC738E" w:rsidRDefault="00FC738E" w:rsidP="0096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406572"/>
      <w:docPartObj>
        <w:docPartGallery w:val="Page Numbers (Bottom of Page)"/>
        <w:docPartUnique/>
      </w:docPartObj>
    </w:sdtPr>
    <w:sdtEndPr>
      <w:rPr>
        <w:noProof/>
      </w:rPr>
    </w:sdtEndPr>
    <w:sdtContent>
      <w:p w:rsidR="00967FF4" w:rsidRDefault="00967FF4">
        <w:pPr>
          <w:pStyle w:val="Footer"/>
          <w:jc w:val="center"/>
        </w:pPr>
        <w:r>
          <w:fldChar w:fldCharType="begin"/>
        </w:r>
        <w:r>
          <w:instrText xml:space="preserve"> PAGE   \* MERGEFORMAT </w:instrText>
        </w:r>
        <w:r>
          <w:fldChar w:fldCharType="separate"/>
        </w:r>
        <w:r w:rsidR="00330EBB">
          <w:rPr>
            <w:noProof/>
          </w:rPr>
          <w:t>1</w:t>
        </w:r>
        <w:r>
          <w:rPr>
            <w:noProof/>
          </w:rPr>
          <w:fldChar w:fldCharType="end"/>
        </w:r>
      </w:p>
    </w:sdtContent>
  </w:sdt>
  <w:p w:rsidR="00967FF4" w:rsidRDefault="00967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38E" w:rsidRDefault="00FC738E" w:rsidP="00967FF4">
      <w:pPr>
        <w:spacing w:after="0" w:line="240" w:lineRule="auto"/>
      </w:pPr>
      <w:r>
        <w:separator/>
      </w:r>
    </w:p>
  </w:footnote>
  <w:footnote w:type="continuationSeparator" w:id="0">
    <w:p w:rsidR="00FC738E" w:rsidRDefault="00FC738E" w:rsidP="00967F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5D4E46C"/>
    <w:lvl w:ilvl="0">
      <w:start w:val="1"/>
      <w:numFmt w:val="decimal"/>
      <w:pStyle w:val="ListNumber"/>
      <w:lvlText w:val="%1."/>
      <w:lvlJc w:val="left"/>
      <w:pPr>
        <w:tabs>
          <w:tab w:val="num" w:pos="360"/>
        </w:tabs>
        <w:ind w:left="360" w:hanging="360"/>
      </w:pPr>
    </w:lvl>
  </w:abstractNum>
  <w:abstractNum w:abstractNumId="1">
    <w:nsid w:val="0D5A5B0D"/>
    <w:multiLevelType w:val="hybridMultilevel"/>
    <w:tmpl w:val="5400F0F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66F66C4"/>
    <w:multiLevelType w:val="hybridMultilevel"/>
    <w:tmpl w:val="7B607FC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589760F"/>
    <w:multiLevelType w:val="hybridMultilevel"/>
    <w:tmpl w:val="C3FC23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F297B97"/>
    <w:multiLevelType w:val="hybridMultilevel"/>
    <w:tmpl w:val="6A7A5D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2B802EC"/>
    <w:multiLevelType w:val="hybridMultilevel"/>
    <w:tmpl w:val="C470B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73D2F3C"/>
    <w:multiLevelType w:val="hybridMultilevel"/>
    <w:tmpl w:val="8A24F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7777511A"/>
    <w:multiLevelType w:val="hybridMultilevel"/>
    <w:tmpl w:val="4D1ED138"/>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7"/>
  </w:num>
  <w:num w:numId="3">
    <w:abstractNumId w:val="6"/>
  </w:num>
  <w:num w:numId="4">
    <w:abstractNumId w:val="3"/>
  </w:num>
  <w:num w:numId="5">
    <w:abstractNumId w:val="4"/>
  </w:num>
  <w:num w:numId="6">
    <w:abstractNumId w:val="2"/>
  </w:num>
  <w:num w:numId="7">
    <w:abstractNumId w:val="5"/>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ker, Paul">
    <w15:presenceInfo w15:providerId="None" w15:userId="Barker, 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FA"/>
    <w:rsid w:val="00001044"/>
    <w:rsid w:val="000141F1"/>
    <w:rsid w:val="000356AD"/>
    <w:rsid w:val="000555A6"/>
    <w:rsid w:val="00082511"/>
    <w:rsid w:val="0008470C"/>
    <w:rsid w:val="000A753A"/>
    <w:rsid w:val="000B330D"/>
    <w:rsid w:val="000D66A0"/>
    <w:rsid w:val="00101DA8"/>
    <w:rsid w:val="00132316"/>
    <w:rsid w:val="00154C91"/>
    <w:rsid w:val="00180A9E"/>
    <w:rsid w:val="001A2CBC"/>
    <w:rsid w:val="001A344A"/>
    <w:rsid w:val="001E24A2"/>
    <w:rsid w:val="001E630D"/>
    <w:rsid w:val="001E6C76"/>
    <w:rsid w:val="00215240"/>
    <w:rsid w:val="00243F81"/>
    <w:rsid w:val="00293CDA"/>
    <w:rsid w:val="002A44E0"/>
    <w:rsid w:val="002D0711"/>
    <w:rsid w:val="00330EBB"/>
    <w:rsid w:val="003336CD"/>
    <w:rsid w:val="00352153"/>
    <w:rsid w:val="00352C40"/>
    <w:rsid w:val="00363D3D"/>
    <w:rsid w:val="003A683C"/>
    <w:rsid w:val="003B2BB8"/>
    <w:rsid w:val="003D34FF"/>
    <w:rsid w:val="003F4AD6"/>
    <w:rsid w:val="004333DE"/>
    <w:rsid w:val="00456733"/>
    <w:rsid w:val="00456865"/>
    <w:rsid w:val="00467D8A"/>
    <w:rsid w:val="00470EE7"/>
    <w:rsid w:val="004B54CA"/>
    <w:rsid w:val="004E5CBF"/>
    <w:rsid w:val="00510801"/>
    <w:rsid w:val="00511483"/>
    <w:rsid w:val="00523FE5"/>
    <w:rsid w:val="0053550B"/>
    <w:rsid w:val="005C06F7"/>
    <w:rsid w:val="005C3AA9"/>
    <w:rsid w:val="005D1DEB"/>
    <w:rsid w:val="005D27D7"/>
    <w:rsid w:val="006275A3"/>
    <w:rsid w:val="0064501C"/>
    <w:rsid w:val="00653246"/>
    <w:rsid w:val="006535EC"/>
    <w:rsid w:val="00655335"/>
    <w:rsid w:val="006A4CE7"/>
    <w:rsid w:val="006A6C5C"/>
    <w:rsid w:val="006A78F2"/>
    <w:rsid w:val="006E4FC6"/>
    <w:rsid w:val="006E73B4"/>
    <w:rsid w:val="00785261"/>
    <w:rsid w:val="007A3B88"/>
    <w:rsid w:val="007B0256"/>
    <w:rsid w:val="007D0374"/>
    <w:rsid w:val="00854CA5"/>
    <w:rsid w:val="00885F35"/>
    <w:rsid w:val="00891C65"/>
    <w:rsid w:val="008D4716"/>
    <w:rsid w:val="008F0692"/>
    <w:rsid w:val="009225F0"/>
    <w:rsid w:val="00934DB3"/>
    <w:rsid w:val="00967D8C"/>
    <w:rsid w:val="00967FF4"/>
    <w:rsid w:val="009D0FA4"/>
    <w:rsid w:val="009F3A35"/>
    <w:rsid w:val="00A46FDE"/>
    <w:rsid w:val="00A526EF"/>
    <w:rsid w:val="00A62164"/>
    <w:rsid w:val="00AC66FF"/>
    <w:rsid w:val="00AE3DEF"/>
    <w:rsid w:val="00B04333"/>
    <w:rsid w:val="00B361E9"/>
    <w:rsid w:val="00B82A8F"/>
    <w:rsid w:val="00BA2DB9"/>
    <w:rsid w:val="00BA4ABB"/>
    <w:rsid w:val="00BA7ACC"/>
    <w:rsid w:val="00BE7148"/>
    <w:rsid w:val="00C332F6"/>
    <w:rsid w:val="00C67BC7"/>
    <w:rsid w:val="00C84BEC"/>
    <w:rsid w:val="00D91749"/>
    <w:rsid w:val="00D9774F"/>
    <w:rsid w:val="00DB14B1"/>
    <w:rsid w:val="00DD69F3"/>
    <w:rsid w:val="00DE51B8"/>
    <w:rsid w:val="00E208A0"/>
    <w:rsid w:val="00E31686"/>
    <w:rsid w:val="00E36A02"/>
    <w:rsid w:val="00E8627C"/>
    <w:rsid w:val="00EB0520"/>
    <w:rsid w:val="00EE64FA"/>
    <w:rsid w:val="00F3409E"/>
    <w:rsid w:val="00F36893"/>
    <w:rsid w:val="00F55F2E"/>
    <w:rsid w:val="00F86886"/>
    <w:rsid w:val="00FC67C0"/>
    <w:rsid w:val="00FC73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SubmissionNormal">
    <w:name w:val="Submission Normal"/>
    <w:basedOn w:val="Normal"/>
    <w:link w:val="SubmissionNormalChar"/>
    <w:rsid w:val="00E31686"/>
    <w:pPr>
      <w:spacing w:before="240" w:after="240" w:line="240" w:lineRule="auto"/>
    </w:pPr>
    <w:rPr>
      <w:rFonts w:eastAsia="Times New Roman" w:cs="Times New Roman"/>
      <w:color w:val="000000"/>
      <w:sz w:val="24"/>
      <w:szCs w:val="20"/>
    </w:rPr>
  </w:style>
  <w:style w:type="character" w:customStyle="1" w:styleId="SubmissionNormalChar">
    <w:name w:val="Submission Normal Char"/>
    <w:link w:val="SubmissionNormal"/>
    <w:rsid w:val="00E31686"/>
    <w:rPr>
      <w:rFonts w:ascii="Arial" w:eastAsia="Times New Roman" w:hAnsi="Arial" w:cs="Times New Roman"/>
      <w:color w:val="000000"/>
      <w:sz w:val="24"/>
      <w:szCs w:val="20"/>
    </w:rPr>
  </w:style>
  <w:style w:type="paragraph" w:styleId="ListNumber">
    <w:name w:val="List Number"/>
    <w:basedOn w:val="Normal"/>
    <w:uiPriority w:val="99"/>
    <w:semiHidden/>
    <w:unhideWhenUsed/>
    <w:rsid w:val="006275A3"/>
    <w:pPr>
      <w:numPr>
        <w:numId w:val="8"/>
      </w:numPr>
      <w:contextualSpacing/>
    </w:pPr>
  </w:style>
  <w:style w:type="paragraph" w:styleId="NormalWeb">
    <w:name w:val="Normal (Web)"/>
    <w:basedOn w:val="Normal"/>
    <w:uiPriority w:val="99"/>
    <w:semiHidden/>
    <w:unhideWhenUsed/>
    <w:rsid w:val="001E6C7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01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DA8"/>
    <w:rPr>
      <w:rFonts w:ascii="Tahoma" w:hAnsi="Tahoma" w:cs="Tahoma"/>
      <w:sz w:val="16"/>
      <w:szCs w:val="16"/>
    </w:rPr>
  </w:style>
  <w:style w:type="paragraph" w:styleId="Header">
    <w:name w:val="header"/>
    <w:basedOn w:val="Normal"/>
    <w:link w:val="HeaderChar"/>
    <w:uiPriority w:val="99"/>
    <w:unhideWhenUsed/>
    <w:rsid w:val="00967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FF4"/>
    <w:rPr>
      <w:rFonts w:ascii="Arial" w:hAnsi="Arial"/>
    </w:rPr>
  </w:style>
  <w:style w:type="paragraph" w:styleId="Footer">
    <w:name w:val="footer"/>
    <w:basedOn w:val="Normal"/>
    <w:link w:val="FooterChar"/>
    <w:uiPriority w:val="99"/>
    <w:unhideWhenUsed/>
    <w:rsid w:val="00967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FF4"/>
    <w:rPr>
      <w:rFonts w:ascii="Arial" w:hAnsi="Arial"/>
    </w:rPr>
  </w:style>
  <w:style w:type="character" w:styleId="CommentReference">
    <w:name w:val="annotation reference"/>
    <w:basedOn w:val="DefaultParagraphFont"/>
    <w:uiPriority w:val="99"/>
    <w:semiHidden/>
    <w:unhideWhenUsed/>
    <w:rsid w:val="00B82A8F"/>
    <w:rPr>
      <w:sz w:val="16"/>
      <w:szCs w:val="16"/>
    </w:rPr>
  </w:style>
  <w:style w:type="paragraph" w:styleId="CommentText">
    <w:name w:val="annotation text"/>
    <w:basedOn w:val="Normal"/>
    <w:link w:val="CommentTextChar"/>
    <w:uiPriority w:val="99"/>
    <w:semiHidden/>
    <w:unhideWhenUsed/>
    <w:rsid w:val="00B82A8F"/>
    <w:pPr>
      <w:spacing w:line="240" w:lineRule="auto"/>
    </w:pPr>
    <w:rPr>
      <w:sz w:val="20"/>
      <w:szCs w:val="20"/>
    </w:rPr>
  </w:style>
  <w:style w:type="character" w:customStyle="1" w:styleId="CommentTextChar">
    <w:name w:val="Comment Text Char"/>
    <w:basedOn w:val="DefaultParagraphFont"/>
    <w:link w:val="CommentText"/>
    <w:uiPriority w:val="99"/>
    <w:semiHidden/>
    <w:rsid w:val="00B82A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2A8F"/>
    <w:rPr>
      <w:b/>
      <w:bCs/>
    </w:rPr>
  </w:style>
  <w:style w:type="character" w:customStyle="1" w:styleId="CommentSubjectChar">
    <w:name w:val="Comment Subject Char"/>
    <w:basedOn w:val="CommentTextChar"/>
    <w:link w:val="CommentSubject"/>
    <w:uiPriority w:val="99"/>
    <w:semiHidden/>
    <w:rsid w:val="00B82A8F"/>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SubmissionNormal">
    <w:name w:val="Submission Normal"/>
    <w:basedOn w:val="Normal"/>
    <w:link w:val="SubmissionNormalChar"/>
    <w:rsid w:val="00E31686"/>
    <w:pPr>
      <w:spacing w:before="240" w:after="240" w:line="240" w:lineRule="auto"/>
    </w:pPr>
    <w:rPr>
      <w:rFonts w:eastAsia="Times New Roman" w:cs="Times New Roman"/>
      <w:color w:val="000000"/>
      <w:sz w:val="24"/>
      <w:szCs w:val="20"/>
    </w:rPr>
  </w:style>
  <w:style w:type="character" w:customStyle="1" w:styleId="SubmissionNormalChar">
    <w:name w:val="Submission Normal Char"/>
    <w:link w:val="SubmissionNormal"/>
    <w:rsid w:val="00E31686"/>
    <w:rPr>
      <w:rFonts w:ascii="Arial" w:eastAsia="Times New Roman" w:hAnsi="Arial" w:cs="Times New Roman"/>
      <w:color w:val="000000"/>
      <w:sz w:val="24"/>
      <w:szCs w:val="20"/>
    </w:rPr>
  </w:style>
  <w:style w:type="paragraph" w:styleId="ListNumber">
    <w:name w:val="List Number"/>
    <w:basedOn w:val="Normal"/>
    <w:uiPriority w:val="99"/>
    <w:semiHidden/>
    <w:unhideWhenUsed/>
    <w:rsid w:val="006275A3"/>
    <w:pPr>
      <w:numPr>
        <w:numId w:val="8"/>
      </w:numPr>
      <w:contextualSpacing/>
    </w:pPr>
  </w:style>
  <w:style w:type="paragraph" w:styleId="NormalWeb">
    <w:name w:val="Normal (Web)"/>
    <w:basedOn w:val="Normal"/>
    <w:uiPriority w:val="99"/>
    <w:semiHidden/>
    <w:unhideWhenUsed/>
    <w:rsid w:val="001E6C7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01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DA8"/>
    <w:rPr>
      <w:rFonts w:ascii="Tahoma" w:hAnsi="Tahoma" w:cs="Tahoma"/>
      <w:sz w:val="16"/>
      <w:szCs w:val="16"/>
    </w:rPr>
  </w:style>
  <w:style w:type="paragraph" w:styleId="Header">
    <w:name w:val="header"/>
    <w:basedOn w:val="Normal"/>
    <w:link w:val="HeaderChar"/>
    <w:uiPriority w:val="99"/>
    <w:unhideWhenUsed/>
    <w:rsid w:val="00967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FF4"/>
    <w:rPr>
      <w:rFonts w:ascii="Arial" w:hAnsi="Arial"/>
    </w:rPr>
  </w:style>
  <w:style w:type="paragraph" w:styleId="Footer">
    <w:name w:val="footer"/>
    <w:basedOn w:val="Normal"/>
    <w:link w:val="FooterChar"/>
    <w:uiPriority w:val="99"/>
    <w:unhideWhenUsed/>
    <w:rsid w:val="00967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FF4"/>
    <w:rPr>
      <w:rFonts w:ascii="Arial" w:hAnsi="Arial"/>
    </w:rPr>
  </w:style>
  <w:style w:type="character" w:styleId="CommentReference">
    <w:name w:val="annotation reference"/>
    <w:basedOn w:val="DefaultParagraphFont"/>
    <w:uiPriority w:val="99"/>
    <w:semiHidden/>
    <w:unhideWhenUsed/>
    <w:rsid w:val="00B82A8F"/>
    <w:rPr>
      <w:sz w:val="16"/>
      <w:szCs w:val="16"/>
    </w:rPr>
  </w:style>
  <w:style w:type="paragraph" w:styleId="CommentText">
    <w:name w:val="annotation text"/>
    <w:basedOn w:val="Normal"/>
    <w:link w:val="CommentTextChar"/>
    <w:uiPriority w:val="99"/>
    <w:semiHidden/>
    <w:unhideWhenUsed/>
    <w:rsid w:val="00B82A8F"/>
    <w:pPr>
      <w:spacing w:line="240" w:lineRule="auto"/>
    </w:pPr>
    <w:rPr>
      <w:sz w:val="20"/>
      <w:szCs w:val="20"/>
    </w:rPr>
  </w:style>
  <w:style w:type="character" w:customStyle="1" w:styleId="CommentTextChar">
    <w:name w:val="Comment Text Char"/>
    <w:basedOn w:val="DefaultParagraphFont"/>
    <w:link w:val="CommentText"/>
    <w:uiPriority w:val="99"/>
    <w:semiHidden/>
    <w:rsid w:val="00B82A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2A8F"/>
    <w:rPr>
      <w:b/>
      <w:bCs/>
    </w:rPr>
  </w:style>
  <w:style w:type="character" w:customStyle="1" w:styleId="CommentSubjectChar">
    <w:name w:val="Comment Subject Char"/>
    <w:basedOn w:val="CommentTextChar"/>
    <w:link w:val="CommentSubject"/>
    <w:uiPriority w:val="99"/>
    <w:semiHidden/>
    <w:rsid w:val="00B82A8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08534">
      <w:bodyDiv w:val="1"/>
      <w:marLeft w:val="0"/>
      <w:marRight w:val="0"/>
      <w:marTop w:val="0"/>
      <w:marBottom w:val="0"/>
      <w:divBdr>
        <w:top w:val="none" w:sz="0" w:space="0" w:color="auto"/>
        <w:left w:val="none" w:sz="0" w:space="0" w:color="auto"/>
        <w:bottom w:val="none" w:sz="0" w:space="0" w:color="auto"/>
        <w:right w:val="none" w:sz="0" w:space="0" w:color="auto"/>
      </w:divBdr>
    </w:div>
    <w:div w:id="970788518">
      <w:bodyDiv w:val="1"/>
      <w:marLeft w:val="0"/>
      <w:marRight w:val="0"/>
      <w:marTop w:val="0"/>
      <w:marBottom w:val="0"/>
      <w:divBdr>
        <w:top w:val="none" w:sz="0" w:space="0" w:color="auto"/>
        <w:left w:val="none" w:sz="0" w:space="0" w:color="auto"/>
        <w:bottom w:val="none" w:sz="0" w:space="0" w:color="auto"/>
        <w:right w:val="none" w:sz="0" w:space="0" w:color="auto"/>
      </w:divBdr>
      <w:divsChild>
        <w:div w:id="1310398724">
          <w:marLeft w:val="0"/>
          <w:marRight w:val="0"/>
          <w:marTop w:val="0"/>
          <w:marBottom w:val="0"/>
          <w:divBdr>
            <w:top w:val="none" w:sz="0" w:space="0" w:color="auto"/>
            <w:left w:val="none" w:sz="0" w:space="0" w:color="auto"/>
            <w:bottom w:val="none" w:sz="0" w:space="0" w:color="auto"/>
            <w:right w:val="none" w:sz="0" w:space="0" w:color="auto"/>
          </w:divBdr>
          <w:divsChild>
            <w:div w:id="572548732">
              <w:marLeft w:val="0"/>
              <w:marRight w:val="0"/>
              <w:marTop w:val="0"/>
              <w:marBottom w:val="0"/>
              <w:divBdr>
                <w:top w:val="none" w:sz="0" w:space="0" w:color="auto"/>
                <w:left w:val="none" w:sz="0" w:space="0" w:color="auto"/>
                <w:bottom w:val="none" w:sz="0" w:space="0" w:color="auto"/>
                <w:right w:val="none" w:sz="0" w:space="0" w:color="auto"/>
              </w:divBdr>
              <w:divsChild>
                <w:div w:id="116983183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306400334">
      <w:bodyDiv w:val="1"/>
      <w:marLeft w:val="0"/>
      <w:marRight w:val="0"/>
      <w:marTop w:val="0"/>
      <w:marBottom w:val="0"/>
      <w:divBdr>
        <w:top w:val="none" w:sz="0" w:space="0" w:color="auto"/>
        <w:left w:val="none" w:sz="0" w:space="0" w:color="auto"/>
        <w:bottom w:val="none" w:sz="0" w:space="0" w:color="auto"/>
        <w:right w:val="none" w:sz="0" w:space="0" w:color="auto"/>
      </w:divBdr>
    </w:div>
    <w:div w:id="1843663435">
      <w:bodyDiv w:val="1"/>
      <w:marLeft w:val="0"/>
      <w:marRight w:val="0"/>
      <w:marTop w:val="0"/>
      <w:marBottom w:val="0"/>
      <w:divBdr>
        <w:top w:val="none" w:sz="0" w:space="0" w:color="auto"/>
        <w:left w:val="none" w:sz="0" w:space="0" w:color="auto"/>
        <w:bottom w:val="none" w:sz="0" w:space="0" w:color="auto"/>
        <w:right w:val="none" w:sz="0" w:space="0" w:color="auto"/>
      </w:divBdr>
      <w:divsChild>
        <w:div w:id="1082871239">
          <w:marLeft w:val="0"/>
          <w:marRight w:val="0"/>
          <w:marTop w:val="0"/>
          <w:marBottom w:val="0"/>
          <w:divBdr>
            <w:top w:val="none" w:sz="0" w:space="0" w:color="auto"/>
            <w:left w:val="none" w:sz="0" w:space="0" w:color="auto"/>
            <w:bottom w:val="none" w:sz="0" w:space="0" w:color="auto"/>
            <w:right w:val="none" w:sz="0" w:space="0" w:color="auto"/>
          </w:divBdr>
          <w:divsChild>
            <w:div w:id="1058668943">
              <w:marLeft w:val="0"/>
              <w:marRight w:val="0"/>
              <w:marTop w:val="0"/>
              <w:marBottom w:val="0"/>
              <w:divBdr>
                <w:top w:val="none" w:sz="0" w:space="0" w:color="auto"/>
                <w:left w:val="none" w:sz="0" w:space="0" w:color="auto"/>
                <w:bottom w:val="none" w:sz="0" w:space="0" w:color="auto"/>
                <w:right w:val="none" w:sz="0" w:space="0" w:color="auto"/>
              </w:divBdr>
              <w:divsChild>
                <w:div w:id="4389919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954165349">
      <w:bodyDiv w:val="1"/>
      <w:marLeft w:val="0"/>
      <w:marRight w:val="0"/>
      <w:marTop w:val="0"/>
      <w:marBottom w:val="0"/>
      <w:divBdr>
        <w:top w:val="none" w:sz="0" w:space="0" w:color="auto"/>
        <w:left w:val="none" w:sz="0" w:space="0" w:color="auto"/>
        <w:bottom w:val="none" w:sz="0" w:space="0" w:color="auto"/>
        <w:right w:val="none" w:sz="0" w:space="0" w:color="auto"/>
      </w:divBdr>
    </w:div>
    <w:div w:id="20654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A8AB7-4984-44D3-9580-DAAFC814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CARRIGAN, Siobhan</dc:creator>
  <cp:lastModifiedBy>Lara Emery</cp:lastModifiedBy>
  <cp:revision>2</cp:revision>
  <cp:lastPrinted>2014-08-21T02:27:00Z</cp:lastPrinted>
  <dcterms:created xsi:type="dcterms:W3CDTF">2014-08-21T05:05:00Z</dcterms:created>
  <dcterms:modified xsi:type="dcterms:W3CDTF">2014-08-21T05:05:00Z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Id">
    <vt:lpwstr>A3888882</vt:lpwstr>
  </property>
  <property fmtid="{D5CDD505-2E9C-101B-9397-08002B2CF9AE}" pid="4" name="Objective-Title">
    <vt:lpwstr>AHRC Quarterly Report (AGS comments)</vt:lpwstr>
  </property>
  <property fmtid="{D5CDD505-2E9C-101B-9397-08002B2CF9AE}" pid="5" name="Objective-Comment">
    <vt:lpwstr/>
  </property>
  <property fmtid="{D5CDD505-2E9C-101B-9397-08002B2CF9AE}" pid="6" name="Objective-CreationStamp">
    <vt:filetime>2014-08-15T04:45:48Z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2014-08-15T04:45:59Z</vt:filetime>
  </property>
  <property fmtid="{D5CDD505-2E9C-101B-9397-08002B2CF9AE}" pid="10" name="Objective-ModificationStamp">
    <vt:filetime>2014-08-15T04:46:00Z</vt:filetime>
  </property>
  <property fmtid="{D5CDD505-2E9C-101B-9397-08002B2CF9AE}" pid="11" name="Objective-Owner">
    <vt:lpwstr>Barker, Paul</vt:lpwstr>
  </property>
  <property fmtid="{D5CDD505-2E9C-101B-9397-08002B2CF9AE}" pid="12" name="Objective-Path">
    <vt:lpwstr>i Know-how Top Level:Client Groups:Comcover:COMCOVER - Advice Matters:BSWAT DUVAL-COMRIE, Tyson - Representative Claim: Comcover VID 1367/2013 (13139365):13139365 - Matter Documents:13139365 Other documents:</vt:lpwstr>
  </property>
  <property fmtid="{D5CDD505-2E9C-101B-9397-08002B2CF9AE}" pid="13" name="Objective-Parent">
    <vt:lpwstr>13139365 Other documents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13139365-002</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ocument Category [system]">
    <vt:lpwstr/>
  </property>
</Properties>
</file>