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43" w:rsidRPr="00D02743" w:rsidRDefault="00D02743" w:rsidP="00F0246B">
      <w:pPr>
        <w:pStyle w:val="Titolo"/>
        <w:rPr>
          <w:lang w:val="en-US"/>
        </w:rPr>
      </w:pPr>
      <w:r w:rsidRPr="00D02743">
        <w:rPr>
          <w:lang w:val="en-US"/>
        </w:rPr>
        <w:t>2018–19 Evaluations by performance framework</w:t>
      </w:r>
    </w:p>
    <w:p w:rsidR="00D02743" w:rsidRPr="00356A42" w:rsidRDefault="00D02743" w:rsidP="00D02743">
      <w:pPr>
        <w:pStyle w:val="Titolo2"/>
        <w:rPr>
          <w:lang w:val="en-US"/>
        </w:rPr>
      </w:pPr>
      <w:r w:rsidRPr="00356A42">
        <w:rPr>
          <w:lang w:val="en-US"/>
        </w:rPr>
        <w:t>This table outlines confirmed evaluations, their focus and method. Indicators with an asterisk are performance targets in our Portfolio</w:t>
      </w:r>
      <w:r w:rsidR="00356A42" w:rsidRPr="00356A42">
        <w:rPr>
          <w:lang w:val="en-US"/>
        </w:rPr>
        <w:t xml:space="preserve"> </w:t>
      </w:r>
      <w:r w:rsidRPr="00356A42">
        <w:rPr>
          <w:lang w:val="en-US"/>
        </w:rPr>
        <w:t>Budget Statement.</w:t>
      </w:r>
    </w:p>
    <w:tbl>
      <w:tblPr>
        <w:tblW w:w="9903" w:type="dxa"/>
        <w:tblInd w:w="-5" w:type="dxa"/>
        <w:tblLayout w:type="fixed"/>
        <w:tblCellMar>
          <w:left w:w="0" w:type="dxa"/>
          <w:right w:w="0" w:type="dxa"/>
        </w:tblCellMar>
        <w:tblLook w:val="0000" w:firstRow="0" w:lastRow="0" w:firstColumn="0" w:lastColumn="0" w:noHBand="0" w:noVBand="0"/>
      </w:tblPr>
      <w:tblGrid>
        <w:gridCol w:w="1298"/>
        <w:gridCol w:w="2650"/>
        <w:gridCol w:w="4699"/>
        <w:gridCol w:w="1256"/>
      </w:tblGrid>
      <w:tr w:rsidR="00626D03" w:rsidRPr="00626D03" w:rsidTr="00D02743">
        <w:trPr>
          <w:trHeight w:val="60"/>
          <w:tblHeader/>
        </w:trPr>
        <w:tc>
          <w:tcPr>
            <w:tcW w:w="1298"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vAlign w:val="bottom"/>
          </w:tcPr>
          <w:p w:rsidR="00D02743" w:rsidRPr="00626D03" w:rsidRDefault="00D02743" w:rsidP="00B87788">
            <w:pPr>
              <w:spacing w:after="0" w:line="240" w:lineRule="auto"/>
              <w:rPr>
                <w:b/>
                <w:sz w:val="16"/>
                <w:szCs w:val="16"/>
                <w:lang w:val="en-US"/>
              </w:rPr>
            </w:pPr>
            <w:r w:rsidRPr="00626D03">
              <w:rPr>
                <w:b/>
                <w:sz w:val="16"/>
                <w:szCs w:val="16"/>
                <w:lang w:val="en-US"/>
              </w:rPr>
              <w:t>Indicator</w:t>
            </w:r>
          </w:p>
        </w:tc>
        <w:tc>
          <w:tcPr>
            <w:tcW w:w="2650"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vAlign w:val="bottom"/>
          </w:tcPr>
          <w:p w:rsidR="00D02743" w:rsidRPr="00626D03" w:rsidRDefault="00D02743" w:rsidP="00B87788">
            <w:pPr>
              <w:spacing w:after="0" w:line="240" w:lineRule="auto"/>
              <w:rPr>
                <w:b/>
                <w:sz w:val="16"/>
                <w:szCs w:val="16"/>
                <w:lang w:val="en-US"/>
              </w:rPr>
            </w:pPr>
            <w:r w:rsidRPr="00626D03">
              <w:rPr>
                <w:b/>
                <w:sz w:val="16"/>
                <w:szCs w:val="16"/>
                <w:lang w:val="en-US"/>
              </w:rPr>
              <w:t>Initiative</w:t>
            </w:r>
          </w:p>
        </w:tc>
        <w:tc>
          <w:tcPr>
            <w:tcW w:w="4699"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vAlign w:val="bottom"/>
          </w:tcPr>
          <w:p w:rsidR="00D02743" w:rsidRPr="00626D03" w:rsidRDefault="00D02743" w:rsidP="00B87788">
            <w:pPr>
              <w:spacing w:after="0" w:line="240" w:lineRule="auto"/>
              <w:rPr>
                <w:b/>
                <w:sz w:val="16"/>
                <w:szCs w:val="16"/>
                <w:lang w:val="en-US"/>
              </w:rPr>
            </w:pPr>
            <w:r w:rsidRPr="00626D03">
              <w:rPr>
                <w:b/>
                <w:sz w:val="16"/>
                <w:szCs w:val="16"/>
                <w:lang w:val="en-US"/>
              </w:rPr>
              <w:t>Planned evaluation</w:t>
            </w:r>
          </w:p>
        </w:tc>
        <w:tc>
          <w:tcPr>
            <w:tcW w:w="1256"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vAlign w:val="bottom"/>
          </w:tcPr>
          <w:p w:rsidR="00D02743" w:rsidRPr="00626D03" w:rsidRDefault="00D02743" w:rsidP="00B87788">
            <w:pPr>
              <w:spacing w:after="0" w:line="240" w:lineRule="auto"/>
              <w:jc w:val="center"/>
              <w:rPr>
                <w:b/>
                <w:sz w:val="16"/>
                <w:szCs w:val="16"/>
                <w:lang w:val="en-US"/>
              </w:rPr>
            </w:pPr>
            <w:r w:rsidRPr="00626D03">
              <w:rPr>
                <w:b/>
                <w:sz w:val="16"/>
                <w:szCs w:val="16"/>
                <w:lang w:val="en-US"/>
              </w:rPr>
              <w:t>Multiyear</w:t>
            </w:r>
          </w:p>
        </w:tc>
      </w:tr>
      <w:tr w:rsidR="00D02743" w:rsidRPr="00D02743" w:rsidTr="00996D8F">
        <w:trPr>
          <w:trHeight w:val="60"/>
        </w:trPr>
        <w:tc>
          <w:tcPr>
            <w:tcW w:w="9903" w:type="dxa"/>
            <w:gridSpan w:val="4"/>
            <w:tcBorders>
              <w:top w:val="single" w:sz="4" w:space="0" w:color="FFFFFF"/>
              <w:left w:val="single" w:sz="4" w:space="0" w:color="FFFFFF"/>
              <w:bottom w:val="single" w:sz="4" w:space="0" w:color="FFFFFF"/>
              <w:right w:val="single" w:sz="4" w:space="0" w:color="FFFFFF"/>
            </w:tcBorders>
            <w:shd w:val="clear" w:color="auto" w:fill="F7CAAC" w:themeFill="accent2" w:themeFillTint="66"/>
            <w:tcMar>
              <w:top w:w="227" w:type="dxa"/>
              <w:left w:w="227" w:type="dxa"/>
              <w:bottom w:w="227" w:type="dxa"/>
              <w:right w:w="227" w:type="dxa"/>
            </w:tcMar>
          </w:tcPr>
          <w:p w:rsidR="00D02743" w:rsidRPr="00D02743" w:rsidRDefault="00D02743" w:rsidP="00B87788">
            <w:pPr>
              <w:spacing w:after="0" w:line="240" w:lineRule="auto"/>
              <w:jc w:val="center"/>
              <w:rPr>
                <w:b/>
                <w:sz w:val="16"/>
                <w:szCs w:val="16"/>
                <w:lang w:val="en-US"/>
              </w:rPr>
            </w:pPr>
            <w:r w:rsidRPr="00D02743">
              <w:rPr>
                <w:b/>
                <w:sz w:val="16"/>
                <w:szCs w:val="16"/>
                <w:lang w:val="en-US"/>
              </w:rPr>
              <w:t>Outcome 1</w:t>
            </w:r>
          </w:p>
        </w:tc>
      </w:tr>
      <w:tr w:rsidR="00D02743" w:rsidRPr="00D02743" w:rsidTr="00D02743">
        <w:trPr>
          <w:trHeight w:val="1084"/>
        </w:trPr>
        <w:tc>
          <w:tcPr>
            <w:tcW w:w="1298"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b/>
                <w:sz w:val="16"/>
                <w:szCs w:val="16"/>
                <w:lang w:val="en-US"/>
              </w:rPr>
            </w:pPr>
            <w:r w:rsidRPr="00D02743">
              <w:rPr>
                <w:b/>
                <w:sz w:val="16"/>
                <w:szCs w:val="16"/>
                <w:lang w:val="en-US"/>
              </w:rPr>
              <w:t>1a</w:t>
            </w:r>
          </w:p>
        </w:tc>
        <w:tc>
          <w:tcPr>
            <w:tcW w:w="265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Human Rights and Technology Program: Conference component.</w:t>
            </w:r>
          </w:p>
        </w:tc>
        <w:tc>
          <w:tcPr>
            <w:tcW w:w="4699"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 xml:space="preserve">Participant survey and </w:t>
            </w:r>
            <w:proofErr w:type="spellStart"/>
            <w:r w:rsidRPr="00D02743">
              <w:rPr>
                <w:sz w:val="16"/>
                <w:szCs w:val="16"/>
                <w:lang w:val="en-US"/>
              </w:rPr>
              <w:t>vox</w:t>
            </w:r>
            <w:proofErr w:type="spellEnd"/>
            <w:r w:rsidRPr="00D02743">
              <w:rPr>
                <w:sz w:val="16"/>
                <w:szCs w:val="16"/>
                <w:lang w:val="en-US"/>
              </w:rPr>
              <w:t>-pop interviews to assess impact of the conference on sector recognition of the issues and views on the role of the Commission in leading this work.</w:t>
            </w:r>
          </w:p>
        </w:tc>
        <w:tc>
          <w:tcPr>
            <w:tcW w:w="125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B87788" w:rsidRPr="00B87788" w:rsidRDefault="00B87788" w:rsidP="00B87788">
            <w:pPr>
              <w:spacing w:after="0" w:line="240" w:lineRule="auto"/>
              <w:jc w:val="center"/>
              <w:rPr>
                <w:rFonts w:ascii="Webdings" w:hAnsi="Webdings" w:cs="FontAwesome"/>
                <w:color w:val="ED7D31" w:themeColor="accent2"/>
                <w:sz w:val="28"/>
                <w:szCs w:val="28"/>
                <w:lang w:val="en-US"/>
              </w:rPr>
            </w:pPr>
            <w:r w:rsidRPr="00F0246B">
              <w:rPr>
                <w:rFonts w:ascii="Webdings" w:hAnsi="Webdings" w:cs="FontAwesome"/>
                <w:color w:val="ED7D31" w:themeColor="accent2"/>
                <w:sz w:val="28"/>
                <w:szCs w:val="28"/>
                <w:lang w:val="en-US"/>
              </w:rPr>
              <w:sym w:font="Wingdings" w:char="F0FC"/>
            </w:r>
          </w:p>
        </w:tc>
      </w:tr>
      <w:tr w:rsidR="00D02743" w:rsidRPr="00D02743" w:rsidTr="00D02743">
        <w:trPr>
          <w:trHeight w:val="60"/>
        </w:trPr>
        <w:tc>
          <w:tcPr>
            <w:tcW w:w="1298"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b/>
                <w:sz w:val="16"/>
                <w:szCs w:val="16"/>
                <w:lang w:val="en-US"/>
              </w:rPr>
            </w:pPr>
            <w:r w:rsidRPr="00D02743">
              <w:rPr>
                <w:b/>
                <w:sz w:val="16"/>
                <w:szCs w:val="16"/>
                <w:lang w:val="en-US"/>
              </w:rPr>
              <w:t>1a</w:t>
            </w:r>
          </w:p>
        </w:tc>
        <w:tc>
          <w:tcPr>
            <w:tcW w:w="265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proofErr w:type="spellStart"/>
            <w:r w:rsidRPr="00D02743">
              <w:rPr>
                <w:sz w:val="16"/>
                <w:szCs w:val="16"/>
                <w:lang w:val="en-US"/>
              </w:rPr>
              <w:t>Wiyi</w:t>
            </w:r>
            <w:proofErr w:type="spellEnd"/>
            <w:r w:rsidRPr="00D02743">
              <w:rPr>
                <w:sz w:val="16"/>
                <w:szCs w:val="16"/>
                <w:lang w:val="en-US"/>
              </w:rPr>
              <w:t xml:space="preserve"> </w:t>
            </w:r>
            <w:proofErr w:type="spellStart"/>
            <w:r w:rsidRPr="00D02743">
              <w:rPr>
                <w:sz w:val="16"/>
                <w:szCs w:val="16"/>
                <w:lang w:val="en-US"/>
              </w:rPr>
              <w:t>Yani</w:t>
            </w:r>
            <w:proofErr w:type="spellEnd"/>
            <w:r w:rsidRPr="00D02743">
              <w:rPr>
                <w:sz w:val="16"/>
                <w:szCs w:val="16"/>
                <w:lang w:val="en-US"/>
              </w:rPr>
              <w:t xml:space="preserve"> U </w:t>
            </w:r>
            <w:proofErr w:type="spellStart"/>
            <w:r w:rsidRPr="00D02743">
              <w:rPr>
                <w:sz w:val="16"/>
                <w:szCs w:val="16"/>
                <w:lang w:val="en-US"/>
              </w:rPr>
              <w:t>Thangani</w:t>
            </w:r>
            <w:proofErr w:type="spellEnd"/>
            <w:r w:rsidRPr="00D02743">
              <w:rPr>
                <w:sz w:val="16"/>
                <w:szCs w:val="16"/>
                <w:lang w:val="en-US"/>
              </w:rPr>
              <w:t xml:space="preserve"> Women’s Voices: Consultation component</w:t>
            </w:r>
          </w:p>
        </w:tc>
        <w:tc>
          <w:tcPr>
            <w:tcW w:w="4699"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Consultation participant survey assessing satisfaction and individual benefit and views of broader impact of the initiative.</w:t>
            </w:r>
          </w:p>
        </w:tc>
        <w:tc>
          <w:tcPr>
            <w:tcW w:w="125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F0246B" w:rsidP="00482B03">
            <w:pPr>
              <w:jc w:val="center"/>
              <w:rPr>
                <w:sz w:val="16"/>
                <w:szCs w:val="16"/>
                <w:lang w:val="en-US"/>
              </w:rPr>
            </w:pPr>
            <w:r w:rsidRPr="00F0246B">
              <w:rPr>
                <w:rFonts w:ascii="Webdings" w:hAnsi="Webdings" w:cs="FontAwesome"/>
                <w:color w:val="ED7D31" w:themeColor="accent2"/>
                <w:sz w:val="28"/>
                <w:szCs w:val="28"/>
                <w:lang w:val="en-US"/>
              </w:rPr>
              <w:sym w:font="Wingdings" w:char="F0FC"/>
            </w:r>
          </w:p>
        </w:tc>
      </w:tr>
      <w:tr w:rsidR="00D02743" w:rsidRPr="00D02743" w:rsidTr="00D02743">
        <w:trPr>
          <w:trHeight w:val="60"/>
        </w:trPr>
        <w:tc>
          <w:tcPr>
            <w:tcW w:w="1298"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b/>
                <w:sz w:val="16"/>
                <w:szCs w:val="16"/>
                <w:lang w:val="en-US"/>
              </w:rPr>
            </w:pPr>
            <w:r w:rsidRPr="00D02743">
              <w:rPr>
                <w:b/>
                <w:sz w:val="16"/>
                <w:szCs w:val="16"/>
                <w:lang w:val="en-US"/>
              </w:rPr>
              <w:t>1b*</w:t>
            </w:r>
          </w:p>
        </w:tc>
        <w:tc>
          <w:tcPr>
            <w:tcW w:w="265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 xml:space="preserve">Major events and communications </w:t>
            </w:r>
          </w:p>
        </w:tc>
        <w:tc>
          <w:tcPr>
            <w:tcW w:w="4699"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Media, web and social media analytics for key projects, events, reports and resources assess interest and uptake. Participant surveys for major events assess satisfaction levels and improvements. For example, Human Rights Awards event.</w:t>
            </w:r>
          </w:p>
        </w:tc>
        <w:tc>
          <w:tcPr>
            <w:tcW w:w="125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482B03" w:rsidRDefault="00D02743" w:rsidP="00482B03">
            <w:pPr>
              <w:jc w:val="center"/>
              <w:rPr>
                <w:b/>
                <w:sz w:val="16"/>
                <w:szCs w:val="16"/>
                <w:lang w:val="en-US"/>
              </w:rPr>
            </w:pPr>
            <w:r w:rsidRPr="00482B03">
              <w:rPr>
                <w:b/>
                <w:sz w:val="16"/>
                <w:szCs w:val="16"/>
                <w:lang w:val="en-US"/>
              </w:rPr>
              <w:t>Ongoing</w:t>
            </w:r>
          </w:p>
        </w:tc>
      </w:tr>
      <w:tr w:rsidR="00D02743" w:rsidRPr="00D02743" w:rsidTr="00D02743">
        <w:trPr>
          <w:trHeight w:val="60"/>
        </w:trPr>
        <w:tc>
          <w:tcPr>
            <w:tcW w:w="1298"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b/>
                <w:sz w:val="16"/>
                <w:szCs w:val="16"/>
                <w:lang w:val="en-US"/>
              </w:rPr>
            </w:pPr>
            <w:r w:rsidRPr="00D02743">
              <w:rPr>
                <w:b/>
                <w:sz w:val="16"/>
                <w:szCs w:val="16"/>
                <w:lang w:val="en-US"/>
              </w:rPr>
              <w:t>1c*</w:t>
            </w:r>
          </w:p>
        </w:tc>
        <w:tc>
          <w:tcPr>
            <w:tcW w:w="265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Legal interventions and amicus curi</w:t>
            </w:r>
            <w:r w:rsidR="00996D8F">
              <w:rPr>
                <w:sz w:val="16"/>
                <w:szCs w:val="16"/>
                <w:lang w:val="en-US"/>
              </w:rPr>
              <w:t>ae.</w:t>
            </w:r>
          </w:p>
          <w:p w:rsidR="00D02743" w:rsidRPr="00D02743" w:rsidRDefault="00D02743" w:rsidP="00D02743">
            <w:pPr>
              <w:rPr>
                <w:sz w:val="16"/>
                <w:szCs w:val="16"/>
                <w:lang w:val="en-US"/>
              </w:rPr>
            </w:pPr>
            <w:r w:rsidRPr="00D02743">
              <w:rPr>
                <w:sz w:val="16"/>
                <w:szCs w:val="16"/>
                <w:lang w:val="en-US"/>
              </w:rPr>
              <w:t>Two matters are currently under consideration in this financial year.</w:t>
            </w:r>
          </w:p>
        </w:tc>
        <w:tc>
          <w:tcPr>
            <w:tcW w:w="4699"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Evaluation of impact on jurisprudence assessed via:</w:t>
            </w:r>
          </w:p>
          <w:p w:rsidR="00D02743" w:rsidRPr="00482B03" w:rsidRDefault="00D02743" w:rsidP="00482B03">
            <w:pPr>
              <w:pStyle w:val="Paragrafoelenco"/>
              <w:numPr>
                <w:ilvl w:val="0"/>
                <w:numId w:val="1"/>
              </w:numPr>
              <w:rPr>
                <w:sz w:val="16"/>
                <w:szCs w:val="16"/>
                <w:lang w:val="en-US"/>
              </w:rPr>
            </w:pPr>
            <w:r w:rsidRPr="00482B03">
              <w:rPr>
                <w:sz w:val="16"/>
                <w:szCs w:val="16"/>
                <w:lang w:val="en-US"/>
              </w:rPr>
              <w:t>Monitoring a) being invited by the courts to consider intervention b) being granted leave to intervene/appear as amicus by the court (r</w:t>
            </w:r>
            <w:r w:rsidR="00996D8F">
              <w:rPr>
                <w:sz w:val="16"/>
                <w:szCs w:val="16"/>
                <w:lang w:val="en-US"/>
              </w:rPr>
              <w:t>elevance and expertise sought).</w:t>
            </w:r>
          </w:p>
          <w:p w:rsidR="00D02743" w:rsidRPr="00482B03" w:rsidRDefault="00D02743" w:rsidP="00482B03">
            <w:pPr>
              <w:pStyle w:val="Paragrafoelenco"/>
              <w:numPr>
                <w:ilvl w:val="0"/>
                <w:numId w:val="1"/>
              </w:numPr>
              <w:rPr>
                <w:sz w:val="16"/>
                <w:szCs w:val="16"/>
                <w:lang w:val="en-US"/>
              </w:rPr>
            </w:pPr>
            <w:r w:rsidRPr="00482B03">
              <w:rPr>
                <w:sz w:val="16"/>
                <w:szCs w:val="16"/>
                <w:lang w:val="en-US"/>
              </w:rPr>
              <w:t>Analysis of the extent our submission is reflected in the judgement and orders made by the court (persuasiveness).</w:t>
            </w:r>
          </w:p>
        </w:tc>
        <w:tc>
          <w:tcPr>
            <w:tcW w:w="125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482B03" w:rsidRDefault="00D02743" w:rsidP="00482B03">
            <w:pPr>
              <w:jc w:val="center"/>
              <w:rPr>
                <w:b/>
                <w:sz w:val="16"/>
                <w:szCs w:val="16"/>
                <w:lang w:val="en-US"/>
              </w:rPr>
            </w:pPr>
            <w:r w:rsidRPr="00482B03">
              <w:rPr>
                <w:b/>
                <w:sz w:val="16"/>
                <w:szCs w:val="16"/>
                <w:lang w:val="en-US"/>
              </w:rPr>
              <w:t>Ongoing</w:t>
            </w:r>
          </w:p>
        </w:tc>
      </w:tr>
      <w:tr w:rsidR="00D02743" w:rsidRPr="00D02743" w:rsidTr="00D02743">
        <w:trPr>
          <w:trHeight w:val="60"/>
        </w:trPr>
        <w:tc>
          <w:tcPr>
            <w:tcW w:w="1298"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b/>
                <w:sz w:val="16"/>
                <w:szCs w:val="16"/>
                <w:lang w:val="en-US"/>
              </w:rPr>
            </w:pPr>
            <w:r w:rsidRPr="00D02743">
              <w:rPr>
                <w:b/>
                <w:sz w:val="16"/>
                <w:szCs w:val="16"/>
                <w:lang w:val="en-US"/>
              </w:rPr>
              <w:t>1d</w:t>
            </w:r>
          </w:p>
        </w:tc>
        <w:tc>
          <w:tcPr>
            <w:tcW w:w="265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Partnership and Business Program: Annual Business Dialogue</w:t>
            </w:r>
          </w:p>
        </w:tc>
        <w:tc>
          <w:tcPr>
            <w:tcW w:w="4699"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Retrospective pre/post participant questionnaire to assess satisfaction and benefit.</w:t>
            </w:r>
          </w:p>
        </w:tc>
        <w:tc>
          <w:tcPr>
            <w:tcW w:w="125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F0246B" w:rsidP="00482B03">
            <w:pPr>
              <w:jc w:val="center"/>
              <w:rPr>
                <w:sz w:val="16"/>
                <w:szCs w:val="16"/>
                <w:lang w:val="en-US"/>
              </w:rPr>
            </w:pPr>
            <w:r w:rsidRPr="00F0246B">
              <w:rPr>
                <w:rFonts w:ascii="Webdings" w:hAnsi="Webdings" w:cs="FontAwesome"/>
                <w:color w:val="ED7D31" w:themeColor="accent2"/>
                <w:sz w:val="28"/>
                <w:szCs w:val="28"/>
                <w:lang w:val="en-US"/>
              </w:rPr>
              <w:sym w:font="Wingdings" w:char="F0FC"/>
            </w:r>
          </w:p>
        </w:tc>
      </w:tr>
      <w:tr w:rsidR="00D02743" w:rsidRPr="00D02743" w:rsidTr="00D02743">
        <w:trPr>
          <w:trHeight w:val="60"/>
        </w:trPr>
        <w:tc>
          <w:tcPr>
            <w:tcW w:w="1298"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b/>
                <w:sz w:val="16"/>
                <w:szCs w:val="16"/>
                <w:lang w:val="en-US"/>
              </w:rPr>
            </w:pPr>
            <w:r w:rsidRPr="00D02743">
              <w:rPr>
                <w:b/>
                <w:sz w:val="16"/>
                <w:szCs w:val="16"/>
                <w:lang w:val="en-US"/>
              </w:rPr>
              <w:t>1e</w:t>
            </w:r>
          </w:p>
        </w:tc>
        <w:tc>
          <w:tcPr>
            <w:tcW w:w="265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Engagement with the United Nations Treaty Bodies</w:t>
            </w:r>
          </w:p>
        </w:tc>
        <w:tc>
          <w:tcPr>
            <w:tcW w:w="4699"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We will pilot an approach to evaluate the impact of our treaty body reporting.</w:t>
            </w:r>
          </w:p>
        </w:tc>
        <w:tc>
          <w:tcPr>
            <w:tcW w:w="125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482B03" w:rsidRDefault="00D02743" w:rsidP="00482B03">
            <w:pPr>
              <w:jc w:val="center"/>
              <w:rPr>
                <w:b/>
                <w:sz w:val="16"/>
                <w:szCs w:val="16"/>
                <w:lang w:val="en-US"/>
              </w:rPr>
            </w:pPr>
            <w:r w:rsidRPr="00482B03">
              <w:rPr>
                <w:b/>
                <w:sz w:val="16"/>
                <w:szCs w:val="16"/>
                <w:lang w:val="en-US"/>
              </w:rPr>
              <w:t>Pilot</w:t>
            </w:r>
          </w:p>
        </w:tc>
      </w:tr>
      <w:tr w:rsidR="00D02743" w:rsidRPr="00D02743" w:rsidTr="00996D8F">
        <w:trPr>
          <w:trHeight w:val="60"/>
        </w:trPr>
        <w:tc>
          <w:tcPr>
            <w:tcW w:w="9903" w:type="dxa"/>
            <w:gridSpan w:val="4"/>
            <w:tcBorders>
              <w:top w:val="single" w:sz="4" w:space="0" w:color="FFFFFF"/>
              <w:left w:val="single" w:sz="4" w:space="0" w:color="FFFFFF"/>
              <w:bottom w:val="single" w:sz="4" w:space="0" w:color="FFFFFF"/>
              <w:right w:val="single" w:sz="4" w:space="0" w:color="FFFFFF"/>
            </w:tcBorders>
            <w:shd w:val="clear" w:color="auto" w:fill="F7CAAC" w:themeFill="accent2" w:themeFillTint="66"/>
            <w:tcMar>
              <w:top w:w="227" w:type="dxa"/>
              <w:left w:w="227" w:type="dxa"/>
              <w:bottom w:w="227" w:type="dxa"/>
              <w:right w:w="227" w:type="dxa"/>
            </w:tcMar>
          </w:tcPr>
          <w:p w:rsidR="00D02743" w:rsidRPr="00D02743" w:rsidRDefault="00D02743" w:rsidP="00B87788">
            <w:pPr>
              <w:spacing w:after="0" w:line="240" w:lineRule="auto"/>
              <w:jc w:val="center"/>
              <w:rPr>
                <w:b/>
                <w:sz w:val="16"/>
                <w:szCs w:val="16"/>
                <w:lang w:val="en-US"/>
              </w:rPr>
            </w:pPr>
            <w:r w:rsidRPr="00D02743">
              <w:rPr>
                <w:b/>
                <w:sz w:val="16"/>
                <w:szCs w:val="16"/>
                <w:lang w:val="en-US"/>
              </w:rPr>
              <w:t>Outcome 2</w:t>
            </w:r>
          </w:p>
        </w:tc>
      </w:tr>
      <w:tr w:rsidR="00D02743" w:rsidRPr="00D02743" w:rsidTr="00D02743">
        <w:trPr>
          <w:trHeight w:val="60"/>
        </w:trPr>
        <w:tc>
          <w:tcPr>
            <w:tcW w:w="1298"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b/>
                <w:sz w:val="16"/>
                <w:szCs w:val="16"/>
                <w:lang w:val="en-US"/>
              </w:rPr>
            </w:pPr>
            <w:r w:rsidRPr="00D02743">
              <w:rPr>
                <w:b/>
                <w:sz w:val="16"/>
                <w:szCs w:val="16"/>
                <w:lang w:val="en-US"/>
              </w:rPr>
              <w:t>2a*</w:t>
            </w:r>
          </w:p>
          <w:p w:rsidR="00D02743" w:rsidRPr="00D02743" w:rsidRDefault="00D02743" w:rsidP="00D02743">
            <w:pPr>
              <w:rPr>
                <w:b/>
                <w:sz w:val="16"/>
                <w:szCs w:val="16"/>
                <w:lang w:val="en-US"/>
              </w:rPr>
            </w:pPr>
            <w:r w:rsidRPr="00D02743">
              <w:rPr>
                <w:b/>
                <w:sz w:val="16"/>
                <w:szCs w:val="16"/>
                <w:lang w:val="en-US"/>
              </w:rPr>
              <w:t>2b*</w:t>
            </w:r>
          </w:p>
        </w:tc>
        <w:tc>
          <w:tcPr>
            <w:tcW w:w="265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National Information Service</w:t>
            </w:r>
          </w:p>
          <w:p w:rsidR="00482B03" w:rsidRPr="00D02743" w:rsidRDefault="00482B03" w:rsidP="00356A42">
            <w:pPr>
              <w:spacing w:after="200"/>
              <w:rPr>
                <w:sz w:val="16"/>
                <w:szCs w:val="16"/>
                <w:lang w:val="en-US"/>
              </w:rPr>
            </w:pPr>
          </w:p>
          <w:p w:rsidR="00D02743" w:rsidRPr="00D02743" w:rsidRDefault="00D02743" w:rsidP="00D02743">
            <w:pPr>
              <w:rPr>
                <w:sz w:val="16"/>
                <w:szCs w:val="16"/>
                <w:lang w:val="en-US"/>
              </w:rPr>
            </w:pPr>
            <w:r w:rsidRPr="00D02743">
              <w:rPr>
                <w:sz w:val="16"/>
                <w:szCs w:val="16"/>
                <w:lang w:val="en-US"/>
              </w:rPr>
              <w:t>Investigation and Conciliation Service</w:t>
            </w:r>
          </w:p>
        </w:tc>
        <w:tc>
          <w:tcPr>
            <w:tcW w:w="4699"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Statistics regarding contacts with the National Information Service and web analytics in relation to use of online information are collected and monitored.</w:t>
            </w:r>
          </w:p>
          <w:p w:rsidR="00D02743" w:rsidRPr="00D02743" w:rsidRDefault="00D02743" w:rsidP="00D02743">
            <w:pPr>
              <w:rPr>
                <w:sz w:val="16"/>
                <w:szCs w:val="16"/>
                <w:lang w:val="en-US"/>
              </w:rPr>
            </w:pPr>
            <w:r w:rsidRPr="00D02743">
              <w:rPr>
                <w:sz w:val="16"/>
                <w:szCs w:val="16"/>
                <w:lang w:val="en-US"/>
              </w:rPr>
              <w:t xml:space="preserve">Statistical data used to measure performance against KPI targets relating to timeliness of </w:t>
            </w:r>
            <w:r>
              <w:rPr>
                <w:sz w:val="16"/>
                <w:szCs w:val="16"/>
                <w:lang w:val="en-US"/>
              </w:rPr>
              <w:t>process and complaint outcomes.</w:t>
            </w:r>
          </w:p>
          <w:p w:rsidR="00D02743" w:rsidRPr="00D02743" w:rsidRDefault="00D02743" w:rsidP="00D02743">
            <w:pPr>
              <w:rPr>
                <w:sz w:val="16"/>
                <w:szCs w:val="16"/>
                <w:lang w:val="en-US"/>
              </w:rPr>
            </w:pPr>
            <w:r w:rsidRPr="00D02743">
              <w:rPr>
                <w:sz w:val="16"/>
                <w:szCs w:val="16"/>
                <w:lang w:val="en-US"/>
              </w:rPr>
              <w:t>Service Satisfaction Survey assesses performance qualitatively in relation to user perceptions of accessibility, fairness, overall service satisfaction and perceived increased understanding of rights and responsibilities in the law.</w:t>
            </w:r>
          </w:p>
          <w:p w:rsidR="00D02743" w:rsidRPr="00D02743" w:rsidRDefault="00D02743" w:rsidP="00D02743">
            <w:pPr>
              <w:rPr>
                <w:sz w:val="16"/>
                <w:szCs w:val="16"/>
                <w:lang w:val="en-US"/>
              </w:rPr>
            </w:pPr>
            <w:r w:rsidRPr="00D02743">
              <w:rPr>
                <w:sz w:val="16"/>
                <w:szCs w:val="16"/>
                <w:lang w:val="en-US"/>
              </w:rPr>
              <w:t>Statistical data on conciliation agreements assesses the level of systemic outcomes from the complaint process.</w:t>
            </w:r>
          </w:p>
        </w:tc>
        <w:tc>
          <w:tcPr>
            <w:tcW w:w="125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482B03" w:rsidRDefault="00D02743" w:rsidP="00482B03">
            <w:pPr>
              <w:jc w:val="center"/>
              <w:rPr>
                <w:b/>
                <w:sz w:val="16"/>
                <w:szCs w:val="16"/>
                <w:lang w:val="en-US"/>
              </w:rPr>
            </w:pPr>
            <w:r w:rsidRPr="00482B03">
              <w:rPr>
                <w:b/>
                <w:sz w:val="16"/>
                <w:szCs w:val="16"/>
                <w:lang w:val="en-US"/>
              </w:rPr>
              <w:t>Ongoing</w:t>
            </w:r>
          </w:p>
        </w:tc>
      </w:tr>
      <w:tr w:rsidR="00D02743" w:rsidRPr="00D02743" w:rsidTr="00D02743">
        <w:trPr>
          <w:trHeight w:val="60"/>
        </w:trPr>
        <w:tc>
          <w:tcPr>
            <w:tcW w:w="1298"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b/>
                <w:sz w:val="16"/>
                <w:szCs w:val="16"/>
                <w:lang w:val="en-US"/>
              </w:rPr>
            </w:pPr>
            <w:r w:rsidRPr="00D02743">
              <w:rPr>
                <w:b/>
                <w:sz w:val="16"/>
                <w:szCs w:val="16"/>
                <w:lang w:val="en-US"/>
              </w:rPr>
              <w:t>2c</w:t>
            </w:r>
          </w:p>
        </w:tc>
        <w:tc>
          <w:tcPr>
            <w:tcW w:w="265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Management and reporting of</w:t>
            </w:r>
            <w:r w:rsidR="00996D8F">
              <w:rPr>
                <w:sz w:val="16"/>
                <w:szCs w:val="16"/>
                <w:lang w:val="en-US"/>
              </w:rPr>
              <w:t xml:space="preserve"> complaints under the AHRC Act.</w:t>
            </w:r>
          </w:p>
          <w:p w:rsidR="00D02743" w:rsidRPr="00D02743" w:rsidRDefault="00D02743" w:rsidP="00D02743">
            <w:pPr>
              <w:rPr>
                <w:sz w:val="16"/>
                <w:szCs w:val="16"/>
                <w:lang w:val="en-US"/>
              </w:rPr>
            </w:pPr>
            <w:r w:rsidRPr="00D02743">
              <w:rPr>
                <w:sz w:val="16"/>
                <w:szCs w:val="16"/>
                <w:lang w:val="en-US"/>
              </w:rPr>
              <w:t>Exemptions and Guidelines</w:t>
            </w:r>
          </w:p>
        </w:tc>
        <w:tc>
          <w:tcPr>
            <w:tcW w:w="4699"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Monitoring to capture parliamentary response to tabled AHRC Act reports, Exemption progress and web analytics to assess traffic to Guidelines.</w:t>
            </w:r>
          </w:p>
          <w:p w:rsidR="00D02743" w:rsidRPr="00D02743" w:rsidRDefault="00D02743" w:rsidP="00D02743">
            <w:pPr>
              <w:rPr>
                <w:sz w:val="16"/>
                <w:szCs w:val="16"/>
                <w:lang w:val="en-US"/>
              </w:rPr>
            </w:pPr>
            <w:r w:rsidRPr="00D02743">
              <w:rPr>
                <w:sz w:val="16"/>
                <w:szCs w:val="16"/>
                <w:lang w:val="en-US"/>
              </w:rPr>
              <w:t>Case studies of AHRCA complaints resulting in significant change.</w:t>
            </w:r>
          </w:p>
        </w:tc>
        <w:tc>
          <w:tcPr>
            <w:tcW w:w="125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482B03" w:rsidRDefault="00D02743" w:rsidP="00482B03">
            <w:pPr>
              <w:jc w:val="center"/>
              <w:rPr>
                <w:b/>
                <w:sz w:val="16"/>
                <w:szCs w:val="16"/>
                <w:lang w:val="en-US"/>
              </w:rPr>
            </w:pPr>
            <w:r w:rsidRPr="00482B03">
              <w:rPr>
                <w:b/>
                <w:sz w:val="16"/>
                <w:szCs w:val="16"/>
                <w:lang w:val="en-US"/>
              </w:rPr>
              <w:t>Ongoing</w:t>
            </w:r>
          </w:p>
        </w:tc>
      </w:tr>
      <w:tr w:rsidR="00D02743" w:rsidRPr="00D02743" w:rsidTr="00D02743">
        <w:trPr>
          <w:trHeight w:val="60"/>
        </w:trPr>
        <w:tc>
          <w:tcPr>
            <w:tcW w:w="1298"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b/>
                <w:sz w:val="16"/>
                <w:szCs w:val="16"/>
                <w:lang w:val="en-US"/>
              </w:rPr>
            </w:pPr>
            <w:r w:rsidRPr="00D02743">
              <w:rPr>
                <w:b/>
                <w:sz w:val="16"/>
                <w:szCs w:val="16"/>
                <w:lang w:val="en-US"/>
              </w:rPr>
              <w:t>2c</w:t>
            </w:r>
          </w:p>
        </w:tc>
        <w:tc>
          <w:tcPr>
            <w:tcW w:w="265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National Guidelines: Equal Opportunity in golf</w:t>
            </w:r>
          </w:p>
        </w:tc>
        <w:tc>
          <w:tcPr>
            <w:tcW w:w="4699"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Formative consultations with stakeholders informed guideline development followed by surveys to assess stakeholder satisfaction with the guidelines and to assess use/actions.</w:t>
            </w:r>
          </w:p>
        </w:tc>
        <w:tc>
          <w:tcPr>
            <w:tcW w:w="125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482B03" w:rsidRDefault="00D02743" w:rsidP="00482B03">
            <w:pPr>
              <w:jc w:val="center"/>
              <w:rPr>
                <w:b/>
                <w:sz w:val="16"/>
                <w:szCs w:val="16"/>
                <w:lang w:val="en-US"/>
              </w:rPr>
            </w:pPr>
            <w:r w:rsidRPr="00482B03">
              <w:rPr>
                <w:b/>
                <w:sz w:val="16"/>
                <w:szCs w:val="16"/>
                <w:lang w:val="en-US"/>
              </w:rPr>
              <w:t>No</w:t>
            </w:r>
          </w:p>
        </w:tc>
      </w:tr>
      <w:tr w:rsidR="00D02743" w:rsidRPr="00D02743" w:rsidTr="00996D8F">
        <w:trPr>
          <w:trHeight w:val="25"/>
        </w:trPr>
        <w:tc>
          <w:tcPr>
            <w:tcW w:w="9903" w:type="dxa"/>
            <w:gridSpan w:val="4"/>
            <w:tcBorders>
              <w:top w:val="single" w:sz="4" w:space="0" w:color="FFFFFF"/>
              <w:left w:val="single" w:sz="4" w:space="0" w:color="FFFFFF"/>
              <w:bottom w:val="single" w:sz="4" w:space="0" w:color="FFFFFF"/>
              <w:right w:val="single" w:sz="4" w:space="0" w:color="FFFFFF"/>
            </w:tcBorders>
            <w:shd w:val="clear" w:color="auto" w:fill="F7CAAC" w:themeFill="accent2" w:themeFillTint="66"/>
            <w:tcMar>
              <w:top w:w="227" w:type="dxa"/>
              <w:left w:w="227" w:type="dxa"/>
              <w:bottom w:w="227" w:type="dxa"/>
              <w:right w:w="227" w:type="dxa"/>
            </w:tcMar>
          </w:tcPr>
          <w:p w:rsidR="00D02743" w:rsidRPr="00D02743" w:rsidRDefault="00D02743" w:rsidP="00B87788">
            <w:pPr>
              <w:spacing w:after="0" w:line="240" w:lineRule="auto"/>
              <w:jc w:val="center"/>
              <w:rPr>
                <w:b/>
                <w:sz w:val="16"/>
                <w:szCs w:val="16"/>
                <w:lang w:val="en-US"/>
              </w:rPr>
            </w:pPr>
            <w:r w:rsidRPr="00D02743">
              <w:rPr>
                <w:b/>
                <w:sz w:val="16"/>
                <w:szCs w:val="16"/>
                <w:lang w:val="en-US"/>
              </w:rPr>
              <w:t>Outcome 3</w:t>
            </w:r>
          </w:p>
        </w:tc>
      </w:tr>
      <w:tr w:rsidR="00D02743" w:rsidRPr="00D02743" w:rsidTr="00D02743">
        <w:trPr>
          <w:trHeight w:val="60"/>
        </w:trPr>
        <w:tc>
          <w:tcPr>
            <w:tcW w:w="1298"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b/>
                <w:sz w:val="16"/>
                <w:szCs w:val="16"/>
                <w:lang w:val="en-US"/>
              </w:rPr>
            </w:pPr>
            <w:r w:rsidRPr="00D02743">
              <w:rPr>
                <w:b/>
                <w:sz w:val="16"/>
                <w:szCs w:val="16"/>
                <w:lang w:val="en-US"/>
              </w:rPr>
              <w:t>3a*</w:t>
            </w:r>
          </w:p>
        </w:tc>
        <w:tc>
          <w:tcPr>
            <w:tcW w:w="265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Parliamentary Scrutiny Program</w:t>
            </w:r>
          </w:p>
        </w:tc>
        <w:tc>
          <w:tcPr>
            <w:tcW w:w="4699"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Desktop analysis of submission citation rates in Committee reports and reflection of advice in bills entered into law.</w:t>
            </w:r>
          </w:p>
        </w:tc>
        <w:tc>
          <w:tcPr>
            <w:tcW w:w="125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482B03" w:rsidRDefault="00D02743" w:rsidP="00482B03">
            <w:pPr>
              <w:jc w:val="center"/>
              <w:rPr>
                <w:b/>
                <w:sz w:val="16"/>
                <w:szCs w:val="16"/>
                <w:lang w:val="en-US"/>
              </w:rPr>
            </w:pPr>
            <w:r w:rsidRPr="00482B03">
              <w:rPr>
                <w:b/>
                <w:sz w:val="16"/>
                <w:szCs w:val="16"/>
                <w:lang w:val="en-US"/>
              </w:rPr>
              <w:t>Ongoing</w:t>
            </w:r>
          </w:p>
        </w:tc>
      </w:tr>
      <w:tr w:rsidR="00D02743" w:rsidRPr="00D02743" w:rsidTr="00D02743">
        <w:trPr>
          <w:trHeight w:val="60"/>
        </w:trPr>
        <w:tc>
          <w:tcPr>
            <w:tcW w:w="1298"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b/>
                <w:sz w:val="16"/>
                <w:szCs w:val="16"/>
                <w:lang w:val="en-US"/>
              </w:rPr>
            </w:pPr>
            <w:r w:rsidRPr="00D02743">
              <w:rPr>
                <w:b/>
                <w:sz w:val="16"/>
                <w:szCs w:val="16"/>
                <w:lang w:val="en-US"/>
              </w:rPr>
              <w:t>3b*</w:t>
            </w:r>
          </w:p>
        </w:tc>
        <w:tc>
          <w:tcPr>
            <w:tcW w:w="265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Statutory Reports &amp; Inquiries: 2018 Children’s Report</w:t>
            </w:r>
          </w:p>
        </w:tc>
        <w:tc>
          <w:tcPr>
            <w:tcW w:w="4699"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Accountability review of actions taken and progress against past report recommendations, with media and web analytics to assess recognition and public engagement with the report.</w:t>
            </w:r>
          </w:p>
        </w:tc>
        <w:tc>
          <w:tcPr>
            <w:tcW w:w="125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F0246B" w:rsidP="00482B03">
            <w:pPr>
              <w:jc w:val="center"/>
              <w:rPr>
                <w:sz w:val="16"/>
                <w:szCs w:val="16"/>
                <w:lang w:val="en-US"/>
              </w:rPr>
            </w:pPr>
            <w:r w:rsidRPr="00F0246B">
              <w:rPr>
                <w:rFonts w:ascii="Webdings" w:hAnsi="Webdings" w:cs="FontAwesome"/>
                <w:color w:val="ED7D31" w:themeColor="accent2"/>
                <w:sz w:val="28"/>
                <w:szCs w:val="28"/>
                <w:lang w:val="en-US"/>
              </w:rPr>
              <w:sym w:font="Wingdings" w:char="F0FC"/>
            </w:r>
          </w:p>
        </w:tc>
      </w:tr>
      <w:tr w:rsidR="00D02743" w:rsidRPr="00D02743" w:rsidTr="00D02743">
        <w:trPr>
          <w:trHeight w:val="60"/>
        </w:trPr>
        <w:tc>
          <w:tcPr>
            <w:tcW w:w="1298"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b/>
                <w:sz w:val="16"/>
                <w:szCs w:val="16"/>
                <w:lang w:val="en-US"/>
              </w:rPr>
            </w:pPr>
            <w:r w:rsidRPr="00D02743">
              <w:rPr>
                <w:b/>
                <w:sz w:val="16"/>
                <w:szCs w:val="16"/>
                <w:lang w:val="en-US"/>
              </w:rPr>
              <w:t>3b*</w:t>
            </w:r>
          </w:p>
        </w:tc>
        <w:tc>
          <w:tcPr>
            <w:tcW w:w="265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Change the Course: National survey on sexual assault and harassment experienced by students in university setting</w:t>
            </w:r>
          </w:p>
        </w:tc>
        <w:tc>
          <w:tcPr>
            <w:tcW w:w="4699"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Second audit of university responses to Change the course.</w:t>
            </w:r>
          </w:p>
        </w:tc>
        <w:tc>
          <w:tcPr>
            <w:tcW w:w="125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F0246B" w:rsidP="00482B03">
            <w:pPr>
              <w:jc w:val="center"/>
              <w:rPr>
                <w:sz w:val="16"/>
                <w:szCs w:val="16"/>
                <w:lang w:val="en-US"/>
              </w:rPr>
            </w:pPr>
            <w:r w:rsidRPr="00F0246B">
              <w:rPr>
                <w:rFonts w:ascii="Webdings" w:hAnsi="Webdings" w:cs="FontAwesome"/>
                <w:color w:val="ED7D31" w:themeColor="accent2"/>
                <w:sz w:val="28"/>
                <w:szCs w:val="28"/>
                <w:lang w:val="en-US"/>
              </w:rPr>
              <w:sym w:font="Wingdings" w:char="F0FC"/>
            </w:r>
          </w:p>
        </w:tc>
      </w:tr>
      <w:tr w:rsidR="00D02743" w:rsidRPr="00D02743" w:rsidTr="00D02743">
        <w:trPr>
          <w:trHeight w:val="60"/>
        </w:trPr>
        <w:tc>
          <w:tcPr>
            <w:tcW w:w="1298"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b/>
                <w:sz w:val="16"/>
                <w:szCs w:val="16"/>
                <w:lang w:val="en-US"/>
              </w:rPr>
            </w:pPr>
            <w:r w:rsidRPr="00D02743">
              <w:rPr>
                <w:b/>
                <w:sz w:val="16"/>
                <w:szCs w:val="16"/>
                <w:lang w:val="en-US"/>
              </w:rPr>
              <w:t>3c</w:t>
            </w:r>
          </w:p>
        </w:tc>
        <w:tc>
          <w:tcPr>
            <w:tcW w:w="265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Immigration detention and Asylum Seeker policy program: Immigration: ‘Legacy Caseload’ project</w:t>
            </w:r>
          </w:p>
        </w:tc>
        <w:tc>
          <w:tcPr>
            <w:tcW w:w="4699"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Stakeholder survey and key informant interviews to assess satisfaction, value contribution to capacity building.</w:t>
            </w:r>
          </w:p>
        </w:tc>
        <w:tc>
          <w:tcPr>
            <w:tcW w:w="125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482B03" w:rsidRDefault="00D02743" w:rsidP="00482B03">
            <w:pPr>
              <w:jc w:val="center"/>
              <w:rPr>
                <w:b/>
                <w:sz w:val="16"/>
                <w:szCs w:val="16"/>
                <w:lang w:val="en-US"/>
              </w:rPr>
            </w:pPr>
            <w:r w:rsidRPr="00482B03">
              <w:rPr>
                <w:b/>
                <w:sz w:val="16"/>
                <w:szCs w:val="16"/>
                <w:lang w:val="en-US"/>
              </w:rPr>
              <w:t>No</w:t>
            </w:r>
          </w:p>
        </w:tc>
      </w:tr>
      <w:tr w:rsidR="00D02743" w:rsidRPr="00D02743" w:rsidTr="00996D8F">
        <w:trPr>
          <w:trHeight w:val="25"/>
        </w:trPr>
        <w:tc>
          <w:tcPr>
            <w:tcW w:w="9903" w:type="dxa"/>
            <w:gridSpan w:val="4"/>
            <w:tcBorders>
              <w:top w:val="single" w:sz="4" w:space="0" w:color="FFFFFF"/>
              <w:left w:val="single" w:sz="4" w:space="0" w:color="FFFFFF"/>
              <w:bottom w:val="single" w:sz="4" w:space="0" w:color="FFFFFF"/>
              <w:right w:val="single" w:sz="4" w:space="0" w:color="FFFFFF"/>
            </w:tcBorders>
            <w:shd w:val="clear" w:color="auto" w:fill="F7CAAC" w:themeFill="accent2" w:themeFillTint="66"/>
            <w:tcMar>
              <w:top w:w="227" w:type="dxa"/>
              <w:left w:w="227" w:type="dxa"/>
              <w:bottom w:w="227" w:type="dxa"/>
              <w:right w:w="227" w:type="dxa"/>
            </w:tcMar>
            <w:vAlign w:val="center"/>
          </w:tcPr>
          <w:p w:rsidR="00D02743" w:rsidRPr="00D02743" w:rsidRDefault="00D02743" w:rsidP="00B87788">
            <w:pPr>
              <w:spacing w:after="0" w:line="240" w:lineRule="auto"/>
              <w:jc w:val="center"/>
              <w:rPr>
                <w:b/>
                <w:sz w:val="16"/>
                <w:szCs w:val="16"/>
                <w:lang w:val="en-US"/>
              </w:rPr>
            </w:pPr>
            <w:r w:rsidRPr="00D02743">
              <w:rPr>
                <w:b/>
                <w:sz w:val="16"/>
                <w:szCs w:val="16"/>
                <w:lang w:val="en-US"/>
              </w:rPr>
              <w:t>Outcome 4</w:t>
            </w:r>
          </w:p>
        </w:tc>
      </w:tr>
      <w:tr w:rsidR="00D02743" w:rsidRPr="00D02743" w:rsidTr="00D02743">
        <w:trPr>
          <w:trHeight w:val="1612"/>
        </w:trPr>
        <w:tc>
          <w:tcPr>
            <w:tcW w:w="1298"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b/>
                <w:sz w:val="16"/>
                <w:szCs w:val="16"/>
                <w:lang w:val="en-US"/>
              </w:rPr>
            </w:pPr>
            <w:r w:rsidRPr="00D02743">
              <w:rPr>
                <w:b/>
                <w:sz w:val="16"/>
                <w:szCs w:val="16"/>
                <w:lang w:val="en-US"/>
              </w:rPr>
              <w:t>4a*</w:t>
            </w:r>
          </w:p>
          <w:p w:rsidR="00D02743" w:rsidRPr="00D02743" w:rsidRDefault="00D02743" w:rsidP="00D02743">
            <w:pPr>
              <w:rPr>
                <w:b/>
                <w:sz w:val="16"/>
                <w:szCs w:val="16"/>
                <w:lang w:val="en-US"/>
              </w:rPr>
            </w:pPr>
            <w:r w:rsidRPr="00D02743">
              <w:rPr>
                <w:b/>
                <w:sz w:val="16"/>
                <w:szCs w:val="16"/>
                <w:lang w:val="en-US"/>
              </w:rPr>
              <w:t>4b</w:t>
            </w:r>
          </w:p>
        </w:tc>
        <w:tc>
          <w:tcPr>
            <w:tcW w:w="265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School education program: Story of our rights and freedoms resource.</w:t>
            </w:r>
          </w:p>
          <w:p w:rsidR="00D02743" w:rsidRPr="00D02743" w:rsidRDefault="00D02743" w:rsidP="00D02743">
            <w:pPr>
              <w:rPr>
                <w:sz w:val="16"/>
                <w:szCs w:val="16"/>
                <w:lang w:val="en-US"/>
              </w:rPr>
            </w:pPr>
            <w:r w:rsidRPr="00D02743">
              <w:rPr>
                <w:sz w:val="16"/>
                <w:szCs w:val="16"/>
                <w:lang w:val="en-US"/>
              </w:rPr>
              <w:t>Provision of workshops and training to public service and other audiences</w:t>
            </w:r>
          </w:p>
        </w:tc>
        <w:tc>
          <w:tcPr>
            <w:tcW w:w="4699"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Use of web analytics to collect and monitor usage.</w:t>
            </w:r>
          </w:p>
          <w:p w:rsidR="00356A42" w:rsidRPr="00D02743" w:rsidRDefault="00356A42" w:rsidP="00356A42">
            <w:pPr>
              <w:spacing w:after="200"/>
              <w:rPr>
                <w:sz w:val="16"/>
                <w:szCs w:val="16"/>
                <w:lang w:val="en-US"/>
              </w:rPr>
            </w:pPr>
          </w:p>
          <w:p w:rsidR="00D02743" w:rsidRPr="00D02743" w:rsidRDefault="00D02743" w:rsidP="00D02743">
            <w:pPr>
              <w:rPr>
                <w:sz w:val="16"/>
                <w:szCs w:val="16"/>
                <w:lang w:val="en-US"/>
              </w:rPr>
            </w:pPr>
            <w:r w:rsidRPr="00D02743">
              <w:rPr>
                <w:sz w:val="16"/>
                <w:szCs w:val="16"/>
                <w:lang w:val="en-US"/>
              </w:rPr>
              <w:t>Retrospective pre-post participant surveys measure self-reported change in participants: knowledge, skills, ability to apply human rights in their work.</w:t>
            </w:r>
          </w:p>
        </w:tc>
        <w:tc>
          <w:tcPr>
            <w:tcW w:w="125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356A42" w:rsidRDefault="00D02743" w:rsidP="00482B03">
            <w:pPr>
              <w:jc w:val="center"/>
              <w:rPr>
                <w:b/>
                <w:sz w:val="16"/>
                <w:szCs w:val="16"/>
                <w:lang w:val="en-US"/>
              </w:rPr>
            </w:pPr>
            <w:r w:rsidRPr="00356A42">
              <w:rPr>
                <w:b/>
                <w:sz w:val="16"/>
                <w:szCs w:val="16"/>
                <w:lang w:val="en-US"/>
              </w:rPr>
              <w:t>Ongoing</w:t>
            </w:r>
          </w:p>
          <w:p w:rsidR="00356A42" w:rsidRPr="00D02743" w:rsidRDefault="00356A42" w:rsidP="00356A42">
            <w:pPr>
              <w:spacing w:after="160"/>
              <w:jc w:val="center"/>
              <w:rPr>
                <w:sz w:val="16"/>
                <w:szCs w:val="16"/>
                <w:lang w:val="en-US"/>
              </w:rPr>
            </w:pPr>
          </w:p>
          <w:p w:rsidR="00D02743" w:rsidRPr="00356A42" w:rsidRDefault="00D02743" w:rsidP="00482B03">
            <w:pPr>
              <w:jc w:val="center"/>
              <w:rPr>
                <w:b/>
                <w:sz w:val="16"/>
                <w:szCs w:val="16"/>
                <w:lang w:val="en-US"/>
              </w:rPr>
            </w:pPr>
            <w:r w:rsidRPr="00356A42">
              <w:rPr>
                <w:b/>
                <w:sz w:val="16"/>
                <w:szCs w:val="16"/>
                <w:lang w:val="en-US"/>
              </w:rPr>
              <w:t>Ongoing</w:t>
            </w:r>
          </w:p>
        </w:tc>
      </w:tr>
      <w:tr w:rsidR="00D02743" w:rsidRPr="00D02743" w:rsidTr="00D02743">
        <w:trPr>
          <w:trHeight w:val="60"/>
        </w:trPr>
        <w:tc>
          <w:tcPr>
            <w:tcW w:w="1298"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b/>
                <w:sz w:val="16"/>
                <w:szCs w:val="16"/>
                <w:lang w:val="en-US"/>
              </w:rPr>
            </w:pPr>
            <w:r w:rsidRPr="00D02743">
              <w:rPr>
                <w:b/>
                <w:sz w:val="16"/>
                <w:szCs w:val="16"/>
                <w:lang w:val="en-US"/>
              </w:rPr>
              <w:t>4c*</w:t>
            </w:r>
          </w:p>
        </w:tc>
        <w:tc>
          <w:tcPr>
            <w:tcW w:w="265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Investigation and Conciliation Service</w:t>
            </w:r>
          </w:p>
        </w:tc>
        <w:tc>
          <w:tcPr>
            <w:tcW w:w="4699"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Continuous implementation of Service Satisfaction Survey assesses performance in relation to perceived increased understanding of rights and responsibilities in the law.</w:t>
            </w:r>
          </w:p>
        </w:tc>
        <w:tc>
          <w:tcPr>
            <w:tcW w:w="125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356A42" w:rsidRDefault="00D02743" w:rsidP="00482B03">
            <w:pPr>
              <w:jc w:val="center"/>
              <w:rPr>
                <w:b/>
                <w:sz w:val="16"/>
                <w:szCs w:val="16"/>
                <w:lang w:val="en-US"/>
              </w:rPr>
            </w:pPr>
            <w:r w:rsidRPr="00356A42">
              <w:rPr>
                <w:b/>
                <w:sz w:val="16"/>
                <w:szCs w:val="16"/>
                <w:lang w:val="en-US"/>
              </w:rPr>
              <w:t>Ongoing</w:t>
            </w:r>
          </w:p>
        </w:tc>
      </w:tr>
      <w:tr w:rsidR="00D02743" w:rsidRPr="00D02743" w:rsidTr="00D02743">
        <w:trPr>
          <w:trHeight w:val="60"/>
        </w:trPr>
        <w:tc>
          <w:tcPr>
            <w:tcW w:w="1298"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b/>
                <w:sz w:val="16"/>
                <w:szCs w:val="16"/>
                <w:lang w:val="en-US"/>
              </w:rPr>
            </w:pPr>
            <w:r w:rsidRPr="00D02743">
              <w:rPr>
                <w:b/>
                <w:sz w:val="16"/>
                <w:szCs w:val="16"/>
                <w:lang w:val="en-US"/>
              </w:rPr>
              <w:t>4d</w:t>
            </w:r>
          </w:p>
        </w:tc>
        <w:tc>
          <w:tcPr>
            <w:tcW w:w="265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China-Australia Human Rights Technical Cooperation Program</w:t>
            </w:r>
          </w:p>
        </w:tc>
        <w:tc>
          <w:tcPr>
            <w:tcW w:w="4699"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In collaboration with external evaluators and overseas partners. Uses quantitative/qualitative data assess the relevance, effectiveness, program outcomes and improvements.</w:t>
            </w:r>
          </w:p>
        </w:tc>
        <w:tc>
          <w:tcPr>
            <w:tcW w:w="125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vAlign w:val="center"/>
          </w:tcPr>
          <w:p w:rsidR="00D02743" w:rsidRPr="00D02743" w:rsidRDefault="00F0246B" w:rsidP="00482B03">
            <w:pPr>
              <w:jc w:val="center"/>
              <w:rPr>
                <w:sz w:val="16"/>
                <w:szCs w:val="16"/>
                <w:lang w:val="en-US"/>
              </w:rPr>
            </w:pPr>
            <w:r w:rsidRPr="00F0246B">
              <w:rPr>
                <w:rFonts w:ascii="Webdings" w:hAnsi="Webdings" w:cs="FontAwesome"/>
                <w:color w:val="ED7D31" w:themeColor="accent2"/>
                <w:sz w:val="28"/>
                <w:szCs w:val="28"/>
                <w:lang w:val="en-US"/>
              </w:rPr>
              <w:sym w:font="Wingdings" w:char="F0FC"/>
            </w:r>
          </w:p>
        </w:tc>
      </w:tr>
      <w:tr w:rsidR="00D02743" w:rsidRPr="00D02743" w:rsidTr="00D02743">
        <w:trPr>
          <w:trHeight w:val="60"/>
        </w:trPr>
        <w:tc>
          <w:tcPr>
            <w:tcW w:w="1298"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b/>
                <w:sz w:val="16"/>
                <w:szCs w:val="16"/>
                <w:lang w:val="en-US"/>
              </w:rPr>
            </w:pPr>
            <w:r w:rsidRPr="00D02743">
              <w:rPr>
                <w:b/>
                <w:sz w:val="16"/>
                <w:szCs w:val="16"/>
                <w:lang w:val="en-US"/>
              </w:rPr>
              <w:t>4d</w:t>
            </w:r>
          </w:p>
        </w:tc>
        <w:tc>
          <w:tcPr>
            <w:tcW w:w="265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Laos PDR-Australia Human Rights Technical Cooperation Program</w:t>
            </w:r>
          </w:p>
        </w:tc>
        <w:tc>
          <w:tcPr>
            <w:tcW w:w="4699"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02743" w:rsidRPr="00D02743" w:rsidRDefault="00D02743" w:rsidP="00D02743">
            <w:pPr>
              <w:rPr>
                <w:sz w:val="16"/>
                <w:szCs w:val="16"/>
                <w:lang w:val="en-US"/>
              </w:rPr>
            </w:pPr>
            <w:r w:rsidRPr="00D02743">
              <w:rPr>
                <w:sz w:val="16"/>
                <w:szCs w:val="16"/>
                <w:lang w:val="en-US"/>
              </w:rPr>
              <w:t>Activity based evaluations using quantitative/qualitative data to assess the relevance, effectiveness and outcomes and improvements, and annual review assessment framework.</w:t>
            </w:r>
          </w:p>
        </w:tc>
        <w:tc>
          <w:tcPr>
            <w:tcW w:w="125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vAlign w:val="center"/>
          </w:tcPr>
          <w:p w:rsidR="00D02743" w:rsidRPr="00D02743" w:rsidRDefault="00F0246B" w:rsidP="00482B03">
            <w:pPr>
              <w:jc w:val="center"/>
              <w:rPr>
                <w:sz w:val="16"/>
                <w:szCs w:val="16"/>
                <w:lang w:val="en-US"/>
              </w:rPr>
            </w:pPr>
            <w:r w:rsidRPr="00F0246B">
              <w:rPr>
                <w:rFonts w:ascii="Webdings" w:hAnsi="Webdings" w:cs="FontAwesome"/>
                <w:color w:val="ED7D31" w:themeColor="accent2"/>
                <w:sz w:val="28"/>
                <w:szCs w:val="28"/>
                <w:lang w:val="en-US"/>
              </w:rPr>
              <w:sym w:font="Wingdings" w:char="F0FC"/>
            </w:r>
          </w:p>
        </w:tc>
      </w:tr>
    </w:tbl>
    <w:p w:rsidR="00D74A02" w:rsidRPr="00D02743" w:rsidRDefault="007F559B" w:rsidP="00D02743">
      <w:pPr>
        <w:rPr>
          <w:sz w:val="16"/>
          <w:szCs w:val="16"/>
          <w:lang w:val="en-US"/>
        </w:rPr>
      </w:pPr>
    </w:p>
    <w:sectPr w:rsidR="00D74A02" w:rsidRPr="00D02743" w:rsidSect="00D02743">
      <w:pgSz w:w="11906" w:h="16838"/>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Pro 57 Cn">
    <w:altName w:val="Arial"/>
    <w:panose1 w:val="020B0506030502030204"/>
    <w:charset w:val="4D"/>
    <w:family w:val="swiss"/>
    <w:notTrueType/>
    <w:pitch w:val="variable"/>
    <w:sig w:usb0="800000AF" w:usb1="5000205B" w:usb2="00000000" w:usb3="00000000" w:csb0="0000009B" w:csb1="00000000"/>
  </w:font>
  <w:font w:name="HelveticaNeueLT Pro 45 Lt">
    <w:altName w:val="Arial"/>
    <w:panose1 w:val="020B0403020202020204"/>
    <w:charset w:val="4D"/>
    <w:family w:val="swiss"/>
    <w:notTrueType/>
    <w:pitch w:val="variable"/>
    <w:sig w:usb0="800000AF" w:usb1="5000205B" w:usb2="00000000" w:usb3="00000000" w:csb0="0000009B" w:csb1="00000000"/>
  </w:font>
  <w:font w:name="HelveticaNeueLT Pro 55 Roman">
    <w:panose1 w:val="020B0604020202020204"/>
    <w:charset w:val="4D"/>
    <w:family w:val="swiss"/>
    <w:notTrueType/>
    <w:pitch w:val="variable"/>
    <w:sig w:usb0="800000AF" w:usb1="5000205B" w:usb2="00000000" w:usb3="00000000" w:csb0="0000009B" w:csb1="00000000"/>
  </w:font>
  <w:font w:name="Webdings">
    <w:panose1 w:val="05030102010509060703"/>
    <w:charset w:val="02"/>
    <w:family w:val="decorative"/>
    <w:pitch w:val="variable"/>
    <w:sig w:usb0="00000000" w:usb1="10000000" w:usb2="00000000" w:usb3="00000000" w:csb0="80000000" w:csb1="00000000"/>
  </w:font>
  <w:font w:name="FontAwesom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B6FD0"/>
    <w:multiLevelType w:val="hybridMultilevel"/>
    <w:tmpl w:val="776289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B0"/>
    <w:rsid w:val="00124F99"/>
    <w:rsid w:val="00356A42"/>
    <w:rsid w:val="00482B03"/>
    <w:rsid w:val="005D00C0"/>
    <w:rsid w:val="00626D03"/>
    <w:rsid w:val="00923828"/>
    <w:rsid w:val="00996D8F"/>
    <w:rsid w:val="00A240B0"/>
    <w:rsid w:val="00B87788"/>
    <w:rsid w:val="00D02743"/>
    <w:rsid w:val="00F024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74AF2EE-9526-7441-B552-022E2948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56A42"/>
    <w:pPr>
      <w:spacing w:after="120" w:line="288" w:lineRule="auto"/>
    </w:pPr>
    <w:rPr>
      <w:rFonts w:ascii="Arial" w:hAnsi="Arial"/>
      <w:sz w:val="20"/>
    </w:rPr>
  </w:style>
  <w:style w:type="paragraph" w:styleId="Titolo1">
    <w:name w:val="heading 1"/>
    <w:basedOn w:val="Normale"/>
    <w:next w:val="Normale"/>
    <w:link w:val="Titolo1Carattere"/>
    <w:uiPriority w:val="99"/>
    <w:qFormat/>
    <w:rsid w:val="00D02743"/>
    <w:pPr>
      <w:keepNext/>
      <w:keepLines/>
      <w:suppressAutoHyphens/>
      <w:autoSpaceDE w:val="0"/>
      <w:autoSpaceDN w:val="0"/>
      <w:adjustRightInd w:val="0"/>
      <w:spacing w:after="850" w:line="500" w:lineRule="atLeast"/>
      <w:ind w:left="397" w:hanging="397"/>
      <w:textAlignment w:val="center"/>
      <w:outlineLvl w:val="0"/>
    </w:pPr>
    <w:rPr>
      <w:rFonts w:ascii="HelveticaNeueLT Pro 57 Cn" w:hAnsi="HelveticaNeueLT Pro 57 Cn" w:cs="HelveticaNeueLT Pro 57 Cn"/>
      <w:color w:val="BC5F00"/>
      <w:sz w:val="48"/>
      <w:szCs w:val="48"/>
      <w:lang w:val="en-US"/>
    </w:rPr>
  </w:style>
  <w:style w:type="paragraph" w:styleId="Titolo2">
    <w:name w:val="heading 2"/>
    <w:basedOn w:val="Normale"/>
    <w:next w:val="Normale"/>
    <w:link w:val="Titolo2Carattere"/>
    <w:uiPriority w:val="9"/>
    <w:unhideWhenUsed/>
    <w:qFormat/>
    <w:rsid w:val="00F0246B"/>
    <w:pPr>
      <w:keepNext/>
      <w:keepLines/>
      <w:spacing w:after="400" w:line="240" w:lineRule="auto"/>
      <w:outlineLvl w:val="1"/>
    </w:pPr>
    <w:rPr>
      <w:rFonts w:eastAsiaTheme="majorEastAsia" w:cstheme="majorBidi"/>
      <w:color w:val="ED7D31" w:themeColor="accent2"/>
      <w:sz w:val="28"/>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D02743"/>
    <w:rPr>
      <w:rFonts w:ascii="HelveticaNeueLT Pro 57 Cn" w:hAnsi="HelveticaNeueLT Pro 57 Cn" w:cs="HelveticaNeueLT Pro 57 Cn"/>
      <w:color w:val="BC5F00"/>
      <w:sz w:val="48"/>
      <w:szCs w:val="48"/>
      <w:lang w:val="en-US"/>
    </w:rPr>
  </w:style>
  <w:style w:type="paragraph" w:customStyle="1" w:styleId="HeadingTwo">
    <w:name w:val="Heading Two"/>
    <w:basedOn w:val="Normale"/>
    <w:uiPriority w:val="99"/>
    <w:rsid w:val="00D02743"/>
    <w:pPr>
      <w:keepNext/>
      <w:keepLines/>
      <w:tabs>
        <w:tab w:val="left" w:pos="0"/>
      </w:tabs>
      <w:suppressAutoHyphens/>
      <w:autoSpaceDE w:val="0"/>
      <w:autoSpaceDN w:val="0"/>
      <w:adjustRightInd w:val="0"/>
      <w:spacing w:before="227" w:after="510"/>
      <w:textAlignment w:val="center"/>
    </w:pPr>
    <w:rPr>
      <w:rFonts w:ascii="HelveticaNeueLT Pro 45 Lt" w:hAnsi="HelveticaNeueLT Pro 45 Lt" w:cs="HelveticaNeueLT Pro 45 Lt"/>
      <w:color w:val="BC5F00"/>
      <w:sz w:val="30"/>
      <w:szCs w:val="30"/>
      <w:lang w:val="en-US"/>
    </w:rPr>
  </w:style>
  <w:style w:type="paragraph" w:customStyle="1" w:styleId="Paragrafobase">
    <w:name w:val="[Paragrafo base]"/>
    <w:basedOn w:val="Normale"/>
    <w:uiPriority w:val="99"/>
    <w:rsid w:val="00D02743"/>
    <w:pPr>
      <w:keepLines/>
      <w:suppressAutoHyphens/>
      <w:autoSpaceDE w:val="0"/>
      <w:autoSpaceDN w:val="0"/>
      <w:adjustRightInd w:val="0"/>
      <w:spacing w:after="170"/>
      <w:textAlignment w:val="center"/>
    </w:pPr>
    <w:rPr>
      <w:rFonts w:ascii="HelveticaNeueLT Pro 55 Roman" w:hAnsi="HelveticaNeueLT Pro 55 Roman" w:cs="HelveticaNeueLT Pro 55 Roman"/>
      <w:color w:val="000000"/>
      <w:sz w:val="18"/>
      <w:szCs w:val="18"/>
      <w:lang w:val="en-US"/>
    </w:rPr>
  </w:style>
  <w:style w:type="paragraph" w:customStyle="1" w:styleId="TableText8ptRoman">
    <w:name w:val="Table Text 8pt Roman"/>
    <w:basedOn w:val="Normale"/>
    <w:uiPriority w:val="99"/>
    <w:rsid w:val="00D02743"/>
    <w:pPr>
      <w:keepLines/>
      <w:suppressAutoHyphens/>
      <w:autoSpaceDE w:val="0"/>
      <w:autoSpaceDN w:val="0"/>
      <w:adjustRightInd w:val="0"/>
      <w:spacing w:after="113"/>
      <w:textAlignment w:val="center"/>
    </w:pPr>
    <w:rPr>
      <w:rFonts w:ascii="HelveticaNeueLT Pro 55 Roman" w:hAnsi="HelveticaNeueLT Pro 55 Roman" w:cs="HelveticaNeueLT Pro 55 Roman"/>
      <w:color w:val="000000"/>
      <w:sz w:val="16"/>
      <w:szCs w:val="16"/>
      <w:lang w:val="en-US"/>
    </w:rPr>
  </w:style>
  <w:style w:type="paragraph" w:customStyle="1" w:styleId="TabletBullets8ptRoman">
    <w:name w:val="Tablet Bullets 8pt Roman"/>
    <w:basedOn w:val="Normale"/>
    <w:uiPriority w:val="99"/>
    <w:rsid w:val="00D02743"/>
    <w:pPr>
      <w:keepLines/>
      <w:suppressAutoHyphens/>
      <w:autoSpaceDE w:val="0"/>
      <w:autoSpaceDN w:val="0"/>
      <w:adjustRightInd w:val="0"/>
      <w:spacing w:after="113"/>
      <w:ind w:left="170" w:hanging="170"/>
      <w:textAlignment w:val="center"/>
    </w:pPr>
    <w:rPr>
      <w:rFonts w:ascii="HelveticaNeueLT Pro 55 Roman" w:hAnsi="HelveticaNeueLT Pro 55 Roman" w:cs="HelveticaNeueLT Pro 55 Roman"/>
      <w:color w:val="000000"/>
      <w:sz w:val="16"/>
      <w:szCs w:val="16"/>
      <w:lang w:val="en-US"/>
    </w:rPr>
  </w:style>
  <w:style w:type="character" w:customStyle="1" w:styleId="Bold">
    <w:name w:val="Bold"/>
    <w:uiPriority w:val="99"/>
    <w:rsid w:val="00D02743"/>
    <w:rPr>
      <w:rFonts w:ascii="HelveticaNeueLT Pro 55 Roman" w:hAnsi="HelveticaNeueLT Pro 55 Roman" w:cs="HelveticaNeueLT Pro 55 Roman"/>
      <w:b/>
      <w:bCs/>
    </w:rPr>
  </w:style>
  <w:style w:type="character" w:customStyle="1" w:styleId="BoldWhite">
    <w:name w:val="Bold White"/>
    <w:basedOn w:val="Bold"/>
    <w:uiPriority w:val="99"/>
    <w:rsid w:val="00D02743"/>
    <w:rPr>
      <w:rFonts w:ascii="HelveticaNeueLT Pro 55 Roman" w:hAnsi="HelveticaNeueLT Pro 55 Roman" w:cs="HelveticaNeueLT Pro 55 Roman"/>
      <w:b/>
      <w:bCs/>
      <w:color w:val="FFFFFF"/>
    </w:rPr>
  </w:style>
  <w:style w:type="character" w:styleId="Collegamentoipertestuale">
    <w:name w:val="Hyperlink"/>
    <w:basedOn w:val="Carpredefinitoparagrafo"/>
    <w:uiPriority w:val="99"/>
    <w:rsid w:val="00D02743"/>
    <w:rPr>
      <w:color w:val="BC5F00"/>
      <w:w w:val="100"/>
      <w:u w:val="none"/>
    </w:rPr>
  </w:style>
  <w:style w:type="paragraph" w:styleId="Titolo">
    <w:name w:val="Title"/>
    <w:basedOn w:val="Normale"/>
    <w:next w:val="Normale"/>
    <w:link w:val="TitoloCarattere"/>
    <w:uiPriority w:val="10"/>
    <w:qFormat/>
    <w:rsid w:val="00F0246B"/>
    <w:pPr>
      <w:spacing w:after="1000" w:line="240" w:lineRule="auto"/>
      <w:contextualSpacing/>
    </w:pPr>
    <w:rPr>
      <w:rFonts w:eastAsiaTheme="majorEastAsia" w:cstheme="majorBidi"/>
      <w:color w:val="ED7D31" w:themeColor="accent2"/>
      <w:spacing w:val="-10"/>
      <w:kern w:val="28"/>
      <w:sz w:val="56"/>
      <w:szCs w:val="56"/>
    </w:rPr>
  </w:style>
  <w:style w:type="character" w:customStyle="1" w:styleId="TitoloCarattere">
    <w:name w:val="Titolo Carattere"/>
    <w:basedOn w:val="Carpredefinitoparagrafo"/>
    <w:link w:val="Titolo"/>
    <w:uiPriority w:val="10"/>
    <w:rsid w:val="00F0246B"/>
    <w:rPr>
      <w:rFonts w:ascii="Arial" w:eastAsiaTheme="majorEastAsia" w:hAnsi="Arial" w:cstheme="majorBidi"/>
      <w:color w:val="ED7D31" w:themeColor="accent2"/>
      <w:spacing w:val="-10"/>
      <w:kern w:val="28"/>
      <w:sz w:val="56"/>
      <w:szCs w:val="56"/>
    </w:rPr>
  </w:style>
  <w:style w:type="character" w:customStyle="1" w:styleId="Titolo2Carattere">
    <w:name w:val="Titolo 2 Carattere"/>
    <w:basedOn w:val="Carpredefinitoparagrafo"/>
    <w:link w:val="Titolo2"/>
    <w:uiPriority w:val="9"/>
    <w:rsid w:val="00F0246B"/>
    <w:rPr>
      <w:rFonts w:ascii="Arial" w:eastAsiaTheme="majorEastAsia" w:hAnsi="Arial" w:cstheme="majorBidi"/>
      <w:color w:val="ED7D31" w:themeColor="accent2"/>
      <w:sz w:val="28"/>
      <w:szCs w:val="26"/>
    </w:rPr>
  </w:style>
  <w:style w:type="character" w:styleId="Rimandocommento">
    <w:name w:val="annotation reference"/>
    <w:basedOn w:val="Carpredefinitoparagrafo"/>
    <w:uiPriority w:val="99"/>
    <w:semiHidden/>
    <w:unhideWhenUsed/>
    <w:rsid w:val="00D02743"/>
    <w:rPr>
      <w:sz w:val="16"/>
      <w:szCs w:val="16"/>
    </w:rPr>
  </w:style>
  <w:style w:type="paragraph" w:styleId="Testocommento">
    <w:name w:val="annotation text"/>
    <w:basedOn w:val="Normale"/>
    <w:link w:val="TestocommentoCarattere"/>
    <w:uiPriority w:val="99"/>
    <w:semiHidden/>
    <w:unhideWhenUsed/>
    <w:rsid w:val="00D02743"/>
    <w:rPr>
      <w:szCs w:val="20"/>
    </w:rPr>
  </w:style>
  <w:style w:type="character" w:customStyle="1" w:styleId="TestocommentoCarattere">
    <w:name w:val="Testo commento Carattere"/>
    <w:basedOn w:val="Carpredefinitoparagrafo"/>
    <w:link w:val="Testocommento"/>
    <w:uiPriority w:val="99"/>
    <w:semiHidden/>
    <w:rsid w:val="00D02743"/>
    <w:rPr>
      <w:rFonts w:ascii="Arial" w:hAnsi="Arial"/>
      <w:sz w:val="20"/>
      <w:szCs w:val="20"/>
    </w:rPr>
  </w:style>
  <w:style w:type="paragraph" w:styleId="Soggettocommento">
    <w:name w:val="annotation subject"/>
    <w:basedOn w:val="Testocommento"/>
    <w:next w:val="Testocommento"/>
    <w:link w:val="SoggettocommentoCarattere"/>
    <w:uiPriority w:val="99"/>
    <w:semiHidden/>
    <w:unhideWhenUsed/>
    <w:rsid w:val="00D02743"/>
    <w:rPr>
      <w:b/>
      <w:bCs/>
    </w:rPr>
  </w:style>
  <w:style w:type="character" w:customStyle="1" w:styleId="SoggettocommentoCarattere">
    <w:name w:val="Soggetto commento Carattere"/>
    <w:basedOn w:val="TestocommentoCarattere"/>
    <w:link w:val="Soggettocommento"/>
    <w:uiPriority w:val="99"/>
    <w:semiHidden/>
    <w:rsid w:val="00D02743"/>
    <w:rPr>
      <w:rFonts w:ascii="Arial" w:hAnsi="Arial"/>
      <w:b/>
      <w:bCs/>
      <w:sz w:val="20"/>
      <w:szCs w:val="20"/>
    </w:rPr>
  </w:style>
  <w:style w:type="paragraph" w:styleId="Testofumetto">
    <w:name w:val="Balloon Text"/>
    <w:basedOn w:val="Normale"/>
    <w:link w:val="TestofumettoCarattere"/>
    <w:uiPriority w:val="99"/>
    <w:semiHidden/>
    <w:unhideWhenUsed/>
    <w:rsid w:val="00D0274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D02743"/>
    <w:rPr>
      <w:rFonts w:ascii="Times New Roman" w:hAnsi="Times New Roman" w:cs="Times New Roman"/>
      <w:sz w:val="18"/>
      <w:szCs w:val="18"/>
    </w:rPr>
  </w:style>
  <w:style w:type="paragraph" w:styleId="Paragrafoelenco">
    <w:name w:val="List Paragraph"/>
    <w:basedOn w:val="Normale"/>
    <w:uiPriority w:val="34"/>
    <w:qFormat/>
    <w:rsid w:val="00482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726</Words>
  <Characters>4142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7</cp:revision>
  <dcterms:created xsi:type="dcterms:W3CDTF">2018-08-11T17:52:00Z</dcterms:created>
  <dcterms:modified xsi:type="dcterms:W3CDTF">2018-08-14T06:14:00Z</dcterms:modified>
</cp:coreProperties>
</file>