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0C1A" w14:textId="77777777" w:rsidR="00591951" w:rsidRPr="00654793" w:rsidRDefault="00A907BF" w:rsidP="009A2E88">
      <w:pPr>
        <w:tabs>
          <w:tab w:val="left" w:pos="3014"/>
        </w:tabs>
        <w:spacing w:after="3000"/>
        <w:rPr>
          <w:rStyle w:val="FootnoteReference"/>
        </w:rPr>
      </w:pPr>
      <w:r>
        <w:rPr>
          <w:noProof/>
        </w:rPr>
        <mc:AlternateContent>
          <mc:Choice Requires="wps">
            <w:drawing>
              <wp:anchor distT="0" distB="0" distL="114300" distR="114300" simplePos="0" relativeHeight="251657216" behindDoc="0" locked="0" layoutInCell="1" allowOverlap="1" wp14:anchorId="406FD80E" wp14:editId="1DC05F3D">
                <wp:simplePos x="0" y="0"/>
                <wp:positionH relativeFrom="margin">
                  <wp:posOffset>2061134</wp:posOffset>
                </wp:positionH>
                <wp:positionV relativeFrom="paragraph">
                  <wp:posOffset>-57263</wp:posOffset>
                </wp:positionV>
                <wp:extent cx="3666888" cy="5031712"/>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6888" cy="5031712"/>
                        </a:xfrm>
                        <a:prstGeom prst="rect">
                          <a:avLst/>
                        </a:prstGeom>
                        <a:noFill/>
                        <a:ln w="6350">
                          <a:noFill/>
                        </a:ln>
                        <a:effectLst/>
                      </wps:spPr>
                      <wps:txbx>
                        <w:txbxContent>
                          <w:p w14:paraId="770C20B8" w14:textId="77777777" w:rsidR="00B0413C" w:rsidRDefault="00B0413C" w:rsidP="008D6763">
                            <w:pPr>
                              <w:pStyle w:val="MainTitle"/>
                            </w:pPr>
                            <w:r>
                              <w:t>Implementing the UN Guiding Principles on Business and Human Rights in Australia</w:t>
                            </w:r>
                          </w:p>
                          <w:p w14:paraId="275033A6" w14:textId="77777777" w:rsidR="00B0413C" w:rsidRDefault="00B0413C" w:rsidP="008D6763">
                            <w:pPr>
                              <w:pStyle w:val="MainTitle"/>
                            </w:pPr>
                          </w:p>
                          <w:p w14:paraId="4ADA2412" w14:textId="77777777" w:rsidR="00B0413C" w:rsidRDefault="00B0413C" w:rsidP="008D6763">
                            <w:pPr>
                              <w:pStyle w:val="MainTitle"/>
                            </w:pPr>
                            <w:r>
                              <w:t xml:space="preserve">Joint Civil Society </w:t>
                            </w:r>
                          </w:p>
                          <w:p w14:paraId="2DA6AC4B" w14:textId="77777777" w:rsidR="00B0413C" w:rsidRDefault="00B0413C" w:rsidP="008D6763">
                            <w:pPr>
                              <w:pStyle w:val="MainTitle"/>
                            </w:pPr>
                            <w:r>
                              <w:t>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FD80E" id="_x0000_t202" coordsize="21600,21600" o:spt="202" path="m,l,21600r21600,l21600,xe">
                <v:stroke joinstyle="miter"/>
                <v:path gradientshapeok="t" o:connecttype="rect"/>
              </v:shapetype>
              <v:shape id="Text Box 1" o:spid="_x0000_s1026" type="#_x0000_t202" style="position:absolute;margin-left:162.3pt;margin-top:-4.5pt;width:288.75pt;height:39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" filled="f" stroked="f" strokeweight=".5pt">
                <v:path arrowok="t"/>
                <v:textbox>
                  <w:txbxContent>
                    <w:p w14:paraId="770C20B8" w14:textId="77777777" w:rsidR="00B0413C" w:rsidRDefault="00B0413C" w:rsidP="008D6763">
                      <w:pPr>
                        <w:pStyle w:val="MainTitle"/>
                      </w:pPr>
                      <w:r>
                        <w:t>Implementing the UN Guiding Principles on Business and Human Rights in Australia</w:t>
                      </w:r>
                    </w:p>
                    <w:p w14:paraId="275033A6" w14:textId="77777777" w:rsidR="00B0413C" w:rsidRDefault="00B0413C" w:rsidP="008D6763">
                      <w:pPr>
                        <w:pStyle w:val="MainTitle"/>
                      </w:pPr>
                    </w:p>
                    <w:p w14:paraId="4ADA2412" w14:textId="77777777" w:rsidR="00B0413C" w:rsidRDefault="00B0413C" w:rsidP="008D6763">
                      <w:pPr>
                        <w:pStyle w:val="MainTitle"/>
                      </w:pPr>
                      <w:r>
                        <w:t xml:space="preserve">Joint Civil Society </w:t>
                      </w:r>
                    </w:p>
                    <w:p w14:paraId="2DA6AC4B" w14:textId="77777777" w:rsidR="00B0413C" w:rsidRDefault="00B0413C" w:rsidP="008D6763">
                      <w:pPr>
                        <w:pStyle w:val="MainTitle"/>
                      </w:pPr>
                      <w:r>
                        <w:t>Statement</w:t>
                      </w:r>
                    </w:p>
                  </w:txbxContent>
                </v:textbox>
                <w10:wrap anchorx="margin"/>
              </v:shape>
            </w:pict>
          </mc:Fallback>
        </mc:AlternateContent>
      </w:r>
    </w:p>
    <w:p w14:paraId="42A51D02" w14:textId="77777777" w:rsidR="00591951" w:rsidRPr="00827DE2" w:rsidRDefault="00591951" w:rsidP="009A2E88">
      <w:pPr>
        <w:pStyle w:val="MainTitle"/>
        <w:jc w:val="left"/>
        <w:rPr>
          <w:sz w:val="44"/>
          <w:szCs w:val="44"/>
        </w:rPr>
      </w:pPr>
    </w:p>
    <w:p w14:paraId="5356AE37" w14:textId="77777777" w:rsidR="00A907BF" w:rsidRPr="00654793" w:rsidRDefault="00A907BF" w:rsidP="00A907BF">
      <w:pPr>
        <w:tabs>
          <w:tab w:val="left" w:pos="3014"/>
        </w:tabs>
        <w:spacing w:after="3000"/>
        <w:rPr>
          <w:rStyle w:val="FootnoteReference"/>
        </w:rPr>
      </w:pPr>
      <w:bookmarkStart w:id="0" w:name="_Toc209316062"/>
      <w:bookmarkStart w:id="1" w:name="_Toc207761829"/>
      <w:bookmarkEnd w:id="0"/>
      <w:r>
        <w:rPr>
          <w:noProof/>
        </w:rPr>
        <mc:AlternateContent>
          <mc:Choice Requires="wps">
            <w:drawing>
              <wp:anchor distT="0" distB="0" distL="114300" distR="114300" simplePos="0" relativeHeight="251658240" behindDoc="0" locked="0" layoutInCell="1" allowOverlap="1" wp14:anchorId="78126BF1" wp14:editId="75C3F302">
                <wp:simplePos x="0" y="0"/>
                <wp:positionH relativeFrom="column">
                  <wp:posOffset>889710</wp:posOffset>
                </wp:positionH>
                <wp:positionV relativeFrom="paragraph">
                  <wp:posOffset>1930296</wp:posOffset>
                </wp:positionV>
                <wp:extent cx="4705350" cy="752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752475"/>
                        </a:xfrm>
                        <a:prstGeom prst="rect">
                          <a:avLst/>
                        </a:prstGeom>
                        <a:noFill/>
                        <a:ln w="6350">
                          <a:noFill/>
                        </a:ln>
                        <a:effectLst/>
                      </wps:spPr>
                      <wps:txbx>
                        <w:txbxContent>
                          <w:p w14:paraId="3D2ADAA6" w14:textId="77777777" w:rsidR="00B0413C" w:rsidRDefault="00B0413C" w:rsidP="00A11307">
                            <w:pPr>
                              <w:pStyle w:val="Subtitle"/>
                            </w:pPr>
                          </w:p>
                          <w:p w14:paraId="3012F5BC" w14:textId="77777777" w:rsidR="00B0413C" w:rsidRDefault="00B0413C" w:rsidP="00A11307">
                            <w:pPr>
                              <w:pStyle w:val="Subtitle"/>
                            </w:pPr>
                          </w:p>
                          <w:p w14:paraId="626A088F" w14:textId="10F40582" w:rsidR="00B0413C" w:rsidRDefault="00D818F3" w:rsidP="00A11307">
                            <w:pPr>
                              <w:pStyle w:val="Subtitle"/>
                            </w:pPr>
                            <w:bookmarkStart w:id="2" w:name="_Toc453332300"/>
                            <w:bookmarkStart w:id="3" w:name="_Toc453943117"/>
                            <w:bookmarkStart w:id="4" w:name="_Toc454973520"/>
                            <w:bookmarkStart w:id="5" w:name="_Toc455050907"/>
                            <w:bookmarkStart w:id="6" w:name="_Toc455588100"/>
                            <w:bookmarkStart w:id="7" w:name="_Toc456168850"/>
                            <w:r>
                              <w:t xml:space="preserve">AUGUST </w:t>
                            </w:r>
                            <w:r w:rsidR="00B0413C">
                              <w:t>2016</w:t>
                            </w:r>
                            <w:bookmarkEnd w:id="2"/>
                            <w:bookmarkEnd w:id="3"/>
                            <w:bookmarkEnd w:id="4"/>
                            <w:bookmarkEnd w:id="5"/>
                            <w:bookmarkEnd w:id="6"/>
                            <w:bookmarkEnd w:id="7"/>
                          </w:p>
                          <w:p w14:paraId="18D738EF" w14:textId="77777777" w:rsidR="00B0413C" w:rsidRDefault="00B0413C" w:rsidP="00A11307">
                            <w:pPr>
                              <w:pStyle w:val="Subtitle"/>
                            </w:pPr>
                          </w:p>
                          <w:p w14:paraId="13AFDA48" w14:textId="77777777" w:rsidR="00B0413C" w:rsidRDefault="00B0413C" w:rsidP="00A11307">
                            <w:pPr>
                              <w:pStyle w:val="Subtitle"/>
                            </w:pPr>
                          </w:p>
                          <w:p w14:paraId="5C55AB23" w14:textId="77777777" w:rsidR="00B0413C" w:rsidRDefault="00B0413C" w:rsidP="00A11307">
                            <w:pPr>
                              <w:pStyle w:val="Subtitle"/>
                            </w:pPr>
                          </w:p>
                          <w:p w14:paraId="5D933348" w14:textId="77777777" w:rsidR="00B0413C" w:rsidRDefault="00B0413C" w:rsidP="00A11307">
                            <w:pPr>
                              <w:pStyle w:val="Subtitle"/>
                            </w:pPr>
                          </w:p>
                          <w:p w14:paraId="73233BA0" w14:textId="77777777" w:rsidR="00B0413C" w:rsidRDefault="00B0413C" w:rsidP="00A11307">
                            <w:pPr>
                              <w:pStyle w:val="Subtitle"/>
                            </w:pPr>
                          </w:p>
                          <w:p w14:paraId="29B36D9A" w14:textId="77777777" w:rsidR="00B0413C" w:rsidRDefault="00B0413C" w:rsidP="00A11307">
                            <w:pPr>
                              <w:pStyle w:val="Subtitle"/>
                            </w:pPr>
                          </w:p>
                          <w:p w14:paraId="638065D0" w14:textId="77777777" w:rsidR="00B0413C" w:rsidRDefault="00B0413C" w:rsidP="00A11307">
                            <w:pPr>
                              <w:pStyle w:val="Subtitle"/>
                            </w:pPr>
                          </w:p>
                          <w:p w14:paraId="4FCED798" w14:textId="77777777" w:rsidR="00B0413C" w:rsidRDefault="00B0413C" w:rsidP="00A11307">
                            <w:pPr>
                              <w:pStyle w:val="Subtitle"/>
                            </w:pPr>
                          </w:p>
                          <w:p w14:paraId="4D31C5CC" w14:textId="77777777" w:rsidR="00B0413C" w:rsidRPr="00B74219" w:rsidRDefault="00B0413C" w:rsidP="00A11307">
                            <w:pPr>
                              <w:pStyle w:val="Subtitle"/>
                            </w:pPr>
                            <w:bookmarkStart w:id="8" w:name="_Toc453332301"/>
                            <w:bookmarkStart w:id="9" w:name="_Toc453943118"/>
                            <w:bookmarkStart w:id="10" w:name="_Toc454973521"/>
                            <w:bookmarkStart w:id="11" w:name="_Toc455050908"/>
                            <w:bookmarkStart w:id="12" w:name="_Toc455580896"/>
                            <w:bookmarkStart w:id="13" w:name="_Toc455588101"/>
                            <w:bookmarkStart w:id="14" w:name="_Toc456168851"/>
                            <w:r>
                              <w:t>June</w:t>
                            </w:r>
                            <w:r w:rsidRPr="00C332D4">
                              <w:t xml:space="preserve"> 20</w:t>
                            </w:r>
                            <w:r>
                              <w:t>16</w:t>
                            </w:r>
                            <w:bookmarkEnd w:id="8"/>
                            <w:bookmarkEnd w:id="9"/>
                            <w:bookmarkEnd w:id="10"/>
                            <w:bookmarkEnd w:id="11"/>
                            <w:bookmarkEnd w:id="12"/>
                            <w:bookmarkEnd w:id="13"/>
                            <w:bookmarkEnd w:id="1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6BF1" id="Text Box 3" o:spid="_x0000_s1027" type="#_x0000_t202" style="position:absolute;margin-left:70.05pt;margin-top:152pt;width:370.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" filled="f" stroked="f" strokeweight=".5pt">
                <v:path arrowok="t"/>
                <v:textbox>
                  <w:txbxContent>
                    <w:p w14:paraId="3D2ADAA6" w14:textId="77777777" w:rsidR="00B0413C" w:rsidRDefault="00B0413C" w:rsidP="00A11307">
                      <w:pPr>
                        <w:pStyle w:val="Subtitle"/>
                      </w:pPr>
                    </w:p>
                    <w:p w14:paraId="3012F5BC" w14:textId="77777777" w:rsidR="00B0413C" w:rsidRDefault="00B0413C" w:rsidP="00A11307">
                      <w:pPr>
                        <w:pStyle w:val="Subtitle"/>
                      </w:pPr>
                    </w:p>
                    <w:p w14:paraId="626A088F" w14:textId="10F40582" w:rsidR="00B0413C" w:rsidRDefault="00D818F3" w:rsidP="00A11307">
                      <w:pPr>
                        <w:pStyle w:val="Subtitle"/>
                      </w:pPr>
                      <w:bookmarkStart w:id="15" w:name="_Toc453332300"/>
                      <w:bookmarkStart w:id="16" w:name="_Toc453943117"/>
                      <w:bookmarkStart w:id="17" w:name="_Toc454973520"/>
                      <w:bookmarkStart w:id="18" w:name="_Toc455050907"/>
                      <w:bookmarkStart w:id="19" w:name="_Toc455588100"/>
                      <w:bookmarkStart w:id="20" w:name="_Toc456168850"/>
                      <w:r>
                        <w:t xml:space="preserve">AUGUST </w:t>
                      </w:r>
                      <w:r w:rsidR="00B0413C">
                        <w:t>2016</w:t>
                      </w:r>
                      <w:bookmarkEnd w:id="15"/>
                      <w:bookmarkEnd w:id="16"/>
                      <w:bookmarkEnd w:id="17"/>
                      <w:bookmarkEnd w:id="18"/>
                      <w:bookmarkEnd w:id="19"/>
                      <w:bookmarkEnd w:id="20"/>
                    </w:p>
                    <w:p w14:paraId="18D738EF" w14:textId="77777777" w:rsidR="00B0413C" w:rsidRDefault="00B0413C" w:rsidP="00A11307">
                      <w:pPr>
                        <w:pStyle w:val="Subtitle"/>
                      </w:pPr>
                    </w:p>
                    <w:p w14:paraId="13AFDA48" w14:textId="77777777" w:rsidR="00B0413C" w:rsidRDefault="00B0413C" w:rsidP="00A11307">
                      <w:pPr>
                        <w:pStyle w:val="Subtitle"/>
                      </w:pPr>
                    </w:p>
                    <w:p w14:paraId="5C55AB23" w14:textId="77777777" w:rsidR="00B0413C" w:rsidRDefault="00B0413C" w:rsidP="00A11307">
                      <w:pPr>
                        <w:pStyle w:val="Subtitle"/>
                      </w:pPr>
                    </w:p>
                    <w:p w14:paraId="5D933348" w14:textId="77777777" w:rsidR="00B0413C" w:rsidRDefault="00B0413C" w:rsidP="00A11307">
                      <w:pPr>
                        <w:pStyle w:val="Subtitle"/>
                      </w:pPr>
                    </w:p>
                    <w:p w14:paraId="73233BA0" w14:textId="77777777" w:rsidR="00B0413C" w:rsidRDefault="00B0413C" w:rsidP="00A11307">
                      <w:pPr>
                        <w:pStyle w:val="Subtitle"/>
                      </w:pPr>
                    </w:p>
                    <w:p w14:paraId="29B36D9A" w14:textId="77777777" w:rsidR="00B0413C" w:rsidRDefault="00B0413C" w:rsidP="00A11307">
                      <w:pPr>
                        <w:pStyle w:val="Subtitle"/>
                      </w:pPr>
                    </w:p>
                    <w:p w14:paraId="638065D0" w14:textId="77777777" w:rsidR="00B0413C" w:rsidRDefault="00B0413C" w:rsidP="00A11307">
                      <w:pPr>
                        <w:pStyle w:val="Subtitle"/>
                      </w:pPr>
                    </w:p>
                    <w:p w14:paraId="4FCED798" w14:textId="77777777" w:rsidR="00B0413C" w:rsidRDefault="00B0413C" w:rsidP="00A11307">
                      <w:pPr>
                        <w:pStyle w:val="Subtitle"/>
                      </w:pPr>
                    </w:p>
                    <w:p w14:paraId="4D31C5CC" w14:textId="77777777" w:rsidR="00B0413C" w:rsidRPr="00B74219" w:rsidRDefault="00B0413C" w:rsidP="00A11307">
                      <w:pPr>
                        <w:pStyle w:val="Subtitle"/>
                      </w:pPr>
                      <w:bookmarkStart w:id="21" w:name="_Toc453332301"/>
                      <w:bookmarkStart w:id="22" w:name="_Toc453943118"/>
                      <w:bookmarkStart w:id="23" w:name="_Toc454973521"/>
                      <w:bookmarkStart w:id="24" w:name="_Toc455050908"/>
                      <w:bookmarkStart w:id="25" w:name="_Toc455580896"/>
                      <w:bookmarkStart w:id="26" w:name="_Toc455588101"/>
                      <w:bookmarkStart w:id="27" w:name="_Toc456168851"/>
                      <w:r>
                        <w:t>June</w:t>
                      </w:r>
                      <w:r w:rsidRPr="00C332D4">
                        <w:t xml:space="preserve"> 20</w:t>
                      </w:r>
                      <w:r>
                        <w:t>16</w:t>
                      </w:r>
                      <w:bookmarkEnd w:id="21"/>
                      <w:bookmarkEnd w:id="22"/>
                      <w:bookmarkEnd w:id="23"/>
                      <w:bookmarkEnd w:id="24"/>
                      <w:bookmarkEnd w:id="25"/>
                      <w:bookmarkEnd w:id="26"/>
                      <w:bookmarkEnd w:id="27"/>
                    </w:p>
                  </w:txbxContent>
                </v:textbox>
              </v:shape>
            </w:pict>
          </mc:Fallback>
        </mc:AlternateContent>
      </w:r>
    </w:p>
    <w:p w14:paraId="3F6661AD" w14:textId="77777777" w:rsidR="00A907BF" w:rsidRPr="00827DE2" w:rsidRDefault="00A907BF" w:rsidP="00A907BF">
      <w:pPr>
        <w:pStyle w:val="MainTitle"/>
        <w:rPr>
          <w:sz w:val="44"/>
          <w:szCs w:val="44"/>
        </w:rPr>
      </w:pPr>
    </w:p>
    <w:p w14:paraId="55BE00B0" w14:textId="77777777" w:rsidR="00A907BF" w:rsidRDefault="00A907BF" w:rsidP="00A907BF">
      <w:pPr>
        <w:sectPr w:rsidR="00A907BF" w:rsidSect="00A907BF">
          <w:headerReference w:type="even" r:id="rId8"/>
          <w:headerReference w:type="default" r:id="rId9"/>
          <w:footerReference w:type="default" r:id="rId10"/>
          <w:headerReference w:type="first" r:id="rId11"/>
          <w:footerReference w:type="first" r:id="rId12"/>
          <w:pgSz w:w="11906" w:h="16838" w:code="9"/>
          <w:pgMar w:top="228" w:right="1700" w:bottom="1134" w:left="1418" w:header="277" w:footer="415" w:gutter="0"/>
          <w:cols w:space="708"/>
          <w:titlePg/>
          <w:docGrid w:linePitch="360"/>
        </w:sectPr>
      </w:pPr>
    </w:p>
    <w:p w14:paraId="752D4DC8" w14:textId="77777777" w:rsidR="00B63D24" w:rsidRPr="00907336" w:rsidRDefault="00B63D24" w:rsidP="009A2E88">
      <w:pPr>
        <w:rPr>
          <w:b/>
          <w:sz w:val="28"/>
          <w:szCs w:val="28"/>
        </w:rPr>
      </w:pPr>
      <w:r w:rsidRPr="00907336">
        <w:rPr>
          <w:b/>
          <w:sz w:val="28"/>
          <w:szCs w:val="28"/>
        </w:rPr>
        <w:lastRenderedPageBreak/>
        <w:t>Table of Contents</w:t>
      </w:r>
      <w:bookmarkEnd w:id="1"/>
    </w:p>
    <w:p w14:paraId="660DD66F" w14:textId="77777777" w:rsidR="00275E85" w:rsidRDefault="00B63D24" w:rsidP="00275E85">
      <w:pPr>
        <w:pStyle w:val="TOC2"/>
        <w:rPr>
          <w:rFonts w:asciiTheme="minorHAnsi" w:eastAsiaTheme="minorEastAsia" w:hAnsiTheme="minorHAnsi" w:cstheme="minorBidi"/>
          <w:b w:val="0"/>
          <w:i w:val="0"/>
          <w:sz w:val="22"/>
          <w:szCs w:val="22"/>
        </w:rPr>
      </w:pPr>
      <w:r>
        <w:fldChar w:fldCharType="begin"/>
      </w:r>
      <w:r>
        <w:instrText xml:space="preserve"> TOC \o "1-4" \h \z \u </w:instrText>
      </w:r>
      <w:r>
        <w:fldChar w:fldCharType="separate"/>
      </w:r>
    </w:p>
    <w:p w14:paraId="3BE84601" w14:textId="1F246BE9" w:rsidR="00275E85" w:rsidRPr="00275E85" w:rsidRDefault="00350C3C">
      <w:pPr>
        <w:pStyle w:val="TOC1"/>
        <w:rPr>
          <w:rFonts w:asciiTheme="minorHAnsi" w:eastAsiaTheme="minorEastAsia" w:hAnsiTheme="minorHAnsi" w:cstheme="minorBidi"/>
          <w:b w:val="0"/>
          <w:szCs w:val="22"/>
        </w:rPr>
      </w:pPr>
      <w:hyperlink w:anchor="_Toc456168853" w:history="1">
        <w:r w:rsidR="00275E85" w:rsidRPr="00275E85">
          <w:rPr>
            <w:rStyle w:val="Hyperlink"/>
            <w:szCs w:val="22"/>
          </w:rPr>
          <w:t>1</w:t>
        </w:r>
        <w:r w:rsidR="00275E85" w:rsidRPr="00275E85">
          <w:rPr>
            <w:rFonts w:asciiTheme="minorHAnsi" w:eastAsiaTheme="minorEastAsia" w:hAnsiTheme="minorHAnsi" w:cstheme="minorBidi"/>
            <w:b w:val="0"/>
            <w:szCs w:val="22"/>
          </w:rPr>
          <w:tab/>
        </w:r>
        <w:r w:rsidR="00275E85" w:rsidRPr="00275E85">
          <w:rPr>
            <w:rStyle w:val="Hyperlink"/>
            <w:szCs w:val="22"/>
          </w:rPr>
          <w:t>Summary of CSO Roundtable Outcomes</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_Toc456168853 \h </w:instrText>
        </w:r>
        <w:r w:rsidR="00275E85" w:rsidRPr="00275E85">
          <w:rPr>
            <w:webHidden/>
            <w:szCs w:val="22"/>
          </w:rPr>
        </w:r>
        <w:r w:rsidR="00275E85" w:rsidRPr="00275E85">
          <w:rPr>
            <w:webHidden/>
            <w:szCs w:val="22"/>
          </w:rPr>
          <w:fldChar w:fldCharType="separate"/>
        </w:r>
        <w:r>
          <w:rPr>
            <w:webHidden/>
            <w:szCs w:val="22"/>
          </w:rPr>
          <w:t>4</w:t>
        </w:r>
        <w:r w:rsidR="00275E85" w:rsidRPr="00275E85">
          <w:rPr>
            <w:webHidden/>
            <w:szCs w:val="22"/>
          </w:rPr>
          <w:fldChar w:fldCharType="end"/>
        </w:r>
      </w:hyperlink>
    </w:p>
    <w:p w14:paraId="58D25A7F" w14:textId="7EF7A81A" w:rsidR="00275E85" w:rsidRPr="00275E85" w:rsidRDefault="00350C3C">
      <w:pPr>
        <w:pStyle w:val="TOC2"/>
        <w:rPr>
          <w:rFonts w:asciiTheme="minorHAnsi" w:eastAsiaTheme="minorEastAsia" w:hAnsiTheme="minorHAnsi" w:cstheme="minorBidi"/>
          <w:b w:val="0"/>
          <w:i w:val="0"/>
          <w:sz w:val="22"/>
          <w:szCs w:val="22"/>
        </w:rPr>
      </w:pPr>
      <w:hyperlink w:anchor="_Toc456168856" w:history="1">
        <w:r w:rsidR="00275E85" w:rsidRPr="00275E85">
          <w:rPr>
            <w:rStyle w:val="Hyperlink"/>
            <w:sz w:val="22"/>
            <w:szCs w:val="22"/>
          </w:rPr>
          <w:t>1.1</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Key Recommendations</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_Toc456168856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4</w:t>
        </w:r>
        <w:r w:rsidR="00275E85" w:rsidRPr="00AA37D5">
          <w:rPr>
            <w:i w:val="0"/>
            <w:webHidden/>
            <w:sz w:val="22"/>
            <w:szCs w:val="22"/>
          </w:rPr>
          <w:fldChar w:fldCharType="end"/>
        </w:r>
      </w:hyperlink>
    </w:p>
    <w:p w14:paraId="18E69494" w14:textId="4F634644" w:rsidR="00275E85" w:rsidRPr="00275E85" w:rsidRDefault="00350C3C">
      <w:pPr>
        <w:pStyle w:val="TOC2"/>
        <w:rPr>
          <w:rFonts w:asciiTheme="minorHAnsi" w:eastAsiaTheme="minorEastAsia" w:hAnsiTheme="minorHAnsi" w:cstheme="minorBidi"/>
          <w:b w:val="0"/>
          <w:i w:val="0"/>
          <w:sz w:val="22"/>
          <w:szCs w:val="22"/>
        </w:rPr>
      </w:pPr>
      <w:hyperlink w:anchor="_Toc456168858" w:history="1">
        <w:r w:rsidR="00275E85" w:rsidRPr="00275E85">
          <w:rPr>
            <w:rStyle w:val="Hyperlink"/>
            <w:sz w:val="22"/>
            <w:szCs w:val="22"/>
          </w:rPr>
          <w:t>1.2</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Key Challenges</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_Toc456168858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5</w:t>
        </w:r>
        <w:r w:rsidR="00275E85" w:rsidRPr="00AA37D5">
          <w:rPr>
            <w:i w:val="0"/>
            <w:webHidden/>
            <w:sz w:val="22"/>
            <w:szCs w:val="22"/>
          </w:rPr>
          <w:fldChar w:fldCharType="end"/>
        </w:r>
      </w:hyperlink>
    </w:p>
    <w:p w14:paraId="60DEAE75" w14:textId="35A254EE" w:rsidR="00275E85" w:rsidRPr="00275E85" w:rsidRDefault="00350C3C">
      <w:pPr>
        <w:pStyle w:val="TOC1"/>
        <w:rPr>
          <w:rFonts w:asciiTheme="minorHAnsi" w:eastAsiaTheme="minorEastAsia" w:hAnsiTheme="minorHAnsi" w:cstheme="minorBidi"/>
          <w:b w:val="0"/>
          <w:szCs w:val="22"/>
        </w:rPr>
      </w:pPr>
      <w:hyperlink w:anchor="_Toc456168860" w:history="1">
        <w:r w:rsidR="00275E85" w:rsidRPr="00275E85">
          <w:rPr>
            <w:rStyle w:val="Hyperlink"/>
            <w:szCs w:val="22"/>
          </w:rPr>
          <w:t>2</w:t>
        </w:r>
        <w:r w:rsidR="00275E85" w:rsidRPr="00275E85">
          <w:rPr>
            <w:rFonts w:asciiTheme="minorHAnsi" w:eastAsiaTheme="minorEastAsia" w:hAnsiTheme="minorHAnsi" w:cstheme="minorBidi"/>
            <w:b w:val="0"/>
            <w:szCs w:val="22"/>
          </w:rPr>
          <w:tab/>
        </w:r>
        <w:r w:rsidR="00275E85" w:rsidRPr="00275E85">
          <w:rPr>
            <w:rStyle w:val="Hyperlink"/>
            <w:szCs w:val="22"/>
          </w:rPr>
          <w:t>Background</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_Toc456168860 \h </w:instrText>
        </w:r>
        <w:r w:rsidR="00275E85" w:rsidRPr="00275E85">
          <w:rPr>
            <w:webHidden/>
            <w:szCs w:val="22"/>
          </w:rPr>
        </w:r>
        <w:r w:rsidR="00275E85" w:rsidRPr="00275E85">
          <w:rPr>
            <w:webHidden/>
            <w:szCs w:val="22"/>
          </w:rPr>
          <w:fldChar w:fldCharType="separate"/>
        </w:r>
        <w:r>
          <w:rPr>
            <w:webHidden/>
            <w:szCs w:val="22"/>
          </w:rPr>
          <w:t>5</w:t>
        </w:r>
        <w:r w:rsidR="00275E85" w:rsidRPr="00275E85">
          <w:rPr>
            <w:webHidden/>
            <w:szCs w:val="22"/>
          </w:rPr>
          <w:fldChar w:fldCharType="end"/>
        </w:r>
      </w:hyperlink>
    </w:p>
    <w:p w14:paraId="59D79D49" w14:textId="4F2D0AA1" w:rsidR="00275E85" w:rsidRPr="00275E85" w:rsidRDefault="00350C3C">
      <w:pPr>
        <w:pStyle w:val="TOC2"/>
        <w:rPr>
          <w:rFonts w:asciiTheme="minorHAnsi" w:eastAsiaTheme="minorEastAsia" w:hAnsiTheme="minorHAnsi" w:cstheme="minorBidi"/>
          <w:b w:val="0"/>
          <w:i w:val="0"/>
          <w:sz w:val="22"/>
          <w:szCs w:val="22"/>
        </w:rPr>
      </w:pPr>
      <w:hyperlink w:anchor="_Toc456168861" w:history="1">
        <w:r w:rsidR="00275E85" w:rsidRPr="00275E85">
          <w:rPr>
            <w:rStyle w:val="Hyperlink"/>
            <w:sz w:val="22"/>
            <w:szCs w:val="22"/>
          </w:rPr>
          <w:t>2.1</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UN Guiding Principles</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_Toc456168861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5</w:t>
        </w:r>
        <w:r w:rsidR="00275E85" w:rsidRPr="00AA37D5">
          <w:rPr>
            <w:i w:val="0"/>
            <w:webHidden/>
            <w:sz w:val="22"/>
            <w:szCs w:val="22"/>
          </w:rPr>
          <w:fldChar w:fldCharType="end"/>
        </w:r>
      </w:hyperlink>
    </w:p>
    <w:p w14:paraId="3FB9F11B" w14:textId="542CA227" w:rsidR="00275E85" w:rsidRPr="00275E85" w:rsidRDefault="00350C3C">
      <w:pPr>
        <w:pStyle w:val="TOC2"/>
        <w:rPr>
          <w:rFonts w:asciiTheme="minorHAnsi" w:eastAsiaTheme="minorEastAsia" w:hAnsiTheme="minorHAnsi" w:cstheme="minorBidi"/>
          <w:b w:val="0"/>
          <w:i w:val="0"/>
          <w:sz w:val="22"/>
          <w:szCs w:val="22"/>
        </w:rPr>
      </w:pPr>
      <w:hyperlink w:anchor="_Toc456168862" w:history="1">
        <w:r w:rsidR="00275E85" w:rsidRPr="00275E85">
          <w:rPr>
            <w:rStyle w:val="Hyperlink"/>
            <w:sz w:val="22"/>
            <w:szCs w:val="22"/>
          </w:rPr>
          <w:t>2.2</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National Action Plans</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_Toc456168862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5</w:t>
        </w:r>
        <w:r w:rsidR="00275E85" w:rsidRPr="00AA37D5">
          <w:rPr>
            <w:i w:val="0"/>
            <w:webHidden/>
            <w:sz w:val="22"/>
            <w:szCs w:val="22"/>
          </w:rPr>
          <w:fldChar w:fldCharType="end"/>
        </w:r>
      </w:hyperlink>
    </w:p>
    <w:p w14:paraId="5B636EC0" w14:textId="234D1358" w:rsidR="00275E85" w:rsidRPr="00275E85" w:rsidRDefault="00350C3C">
      <w:pPr>
        <w:pStyle w:val="TOC2"/>
        <w:rPr>
          <w:rFonts w:asciiTheme="minorHAnsi" w:eastAsiaTheme="minorEastAsia" w:hAnsiTheme="minorHAnsi" w:cstheme="minorBidi"/>
          <w:b w:val="0"/>
          <w:i w:val="0"/>
          <w:sz w:val="22"/>
          <w:szCs w:val="22"/>
        </w:rPr>
      </w:pPr>
      <w:hyperlink w:anchor="_Toc456168863" w:history="1">
        <w:r w:rsidR="00275E85" w:rsidRPr="00275E85">
          <w:rPr>
            <w:rStyle w:val="Hyperlink"/>
            <w:sz w:val="22"/>
            <w:szCs w:val="22"/>
          </w:rPr>
          <w:t>2.3</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Steps Taken</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_Toc456168863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6</w:t>
        </w:r>
        <w:r w:rsidR="00275E85" w:rsidRPr="00AA37D5">
          <w:rPr>
            <w:i w:val="0"/>
            <w:webHidden/>
            <w:sz w:val="22"/>
            <w:szCs w:val="22"/>
          </w:rPr>
          <w:fldChar w:fldCharType="end"/>
        </w:r>
      </w:hyperlink>
    </w:p>
    <w:p w14:paraId="109CA2B4" w14:textId="19E724E1" w:rsidR="00275E85" w:rsidRPr="00275E85" w:rsidRDefault="00350C3C">
      <w:pPr>
        <w:pStyle w:val="TOC1"/>
        <w:rPr>
          <w:rFonts w:asciiTheme="minorHAnsi" w:eastAsiaTheme="minorEastAsia" w:hAnsiTheme="minorHAnsi" w:cstheme="minorBidi"/>
          <w:b w:val="0"/>
          <w:szCs w:val="22"/>
        </w:rPr>
      </w:pPr>
      <w:hyperlink w:anchor="_Toc456168864" w:history="1">
        <w:r w:rsidR="00275E85" w:rsidRPr="00275E85">
          <w:rPr>
            <w:rStyle w:val="Hyperlink"/>
            <w:szCs w:val="22"/>
          </w:rPr>
          <w:t>3</w:t>
        </w:r>
        <w:r w:rsidR="00275E85" w:rsidRPr="00275E85">
          <w:rPr>
            <w:rFonts w:asciiTheme="minorHAnsi" w:eastAsiaTheme="minorEastAsia" w:hAnsiTheme="minorHAnsi" w:cstheme="minorBidi"/>
            <w:b w:val="0"/>
            <w:szCs w:val="22"/>
          </w:rPr>
          <w:tab/>
        </w:r>
        <w:r w:rsidR="00275E85" w:rsidRPr="00275E85">
          <w:rPr>
            <w:rStyle w:val="Hyperlink"/>
            <w:szCs w:val="22"/>
          </w:rPr>
          <w:t>Purpose of Joint Civil Society Statement</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_Toc456168864 \h </w:instrText>
        </w:r>
        <w:r w:rsidR="00275E85" w:rsidRPr="00275E85">
          <w:rPr>
            <w:webHidden/>
            <w:szCs w:val="22"/>
          </w:rPr>
        </w:r>
        <w:r w:rsidR="00275E85" w:rsidRPr="00275E85">
          <w:rPr>
            <w:webHidden/>
            <w:szCs w:val="22"/>
          </w:rPr>
          <w:fldChar w:fldCharType="separate"/>
        </w:r>
        <w:r>
          <w:rPr>
            <w:webHidden/>
            <w:szCs w:val="22"/>
          </w:rPr>
          <w:t>6</w:t>
        </w:r>
        <w:r w:rsidR="00275E85" w:rsidRPr="00275E85">
          <w:rPr>
            <w:webHidden/>
            <w:szCs w:val="22"/>
          </w:rPr>
          <w:fldChar w:fldCharType="end"/>
        </w:r>
      </w:hyperlink>
    </w:p>
    <w:p w14:paraId="641A9CE5" w14:textId="365EF89A" w:rsidR="00275E85" w:rsidRPr="00275E85" w:rsidRDefault="00350C3C">
      <w:pPr>
        <w:pStyle w:val="TOC1"/>
        <w:rPr>
          <w:rFonts w:asciiTheme="minorHAnsi" w:eastAsiaTheme="minorEastAsia" w:hAnsiTheme="minorHAnsi" w:cstheme="minorBidi"/>
          <w:b w:val="0"/>
          <w:szCs w:val="22"/>
        </w:rPr>
      </w:pPr>
      <w:hyperlink w:anchor="_Toc456168865" w:history="1">
        <w:r w:rsidR="00275E85" w:rsidRPr="00275E85">
          <w:rPr>
            <w:rStyle w:val="Hyperlink"/>
            <w:szCs w:val="22"/>
          </w:rPr>
          <w:t>4</w:t>
        </w:r>
        <w:r w:rsidR="00275E85" w:rsidRPr="00275E85">
          <w:rPr>
            <w:rFonts w:asciiTheme="minorHAnsi" w:eastAsiaTheme="minorEastAsia" w:hAnsiTheme="minorHAnsi" w:cstheme="minorBidi"/>
            <w:b w:val="0"/>
            <w:szCs w:val="22"/>
          </w:rPr>
          <w:tab/>
        </w:r>
        <w:r w:rsidR="00275E85" w:rsidRPr="00275E85">
          <w:rPr>
            <w:rStyle w:val="Hyperlink"/>
            <w:szCs w:val="22"/>
          </w:rPr>
          <w:t>National Baseline Assessment</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_Toc456168865 \h </w:instrText>
        </w:r>
        <w:r w:rsidR="00275E85" w:rsidRPr="00275E85">
          <w:rPr>
            <w:webHidden/>
            <w:szCs w:val="22"/>
          </w:rPr>
        </w:r>
        <w:r w:rsidR="00275E85" w:rsidRPr="00275E85">
          <w:rPr>
            <w:webHidden/>
            <w:szCs w:val="22"/>
          </w:rPr>
          <w:fldChar w:fldCharType="separate"/>
        </w:r>
        <w:r>
          <w:rPr>
            <w:webHidden/>
            <w:szCs w:val="22"/>
          </w:rPr>
          <w:t>6</w:t>
        </w:r>
        <w:r w:rsidR="00275E85" w:rsidRPr="00275E85">
          <w:rPr>
            <w:webHidden/>
            <w:szCs w:val="22"/>
          </w:rPr>
          <w:fldChar w:fldCharType="end"/>
        </w:r>
      </w:hyperlink>
    </w:p>
    <w:p w14:paraId="6C01DE4C" w14:textId="21A74659" w:rsidR="00275E85" w:rsidRPr="00275E85" w:rsidRDefault="00350C3C">
      <w:pPr>
        <w:pStyle w:val="TOC1"/>
        <w:rPr>
          <w:rFonts w:asciiTheme="minorHAnsi" w:eastAsiaTheme="minorEastAsia" w:hAnsiTheme="minorHAnsi" w:cstheme="minorBidi"/>
          <w:b w:val="0"/>
          <w:szCs w:val="22"/>
        </w:rPr>
      </w:pPr>
      <w:hyperlink w:anchor="_Toc456168866" w:history="1">
        <w:r w:rsidR="00275E85" w:rsidRPr="00275E85">
          <w:rPr>
            <w:rStyle w:val="Hyperlink"/>
            <w:szCs w:val="22"/>
          </w:rPr>
          <w:t>5</w:t>
        </w:r>
        <w:r w:rsidR="00275E85" w:rsidRPr="00275E85">
          <w:rPr>
            <w:rFonts w:asciiTheme="minorHAnsi" w:eastAsiaTheme="minorEastAsia" w:hAnsiTheme="minorHAnsi" w:cstheme="minorBidi"/>
            <w:b w:val="0"/>
            <w:szCs w:val="22"/>
          </w:rPr>
          <w:tab/>
        </w:r>
        <w:r w:rsidR="00275E85" w:rsidRPr="00275E85">
          <w:rPr>
            <w:rStyle w:val="Hyperlink"/>
            <w:szCs w:val="22"/>
          </w:rPr>
          <w:t>Multi-Stakeholder Participation and Advisory Panel</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_Toc456168866 \h </w:instrText>
        </w:r>
        <w:r w:rsidR="00275E85" w:rsidRPr="00275E85">
          <w:rPr>
            <w:webHidden/>
            <w:szCs w:val="22"/>
          </w:rPr>
        </w:r>
        <w:r w:rsidR="00275E85" w:rsidRPr="00275E85">
          <w:rPr>
            <w:webHidden/>
            <w:szCs w:val="22"/>
          </w:rPr>
          <w:fldChar w:fldCharType="separate"/>
        </w:r>
        <w:r>
          <w:rPr>
            <w:webHidden/>
            <w:szCs w:val="22"/>
          </w:rPr>
          <w:t>7</w:t>
        </w:r>
        <w:r w:rsidR="00275E85" w:rsidRPr="00275E85">
          <w:rPr>
            <w:webHidden/>
            <w:szCs w:val="22"/>
          </w:rPr>
          <w:fldChar w:fldCharType="end"/>
        </w:r>
      </w:hyperlink>
    </w:p>
    <w:p w14:paraId="1EB9F309" w14:textId="7AEBD8F7" w:rsidR="00275E85" w:rsidRPr="00275E85" w:rsidRDefault="00350C3C">
      <w:pPr>
        <w:pStyle w:val="TOC2"/>
        <w:rPr>
          <w:rFonts w:asciiTheme="minorHAnsi" w:eastAsiaTheme="minorEastAsia" w:hAnsiTheme="minorHAnsi" w:cstheme="minorBidi"/>
          <w:b w:val="0"/>
          <w:i w:val="0"/>
          <w:sz w:val="22"/>
          <w:szCs w:val="22"/>
        </w:rPr>
      </w:pPr>
      <w:hyperlink w:anchor="_Toc456168867" w:history="1">
        <w:r w:rsidR="00275E85" w:rsidRPr="00275E85">
          <w:rPr>
            <w:rStyle w:val="Hyperlink"/>
            <w:sz w:val="22"/>
            <w:szCs w:val="22"/>
          </w:rPr>
          <w:t>5.1</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Role of MS Panel</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_Toc456168867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7</w:t>
        </w:r>
        <w:r w:rsidR="00275E85" w:rsidRPr="00AA37D5">
          <w:rPr>
            <w:i w:val="0"/>
            <w:webHidden/>
            <w:sz w:val="22"/>
            <w:szCs w:val="22"/>
          </w:rPr>
          <w:fldChar w:fldCharType="end"/>
        </w:r>
      </w:hyperlink>
    </w:p>
    <w:p w14:paraId="5EAD699F" w14:textId="30DA23F0" w:rsidR="00275E85" w:rsidRPr="00275E85" w:rsidRDefault="00350C3C">
      <w:pPr>
        <w:pStyle w:val="TOC2"/>
        <w:rPr>
          <w:rFonts w:asciiTheme="minorHAnsi" w:eastAsiaTheme="minorEastAsia" w:hAnsiTheme="minorHAnsi" w:cstheme="minorBidi"/>
          <w:b w:val="0"/>
          <w:i w:val="0"/>
          <w:sz w:val="22"/>
          <w:szCs w:val="22"/>
        </w:rPr>
      </w:pPr>
      <w:hyperlink w:anchor="_Toc456168868" w:history="1">
        <w:r w:rsidR="00275E85" w:rsidRPr="00275E85">
          <w:rPr>
            <w:rStyle w:val="Hyperlink"/>
            <w:sz w:val="22"/>
            <w:szCs w:val="22"/>
          </w:rPr>
          <w:t>5.2</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Composition of MS Panel</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_Toc456168868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7</w:t>
        </w:r>
        <w:r w:rsidR="00275E85" w:rsidRPr="00AA37D5">
          <w:rPr>
            <w:i w:val="0"/>
            <w:webHidden/>
            <w:sz w:val="22"/>
            <w:szCs w:val="22"/>
          </w:rPr>
          <w:fldChar w:fldCharType="end"/>
        </w:r>
      </w:hyperlink>
    </w:p>
    <w:p w14:paraId="3DB9F24C" w14:textId="3B9C4C5E" w:rsidR="00275E85" w:rsidRPr="00275E85" w:rsidRDefault="00350C3C">
      <w:pPr>
        <w:pStyle w:val="TOC1"/>
        <w:rPr>
          <w:rFonts w:asciiTheme="minorHAnsi" w:eastAsiaTheme="minorEastAsia" w:hAnsiTheme="minorHAnsi" w:cstheme="minorBidi"/>
          <w:b w:val="0"/>
          <w:szCs w:val="22"/>
        </w:rPr>
      </w:pPr>
      <w:hyperlink w:anchor="_Toc456168869" w:history="1">
        <w:r w:rsidR="00275E85" w:rsidRPr="00275E85">
          <w:rPr>
            <w:rStyle w:val="Hyperlink"/>
            <w:szCs w:val="22"/>
          </w:rPr>
          <w:t>6</w:t>
        </w:r>
        <w:r w:rsidR="00275E85" w:rsidRPr="00275E85">
          <w:rPr>
            <w:rFonts w:asciiTheme="minorHAnsi" w:eastAsiaTheme="minorEastAsia" w:hAnsiTheme="minorHAnsi" w:cstheme="minorBidi"/>
            <w:b w:val="0"/>
            <w:szCs w:val="22"/>
          </w:rPr>
          <w:tab/>
        </w:r>
        <w:r w:rsidR="00275E85" w:rsidRPr="00275E85">
          <w:rPr>
            <w:rStyle w:val="Hyperlink"/>
            <w:szCs w:val="22"/>
          </w:rPr>
          <w:t>NAP Process</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_Toc456168869 \h </w:instrText>
        </w:r>
        <w:r w:rsidR="00275E85" w:rsidRPr="00275E85">
          <w:rPr>
            <w:webHidden/>
            <w:szCs w:val="22"/>
          </w:rPr>
        </w:r>
        <w:r w:rsidR="00275E85" w:rsidRPr="00275E85">
          <w:rPr>
            <w:webHidden/>
            <w:szCs w:val="22"/>
          </w:rPr>
          <w:fldChar w:fldCharType="separate"/>
        </w:r>
        <w:r>
          <w:rPr>
            <w:webHidden/>
            <w:szCs w:val="22"/>
          </w:rPr>
          <w:t>8</w:t>
        </w:r>
        <w:r w:rsidR="00275E85" w:rsidRPr="00275E85">
          <w:rPr>
            <w:webHidden/>
            <w:szCs w:val="22"/>
          </w:rPr>
          <w:fldChar w:fldCharType="end"/>
        </w:r>
      </w:hyperlink>
    </w:p>
    <w:p w14:paraId="219118EA" w14:textId="576EEFEB" w:rsidR="00275E85" w:rsidRPr="00275E85" w:rsidRDefault="00350C3C">
      <w:pPr>
        <w:pStyle w:val="TOC1"/>
        <w:rPr>
          <w:rFonts w:asciiTheme="minorHAnsi" w:eastAsiaTheme="minorEastAsia" w:hAnsiTheme="minorHAnsi" w:cstheme="minorBidi"/>
          <w:b w:val="0"/>
          <w:szCs w:val="22"/>
        </w:rPr>
      </w:pPr>
      <w:hyperlink w:anchor="_Toc456168870" w:history="1">
        <w:r w:rsidR="00275E85" w:rsidRPr="00275E85">
          <w:rPr>
            <w:rStyle w:val="Hyperlink"/>
            <w:szCs w:val="22"/>
          </w:rPr>
          <w:t>7</w:t>
        </w:r>
        <w:r w:rsidR="00275E85" w:rsidRPr="00275E85">
          <w:rPr>
            <w:rFonts w:asciiTheme="minorHAnsi" w:eastAsiaTheme="minorEastAsia" w:hAnsiTheme="minorHAnsi" w:cstheme="minorBidi"/>
            <w:b w:val="0"/>
            <w:szCs w:val="22"/>
          </w:rPr>
          <w:tab/>
        </w:r>
        <w:r w:rsidR="00275E85" w:rsidRPr="00275E85">
          <w:rPr>
            <w:rStyle w:val="Hyperlink"/>
            <w:szCs w:val="22"/>
          </w:rPr>
          <w:t>NAP Content</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_Toc456168870 \h </w:instrText>
        </w:r>
        <w:r w:rsidR="00275E85" w:rsidRPr="00275E85">
          <w:rPr>
            <w:webHidden/>
            <w:szCs w:val="22"/>
          </w:rPr>
        </w:r>
        <w:r w:rsidR="00275E85" w:rsidRPr="00275E85">
          <w:rPr>
            <w:webHidden/>
            <w:szCs w:val="22"/>
          </w:rPr>
          <w:fldChar w:fldCharType="separate"/>
        </w:r>
        <w:r>
          <w:rPr>
            <w:webHidden/>
            <w:szCs w:val="22"/>
          </w:rPr>
          <w:t>9</w:t>
        </w:r>
        <w:r w:rsidR="00275E85" w:rsidRPr="00275E85">
          <w:rPr>
            <w:webHidden/>
            <w:szCs w:val="22"/>
          </w:rPr>
          <w:fldChar w:fldCharType="end"/>
        </w:r>
      </w:hyperlink>
    </w:p>
    <w:p w14:paraId="5675918A" w14:textId="7FB9CDF4" w:rsidR="00275E85" w:rsidRPr="00275E85" w:rsidRDefault="00350C3C">
      <w:pPr>
        <w:pStyle w:val="TOC2"/>
        <w:rPr>
          <w:rFonts w:asciiTheme="minorHAnsi" w:eastAsiaTheme="minorEastAsia" w:hAnsiTheme="minorHAnsi" w:cstheme="minorBidi"/>
          <w:b w:val="0"/>
          <w:i w:val="0"/>
          <w:sz w:val="22"/>
          <w:szCs w:val="22"/>
        </w:rPr>
      </w:pPr>
      <w:hyperlink w:anchor="_Toc456168871" w:history="1">
        <w:r w:rsidR="00275E85" w:rsidRPr="00275E85">
          <w:rPr>
            <w:rStyle w:val="Hyperlink"/>
            <w:sz w:val="22"/>
            <w:szCs w:val="22"/>
          </w:rPr>
          <w:t>7.1</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Overview</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_Toc456168871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9</w:t>
        </w:r>
        <w:r w:rsidR="00275E85" w:rsidRPr="00AA37D5">
          <w:rPr>
            <w:i w:val="0"/>
            <w:webHidden/>
            <w:sz w:val="22"/>
            <w:szCs w:val="22"/>
          </w:rPr>
          <w:fldChar w:fldCharType="end"/>
        </w:r>
      </w:hyperlink>
    </w:p>
    <w:p w14:paraId="775D2E60" w14:textId="3DE68AF1" w:rsidR="00275E85" w:rsidRPr="00275E85" w:rsidRDefault="00350C3C">
      <w:pPr>
        <w:pStyle w:val="TOC2"/>
        <w:rPr>
          <w:rFonts w:asciiTheme="minorHAnsi" w:eastAsiaTheme="minorEastAsia" w:hAnsiTheme="minorHAnsi" w:cstheme="minorBidi"/>
          <w:b w:val="0"/>
          <w:i w:val="0"/>
          <w:sz w:val="22"/>
          <w:szCs w:val="22"/>
        </w:rPr>
      </w:pPr>
      <w:hyperlink w:anchor="_Toc456168872" w:history="1">
        <w:r w:rsidR="00275E85" w:rsidRPr="00275E85">
          <w:rPr>
            <w:rStyle w:val="Hyperlink"/>
            <w:sz w:val="22"/>
            <w:szCs w:val="22"/>
          </w:rPr>
          <w:t>7.2</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The State Duty to Protect Human Rights (Pillar 1)</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_Toc456168872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9</w:t>
        </w:r>
        <w:r w:rsidR="00275E85" w:rsidRPr="00AA37D5">
          <w:rPr>
            <w:i w:val="0"/>
            <w:webHidden/>
            <w:sz w:val="22"/>
            <w:szCs w:val="22"/>
          </w:rPr>
          <w:fldChar w:fldCharType="end"/>
        </w:r>
      </w:hyperlink>
    </w:p>
    <w:p w14:paraId="4CC91182" w14:textId="05B2F4A6" w:rsidR="00275E85" w:rsidRPr="00275E85" w:rsidRDefault="00350C3C">
      <w:pPr>
        <w:pStyle w:val="TOC2"/>
        <w:rPr>
          <w:rFonts w:asciiTheme="minorHAnsi" w:eastAsiaTheme="minorEastAsia" w:hAnsiTheme="minorHAnsi" w:cstheme="minorBidi"/>
          <w:b w:val="0"/>
          <w:i w:val="0"/>
          <w:sz w:val="22"/>
          <w:szCs w:val="22"/>
        </w:rPr>
      </w:pPr>
      <w:hyperlink w:anchor="_Toc456168884" w:history="1">
        <w:r w:rsidR="00275E85" w:rsidRPr="00275E85">
          <w:rPr>
            <w:rStyle w:val="Hyperlink"/>
            <w:sz w:val="22"/>
            <w:szCs w:val="22"/>
          </w:rPr>
          <w:t>7.3</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The Corporate Responsibility to Respect Human Rights (Pillar 2)</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_Toc456168884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15</w:t>
        </w:r>
        <w:r w:rsidR="00275E85" w:rsidRPr="00AA37D5">
          <w:rPr>
            <w:i w:val="0"/>
            <w:webHidden/>
            <w:sz w:val="22"/>
            <w:szCs w:val="22"/>
          </w:rPr>
          <w:fldChar w:fldCharType="end"/>
        </w:r>
      </w:hyperlink>
    </w:p>
    <w:p w14:paraId="58B19326" w14:textId="2FA7A110" w:rsidR="00275E85" w:rsidRPr="00275E85" w:rsidRDefault="00350C3C">
      <w:pPr>
        <w:pStyle w:val="TOC2"/>
        <w:rPr>
          <w:rFonts w:asciiTheme="minorHAnsi" w:eastAsiaTheme="minorEastAsia" w:hAnsiTheme="minorHAnsi" w:cstheme="minorBidi"/>
          <w:b w:val="0"/>
          <w:i w:val="0"/>
          <w:sz w:val="22"/>
          <w:szCs w:val="22"/>
        </w:rPr>
      </w:pPr>
      <w:hyperlink w:anchor="_Toc456168887" w:history="1">
        <w:r w:rsidR="00275E85" w:rsidRPr="00275E85">
          <w:rPr>
            <w:rStyle w:val="Hyperlink"/>
            <w:sz w:val="22"/>
            <w:szCs w:val="22"/>
          </w:rPr>
          <w:t>7.4</w:t>
        </w:r>
        <w:r w:rsidR="00275E85" w:rsidRPr="00275E85">
          <w:rPr>
            <w:rFonts w:asciiTheme="minorHAnsi" w:eastAsiaTheme="minorEastAsia" w:hAnsiTheme="minorHAnsi" w:cstheme="minorBidi"/>
            <w:b w:val="0"/>
            <w:i w:val="0"/>
            <w:sz w:val="22"/>
            <w:szCs w:val="22"/>
          </w:rPr>
          <w:tab/>
        </w:r>
        <w:r w:rsidR="00275E85" w:rsidRPr="00275E85">
          <w:rPr>
            <w:rStyle w:val="Hyperlink"/>
            <w:sz w:val="22"/>
            <w:szCs w:val="22"/>
          </w:rPr>
          <w:t>Access to Remedy (Pillar 3)</w:t>
        </w:r>
        <w:r w:rsidR="00275E85" w:rsidRPr="00275E85">
          <w:rPr>
            <w:webHidden/>
            <w:sz w:val="22"/>
            <w:szCs w:val="22"/>
          </w:rPr>
          <w:tab/>
        </w:r>
        <w:r w:rsidR="00275E85" w:rsidRPr="00AA37D5">
          <w:rPr>
            <w:i w:val="0"/>
            <w:webHidden/>
            <w:sz w:val="22"/>
            <w:szCs w:val="22"/>
          </w:rPr>
          <w:fldChar w:fldCharType="begin"/>
        </w:r>
        <w:r w:rsidR="00275E85" w:rsidRPr="00AA37D5">
          <w:rPr>
            <w:i w:val="0"/>
            <w:webHidden/>
            <w:sz w:val="22"/>
            <w:szCs w:val="22"/>
          </w:rPr>
          <w:instrText xml:space="preserve"> PAGEREF _Toc456168887 \h </w:instrText>
        </w:r>
        <w:r w:rsidR="00275E85" w:rsidRPr="00AA37D5">
          <w:rPr>
            <w:i w:val="0"/>
            <w:webHidden/>
            <w:sz w:val="22"/>
            <w:szCs w:val="22"/>
          </w:rPr>
        </w:r>
        <w:r w:rsidR="00275E85" w:rsidRPr="00AA37D5">
          <w:rPr>
            <w:i w:val="0"/>
            <w:webHidden/>
            <w:sz w:val="22"/>
            <w:szCs w:val="22"/>
          </w:rPr>
          <w:fldChar w:fldCharType="separate"/>
        </w:r>
        <w:r>
          <w:rPr>
            <w:i w:val="0"/>
            <w:webHidden/>
            <w:sz w:val="22"/>
            <w:szCs w:val="22"/>
          </w:rPr>
          <w:t>17</w:t>
        </w:r>
        <w:r w:rsidR="00275E85" w:rsidRPr="00AA37D5">
          <w:rPr>
            <w:i w:val="0"/>
            <w:webHidden/>
            <w:sz w:val="22"/>
            <w:szCs w:val="22"/>
          </w:rPr>
          <w:fldChar w:fldCharType="end"/>
        </w:r>
      </w:hyperlink>
    </w:p>
    <w:p w14:paraId="2F66FA5D" w14:textId="7B50E932" w:rsidR="00275E85" w:rsidRPr="00275E85" w:rsidRDefault="00350C3C">
      <w:pPr>
        <w:pStyle w:val="TOC1"/>
        <w:rPr>
          <w:rFonts w:asciiTheme="minorHAnsi" w:eastAsiaTheme="minorEastAsia" w:hAnsiTheme="minorHAnsi" w:cstheme="minorBidi"/>
          <w:b w:val="0"/>
          <w:szCs w:val="22"/>
        </w:rPr>
      </w:pPr>
      <w:hyperlink w:anchor="_Toc456168888" w:history="1">
        <w:r w:rsidR="00275E85" w:rsidRPr="00275E85">
          <w:rPr>
            <w:rStyle w:val="Hyperlink"/>
            <w:szCs w:val="22"/>
          </w:rPr>
          <w:t>8</w:t>
        </w:r>
        <w:r w:rsidR="00275E85" w:rsidRPr="00275E85">
          <w:rPr>
            <w:rFonts w:asciiTheme="minorHAnsi" w:eastAsiaTheme="minorEastAsia" w:hAnsiTheme="minorHAnsi" w:cstheme="minorBidi"/>
            <w:b w:val="0"/>
            <w:szCs w:val="22"/>
          </w:rPr>
          <w:tab/>
        </w:r>
        <w:r w:rsidR="00275E85" w:rsidRPr="00275E85">
          <w:rPr>
            <w:rStyle w:val="Hyperlink"/>
            <w:szCs w:val="22"/>
          </w:rPr>
          <w:t>Conclusion</w:t>
        </w:r>
        <w:r w:rsidR="00275E85" w:rsidRPr="00275E85">
          <w:rPr>
            <w:webHidden/>
            <w:szCs w:val="22"/>
          </w:rPr>
          <w:tab/>
        </w:r>
        <w:r w:rsidR="00275E85" w:rsidRPr="00275E85">
          <w:rPr>
            <w:webHidden/>
            <w:szCs w:val="22"/>
          </w:rPr>
          <w:fldChar w:fldCharType="begin"/>
        </w:r>
        <w:r w:rsidR="00275E85" w:rsidRPr="00275E85">
          <w:rPr>
            <w:webHidden/>
            <w:szCs w:val="22"/>
          </w:rPr>
          <w:instrText xml:space="preserve"> PAGEREF _Toc456168888 \h </w:instrText>
        </w:r>
        <w:r w:rsidR="00275E85" w:rsidRPr="00275E85">
          <w:rPr>
            <w:webHidden/>
            <w:szCs w:val="22"/>
          </w:rPr>
        </w:r>
        <w:r w:rsidR="00275E85" w:rsidRPr="00275E85">
          <w:rPr>
            <w:webHidden/>
            <w:szCs w:val="22"/>
          </w:rPr>
          <w:fldChar w:fldCharType="separate"/>
        </w:r>
        <w:r>
          <w:rPr>
            <w:webHidden/>
            <w:szCs w:val="22"/>
          </w:rPr>
          <w:t>20</w:t>
        </w:r>
        <w:r w:rsidR="00275E85" w:rsidRPr="00275E85">
          <w:rPr>
            <w:webHidden/>
            <w:szCs w:val="22"/>
          </w:rPr>
          <w:fldChar w:fldCharType="end"/>
        </w:r>
      </w:hyperlink>
    </w:p>
    <w:p w14:paraId="1C9F884C" w14:textId="77777777" w:rsidR="00B34946" w:rsidRDefault="00B63D24" w:rsidP="009A2E88">
      <w:pPr>
        <w:pStyle w:val="TOC1"/>
      </w:pPr>
      <w:r>
        <w:fldChar w:fldCharType="end"/>
      </w:r>
    </w:p>
    <w:p w14:paraId="2F3C7C2A" w14:textId="77777777" w:rsidR="003C58B2" w:rsidRDefault="003C58B2" w:rsidP="009A2E88">
      <w:pPr>
        <w:spacing w:before="0" w:after="0"/>
      </w:pPr>
      <w:r>
        <w:br w:type="page"/>
      </w:r>
    </w:p>
    <w:p w14:paraId="3E7425B5" w14:textId="77777777" w:rsidR="007B02C5" w:rsidRPr="00A737B9" w:rsidRDefault="003C58B2" w:rsidP="00A737B9">
      <w:pPr>
        <w:pStyle w:val="Heading1"/>
        <w:numPr>
          <w:ilvl w:val="0"/>
          <w:numId w:val="0"/>
        </w:numPr>
        <w:rPr>
          <w:sz w:val="36"/>
          <w:szCs w:val="36"/>
        </w:rPr>
      </w:pPr>
      <w:bookmarkStart w:id="28" w:name="_Toc455050909"/>
      <w:bookmarkStart w:id="29" w:name="_Toc455588102"/>
      <w:bookmarkStart w:id="30" w:name="_Toc456168852"/>
      <w:r w:rsidRPr="00A737B9">
        <w:rPr>
          <w:sz w:val="36"/>
          <w:szCs w:val="36"/>
        </w:rPr>
        <w:lastRenderedPageBreak/>
        <w:t xml:space="preserve">Joint Civil Society </w:t>
      </w:r>
      <w:r w:rsidR="00A603FA" w:rsidRPr="00A737B9">
        <w:rPr>
          <w:sz w:val="36"/>
          <w:szCs w:val="36"/>
        </w:rPr>
        <w:t>Statement</w:t>
      </w:r>
      <w:bookmarkEnd w:id="28"/>
      <w:bookmarkEnd w:id="29"/>
      <w:bookmarkEnd w:id="30"/>
      <w:r w:rsidR="007B02C5" w:rsidRPr="00A737B9">
        <w:rPr>
          <w:sz w:val="36"/>
          <w:szCs w:val="36"/>
        </w:rPr>
        <w:t xml:space="preserve"> </w:t>
      </w:r>
    </w:p>
    <w:p w14:paraId="08D7716A" w14:textId="77777777" w:rsidR="007B02C5" w:rsidRDefault="007B02C5" w:rsidP="009A2E88">
      <w:pPr>
        <w:spacing w:before="0" w:after="0"/>
        <w:rPr>
          <w:b/>
        </w:rPr>
      </w:pPr>
    </w:p>
    <w:p w14:paraId="4C26AF1F" w14:textId="77777777" w:rsidR="00A201CC" w:rsidRDefault="00A201CC" w:rsidP="009A2E88">
      <w:pPr>
        <w:spacing w:before="0" w:after="0"/>
        <w:rPr>
          <w:b/>
        </w:rPr>
      </w:pPr>
    </w:p>
    <w:p w14:paraId="03191A46" w14:textId="77777777" w:rsidR="00DA6B37" w:rsidRDefault="00DA6B37" w:rsidP="009A2E88">
      <w:pPr>
        <w:spacing w:before="0" w:after="0"/>
        <w:rPr>
          <w:b/>
        </w:rPr>
      </w:pPr>
    </w:p>
    <w:p w14:paraId="75119305" w14:textId="77777777" w:rsidR="003F5828" w:rsidRPr="00F31D5D" w:rsidRDefault="007B02C5" w:rsidP="009A2E88">
      <w:pPr>
        <w:spacing w:before="0" w:after="0"/>
        <w:rPr>
          <w:b/>
        </w:rPr>
      </w:pPr>
      <w:r>
        <w:rPr>
          <w:b/>
        </w:rPr>
        <w:t>Author:</w:t>
      </w:r>
    </w:p>
    <w:p w14:paraId="3E420B5F" w14:textId="77777777" w:rsidR="00A201CC" w:rsidRDefault="00A201CC" w:rsidP="009A2E88">
      <w:pPr>
        <w:spacing w:before="0" w:after="0"/>
      </w:pPr>
    </w:p>
    <w:p w14:paraId="06BB234B" w14:textId="77777777" w:rsidR="003F5828" w:rsidRDefault="003C58B2" w:rsidP="009A2E88">
      <w:pPr>
        <w:spacing w:before="0" w:after="0"/>
      </w:pPr>
      <w:r>
        <w:t xml:space="preserve">Amy Sinclair </w:t>
      </w:r>
      <w:r w:rsidR="00EC75AF">
        <w:t>(</w:t>
      </w:r>
      <w:r>
        <w:t xml:space="preserve">on behalf </w:t>
      </w:r>
      <w:r w:rsidR="00EC75AF">
        <w:t>o</w:t>
      </w:r>
      <w:r>
        <w:t>f the Australian Human Rights Commission</w:t>
      </w:r>
      <w:r w:rsidR="00EC75AF">
        <w:t xml:space="preserve">) </w:t>
      </w:r>
    </w:p>
    <w:p w14:paraId="54459750" w14:textId="77777777" w:rsidR="007B02C5" w:rsidRDefault="007B02C5" w:rsidP="009A2E88">
      <w:pPr>
        <w:spacing w:before="0" w:after="0"/>
      </w:pPr>
    </w:p>
    <w:p w14:paraId="0CCAB234" w14:textId="77777777" w:rsidR="007B02C5" w:rsidRDefault="007B02C5" w:rsidP="009A2E88">
      <w:pPr>
        <w:spacing w:before="0" w:after="0"/>
      </w:pPr>
      <w:r w:rsidRPr="00A201CC">
        <w:rPr>
          <w:b/>
        </w:rPr>
        <w:t>Contributor</w:t>
      </w:r>
      <w:r>
        <w:t>:</w:t>
      </w:r>
    </w:p>
    <w:p w14:paraId="57233C12" w14:textId="77777777" w:rsidR="007B02C5" w:rsidRDefault="007B02C5" w:rsidP="009A2E88">
      <w:pPr>
        <w:spacing w:before="0" w:after="0"/>
      </w:pPr>
    </w:p>
    <w:p w14:paraId="7DC46DCE" w14:textId="77777777" w:rsidR="007B02C5" w:rsidRDefault="00EC75AF" w:rsidP="009A2E88">
      <w:pPr>
        <w:spacing w:before="0" w:after="0"/>
      </w:pPr>
      <w:r>
        <w:t>Rachel Ball (Human Rights Law Centre)</w:t>
      </w:r>
      <w:r w:rsidR="007D06F0">
        <w:rPr>
          <w:rStyle w:val="EndnoteReference"/>
        </w:rPr>
        <w:endnoteReference w:id="1"/>
      </w:r>
    </w:p>
    <w:p w14:paraId="73B56DEC" w14:textId="77777777" w:rsidR="007B02C5" w:rsidRDefault="007B02C5" w:rsidP="009A2E88">
      <w:pPr>
        <w:spacing w:before="0" w:after="0"/>
      </w:pPr>
    </w:p>
    <w:p w14:paraId="1246DAC4" w14:textId="77777777" w:rsidR="003F5828" w:rsidRPr="007B02C5" w:rsidRDefault="006A727A" w:rsidP="009A2E88">
      <w:pPr>
        <w:spacing w:before="0" w:after="0"/>
      </w:pPr>
      <w:r>
        <w:rPr>
          <w:b/>
        </w:rPr>
        <w:t>Supporters</w:t>
      </w:r>
      <w:r w:rsidR="003F5828" w:rsidRPr="00F31D5D">
        <w:rPr>
          <w:b/>
        </w:rPr>
        <w:t>:</w:t>
      </w:r>
    </w:p>
    <w:p w14:paraId="37BDEED0" w14:textId="4A1CCCE1" w:rsidR="00757998" w:rsidRDefault="00757998" w:rsidP="009A2E88">
      <w:pPr>
        <w:spacing w:before="0" w:after="0"/>
      </w:pPr>
      <w:bookmarkStart w:id="31" w:name="_GoBack"/>
      <w:bookmarkEnd w:id="31"/>
    </w:p>
    <w:p w14:paraId="007C2BF1" w14:textId="77777777" w:rsidR="009F25DC" w:rsidRDefault="009F25DC" w:rsidP="009A2E88">
      <w:pPr>
        <w:spacing w:before="0" w:after="0"/>
      </w:pPr>
      <w:r>
        <w:t>Amnesty International Australia</w:t>
      </w:r>
    </w:p>
    <w:p w14:paraId="5DF563BD" w14:textId="77777777" w:rsidR="009F25DC" w:rsidRDefault="009F25DC" w:rsidP="009A2E88">
      <w:pPr>
        <w:spacing w:before="0" w:after="0"/>
      </w:pPr>
      <w:r>
        <w:t>Australian Council of Trade Unions</w:t>
      </w:r>
    </w:p>
    <w:p w14:paraId="2A0039FB" w14:textId="77777777" w:rsidR="00841EC7" w:rsidRDefault="00841EC7" w:rsidP="009A2E88">
      <w:pPr>
        <w:spacing w:before="0" w:after="0"/>
      </w:pPr>
      <w:r>
        <w:t>Australian Human Rights Commission</w:t>
      </w:r>
    </w:p>
    <w:p w14:paraId="65BD105F" w14:textId="77777777" w:rsidR="00266E8A" w:rsidRDefault="00266E8A" w:rsidP="009A2E88">
      <w:pPr>
        <w:spacing w:before="0" w:after="0"/>
      </w:pPr>
      <w:r>
        <w:t>Australian Human Rights Law Centre, U</w:t>
      </w:r>
      <w:r w:rsidR="00D00F5A">
        <w:t xml:space="preserve">niversity of </w:t>
      </w:r>
      <w:r>
        <w:t>N</w:t>
      </w:r>
      <w:r w:rsidR="00D00F5A">
        <w:t xml:space="preserve">ew </w:t>
      </w:r>
      <w:r>
        <w:t>S</w:t>
      </w:r>
      <w:r w:rsidR="00D00F5A">
        <w:t xml:space="preserve">outh </w:t>
      </w:r>
      <w:r>
        <w:t>W</w:t>
      </w:r>
      <w:r w:rsidR="00D00F5A">
        <w:t>ales</w:t>
      </w:r>
    </w:p>
    <w:p w14:paraId="212A0393" w14:textId="77777777" w:rsidR="008F1525" w:rsidRDefault="00841EC7" w:rsidP="009A2E88">
      <w:pPr>
        <w:spacing w:before="0" w:after="0"/>
      </w:pPr>
      <w:r>
        <w:t>Australian Lawyers for Human Rights</w:t>
      </w:r>
    </w:p>
    <w:p w14:paraId="63D7E9EE" w14:textId="77777777" w:rsidR="008F1525" w:rsidRDefault="008F1525" w:rsidP="009A2E88">
      <w:pPr>
        <w:spacing w:before="0" w:after="0"/>
      </w:pPr>
      <w:r>
        <w:t>Castan Centre</w:t>
      </w:r>
      <w:r w:rsidR="00714C14">
        <w:t xml:space="preserve"> for Human Rights Law</w:t>
      </w:r>
      <w:r>
        <w:t>, Monash University</w:t>
      </w:r>
    </w:p>
    <w:p w14:paraId="6D362CE5" w14:textId="77777777" w:rsidR="009F25DC" w:rsidRDefault="009F25DC" w:rsidP="009A2E88">
      <w:pPr>
        <w:spacing w:before="0" w:after="0"/>
      </w:pPr>
      <w:r>
        <w:t>Catalyst Australia</w:t>
      </w:r>
    </w:p>
    <w:p w14:paraId="0D4BFB95" w14:textId="77777777" w:rsidR="009F25DC" w:rsidRDefault="009F25DC" w:rsidP="009A2E88">
      <w:pPr>
        <w:spacing w:before="0" w:after="0"/>
      </w:pPr>
      <w:r>
        <w:t>Human Rights Council of Australia</w:t>
      </w:r>
    </w:p>
    <w:p w14:paraId="36FF370E" w14:textId="77777777" w:rsidR="00841EC7" w:rsidRDefault="00841EC7" w:rsidP="009A2E88">
      <w:pPr>
        <w:spacing w:before="0" w:after="0"/>
      </w:pPr>
      <w:r>
        <w:t>Human Rights Law Centre</w:t>
      </w:r>
    </w:p>
    <w:p w14:paraId="77EFE934" w14:textId="77777777" w:rsidR="008F1525" w:rsidRDefault="008F1525" w:rsidP="009A2E88">
      <w:pPr>
        <w:spacing w:before="0" w:after="0"/>
      </w:pPr>
      <w:r>
        <w:t>Jesuit Social Services</w:t>
      </w:r>
    </w:p>
    <w:p w14:paraId="49D256EB" w14:textId="77777777" w:rsidR="00DF1086" w:rsidRDefault="00DF1086" w:rsidP="009A2E88">
      <w:pPr>
        <w:spacing w:before="0" w:after="0"/>
      </w:pPr>
      <w:r>
        <w:t>Jubilee Australia</w:t>
      </w:r>
    </w:p>
    <w:p w14:paraId="255D45EC" w14:textId="77777777" w:rsidR="00841EC7" w:rsidRDefault="00841EC7" w:rsidP="009A2E88">
      <w:pPr>
        <w:spacing w:before="0" w:after="0"/>
      </w:pPr>
      <w:r>
        <w:t>Law Council of Australia</w:t>
      </w:r>
    </w:p>
    <w:p w14:paraId="06502C54" w14:textId="77777777" w:rsidR="00DF1086" w:rsidRDefault="00DF1086" w:rsidP="009A2E88">
      <w:pPr>
        <w:spacing w:before="0" w:after="0"/>
      </w:pPr>
      <w:r>
        <w:t>No Business in Abuse</w:t>
      </w:r>
    </w:p>
    <w:p w14:paraId="4CC151D4" w14:textId="77777777" w:rsidR="009F25DC" w:rsidRDefault="009F25DC" w:rsidP="009A2E88">
      <w:pPr>
        <w:spacing w:before="0" w:after="0"/>
      </w:pPr>
      <w:r>
        <w:t>Oxfam Australia</w:t>
      </w:r>
    </w:p>
    <w:p w14:paraId="76158998" w14:textId="77777777" w:rsidR="009F25DC" w:rsidRDefault="009F25DC" w:rsidP="009A2E88">
      <w:pPr>
        <w:spacing w:before="0" w:after="0"/>
      </w:pPr>
      <w:r>
        <w:t>The Australia Institute</w:t>
      </w:r>
    </w:p>
    <w:p w14:paraId="334C915E" w14:textId="77777777" w:rsidR="00DF1086" w:rsidRDefault="00DF1086" w:rsidP="009A2E88">
      <w:pPr>
        <w:spacing w:before="0" w:after="0"/>
      </w:pPr>
      <w:r>
        <w:t>UNICEF Australia</w:t>
      </w:r>
    </w:p>
    <w:p w14:paraId="1B719473" w14:textId="77777777" w:rsidR="00DF1086" w:rsidRDefault="00DF1086" w:rsidP="009A2E88">
      <w:pPr>
        <w:spacing w:before="0" w:after="0"/>
      </w:pPr>
      <w:r>
        <w:t>Uniting Church</w:t>
      </w:r>
      <w:r w:rsidR="00A72080">
        <w:t xml:space="preserve"> in Australia</w:t>
      </w:r>
    </w:p>
    <w:p w14:paraId="6F58B653" w14:textId="77777777" w:rsidR="005E1B49" w:rsidRDefault="005E1B49" w:rsidP="009A2E88">
      <w:pPr>
        <w:spacing w:before="0" w:after="0"/>
      </w:pPr>
    </w:p>
    <w:p w14:paraId="395770FC" w14:textId="77777777" w:rsidR="00B34946" w:rsidRDefault="00B34946" w:rsidP="009A2E88">
      <w:pPr>
        <w:spacing w:before="0" w:after="0"/>
      </w:pPr>
      <w:r>
        <w:br w:type="page"/>
      </w:r>
    </w:p>
    <w:p w14:paraId="6A963D80" w14:textId="77777777" w:rsidR="00EA0F96" w:rsidRDefault="003C58B2" w:rsidP="009A2E88">
      <w:pPr>
        <w:pStyle w:val="Heading1"/>
        <w:numPr>
          <w:ilvl w:val="0"/>
          <w:numId w:val="15"/>
        </w:numPr>
        <w:tabs>
          <w:tab w:val="clear" w:pos="851"/>
          <w:tab w:val="num" w:pos="971"/>
        </w:tabs>
        <w:ind w:left="971"/>
        <w:rPr>
          <w:sz w:val="36"/>
          <w:szCs w:val="36"/>
        </w:rPr>
      </w:pPr>
      <w:bookmarkStart w:id="32" w:name="_Toc456168853"/>
      <w:bookmarkStart w:id="33" w:name="_Toc207761830"/>
      <w:bookmarkStart w:id="34" w:name="_Toc209578266"/>
      <w:r>
        <w:rPr>
          <w:sz w:val="36"/>
          <w:szCs w:val="36"/>
        </w:rPr>
        <w:lastRenderedPageBreak/>
        <w:t>Summary</w:t>
      </w:r>
      <w:r w:rsidR="0004529A">
        <w:rPr>
          <w:sz w:val="36"/>
          <w:szCs w:val="36"/>
        </w:rPr>
        <w:t xml:space="preserve"> of </w:t>
      </w:r>
      <w:r w:rsidR="000330C4">
        <w:rPr>
          <w:sz w:val="36"/>
          <w:szCs w:val="36"/>
        </w:rPr>
        <w:t xml:space="preserve">CSO Roundtable </w:t>
      </w:r>
      <w:r w:rsidR="0004529A">
        <w:rPr>
          <w:sz w:val="36"/>
          <w:szCs w:val="36"/>
        </w:rPr>
        <w:t>Outcomes</w:t>
      </w:r>
      <w:bookmarkEnd w:id="32"/>
    </w:p>
    <w:p w14:paraId="20C23C0E" w14:textId="77777777" w:rsidR="0004529A" w:rsidRDefault="0004529A" w:rsidP="0004529A">
      <w:pPr>
        <w:pStyle w:val="Heading2"/>
        <w:numPr>
          <w:ilvl w:val="0"/>
          <w:numId w:val="0"/>
        </w:numPr>
        <w:rPr>
          <w:b w:val="0"/>
          <w:i w:val="0"/>
          <w:sz w:val="24"/>
          <w:szCs w:val="24"/>
        </w:rPr>
      </w:pPr>
      <w:bookmarkStart w:id="35" w:name="_Toc455580899"/>
      <w:bookmarkStart w:id="36" w:name="_Toc455588104"/>
      <w:bookmarkStart w:id="37" w:name="_Toc456168854"/>
      <w:bookmarkStart w:id="38" w:name="_Toc455050911"/>
      <w:r>
        <w:rPr>
          <w:b w:val="0"/>
          <w:i w:val="0"/>
          <w:sz w:val="24"/>
          <w:szCs w:val="24"/>
        </w:rPr>
        <w:t>On 25 May 2016, the Australian Human Rights Commission</w:t>
      </w:r>
      <w:r w:rsidR="00AF1604">
        <w:rPr>
          <w:b w:val="0"/>
          <w:i w:val="0"/>
          <w:sz w:val="24"/>
          <w:szCs w:val="24"/>
        </w:rPr>
        <w:t xml:space="preserve"> (the Commission)</w:t>
      </w:r>
      <w:r>
        <w:rPr>
          <w:b w:val="0"/>
          <w:i w:val="0"/>
          <w:sz w:val="24"/>
          <w:szCs w:val="24"/>
        </w:rPr>
        <w:t xml:space="preserve"> hosted a roundtable meeting for civil society representatives, including non-governmental organisations and academia (the CSO Roundtable). This Joint </w:t>
      </w:r>
      <w:r w:rsidRPr="00EA0F96">
        <w:rPr>
          <w:b w:val="0"/>
          <w:i w:val="0"/>
          <w:sz w:val="24"/>
          <w:szCs w:val="24"/>
        </w:rPr>
        <w:t xml:space="preserve">Civil Society </w:t>
      </w:r>
      <w:r>
        <w:rPr>
          <w:b w:val="0"/>
          <w:i w:val="0"/>
          <w:sz w:val="24"/>
          <w:szCs w:val="24"/>
        </w:rPr>
        <w:t xml:space="preserve">Statement </w:t>
      </w:r>
      <w:r w:rsidRPr="00EA0F96">
        <w:rPr>
          <w:b w:val="0"/>
          <w:i w:val="0"/>
          <w:sz w:val="24"/>
          <w:szCs w:val="24"/>
        </w:rPr>
        <w:t>(Statement)</w:t>
      </w:r>
      <w:r>
        <w:rPr>
          <w:b w:val="0"/>
          <w:i w:val="0"/>
          <w:sz w:val="24"/>
          <w:szCs w:val="24"/>
        </w:rPr>
        <w:t xml:space="preserve"> reflects </w:t>
      </w:r>
      <w:r w:rsidR="00B03D34">
        <w:rPr>
          <w:b w:val="0"/>
          <w:i w:val="0"/>
          <w:sz w:val="24"/>
          <w:szCs w:val="24"/>
        </w:rPr>
        <w:t xml:space="preserve">the key outcomes </w:t>
      </w:r>
      <w:r w:rsidR="003C35C6">
        <w:rPr>
          <w:b w:val="0"/>
          <w:i w:val="0"/>
          <w:sz w:val="24"/>
          <w:szCs w:val="24"/>
        </w:rPr>
        <w:t>of</w:t>
      </w:r>
      <w:r w:rsidR="005C3742">
        <w:rPr>
          <w:b w:val="0"/>
          <w:i w:val="0"/>
          <w:sz w:val="24"/>
          <w:szCs w:val="24"/>
        </w:rPr>
        <w:t xml:space="preserve"> </w:t>
      </w:r>
      <w:r w:rsidR="00B03D34">
        <w:rPr>
          <w:b w:val="0"/>
          <w:i w:val="0"/>
          <w:sz w:val="24"/>
          <w:szCs w:val="24"/>
        </w:rPr>
        <w:t>the CSO Roundtable.</w:t>
      </w:r>
      <w:bookmarkEnd w:id="35"/>
      <w:bookmarkEnd w:id="36"/>
      <w:bookmarkEnd w:id="37"/>
    </w:p>
    <w:p w14:paraId="5686B5C8" w14:textId="77777777" w:rsidR="00E7579B" w:rsidRPr="00EA0F96" w:rsidRDefault="0026483F" w:rsidP="00EA0F96">
      <w:pPr>
        <w:pStyle w:val="Heading2"/>
        <w:numPr>
          <w:ilvl w:val="0"/>
          <w:numId w:val="0"/>
        </w:numPr>
        <w:rPr>
          <w:b w:val="0"/>
          <w:i w:val="0"/>
          <w:sz w:val="24"/>
          <w:szCs w:val="24"/>
        </w:rPr>
      </w:pPr>
      <w:bookmarkStart w:id="39" w:name="_Toc455580900"/>
      <w:bookmarkStart w:id="40" w:name="_Toc455588105"/>
      <w:bookmarkStart w:id="41" w:name="_Toc456168855"/>
      <w:r w:rsidRPr="00EA0F96">
        <w:rPr>
          <w:b w:val="0"/>
          <w:i w:val="0"/>
          <w:sz w:val="24"/>
          <w:szCs w:val="24"/>
        </w:rPr>
        <w:t xml:space="preserve">The </w:t>
      </w:r>
      <w:r w:rsidR="00560F14" w:rsidRPr="00EA0F96">
        <w:rPr>
          <w:b w:val="0"/>
          <w:i w:val="0"/>
          <w:sz w:val="24"/>
          <w:szCs w:val="24"/>
        </w:rPr>
        <w:t>key</w:t>
      </w:r>
      <w:r w:rsidR="00E7579B" w:rsidRPr="00EA0F96">
        <w:rPr>
          <w:b w:val="0"/>
          <w:i w:val="0"/>
          <w:sz w:val="24"/>
          <w:szCs w:val="24"/>
        </w:rPr>
        <w:t xml:space="preserve"> question</w:t>
      </w:r>
      <w:r w:rsidRPr="00EA0F96">
        <w:rPr>
          <w:b w:val="0"/>
          <w:i w:val="0"/>
          <w:sz w:val="24"/>
          <w:szCs w:val="24"/>
        </w:rPr>
        <w:t xml:space="preserve"> </w:t>
      </w:r>
      <w:r w:rsidR="00D16F1A" w:rsidRPr="00EA0F96">
        <w:rPr>
          <w:b w:val="0"/>
          <w:i w:val="0"/>
          <w:sz w:val="24"/>
          <w:szCs w:val="24"/>
        </w:rPr>
        <w:t>underpinning</w:t>
      </w:r>
      <w:r w:rsidRPr="00EA0F96">
        <w:rPr>
          <w:b w:val="0"/>
          <w:i w:val="0"/>
          <w:sz w:val="24"/>
          <w:szCs w:val="24"/>
        </w:rPr>
        <w:t xml:space="preserve"> this Statement</w:t>
      </w:r>
      <w:r w:rsidR="001D3509" w:rsidRPr="00EA0F96">
        <w:rPr>
          <w:b w:val="0"/>
          <w:i w:val="0"/>
          <w:sz w:val="24"/>
          <w:szCs w:val="24"/>
        </w:rPr>
        <w:t xml:space="preserve"> </w:t>
      </w:r>
      <w:r w:rsidRPr="00EA0F96">
        <w:rPr>
          <w:b w:val="0"/>
          <w:i w:val="0"/>
          <w:sz w:val="24"/>
          <w:szCs w:val="24"/>
        </w:rPr>
        <w:t>is</w:t>
      </w:r>
      <w:r w:rsidR="00E7579B" w:rsidRPr="00EA0F96">
        <w:rPr>
          <w:b w:val="0"/>
          <w:i w:val="0"/>
          <w:sz w:val="24"/>
          <w:szCs w:val="24"/>
        </w:rPr>
        <w:t xml:space="preserve">: </w:t>
      </w:r>
      <w:r w:rsidR="00E7579B" w:rsidRPr="00BB29D5">
        <w:rPr>
          <w:b w:val="0"/>
          <w:sz w:val="24"/>
          <w:szCs w:val="24"/>
        </w:rPr>
        <w:t xml:space="preserve">how </w:t>
      </w:r>
      <w:r w:rsidRPr="00BB29D5">
        <w:rPr>
          <w:b w:val="0"/>
          <w:sz w:val="24"/>
          <w:szCs w:val="24"/>
        </w:rPr>
        <w:t xml:space="preserve">are the UNGPs </w:t>
      </w:r>
      <w:r w:rsidR="00E7579B" w:rsidRPr="00BB29D5">
        <w:rPr>
          <w:b w:val="0"/>
          <w:sz w:val="24"/>
          <w:szCs w:val="24"/>
        </w:rPr>
        <w:t xml:space="preserve">to </w:t>
      </w:r>
      <w:r w:rsidR="00481044" w:rsidRPr="00BB29D5">
        <w:rPr>
          <w:b w:val="0"/>
          <w:sz w:val="24"/>
          <w:szCs w:val="24"/>
        </w:rPr>
        <w:t xml:space="preserve">be </w:t>
      </w:r>
      <w:r w:rsidR="00E7579B" w:rsidRPr="00BB29D5">
        <w:rPr>
          <w:b w:val="0"/>
          <w:sz w:val="24"/>
          <w:szCs w:val="24"/>
        </w:rPr>
        <w:t>operationalise</w:t>
      </w:r>
      <w:r w:rsidRPr="00BB29D5">
        <w:rPr>
          <w:b w:val="0"/>
          <w:sz w:val="24"/>
          <w:szCs w:val="24"/>
        </w:rPr>
        <w:t>d</w:t>
      </w:r>
      <w:r w:rsidR="00E7579B" w:rsidRPr="00BB29D5">
        <w:rPr>
          <w:b w:val="0"/>
          <w:sz w:val="24"/>
          <w:szCs w:val="24"/>
        </w:rPr>
        <w:t xml:space="preserve"> in Australia</w:t>
      </w:r>
      <w:r w:rsidR="00E7579B" w:rsidRPr="00EA0F96">
        <w:rPr>
          <w:b w:val="0"/>
          <w:i w:val="0"/>
          <w:sz w:val="24"/>
          <w:szCs w:val="24"/>
        </w:rPr>
        <w:t>?</w:t>
      </w:r>
      <w:r w:rsidR="00560F14" w:rsidRPr="00EA0F96">
        <w:rPr>
          <w:b w:val="0"/>
          <w:i w:val="0"/>
          <w:sz w:val="24"/>
          <w:szCs w:val="24"/>
        </w:rPr>
        <w:t xml:space="preserve"> </w:t>
      </w:r>
      <w:r w:rsidR="00D16F1A" w:rsidRPr="00EA0F96">
        <w:rPr>
          <w:b w:val="0"/>
          <w:i w:val="0"/>
          <w:sz w:val="24"/>
          <w:szCs w:val="24"/>
        </w:rPr>
        <w:t xml:space="preserve">This Statement </w:t>
      </w:r>
      <w:r w:rsidR="005E27FC">
        <w:rPr>
          <w:b w:val="0"/>
          <w:i w:val="0"/>
          <w:sz w:val="24"/>
          <w:szCs w:val="24"/>
        </w:rPr>
        <w:t xml:space="preserve">sets </w:t>
      </w:r>
      <w:r w:rsidR="006454A8" w:rsidRPr="00EA0F96">
        <w:rPr>
          <w:b w:val="0"/>
          <w:i w:val="0"/>
          <w:sz w:val="24"/>
          <w:szCs w:val="24"/>
        </w:rPr>
        <w:t>out</w:t>
      </w:r>
      <w:r w:rsidR="00481044" w:rsidRPr="00EA0F96">
        <w:rPr>
          <w:b w:val="0"/>
          <w:i w:val="0"/>
          <w:sz w:val="24"/>
          <w:szCs w:val="24"/>
        </w:rPr>
        <w:t xml:space="preserve"> civil society’</w:t>
      </w:r>
      <w:r w:rsidR="005E27FC">
        <w:rPr>
          <w:b w:val="0"/>
          <w:i w:val="0"/>
          <w:sz w:val="24"/>
          <w:szCs w:val="24"/>
        </w:rPr>
        <w:t>s</w:t>
      </w:r>
      <w:r w:rsidR="00481044" w:rsidRPr="00EA0F96">
        <w:rPr>
          <w:rStyle w:val="EndnoteReference"/>
          <w:b w:val="0"/>
          <w:i w:val="0"/>
          <w:color w:val="auto"/>
        </w:rPr>
        <w:endnoteReference w:id="2"/>
      </w:r>
      <w:r w:rsidR="00481044" w:rsidRPr="00EA0F96">
        <w:rPr>
          <w:b w:val="0"/>
          <w:i w:val="0"/>
          <w:sz w:val="24"/>
          <w:szCs w:val="24"/>
        </w:rPr>
        <w:t xml:space="preserve"> </w:t>
      </w:r>
      <w:r w:rsidR="006454A8" w:rsidRPr="00EA0F96">
        <w:rPr>
          <w:b w:val="0"/>
          <w:i w:val="0"/>
          <w:sz w:val="24"/>
          <w:szCs w:val="24"/>
        </w:rPr>
        <w:t xml:space="preserve">initial </w:t>
      </w:r>
      <w:r w:rsidR="00481044" w:rsidRPr="00EA0F96">
        <w:rPr>
          <w:b w:val="0"/>
          <w:i w:val="0"/>
          <w:sz w:val="24"/>
          <w:szCs w:val="24"/>
        </w:rPr>
        <w:t>recommendations</w:t>
      </w:r>
      <w:r w:rsidR="00A91E76" w:rsidRPr="00EA0F96">
        <w:rPr>
          <w:b w:val="0"/>
          <w:i w:val="0"/>
          <w:sz w:val="24"/>
          <w:szCs w:val="24"/>
        </w:rPr>
        <w:t xml:space="preserve"> to the Australian Government </w:t>
      </w:r>
      <w:r w:rsidR="005C3742">
        <w:rPr>
          <w:b w:val="0"/>
          <w:i w:val="0"/>
          <w:sz w:val="24"/>
          <w:szCs w:val="24"/>
        </w:rPr>
        <w:t>o</w:t>
      </w:r>
      <w:r w:rsidR="001327B0" w:rsidRPr="00EA0F96">
        <w:rPr>
          <w:b w:val="0"/>
          <w:i w:val="0"/>
          <w:sz w:val="24"/>
          <w:szCs w:val="24"/>
        </w:rPr>
        <w:t>n</w:t>
      </w:r>
      <w:r w:rsidR="00931E1B" w:rsidRPr="00EA0F96">
        <w:rPr>
          <w:b w:val="0"/>
          <w:i w:val="0"/>
          <w:sz w:val="24"/>
          <w:szCs w:val="24"/>
        </w:rPr>
        <w:t xml:space="preserve"> </w:t>
      </w:r>
      <w:r w:rsidR="005E27FC">
        <w:rPr>
          <w:b w:val="0"/>
          <w:i w:val="0"/>
          <w:sz w:val="24"/>
          <w:szCs w:val="24"/>
        </w:rPr>
        <w:t xml:space="preserve">the </w:t>
      </w:r>
      <w:r w:rsidR="00931E1B" w:rsidRPr="00EA0F96">
        <w:rPr>
          <w:b w:val="0"/>
          <w:i w:val="0"/>
          <w:sz w:val="24"/>
          <w:szCs w:val="24"/>
        </w:rPr>
        <w:t>implement</w:t>
      </w:r>
      <w:r w:rsidR="005E27FC">
        <w:rPr>
          <w:b w:val="0"/>
          <w:i w:val="0"/>
          <w:sz w:val="24"/>
          <w:szCs w:val="24"/>
        </w:rPr>
        <w:t>ation of</w:t>
      </w:r>
      <w:r w:rsidR="00DF333E" w:rsidRPr="00EA0F96">
        <w:rPr>
          <w:b w:val="0"/>
          <w:i w:val="0"/>
          <w:sz w:val="24"/>
          <w:szCs w:val="24"/>
        </w:rPr>
        <w:t xml:space="preserve"> the </w:t>
      </w:r>
      <w:r w:rsidR="00BB29D5" w:rsidRPr="00BB29D5">
        <w:rPr>
          <w:b w:val="0"/>
          <w:i w:val="0"/>
          <w:sz w:val="24"/>
          <w:szCs w:val="24"/>
        </w:rPr>
        <w:t xml:space="preserve">UN Guiding Principles on Business and Human Rights </w:t>
      </w:r>
      <w:r w:rsidR="00BB29D5">
        <w:rPr>
          <w:b w:val="0"/>
          <w:i w:val="0"/>
          <w:sz w:val="24"/>
          <w:szCs w:val="24"/>
        </w:rPr>
        <w:t xml:space="preserve">(UNGPs) </w:t>
      </w:r>
      <w:r w:rsidR="00FB12A0">
        <w:rPr>
          <w:b w:val="0"/>
          <w:i w:val="0"/>
          <w:sz w:val="24"/>
          <w:szCs w:val="24"/>
        </w:rPr>
        <w:t>in Australia</w:t>
      </w:r>
      <w:r w:rsidR="00483F4C" w:rsidRPr="00EA0F96">
        <w:rPr>
          <w:b w:val="0"/>
          <w:i w:val="0"/>
          <w:sz w:val="24"/>
          <w:szCs w:val="24"/>
        </w:rPr>
        <w:t>.</w:t>
      </w:r>
      <w:bookmarkEnd w:id="38"/>
      <w:bookmarkEnd w:id="39"/>
      <w:bookmarkEnd w:id="40"/>
      <w:bookmarkEnd w:id="41"/>
      <w:r w:rsidR="00483F4C" w:rsidRPr="00EA0F96">
        <w:rPr>
          <w:b w:val="0"/>
          <w:i w:val="0"/>
          <w:sz w:val="24"/>
          <w:szCs w:val="24"/>
        </w:rPr>
        <w:t xml:space="preserve"> </w:t>
      </w:r>
    </w:p>
    <w:p w14:paraId="08F8AB8D" w14:textId="77777777" w:rsidR="0028100D" w:rsidRDefault="00484D83" w:rsidP="0028100D">
      <w:pPr>
        <w:pStyle w:val="Heading2"/>
      </w:pPr>
      <w:bookmarkStart w:id="42" w:name="_Toc456168856"/>
      <w:r>
        <w:t>Key</w:t>
      </w:r>
      <w:r w:rsidR="00AE3B27">
        <w:t xml:space="preserve"> </w:t>
      </w:r>
      <w:r w:rsidR="007C52C8">
        <w:t>Recommendations</w:t>
      </w:r>
      <w:bookmarkEnd w:id="42"/>
    </w:p>
    <w:p w14:paraId="46D9F74B" w14:textId="77777777" w:rsidR="001B0796" w:rsidRPr="0028100D" w:rsidRDefault="00AE3B27" w:rsidP="0028100D">
      <w:pPr>
        <w:pStyle w:val="Heading2"/>
        <w:numPr>
          <w:ilvl w:val="0"/>
          <w:numId w:val="0"/>
        </w:numPr>
        <w:rPr>
          <w:b w:val="0"/>
          <w:i w:val="0"/>
        </w:rPr>
      </w:pPr>
      <w:bookmarkStart w:id="43" w:name="_Toc455050913"/>
      <w:bookmarkStart w:id="44" w:name="_Toc455580902"/>
      <w:bookmarkStart w:id="45" w:name="_Toc455588107"/>
      <w:bookmarkStart w:id="46" w:name="_Toc456168857"/>
      <w:r w:rsidRPr="0028100D">
        <w:rPr>
          <w:b w:val="0"/>
          <w:i w:val="0"/>
          <w:sz w:val="24"/>
          <w:szCs w:val="24"/>
        </w:rPr>
        <w:t>Civil society’s k</w:t>
      </w:r>
      <w:r w:rsidR="003968C8" w:rsidRPr="0028100D">
        <w:rPr>
          <w:b w:val="0"/>
          <w:i w:val="0"/>
          <w:sz w:val="24"/>
          <w:szCs w:val="24"/>
        </w:rPr>
        <w:t xml:space="preserve">ey </w:t>
      </w:r>
      <w:r w:rsidR="007C52C8">
        <w:rPr>
          <w:b w:val="0"/>
          <w:i w:val="0"/>
          <w:sz w:val="24"/>
          <w:szCs w:val="24"/>
        </w:rPr>
        <w:t xml:space="preserve">recommendations for the </w:t>
      </w:r>
      <w:r w:rsidR="005C3742" w:rsidRPr="00EA0F96">
        <w:rPr>
          <w:b w:val="0"/>
          <w:i w:val="0"/>
          <w:sz w:val="24"/>
          <w:szCs w:val="24"/>
        </w:rPr>
        <w:t xml:space="preserve">Australian </w:t>
      </w:r>
      <w:r w:rsidR="007C52C8">
        <w:rPr>
          <w:b w:val="0"/>
          <w:i w:val="0"/>
          <w:sz w:val="24"/>
          <w:szCs w:val="24"/>
        </w:rPr>
        <w:t>Gove</w:t>
      </w:r>
      <w:r w:rsidR="00673F14">
        <w:rPr>
          <w:b w:val="0"/>
          <w:i w:val="0"/>
          <w:sz w:val="24"/>
          <w:szCs w:val="24"/>
        </w:rPr>
        <w:t>r</w:t>
      </w:r>
      <w:r w:rsidR="007C52C8">
        <w:rPr>
          <w:b w:val="0"/>
          <w:i w:val="0"/>
          <w:sz w:val="24"/>
          <w:szCs w:val="24"/>
        </w:rPr>
        <w:t>nment</w:t>
      </w:r>
      <w:r w:rsidR="003968C8" w:rsidRPr="0028100D">
        <w:rPr>
          <w:b w:val="0"/>
          <w:i w:val="0"/>
          <w:sz w:val="24"/>
          <w:szCs w:val="24"/>
        </w:rPr>
        <w:t xml:space="preserve"> </w:t>
      </w:r>
      <w:r w:rsidR="007971C5" w:rsidRPr="0028100D">
        <w:rPr>
          <w:b w:val="0"/>
          <w:i w:val="0"/>
          <w:sz w:val="24"/>
          <w:szCs w:val="24"/>
        </w:rPr>
        <w:t>are</w:t>
      </w:r>
      <w:r w:rsidR="003968C8" w:rsidRPr="0028100D">
        <w:rPr>
          <w:b w:val="0"/>
          <w:i w:val="0"/>
          <w:sz w:val="24"/>
          <w:szCs w:val="24"/>
        </w:rPr>
        <w:t>:</w:t>
      </w:r>
      <w:bookmarkEnd w:id="43"/>
      <w:bookmarkEnd w:id="44"/>
      <w:bookmarkEnd w:id="45"/>
      <w:bookmarkEnd w:id="46"/>
    </w:p>
    <w:p w14:paraId="32F0E57E" w14:textId="77777777" w:rsidR="00B1591C" w:rsidRPr="00A737B9" w:rsidRDefault="008B4792" w:rsidP="00A737B9">
      <w:pPr>
        <w:pStyle w:val="aaHRLCBodytextakaNormal"/>
        <w:numPr>
          <w:ilvl w:val="0"/>
          <w:numId w:val="22"/>
        </w:numPr>
        <w:spacing w:line="240" w:lineRule="auto"/>
        <w:rPr>
          <w:sz w:val="24"/>
          <w:szCs w:val="24"/>
        </w:rPr>
      </w:pPr>
      <w:r>
        <w:rPr>
          <w:sz w:val="24"/>
          <w:szCs w:val="24"/>
        </w:rPr>
        <w:t xml:space="preserve">establish </w:t>
      </w:r>
      <w:r w:rsidR="00B1591C" w:rsidRPr="00A737B9">
        <w:rPr>
          <w:sz w:val="24"/>
          <w:szCs w:val="24"/>
        </w:rPr>
        <w:t xml:space="preserve">a </w:t>
      </w:r>
      <w:r w:rsidR="00B1591C" w:rsidRPr="0018442B">
        <w:rPr>
          <w:b/>
          <w:sz w:val="24"/>
          <w:szCs w:val="24"/>
        </w:rPr>
        <w:t>m</w:t>
      </w:r>
      <w:r w:rsidR="004D2FF7" w:rsidRPr="0018442B">
        <w:rPr>
          <w:b/>
          <w:sz w:val="24"/>
          <w:szCs w:val="24"/>
        </w:rPr>
        <w:t>ulti-stakeholder advisory group</w:t>
      </w:r>
      <w:r w:rsidR="00B1591C" w:rsidRPr="00A737B9">
        <w:rPr>
          <w:sz w:val="24"/>
          <w:szCs w:val="24"/>
        </w:rPr>
        <w:t xml:space="preserve"> as </w:t>
      </w:r>
      <w:r w:rsidR="004D2FF7" w:rsidRPr="00A737B9">
        <w:rPr>
          <w:sz w:val="24"/>
          <w:szCs w:val="24"/>
        </w:rPr>
        <w:t>a priority</w:t>
      </w:r>
      <w:r w:rsidR="00B1591C" w:rsidRPr="00A737B9">
        <w:rPr>
          <w:sz w:val="24"/>
          <w:szCs w:val="24"/>
        </w:rPr>
        <w:t>;</w:t>
      </w:r>
    </w:p>
    <w:p w14:paraId="5EA0E62B" w14:textId="77777777" w:rsidR="004D2FF7" w:rsidRPr="00A737B9" w:rsidRDefault="008B4792" w:rsidP="00A737B9">
      <w:pPr>
        <w:pStyle w:val="aaHRLCBodytextakaNormal"/>
        <w:numPr>
          <w:ilvl w:val="0"/>
          <w:numId w:val="22"/>
        </w:numPr>
        <w:spacing w:line="240" w:lineRule="auto"/>
        <w:rPr>
          <w:sz w:val="24"/>
          <w:szCs w:val="24"/>
        </w:rPr>
      </w:pPr>
      <w:r>
        <w:rPr>
          <w:sz w:val="24"/>
          <w:szCs w:val="24"/>
        </w:rPr>
        <w:t xml:space="preserve">conduct </w:t>
      </w:r>
      <w:r w:rsidR="00B1591C" w:rsidRPr="00A737B9">
        <w:rPr>
          <w:sz w:val="24"/>
          <w:szCs w:val="24"/>
        </w:rPr>
        <w:t>a thorough</w:t>
      </w:r>
      <w:r w:rsidR="00C66BD6">
        <w:rPr>
          <w:sz w:val="24"/>
          <w:szCs w:val="24"/>
        </w:rPr>
        <w:t>, consultative</w:t>
      </w:r>
      <w:r w:rsidR="00B1591C" w:rsidRPr="00A737B9">
        <w:rPr>
          <w:sz w:val="24"/>
          <w:szCs w:val="24"/>
        </w:rPr>
        <w:t xml:space="preserve"> </w:t>
      </w:r>
      <w:r w:rsidR="00C56CD2">
        <w:rPr>
          <w:sz w:val="24"/>
          <w:szCs w:val="24"/>
        </w:rPr>
        <w:t xml:space="preserve">and efficient </w:t>
      </w:r>
      <w:r w:rsidR="00B1591C" w:rsidRPr="00EB3485">
        <w:rPr>
          <w:b/>
          <w:sz w:val="24"/>
          <w:szCs w:val="24"/>
        </w:rPr>
        <w:t>national baseline assessment</w:t>
      </w:r>
      <w:r w:rsidR="00B1591C" w:rsidRPr="00A737B9">
        <w:rPr>
          <w:sz w:val="24"/>
          <w:szCs w:val="24"/>
        </w:rPr>
        <w:t xml:space="preserve">; </w:t>
      </w:r>
    </w:p>
    <w:p w14:paraId="5DAADFD4" w14:textId="74C79D67" w:rsidR="004D2FF7" w:rsidRPr="00A737B9" w:rsidRDefault="00F72699" w:rsidP="00A737B9">
      <w:pPr>
        <w:pStyle w:val="aaHRLCBodytextakaNormal"/>
        <w:numPr>
          <w:ilvl w:val="0"/>
          <w:numId w:val="22"/>
        </w:numPr>
        <w:spacing w:line="240" w:lineRule="auto"/>
        <w:rPr>
          <w:sz w:val="24"/>
          <w:szCs w:val="24"/>
        </w:rPr>
      </w:pPr>
      <w:r>
        <w:rPr>
          <w:sz w:val="24"/>
          <w:szCs w:val="24"/>
        </w:rPr>
        <w:t>develop</w:t>
      </w:r>
      <w:r w:rsidR="00B1591C" w:rsidRPr="00A737B9">
        <w:rPr>
          <w:sz w:val="24"/>
          <w:szCs w:val="24"/>
        </w:rPr>
        <w:t xml:space="preserve"> a </w:t>
      </w:r>
      <w:r w:rsidR="004B4ACB" w:rsidRPr="00EB3485">
        <w:rPr>
          <w:b/>
          <w:sz w:val="24"/>
          <w:szCs w:val="24"/>
        </w:rPr>
        <w:t>national action plan</w:t>
      </w:r>
      <w:r w:rsidR="004B4ACB" w:rsidRPr="0018442B">
        <w:rPr>
          <w:sz w:val="24"/>
          <w:szCs w:val="24"/>
        </w:rPr>
        <w:t xml:space="preserve"> </w:t>
      </w:r>
      <w:r w:rsidR="004B4ACB" w:rsidRPr="00A737B9">
        <w:rPr>
          <w:sz w:val="24"/>
          <w:szCs w:val="24"/>
        </w:rPr>
        <w:t>on business and human rights (</w:t>
      </w:r>
      <w:r w:rsidR="004D2FF7" w:rsidRPr="00A737B9">
        <w:rPr>
          <w:sz w:val="24"/>
          <w:szCs w:val="24"/>
        </w:rPr>
        <w:t>NAP</w:t>
      </w:r>
      <w:r w:rsidR="004B4ACB" w:rsidRPr="00A737B9">
        <w:rPr>
          <w:sz w:val="24"/>
          <w:szCs w:val="24"/>
        </w:rPr>
        <w:t>)</w:t>
      </w:r>
      <w:r w:rsidR="00B1591C" w:rsidRPr="00A737B9">
        <w:rPr>
          <w:sz w:val="24"/>
          <w:szCs w:val="24"/>
        </w:rPr>
        <w:t xml:space="preserve"> </w:t>
      </w:r>
      <w:r w:rsidR="00C56CD2">
        <w:rPr>
          <w:sz w:val="24"/>
          <w:szCs w:val="24"/>
        </w:rPr>
        <w:t>that contains</w:t>
      </w:r>
      <w:r w:rsidR="00B1591C" w:rsidRPr="00A737B9">
        <w:rPr>
          <w:sz w:val="24"/>
          <w:szCs w:val="24"/>
        </w:rPr>
        <w:t xml:space="preserve"> specific, </w:t>
      </w:r>
      <w:r w:rsidR="004D2FF7" w:rsidRPr="00A737B9">
        <w:rPr>
          <w:sz w:val="24"/>
          <w:szCs w:val="24"/>
        </w:rPr>
        <w:t>forward-looking</w:t>
      </w:r>
      <w:r w:rsidR="00B1591C" w:rsidRPr="00A737B9">
        <w:rPr>
          <w:sz w:val="24"/>
          <w:szCs w:val="24"/>
        </w:rPr>
        <w:t xml:space="preserve"> </w:t>
      </w:r>
      <w:r w:rsidR="004D2FF7" w:rsidRPr="00A737B9">
        <w:rPr>
          <w:sz w:val="24"/>
          <w:szCs w:val="24"/>
        </w:rPr>
        <w:t>commitments</w:t>
      </w:r>
      <w:r w:rsidR="00C56CD2">
        <w:rPr>
          <w:sz w:val="24"/>
          <w:szCs w:val="24"/>
        </w:rPr>
        <w:t>, timelines and allocated responsibilities</w:t>
      </w:r>
      <w:r w:rsidR="009B4170" w:rsidRPr="00A737B9">
        <w:rPr>
          <w:sz w:val="24"/>
          <w:szCs w:val="24"/>
        </w:rPr>
        <w:t>;</w:t>
      </w:r>
    </w:p>
    <w:p w14:paraId="7F59AA8B" w14:textId="77777777" w:rsidR="0005782E" w:rsidRPr="00A737B9" w:rsidRDefault="008B4792" w:rsidP="00A737B9">
      <w:pPr>
        <w:pStyle w:val="aaHRLCBodytextakaNormal"/>
        <w:numPr>
          <w:ilvl w:val="0"/>
          <w:numId w:val="22"/>
        </w:numPr>
        <w:spacing w:line="240" w:lineRule="auto"/>
        <w:rPr>
          <w:sz w:val="24"/>
          <w:szCs w:val="24"/>
        </w:rPr>
      </w:pPr>
      <w:r>
        <w:rPr>
          <w:sz w:val="24"/>
          <w:szCs w:val="24"/>
        </w:rPr>
        <w:t xml:space="preserve">meet </w:t>
      </w:r>
      <w:r w:rsidR="009B4170" w:rsidRPr="00A737B9">
        <w:rPr>
          <w:sz w:val="24"/>
          <w:szCs w:val="24"/>
        </w:rPr>
        <w:t>c</w:t>
      </w:r>
      <w:r w:rsidR="00E20603" w:rsidRPr="00A737B9">
        <w:rPr>
          <w:sz w:val="24"/>
          <w:szCs w:val="24"/>
        </w:rPr>
        <w:t xml:space="preserve">riteria for the </w:t>
      </w:r>
      <w:r w:rsidR="0005782E" w:rsidRPr="00A737B9">
        <w:rPr>
          <w:sz w:val="24"/>
          <w:szCs w:val="24"/>
        </w:rPr>
        <w:t xml:space="preserve">NAP </w:t>
      </w:r>
      <w:r w:rsidR="00B1591C" w:rsidRPr="00A737B9">
        <w:rPr>
          <w:sz w:val="24"/>
          <w:szCs w:val="24"/>
        </w:rPr>
        <w:t xml:space="preserve">development </w:t>
      </w:r>
      <w:r w:rsidR="0005782E" w:rsidRPr="00EB3485">
        <w:rPr>
          <w:b/>
          <w:sz w:val="24"/>
          <w:szCs w:val="24"/>
        </w:rPr>
        <w:t>process</w:t>
      </w:r>
      <w:r w:rsidR="0005782E" w:rsidRPr="00A737B9">
        <w:rPr>
          <w:sz w:val="24"/>
          <w:szCs w:val="24"/>
        </w:rPr>
        <w:t>:</w:t>
      </w:r>
    </w:p>
    <w:p w14:paraId="2DF0913B" w14:textId="77777777" w:rsidR="0005782E" w:rsidRPr="00A737B9" w:rsidRDefault="002D7669" w:rsidP="00A737B9">
      <w:pPr>
        <w:pStyle w:val="aaHRLCBodytextakaNormal"/>
        <w:numPr>
          <w:ilvl w:val="1"/>
          <w:numId w:val="22"/>
        </w:numPr>
        <w:spacing w:line="240" w:lineRule="auto"/>
        <w:rPr>
          <w:sz w:val="24"/>
          <w:szCs w:val="24"/>
        </w:rPr>
      </w:pPr>
      <w:r>
        <w:rPr>
          <w:sz w:val="24"/>
          <w:szCs w:val="24"/>
        </w:rPr>
        <w:t xml:space="preserve">a </w:t>
      </w:r>
      <w:r w:rsidR="00E20603" w:rsidRPr="00A737B9">
        <w:rPr>
          <w:sz w:val="24"/>
          <w:szCs w:val="24"/>
        </w:rPr>
        <w:t xml:space="preserve">high level of </w:t>
      </w:r>
      <w:r w:rsidR="00B1591C" w:rsidRPr="00A737B9">
        <w:rPr>
          <w:sz w:val="24"/>
          <w:szCs w:val="24"/>
        </w:rPr>
        <w:t>t</w:t>
      </w:r>
      <w:r w:rsidR="00E20603" w:rsidRPr="00A737B9">
        <w:rPr>
          <w:sz w:val="24"/>
          <w:szCs w:val="24"/>
        </w:rPr>
        <w:t>ransparency</w:t>
      </w:r>
    </w:p>
    <w:p w14:paraId="01004C4B" w14:textId="77777777" w:rsidR="0005782E" w:rsidRPr="00A737B9" w:rsidRDefault="00B1591C" w:rsidP="00A737B9">
      <w:pPr>
        <w:pStyle w:val="aaHRLCBodytextakaNormal"/>
        <w:numPr>
          <w:ilvl w:val="1"/>
          <w:numId w:val="22"/>
        </w:numPr>
        <w:spacing w:line="240" w:lineRule="auto"/>
        <w:rPr>
          <w:sz w:val="24"/>
          <w:szCs w:val="24"/>
        </w:rPr>
      </w:pPr>
      <w:r w:rsidRPr="00A737B9">
        <w:rPr>
          <w:sz w:val="24"/>
          <w:szCs w:val="24"/>
        </w:rPr>
        <w:t>m</w:t>
      </w:r>
      <w:r w:rsidR="0005782E" w:rsidRPr="00A737B9">
        <w:rPr>
          <w:sz w:val="24"/>
          <w:szCs w:val="24"/>
        </w:rPr>
        <w:t>ulti-stakeholder participation and consultations</w:t>
      </w:r>
    </w:p>
    <w:p w14:paraId="037B9425" w14:textId="77777777" w:rsidR="0005782E" w:rsidRPr="00A737B9" w:rsidRDefault="002D7669" w:rsidP="00A737B9">
      <w:pPr>
        <w:pStyle w:val="aaHRLCBodytextakaNormal"/>
        <w:numPr>
          <w:ilvl w:val="1"/>
          <w:numId w:val="22"/>
        </w:numPr>
        <w:spacing w:line="240" w:lineRule="auto"/>
        <w:rPr>
          <w:sz w:val="24"/>
          <w:szCs w:val="24"/>
        </w:rPr>
      </w:pPr>
      <w:r>
        <w:rPr>
          <w:sz w:val="24"/>
          <w:szCs w:val="24"/>
        </w:rPr>
        <w:t xml:space="preserve">an </w:t>
      </w:r>
      <w:r w:rsidR="00E20603" w:rsidRPr="00A737B9">
        <w:rPr>
          <w:sz w:val="24"/>
          <w:szCs w:val="24"/>
        </w:rPr>
        <w:t>e</w:t>
      </w:r>
      <w:r w:rsidR="0005782E" w:rsidRPr="00A737B9">
        <w:rPr>
          <w:sz w:val="24"/>
          <w:szCs w:val="24"/>
        </w:rPr>
        <w:t>vidence-based</w:t>
      </w:r>
      <w:r w:rsidR="00E20603" w:rsidRPr="00A737B9">
        <w:rPr>
          <w:sz w:val="24"/>
          <w:szCs w:val="24"/>
        </w:rPr>
        <w:t xml:space="preserve"> approach</w:t>
      </w:r>
    </w:p>
    <w:p w14:paraId="36EEFA14" w14:textId="77777777" w:rsidR="0005782E" w:rsidRPr="00A737B9" w:rsidRDefault="002D7669" w:rsidP="00A737B9">
      <w:pPr>
        <w:pStyle w:val="aaHRLCBodytextakaNormal"/>
        <w:numPr>
          <w:ilvl w:val="1"/>
          <w:numId w:val="22"/>
        </w:numPr>
        <w:spacing w:line="240" w:lineRule="auto"/>
        <w:rPr>
          <w:sz w:val="24"/>
          <w:szCs w:val="24"/>
        </w:rPr>
      </w:pPr>
      <w:r>
        <w:rPr>
          <w:sz w:val="24"/>
          <w:szCs w:val="24"/>
        </w:rPr>
        <w:t xml:space="preserve">a </w:t>
      </w:r>
      <w:r w:rsidR="00E20603" w:rsidRPr="00A737B9">
        <w:rPr>
          <w:sz w:val="24"/>
          <w:szCs w:val="24"/>
        </w:rPr>
        <w:t>m</w:t>
      </w:r>
      <w:r w:rsidR="0005782E" w:rsidRPr="00A737B9">
        <w:rPr>
          <w:sz w:val="24"/>
          <w:szCs w:val="24"/>
        </w:rPr>
        <w:t>onitoring and review mechanism</w:t>
      </w:r>
    </w:p>
    <w:p w14:paraId="08FC9DCE" w14:textId="77777777" w:rsidR="0005782E" w:rsidRPr="00A737B9" w:rsidRDefault="008B4792" w:rsidP="00A737B9">
      <w:pPr>
        <w:pStyle w:val="aaHRLCBodytextakaNormal"/>
        <w:numPr>
          <w:ilvl w:val="0"/>
          <w:numId w:val="22"/>
        </w:numPr>
        <w:spacing w:line="240" w:lineRule="auto"/>
        <w:rPr>
          <w:sz w:val="24"/>
          <w:szCs w:val="24"/>
        </w:rPr>
      </w:pPr>
      <w:r>
        <w:rPr>
          <w:sz w:val="24"/>
          <w:szCs w:val="24"/>
        </w:rPr>
        <w:t xml:space="preserve">meet </w:t>
      </w:r>
      <w:r w:rsidR="009B4170" w:rsidRPr="00A737B9">
        <w:rPr>
          <w:sz w:val="24"/>
          <w:szCs w:val="24"/>
        </w:rPr>
        <w:t>c</w:t>
      </w:r>
      <w:r w:rsidR="00E20603" w:rsidRPr="00A737B9">
        <w:rPr>
          <w:sz w:val="24"/>
          <w:szCs w:val="24"/>
        </w:rPr>
        <w:t xml:space="preserve">riteria for </w:t>
      </w:r>
      <w:r w:rsidR="0005782E" w:rsidRPr="00A737B9">
        <w:rPr>
          <w:sz w:val="24"/>
          <w:szCs w:val="24"/>
        </w:rPr>
        <w:t xml:space="preserve">NAP </w:t>
      </w:r>
      <w:r w:rsidR="0005782E" w:rsidRPr="00EB3485">
        <w:rPr>
          <w:b/>
          <w:sz w:val="24"/>
          <w:szCs w:val="24"/>
        </w:rPr>
        <w:t>content</w:t>
      </w:r>
      <w:r w:rsidR="0005782E" w:rsidRPr="00A737B9">
        <w:rPr>
          <w:sz w:val="24"/>
          <w:szCs w:val="24"/>
        </w:rPr>
        <w:t>:</w:t>
      </w:r>
    </w:p>
    <w:p w14:paraId="5E3E9577" w14:textId="77777777" w:rsidR="0005782E" w:rsidRPr="00A737B9" w:rsidRDefault="0005782E" w:rsidP="00A737B9">
      <w:pPr>
        <w:pStyle w:val="aaHRLCBodytextakaNormal"/>
        <w:numPr>
          <w:ilvl w:val="1"/>
          <w:numId w:val="22"/>
        </w:numPr>
        <w:spacing w:line="240" w:lineRule="auto"/>
        <w:rPr>
          <w:sz w:val="24"/>
          <w:szCs w:val="24"/>
        </w:rPr>
      </w:pPr>
      <w:r w:rsidRPr="00A737B9">
        <w:rPr>
          <w:sz w:val="24"/>
          <w:szCs w:val="24"/>
        </w:rPr>
        <w:t>UNGPs</w:t>
      </w:r>
      <w:r w:rsidR="00C45D14" w:rsidRPr="00A737B9">
        <w:rPr>
          <w:sz w:val="24"/>
          <w:szCs w:val="24"/>
        </w:rPr>
        <w:t xml:space="preserve"> as a foundation</w:t>
      </w:r>
    </w:p>
    <w:p w14:paraId="21F8E7D3" w14:textId="77777777" w:rsidR="0005782E" w:rsidRPr="00A737B9" w:rsidRDefault="003C3B48" w:rsidP="00A737B9">
      <w:pPr>
        <w:pStyle w:val="aaHRLCBodytextakaNormal"/>
        <w:numPr>
          <w:ilvl w:val="1"/>
          <w:numId w:val="22"/>
        </w:numPr>
        <w:spacing w:line="240" w:lineRule="auto"/>
        <w:rPr>
          <w:sz w:val="24"/>
          <w:szCs w:val="24"/>
        </w:rPr>
      </w:pPr>
      <w:r>
        <w:rPr>
          <w:sz w:val="24"/>
          <w:szCs w:val="24"/>
        </w:rPr>
        <w:t>i</w:t>
      </w:r>
      <w:r w:rsidR="004D183C">
        <w:rPr>
          <w:sz w:val="24"/>
          <w:szCs w:val="24"/>
        </w:rPr>
        <w:t xml:space="preserve">nclude </w:t>
      </w:r>
      <w:r w:rsidR="00C45D14" w:rsidRPr="00A737B9">
        <w:rPr>
          <w:sz w:val="24"/>
          <w:szCs w:val="24"/>
        </w:rPr>
        <w:t>a</w:t>
      </w:r>
      <w:r w:rsidR="0005782E" w:rsidRPr="00A737B9">
        <w:rPr>
          <w:sz w:val="24"/>
          <w:szCs w:val="24"/>
        </w:rPr>
        <w:t>ction-orientated</w:t>
      </w:r>
      <w:r w:rsidR="009869D0" w:rsidRPr="00A737B9">
        <w:rPr>
          <w:sz w:val="24"/>
          <w:szCs w:val="24"/>
        </w:rPr>
        <w:t xml:space="preserve">, forward-looking </w:t>
      </w:r>
      <w:r w:rsidR="0005782E" w:rsidRPr="00A737B9">
        <w:rPr>
          <w:sz w:val="24"/>
          <w:szCs w:val="24"/>
        </w:rPr>
        <w:t>targets</w:t>
      </w:r>
    </w:p>
    <w:p w14:paraId="64E24B36" w14:textId="77777777" w:rsidR="0005782E" w:rsidRPr="00A737B9" w:rsidRDefault="00C45D14" w:rsidP="00A737B9">
      <w:pPr>
        <w:pStyle w:val="aaHRLCBodytextakaNormal"/>
        <w:numPr>
          <w:ilvl w:val="1"/>
          <w:numId w:val="22"/>
        </w:numPr>
        <w:spacing w:line="240" w:lineRule="auto"/>
        <w:rPr>
          <w:sz w:val="24"/>
          <w:szCs w:val="24"/>
        </w:rPr>
      </w:pPr>
      <w:r w:rsidRPr="00A737B9">
        <w:rPr>
          <w:sz w:val="24"/>
          <w:szCs w:val="24"/>
        </w:rPr>
        <w:t>a</w:t>
      </w:r>
      <w:r w:rsidR="0005782E" w:rsidRPr="00A737B9">
        <w:rPr>
          <w:sz w:val="24"/>
          <w:szCs w:val="24"/>
        </w:rPr>
        <w:t>ddress</w:t>
      </w:r>
      <w:r w:rsidR="004D183C">
        <w:rPr>
          <w:sz w:val="24"/>
          <w:szCs w:val="24"/>
        </w:rPr>
        <w:t xml:space="preserve"> </w:t>
      </w:r>
      <w:r w:rsidR="0005782E" w:rsidRPr="00A737B9">
        <w:rPr>
          <w:sz w:val="24"/>
          <w:szCs w:val="24"/>
        </w:rPr>
        <w:t xml:space="preserve">interests of all groups in society (including </w:t>
      </w:r>
      <w:r w:rsidR="002D7669">
        <w:rPr>
          <w:sz w:val="24"/>
          <w:szCs w:val="24"/>
        </w:rPr>
        <w:t xml:space="preserve">the </w:t>
      </w:r>
      <w:r w:rsidR="0005782E" w:rsidRPr="00A737B9">
        <w:rPr>
          <w:sz w:val="24"/>
          <w:szCs w:val="24"/>
        </w:rPr>
        <w:t>most marginalised)</w:t>
      </w:r>
    </w:p>
    <w:p w14:paraId="586C5458" w14:textId="28EE6537" w:rsidR="009869D0" w:rsidRPr="00A737B9" w:rsidRDefault="004D183C" w:rsidP="00A737B9">
      <w:pPr>
        <w:pStyle w:val="aaHRLCBodytextakaNormal"/>
        <w:numPr>
          <w:ilvl w:val="1"/>
          <w:numId w:val="22"/>
        </w:numPr>
        <w:spacing w:line="240" w:lineRule="auto"/>
        <w:rPr>
          <w:sz w:val="24"/>
          <w:szCs w:val="24"/>
        </w:rPr>
      </w:pPr>
      <w:r>
        <w:rPr>
          <w:sz w:val="24"/>
          <w:szCs w:val="24"/>
        </w:rPr>
        <w:t xml:space="preserve">include </w:t>
      </w:r>
      <w:r w:rsidR="00B0413C" w:rsidRPr="00A737B9">
        <w:rPr>
          <w:sz w:val="24"/>
          <w:szCs w:val="24"/>
        </w:rPr>
        <w:t xml:space="preserve">measures </w:t>
      </w:r>
      <w:r w:rsidR="00B0413C">
        <w:rPr>
          <w:sz w:val="24"/>
          <w:szCs w:val="24"/>
        </w:rPr>
        <w:t xml:space="preserve"> to ensure </w:t>
      </w:r>
      <w:r w:rsidR="00C45D14" w:rsidRPr="00A737B9">
        <w:rPr>
          <w:sz w:val="24"/>
          <w:szCs w:val="24"/>
        </w:rPr>
        <w:t>adequate</w:t>
      </w:r>
      <w:r w:rsidR="0005782E" w:rsidRPr="00A737B9">
        <w:rPr>
          <w:sz w:val="24"/>
          <w:szCs w:val="24"/>
        </w:rPr>
        <w:t xml:space="preserve"> </w:t>
      </w:r>
      <w:r>
        <w:rPr>
          <w:sz w:val="24"/>
          <w:szCs w:val="24"/>
        </w:rPr>
        <w:t xml:space="preserve">access to </w:t>
      </w:r>
      <w:r w:rsidR="0005782E" w:rsidRPr="00A737B9">
        <w:rPr>
          <w:sz w:val="24"/>
          <w:szCs w:val="24"/>
        </w:rPr>
        <w:t xml:space="preserve">remedy </w:t>
      </w:r>
    </w:p>
    <w:p w14:paraId="4EECAC3A" w14:textId="77777777" w:rsidR="0005782E" w:rsidRPr="00A737B9" w:rsidRDefault="009B4170" w:rsidP="00A737B9">
      <w:pPr>
        <w:pStyle w:val="aaHRLCBodytextakaNormal"/>
        <w:numPr>
          <w:ilvl w:val="0"/>
          <w:numId w:val="22"/>
        </w:numPr>
        <w:spacing w:line="240" w:lineRule="auto"/>
        <w:rPr>
          <w:sz w:val="24"/>
          <w:szCs w:val="24"/>
        </w:rPr>
      </w:pPr>
      <w:r w:rsidRPr="00A737B9">
        <w:rPr>
          <w:sz w:val="24"/>
          <w:szCs w:val="24"/>
        </w:rPr>
        <w:t xml:space="preserve">lead by example, particularly in </w:t>
      </w:r>
      <w:r w:rsidR="006B7A40" w:rsidRPr="00EB3485">
        <w:rPr>
          <w:b/>
          <w:sz w:val="24"/>
          <w:szCs w:val="24"/>
        </w:rPr>
        <w:t>public procurement</w:t>
      </w:r>
      <w:r w:rsidR="00C2603B" w:rsidRPr="00A737B9">
        <w:rPr>
          <w:sz w:val="24"/>
          <w:szCs w:val="24"/>
        </w:rPr>
        <w:t xml:space="preserve"> and </w:t>
      </w:r>
      <w:r w:rsidRPr="00A737B9">
        <w:rPr>
          <w:sz w:val="24"/>
          <w:szCs w:val="24"/>
        </w:rPr>
        <w:t xml:space="preserve">the </w:t>
      </w:r>
      <w:r w:rsidR="00C2603B" w:rsidRPr="00A737B9">
        <w:rPr>
          <w:sz w:val="24"/>
          <w:szCs w:val="24"/>
        </w:rPr>
        <w:t>operation of state-</w:t>
      </w:r>
      <w:r w:rsidR="004F1968" w:rsidRPr="00A737B9">
        <w:rPr>
          <w:sz w:val="24"/>
          <w:szCs w:val="24"/>
        </w:rPr>
        <w:t>owned</w:t>
      </w:r>
      <w:r w:rsidR="00C56CD2">
        <w:rPr>
          <w:sz w:val="24"/>
          <w:szCs w:val="24"/>
        </w:rPr>
        <w:t>,</w:t>
      </w:r>
      <w:r w:rsidR="004F1968" w:rsidRPr="00A737B9">
        <w:rPr>
          <w:sz w:val="24"/>
          <w:szCs w:val="24"/>
        </w:rPr>
        <w:t xml:space="preserve"> controlled </w:t>
      </w:r>
      <w:r w:rsidR="00C56CD2">
        <w:rPr>
          <w:sz w:val="24"/>
          <w:szCs w:val="24"/>
        </w:rPr>
        <w:t xml:space="preserve">and supported </w:t>
      </w:r>
      <w:r w:rsidR="004F1968" w:rsidRPr="00A737B9">
        <w:rPr>
          <w:sz w:val="24"/>
          <w:szCs w:val="24"/>
        </w:rPr>
        <w:t>business enterprises</w:t>
      </w:r>
      <w:r w:rsidRPr="00A737B9">
        <w:rPr>
          <w:sz w:val="24"/>
          <w:szCs w:val="24"/>
        </w:rPr>
        <w:t>;</w:t>
      </w:r>
    </w:p>
    <w:p w14:paraId="68981B5D" w14:textId="77777777" w:rsidR="00D67BD1" w:rsidRPr="00A737B9" w:rsidRDefault="008B4792" w:rsidP="00A737B9">
      <w:pPr>
        <w:pStyle w:val="aaHRLCBodytextakaNormal"/>
        <w:numPr>
          <w:ilvl w:val="0"/>
          <w:numId w:val="22"/>
        </w:numPr>
        <w:spacing w:line="240" w:lineRule="auto"/>
        <w:rPr>
          <w:sz w:val="24"/>
          <w:szCs w:val="24"/>
        </w:rPr>
      </w:pPr>
      <w:r>
        <w:rPr>
          <w:sz w:val="24"/>
          <w:szCs w:val="24"/>
        </w:rPr>
        <w:t xml:space="preserve">develop </w:t>
      </w:r>
      <w:r w:rsidR="00D67BD1" w:rsidRPr="00A737B9">
        <w:rPr>
          <w:sz w:val="24"/>
          <w:szCs w:val="24"/>
        </w:rPr>
        <w:t xml:space="preserve">clear </w:t>
      </w:r>
      <w:r w:rsidR="00D67BD1" w:rsidRPr="00236E27">
        <w:rPr>
          <w:b/>
          <w:sz w:val="24"/>
          <w:szCs w:val="24"/>
        </w:rPr>
        <w:t xml:space="preserve">guidance </w:t>
      </w:r>
      <w:r w:rsidR="00236E27" w:rsidRPr="00236E27">
        <w:rPr>
          <w:b/>
          <w:sz w:val="24"/>
          <w:szCs w:val="24"/>
        </w:rPr>
        <w:t>for business</w:t>
      </w:r>
      <w:r w:rsidR="00236E27">
        <w:rPr>
          <w:rStyle w:val="EndnoteReference"/>
          <w:b/>
          <w:szCs w:val="24"/>
        </w:rPr>
        <w:endnoteReference w:id="3"/>
      </w:r>
      <w:r w:rsidR="00236E27">
        <w:rPr>
          <w:sz w:val="24"/>
          <w:szCs w:val="24"/>
        </w:rPr>
        <w:t xml:space="preserve"> </w:t>
      </w:r>
      <w:r w:rsidR="0091729C">
        <w:rPr>
          <w:sz w:val="24"/>
          <w:szCs w:val="24"/>
        </w:rPr>
        <w:t xml:space="preserve">on </w:t>
      </w:r>
      <w:r w:rsidR="00236E27">
        <w:rPr>
          <w:sz w:val="24"/>
          <w:szCs w:val="24"/>
        </w:rPr>
        <w:t xml:space="preserve">how to respect human rights in accordance with the UNGPs, including </w:t>
      </w:r>
      <w:r w:rsidR="00D67BD1" w:rsidRPr="00A737B9">
        <w:rPr>
          <w:sz w:val="24"/>
          <w:szCs w:val="24"/>
        </w:rPr>
        <w:t xml:space="preserve">on </w:t>
      </w:r>
      <w:r w:rsidR="00D67BD1" w:rsidRPr="00236E27">
        <w:rPr>
          <w:sz w:val="24"/>
          <w:szCs w:val="24"/>
        </w:rPr>
        <w:t>human rights due diligence</w:t>
      </w:r>
      <w:r w:rsidR="00D67BD1" w:rsidRPr="00A737B9">
        <w:rPr>
          <w:sz w:val="24"/>
          <w:szCs w:val="24"/>
        </w:rPr>
        <w:t xml:space="preserve"> </w:t>
      </w:r>
      <w:r w:rsidR="008F2BE4">
        <w:rPr>
          <w:sz w:val="24"/>
          <w:szCs w:val="24"/>
        </w:rPr>
        <w:t xml:space="preserve">and </w:t>
      </w:r>
      <w:r w:rsidR="008F2BE4" w:rsidRPr="00236E27">
        <w:rPr>
          <w:sz w:val="24"/>
          <w:szCs w:val="24"/>
        </w:rPr>
        <w:t>reporting</w:t>
      </w:r>
      <w:r w:rsidR="00D67BD1" w:rsidRPr="00A737B9">
        <w:rPr>
          <w:sz w:val="24"/>
          <w:szCs w:val="24"/>
        </w:rPr>
        <w:t>;</w:t>
      </w:r>
    </w:p>
    <w:p w14:paraId="2E5EA703" w14:textId="77777777" w:rsidR="006B7A40" w:rsidRPr="00A737B9" w:rsidRDefault="008B4792" w:rsidP="00A737B9">
      <w:pPr>
        <w:pStyle w:val="aaHRLCBodytextakaNormal"/>
        <w:numPr>
          <w:ilvl w:val="0"/>
          <w:numId w:val="22"/>
        </w:numPr>
        <w:spacing w:line="240" w:lineRule="auto"/>
        <w:rPr>
          <w:sz w:val="24"/>
          <w:szCs w:val="24"/>
        </w:rPr>
      </w:pPr>
      <w:r>
        <w:rPr>
          <w:sz w:val="24"/>
          <w:szCs w:val="24"/>
        </w:rPr>
        <w:t xml:space="preserve">develop options for </w:t>
      </w:r>
      <w:r w:rsidR="006B7A40" w:rsidRPr="00A737B9">
        <w:rPr>
          <w:sz w:val="24"/>
          <w:szCs w:val="24"/>
        </w:rPr>
        <w:t>safeguarding</w:t>
      </w:r>
      <w:r w:rsidR="004473FB">
        <w:rPr>
          <w:sz w:val="24"/>
          <w:szCs w:val="24"/>
        </w:rPr>
        <w:t>,</w:t>
      </w:r>
      <w:r w:rsidR="006B7A40" w:rsidRPr="00A737B9">
        <w:rPr>
          <w:sz w:val="24"/>
          <w:szCs w:val="24"/>
        </w:rPr>
        <w:t xml:space="preserve"> </w:t>
      </w:r>
      <w:r w:rsidR="009B4170" w:rsidRPr="00A737B9">
        <w:rPr>
          <w:sz w:val="24"/>
          <w:szCs w:val="24"/>
        </w:rPr>
        <w:t xml:space="preserve">supporting </w:t>
      </w:r>
      <w:r w:rsidR="004473FB" w:rsidRPr="00A737B9">
        <w:rPr>
          <w:sz w:val="24"/>
          <w:szCs w:val="24"/>
        </w:rPr>
        <w:t xml:space="preserve">and </w:t>
      </w:r>
      <w:r w:rsidR="004473FB">
        <w:rPr>
          <w:sz w:val="24"/>
          <w:szCs w:val="24"/>
        </w:rPr>
        <w:t xml:space="preserve">developing </w:t>
      </w:r>
      <w:r w:rsidR="009B4170" w:rsidRPr="00A737B9">
        <w:rPr>
          <w:sz w:val="24"/>
          <w:szCs w:val="24"/>
        </w:rPr>
        <w:t xml:space="preserve">mechanisms that provide </w:t>
      </w:r>
      <w:r w:rsidR="006B7A40" w:rsidRPr="00A737B9">
        <w:rPr>
          <w:sz w:val="24"/>
          <w:szCs w:val="24"/>
        </w:rPr>
        <w:t xml:space="preserve">access to </w:t>
      </w:r>
      <w:r w:rsidR="006B7A40" w:rsidRPr="00EB3485">
        <w:rPr>
          <w:b/>
          <w:sz w:val="24"/>
          <w:szCs w:val="24"/>
        </w:rPr>
        <w:t>remedy</w:t>
      </w:r>
      <w:r w:rsidR="009B4170" w:rsidRPr="00A737B9">
        <w:rPr>
          <w:sz w:val="24"/>
          <w:szCs w:val="24"/>
        </w:rPr>
        <w:t xml:space="preserve"> for the victims of business-related human rights abuses; </w:t>
      </w:r>
    </w:p>
    <w:p w14:paraId="0039EAF8" w14:textId="5CADBEED" w:rsidR="005668FF" w:rsidRPr="00A737B9" w:rsidRDefault="008B4792" w:rsidP="00A737B9">
      <w:pPr>
        <w:pStyle w:val="aaHRLCBodytextakaNormal"/>
        <w:numPr>
          <w:ilvl w:val="0"/>
          <w:numId w:val="22"/>
        </w:numPr>
        <w:spacing w:line="240" w:lineRule="auto"/>
        <w:rPr>
          <w:sz w:val="24"/>
          <w:szCs w:val="24"/>
        </w:rPr>
      </w:pPr>
      <w:r>
        <w:rPr>
          <w:sz w:val="24"/>
          <w:szCs w:val="24"/>
        </w:rPr>
        <w:t xml:space="preserve">strengthen </w:t>
      </w:r>
      <w:r w:rsidR="009B4170" w:rsidRPr="00A737B9">
        <w:rPr>
          <w:sz w:val="24"/>
          <w:szCs w:val="24"/>
        </w:rPr>
        <w:t xml:space="preserve">the Australian </w:t>
      </w:r>
      <w:r w:rsidR="009B4170" w:rsidRPr="00EB3485">
        <w:rPr>
          <w:b/>
          <w:sz w:val="24"/>
          <w:szCs w:val="24"/>
        </w:rPr>
        <w:t>OECD</w:t>
      </w:r>
      <w:r w:rsidR="009B4170" w:rsidRPr="00A737B9">
        <w:rPr>
          <w:sz w:val="24"/>
          <w:szCs w:val="24"/>
        </w:rPr>
        <w:t xml:space="preserve"> </w:t>
      </w:r>
      <w:r w:rsidR="005668FF" w:rsidRPr="00EB3485">
        <w:rPr>
          <w:b/>
          <w:sz w:val="24"/>
          <w:szCs w:val="24"/>
        </w:rPr>
        <w:t>N</w:t>
      </w:r>
      <w:r w:rsidR="008D607D">
        <w:rPr>
          <w:b/>
          <w:sz w:val="24"/>
          <w:szCs w:val="24"/>
        </w:rPr>
        <w:t xml:space="preserve">ational </w:t>
      </w:r>
      <w:r w:rsidR="005668FF" w:rsidRPr="00EB3485">
        <w:rPr>
          <w:b/>
          <w:sz w:val="24"/>
          <w:szCs w:val="24"/>
        </w:rPr>
        <w:t>C</w:t>
      </w:r>
      <w:r w:rsidR="008D607D">
        <w:rPr>
          <w:b/>
          <w:sz w:val="24"/>
          <w:szCs w:val="24"/>
        </w:rPr>
        <w:t xml:space="preserve">ontact </w:t>
      </w:r>
      <w:r w:rsidR="005668FF" w:rsidRPr="00EB3485">
        <w:rPr>
          <w:b/>
          <w:sz w:val="24"/>
          <w:szCs w:val="24"/>
        </w:rPr>
        <w:t>P</w:t>
      </w:r>
      <w:r w:rsidR="008D607D">
        <w:rPr>
          <w:b/>
          <w:sz w:val="24"/>
          <w:szCs w:val="24"/>
        </w:rPr>
        <w:t>oint</w:t>
      </w:r>
      <w:r w:rsidR="009E77B3" w:rsidRPr="00A737B9">
        <w:rPr>
          <w:sz w:val="24"/>
          <w:szCs w:val="24"/>
        </w:rPr>
        <w:t>;</w:t>
      </w:r>
      <w:r w:rsidR="007971C5" w:rsidRPr="00A737B9">
        <w:rPr>
          <w:sz w:val="24"/>
          <w:szCs w:val="24"/>
        </w:rPr>
        <w:t xml:space="preserve"> and</w:t>
      </w:r>
    </w:p>
    <w:p w14:paraId="48F7ED82" w14:textId="77777777" w:rsidR="001B0796" w:rsidRPr="00CE2FF8" w:rsidRDefault="008B4792" w:rsidP="00CE2FF8">
      <w:pPr>
        <w:pStyle w:val="aaHRLCBodytextakaNormal"/>
        <w:numPr>
          <w:ilvl w:val="0"/>
          <w:numId w:val="22"/>
        </w:numPr>
        <w:spacing w:line="240" w:lineRule="auto"/>
        <w:rPr>
          <w:sz w:val="24"/>
          <w:szCs w:val="24"/>
        </w:rPr>
      </w:pPr>
      <w:r>
        <w:rPr>
          <w:sz w:val="24"/>
          <w:szCs w:val="24"/>
        </w:rPr>
        <w:lastRenderedPageBreak/>
        <w:t>commit adequate</w:t>
      </w:r>
      <w:r w:rsidR="007971C5" w:rsidRPr="00A737B9">
        <w:rPr>
          <w:sz w:val="24"/>
          <w:szCs w:val="24"/>
        </w:rPr>
        <w:t xml:space="preserve"> </w:t>
      </w:r>
      <w:r>
        <w:rPr>
          <w:b/>
          <w:sz w:val="24"/>
          <w:szCs w:val="24"/>
        </w:rPr>
        <w:t xml:space="preserve">resources </w:t>
      </w:r>
      <w:r w:rsidR="001731DB" w:rsidRPr="00A737B9">
        <w:rPr>
          <w:sz w:val="24"/>
          <w:szCs w:val="24"/>
        </w:rPr>
        <w:t>to implement</w:t>
      </w:r>
      <w:r>
        <w:rPr>
          <w:sz w:val="24"/>
          <w:szCs w:val="24"/>
        </w:rPr>
        <w:t>ing</w:t>
      </w:r>
      <w:r w:rsidR="001731DB" w:rsidRPr="00A737B9">
        <w:rPr>
          <w:sz w:val="24"/>
          <w:szCs w:val="24"/>
        </w:rPr>
        <w:t xml:space="preserve"> the UNGPs</w:t>
      </w:r>
      <w:r w:rsidR="00FC22BD" w:rsidRPr="00A737B9">
        <w:rPr>
          <w:sz w:val="24"/>
          <w:szCs w:val="24"/>
        </w:rPr>
        <w:t>.</w:t>
      </w:r>
    </w:p>
    <w:p w14:paraId="6A5F5DA8" w14:textId="77777777" w:rsidR="0028100D" w:rsidRDefault="0028100D" w:rsidP="0028100D">
      <w:pPr>
        <w:pStyle w:val="Heading2"/>
      </w:pPr>
      <w:bookmarkStart w:id="47" w:name="_Toc456168858"/>
      <w:r>
        <w:t>Key Challenges</w:t>
      </w:r>
      <w:bookmarkEnd w:id="47"/>
    </w:p>
    <w:p w14:paraId="6798DE8E" w14:textId="77777777" w:rsidR="001B0796" w:rsidRPr="0028100D" w:rsidRDefault="000E3BBC" w:rsidP="0028100D">
      <w:pPr>
        <w:pStyle w:val="Heading2"/>
        <w:numPr>
          <w:ilvl w:val="0"/>
          <w:numId w:val="0"/>
        </w:numPr>
        <w:rPr>
          <w:b w:val="0"/>
          <w:i w:val="0"/>
          <w:sz w:val="24"/>
          <w:szCs w:val="24"/>
        </w:rPr>
      </w:pPr>
      <w:bookmarkStart w:id="48" w:name="_Toc455050915"/>
      <w:bookmarkStart w:id="49" w:name="_Toc455580904"/>
      <w:bookmarkStart w:id="50" w:name="_Toc455588109"/>
      <w:bookmarkStart w:id="51" w:name="_Toc456168859"/>
      <w:r w:rsidRPr="0028100D">
        <w:rPr>
          <w:b w:val="0"/>
          <w:i w:val="0"/>
          <w:sz w:val="24"/>
          <w:szCs w:val="24"/>
        </w:rPr>
        <w:t xml:space="preserve">Civil society </w:t>
      </w:r>
      <w:r w:rsidR="00FF28B1" w:rsidRPr="0028100D">
        <w:rPr>
          <w:b w:val="0"/>
          <w:i w:val="0"/>
          <w:sz w:val="24"/>
          <w:szCs w:val="24"/>
        </w:rPr>
        <w:t xml:space="preserve">recognises the following issues as representing </w:t>
      </w:r>
      <w:r w:rsidRPr="0028100D">
        <w:rPr>
          <w:b w:val="0"/>
          <w:i w:val="0"/>
          <w:sz w:val="24"/>
          <w:szCs w:val="24"/>
        </w:rPr>
        <w:t xml:space="preserve">key </w:t>
      </w:r>
      <w:r w:rsidR="00880C3D" w:rsidRPr="0028100D">
        <w:rPr>
          <w:b w:val="0"/>
          <w:i w:val="0"/>
          <w:sz w:val="24"/>
          <w:szCs w:val="24"/>
        </w:rPr>
        <w:t xml:space="preserve">business and human rights </w:t>
      </w:r>
      <w:r w:rsidR="00541E73" w:rsidRPr="0028100D">
        <w:rPr>
          <w:b w:val="0"/>
          <w:i w:val="0"/>
          <w:sz w:val="24"/>
          <w:szCs w:val="24"/>
        </w:rPr>
        <w:t xml:space="preserve">challenges </w:t>
      </w:r>
      <w:r w:rsidR="000330C4">
        <w:rPr>
          <w:b w:val="0"/>
          <w:i w:val="0"/>
          <w:sz w:val="24"/>
          <w:szCs w:val="24"/>
        </w:rPr>
        <w:t>for</w:t>
      </w:r>
      <w:r w:rsidRPr="0028100D">
        <w:rPr>
          <w:b w:val="0"/>
          <w:i w:val="0"/>
          <w:sz w:val="24"/>
          <w:szCs w:val="24"/>
        </w:rPr>
        <w:t xml:space="preserve"> Australia </w:t>
      </w:r>
      <w:r w:rsidR="00541E73" w:rsidRPr="0028100D">
        <w:rPr>
          <w:b w:val="0"/>
          <w:i w:val="0"/>
          <w:sz w:val="24"/>
          <w:szCs w:val="24"/>
        </w:rPr>
        <w:t xml:space="preserve">and </w:t>
      </w:r>
      <w:r w:rsidR="00E55387" w:rsidRPr="0028100D">
        <w:rPr>
          <w:b w:val="0"/>
          <w:i w:val="0"/>
          <w:sz w:val="24"/>
          <w:szCs w:val="24"/>
        </w:rPr>
        <w:t xml:space="preserve">as </w:t>
      </w:r>
      <w:r w:rsidR="00FF28B1" w:rsidRPr="0028100D">
        <w:rPr>
          <w:b w:val="0"/>
          <w:i w:val="0"/>
          <w:sz w:val="24"/>
          <w:szCs w:val="24"/>
        </w:rPr>
        <w:t>requiring</w:t>
      </w:r>
      <w:r w:rsidR="009A37CC">
        <w:rPr>
          <w:b w:val="0"/>
          <w:i w:val="0"/>
          <w:sz w:val="24"/>
          <w:szCs w:val="24"/>
        </w:rPr>
        <w:t xml:space="preserve"> attention</w:t>
      </w:r>
      <w:r w:rsidR="00FF28B1" w:rsidRPr="0028100D">
        <w:rPr>
          <w:b w:val="0"/>
          <w:i w:val="0"/>
          <w:sz w:val="24"/>
          <w:szCs w:val="24"/>
        </w:rPr>
        <w:t>:</w:t>
      </w:r>
      <w:bookmarkEnd w:id="48"/>
      <w:bookmarkEnd w:id="49"/>
      <w:bookmarkEnd w:id="50"/>
      <w:bookmarkEnd w:id="51"/>
    </w:p>
    <w:p w14:paraId="6E9ED655" w14:textId="77777777" w:rsidR="00E55387" w:rsidRPr="00A06C22" w:rsidRDefault="00E55387" w:rsidP="00A06C22">
      <w:pPr>
        <w:pStyle w:val="aaHRLCBodytextakaNormal"/>
        <w:numPr>
          <w:ilvl w:val="0"/>
          <w:numId w:val="22"/>
        </w:numPr>
        <w:spacing w:line="240" w:lineRule="auto"/>
        <w:rPr>
          <w:sz w:val="24"/>
          <w:szCs w:val="24"/>
        </w:rPr>
      </w:pPr>
      <w:r w:rsidRPr="00A06C22">
        <w:rPr>
          <w:sz w:val="24"/>
          <w:szCs w:val="24"/>
        </w:rPr>
        <w:t>m</w:t>
      </w:r>
      <w:r w:rsidR="000E3BBC" w:rsidRPr="00A06C22">
        <w:rPr>
          <w:sz w:val="24"/>
          <w:szCs w:val="24"/>
        </w:rPr>
        <w:t>igrant labour</w:t>
      </w:r>
      <w:r w:rsidRPr="00A06C22">
        <w:rPr>
          <w:sz w:val="24"/>
          <w:szCs w:val="24"/>
        </w:rPr>
        <w:t xml:space="preserve"> exploitation</w:t>
      </w:r>
      <w:r w:rsidR="000E3BBC" w:rsidRPr="00A06C22">
        <w:rPr>
          <w:sz w:val="24"/>
          <w:szCs w:val="24"/>
        </w:rPr>
        <w:t xml:space="preserve"> </w:t>
      </w:r>
      <w:r w:rsidR="00A64245">
        <w:rPr>
          <w:sz w:val="24"/>
          <w:szCs w:val="24"/>
        </w:rPr>
        <w:t>in Australia</w:t>
      </w:r>
      <w:r w:rsidRPr="00A06C22">
        <w:rPr>
          <w:sz w:val="24"/>
          <w:szCs w:val="24"/>
        </w:rPr>
        <w:t>;</w:t>
      </w:r>
    </w:p>
    <w:p w14:paraId="5E917888" w14:textId="77777777" w:rsidR="00EF4C1C" w:rsidRDefault="00E55387" w:rsidP="00EF4C1C">
      <w:pPr>
        <w:pStyle w:val="aaHRLCBodytextakaNormal"/>
        <w:numPr>
          <w:ilvl w:val="0"/>
          <w:numId w:val="22"/>
        </w:numPr>
        <w:spacing w:line="240" w:lineRule="auto"/>
        <w:rPr>
          <w:sz w:val="24"/>
          <w:szCs w:val="24"/>
        </w:rPr>
      </w:pPr>
      <w:r w:rsidRPr="00A06C22">
        <w:rPr>
          <w:sz w:val="24"/>
          <w:szCs w:val="24"/>
        </w:rPr>
        <w:t xml:space="preserve">labour abuses in </w:t>
      </w:r>
      <w:r w:rsidR="00F237B3" w:rsidRPr="00A06C22">
        <w:rPr>
          <w:sz w:val="24"/>
          <w:szCs w:val="24"/>
        </w:rPr>
        <w:t xml:space="preserve">the </w:t>
      </w:r>
      <w:r w:rsidRPr="00A06C22">
        <w:rPr>
          <w:sz w:val="24"/>
          <w:szCs w:val="24"/>
        </w:rPr>
        <w:t xml:space="preserve">supply chains </w:t>
      </w:r>
      <w:r w:rsidR="00F237B3" w:rsidRPr="00A06C22">
        <w:rPr>
          <w:sz w:val="24"/>
          <w:szCs w:val="24"/>
        </w:rPr>
        <w:t>of Australian businesses;</w:t>
      </w:r>
    </w:p>
    <w:p w14:paraId="0DC9EAC7" w14:textId="77777777" w:rsidR="00C56CD2" w:rsidRDefault="00367287" w:rsidP="00EF4C1C">
      <w:pPr>
        <w:pStyle w:val="aaHRLCBodytextakaNormal"/>
        <w:numPr>
          <w:ilvl w:val="0"/>
          <w:numId w:val="22"/>
        </w:numPr>
        <w:spacing w:line="240" w:lineRule="auto"/>
        <w:rPr>
          <w:sz w:val="24"/>
          <w:szCs w:val="24"/>
        </w:rPr>
      </w:pPr>
      <w:r w:rsidRPr="00EF4C1C">
        <w:rPr>
          <w:sz w:val="24"/>
          <w:szCs w:val="24"/>
        </w:rPr>
        <w:t>role of</w:t>
      </w:r>
      <w:r w:rsidR="000E3BBC" w:rsidRPr="00EF4C1C">
        <w:rPr>
          <w:sz w:val="24"/>
          <w:szCs w:val="24"/>
        </w:rPr>
        <w:t xml:space="preserve"> institutional investors and finance institutions </w:t>
      </w:r>
      <w:r w:rsidRPr="00EF4C1C">
        <w:rPr>
          <w:sz w:val="24"/>
          <w:szCs w:val="24"/>
        </w:rPr>
        <w:t xml:space="preserve">in </w:t>
      </w:r>
      <w:r w:rsidR="00F237B3" w:rsidRPr="00EF4C1C">
        <w:rPr>
          <w:sz w:val="24"/>
          <w:szCs w:val="24"/>
        </w:rPr>
        <w:t>contributin</w:t>
      </w:r>
      <w:r w:rsidR="00652556" w:rsidRPr="00EF4C1C">
        <w:rPr>
          <w:sz w:val="24"/>
          <w:szCs w:val="24"/>
        </w:rPr>
        <w:t>g, through their funding activities, to</w:t>
      </w:r>
      <w:r w:rsidR="000E3BBC" w:rsidRPr="00EF4C1C">
        <w:rPr>
          <w:sz w:val="24"/>
          <w:szCs w:val="24"/>
        </w:rPr>
        <w:t xml:space="preserve"> the commission of business-related human rights abuses</w:t>
      </w:r>
      <w:r w:rsidR="00A64245" w:rsidRPr="00A64245">
        <w:rPr>
          <w:sz w:val="24"/>
          <w:szCs w:val="24"/>
        </w:rPr>
        <w:t xml:space="preserve">; </w:t>
      </w:r>
    </w:p>
    <w:p w14:paraId="164080F4" w14:textId="77777777" w:rsidR="000E3BBC" w:rsidRPr="00A64245" w:rsidRDefault="00C56CD2" w:rsidP="00EF4C1C">
      <w:pPr>
        <w:pStyle w:val="aaHRLCBodytextakaNormal"/>
        <w:numPr>
          <w:ilvl w:val="0"/>
          <w:numId w:val="22"/>
        </w:numPr>
        <w:spacing w:line="240" w:lineRule="auto"/>
        <w:rPr>
          <w:sz w:val="24"/>
          <w:szCs w:val="24"/>
        </w:rPr>
      </w:pPr>
      <w:r>
        <w:rPr>
          <w:sz w:val="24"/>
          <w:szCs w:val="24"/>
        </w:rPr>
        <w:t>access to remedy for people who suffer harm as a result of corporate human rights abuse</w:t>
      </w:r>
      <w:r w:rsidR="00CC0C33">
        <w:rPr>
          <w:sz w:val="24"/>
          <w:szCs w:val="24"/>
        </w:rPr>
        <w:t>s</w:t>
      </w:r>
      <w:r>
        <w:rPr>
          <w:sz w:val="24"/>
          <w:szCs w:val="24"/>
        </w:rPr>
        <w:t xml:space="preserve">; </w:t>
      </w:r>
      <w:r w:rsidR="00A64245" w:rsidRPr="00A64245">
        <w:rPr>
          <w:sz w:val="24"/>
          <w:szCs w:val="24"/>
        </w:rPr>
        <w:t>and</w:t>
      </w:r>
    </w:p>
    <w:p w14:paraId="439FCE02" w14:textId="77777777" w:rsidR="00A64245" w:rsidRPr="00EF4C1C" w:rsidRDefault="00A64245" w:rsidP="00EF4C1C">
      <w:pPr>
        <w:pStyle w:val="aaHRLCBodytextakaNormal"/>
        <w:numPr>
          <w:ilvl w:val="0"/>
          <w:numId w:val="22"/>
        </w:numPr>
        <w:spacing w:line="240" w:lineRule="auto"/>
        <w:rPr>
          <w:sz w:val="24"/>
          <w:szCs w:val="24"/>
        </w:rPr>
      </w:pPr>
      <w:r w:rsidRPr="00A64245">
        <w:rPr>
          <w:sz w:val="24"/>
          <w:szCs w:val="24"/>
        </w:rPr>
        <w:t>offshore operations of Austr</w:t>
      </w:r>
      <w:r w:rsidR="009A37CC">
        <w:rPr>
          <w:sz w:val="24"/>
          <w:szCs w:val="24"/>
        </w:rPr>
        <w:t>alian companies</w:t>
      </w:r>
      <w:r w:rsidRPr="00A64245">
        <w:rPr>
          <w:sz w:val="24"/>
          <w:szCs w:val="24"/>
        </w:rPr>
        <w:t>.</w:t>
      </w:r>
    </w:p>
    <w:p w14:paraId="64AEF37F" w14:textId="77777777" w:rsidR="008B33B3" w:rsidRPr="008B33B3" w:rsidRDefault="00EA0F96" w:rsidP="00687CC5">
      <w:pPr>
        <w:pStyle w:val="Heading1"/>
        <w:numPr>
          <w:ilvl w:val="0"/>
          <w:numId w:val="15"/>
        </w:numPr>
        <w:tabs>
          <w:tab w:val="clear" w:pos="851"/>
          <w:tab w:val="num" w:pos="971"/>
        </w:tabs>
        <w:ind w:left="971"/>
        <w:rPr>
          <w:sz w:val="36"/>
          <w:szCs w:val="36"/>
        </w:rPr>
      </w:pPr>
      <w:bookmarkStart w:id="52" w:name="_Toc456168860"/>
      <w:bookmarkEnd w:id="33"/>
      <w:bookmarkEnd w:id="34"/>
      <w:r>
        <w:rPr>
          <w:sz w:val="36"/>
          <w:szCs w:val="36"/>
        </w:rPr>
        <w:t>Background</w:t>
      </w:r>
      <w:bookmarkEnd w:id="52"/>
      <w:r w:rsidR="009F2764" w:rsidRPr="0010508C">
        <w:rPr>
          <w:sz w:val="36"/>
          <w:szCs w:val="36"/>
        </w:rPr>
        <w:t xml:space="preserve"> </w:t>
      </w:r>
    </w:p>
    <w:p w14:paraId="26C047FF" w14:textId="77777777" w:rsidR="003C35C6" w:rsidRPr="001E4F1E" w:rsidRDefault="003C35C6" w:rsidP="003C35C6">
      <w:pPr>
        <w:pStyle w:val="Heading2"/>
        <w:numPr>
          <w:ilvl w:val="1"/>
          <w:numId w:val="15"/>
        </w:numPr>
      </w:pPr>
      <w:bookmarkStart w:id="53" w:name="_Toc450912547"/>
      <w:bookmarkStart w:id="54" w:name="_Toc456168861"/>
      <w:r w:rsidRPr="001E4F1E">
        <w:t>UN Guiding Principles</w:t>
      </w:r>
      <w:bookmarkEnd w:id="53"/>
      <w:bookmarkEnd w:id="54"/>
    </w:p>
    <w:p w14:paraId="3996DAF4" w14:textId="77777777" w:rsidR="003C35C6" w:rsidRDefault="003C35C6" w:rsidP="003C35C6">
      <w:r>
        <w:t xml:space="preserve">The </w:t>
      </w:r>
      <w:hyperlink r:id="rId13" w:history="1">
        <w:r w:rsidRPr="007703CF">
          <w:rPr>
            <w:rStyle w:val="Hyperlink"/>
            <w:i/>
          </w:rPr>
          <w:t>UN Guiding Principles on Business and Human Rights</w:t>
        </w:r>
      </w:hyperlink>
      <w:r>
        <w:t xml:space="preserve"> </w:t>
      </w:r>
      <w:r w:rsidR="006309D2">
        <w:t xml:space="preserve">(UNGPs) </w:t>
      </w:r>
      <w:r>
        <w:t>were unanimously endorsed by</w:t>
      </w:r>
      <w:r w:rsidRPr="007703CF">
        <w:t xml:space="preserve"> </w:t>
      </w:r>
      <w:r>
        <w:t>the United Nations Human Rights Council (UNHRC)</w:t>
      </w:r>
      <w:r w:rsidRPr="00E300DA">
        <w:t xml:space="preserve"> </w:t>
      </w:r>
      <w:r>
        <w:t xml:space="preserve">in June 2011. The Australian Government co-sponsored this resolution. The UNGPs provide an international standard for addressing and preventing negative human rights impacts associated with business activity. </w:t>
      </w:r>
    </w:p>
    <w:p w14:paraId="6B5A89E5" w14:textId="77777777" w:rsidR="003C35C6" w:rsidRPr="00172515" w:rsidRDefault="003C35C6" w:rsidP="003C35C6">
      <w:pPr>
        <w:pStyle w:val="Heading2"/>
        <w:numPr>
          <w:ilvl w:val="1"/>
          <w:numId w:val="15"/>
        </w:numPr>
      </w:pPr>
      <w:bookmarkStart w:id="55" w:name="_Toc456168862"/>
      <w:bookmarkStart w:id="56" w:name="_Toc450912548"/>
      <w:r w:rsidRPr="00172515">
        <w:t>National Action Plans</w:t>
      </w:r>
      <w:bookmarkEnd w:id="55"/>
      <w:r w:rsidRPr="00172515">
        <w:t xml:space="preserve"> </w:t>
      </w:r>
      <w:bookmarkEnd w:id="56"/>
    </w:p>
    <w:p w14:paraId="0B690C6F" w14:textId="77777777" w:rsidR="003C35C6" w:rsidRDefault="003C35C6" w:rsidP="003C35C6">
      <w:r>
        <w:t>N</w:t>
      </w:r>
      <w:r w:rsidR="006309D2">
        <w:t>ational action plan</w:t>
      </w:r>
      <w:r>
        <w:t xml:space="preserve">s </w:t>
      </w:r>
      <w:r w:rsidR="006309D2">
        <w:t xml:space="preserve">(NAPs) </w:t>
      </w:r>
      <w:r>
        <w:t>are policy statements that provide an overall strategy and set of government commitments in a given policy area. In relation to business and human rights, NAPs articulate a government’s strategy for implementing the UNGPs. This requires introducing improvements to the existing legal, regulatory and policy framework to fully implement the UNGPs and better protect against corporate-related human rights abuses. As State instruments, NAPs are primarily directed at meeting a State’s obligations under Pillars 1 (duty to protect human rights) and 3 (providing access to remedy) of the UNGPs. NAPs also provide a mechanism for States to support business in fulfilling its obligations under Pillar 2 (corporate responsibility to respect human rights) of the UNGPs.</w:t>
      </w:r>
    </w:p>
    <w:p w14:paraId="580EA3B6" w14:textId="77777777" w:rsidR="00A83C3B" w:rsidRDefault="003C35C6" w:rsidP="003C35C6">
      <w:r>
        <w:t xml:space="preserve">The development of business and human rights-related NAPs and uptake of the UNGPs are corresponding and complementary processes. </w:t>
      </w:r>
      <w:r w:rsidR="00A83C3B">
        <w:t>The development of a NAP is intended to ensure that</w:t>
      </w:r>
      <w:r w:rsidR="00A83C3B" w:rsidRPr="00A83C3B">
        <w:t xml:space="preserve"> </w:t>
      </w:r>
      <w:r w:rsidR="00A83C3B">
        <w:t>UNGPs implementation is efficient, targeted, measureable and informed and supported by relevant stakeholders.</w:t>
      </w:r>
    </w:p>
    <w:p w14:paraId="44AB6F75" w14:textId="0EFAA702" w:rsidR="003C35C6" w:rsidRDefault="003C35C6" w:rsidP="003C35C6">
      <w:r>
        <w:t>The UN</w:t>
      </w:r>
      <w:r w:rsidR="00B0413C">
        <w:t xml:space="preserve"> </w:t>
      </w:r>
      <w:r>
        <w:t>H</w:t>
      </w:r>
      <w:r w:rsidR="00B0413C">
        <w:t xml:space="preserve">uman </w:t>
      </w:r>
      <w:r>
        <w:t>R</w:t>
      </w:r>
      <w:r w:rsidR="00B0413C">
        <w:t xml:space="preserve">ights </w:t>
      </w:r>
      <w:r>
        <w:t>C</w:t>
      </w:r>
      <w:r w:rsidR="00B0413C">
        <w:t>ouncil (UNHRC)</w:t>
      </w:r>
      <w:r>
        <w:t xml:space="preserve"> supports the development of NAPs as a method for achieving UNGP uptake. In June 2014, the UNHRC called on member </w:t>
      </w:r>
      <w:r>
        <w:lastRenderedPageBreak/>
        <w:t>States to adopt NAPs as a means of implementing the UNGPs within their respective territories and jurisdictions.</w:t>
      </w:r>
      <w:r>
        <w:rPr>
          <w:rStyle w:val="EndnoteReference"/>
        </w:rPr>
        <w:endnoteReference w:id="4"/>
      </w:r>
      <w:r>
        <w:t xml:space="preserve"> The Australian Government supported this resolution.</w:t>
      </w:r>
    </w:p>
    <w:p w14:paraId="7FDFBC62" w14:textId="77777777" w:rsidR="003C35C6" w:rsidRDefault="003C35C6" w:rsidP="003C35C6">
      <w:r>
        <w:t xml:space="preserve">To date, </w:t>
      </w:r>
      <w:r w:rsidRPr="00785B15">
        <w:t>10</w:t>
      </w:r>
      <w:r>
        <w:t xml:space="preserve"> NAPs</w:t>
      </w:r>
      <w:r>
        <w:rPr>
          <w:rStyle w:val="EndnoteReference"/>
        </w:rPr>
        <w:endnoteReference w:id="5"/>
      </w:r>
      <w:r>
        <w:t xml:space="preserve"> have been completed with a further </w:t>
      </w:r>
      <w:r w:rsidRPr="00CD7979">
        <w:t>27</w:t>
      </w:r>
      <w:r>
        <w:rPr>
          <w:rStyle w:val="EndnoteReference"/>
        </w:rPr>
        <w:endnoteReference w:id="6"/>
      </w:r>
      <w:r>
        <w:t xml:space="preserve"> underway across the world. </w:t>
      </w:r>
    </w:p>
    <w:p w14:paraId="454AF67C" w14:textId="77777777" w:rsidR="000019AE" w:rsidRDefault="003C35C6" w:rsidP="009A2E88">
      <w:pPr>
        <w:pStyle w:val="Heading2"/>
        <w:numPr>
          <w:ilvl w:val="1"/>
          <w:numId w:val="15"/>
        </w:numPr>
      </w:pPr>
      <w:bookmarkStart w:id="57" w:name="_Toc456168863"/>
      <w:r>
        <w:t>Steps Taken</w:t>
      </w:r>
      <w:bookmarkEnd w:id="57"/>
    </w:p>
    <w:p w14:paraId="67DEC8B0" w14:textId="77777777" w:rsidR="00DF2098" w:rsidRDefault="008B33B3" w:rsidP="009A2E88">
      <w:pPr>
        <w:pStyle w:val="SubmissionNormal"/>
      </w:pPr>
      <w:r>
        <w:t>In March 2</w:t>
      </w:r>
      <w:r w:rsidR="00BB29D5">
        <w:t xml:space="preserve">016, the </w:t>
      </w:r>
      <w:r w:rsidR="006D16D0">
        <w:t xml:space="preserve">Australian </w:t>
      </w:r>
      <w:r w:rsidR="00BB29D5">
        <w:t>Government</w:t>
      </w:r>
      <w:r>
        <w:t xml:space="preserve"> announced its intention to undertake a national consultation in 2016 on the </w:t>
      </w:r>
      <w:r w:rsidRPr="009B30AC">
        <w:t>i</w:t>
      </w:r>
      <w:r w:rsidR="006309D2">
        <w:t>mplementation of the UNGPs</w:t>
      </w:r>
      <w:r w:rsidR="0050750E">
        <w:t>.</w:t>
      </w:r>
      <w:r w:rsidR="00725C90" w:rsidRPr="000019AE">
        <w:rPr>
          <w:rStyle w:val="EndnoteReference"/>
          <w:rFonts w:eastAsia="MS Mincho"/>
        </w:rPr>
        <w:endnoteReference w:id="7"/>
      </w:r>
      <w:r w:rsidRPr="000019AE">
        <w:rPr>
          <w:rStyle w:val="EndnoteReference"/>
          <w:rFonts w:eastAsia="MS Mincho"/>
        </w:rPr>
        <w:t xml:space="preserve"> </w:t>
      </w:r>
      <w:r w:rsidR="006309D2">
        <w:t xml:space="preserve"> </w:t>
      </w:r>
      <w:r>
        <w:t>The announcement was made in response to recommendations arising from Australia’s UN Universal Periodic Review appearance in November 2015.</w:t>
      </w:r>
      <w:r w:rsidR="00DF2098" w:rsidRPr="00DF2098">
        <w:t xml:space="preserve"> </w:t>
      </w:r>
      <w:r w:rsidR="007B356C">
        <w:t>The announcement also responded to calls for a NAP from civil society organisations in early 2016.</w:t>
      </w:r>
      <w:r w:rsidR="002A6BAF">
        <w:rPr>
          <w:rStyle w:val="EndnoteReference"/>
        </w:rPr>
        <w:endnoteReference w:id="8"/>
      </w:r>
      <w:r w:rsidR="007B356C">
        <w:t xml:space="preserve"> </w:t>
      </w:r>
      <w:r w:rsidR="00DF2098" w:rsidRPr="00255B35">
        <w:t xml:space="preserve">It is </w:t>
      </w:r>
      <w:r w:rsidR="0095761E">
        <w:t>hoped</w:t>
      </w:r>
      <w:r w:rsidR="00DF2098" w:rsidRPr="00255B35">
        <w:t xml:space="preserve"> that a clear intention t</w:t>
      </w:r>
      <w:r w:rsidR="00474697">
        <w:t>o develop a NAP</w:t>
      </w:r>
      <w:r w:rsidR="00DF2098" w:rsidRPr="00255B35">
        <w:t xml:space="preserve"> to implemen</w:t>
      </w:r>
      <w:r w:rsidR="00DF2098">
        <w:t xml:space="preserve">t the UNGPs </w:t>
      </w:r>
      <w:r w:rsidR="00720FCB">
        <w:t>will</w:t>
      </w:r>
      <w:r w:rsidR="00DF2098">
        <w:t xml:space="preserve"> emerge from the</w:t>
      </w:r>
      <w:r w:rsidR="00DF2098" w:rsidRPr="00255B35">
        <w:t xml:space="preserve"> </w:t>
      </w:r>
      <w:r w:rsidR="00DF2098">
        <w:t>national</w:t>
      </w:r>
      <w:r w:rsidR="00DF2098" w:rsidRPr="00255B35">
        <w:t xml:space="preserve"> consultation</w:t>
      </w:r>
      <w:r w:rsidR="00DF2098">
        <w:t xml:space="preserve"> to be convened by the </w:t>
      </w:r>
      <w:r w:rsidR="003C35C6">
        <w:t>g</w:t>
      </w:r>
      <w:r w:rsidR="00DF2098">
        <w:t>overnment</w:t>
      </w:r>
      <w:r w:rsidR="00C10737">
        <w:t xml:space="preserve"> later</w:t>
      </w:r>
      <w:r w:rsidR="00DF2098">
        <w:t xml:space="preserve"> this year</w:t>
      </w:r>
      <w:r w:rsidR="00DF2098" w:rsidRPr="00255B35">
        <w:t>.</w:t>
      </w:r>
    </w:p>
    <w:p w14:paraId="68C5F960" w14:textId="77777777" w:rsidR="00B62178" w:rsidRPr="00A12316" w:rsidRDefault="00127BCD" w:rsidP="009A2E88">
      <w:r>
        <w:t xml:space="preserve">In </w:t>
      </w:r>
      <w:r w:rsidR="0095761E">
        <w:t xml:space="preserve">response to this </w:t>
      </w:r>
      <w:r w:rsidRPr="00127BCD">
        <w:t>announcement</w:t>
      </w:r>
      <w:r w:rsidR="00684BDE">
        <w:t>,</w:t>
      </w:r>
      <w:r w:rsidR="0095761E">
        <w:t xml:space="preserve"> and in preparation for the g</w:t>
      </w:r>
      <w:r w:rsidRPr="00127BCD">
        <w:t>overn</w:t>
      </w:r>
      <w:r>
        <w:t xml:space="preserve">ment consultation, </w:t>
      </w:r>
      <w:r w:rsidR="008B33B3">
        <w:t xml:space="preserve">the Australian Human Rights Commission (the Commission) hosted a </w:t>
      </w:r>
      <w:r w:rsidR="00070DF4">
        <w:t xml:space="preserve">roundtable </w:t>
      </w:r>
      <w:r w:rsidR="001D411F">
        <w:t>meeting</w:t>
      </w:r>
      <w:r>
        <w:t xml:space="preserve"> on Wednesday 25 May 2016 </w:t>
      </w:r>
      <w:r w:rsidR="00070DF4">
        <w:t>for civil society representatives</w:t>
      </w:r>
      <w:r w:rsidR="0095761E">
        <w:t>, including</w:t>
      </w:r>
      <w:r w:rsidR="001D7C55">
        <w:t xml:space="preserve"> non-governme</w:t>
      </w:r>
      <w:r w:rsidR="0095761E">
        <w:t>ntal organisations and academia</w:t>
      </w:r>
      <w:r w:rsidR="001D7C55">
        <w:t xml:space="preserve"> </w:t>
      </w:r>
      <w:r w:rsidR="008B33B3">
        <w:t>(</w:t>
      </w:r>
      <w:r w:rsidR="00E25C82">
        <w:t xml:space="preserve">the </w:t>
      </w:r>
      <w:r w:rsidR="008B33B3">
        <w:t>CSO Roundtable)</w:t>
      </w:r>
      <w:r>
        <w:t>.</w:t>
      </w:r>
      <w:r w:rsidR="00607F61">
        <w:rPr>
          <w:b/>
        </w:rPr>
        <w:t xml:space="preserve"> </w:t>
      </w:r>
      <w:r w:rsidR="00A12316">
        <w:t xml:space="preserve">Those </w:t>
      </w:r>
      <w:r w:rsidR="00A12316" w:rsidRPr="00A12316">
        <w:t>organisation</w:t>
      </w:r>
      <w:r w:rsidR="00A12316">
        <w:t>s identified as being in support of this Statement (</w:t>
      </w:r>
      <w:r w:rsidR="00474697">
        <w:t>on</w:t>
      </w:r>
      <w:r w:rsidR="0050750E">
        <w:t xml:space="preserve"> </w:t>
      </w:r>
      <w:r w:rsidR="00A12316">
        <w:t xml:space="preserve">page 3) were </w:t>
      </w:r>
      <w:r w:rsidR="002B7AC0">
        <w:t xml:space="preserve">represented at the </w:t>
      </w:r>
      <w:r w:rsidR="00A12316">
        <w:t>CSO Roundtable</w:t>
      </w:r>
      <w:r w:rsidR="00A12316" w:rsidRPr="00A12316">
        <w:t>.</w:t>
      </w:r>
      <w:r w:rsidR="00A12316">
        <w:t xml:space="preserve"> </w:t>
      </w:r>
      <w:r w:rsidR="00A12316" w:rsidRPr="00A12316">
        <w:t xml:space="preserve"> </w:t>
      </w:r>
    </w:p>
    <w:p w14:paraId="0DFCD83B" w14:textId="77777777" w:rsidR="00B62178" w:rsidRDefault="00070DF4" w:rsidP="009A2E88">
      <w:r>
        <w:t>The purpose of the CSO Roundtable wa</w:t>
      </w:r>
      <w:r w:rsidR="001D411F">
        <w:t xml:space="preserve">s </w:t>
      </w:r>
      <w:r w:rsidR="00971C1A">
        <w:t xml:space="preserve">to </w:t>
      </w:r>
      <w:r>
        <w:t xml:space="preserve">discuss ideas and </w:t>
      </w:r>
      <w:r w:rsidR="00EC5CBF">
        <w:t xml:space="preserve">build </w:t>
      </w:r>
      <w:r>
        <w:t>consensus</w:t>
      </w:r>
      <w:r w:rsidR="008119BA">
        <w:t xml:space="preserve"> amongst</w:t>
      </w:r>
      <w:r w:rsidR="008119BA" w:rsidRPr="008119BA">
        <w:t xml:space="preserve"> </w:t>
      </w:r>
      <w:r w:rsidR="008119BA">
        <w:t xml:space="preserve">representatives of civil society </w:t>
      </w:r>
      <w:r>
        <w:t xml:space="preserve">on </w:t>
      </w:r>
      <w:r w:rsidR="001D411F">
        <w:t xml:space="preserve">the </w:t>
      </w:r>
      <w:r>
        <w:t>measures required to progress Australia’s implementation of the UNGPs</w:t>
      </w:r>
      <w:r w:rsidR="00B62178">
        <w:t>. The CSO Roundtable discussions were structured by reference to the</w:t>
      </w:r>
      <w:r w:rsidR="005F7D99">
        <w:t xml:space="preserve"> three</w:t>
      </w:r>
      <w:r w:rsidR="00B62178">
        <w:t xml:space="preserve"> pillars of the UNGPs. The discussi</w:t>
      </w:r>
      <w:r w:rsidR="0095761E">
        <w:t>ons focused on the role of the g</w:t>
      </w:r>
      <w:r w:rsidR="00B62178">
        <w:t>overnment in implementing the UNGPs in Australia.</w:t>
      </w:r>
    </w:p>
    <w:p w14:paraId="380008AE" w14:textId="77777777" w:rsidR="003363CB" w:rsidRDefault="009509D1" w:rsidP="00687CC5">
      <w:pPr>
        <w:pStyle w:val="Heading1"/>
        <w:numPr>
          <w:ilvl w:val="0"/>
          <w:numId w:val="15"/>
        </w:numPr>
        <w:tabs>
          <w:tab w:val="clear" w:pos="851"/>
          <w:tab w:val="num" w:pos="971"/>
        </w:tabs>
        <w:ind w:left="971"/>
        <w:rPr>
          <w:sz w:val="36"/>
          <w:szCs w:val="36"/>
        </w:rPr>
      </w:pPr>
      <w:bookmarkStart w:id="58" w:name="_Toc456168864"/>
      <w:r w:rsidRPr="003363CB">
        <w:rPr>
          <w:sz w:val="36"/>
          <w:szCs w:val="36"/>
        </w:rPr>
        <w:t xml:space="preserve">Purpose </w:t>
      </w:r>
      <w:r>
        <w:rPr>
          <w:sz w:val="36"/>
          <w:szCs w:val="36"/>
        </w:rPr>
        <w:t xml:space="preserve">of </w:t>
      </w:r>
      <w:r w:rsidR="003363CB" w:rsidRPr="003363CB">
        <w:rPr>
          <w:sz w:val="36"/>
          <w:szCs w:val="36"/>
        </w:rPr>
        <w:t xml:space="preserve">Joint Civil Society </w:t>
      </w:r>
      <w:r w:rsidR="00A603FA">
        <w:rPr>
          <w:sz w:val="36"/>
          <w:szCs w:val="36"/>
        </w:rPr>
        <w:t>Statement</w:t>
      </w:r>
      <w:bookmarkEnd w:id="58"/>
      <w:r w:rsidR="004D1B29" w:rsidRPr="004D1B29">
        <w:rPr>
          <w:sz w:val="36"/>
          <w:szCs w:val="36"/>
        </w:rPr>
        <w:t xml:space="preserve"> </w:t>
      </w:r>
    </w:p>
    <w:p w14:paraId="7459CC5B" w14:textId="77777777" w:rsidR="001B5958" w:rsidRDefault="007123F0" w:rsidP="009A2E88">
      <w:pPr>
        <w:pStyle w:val="SubmissionNormal"/>
      </w:pPr>
      <w:r>
        <w:t>T</w:t>
      </w:r>
      <w:r w:rsidR="004976C8">
        <w:t xml:space="preserve">his </w:t>
      </w:r>
      <w:r w:rsidR="00A603FA">
        <w:t>Statement</w:t>
      </w:r>
      <w:r w:rsidR="004976C8">
        <w:t xml:space="preserve"> </w:t>
      </w:r>
      <w:r w:rsidR="008449A2">
        <w:t>articulate</w:t>
      </w:r>
      <w:r>
        <w:t>s</w:t>
      </w:r>
      <w:r w:rsidR="004976C8">
        <w:t xml:space="preserve"> the key outcomes </w:t>
      </w:r>
      <w:r w:rsidR="006720C3">
        <w:t>of</w:t>
      </w:r>
      <w:r w:rsidR="004976C8">
        <w:t xml:space="preserve"> the CSO Roundtable</w:t>
      </w:r>
      <w:r>
        <w:t xml:space="preserve">. </w:t>
      </w:r>
      <w:r w:rsidR="00F278CC">
        <w:t xml:space="preserve">It draws on briefing papers that were prepared by a number of non-governmental organisations in advance of the CSO Roundtable. </w:t>
      </w:r>
      <w:r>
        <w:t xml:space="preserve">It has been </w:t>
      </w:r>
      <w:r w:rsidR="00BF551D">
        <w:t xml:space="preserve">prepared </w:t>
      </w:r>
      <w:r w:rsidR="005D1925">
        <w:t>in order to provide</w:t>
      </w:r>
      <w:r>
        <w:t xml:space="preserve"> </w:t>
      </w:r>
      <w:r w:rsidR="000E2DD4">
        <w:t>recommendations to</w:t>
      </w:r>
      <w:r w:rsidR="00BF551D">
        <w:t xml:space="preserve"> </w:t>
      </w:r>
      <w:r w:rsidR="004A607E">
        <w:t xml:space="preserve">the </w:t>
      </w:r>
      <w:r w:rsidR="000E2DD4">
        <w:t xml:space="preserve">Australian </w:t>
      </w:r>
      <w:r w:rsidR="004A607E">
        <w:t xml:space="preserve">Government </w:t>
      </w:r>
      <w:r w:rsidR="000E2DD4">
        <w:t xml:space="preserve">from civil society </w:t>
      </w:r>
      <w:r>
        <w:t xml:space="preserve">on </w:t>
      </w:r>
      <w:r w:rsidR="000633EC">
        <w:t xml:space="preserve">next </w:t>
      </w:r>
      <w:r w:rsidR="00444F20">
        <w:t xml:space="preserve">steps </w:t>
      </w:r>
      <w:r w:rsidR="000633EC">
        <w:t>in</w:t>
      </w:r>
      <w:r w:rsidR="00444F20">
        <w:t xml:space="preserve"> implement</w:t>
      </w:r>
      <w:r w:rsidR="000633EC">
        <w:t>ing</w:t>
      </w:r>
      <w:r w:rsidR="00BC605A">
        <w:t xml:space="preserve"> </w:t>
      </w:r>
      <w:r w:rsidR="002E429B">
        <w:t xml:space="preserve">the UNGPs </w:t>
      </w:r>
      <w:r w:rsidR="00BC605A">
        <w:t>in Australia</w:t>
      </w:r>
      <w:r w:rsidR="001B5958">
        <w:t xml:space="preserve">. The recommendations in this Statement relate to the national baseline assessment (NBA), a potential NAP and multi-stakeholder engagement and participation in both these processes. </w:t>
      </w:r>
    </w:p>
    <w:p w14:paraId="3401B466" w14:textId="1A28DAF6" w:rsidR="001B5958" w:rsidRDefault="001B5958" w:rsidP="009A2E88">
      <w:pPr>
        <w:pStyle w:val="SubmissionNormal"/>
      </w:pPr>
      <w:r>
        <w:t xml:space="preserve">The recommendations in this Statement </w:t>
      </w:r>
      <w:r w:rsidR="00F278CC">
        <w:t>constitute a starting point</w:t>
      </w:r>
      <w:r w:rsidR="00507CE5">
        <w:t>. They</w:t>
      </w:r>
      <w:r w:rsidR="00F278CC">
        <w:t xml:space="preserve"> </w:t>
      </w:r>
      <w:r>
        <w:t xml:space="preserve">will be further developed by civil society as </w:t>
      </w:r>
      <w:r w:rsidR="00507CE5">
        <w:t xml:space="preserve">the </w:t>
      </w:r>
      <w:r>
        <w:t>consultation processes proceed.</w:t>
      </w:r>
    </w:p>
    <w:p w14:paraId="407271EA" w14:textId="77777777" w:rsidR="009A0C18" w:rsidRDefault="009A0C18" w:rsidP="00687CC5">
      <w:pPr>
        <w:pStyle w:val="Heading1"/>
        <w:numPr>
          <w:ilvl w:val="0"/>
          <w:numId w:val="15"/>
        </w:numPr>
        <w:tabs>
          <w:tab w:val="clear" w:pos="851"/>
          <w:tab w:val="num" w:pos="971"/>
        </w:tabs>
        <w:ind w:left="971"/>
        <w:rPr>
          <w:sz w:val="36"/>
          <w:szCs w:val="36"/>
        </w:rPr>
      </w:pPr>
      <w:bookmarkStart w:id="59" w:name="_Toc456168865"/>
      <w:bookmarkStart w:id="60" w:name="_Toc162769292"/>
      <w:bookmarkStart w:id="61" w:name="_Toc207761833"/>
      <w:bookmarkStart w:id="62" w:name="_Toc209578269"/>
      <w:r>
        <w:rPr>
          <w:sz w:val="36"/>
          <w:szCs w:val="36"/>
        </w:rPr>
        <w:t>National Baseline Assessment</w:t>
      </w:r>
      <w:bookmarkEnd w:id="59"/>
    </w:p>
    <w:p w14:paraId="0188F514" w14:textId="77777777" w:rsidR="003B3E35" w:rsidRDefault="004A607E" w:rsidP="009A2E88">
      <w:pPr>
        <w:spacing w:before="0" w:after="0"/>
      </w:pPr>
      <w:r>
        <w:t>The conduct of</w:t>
      </w:r>
      <w:r w:rsidR="002022CE">
        <w:t xml:space="preserve"> a comprehensive </w:t>
      </w:r>
      <w:r w:rsidR="00311C10">
        <w:t xml:space="preserve">NBA </w:t>
      </w:r>
      <w:r w:rsidR="00B6149A">
        <w:t>of existing laws, policies</w:t>
      </w:r>
      <w:r w:rsidR="00D51554">
        <w:t>, mechanisms</w:t>
      </w:r>
      <w:r w:rsidR="00B6149A">
        <w:t xml:space="preserve"> and practices </w:t>
      </w:r>
      <w:r w:rsidR="002022CE">
        <w:t>to determine the scope of</w:t>
      </w:r>
      <w:r w:rsidR="002022CE" w:rsidRPr="0097361E">
        <w:t xml:space="preserve"> </w:t>
      </w:r>
      <w:r w:rsidR="002022CE">
        <w:t>current UNGPs implementation in Australia</w:t>
      </w:r>
      <w:r>
        <w:t xml:space="preserve"> is a key priority for civil society</w:t>
      </w:r>
      <w:r w:rsidR="009A0C18">
        <w:t>.</w:t>
      </w:r>
      <w:r w:rsidR="00DD34F9">
        <w:rPr>
          <w:rStyle w:val="EndnoteReference"/>
        </w:rPr>
        <w:endnoteReference w:id="9"/>
      </w:r>
      <w:r w:rsidR="009A0C18">
        <w:t xml:space="preserve"> </w:t>
      </w:r>
      <w:r w:rsidR="001E2CA9">
        <w:t xml:space="preserve">The development of an effective NAP requires adopting a tailor-made approach. One size does not fit all and </w:t>
      </w:r>
      <w:r>
        <w:t xml:space="preserve">a </w:t>
      </w:r>
      <w:r w:rsidR="001E2CA9">
        <w:t xml:space="preserve">thorough NBA is essential to ensure that </w:t>
      </w:r>
      <w:r w:rsidR="00720FCB">
        <w:t xml:space="preserve">any future </w:t>
      </w:r>
      <w:r w:rsidR="001E2CA9">
        <w:t xml:space="preserve">NAP </w:t>
      </w:r>
      <w:r w:rsidR="00720FCB">
        <w:t>is framed so as to address</w:t>
      </w:r>
      <w:r w:rsidR="001E2CA9">
        <w:t xml:space="preserve"> Australia’s needs.</w:t>
      </w:r>
      <w:r w:rsidR="00323255">
        <w:t xml:space="preserve"> G</w:t>
      </w:r>
      <w:r w:rsidR="003B3E35">
        <w:t>aps</w:t>
      </w:r>
      <w:r w:rsidR="005C11A4">
        <w:t xml:space="preserve"> </w:t>
      </w:r>
      <w:r w:rsidR="001B2659">
        <w:t xml:space="preserve">in the implementation of the UNGPs </w:t>
      </w:r>
      <w:r w:rsidR="00323255">
        <w:t xml:space="preserve">identified </w:t>
      </w:r>
      <w:r w:rsidR="005C11A4">
        <w:t>in</w:t>
      </w:r>
      <w:r w:rsidR="00D51554">
        <w:t xml:space="preserve"> </w:t>
      </w:r>
      <w:r w:rsidR="005C11A4">
        <w:t xml:space="preserve">Australia’s </w:t>
      </w:r>
      <w:r w:rsidR="009A3A3A">
        <w:t xml:space="preserve">existing human rights </w:t>
      </w:r>
      <w:r w:rsidR="009A3A3A">
        <w:lastRenderedPageBreak/>
        <w:t>framework</w:t>
      </w:r>
      <w:r w:rsidR="005C11A4">
        <w:t xml:space="preserve"> </w:t>
      </w:r>
      <w:r w:rsidR="001E2CA9">
        <w:t xml:space="preserve">by </w:t>
      </w:r>
      <w:r w:rsidR="00323255">
        <w:t>the</w:t>
      </w:r>
      <w:r w:rsidR="003B3E35">
        <w:t xml:space="preserve"> NBA can then be addressed in</w:t>
      </w:r>
      <w:r w:rsidR="00420832">
        <w:t>,</w:t>
      </w:r>
      <w:r w:rsidR="000660E3">
        <w:t xml:space="preserve"> </w:t>
      </w:r>
      <w:r w:rsidR="006E745F" w:rsidRPr="004854F9">
        <w:t>and form the basis of</w:t>
      </w:r>
      <w:r w:rsidR="00420832">
        <w:t>,</w:t>
      </w:r>
      <w:r w:rsidR="006E745F">
        <w:t xml:space="preserve"> </w:t>
      </w:r>
      <w:r w:rsidR="00323255">
        <w:t>an</w:t>
      </w:r>
      <w:r w:rsidR="00F14635">
        <w:t xml:space="preserve"> ensuing</w:t>
      </w:r>
      <w:r w:rsidR="003B3E35">
        <w:t xml:space="preserve"> NAP.</w:t>
      </w:r>
      <w:r w:rsidR="00F14635">
        <w:t xml:space="preserve"> It is critical that the NBA is approached as a gap analysis process and not merely a mapping of existing meas</w:t>
      </w:r>
      <w:r w:rsidR="006D16D0">
        <w:t>ures already undertaken by the g</w:t>
      </w:r>
      <w:r w:rsidR="00F14635">
        <w:t xml:space="preserve">overnment in </w:t>
      </w:r>
      <w:r w:rsidR="009A3A3A">
        <w:t>relation to</w:t>
      </w:r>
      <w:r w:rsidR="00F14635">
        <w:t xml:space="preserve"> business and human rights.  </w:t>
      </w:r>
    </w:p>
    <w:p w14:paraId="7E2EB649" w14:textId="77777777" w:rsidR="009A0C18" w:rsidRDefault="00570D53" w:rsidP="009A2E88">
      <w:r>
        <w:t>Effective m</w:t>
      </w:r>
      <w:r w:rsidR="009A0C18">
        <w:t xml:space="preserve">ulti-stakeholder consultation </w:t>
      </w:r>
      <w:r w:rsidR="00C95508">
        <w:t xml:space="preserve">and engagement </w:t>
      </w:r>
      <w:r w:rsidR="003B3E35">
        <w:t>will</w:t>
      </w:r>
      <w:r w:rsidR="009A3A3A">
        <w:t xml:space="preserve"> also</w:t>
      </w:r>
      <w:r w:rsidR="003B3E35">
        <w:t xml:space="preserve"> be a </w:t>
      </w:r>
      <w:r w:rsidR="00323255">
        <w:t>critical in</w:t>
      </w:r>
      <w:r w:rsidR="00DB1780">
        <w:t xml:space="preserve"> achieving successful </w:t>
      </w:r>
      <w:r w:rsidR="003B3E35">
        <w:t>NBA</w:t>
      </w:r>
      <w:r w:rsidR="00DB1780">
        <w:t xml:space="preserve"> outcomes</w:t>
      </w:r>
      <w:r w:rsidR="009A0C18">
        <w:t>.</w:t>
      </w:r>
      <w:r w:rsidR="00817A62">
        <w:t xml:space="preserve"> </w:t>
      </w:r>
      <w:r w:rsidR="00EF48C1">
        <w:t xml:space="preserve">It is recommended that </w:t>
      </w:r>
      <w:r w:rsidR="00C70252">
        <w:t xml:space="preserve">representatives of all </w:t>
      </w:r>
      <w:r w:rsidR="00817A62">
        <w:t>stakeholder</w:t>
      </w:r>
      <w:r w:rsidR="00C70252">
        <w:t xml:space="preserve"> group</w:t>
      </w:r>
      <w:r w:rsidR="00817A62">
        <w:t xml:space="preserve">s impacted by business activities be </w:t>
      </w:r>
      <w:r w:rsidR="00585F0F">
        <w:t>consulted</w:t>
      </w:r>
      <w:r w:rsidR="00817A62">
        <w:t xml:space="preserve">, including </w:t>
      </w:r>
      <w:r w:rsidR="00237430">
        <w:t xml:space="preserve">people and groups experiencing </w:t>
      </w:r>
      <w:r w:rsidR="00817A62">
        <w:t>vulnerab</w:t>
      </w:r>
      <w:r w:rsidR="00237430">
        <w:t>i</w:t>
      </w:r>
      <w:r w:rsidR="00817A62">
        <w:t>l</w:t>
      </w:r>
      <w:r w:rsidR="00237430">
        <w:t>ity,</w:t>
      </w:r>
      <w:r w:rsidR="00817A62">
        <w:t xml:space="preserve"> </w:t>
      </w:r>
      <w:r w:rsidR="00C6580E">
        <w:t>affected</w:t>
      </w:r>
      <w:r w:rsidR="00817A62">
        <w:t xml:space="preserve"> communities and human rights defenders</w:t>
      </w:r>
      <w:r w:rsidR="004E3C2E">
        <w:rPr>
          <w:rStyle w:val="EndnoteReference"/>
        </w:rPr>
        <w:endnoteReference w:id="10"/>
      </w:r>
      <w:r w:rsidR="00817A62">
        <w:t>.</w:t>
      </w:r>
      <w:r w:rsidR="009A0C18">
        <w:t xml:space="preserve"> </w:t>
      </w:r>
      <w:r w:rsidR="0097361E">
        <w:t xml:space="preserve">It is recommended that </w:t>
      </w:r>
      <w:r w:rsidR="00615314" w:rsidRPr="00C33AB8">
        <w:t>a</w:t>
      </w:r>
      <w:r w:rsidR="00615314">
        <w:t>n independent,</w:t>
      </w:r>
      <w:r w:rsidR="00615314" w:rsidRPr="00C33AB8">
        <w:t xml:space="preserve"> multi-stakeholder</w:t>
      </w:r>
      <w:r w:rsidR="00615314">
        <w:t xml:space="preserve"> advisory</w:t>
      </w:r>
      <w:r w:rsidR="00615314" w:rsidRPr="00C33AB8">
        <w:t xml:space="preserve"> </w:t>
      </w:r>
      <w:r w:rsidR="00615314">
        <w:t xml:space="preserve">panel </w:t>
      </w:r>
      <w:r w:rsidR="00615314" w:rsidRPr="00C33AB8">
        <w:t>(</w:t>
      </w:r>
      <w:r w:rsidR="00F01572">
        <w:t xml:space="preserve">the </w:t>
      </w:r>
      <w:r w:rsidR="00615314">
        <w:t>MS Panel</w:t>
      </w:r>
      <w:r w:rsidR="00615314" w:rsidRPr="00C33AB8">
        <w:t>)</w:t>
      </w:r>
      <w:r w:rsidR="00615314">
        <w:t xml:space="preserve"> </w:t>
      </w:r>
      <w:r w:rsidR="0097361E">
        <w:t xml:space="preserve">be established to advise </w:t>
      </w:r>
      <w:r w:rsidR="006D16D0">
        <w:t>the g</w:t>
      </w:r>
      <w:r w:rsidR="0043238C">
        <w:t xml:space="preserve">overnment </w:t>
      </w:r>
      <w:r w:rsidR="0097361E">
        <w:t>on</w:t>
      </w:r>
      <w:r w:rsidR="00A47EA2">
        <w:t xml:space="preserve"> the NBA</w:t>
      </w:r>
      <w:r w:rsidR="00F01572">
        <w:t xml:space="preserve"> (see further at 5 below)</w:t>
      </w:r>
      <w:r w:rsidR="0097361E">
        <w:t xml:space="preserve">. </w:t>
      </w:r>
    </w:p>
    <w:p w14:paraId="61140D4C" w14:textId="77777777" w:rsidR="00AE3B27" w:rsidRDefault="00661791" w:rsidP="00872E59">
      <w:pPr>
        <w:spacing w:before="0" w:after="0"/>
      </w:pPr>
      <w:r>
        <w:t>Civil society views a</w:t>
      </w:r>
      <w:r w:rsidR="004E1269">
        <w:t xml:space="preserve"> NBA </w:t>
      </w:r>
      <w:r>
        <w:t>a</w:t>
      </w:r>
      <w:r w:rsidR="00311096">
        <w:t>s</w:t>
      </w:r>
      <w:r w:rsidR="004E1269">
        <w:t xml:space="preserve"> critical </w:t>
      </w:r>
      <w:r w:rsidR="00253C1A">
        <w:t>in order to</w:t>
      </w:r>
      <w:r w:rsidR="00C62ACD">
        <w:t xml:space="preserve">: </w:t>
      </w:r>
    </w:p>
    <w:p w14:paraId="594F0EE0" w14:textId="77777777" w:rsidR="00872E59" w:rsidRDefault="00872E59" w:rsidP="00872E59">
      <w:pPr>
        <w:spacing w:before="0" w:after="0"/>
      </w:pPr>
    </w:p>
    <w:p w14:paraId="48FA814A" w14:textId="77777777" w:rsidR="00892E72" w:rsidRPr="005B1DFF" w:rsidRDefault="00253C1A" w:rsidP="00872E59">
      <w:pPr>
        <w:pStyle w:val="ListParagraph"/>
        <w:numPr>
          <w:ilvl w:val="0"/>
          <w:numId w:val="30"/>
        </w:numPr>
        <w:spacing w:before="0" w:after="0"/>
      </w:pPr>
      <w:r w:rsidRPr="005B1DFF">
        <w:t>f</w:t>
      </w:r>
      <w:r w:rsidR="004E1269" w:rsidRPr="005B1DFF">
        <w:t>acilitate an evidence-based approach to NAP development</w:t>
      </w:r>
      <w:r w:rsidR="009C417F" w:rsidRPr="005B1DFF">
        <w:t>;</w:t>
      </w:r>
    </w:p>
    <w:p w14:paraId="4D3ECC86" w14:textId="77777777" w:rsidR="00892E72" w:rsidRPr="005B1DFF" w:rsidRDefault="00E00D8C" w:rsidP="005B1DFF">
      <w:pPr>
        <w:pStyle w:val="aaHRLCBodytextakaNormal"/>
        <w:numPr>
          <w:ilvl w:val="0"/>
          <w:numId w:val="22"/>
        </w:numPr>
        <w:spacing w:line="240" w:lineRule="auto"/>
        <w:rPr>
          <w:sz w:val="24"/>
          <w:szCs w:val="24"/>
        </w:rPr>
      </w:pPr>
      <w:r w:rsidRPr="005B1DFF">
        <w:rPr>
          <w:sz w:val="24"/>
          <w:szCs w:val="24"/>
        </w:rPr>
        <w:t xml:space="preserve">identify </w:t>
      </w:r>
      <w:r w:rsidR="009C417F" w:rsidRPr="005B1DFF">
        <w:rPr>
          <w:sz w:val="24"/>
          <w:szCs w:val="24"/>
        </w:rPr>
        <w:t>gaps in UNGP implementation;</w:t>
      </w:r>
      <w:r w:rsidR="00253C1A" w:rsidRPr="005B1DFF">
        <w:rPr>
          <w:sz w:val="24"/>
          <w:szCs w:val="24"/>
        </w:rPr>
        <w:t xml:space="preserve"> and</w:t>
      </w:r>
    </w:p>
    <w:p w14:paraId="7D3905F2" w14:textId="77777777" w:rsidR="004E1269" w:rsidRPr="005B1DFF" w:rsidRDefault="00253C1A" w:rsidP="005B1DFF">
      <w:pPr>
        <w:pStyle w:val="aaHRLCBodytextakaNormal"/>
        <w:numPr>
          <w:ilvl w:val="0"/>
          <w:numId w:val="22"/>
        </w:numPr>
        <w:spacing w:line="240" w:lineRule="auto"/>
        <w:rPr>
          <w:sz w:val="24"/>
          <w:szCs w:val="24"/>
        </w:rPr>
      </w:pPr>
      <w:r w:rsidRPr="005B1DFF">
        <w:rPr>
          <w:sz w:val="24"/>
          <w:szCs w:val="24"/>
        </w:rPr>
        <w:t>establish</w:t>
      </w:r>
      <w:r w:rsidR="009C417F" w:rsidRPr="005B1DFF">
        <w:rPr>
          <w:sz w:val="24"/>
          <w:szCs w:val="24"/>
        </w:rPr>
        <w:t xml:space="preserve"> forward-looking, specific, </w:t>
      </w:r>
      <w:r w:rsidRPr="005B1DFF">
        <w:rPr>
          <w:sz w:val="24"/>
          <w:szCs w:val="24"/>
        </w:rPr>
        <w:t xml:space="preserve">concrete steps to build strong </w:t>
      </w:r>
      <w:r w:rsidR="009C417F" w:rsidRPr="005B1DFF">
        <w:rPr>
          <w:sz w:val="24"/>
          <w:szCs w:val="24"/>
        </w:rPr>
        <w:t xml:space="preserve">foundations for an effective </w:t>
      </w:r>
      <w:r w:rsidR="00BF553B">
        <w:rPr>
          <w:sz w:val="24"/>
          <w:szCs w:val="24"/>
        </w:rPr>
        <w:t xml:space="preserve">future </w:t>
      </w:r>
      <w:r w:rsidR="009C417F" w:rsidRPr="005B1DFF">
        <w:rPr>
          <w:sz w:val="24"/>
          <w:szCs w:val="24"/>
        </w:rPr>
        <w:t>NAP.</w:t>
      </w:r>
    </w:p>
    <w:p w14:paraId="0FA609E1" w14:textId="77777777" w:rsidR="009926ED" w:rsidRPr="00695DD7" w:rsidRDefault="009926ED" w:rsidP="00687CC5">
      <w:pPr>
        <w:pStyle w:val="Heading1"/>
        <w:numPr>
          <w:ilvl w:val="0"/>
          <w:numId w:val="15"/>
        </w:numPr>
        <w:tabs>
          <w:tab w:val="clear" w:pos="851"/>
          <w:tab w:val="num" w:pos="971"/>
        </w:tabs>
        <w:ind w:left="971"/>
        <w:rPr>
          <w:sz w:val="36"/>
          <w:szCs w:val="36"/>
        </w:rPr>
      </w:pPr>
      <w:bookmarkStart w:id="63" w:name="_Toc456168866"/>
      <w:r w:rsidRPr="009926ED">
        <w:rPr>
          <w:sz w:val="36"/>
          <w:szCs w:val="36"/>
        </w:rPr>
        <w:t xml:space="preserve">Multi-Stakeholder </w:t>
      </w:r>
      <w:r w:rsidR="00C81966">
        <w:rPr>
          <w:sz w:val="36"/>
          <w:szCs w:val="36"/>
        </w:rPr>
        <w:t xml:space="preserve">Participation and </w:t>
      </w:r>
      <w:r w:rsidRPr="009926ED">
        <w:rPr>
          <w:sz w:val="36"/>
          <w:szCs w:val="36"/>
        </w:rPr>
        <w:t xml:space="preserve">Advisory </w:t>
      </w:r>
      <w:r>
        <w:rPr>
          <w:sz w:val="36"/>
          <w:szCs w:val="36"/>
        </w:rPr>
        <w:t>Panel</w:t>
      </w:r>
      <w:bookmarkEnd w:id="63"/>
    </w:p>
    <w:p w14:paraId="343480AA" w14:textId="4860840C" w:rsidR="003131E3" w:rsidRDefault="00D818F3" w:rsidP="009A2E88">
      <w:pPr>
        <w:spacing w:before="0" w:after="0"/>
      </w:pPr>
      <w:r>
        <w:t>As stated previously, m</w:t>
      </w:r>
      <w:r w:rsidR="00C81966">
        <w:t xml:space="preserve">ulti-stakeholder participation in the NBA </w:t>
      </w:r>
      <w:r w:rsidR="00F52AA6">
        <w:t>and</w:t>
      </w:r>
      <w:r w:rsidR="00FB3E7F">
        <w:t xml:space="preserve">, potentially, </w:t>
      </w:r>
      <w:r w:rsidR="00F52AA6">
        <w:t>NAP processes is essential</w:t>
      </w:r>
      <w:r w:rsidR="00CB7A0F">
        <w:t xml:space="preserve"> and represents a key priority for civil society</w:t>
      </w:r>
      <w:r w:rsidR="00F52AA6">
        <w:t xml:space="preserve">. </w:t>
      </w:r>
      <w:r w:rsidR="00A26336">
        <w:t>To facilitate multi-stakeholder input</w:t>
      </w:r>
      <w:r w:rsidR="00D57494">
        <w:t xml:space="preserve"> into the process</w:t>
      </w:r>
      <w:r w:rsidR="00A26336">
        <w:t xml:space="preserve">, </w:t>
      </w:r>
      <w:r w:rsidR="00D57494">
        <w:t xml:space="preserve">the </w:t>
      </w:r>
      <w:r w:rsidR="00322820">
        <w:t>timely</w:t>
      </w:r>
      <w:r w:rsidR="005161EC">
        <w:t xml:space="preserve"> </w:t>
      </w:r>
      <w:r w:rsidR="00D57494">
        <w:t xml:space="preserve">establishment of the MS Panel is recommended. </w:t>
      </w:r>
      <w:r w:rsidR="00C065DE">
        <w:t xml:space="preserve">This will </w:t>
      </w:r>
      <w:r w:rsidR="00087F2A">
        <w:t>enable</w:t>
      </w:r>
      <w:r w:rsidR="00C065DE">
        <w:t xml:space="preserve"> </w:t>
      </w:r>
      <w:r w:rsidR="00077CA1">
        <w:t xml:space="preserve">key stakeholder </w:t>
      </w:r>
      <w:r w:rsidR="00C065DE">
        <w:t>engagement from the commencement of the NBA process which</w:t>
      </w:r>
      <w:r w:rsidR="00077CA1">
        <w:t>, in turn,</w:t>
      </w:r>
      <w:r w:rsidR="00C065DE">
        <w:t xml:space="preserve"> will enhance</w:t>
      </w:r>
      <w:r w:rsidR="004E638E">
        <w:t xml:space="preserve"> the</w:t>
      </w:r>
      <w:r w:rsidR="00C065DE">
        <w:t xml:space="preserve"> legitimacy and </w:t>
      </w:r>
      <w:r w:rsidR="007A7804">
        <w:t>effectiveness</w:t>
      </w:r>
      <w:r w:rsidR="00F50ADC">
        <w:t xml:space="preserve"> of outcomes</w:t>
      </w:r>
      <w:r w:rsidR="007A7804">
        <w:t xml:space="preserve">. </w:t>
      </w:r>
    </w:p>
    <w:p w14:paraId="5D38BD1E" w14:textId="77777777" w:rsidR="00B60F98" w:rsidRPr="00156AD6" w:rsidRDefault="00D32241" w:rsidP="00687CC5">
      <w:pPr>
        <w:pStyle w:val="Heading2"/>
        <w:numPr>
          <w:ilvl w:val="1"/>
          <w:numId w:val="15"/>
        </w:numPr>
      </w:pPr>
      <w:bookmarkStart w:id="64" w:name="_Toc456168867"/>
      <w:r>
        <w:t>Role</w:t>
      </w:r>
      <w:r w:rsidR="00C049AD">
        <w:t xml:space="preserve"> of MS Panel</w:t>
      </w:r>
      <w:bookmarkEnd w:id="64"/>
    </w:p>
    <w:p w14:paraId="64BC0D0D" w14:textId="77777777" w:rsidR="00B60F98" w:rsidRDefault="00B60F98" w:rsidP="004F56DB">
      <w:pPr>
        <w:spacing w:before="0" w:after="0"/>
      </w:pPr>
      <w:r>
        <w:t xml:space="preserve">It is </w:t>
      </w:r>
      <w:r w:rsidR="008526D7">
        <w:t xml:space="preserve">recommended </w:t>
      </w:r>
      <w:r>
        <w:t xml:space="preserve">that </w:t>
      </w:r>
      <w:r w:rsidR="00D0506C">
        <w:t>the</w:t>
      </w:r>
      <w:r>
        <w:t xml:space="preserve"> MS Panel</w:t>
      </w:r>
      <w:r w:rsidR="00561288">
        <w:t xml:space="preserve"> </w:t>
      </w:r>
      <w:r w:rsidR="00E8628B">
        <w:t>be</w:t>
      </w:r>
      <w:r w:rsidR="008526D7">
        <w:t xml:space="preserve"> established to</w:t>
      </w:r>
      <w:r>
        <w:t>:</w:t>
      </w:r>
    </w:p>
    <w:p w14:paraId="1D4D8DCE" w14:textId="77777777" w:rsidR="000B5B0C" w:rsidRPr="000B5B0C" w:rsidRDefault="000B5B0C" w:rsidP="004F56DB">
      <w:pPr>
        <w:spacing w:before="0" w:after="0"/>
      </w:pPr>
    </w:p>
    <w:p w14:paraId="4345E8C2" w14:textId="77777777" w:rsidR="00B60F98" w:rsidRPr="00687CC5" w:rsidRDefault="00561288" w:rsidP="004F56DB">
      <w:pPr>
        <w:pStyle w:val="aaHRLCBodytextakaNormal"/>
        <w:numPr>
          <w:ilvl w:val="0"/>
          <w:numId w:val="22"/>
        </w:numPr>
        <w:spacing w:before="0" w:line="240" w:lineRule="auto"/>
        <w:rPr>
          <w:sz w:val="24"/>
          <w:szCs w:val="24"/>
        </w:rPr>
      </w:pPr>
      <w:r w:rsidRPr="00687CC5">
        <w:rPr>
          <w:sz w:val="24"/>
          <w:szCs w:val="24"/>
        </w:rPr>
        <w:t>a</w:t>
      </w:r>
      <w:r w:rsidR="00B60F98" w:rsidRPr="00687CC5">
        <w:rPr>
          <w:sz w:val="24"/>
          <w:szCs w:val="24"/>
        </w:rPr>
        <w:t>ct as an advisory group to provide in</w:t>
      </w:r>
      <w:r w:rsidR="006D16D0">
        <w:rPr>
          <w:sz w:val="24"/>
          <w:szCs w:val="24"/>
        </w:rPr>
        <w:t>dependent expert advice to the g</w:t>
      </w:r>
      <w:r w:rsidR="00B60F98" w:rsidRPr="00687CC5">
        <w:rPr>
          <w:sz w:val="24"/>
          <w:szCs w:val="24"/>
        </w:rPr>
        <w:t>overnment on the scope, content and conduct of the NBA and</w:t>
      </w:r>
      <w:r w:rsidR="00FB3E7F">
        <w:rPr>
          <w:sz w:val="24"/>
          <w:szCs w:val="24"/>
        </w:rPr>
        <w:t>, potentially,</w:t>
      </w:r>
      <w:r w:rsidR="00B60F98" w:rsidRPr="00687CC5">
        <w:rPr>
          <w:sz w:val="24"/>
          <w:szCs w:val="24"/>
        </w:rPr>
        <w:t xml:space="preserve"> the NAP process</w:t>
      </w:r>
      <w:r w:rsidR="00156AD6" w:rsidRPr="00687CC5">
        <w:rPr>
          <w:sz w:val="24"/>
          <w:szCs w:val="24"/>
        </w:rPr>
        <w:t>es</w:t>
      </w:r>
      <w:r w:rsidR="00B60F98" w:rsidRPr="00687CC5">
        <w:rPr>
          <w:sz w:val="24"/>
          <w:szCs w:val="24"/>
        </w:rPr>
        <w:t>;</w:t>
      </w:r>
    </w:p>
    <w:p w14:paraId="6BFF3AE8" w14:textId="77777777" w:rsidR="00B60F98" w:rsidRPr="00687CC5" w:rsidRDefault="00561288" w:rsidP="00687CC5">
      <w:pPr>
        <w:pStyle w:val="aaHRLCBodytextakaNormal"/>
        <w:numPr>
          <w:ilvl w:val="0"/>
          <w:numId w:val="22"/>
        </w:numPr>
        <w:spacing w:line="240" w:lineRule="auto"/>
        <w:rPr>
          <w:sz w:val="24"/>
          <w:szCs w:val="24"/>
        </w:rPr>
      </w:pPr>
      <w:r w:rsidRPr="00687CC5">
        <w:rPr>
          <w:sz w:val="24"/>
          <w:szCs w:val="24"/>
        </w:rPr>
        <w:t>f</w:t>
      </w:r>
      <w:r w:rsidR="00B60F98" w:rsidRPr="00687CC5">
        <w:rPr>
          <w:sz w:val="24"/>
          <w:szCs w:val="24"/>
        </w:rPr>
        <w:t>acilitate the exchange of expertise and knowledge</w:t>
      </w:r>
      <w:r w:rsidR="00284414" w:rsidRPr="00687CC5">
        <w:rPr>
          <w:sz w:val="24"/>
          <w:szCs w:val="24"/>
        </w:rPr>
        <w:t>;</w:t>
      </w:r>
      <w:r w:rsidR="00B60F98" w:rsidRPr="00687CC5">
        <w:rPr>
          <w:sz w:val="24"/>
          <w:szCs w:val="24"/>
        </w:rPr>
        <w:t xml:space="preserve"> and</w:t>
      </w:r>
    </w:p>
    <w:p w14:paraId="3983CDB8" w14:textId="77777777" w:rsidR="00B60F98" w:rsidRPr="00687CC5" w:rsidRDefault="00561288" w:rsidP="00687CC5">
      <w:pPr>
        <w:pStyle w:val="aaHRLCBodytextakaNormal"/>
        <w:numPr>
          <w:ilvl w:val="0"/>
          <w:numId w:val="22"/>
        </w:numPr>
        <w:spacing w:line="240" w:lineRule="auto"/>
        <w:rPr>
          <w:sz w:val="24"/>
          <w:szCs w:val="24"/>
        </w:rPr>
      </w:pPr>
      <w:r w:rsidRPr="00687CC5">
        <w:rPr>
          <w:sz w:val="24"/>
          <w:szCs w:val="24"/>
        </w:rPr>
        <w:t>a</w:t>
      </w:r>
      <w:r w:rsidR="00B60F98" w:rsidRPr="00687CC5">
        <w:rPr>
          <w:sz w:val="24"/>
          <w:szCs w:val="24"/>
        </w:rPr>
        <w:t>ct as a liaison point, and facilitate open lines of commun</w:t>
      </w:r>
      <w:r w:rsidRPr="00687CC5">
        <w:rPr>
          <w:sz w:val="24"/>
          <w:szCs w:val="24"/>
        </w:rPr>
        <w:t>ication</w:t>
      </w:r>
      <w:r w:rsidR="00E8628B">
        <w:rPr>
          <w:sz w:val="24"/>
          <w:szCs w:val="24"/>
        </w:rPr>
        <w:t>, between the g</w:t>
      </w:r>
      <w:r w:rsidR="00B60F98" w:rsidRPr="00687CC5">
        <w:rPr>
          <w:sz w:val="24"/>
          <w:szCs w:val="24"/>
        </w:rPr>
        <w:t>overnment, civil society and the business community.</w:t>
      </w:r>
    </w:p>
    <w:p w14:paraId="1077D401" w14:textId="77777777" w:rsidR="005700DE" w:rsidRPr="00156AD6" w:rsidRDefault="00D32241" w:rsidP="00687CC5">
      <w:pPr>
        <w:pStyle w:val="Heading2"/>
        <w:numPr>
          <w:ilvl w:val="1"/>
          <w:numId w:val="15"/>
        </w:numPr>
      </w:pPr>
      <w:bookmarkStart w:id="65" w:name="_Toc456168868"/>
      <w:r w:rsidRPr="00156AD6">
        <w:t>Composition</w:t>
      </w:r>
      <w:r w:rsidR="00C049AD">
        <w:t xml:space="preserve"> of MS Panel</w:t>
      </w:r>
      <w:bookmarkEnd w:id="65"/>
    </w:p>
    <w:p w14:paraId="600CDAC4" w14:textId="77777777" w:rsidR="005700DE" w:rsidRDefault="0067603B" w:rsidP="0057651A">
      <w:pPr>
        <w:spacing w:before="0" w:after="0"/>
      </w:pPr>
      <w:r>
        <w:t xml:space="preserve">It is recommended that </w:t>
      </w:r>
      <w:r w:rsidR="005700DE">
        <w:t xml:space="preserve">stakeholder groups with an interest and expertise in matters relating to business and human rights and national action plan initiatives </w:t>
      </w:r>
      <w:r w:rsidR="00564BD8">
        <w:t>are</w:t>
      </w:r>
      <w:r w:rsidR="005700DE">
        <w:t xml:space="preserve"> represented </w:t>
      </w:r>
      <w:r w:rsidR="002C307E">
        <w:t xml:space="preserve">on the MS Panel. </w:t>
      </w:r>
      <w:r w:rsidR="00955F13">
        <w:t xml:space="preserve">The composition of the MS Panel should reflect an </w:t>
      </w:r>
      <w:r w:rsidR="00955F13">
        <w:lastRenderedPageBreak/>
        <w:t xml:space="preserve">equitable balance of stakeholder groups, with business and civil society interests being equally represented. </w:t>
      </w:r>
      <w:r w:rsidR="00775382">
        <w:t>Key</w:t>
      </w:r>
      <w:r w:rsidR="005700DE">
        <w:t xml:space="preserve"> </w:t>
      </w:r>
      <w:r w:rsidR="00564BD8">
        <w:t xml:space="preserve">groups </w:t>
      </w:r>
      <w:r w:rsidR="002C307E">
        <w:t xml:space="preserve">to be represented </w:t>
      </w:r>
      <w:r w:rsidR="005700DE">
        <w:t>include:</w:t>
      </w:r>
    </w:p>
    <w:p w14:paraId="68317814" w14:textId="77777777" w:rsidR="005700DE" w:rsidRDefault="005700DE" w:rsidP="0057651A">
      <w:pPr>
        <w:spacing w:before="0" w:after="0"/>
      </w:pPr>
    </w:p>
    <w:p w14:paraId="4CD8802A" w14:textId="77777777" w:rsidR="005700DE" w:rsidRPr="00687CC5" w:rsidRDefault="00CF794B" w:rsidP="0057651A">
      <w:pPr>
        <w:pStyle w:val="aaHRLCBodytextakaNormal"/>
        <w:numPr>
          <w:ilvl w:val="0"/>
          <w:numId w:val="22"/>
        </w:numPr>
        <w:spacing w:before="0" w:line="240" w:lineRule="auto"/>
        <w:rPr>
          <w:sz w:val="24"/>
          <w:szCs w:val="24"/>
        </w:rPr>
      </w:pPr>
      <w:r w:rsidRPr="00687CC5">
        <w:rPr>
          <w:sz w:val="24"/>
          <w:szCs w:val="24"/>
        </w:rPr>
        <w:t>b</w:t>
      </w:r>
      <w:r w:rsidR="005700DE" w:rsidRPr="00687CC5">
        <w:rPr>
          <w:sz w:val="24"/>
          <w:szCs w:val="24"/>
        </w:rPr>
        <w:t xml:space="preserve">usiness and industry; </w:t>
      </w:r>
    </w:p>
    <w:p w14:paraId="28B9B07D" w14:textId="77777777" w:rsidR="005700DE" w:rsidRPr="00687CC5" w:rsidRDefault="00CF794B" w:rsidP="00687CC5">
      <w:pPr>
        <w:pStyle w:val="aaHRLCBodytextakaNormal"/>
        <w:numPr>
          <w:ilvl w:val="0"/>
          <w:numId w:val="22"/>
        </w:numPr>
        <w:spacing w:line="240" w:lineRule="auto"/>
        <w:rPr>
          <w:sz w:val="24"/>
          <w:szCs w:val="24"/>
        </w:rPr>
      </w:pPr>
      <w:r w:rsidRPr="00687CC5">
        <w:rPr>
          <w:sz w:val="24"/>
          <w:szCs w:val="24"/>
        </w:rPr>
        <w:t>n</w:t>
      </w:r>
      <w:r w:rsidR="005700DE" w:rsidRPr="00687CC5">
        <w:rPr>
          <w:sz w:val="24"/>
          <w:szCs w:val="24"/>
        </w:rPr>
        <w:t>on-governmental organisations;</w:t>
      </w:r>
    </w:p>
    <w:p w14:paraId="76B46E18" w14:textId="2C64DB0C" w:rsidR="005700DE" w:rsidRPr="00687CC5" w:rsidRDefault="00CF794B" w:rsidP="00687CC5">
      <w:pPr>
        <w:pStyle w:val="aaHRLCBodytextakaNormal"/>
        <w:numPr>
          <w:ilvl w:val="0"/>
          <w:numId w:val="22"/>
        </w:numPr>
        <w:spacing w:line="240" w:lineRule="auto"/>
        <w:rPr>
          <w:sz w:val="24"/>
          <w:szCs w:val="24"/>
        </w:rPr>
      </w:pPr>
      <w:r w:rsidRPr="00687CC5">
        <w:rPr>
          <w:sz w:val="24"/>
          <w:szCs w:val="24"/>
        </w:rPr>
        <w:t>t</w:t>
      </w:r>
      <w:r w:rsidR="005700DE" w:rsidRPr="00687CC5">
        <w:rPr>
          <w:sz w:val="24"/>
          <w:szCs w:val="24"/>
        </w:rPr>
        <w:t xml:space="preserve">rade unions; </w:t>
      </w:r>
    </w:p>
    <w:p w14:paraId="02F081E3" w14:textId="77777777" w:rsidR="00507CE5" w:rsidRDefault="00CF794B" w:rsidP="00687CC5">
      <w:pPr>
        <w:pStyle w:val="aaHRLCBodytextakaNormal"/>
        <w:numPr>
          <w:ilvl w:val="0"/>
          <w:numId w:val="22"/>
        </w:numPr>
        <w:spacing w:line="240" w:lineRule="auto"/>
        <w:rPr>
          <w:sz w:val="24"/>
          <w:szCs w:val="24"/>
        </w:rPr>
      </w:pPr>
      <w:r w:rsidRPr="00687CC5">
        <w:rPr>
          <w:sz w:val="24"/>
          <w:szCs w:val="24"/>
        </w:rPr>
        <w:t>a</w:t>
      </w:r>
      <w:r w:rsidR="005700DE" w:rsidRPr="00687CC5">
        <w:rPr>
          <w:sz w:val="24"/>
          <w:szCs w:val="24"/>
        </w:rPr>
        <w:t>cademia</w:t>
      </w:r>
      <w:r w:rsidR="00507CE5">
        <w:rPr>
          <w:sz w:val="24"/>
          <w:szCs w:val="24"/>
        </w:rPr>
        <w:t>; and</w:t>
      </w:r>
    </w:p>
    <w:p w14:paraId="5FB39BFB" w14:textId="3434205F" w:rsidR="005700DE" w:rsidRPr="00687CC5" w:rsidRDefault="00507CE5" w:rsidP="00687CC5">
      <w:pPr>
        <w:pStyle w:val="aaHRLCBodytextakaNormal"/>
        <w:numPr>
          <w:ilvl w:val="0"/>
          <w:numId w:val="22"/>
        </w:numPr>
        <w:spacing w:line="240" w:lineRule="auto"/>
        <w:rPr>
          <w:sz w:val="24"/>
          <w:szCs w:val="24"/>
        </w:rPr>
      </w:pPr>
      <w:r>
        <w:rPr>
          <w:sz w:val="24"/>
          <w:szCs w:val="24"/>
        </w:rPr>
        <w:t>the national human rights institution.</w:t>
      </w:r>
      <w:r w:rsidR="005700DE" w:rsidRPr="00687CC5">
        <w:rPr>
          <w:sz w:val="24"/>
          <w:szCs w:val="24"/>
        </w:rPr>
        <w:t xml:space="preserve"> </w:t>
      </w:r>
    </w:p>
    <w:p w14:paraId="0873E712" w14:textId="77777777" w:rsidR="00564BD8" w:rsidRDefault="00564BD8" w:rsidP="009A2E88">
      <w:pPr>
        <w:spacing w:before="0" w:after="0"/>
      </w:pPr>
    </w:p>
    <w:p w14:paraId="617463D2" w14:textId="77777777" w:rsidR="00B66610" w:rsidRDefault="004E1269" w:rsidP="0057651A">
      <w:pPr>
        <w:spacing w:before="0" w:after="0"/>
      </w:pPr>
      <w:r>
        <w:t>Civil society considers the establishment of the MS Panel to be cr</w:t>
      </w:r>
      <w:r w:rsidR="00DD55C8">
        <w:t>itical in order to</w:t>
      </w:r>
      <w:r w:rsidR="00B66610">
        <w:t xml:space="preserve">: </w:t>
      </w:r>
    </w:p>
    <w:p w14:paraId="492657AA" w14:textId="77777777" w:rsidR="0057651A" w:rsidRDefault="0057651A" w:rsidP="0057651A">
      <w:pPr>
        <w:spacing w:before="0" w:after="0"/>
      </w:pPr>
    </w:p>
    <w:p w14:paraId="5EFDEF92" w14:textId="77777777" w:rsidR="00263801" w:rsidRPr="00687CC5" w:rsidRDefault="00DD55C8" w:rsidP="0057651A">
      <w:pPr>
        <w:pStyle w:val="aaHRLCBodytextakaNormal"/>
        <w:numPr>
          <w:ilvl w:val="0"/>
          <w:numId w:val="22"/>
        </w:numPr>
        <w:spacing w:before="0" w:line="240" w:lineRule="auto"/>
        <w:rPr>
          <w:sz w:val="24"/>
          <w:szCs w:val="24"/>
        </w:rPr>
      </w:pPr>
      <w:r w:rsidRPr="00687CC5">
        <w:rPr>
          <w:sz w:val="24"/>
          <w:szCs w:val="24"/>
        </w:rPr>
        <w:t>a</w:t>
      </w:r>
      <w:r w:rsidR="00263801" w:rsidRPr="00687CC5">
        <w:rPr>
          <w:sz w:val="24"/>
          <w:szCs w:val="24"/>
        </w:rPr>
        <w:t xml:space="preserve">ssist in </w:t>
      </w:r>
      <w:r w:rsidR="00393302" w:rsidRPr="00687CC5">
        <w:rPr>
          <w:sz w:val="24"/>
          <w:szCs w:val="24"/>
        </w:rPr>
        <w:t xml:space="preserve">developing </w:t>
      </w:r>
      <w:r w:rsidRPr="00687CC5">
        <w:rPr>
          <w:sz w:val="24"/>
          <w:szCs w:val="24"/>
        </w:rPr>
        <w:t xml:space="preserve">comprehensive </w:t>
      </w:r>
      <w:r w:rsidR="00393302" w:rsidRPr="00687CC5">
        <w:rPr>
          <w:sz w:val="24"/>
          <w:szCs w:val="24"/>
        </w:rPr>
        <w:t xml:space="preserve">frameworks for </w:t>
      </w:r>
      <w:r w:rsidR="00F52AA6">
        <w:rPr>
          <w:sz w:val="24"/>
          <w:szCs w:val="24"/>
        </w:rPr>
        <w:t xml:space="preserve">the </w:t>
      </w:r>
      <w:r w:rsidR="00393302" w:rsidRPr="00687CC5">
        <w:rPr>
          <w:sz w:val="24"/>
          <w:szCs w:val="24"/>
        </w:rPr>
        <w:t>NBA and NAP development</w:t>
      </w:r>
      <w:r w:rsidR="002C7C81" w:rsidRPr="00687CC5">
        <w:rPr>
          <w:sz w:val="24"/>
          <w:szCs w:val="24"/>
        </w:rPr>
        <w:t>; and</w:t>
      </w:r>
      <w:r w:rsidR="00263801" w:rsidRPr="00687CC5">
        <w:rPr>
          <w:sz w:val="24"/>
          <w:szCs w:val="24"/>
        </w:rPr>
        <w:t xml:space="preserve"> </w:t>
      </w:r>
    </w:p>
    <w:p w14:paraId="4EDC9392" w14:textId="77777777" w:rsidR="00263801" w:rsidRPr="00687CC5" w:rsidRDefault="00DD55C8" w:rsidP="00687CC5">
      <w:pPr>
        <w:pStyle w:val="aaHRLCBodytextakaNormal"/>
        <w:numPr>
          <w:ilvl w:val="0"/>
          <w:numId w:val="22"/>
        </w:numPr>
        <w:spacing w:line="240" w:lineRule="auto"/>
        <w:rPr>
          <w:sz w:val="24"/>
          <w:szCs w:val="24"/>
        </w:rPr>
      </w:pPr>
      <w:r w:rsidRPr="00687CC5">
        <w:rPr>
          <w:sz w:val="24"/>
          <w:szCs w:val="24"/>
        </w:rPr>
        <w:t>facilitate</w:t>
      </w:r>
      <w:r w:rsidR="00393302" w:rsidRPr="00687CC5">
        <w:rPr>
          <w:sz w:val="24"/>
          <w:szCs w:val="24"/>
        </w:rPr>
        <w:t xml:space="preserve"> </w:t>
      </w:r>
      <w:r w:rsidRPr="00687CC5">
        <w:rPr>
          <w:sz w:val="24"/>
          <w:szCs w:val="24"/>
        </w:rPr>
        <w:t xml:space="preserve">effective </w:t>
      </w:r>
      <w:r w:rsidR="00393302" w:rsidRPr="00687CC5">
        <w:rPr>
          <w:sz w:val="24"/>
          <w:szCs w:val="24"/>
        </w:rPr>
        <w:t>multi-stakeholder participation and oversight</w:t>
      </w:r>
      <w:r w:rsidR="002C7C81" w:rsidRPr="00687CC5">
        <w:rPr>
          <w:sz w:val="24"/>
          <w:szCs w:val="24"/>
        </w:rPr>
        <w:t xml:space="preserve"> in</w:t>
      </w:r>
      <w:r w:rsidR="0060061D" w:rsidRPr="00687CC5">
        <w:rPr>
          <w:sz w:val="24"/>
          <w:szCs w:val="24"/>
        </w:rPr>
        <w:t xml:space="preserve"> the</w:t>
      </w:r>
      <w:r w:rsidR="002C7C81" w:rsidRPr="00687CC5">
        <w:rPr>
          <w:sz w:val="24"/>
          <w:szCs w:val="24"/>
        </w:rPr>
        <w:t xml:space="preserve"> NBA and NAP processes.</w:t>
      </w:r>
    </w:p>
    <w:p w14:paraId="7F163894" w14:textId="77777777" w:rsidR="00A47EA2" w:rsidRDefault="00A47EA2" w:rsidP="00687CC5">
      <w:pPr>
        <w:pStyle w:val="Heading1"/>
        <w:numPr>
          <w:ilvl w:val="0"/>
          <w:numId w:val="15"/>
        </w:numPr>
        <w:tabs>
          <w:tab w:val="clear" w:pos="851"/>
          <w:tab w:val="num" w:pos="971"/>
        </w:tabs>
        <w:ind w:left="971"/>
        <w:rPr>
          <w:sz w:val="36"/>
          <w:szCs w:val="36"/>
        </w:rPr>
      </w:pPr>
      <w:bookmarkStart w:id="66" w:name="_Toc456168869"/>
      <w:r>
        <w:rPr>
          <w:sz w:val="36"/>
          <w:szCs w:val="36"/>
        </w:rPr>
        <w:t>NAP Process</w:t>
      </w:r>
      <w:bookmarkEnd w:id="66"/>
      <w:r w:rsidR="00DF44EB">
        <w:rPr>
          <w:sz w:val="36"/>
          <w:szCs w:val="36"/>
        </w:rPr>
        <w:t xml:space="preserve"> </w:t>
      </w:r>
    </w:p>
    <w:p w14:paraId="12857F3A" w14:textId="77777777" w:rsidR="001F2112" w:rsidRDefault="005D1FE1" w:rsidP="009A2E88">
      <w:pPr>
        <w:rPr>
          <w:rFonts w:cs="Arial"/>
        </w:rPr>
      </w:pPr>
      <w:r>
        <w:rPr>
          <w:rFonts w:cs="Arial"/>
        </w:rPr>
        <w:t xml:space="preserve">The development of a NAP via an inclusive, multi-stakeholder process in which all potentially impacted groups have an opportunity to participate is a </w:t>
      </w:r>
      <w:r w:rsidR="005E5001">
        <w:rPr>
          <w:rFonts w:cs="Arial"/>
        </w:rPr>
        <w:t xml:space="preserve">key priority for civil society. </w:t>
      </w:r>
    </w:p>
    <w:p w14:paraId="266E987B" w14:textId="77777777" w:rsidR="00810A27" w:rsidRDefault="002E21FA" w:rsidP="0057651A">
      <w:pPr>
        <w:pStyle w:val="aaHRLCBodytextakaNormal"/>
        <w:spacing w:before="0" w:line="240" w:lineRule="auto"/>
        <w:rPr>
          <w:sz w:val="24"/>
          <w:szCs w:val="24"/>
        </w:rPr>
      </w:pPr>
      <w:r w:rsidRPr="00CB1AC2">
        <w:rPr>
          <w:sz w:val="24"/>
          <w:szCs w:val="24"/>
        </w:rPr>
        <w:t xml:space="preserve">To </w:t>
      </w:r>
      <w:r w:rsidR="00310AB0" w:rsidRPr="00CB1AC2">
        <w:rPr>
          <w:sz w:val="24"/>
          <w:szCs w:val="24"/>
        </w:rPr>
        <w:t>assist in achieving this</w:t>
      </w:r>
      <w:r w:rsidRPr="00CB1AC2">
        <w:rPr>
          <w:sz w:val="24"/>
          <w:szCs w:val="24"/>
        </w:rPr>
        <w:t>, i</w:t>
      </w:r>
      <w:r w:rsidR="00231275" w:rsidRPr="00CB1AC2">
        <w:rPr>
          <w:sz w:val="24"/>
          <w:szCs w:val="24"/>
        </w:rPr>
        <w:t xml:space="preserve">t is recommended that </w:t>
      </w:r>
      <w:r w:rsidR="00586449" w:rsidRPr="00CB1AC2">
        <w:rPr>
          <w:sz w:val="24"/>
          <w:szCs w:val="24"/>
        </w:rPr>
        <w:t>the following criteria are met</w:t>
      </w:r>
      <w:r w:rsidR="002772C9" w:rsidRPr="00CB1AC2">
        <w:rPr>
          <w:sz w:val="24"/>
          <w:szCs w:val="24"/>
        </w:rPr>
        <w:t xml:space="preserve"> with respect to </w:t>
      </w:r>
      <w:r w:rsidR="00FB3E7F">
        <w:rPr>
          <w:sz w:val="24"/>
          <w:szCs w:val="24"/>
        </w:rPr>
        <w:t>a</w:t>
      </w:r>
      <w:r w:rsidR="00F858F7" w:rsidRPr="00CB1AC2">
        <w:rPr>
          <w:sz w:val="24"/>
          <w:szCs w:val="24"/>
        </w:rPr>
        <w:t xml:space="preserve"> </w:t>
      </w:r>
      <w:r w:rsidR="002772C9" w:rsidRPr="00CB1AC2">
        <w:rPr>
          <w:sz w:val="24"/>
          <w:szCs w:val="24"/>
        </w:rPr>
        <w:t xml:space="preserve">NAP </w:t>
      </w:r>
      <w:r w:rsidR="00F858F7" w:rsidRPr="00CB1AC2">
        <w:rPr>
          <w:sz w:val="24"/>
          <w:szCs w:val="24"/>
        </w:rPr>
        <w:t xml:space="preserve">development </w:t>
      </w:r>
      <w:r w:rsidR="002772C9" w:rsidRPr="00CB1AC2">
        <w:rPr>
          <w:sz w:val="24"/>
          <w:szCs w:val="24"/>
        </w:rPr>
        <w:t>process</w:t>
      </w:r>
      <w:r w:rsidR="00A47EA2" w:rsidRPr="00CB1AC2">
        <w:rPr>
          <w:sz w:val="24"/>
          <w:szCs w:val="24"/>
        </w:rPr>
        <w:t>:</w:t>
      </w:r>
    </w:p>
    <w:p w14:paraId="7BDC7A4D" w14:textId="77777777" w:rsidR="00856752" w:rsidRPr="00CB1AC2" w:rsidRDefault="00856752" w:rsidP="0057651A">
      <w:pPr>
        <w:pStyle w:val="aaHRLCBodytextakaNormal"/>
        <w:spacing w:before="0" w:line="240" w:lineRule="auto"/>
        <w:rPr>
          <w:sz w:val="24"/>
          <w:szCs w:val="24"/>
        </w:rPr>
      </w:pPr>
    </w:p>
    <w:p w14:paraId="544CD116" w14:textId="77777777" w:rsidR="00343F0C" w:rsidRPr="00CB1AC2" w:rsidRDefault="00373F7C" w:rsidP="0057651A">
      <w:pPr>
        <w:pStyle w:val="aaHRLCBodytextakaNormal"/>
        <w:numPr>
          <w:ilvl w:val="0"/>
          <w:numId w:val="22"/>
        </w:numPr>
        <w:spacing w:before="0" w:line="240" w:lineRule="auto"/>
        <w:rPr>
          <w:sz w:val="24"/>
          <w:szCs w:val="24"/>
        </w:rPr>
      </w:pPr>
      <w:r w:rsidRPr="00CB1AC2">
        <w:rPr>
          <w:sz w:val="24"/>
          <w:szCs w:val="24"/>
        </w:rPr>
        <w:t xml:space="preserve">establish the </w:t>
      </w:r>
      <w:r w:rsidRPr="00856752">
        <w:rPr>
          <w:b/>
          <w:sz w:val="24"/>
          <w:szCs w:val="24"/>
        </w:rPr>
        <w:t>MS Panel</w:t>
      </w:r>
      <w:r w:rsidRPr="00CB1AC2">
        <w:rPr>
          <w:sz w:val="24"/>
          <w:szCs w:val="24"/>
        </w:rPr>
        <w:t>;</w:t>
      </w:r>
      <w:r w:rsidR="00343F0C" w:rsidRPr="00CB1AC2">
        <w:rPr>
          <w:sz w:val="24"/>
          <w:szCs w:val="24"/>
        </w:rPr>
        <w:t xml:space="preserve"> </w:t>
      </w:r>
    </w:p>
    <w:p w14:paraId="2A9B4D43" w14:textId="4ECA9B27" w:rsidR="00507CE5" w:rsidRPr="00507CE5" w:rsidRDefault="00507CE5" w:rsidP="00507CE5">
      <w:pPr>
        <w:pStyle w:val="aaHRLCBodytextakaNormal"/>
        <w:numPr>
          <w:ilvl w:val="0"/>
          <w:numId w:val="22"/>
        </w:numPr>
        <w:spacing w:line="240" w:lineRule="auto"/>
        <w:rPr>
          <w:sz w:val="24"/>
          <w:szCs w:val="24"/>
        </w:rPr>
      </w:pPr>
      <w:r w:rsidRPr="00CB1AC2">
        <w:rPr>
          <w:sz w:val="24"/>
          <w:szCs w:val="24"/>
        </w:rPr>
        <w:t xml:space="preserve">develop </w:t>
      </w:r>
      <w:r w:rsidRPr="00856752">
        <w:rPr>
          <w:b/>
          <w:sz w:val="24"/>
          <w:szCs w:val="24"/>
        </w:rPr>
        <w:t>terms of reference</w:t>
      </w:r>
      <w:r w:rsidRPr="00CB1AC2">
        <w:rPr>
          <w:sz w:val="24"/>
          <w:szCs w:val="24"/>
        </w:rPr>
        <w:t xml:space="preserve"> and agreed language</w:t>
      </w:r>
      <w:r>
        <w:rPr>
          <w:sz w:val="24"/>
          <w:szCs w:val="24"/>
        </w:rPr>
        <w:t>, using defined terms for greater certainty and common understanding</w:t>
      </w:r>
      <w:r w:rsidRPr="00CB1AC2">
        <w:rPr>
          <w:sz w:val="24"/>
          <w:szCs w:val="24"/>
        </w:rPr>
        <w:t>;</w:t>
      </w:r>
    </w:p>
    <w:p w14:paraId="22EFBC5D" w14:textId="77777777" w:rsidR="00343F0C" w:rsidRPr="00CB1AC2" w:rsidRDefault="00343F0C" w:rsidP="00CB1AC2">
      <w:pPr>
        <w:pStyle w:val="aaHRLCBodytextakaNormal"/>
        <w:numPr>
          <w:ilvl w:val="0"/>
          <w:numId w:val="22"/>
        </w:numPr>
        <w:spacing w:line="240" w:lineRule="auto"/>
        <w:rPr>
          <w:sz w:val="24"/>
          <w:szCs w:val="24"/>
        </w:rPr>
      </w:pPr>
      <w:r w:rsidRPr="00CB1AC2">
        <w:rPr>
          <w:sz w:val="24"/>
          <w:szCs w:val="24"/>
        </w:rPr>
        <w:t xml:space="preserve">allocate adequate </w:t>
      </w:r>
      <w:r w:rsidRPr="00856752">
        <w:rPr>
          <w:b/>
          <w:sz w:val="24"/>
          <w:szCs w:val="24"/>
        </w:rPr>
        <w:t>resources</w:t>
      </w:r>
      <w:r w:rsidRPr="00CB1AC2">
        <w:rPr>
          <w:sz w:val="24"/>
          <w:szCs w:val="24"/>
        </w:rPr>
        <w:t xml:space="preserve"> to the </w:t>
      </w:r>
      <w:r w:rsidR="00CB1AC2">
        <w:rPr>
          <w:sz w:val="24"/>
          <w:szCs w:val="24"/>
        </w:rPr>
        <w:t xml:space="preserve">NAP </w:t>
      </w:r>
      <w:r w:rsidRPr="00CB1AC2">
        <w:rPr>
          <w:sz w:val="24"/>
          <w:szCs w:val="24"/>
        </w:rPr>
        <w:t>process;</w:t>
      </w:r>
    </w:p>
    <w:p w14:paraId="6219F807" w14:textId="77777777" w:rsidR="00343F0C" w:rsidRPr="00CB1AC2" w:rsidRDefault="00343F0C" w:rsidP="00CB1AC2">
      <w:pPr>
        <w:pStyle w:val="aaHRLCBodytextakaNormal"/>
        <w:numPr>
          <w:ilvl w:val="0"/>
          <w:numId w:val="22"/>
        </w:numPr>
        <w:spacing w:line="240" w:lineRule="auto"/>
        <w:rPr>
          <w:sz w:val="24"/>
          <w:szCs w:val="24"/>
        </w:rPr>
      </w:pPr>
      <w:r w:rsidRPr="00CB1AC2">
        <w:rPr>
          <w:sz w:val="24"/>
          <w:szCs w:val="24"/>
        </w:rPr>
        <w:t xml:space="preserve">develop a </w:t>
      </w:r>
      <w:r w:rsidRPr="00ED263B">
        <w:rPr>
          <w:b/>
          <w:sz w:val="24"/>
          <w:szCs w:val="24"/>
        </w:rPr>
        <w:t>participatory dialogue</w:t>
      </w:r>
      <w:r w:rsidRPr="00CB1AC2">
        <w:rPr>
          <w:sz w:val="24"/>
          <w:szCs w:val="24"/>
        </w:rPr>
        <w:t xml:space="preserve"> process via </w:t>
      </w:r>
      <w:r w:rsidRPr="00ED263B">
        <w:rPr>
          <w:sz w:val="24"/>
          <w:szCs w:val="24"/>
        </w:rPr>
        <w:t>multi-stakeholder</w:t>
      </w:r>
      <w:r w:rsidR="00CB0C2D">
        <w:rPr>
          <w:sz w:val="24"/>
          <w:szCs w:val="24"/>
        </w:rPr>
        <w:t xml:space="preserve"> engagement and </w:t>
      </w:r>
      <w:r w:rsidRPr="00CB1AC2">
        <w:rPr>
          <w:sz w:val="24"/>
          <w:szCs w:val="24"/>
        </w:rPr>
        <w:t>co</w:t>
      </w:r>
      <w:r w:rsidR="00CB0C2D">
        <w:rPr>
          <w:sz w:val="24"/>
          <w:szCs w:val="24"/>
        </w:rPr>
        <w:t>mmunicate consultation outcomes</w:t>
      </w:r>
      <w:r w:rsidR="000D4804">
        <w:rPr>
          <w:sz w:val="24"/>
          <w:szCs w:val="24"/>
        </w:rPr>
        <w:t>;</w:t>
      </w:r>
      <w:r w:rsidR="00F153E0">
        <w:rPr>
          <w:rStyle w:val="EndnoteReference"/>
          <w:szCs w:val="24"/>
        </w:rPr>
        <w:endnoteReference w:id="11"/>
      </w:r>
      <w:r w:rsidRPr="00CB1AC2">
        <w:rPr>
          <w:sz w:val="24"/>
          <w:szCs w:val="24"/>
        </w:rPr>
        <w:t xml:space="preserve"> </w:t>
      </w:r>
    </w:p>
    <w:p w14:paraId="194CFFE2" w14:textId="77777777" w:rsidR="00343F0C" w:rsidRPr="00CB1AC2" w:rsidRDefault="00343F0C" w:rsidP="00CB1AC2">
      <w:pPr>
        <w:pStyle w:val="aaHRLCBodytextakaNormal"/>
        <w:numPr>
          <w:ilvl w:val="0"/>
          <w:numId w:val="22"/>
        </w:numPr>
        <w:spacing w:line="240" w:lineRule="auto"/>
        <w:rPr>
          <w:sz w:val="24"/>
          <w:szCs w:val="24"/>
        </w:rPr>
      </w:pPr>
      <w:r w:rsidRPr="00CB1AC2">
        <w:rPr>
          <w:sz w:val="24"/>
          <w:szCs w:val="24"/>
        </w:rPr>
        <w:t xml:space="preserve">adopt an </w:t>
      </w:r>
      <w:r w:rsidRPr="00856752">
        <w:rPr>
          <w:b/>
          <w:sz w:val="24"/>
          <w:szCs w:val="24"/>
        </w:rPr>
        <w:t>evidence-based</w:t>
      </w:r>
      <w:r w:rsidRPr="00CB1AC2">
        <w:rPr>
          <w:sz w:val="24"/>
          <w:szCs w:val="24"/>
        </w:rPr>
        <w:t xml:space="preserve"> approach involving a rigorous NBA</w:t>
      </w:r>
      <w:r w:rsidRPr="00856752">
        <w:rPr>
          <w:rStyle w:val="EndnoteReference"/>
          <w:rFonts w:eastAsia="MS Mincho"/>
          <w:lang w:eastAsia="en-AU"/>
        </w:rPr>
        <w:endnoteReference w:id="12"/>
      </w:r>
      <w:r w:rsidRPr="00856752">
        <w:rPr>
          <w:rStyle w:val="EndnoteReference"/>
          <w:rFonts w:eastAsia="MS Mincho"/>
          <w:lang w:eastAsia="en-AU"/>
        </w:rPr>
        <w:t xml:space="preserve"> </w:t>
      </w:r>
      <w:r w:rsidR="00CB0C2D">
        <w:rPr>
          <w:sz w:val="24"/>
          <w:szCs w:val="24"/>
        </w:rPr>
        <w:t>with the input of civil society</w:t>
      </w:r>
      <w:r w:rsidRPr="00CB1AC2">
        <w:rPr>
          <w:sz w:val="24"/>
          <w:szCs w:val="24"/>
        </w:rPr>
        <w:t xml:space="preserve">; </w:t>
      </w:r>
    </w:p>
    <w:p w14:paraId="5DB4E7A2" w14:textId="77777777" w:rsidR="00343F0C" w:rsidRPr="00CB1AC2" w:rsidRDefault="00A47EA2" w:rsidP="00CB1AC2">
      <w:pPr>
        <w:pStyle w:val="aaHRLCBodytextakaNormal"/>
        <w:numPr>
          <w:ilvl w:val="0"/>
          <w:numId w:val="22"/>
        </w:numPr>
        <w:spacing w:line="240" w:lineRule="auto"/>
        <w:rPr>
          <w:sz w:val="24"/>
          <w:szCs w:val="24"/>
        </w:rPr>
      </w:pPr>
      <w:r w:rsidRPr="00CB1AC2">
        <w:rPr>
          <w:sz w:val="24"/>
          <w:szCs w:val="24"/>
        </w:rPr>
        <w:t xml:space="preserve">ensure </w:t>
      </w:r>
      <w:r w:rsidRPr="00856752">
        <w:rPr>
          <w:b/>
          <w:sz w:val="24"/>
          <w:szCs w:val="24"/>
        </w:rPr>
        <w:t>transparency</w:t>
      </w:r>
      <w:r w:rsidRPr="00CB1AC2">
        <w:rPr>
          <w:sz w:val="24"/>
          <w:szCs w:val="24"/>
        </w:rPr>
        <w:t xml:space="preserve"> around the NAP </w:t>
      </w:r>
      <w:r w:rsidR="00970E85">
        <w:rPr>
          <w:sz w:val="24"/>
          <w:szCs w:val="24"/>
        </w:rPr>
        <w:t xml:space="preserve">development </w:t>
      </w:r>
      <w:r w:rsidRPr="00CB1AC2">
        <w:rPr>
          <w:sz w:val="24"/>
          <w:szCs w:val="24"/>
        </w:rPr>
        <w:t xml:space="preserve">process and information generated </w:t>
      </w:r>
      <w:r w:rsidR="00E840FE" w:rsidRPr="00CB1AC2">
        <w:rPr>
          <w:sz w:val="24"/>
          <w:szCs w:val="24"/>
        </w:rPr>
        <w:t>by it</w:t>
      </w:r>
      <w:r w:rsidRPr="00CB1AC2">
        <w:rPr>
          <w:sz w:val="24"/>
          <w:szCs w:val="24"/>
        </w:rPr>
        <w:t>;</w:t>
      </w:r>
    </w:p>
    <w:p w14:paraId="00270793" w14:textId="77777777" w:rsidR="00810A27" w:rsidRPr="00CB1AC2" w:rsidRDefault="00A47EA2" w:rsidP="00CB1AC2">
      <w:pPr>
        <w:pStyle w:val="aaHRLCBodytextakaNormal"/>
        <w:numPr>
          <w:ilvl w:val="0"/>
          <w:numId w:val="22"/>
        </w:numPr>
        <w:spacing w:line="240" w:lineRule="auto"/>
        <w:rPr>
          <w:sz w:val="24"/>
          <w:szCs w:val="24"/>
        </w:rPr>
      </w:pPr>
      <w:r w:rsidRPr="00CB1AC2">
        <w:rPr>
          <w:sz w:val="24"/>
          <w:szCs w:val="24"/>
        </w:rPr>
        <w:t>establi</w:t>
      </w:r>
      <w:r w:rsidR="00810A27" w:rsidRPr="00CB1AC2">
        <w:rPr>
          <w:sz w:val="24"/>
          <w:szCs w:val="24"/>
        </w:rPr>
        <w:t xml:space="preserve">sh and publish </w:t>
      </w:r>
      <w:r w:rsidR="003E2F06">
        <w:rPr>
          <w:sz w:val="24"/>
          <w:szCs w:val="24"/>
        </w:rPr>
        <w:t xml:space="preserve">a </w:t>
      </w:r>
      <w:r w:rsidR="00810A27" w:rsidRPr="00CB1AC2">
        <w:rPr>
          <w:sz w:val="24"/>
          <w:szCs w:val="24"/>
        </w:rPr>
        <w:t xml:space="preserve">NAP </w:t>
      </w:r>
      <w:r w:rsidR="00272B17" w:rsidRPr="00856752">
        <w:rPr>
          <w:b/>
          <w:sz w:val="24"/>
          <w:szCs w:val="24"/>
        </w:rPr>
        <w:t>timetable</w:t>
      </w:r>
      <w:r w:rsidR="00D506EB">
        <w:rPr>
          <w:sz w:val="24"/>
          <w:szCs w:val="24"/>
        </w:rPr>
        <w:t>, relating to the initial NAP and subsequent updated versions</w:t>
      </w:r>
      <w:r w:rsidRPr="00CB1AC2">
        <w:rPr>
          <w:sz w:val="24"/>
          <w:szCs w:val="24"/>
        </w:rPr>
        <w:t>;</w:t>
      </w:r>
    </w:p>
    <w:p w14:paraId="745A3E15" w14:textId="77777777" w:rsidR="00810A27" w:rsidRPr="00CB1AC2" w:rsidRDefault="00A47EA2" w:rsidP="00CB1AC2">
      <w:pPr>
        <w:pStyle w:val="aaHRLCBodytextakaNormal"/>
        <w:numPr>
          <w:ilvl w:val="0"/>
          <w:numId w:val="22"/>
        </w:numPr>
        <w:spacing w:line="240" w:lineRule="auto"/>
        <w:rPr>
          <w:sz w:val="24"/>
          <w:szCs w:val="24"/>
        </w:rPr>
      </w:pPr>
      <w:r w:rsidRPr="00CB1AC2">
        <w:rPr>
          <w:sz w:val="24"/>
          <w:szCs w:val="24"/>
        </w:rPr>
        <w:t xml:space="preserve">provide </w:t>
      </w:r>
      <w:r w:rsidR="00810A27" w:rsidRPr="00CB1AC2">
        <w:rPr>
          <w:sz w:val="24"/>
          <w:szCs w:val="24"/>
        </w:rPr>
        <w:t xml:space="preserve">regular </w:t>
      </w:r>
      <w:r w:rsidR="00810A27" w:rsidRPr="00856752">
        <w:rPr>
          <w:b/>
          <w:sz w:val="24"/>
          <w:szCs w:val="24"/>
        </w:rPr>
        <w:t>opportunities</w:t>
      </w:r>
      <w:r w:rsidR="00810A27" w:rsidRPr="00CB1AC2">
        <w:rPr>
          <w:sz w:val="24"/>
          <w:szCs w:val="24"/>
        </w:rPr>
        <w:t xml:space="preserve"> </w:t>
      </w:r>
      <w:r w:rsidR="00D506EB">
        <w:rPr>
          <w:sz w:val="24"/>
          <w:szCs w:val="24"/>
        </w:rPr>
        <w:t xml:space="preserve">for review of </w:t>
      </w:r>
      <w:r w:rsidRPr="00CB1AC2">
        <w:rPr>
          <w:sz w:val="24"/>
          <w:szCs w:val="24"/>
        </w:rPr>
        <w:t xml:space="preserve">NAP </w:t>
      </w:r>
      <w:r w:rsidR="00152402" w:rsidRPr="00CB1AC2">
        <w:rPr>
          <w:sz w:val="24"/>
          <w:szCs w:val="24"/>
        </w:rPr>
        <w:t>drafts</w:t>
      </w:r>
      <w:r w:rsidRPr="00CB1AC2">
        <w:rPr>
          <w:sz w:val="24"/>
          <w:szCs w:val="24"/>
        </w:rPr>
        <w:t>;</w:t>
      </w:r>
    </w:p>
    <w:p w14:paraId="450CA7DD" w14:textId="77777777" w:rsidR="00810A27" w:rsidRPr="00CB1AC2" w:rsidRDefault="00A47EA2" w:rsidP="00CB1AC2">
      <w:pPr>
        <w:pStyle w:val="aaHRLCBodytextakaNormal"/>
        <w:numPr>
          <w:ilvl w:val="0"/>
          <w:numId w:val="22"/>
        </w:numPr>
        <w:spacing w:line="240" w:lineRule="auto"/>
        <w:rPr>
          <w:sz w:val="24"/>
          <w:szCs w:val="24"/>
        </w:rPr>
      </w:pPr>
      <w:r w:rsidRPr="00CB1AC2">
        <w:rPr>
          <w:sz w:val="24"/>
          <w:szCs w:val="24"/>
        </w:rPr>
        <w:t xml:space="preserve">ensure </w:t>
      </w:r>
      <w:r w:rsidRPr="00FE5130">
        <w:rPr>
          <w:b/>
          <w:sz w:val="24"/>
          <w:szCs w:val="24"/>
        </w:rPr>
        <w:t>policy coherence</w:t>
      </w:r>
      <w:r w:rsidR="00A641EC" w:rsidRPr="00CB1AC2">
        <w:rPr>
          <w:sz w:val="24"/>
          <w:szCs w:val="24"/>
        </w:rPr>
        <w:t xml:space="preserve"> </w:t>
      </w:r>
      <w:r w:rsidR="00D506EB">
        <w:rPr>
          <w:sz w:val="24"/>
          <w:szCs w:val="24"/>
        </w:rPr>
        <w:t xml:space="preserve">by adopting a whole of government </w:t>
      </w:r>
      <w:r w:rsidR="00DF44EB" w:rsidRPr="00CB1AC2">
        <w:rPr>
          <w:sz w:val="24"/>
          <w:szCs w:val="24"/>
        </w:rPr>
        <w:t>approach to NAP development</w:t>
      </w:r>
      <w:r w:rsidRPr="00CB1AC2">
        <w:rPr>
          <w:sz w:val="24"/>
          <w:szCs w:val="24"/>
        </w:rPr>
        <w:t>;</w:t>
      </w:r>
      <w:r w:rsidR="00343F0C" w:rsidRPr="00CB1AC2">
        <w:rPr>
          <w:sz w:val="24"/>
          <w:szCs w:val="24"/>
        </w:rPr>
        <w:t xml:space="preserve"> </w:t>
      </w:r>
      <w:r w:rsidRPr="00CB1AC2">
        <w:rPr>
          <w:sz w:val="24"/>
          <w:szCs w:val="24"/>
        </w:rPr>
        <w:t>and</w:t>
      </w:r>
    </w:p>
    <w:p w14:paraId="1190914B" w14:textId="77777777" w:rsidR="00A47EA2" w:rsidRPr="00CB1AC2" w:rsidRDefault="00152402" w:rsidP="00CB1AC2">
      <w:pPr>
        <w:pStyle w:val="aaHRLCBodytextakaNormal"/>
        <w:numPr>
          <w:ilvl w:val="0"/>
          <w:numId w:val="22"/>
        </w:numPr>
        <w:spacing w:line="240" w:lineRule="auto"/>
        <w:rPr>
          <w:sz w:val="24"/>
          <w:szCs w:val="24"/>
        </w:rPr>
      </w:pPr>
      <w:r w:rsidRPr="00CB1AC2">
        <w:rPr>
          <w:sz w:val="24"/>
          <w:szCs w:val="24"/>
        </w:rPr>
        <w:t>include a robust NAP impact</w:t>
      </w:r>
      <w:r w:rsidR="00EB3485" w:rsidRPr="00CB1AC2">
        <w:rPr>
          <w:sz w:val="24"/>
          <w:szCs w:val="24"/>
        </w:rPr>
        <w:t xml:space="preserve"> </w:t>
      </w:r>
      <w:r w:rsidR="00EB3485" w:rsidRPr="00FE5130">
        <w:rPr>
          <w:b/>
          <w:sz w:val="24"/>
          <w:szCs w:val="24"/>
        </w:rPr>
        <w:t>review mechanism</w:t>
      </w:r>
      <w:r w:rsidR="00EB3485" w:rsidRPr="00CB1AC2">
        <w:rPr>
          <w:sz w:val="24"/>
          <w:szCs w:val="24"/>
        </w:rPr>
        <w:t xml:space="preserve"> </w:t>
      </w:r>
      <w:r w:rsidR="00267BF3">
        <w:rPr>
          <w:sz w:val="24"/>
          <w:szCs w:val="24"/>
        </w:rPr>
        <w:t>that involves</w:t>
      </w:r>
      <w:r w:rsidR="00D25525" w:rsidRPr="00CB1AC2">
        <w:rPr>
          <w:sz w:val="24"/>
          <w:szCs w:val="24"/>
        </w:rPr>
        <w:t xml:space="preserve"> </w:t>
      </w:r>
      <w:r w:rsidR="00267BF3">
        <w:rPr>
          <w:sz w:val="24"/>
          <w:szCs w:val="24"/>
        </w:rPr>
        <w:t>civil society</w:t>
      </w:r>
      <w:r w:rsidR="00A47EA2" w:rsidRPr="00CB1AC2">
        <w:rPr>
          <w:sz w:val="24"/>
          <w:szCs w:val="24"/>
        </w:rPr>
        <w:t>.</w:t>
      </w:r>
    </w:p>
    <w:p w14:paraId="7222B313" w14:textId="77777777" w:rsidR="004976C8" w:rsidRDefault="004D2FF7" w:rsidP="00687CC5">
      <w:pPr>
        <w:pStyle w:val="Heading1"/>
        <w:numPr>
          <w:ilvl w:val="0"/>
          <w:numId w:val="15"/>
        </w:numPr>
        <w:tabs>
          <w:tab w:val="clear" w:pos="851"/>
          <w:tab w:val="num" w:pos="971"/>
        </w:tabs>
        <w:ind w:left="971"/>
        <w:rPr>
          <w:sz w:val="36"/>
          <w:szCs w:val="36"/>
        </w:rPr>
      </w:pPr>
      <w:bookmarkStart w:id="67" w:name="_Toc456168870"/>
      <w:r>
        <w:rPr>
          <w:sz w:val="36"/>
          <w:szCs w:val="36"/>
        </w:rPr>
        <w:lastRenderedPageBreak/>
        <w:t>NAP Content</w:t>
      </w:r>
      <w:bookmarkEnd w:id="67"/>
      <w:r w:rsidR="00460C46">
        <w:rPr>
          <w:sz w:val="36"/>
          <w:szCs w:val="36"/>
        </w:rPr>
        <w:t xml:space="preserve"> </w:t>
      </w:r>
      <w:r w:rsidR="00DF44EB">
        <w:rPr>
          <w:sz w:val="36"/>
          <w:szCs w:val="36"/>
        </w:rPr>
        <w:t xml:space="preserve"> </w:t>
      </w:r>
    </w:p>
    <w:p w14:paraId="383CCF06" w14:textId="77777777" w:rsidR="006F2AEF" w:rsidRDefault="00460C46" w:rsidP="00687CC5">
      <w:pPr>
        <w:pStyle w:val="Heading2"/>
        <w:numPr>
          <w:ilvl w:val="1"/>
          <w:numId w:val="15"/>
        </w:numPr>
      </w:pPr>
      <w:bookmarkStart w:id="68" w:name="_Toc456168871"/>
      <w:r>
        <w:t>Overview</w:t>
      </w:r>
      <w:bookmarkEnd w:id="68"/>
    </w:p>
    <w:p w14:paraId="0FDEDB0C" w14:textId="77777777" w:rsidR="00491700" w:rsidRDefault="00491700" w:rsidP="009A2E88">
      <w:pPr>
        <w:rPr>
          <w:rFonts w:cs="Arial"/>
        </w:rPr>
      </w:pPr>
      <w:r>
        <w:rPr>
          <w:rFonts w:cs="Arial"/>
        </w:rPr>
        <w:t>The development of a pro</w:t>
      </w:r>
      <w:r w:rsidR="00292F6E">
        <w:rPr>
          <w:rFonts w:cs="Arial"/>
        </w:rPr>
        <w:t>active, target-driven NAP that a</w:t>
      </w:r>
      <w:r>
        <w:rPr>
          <w:rFonts w:cs="Arial"/>
        </w:rPr>
        <w:t xml:space="preserve">ffects real change is a key priority for civil society. </w:t>
      </w:r>
    </w:p>
    <w:p w14:paraId="738601DF" w14:textId="77777777" w:rsidR="000900A6" w:rsidRPr="000900A6" w:rsidRDefault="00491700" w:rsidP="000900A6">
      <w:pPr>
        <w:pStyle w:val="aaHRLCBodytextakaNormal"/>
        <w:spacing w:before="0" w:after="240" w:line="240" w:lineRule="auto"/>
        <w:rPr>
          <w:sz w:val="24"/>
          <w:szCs w:val="24"/>
        </w:rPr>
      </w:pPr>
      <w:r w:rsidRPr="000900A6">
        <w:rPr>
          <w:rFonts w:eastAsia="MS Mincho" w:cs="Arial"/>
          <w:sz w:val="24"/>
          <w:szCs w:val="24"/>
          <w:lang w:eastAsia="en-AU"/>
        </w:rPr>
        <w:t>In achieving this outcome, i</w:t>
      </w:r>
      <w:r w:rsidR="00912E4A" w:rsidRPr="000900A6">
        <w:rPr>
          <w:rFonts w:eastAsia="MS Mincho" w:cs="Arial"/>
          <w:sz w:val="24"/>
          <w:szCs w:val="24"/>
          <w:lang w:eastAsia="en-AU"/>
        </w:rPr>
        <w:t>t is</w:t>
      </w:r>
      <w:r w:rsidR="00475ADC" w:rsidRPr="000900A6">
        <w:rPr>
          <w:rFonts w:eastAsia="MS Mincho" w:cs="Arial"/>
          <w:sz w:val="24"/>
          <w:szCs w:val="24"/>
          <w:lang w:eastAsia="en-AU"/>
        </w:rPr>
        <w:t xml:space="preserve"> recommend</w:t>
      </w:r>
      <w:r w:rsidR="00912E4A" w:rsidRPr="000900A6">
        <w:rPr>
          <w:rFonts w:eastAsia="MS Mincho" w:cs="Arial"/>
          <w:sz w:val="24"/>
          <w:szCs w:val="24"/>
          <w:lang w:eastAsia="en-AU"/>
        </w:rPr>
        <w:t>ed</w:t>
      </w:r>
      <w:r w:rsidR="00B1243E" w:rsidRPr="000900A6">
        <w:rPr>
          <w:rFonts w:eastAsia="MS Mincho" w:cs="Arial"/>
          <w:sz w:val="24"/>
          <w:szCs w:val="24"/>
          <w:lang w:eastAsia="en-AU"/>
        </w:rPr>
        <w:t xml:space="preserve"> that </w:t>
      </w:r>
      <w:r w:rsidR="00E0418B" w:rsidRPr="000900A6">
        <w:rPr>
          <w:rFonts w:eastAsia="MS Mincho" w:cs="Arial"/>
          <w:sz w:val="24"/>
          <w:szCs w:val="24"/>
          <w:lang w:eastAsia="en-AU"/>
        </w:rPr>
        <w:t xml:space="preserve">the content of a NAP meets </w:t>
      </w:r>
      <w:r w:rsidR="00B1243E" w:rsidRPr="000900A6">
        <w:rPr>
          <w:rFonts w:eastAsia="MS Mincho" w:cs="Arial"/>
          <w:sz w:val="24"/>
          <w:szCs w:val="24"/>
          <w:lang w:eastAsia="en-AU"/>
        </w:rPr>
        <w:t>the following</w:t>
      </w:r>
      <w:r w:rsidR="00B1243E" w:rsidRPr="000900A6">
        <w:rPr>
          <w:sz w:val="24"/>
          <w:szCs w:val="24"/>
        </w:rPr>
        <w:t xml:space="preserve"> c</w:t>
      </w:r>
      <w:r w:rsidR="00E0418B" w:rsidRPr="000900A6">
        <w:rPr>
          <w:sz w:val="24"/>
          <w:szCs w:val="24"/>
        </w:rPr>
        <w:t>riteria</w:t>
      </w:r>
      <w:r w:rsidR="00B1243E" w:rsidRPr="000900A6">
        <w:rPr>
          <w:sz w:val="24"/>
          <w:szCs w:val="24"/>
        </w:rPr>
        <w:t>:</w:t>
      </w:r>
    </w:p>
    <w:p w14:paraId="7702AFC9" w14:textId="77777777" w:rsidR="00E156AC" w:rsidRPr="000900A6" w:rsidRDefault="00E156AC" w:rsidP="000900A6">
      <w:pPr>
        <w:pStyle w:val="aaHRLCBodytextakaNormal"/>
        <w:numPr>
          <w:ilvl w:val="0"/>
          <w:numId w:val="22"/>
        </w:numPr>
        <w:spacing w:before="0" w:line="240" w:lineRule="auto"/>
        <w:rPr>
          <w:sz w:val="24"/>
          <w:szCs w:val="24"/>
        </w:rPr>
      </w:pPr>
      <w:r w:rsidRPr="000900A6">
        <w:rPr>
          <w:sz w:val="24"/>
          <w:szCs w:val="24"/>
        </w:rPr>
        <w:t xml:space="preserve">include </w:t>
      </w:r>
      <w:r w:rsidR="00B1243E" w:rsidRPr="000900A6">
        <w:rPr>
          <w:b/>
          <w:sz w:val="24"/>
          <w:szCs w:val="24"/>
        </w:rPr>
        <w:t>statement</w:t>
      </w:r>
      <w:r w:rsidRPr="000900A6">
        <w:rPr>
          <w:b/>
          <w:sz w:val="24"/>
          <w:szCs w:val="24"/>
        </w:rPr>
        <w:t>s</w:t>
      </w:r>
      <w:r w:rsidRPr="000900A6">
        <w:rPr>
          <w:sz w:val="24"/>
          <w:szCs w:val="24"/>
        </w:rPr>
        <w:t xml:space="preserve"> that:</w:t>
      </w:r>
    </w:p>
    <w:p w14:paraId="3D1EA1E3" w14:textId="77777777" w:rsidR="000900A6" w:rsidRDefault="0069154B" w:rsidP="000900A6">
      <w:pPr>
        <w:pStyle w:val="aaHRLCBodytextakaNormal"/>
        <w:numPr>
          <w:ilvl w:val="1"/>
          <w:numId w:val="22"/>
        </w:numPr>
        <w:spacing w:line="240" w:lineRule="auto"/>
        <w:rPr>
          <w:sz w:val="24"/>
          <w:szCs w:val="24"/>
        </w:rPr>
      </w:pPr>
      <w:r>
        <w:rPr>
          <w:sz w:val="24"/>
          <w:szCs w:val="24"/>
        </w:rPr>
        <w:t>the Australian G</w:t>
      </w:r>
      <w:r w:rsidR="00B1243E" w:rsidRPr="000900A6">
        <w:rPr>
          <w:sz w:val="24"/>
          <w:szCs w:val="24"/>
        </w:rPr>
        <w:t xml:space="preserve">overnment </w:t>
      </w:r>
      <w:r w:rsidR="00E156AC" w:rsidRPr="000900A6">
        <w:rPr>
          <w:sz w:val="24"/>
          <w:szCs w:val="24"/>
        </w:rPr>
        <w:t xml:space="preserve">is committed </w:t>
      </w:r>
      <w:r w:rsidR="00D91C59">
        <w:rPr>
          <w:sz w:val="24"/>
          <w:szCs w:val="24"/>
        </w:rPr>
        <w:t xml:space="preserve">to implementing </w:t>
      </w:r>
      <w:r w:rsidR="006C52B5" w:rsidRPr="000900A6">
        <w:rPr>
          <w:sz w:val="24"/>
          <w:szCs w:val="24"/>
        </w:rPr>
        <w:t xml:space="preserve">the </w:t>
      </w:r>
      <w:r w:rsidR="00B1243E" w:rsidRPr="000900A6">
        <w:rPr>
          <w:sz w:val="24"/>
          <w:szCs w:val="24"/>
        </w:rPr>
        <w:t xml:space="preserve">UNGPs </w:t>
      </w:r>
    </w:p>
    <w:p w14:paraId="5B3562A5" w14:textId="77777777" w:rsidR="000900A6" w:rsidRDefault="00E156AC" w:rsidP="000900A6">
      <w:pPr>
        <w:pStyle w:val="aaHRLCBodytextakaNormal"/>
        <w:numPr>
          <w:ilvl w:val="1"/>
          <w:numId w:val="22"/>
        </w:numPr>
        <w:spacing w:line="240" w:lineRule="auto"/>
        <w:rPr>
          <w:sz w:val="24"/>
          <w:szCs w:val="24"/>
        </w:rPr>
      </w:pPr>
      <w:r w:rsidRPr="000900A6">
        <w:rPr>
          <w:sz w:val="24"/>
          <w:szCs w:val="24"/>
        </w:rPr>
        <w:t xml:space="preserve">Australian </w:t>
      </w:r>
      <w:r w:rsidR="00B1243E" w:rsidRPr="000900A6">
        <w:rPr>
          <w:sz w:val="24"/>
          <w:szCs w:val="24"/>
        </w:rPr>
        <w:t>companies are ex</w:t>
      </w:r>
      <w:r w:rsidR="000A300F">
        <w:rPr>
          <w:sz w:val="24"/>
          <w:szCs w:val="24"/>
        </w:rPr>
        <w:t>pected to respect human rights, at home and overseas,</w:t>
      </w:r>
      <w:r w:rsidR="00B1243E" w:rsidRPr="000900A6">
        <w:rPr>
          <w:sz w:val="24"/>
          <w:szCs w:val="24"/>
        </w:rPr>
        <w:t xml:space="preserve"> and so are their subsidiary</w:t>
      </w:r>
      <w:r w:rsidR="00A05777">
        <w:rPr>
          <w:sz w:val="24"/>
          <w:szCs w:val="24"/>
        </w:rPr>
        <w:t xml:space="preserve"> companies</w:t>
      </w:r>
      <w:r w:rsidR="0069154B">
        <w:rPr>
          <w:sz w:val="24"/>
          <w:szCs w:val="24"/>
        </w:rPr>
        <w:t>,</w:t>
      </w:r>
      <w:r w:rsidR="00A05777">
        <w:rPr>
          <w:sz w:val="24"/>
          <w:szCs w:val="24"/>
        </w:rPr>
        <w:t xml:space="preserve"> wherever operating</w:t>
      </w:r>
    </w:p>
    <w:p w14:paraId="2A164456" w14:textId="77777777" w:rsidR="000316EE" w:rsidRPr="000900A6" w:rsidRDefault="00B1243E" w:rsidP="000900A6">
      <w:pPr>
        <w:pStyle w:val="aaHRLCBodytextakaNormal"/>
        <w:numPr>
          <w:ilvl w:val="1"/>
          <w:numId w:val="22"/>
        </w:numPr>
        <w:spacing w:line="240" w:lineRule="auto"/>
        <w:rPr>
          <w:sz w:val="24"/>
          <w:szCs w:val="24"/>
        </w:rPr>
      </w:pPr>
      <w:r w:rsidRPr="000900A6">
        <w:rPr>
          <w:sz w:val="24"/>
          <w:szCs w:val="24"/>
        </w:rPr>
        <w:t>Australian companies are expected to seek to prevent human rights abuses by other parties with which they are connected</w:t>
      </w:r>
    </w:p>
    <w:p w14:paraId="33485C67" w14:textId="77777777" w:rsidR="00E156AC" w:rsidRPr="000900A6" w:rsidRDefault="000316EE" w:rsidP="000900A6">
      <w:pPr>
        <w:pStyle w:val="aaHRLCBodytextakaNormal"/>
        <w:numPr>
          <w:ilvl w:val="0"/>
          <w:numId w:val="22"/>
        </w:numPr>
        <w:spacing w:line="240" w:lineRule="auto"/>
        <w:rPr>
          <w:sz w:val="24"/>
          <w:szCs w:val="24"/>
        </w:rPr>
      </w:pPr>
      <w:r w:rsidRPr="000900A6">
        <w:rPr>
          <w:sz w:val="24"/>
          <w:szCs w:val="24"/>
        </w:rPr>
        <w:t xml:space="preserve">ensure </w:t>
      </w:r>
      <w:r w:rsidR="00BB4D84">
        <w:rPr>
          <w:sz w:val="24"/>
          <w:szCs w:val="24"/>
        </w:rPr>
        <w:t xml:space="preserve">that the </w:t>
      </w:r>
      <w:r w:rsidRPr="000900A6">
        <w:rPr>
          <w:sz w:val="24"/>
          <w:szCs w:val="24"/>
        </w:rPr>
        <w:t xml:space="preserve">NAP </w:t>
      </w:r>
      <w:r w:rsidR="00033F3D">
        <w:rPr>
          <w:sz w:val="24"/>
          <w:szCs w:val="24"/>
        </w:rPr>
        <w:t>is founded on</w:t>
      </w:r>
      <w:r w:rsidRPr="000900A6">
        <w:rPr>
          <w:sz w:val="24"/>
          <w:szCs w:val="24"/>
        </w:rPr>
        <w:t xml:space="preserve"> </w:t>
      </w:r>
      <w:r w:rsidR="00BB4D84">
        <w:rPr>
          <w:sz w:val="24"/>
          <w:szCs w:val="24"/>
        </w:rPr>
        <w:t xml:space="preserve">the </w:t>
      </w:r>
      <w:r w:rsidRPr="000900A6">
        <w:rPr>
          <w:b/>
          <w:sz w:val="24"/>
          <w:szCs w:val="24"/>
        </w:rPr>
        <w:t>UNGPs</w:t>
      </w:r>
      <w:r w:rsidRPr="000900A6">
        <w:rPr>
          <w:sz w:val="24"/>
          <w:szCs w:val="24"/>
        </w:rPr>
        <w:t>;</w:t>
      </w:r>
    </w:p>
    <w:p w14:paraId="7A0DA7FE" w14:textId="77777777" w:rsidR="000316EE" w:rsidRPr="00BB4D84" w:rsidRDefault="000900A6" w:rsidP="000900A6">
      <w:pPr>
        <w:pStyle w:val="aaHRLCBodytextakaNormal"/>
        <w:numPr>
          <w:ilvl w:val="0"/>
          <w:numId w:val="22"/>
        </w:numPr>
        <w:spacing w:line="240" w:lineRule="auto"/>
        <w:rPr>
          <w:sz w:val="24"/>
          <w:szCs w:val="24"/>
        </w:rPr>
      </w:pPr>
      <w:r w:rsidRPr="000900A6">
        <w:rPr>
          <w:b/>
          <w:sz w:val="24"/>
          <w:szCs w:val="24"/>
        </w:rPr>
        <w:t>a</w:t>
      </w:r>
      <w:r w:rsidR="006C52B5" w:rsidRPr="000900A6">
        <w:rPr>
          <w:b/>
          <w:sz w:val="24"/>
          <w:szCs w:val="24"/>
        </w:rPr>
        <w:t>ddress</w:t>
      </w:r>
      <w:r w:rsidR="00B1243E" w:rsidRPr="000900A6">
        <w:rPr>
          <w:b/>
          <w:sz w:val="24"/>
          <w:szCs w:val="24"/>
        </w:rPr>
        <w:t xml:space="preserve"> gaps</w:t>
      </w:r>
      <w:r w:rsidR="00B1243E" w:rsidRPr="000900A6">
        <w:rPr>
          <w:sz w:val="24"/>
          <w:szCs w:val="24"/>
        </w:rPr>
        <w:t xml:space="preserve"> in domestic </w:t>
      </w:r>
      <w:r w:rsidR="00E156AC" w:rsidRPr="000900A6">
        <w:rPr>
          <w:sz w:val="24"/>
          <w:szCs w:val="24"/>
        </w:rPr>
        <w:t>frameworks</w:t>
      </w:r>
      <w:r w:rsidR="0069154B">
        <w:rPr>
          <w:sz w:val="24"/>
          <w:szCs w:val="24"/>
        </w:rPr>
        <w:t xml:space="preserve">, </w:t>
      </w:r>
      <w:r w:rsidR="00BB4D84">
        <w:rPr>
          <w:sz w:val="24"/>
          <w:szCs w:val="24"/>
        </w:rPr>
        <w:t xml:space="preserve">as </w:t>
      </w:r>
      <w:r w:rsidR="004F2339" w:rsidRPr="000900A6">
        <w:rPr>
          <w:sz w:val="24"/>
          <w:szCs w:val="24"/>
        </w:rPr>
        <w:t xml:space="preserve">identified by a </w:t>
      </w:r>
      <w:r w:rsidR="0069154B">
        <w:rPr>
          <w:sz w:val="24"/>
          <w:szCs w:val="24"/>
        </w:rPr>
        <w:t>NBA</w:t>
      </w:r>
      <w:r w:rsidR="00B1243E" w:rsidRPr="000900A6">
        <w:rPr>
          <w:sz w:val="24"/>
          <w:szCs w:val="24"/>
        </w:rPr>
        <w:t>;</w:t>
      </w:r>
      <w:r w:rsidR="00E156AC" w:rsidRPr="000900A6">
        <w:rPr>
          <w:sz w:val="24"/>
          <w:szCs w:val="24"/>
        </w:rPr>
        <w:t xml:space="preserve"> </w:t>
      </w:r>
    </w:p>
    <w:p w14:paraId="78F2AD89" w14:textId="77777777" w:rsidR="00E156AC" w:rsidRPr="000900A6" w:rsidRDefault="000316EE" w:rsidP="000900A6">
      <w:pPr>
        <w:pStyle w:val="aaHRLCBodytextakaNormal"/>
        <w:numPr>
          <w:ilvl w:val="0"/>
          <w:numId w:val="22"/>
        </w:numPr>
        <w:spacing w:line="240" w:lineRule="auto"/>
        <w:rPr>
          <w:sz w:val="24"/>
          <w:szCs w:val="24"/>
        </w:rPr>
      </w:pPr>
      <w:r w:rsidRPr="000900A6">
        <w:rPr>
          <w:sz w:val="24"/>
          <w:szCs w:val="24"/>
        </w:rPr>
        <w:t xml:space="preserve">address and protect the human rights of all members of society, particularly </w:t>
      </w:r>
      <w:r w:rsidR="00EB5F5A">
        <w:rPr>
          <w:sz w:val="24"/>
          <w:szCs w:val="24"/>
        </w:rPr>
        <w:t xml:space="preserve">groups experiencing </w:t>
      </w:r>
      <w:r w:rsidRPr="000900A6">
        <w:rPr>
          <w:b/>
          <w:sz w:val="24"/>
          <w:szCs w:val="24"/>
        </w:rPr>
        <w:t>vulnerab</w:t>
      </w:r>
      <w:r w:rsidR="00EB5F5A">
        <w:rPr>
          <w:b/>
          <w:sz w:val="24"/>
          <w:szCs w:val="24"/>
        </w:rPr>
        <w:t>i</w:t>
      </w:r>
      <w:r w:rsidRPr="000900A6">
        <w:rPr>
          <w:b/>
          <w:sz w:val="24"/>
          <w:szCs w:val="24"/>
        </w:rPr>
        <w:t>l</w:t>
      </w:r>
      <w:r w:rsidR="00EB5F5A">
        <w:rPr>
          <w:b/>
          <w:sz w:val="24"/>
          <w:szCs w:val="24"/>
        </w:rPr>
        <w:t>ity</w:t>
      </w:r>
      <w:r w:rsidRPr="000900A6">
        <w:rPr>
          <w:b/>
          <w:sz w:val="24"/>
          <w:szCs w:val="24"/>
        </w:rPr>
        <w:t xml:space="preserve"> </w:t>
      </w:r>
      <w:r w:rsidR="0069154B">
        <w:rPr>
          <w:sz w:val="24"/>
          <w:szCs w:val="24"/>
        </w:rPr>
        <w:t>i</w:t>
      </w:r>
      <w:r w:rsidRPr="000900A6">
        <w:rPr>
          <w:sz w:val="24"/>
          <w:szCs w:val="24"/>
        </w:rPr>
        <w:t>ncluding human ri</w:t>
      </w:r>
      <w:r w:rsidR="0069154B">
        <w:rPr>
          <w:sz w:val="24"/>
          <w:szCs w:val="24"/>
        </w:rPr>
        <w:t xml:space="preserve">ghts defenders </w:t>
      </w:r>
      <w:r w:rsidRPr="000900A6">
        <w:rPr>
          <w:sz w:val="24"/>
          <w:szCs w:val="24"/>
        </w:rPr>
        <w:t>and those facing discrimination</w:t>
      </w:r>
      <w:r w:rsidR="00304EF9">
        <w:rPr>
          <w:sz w:val="24"/>
          <w:szCs w:val="24"/>
        </w:rPr>
        <w:t>;</w:t>
      </w:r>
      <w:r w:rsidR="00AC4F6E">
        <w:rPr>
          <w:rStyle w:val="EndnoteReference"/>
          <w:szCs w:val="24"/>
        </w:rPr>
        <w:endnoteReference w:id="13"/>
      </w:r>
    </w:p>
    <w:p w14:paraId="10F86120" w14:textId="77777777" w:rsidR="00E156AC" w:rsidRPr="000900A6" w:rsidRDefault="00E156AC" w:rsidP="000900A6">
      <w:pPr>
        <w:pStyle w:val="aaHRLCBodytextakaNormal"/>
        <w:numPr>
          <w:ilvl w:val="0"/>
          <w:numId w:val="22"/>
        </w:numPr>
        <w:spacing w:line="240" w:lineRule="auto"/>
        <w:rPr>
          <w:sz w:val="24"/>
          <w:szCs w:val="24"/>
        </w:rPr>
      </w:pPr>
      <w:r w:rsidRPr="000900A6">
        <w:rPr>
          <w:sz w:val="24"/>
          <w:szCs w:val="24"/>
        </w:rPr>
        <w:t xml:space="preserve">include Australia's </w:t>
      </w:r>
      <w:r w:rsidRPr="000900A6">
        <w:rPr>
          <w:b/>
          <w:sz w:val="24"/>
          <w:szCs w:val="24"/>
        </w:rPr>
        <w:t>national priorities</w:t>
      </w:r>
      <w:r w:rsidRPr="000900A6">
        <w:rPr>
          <w:sz w:val="24"/>
          <w:szCs w:val="24"/>
        </w:rPr>
        <w:t xml:space="preserve"> for action;</w:t>
      </w:r>
    </w:p>
    <w:p w14:paraId="23B2C1F2" w14:textId="77777777" w:rsidR="00681189" w:rsidRPr="000900A6" w:rsidRDefault="00B1243E" w:rsidP="000900A6">
      <w:pPr>
        <w:pStyle w:val="aaHRLCBodytextakaNormal"/>
        <w:numPr>
          <w:ilvl w:val="0"/>
          <w:numId w:val="22"/>
        </w:numPr>
        <w:spacing w:line="240" w:lineRule="auto"/>
        <w:rPr>
          <w:sz w:val="24"/>
          <w:szCs w:val="24"/>
        </w:rPr>
      </w:pPr>
      <w:r w:rsidRPr="000900A6">
        <w:rPr>
          <w:sz w:val="24"/>
          <w:szCs w:val="24"/>
        </w:rPr>
        <w:t xml:space="preserve">include specific, </w:t>
      </w:r>
      <w:r w:rsidRPr="000900A6">
        <w:rPr>
          <w:b/>
          <w:sz w:val="24"/>
          <w:szCs w:val="24"/>
        </w:rPr>
        <w:t xml:space="preserve">forward-looking </w:t>
      </w:r>
      <w:r w:rsidR="00E156AC" w:rsidRPr="000900A6">
        <w:rPr>
          <w:b/>
          <w:sz w:val="24"/>
          <w:szCs w:val="24"/>
        </w:rPr>
        <w:t>targets</w:t>
      </w:r>
      <w:r w:rsidR="004F2339" w:rsidRPr="000900A6">
        <w:rPr>
          <w:sz w:val="24"/>
          <w:szCs w:val="24"/>
        </w:rPr>
        <w:t>;</w:t>
      </w:r>
    </w:p>
    <w:p w14:paraId="1BC73908" w14:textId="77777777" w:rsidR="006C52B5" w:rsidRPr="000900A6" w:rsidRDefault="00681189" w:rsidP="000900A6">
      <w:pPr>
        <w:pStyle w:val="aaHRLCBodytextakaNormal"/>
        <w:numPr>
          <w:ilvl w:val="0"/>
          <w:numId w:val="22"/>
        </w:numPr>
        <w:spacing w:line="240" w:lineRule="auto"/>
        <w:rPr>
          <w:sz w:val="24"/>
          <w:szCs w:val="24"/>
        </w:rPr>
      </w:pPr>
      <w:r w:rsidRPr="000900A6">
        <w:rPr>
          <w:sz w:val="24"/>
          <w:szCs w:val="24"/>
        </w:rPr>
        <w:t xml:space="preserve">encourage and support corporate </w:t>
      </w:r>
      <w:r w:rsidRPr="000900A6">
        <w:rPr>
          <w:b/>
          <w:sz w:val="24"/>
          <w:szCs w:val="24"/>
        </w:rPr>
        <w:t>human rights due diligence</w:t>
      </w:r>
      <w:r w:rsidRPr="000900A6">
        <w:rPr>
          <w:sz w:val="24"/>
          <w:szCs w:val="24"/>
        </w:rPr>
        <w:t>;</w:t>
      </w:r>
    </w:p>
    <w:p w14:paraId="44E3B2C2" w14:textId="77777777" w:rsidR="000316EE" w:rsidRPr="000900A6" w:rsidRDefault="00D85C2B" w:rsidP="000900A6">
      <w:pPr>
        <w:pStyle w:val="aaHRLCBodytextakaNormal"/>
        <w:numPr>
          <w:ilvl w:val="0"/>
          <w:numId w:val="22"/>
        </w:numPr>
        <w:spacing w:line="240" w:lineRule="auto"/>
        <w:rPr>
          <w:sz w:val="24"/>
          <w:szCs w:val="24"/>
        </w:rPr>
      </w:pPr>
      <w:r w:rsidRPr="000900A6">
        <w:rPr>
          <w:sz w:val="24"/>
          <w:szCs w:val="24"/>
        </w:rPr>
        <w:t>encourage</w:t>
      </w:r>
      <w:r w:rsidR="006C52B5" w:rsidRPr="000900A6">
        <w:rPr>
          <w:sz w:val="24"/>
          <w:szCs w:val="24"/>
        </w:rPr>
        <w:t xml:space="preserve"> corporate </w:t>
      </w:r>
      <w:r w:rsidR="00B1243E" w:rsidRPr="000900A6">
        <w:rPr>
          <w:b/>
          <w:sz w:val="24"/>
          <w:szCs w:val="24"/>
        </w:rPr>
        <w:t>report</w:t>
      </w:r>
      <w:r w:rsidR="006C52B5" w:rsidRPr="000900A6">
        <w:rPr>
          <w:b/>
          <w:sz w:val="24"/>
          <w:szCs w:val="24"/>
        </w:rPr>
        <w:t>ing</w:t>
      </w:r>
      <w:r w:rsidR="00B1243E" w:rsidRPr="000900A6">
        <w:rPr>
          <w:sz w:val="24"/>
          <w:szCs w:val="24"/>
        </w:rPr>
        <w:t xml:space="preserve"> on human rights issues and enhanced transparency regimes;</w:t>
      </w:r>
      <w:r w:rsidR="008D5353" w:rsidRPr="000900A6">
        <w:rPr>
          <w:rStyle w:val="EndnoteReference"/>
          <w:rFonts w:eastAsia="MS Mincho"/>
          <w:lang w:eastAsia="en-AU"/>
        </w:rPr>
        <w:endnoteReference w:id="14"/>
      </w:r>
      <w:r w:rsidR="000316EE" w:rsidRPr="000900A6">
        <w:rPr>
          <w:rStyle w:val="EndnoteReference"/>
          <w:rFonts w:eastAsia="MS Mincho"/>
          <w:lang w:eastAsia="en-AU"/>
        </w:rPr>
        <w:t xml:space="preserve"> </w:t>
      </w:r>
    </w:p>
    <w:p w14:paraId="6E4DA7EC" w14:textId="77777777" w:rsidR="00D85C2B" w:rsidRPr="000900A6" w:rsidRDefault="000316EE" w:rsidP="000900A6">
      <w:pPr>
        <w:pStyle w:val="aaHRLCBodytextakaNormal"/>
        <w:numPr>
          <w:ilvl w:val="0"/>
          <w:numId w:val="22"/>
        </w:numPr>
        <w:spacing w:line="240" w:lineRule="auto"/>
        <w:rPr>
          <w:sz w:val="24"/>
          <w:szCs w:val="24"/>
        </w:rPr>
      </w:pPr>
      <w:r w:rsidRPr="000900A6">
        <w:rPr>
          <w:sz w:val="24"/>
          <w:szCs w:val="24"/>
        </w:rPr>
        <w:t>address</w:t>
      </w:r>
      <w:r w:rsidR="007F785C">
        <w:rPr>
          <w:sz w:val="24"/>
          <w:szCs w:val="24"/>
        </w:rPr>
        <w:t xml:space="preserve"> the</w:t>
      </w:r>
      <w:r w:rsidRPr="000900A6">
        <w:rPr>
          <w:sz w:val="24"/>
          <w:szCs w:val="24"/>
        </w:rPr>
        <w:t xml:space="preserve"> role of the</w:t>
      </w:r>
      <w:r w:rsidRPr="000900A6">
        <w:rPr>
          <w:b/>
          <w:sz w:val="24"/>
          <w:szCs w:val="24"/>
        </w:rPr>
        <w:t xml:space="preserve"> State as </w:t>
      </w:r>
      <w:r w:rsidR="00E43495" w:rsidRPr="000900A6">
        <w:rPr>
          <w:b/>
          <w:sz w:val="24"/>
          <w:szCs w:val="24"/>
        </w:rPr>
        <w:t>a</w:t>
      </w:r>
      <w:r w:rsidRPr="000900A6">
        <w:rPr>
          <w:b/>
          <w:sz w:val="24"/>
          <w:szCs w:val="24"/>
        </w:rPr>
        <w:t>n economic actor</w:t>
      </w:r>
      <w:r w:rsidRPr="000900A6">
        <w:rPr>
          <w:sz w:val="24"/>
          <w:szCs w:val="24"/>
        </w:rPr>
        <w:t>; a</w:t>
      </w:r>
      <w:r w:rsidR="00E43495" w:rsidRPr="000900A6">
        <w:rPr>
          <w:sz w:val="24"/>
          <w:szCs w:val="24"/>
        </w:rPr>
        <w:t>nd</w:t>
      </w:r>
    </w:p>
    <w:p w14:paraId="342FF4B5" w14:textId="77777777" w:rsidR="00D85C2B" w:rsidRPr="000900A6" w:rsidRDefault="00B1243E" w:rsidP="000900A6">
      <w:pPr>
        <w:pStyle w:val="aaHRLCBodytextakaNormal"/>
        <w:numPr>
          <w:ilvl w:val="0"/>
          <w:numId w:val="22"/>
        </w:numPr>
        <w:spacing w:line="240" w:lineRule="auto"/>
        <w:rPr>
          <w:sz w:val="24"/>
          <w:szCs w:val="24"/>
        </w:rPr>
      </w:pPr>
      <w:r w:rsidRPr="000900A6">
        <w:rPr>
          <w:sz w:val="24"/>
          <w:szCs w:val="24"/>
        </w:rPr>
        <w:t xml:space="preserve">adequately address </w:t>
      </w:r>
      <w:r w:rsidR="000316EE" w:rsidRPr="000900A6">
        <w:rPr>
          <w:sz w:val="24"/>
          <w:szCs w:val="24"/>
        </w:rPr>
        <w:t xml:space="preserve">access to </w:t>
      </w:r>
      <w:r w:rsidR="000316EE" w:rsidRPr="000900A6">
        <w:rPr>
          <w:b/>
          <w:sz w:val="24"/>
          <w:szCs w:val="24"/>
        </w:rPr>
        <w:t>remedy</w:t>
      </w:r>
      <w:r w:rsidR="0069154B">
        <w:rPr>
          <w:sz w:val="24"/>
          <w:szCs w:val="24"/>
        </w:rPr>
        <w:t xml:space="preserve"> </w:t>
      </w:r>
      <w:r w:rsidRPr="000900A6">
        <w:rPr>
          <w:sz w:val="24"/>
          <w:szCs w:val="24"/>
        </w:rPr>
        <w:t>in cases where companies</w:t>
      </w:r>
      <w:r w:rsidR="0069154B">
        <w:rPr>
          <w:sz w:val="24"/>
          <w:szCs w:val="24"/>
        </w:rPr>
        <w:t xml:space="preserve"> adversely impact human rights</w:t>
      </w:r>
      <w:r w:rsidR="000316EE" w:rsidRPr="000900A6">
        <w:rPr>
          <w:sz w:val="24"/>
          <w:szCs w:val="24"/>
        </w:rPr>
        <w:t>.</w:t>
      </w:r>
    </w:p>
    <w:p w14:paraId="2ECB93DB" w14:textId="77777777" w:rsidR="009F2764" w:rsidRPr="004976C8" w:rsidRDefault="003363CB" w:rsidP="00687CC5">
      <w:pPr>
        <w:pStyle w:val="Heading2"/>
        <w:numPr>
          <w:ilvl w:val="1"/>
          <w:numId w:val="15"/>
        </w:numPr>
        <w:rPr>
          <w:sz w:val="36"/>
          <w:szCs w:val="36"/>
        </w:rPr>
      </w:pPr>
      <w:bookmarkStart w:id="69" w:name="_Toc456168872"/>
      <w:r>
        <w:t xml:space="preserve">The State Duty to Protect Human Rights (Pillar </w:t>
      </w:r>
      <w:r w:rsidR="009F2764" w:rsidRPr="0010508C">
        <w:t>1</w:t>
      </w:r>
      <w:r>
        <w:t>)</w:t>
      </w:r>
      <w:bookmarkEnd w:id="60"/>
      <w:bookmarkEnd w:id="61"/>
      <w:bookmarkEnd w:id="62"/>
      <w:bookmarkEnd w:id="69"/>
    </w:p>
    <w:p w14:paraId="52F3F2B4" w14:textId="77777777" w:rsidR="00657E3D" w:rsidRDefault="00017B50" w:rsidP="00657E3D">
      <w:pPr>
        <w:pStyle w:val="ListParagraph"/>
        <w:numPr>
          <w:ilvl w:val="2"/>
          <w:numId w:val="15"/>
        </w:numPr>
        <w:spacing w:before="0" w:after="160"/>
      </w:pPr>
      <w:r w:rsidRPr="007E4AAA">
        <w:rPr>
          <w:b/>
          <w:i/>
        </w:rPr>
        <w:t>General</w:t>
      </w:r>
    </w:p>
    <w:p w14:paraId="73B2BB6E" w14:textId="77777777" w:rsidR="008A77AA" w:rsidRDefault="00E07A47" w:rsidP="00CF259C">
      <w:pPr>
        <w:spacing w:before="0" w:after="160"/>
      </w:pPr>
      <w:r>
        <w:t>Under</w:t>
      </w:r>
      <w:r w:rsidR="00047CF6">
        <w:t xml:space="preserve"> international human rights law and</w:t>
      </w:r>
      <w:r>
        <w:t xml:space="preserve"> the UNGPs, States are required to protect human rights from business-related abuse.</w:t>
      </w:r>
      <w:r>
        <w:rPr>
          <w:rStyle w:val="EndnoteReference"/>
        </w:rPr>
        <w:endnoteReference w:id="15"/>
      </w:r>
      <w:r>
        <w:t xml:space="preserve"> </w:t>
      </w:r>
      <w:r w:rsidR="005216A2">
        <w:t>T</w:t>
      </w:r>
      <w:r w:rsidR="00EF7213">
        <w:t>o meet t</w:t>
      </w:r>
      <w:r w:rsidR="005216A2">
        <w:t>his obligation</w:t>
      </w:r>
      <w:r w:rsidR="00EF7213">
        <w:t>, States should</w:t>
      </w:r>
      <w:r w:rsidR="005216A2">
        <w:t xml:space="preserve"> </w:t>
      </w:r>
      <w:r w:rsidR="00517017">
        <w:t xml:space="preserve">consider </w:t>
      </w:r>
      <w:r w:rsidR="00EF7213">
        <w:t>implement</w:t>
      </w:r>
      <w:r w:rsidR="00517017">
        <w:t>ing</w:t>
      </w:r>
      <w:r w:rsidR="005216A2">
        <w:t xml:space="preserve"> </w:t>
      </w:r>
      <w:r w:rsidRPr="00E07A47">
        <w:t>pre</w:t>
      </w:r>
      <w:r w:rsidR="005216A2">
        <w:t xml:space="preserve">ventative and remedial measures </w:t>
      </w:r>
      <w:r w:rsidRPr="00E07A47">
        <w:t>including policies, legislation, regulations and adjudication</w:t>
      </w:r>
      <w:r w:rsidR="005216A2">
        <w:t>.</w:t>
      </w:r>
      <w:r w:rsidR="00587A3A">
        <w:rPr>
          <w:rStyle w:val="EndnoteReference"/>
        </w:rPr>
        <w:endnoteReference w:id="16"/>
      </w:r>
      <w:r w:rsidR="005216A2">
        <w:t xml:space="preserve"> </w:t>
      </w:r>
    </w:p>
    <w:p w14:paraId="2ACD5536" w14:textId="77777777" w:rsidR="006F0BD6" w:rsidRDefault="00426DC2" w:rsidP="00511F52">
      <w:pPr>
        <w:spacing w:before="0" w:after="0"/>
      </w:pPr>
      <w:r>
        <w:t xml:space="preserve">Civil society considers </w:t>
      </w:r>
      <w:r w:rsidR="006168B2">
        <w:t xml:space="preserve">the following to be </w:t>
      </w:r>
      <w:r>
        <w:t>k</w:t>
      </w:r>
      <w:r w:rsidR="006F0BD6">
        <w:t xml:space="preserve">ey mechanisms </w:t>
      </w:r>
      <w:r w:rsidR="006168B2">
        <w:t xml:space="preserve">through which the </w:t>
      </w:r>
      <w:r w:rsidR="006D16D0">
        <w:t xml:space="preserve">Australian </w:t>
      </w:r>
      <w:r w:rsidR="006168B2">
        <w:t>Government can discharge</w:t>
      </w:r>
      <w:r w:rsidR="00623B72">
        <w:t xml:space="preserve"> </w:t>
      </w:r>
      <w:r w:rsidR="006168B2">
        <w:t xml:space="preserve">its </w:t>
      </w:r>
      <w:r w:rsidR="006F0BD6">
        <w:t>duty to protect human rights under the UNGPs:</w:t>
      </w:r>
    </w:p>
    <w:p w14:paraId="224AC1F9" w14:textId="77777777" w:rsidR="006F2AEF" w:rsidRDefault="006F2AEF" w:rsidP="00511F52">
      <w:pPr>
        <w:spacing w:before="0" w:after="0"/>
      </w:pPr>
    </w:p>
    <w:p w14:paraId="290040A1" w14:textId="77777777" w:rsidR="00FF4590" w:rsidRPr="000B1001" w:rsidRDefault="006168B2" w:rsidP="00511F52">
      <w:pPr>
        <w:pStyle w:val="aaHRLCBodytextakaNormal"/>
        <w:numPr>
          <w:ilvl w:val="0"/>
          <w:numId w:val="22"/>
        </w:numPr>
        <w:spacing w:before="0" w:line="240" w:lineRule="auto"/>
        <w:rPr>
          <w:sz w:val="24"/>
          <w:szCs w:val="24"/>
        </w:rPr>
      </w:pPr>
      <w:r w:rsidRPr="000B1001">
        <w:rPr>
          <w:sz w:val="24"/>
          <w:szCs w:val="24"/>
        </w:rPr>
        <w:t>e</w:t>
      </w:r>
      <w:r w:rsidR="006F2AEF" w:rsidRPr="000B1001">
        <w:rPr>
          <w:sz w:val="24"/>
          <w:szCs w:val="24"/>
        </w:rPr>
        <w:t>ducation</w:t>
      </w:r>
      <w:r w:rsidRPr="000B1001">
        <w:rPr>
          <w:sz w:val="24"/>
          <w:szCs w:val="24"/>
        </w:rPr>
        <w:t>, training</w:t>
      </w:r>
      <w:r w:rsidR="006F2AEF" w:rsidRPr="000B1001">
        <w:rPr>
          <w:sz w:val="24"/>
          <w:szCs w:val="24"/>
        </w:rPr>
        <w:t xml:space="preserve"> and awareness</w:t>
      </w:r>
      <w:r w:rsidR="00426DC2" w:rsidRPr="000B1001">
        <w:rPr>
          <w:sz w:val="24"/>
          <w:szCs w:val="24"/>
        </w:rPr>
        <w:t>-raising</w:t>
      </w:r>
      <w:r w:rsidR="006F2AEF" w:rsidRPr="000B1001">
        <w:rPr>
          <w:sz w:val="24"/>
          <w:szCs w:val="24"/>
        </w:rPr>
        <w:t xml:space="preserve"> </w:t>
      </w:r>
      <w:r w:rsidRPr="000B1001">
        <w:rPr>
          <w:sz w:val="24"/>
          <w:szCs w:val="24"/>
        </w:rPr>
        <w:t>programs</w:t>
      </w:r>
      <w:r w:rsidR="00072DDD" w:rsidRPr="000B1001">
        <w:rPr>
          <w:sz w:val="24"/>
          <w:szCs w:val="24"/>
        </w:rPr>
        <w:t>;</w:t>
      </w:r>
    </w:p>
    <w:p w14:paraId="09BC2BCB" w14:textId="77777777" w:rsidR="00FF4590" w:rsidRPr="000B1001" w:rsidRDefault="008A77AA" w:rsidP="00687CC5">
      <w:pPr>
        <w:pStyle w:val="aaHRLCBodytextakaNormal"/>
        <w:numPr>
          <w:ilvl w:val="0"/>
          <w:numId w:val="22"/>
        </w:numPr>
        <w:spacing w:line="240" w:lineRule="auto"/>
        <w:rPr>
          <w:sz w:val="24"/>
          <w:szCs w:val="24"/>
        </w:rPr>
      </w:pPr>
      <w:r w:rsidRPr="000B1001">
        <w:rPr>
          <w:sz w:val="24"/>
          <w:szCs w:val="24"/>
        </w:rPr>
        <w:lastRenderedPageBreak/>
        <w:t>r</w:t>
      </w:r>
      <w:r w:rsidR="00426DC2" w:rsidRPr="000B1001">
        <w:rPr>
          <w:sz w:val="24"/>
          <w:szCs w:val="24"/>
        </w:rPr>
        <w:t>egulation</w:t>
      </w:r>
      <w:r w:rsidR="00072DDD" w:rsidRPr="000B1001">
        <w:rPr>
          <w:sz w:val="24"/>
          <w:szCs w:val="24"/>
        </w:rPr>
        <w:t>; and</w:t>
      </w:r>
    </w:p>
    <w:p w14:paraId="12E8D348" w14:textId="77777777" w:rsidR="0026065B" w:rsidRPr="000B1001" w:rsidRDefault="00A31224" w:rsidP="00687CC5">
      <w:pPr>
        <w:pStyle w:val="aaHRLCBodytextakaNormal"/>
        <w:numPr>
          <w:ilvl w:val="0"/>
          <w:numId w:val="22"/>
        </w:numPr>
        <w:spacing w:line="240" w:lineRule="auto"/>
        <w:rPr>
          <w:sz w:val="24"/>
          <w:szCs w:val="24"/>
        </w:rPr>
      </w:pPr>
      <w:r w:rsidRPr="000B1001">
        <w:rPr>
          <w:sz w:val="24"/>
          <w:szCs w:val="24"/>
        </w:rPr>
        <w:t>public</w:t>
      </w:r>
      <w:r w:rsidR="0026065B" w:rsidRPr="000B1001">
        <w:rPr>
          <w:sz w:val="24"/>
          <w:szCs w:val="24"/>
        </w:rPr>
        <w:t xml:space="preserve"> procurement practices</w:t>
      </w:r>
      <w:r w:rsidR="00072DDD" w:rsidRPr="000B1001">
        <w:rPr>
          <w:sz w:val="24"/>
          <w:szCs w:val="24"/>
        </w:rPr>
        <w:t>.</w:t>
      </w:r>
    </w:p>
    <w:p w14:paraId="08FE1E0B" w14:textId="77777777" w:rsidR="00017B50" w:rsidRDefault="00017B50" w:rsidP="009A2E88">
      <w:pPr>
        <w:pStyle w:val="ListParagraph"/>
        <w:spacing w:before="0" w:after="0"/>
      </w:pPr>
    </w:p>
    <w:p w14:paraId="17D337E8" w14:textId="77777777" w:rsidR="00CE788F" w:rsidRPr="00B07B09" w:rsidRDefault="00CE788F" w:rsidP="00687CC5">
      <w:pPr>
        <w:pStyle w:val="ListParagraph"/>
        <w:numPr>
          <w:ilvl w:val="2"/>
          <w:numId w:val="15"/>
        </w:numPr>
        <w:spacing w:before="0" w:after="160"/>
      </w:pPr>
      <w:r w:rsidRPr="007E4AAA">
        <w:rPr>
          <w:b/>
          <w:i/>
        </w:rPr>
        <w:t>H</w:t>
      </w:r>
      <w:r w:rsidR="004C6087" w:rsidRPr="007E4AAA">
        <w:rPr>
          <w:b/>
          <w:i/>
        </w:rPr>
        <w:t xml:space="preserve">uman </w:t>
      </w:r>
      <w:r w:rsidR="00D27AA6">
        <w:rPr>
          <w:b/>
          <w:i/>
        </w:rPr>
        <w:t>r</w:t>
      </w:r>
      <w:r w:rsidR="004C6087" w:rsidRPr="007E4AAA">
        <w:rPr>
          <w:b/>
          <w:i/>
        </w:rPr>
        <w:t>ights-related</w:t>
      </w:r>
      <w:r w:rsidR="00D27AA6">
        <w:rPr>
          <w:b/>
          <w:i/>
        </w:rPr>
        <w:t xml:space="preserve"> r</w:t>
      </w:r>
      <w:r w:rsidRPr="007E4AAA">
        <w:rPr>
          <w:b/>
          <w:i/>
        </w:rPr>
        <w:t>egulation</w:t>
      </w:r>
    </w:p>
    <w:p w14:paraId="1D1483B1" w14:textId="77777777" w:rsidR="00EC6242" w:rsidRDefault="00CE788F" w:rsidP="00687CC5">
      <w:pPr>
        <w:pStyle w:val="Heading4"/>
        <w:numPr>
          <w:ilvl w:val="3"/>
          <w:numId w:val="21"/>
        </w:numPr>
      </w:pPr>
      <w:bookmarkStart w:id="70" w:name="_Toc454973538"/>
      <w:bookmarkStart w:id="71" w:name="_Toc455580919"/>
      <w:bookmarkStart w:id="72" w:name="_Toc455588124"/>
      <w:bookmarkStart w:id="73" w:name="_Toc456168873"/>
      <w:r w:rsidRPr="00511F52">
        <w:rPr>
          <w:b/>
          <w:i/>
        </w:rPr>
        <w:t>Domestic</w:t>
      </w:r>
      <w:bookmarkEnd w:id="70"/>
      <w:bookmarkEnd w:id="71"/>
      <w:bookmarkEnd w:id="72"/>
      <w:bookmarkEnd w:id="73"/>
    </w:p>
    <w:p w14:paraId="370CF0EC" w14:textId="77777777" w:rsidR="00585F79" w:rsidRDefault="00623B72" w:rsidP="00657E3D">
      <w:pPr>
        <w:pStyle w:val="Heading4"/>
        <w:numPr>
          <w:ilvl w:val="0"/>
          <w:numId w:val="0"/>
        </w:numPr>
        <w:spacing w:before="0"/>
      </w:pPr>
      <w:bookmarkStart w:id="74" w:name="_Toc454973540"/>
      <w:bookmarkStart w:id="75" w:name="_Toc455050932"/>
      <w:bookmarkStart w:id="76" w:name="_Toc455580920"/>
      <w:bookmarkStart w:id="77" w:name="_Toc455588125"/>
      <w:bookmarkStart w:id="78" w:name="_Toc456168874"/>
      <w:bookmarkStart w:id="79" w:name="_Toc453936984"/>
      <w:bookmarkStart w:id="80" w:name="_Toc453943136"/>
      <w:r>
        <w:t>It is recommended that</w:t>
      </w:r>
      <w:r w:rsidR="00836F2B">
        <w:t>,</w:t>
      </w:r>
      <w:r w:rsidR="00961A68">
        <w:t xml:space="preserve"> </w:t>
      </w:r>
      <w:r w:rsidR="00836F2B">
        <w:t xml:space="preserve">in taking steps to discharge its duty to protect against business-related human rights abuse, </w:t>
      </w:r>
      <w:r>
        <w:t xml:space="preserve">the </w:t>
      </w:r>
      <w:r w:rsidR="0069154B">
        <w:t xml:space="preserve">Australian </w:t>
      </w:r>
      <w:r>
        <w:t>Government</w:t>
      </w:r>
      <w:r w:rsidR="00DD6BC9">
        <w:t xml:space="preserve"> </w:t>
      </w:r>
      <w:r w:rsidR="00C63ACD">
        <w:t xml:space="preserve">gives full </w:t>
      </w:r>
      <w:r w:rsidR="00DD6BC9" w:rsidRPr="00836F2B">
        <w:t>consider</w:t>
      </w:r>
      <w:r w:rsidR="00C63ACD">
        <w:t xml:space="preserve">ation to </w:t>
      </w:r>
      <w:r w:rsidR="00836F2B" w:rsidRPr="00836F2B">
        <w:t>appropriate</w:t>
      </w:r>
      <w:r w:rsidR="00C63ACD">
        <w:t xml:space="preserve"> and effective</w:t>
      </w:r>
      <w:r w:rsidR="00836F2B">
        <w:rPr>
          <w:b/>
          <w:i/>
        </w:rPr>
        <w:t xml:space="preserve"> </w:t>
      </w:r>
      <w:r w:rsidR="00DD6BC9">
        <w:t>domestic regulatory</w:t>
      </w:r>
      <w:r w:rsidR="004022ED">
        <w:t xml:space="preserve"> measures</w:t>
      </w:r>
      <w:r w:rsidR="00961A68">
        <w:t>.</w:t>
      </w:r>
      <w:bookmarkEnd w:id="74"/>
      <w:bookmarkEnd w:id="75"/>
      <w:bookmarkEnd w:id="76"/>
      <w:bookmarkEnd w:id="77"/>
      <w:bookmarkEnd w:id="78"/>
    </w:p>
    <w:p w14:paraId="06835C7D" w14:textId="77777777" w:rsidR="00675BC9" w:rsidRDefault="00C138A5" w:rsidP="00CF259C">
      <w:pPr>
        <w:pStyle w:val="Heading4"/>
        <w:numPr>
          <w:ilvl w:val="0"/>
          <w:numId w:val="0"/>
        </w:numPr>
        <w:spacing w:before="0"/>
      </w:pPr>
      <w:bookmarkStart w:id="81" w:name="_Toc454973541"/>
      <w:bookmarkStart w:id="82" w:name="_Toc455050933"/>
      <w:bookmarkStart w:id="83" w:name="_Toc455580921"/>
      <w:bookmarkStart w:id="84" w:name="_Toc455588126"/>
      <w:bookmarkStart w:id="85" w:name="_Toc456168875"/>
      <w:r>
        <w:t>Further</w:t>
      </w:r>
      <w:r w:rsidR="002E1167">
        <w:t>, i</w:t>
      </w:r>
      <w:r w:rsidR="006168B2">
        <w:t>t is recom</w:t>
      </w:r>
      <w:r w:rsidR="00675BC9">
        <w:t>mende</w:t>
      </w:r>
      <w:r w:rsidR="0069154B">
        <w:t xml:space="preserve">d that the </w:t>
      </w:r>
      <w:r w:rsidR="006D16D0">
        <w:t>Australian G</w:t>
      </w:r>
      <w:r w:rsidR="002E1167">
        <w:t>overn</w:t>
      </w:r>
      <w:r w:rsidR="00675BC9">
        <w:t>m</w:t>
      </w:r>
      <w:r w:rsidR="006168B2">
        <w:t>ent</w:t>
      </w:r>
      <w:r w:rsidR="00675BC9">
        <w:t>:</w:t>
      </w:r>
      <w:bookmarkEnd w:id="81"/>
      <w:bookmarkEnd w:id="82"/>
      <w:bookmarkEnd w:id="83"/>
      <w:bookmarkEnd w:id="84"/>
      <w:bookmarkEnd w:id="85"/>
    </w:p>
    <w:p w14:paraId="787FD736" w14:textId="77777777" w:rsidR="00836F2B" w:rsidRPr="00375D0E" w:rsidRDefault="000E3979" w:rsidP="00687CC5">
      <w:pPr>
        <w:pStyle w:val="aaHRLCBodytextakaNormal"/>
        <w:numPr>
          <w:ilvl w:val="0"/>
          <w:numId w:val="22"/>
        </w:numPr>
        <w:spacing w:line="240" w:lineRule="auto"/>
        <w:rPr>
          <w:sz w:val="24"/>
          <w:szCs w:val="24"/>
        </w:rPr>
      </w:pPr>
      <w:r w:rsidRPr="00375D0E">
        <w:rPr>
          <w:sz w:val="24"/>
          <w:szCs w:val="24"/>
        </w:rPr>
        <w:t>c</w:t>
      </w:r>
      <w:r w:rsidR="002E1167" w:rsidRPr="00375D0E">
        <w:rPr>
          <w:sz w:val="24"/>
          <w:szCs w:val="24"/>
        </w:rPr>
        <w:t>onducts a thorough</w:t>
      </w:r>
      <w:r w:rsidRPr="00375D0E">
        <w:rPr>
          <w:sz w:val="24"/>
          <w:szCs w:val="24"/>
        </w:rPr>
        <w:t xml:space="preserve"> analysis of exis</w:t>
      </w:r>
      <w:r w:rsidR="002E1167" w:rsidRPr="00375D0E">
        <w:rPr>
          <w:sz w:val="24"/>
          <w:szCs w:val="24"/>
        </w:rPr>
        <w:t xml:space="preserve">ting </w:t>
      </w:r>
      <w:r w:rsidRPr="00375D0E">
        <w:rPr>
          <w:sz w:val="24"/>
          <w:szCs w:val="24"/>
        </w:rPr>
        <w:t>legal</w:t>
      </w:r>
      <w:r w:rsidR="007B06CE" w:rsidRPr="00375D0E">
        <w:rPr>
          <w:sz w:val="24"/>
          <w:szCs w:val="24"/>
        </w:rPr>
        <w:t xml:space="preserve"> and policy</w:t>
      </w:r>
      <w:r w:rsidRPr="00375D0E">
        <w:rPr>
          <w:sz w:val="24"/>
          <w:szCs w:val="24"/>
        </w:rPr>
        <w:t xml:space="preserve"> frameworks via a NBA</w:t>
      </w:r>
      <w:r w:rsidR="00B6149A" w:rsidRPr="00375D0E">
        <w:rPr>
          <w:sz w:val="24"/>
          <w:szCs w:val="24"/>
        </w:rPr>
        <w:t xml:space="preserve"> (see </w:t>
      </w:r>
      <w:r w:rsidR="00204EDF" w:rsidRPr="00375D0E">
        <w:rPr>
          <w:sz w:val="24"/>
          <w:szCs w:val="24"/>
        </w:rPr>
        <w:t xml:space="preserve">section </w:t>
      </w:r>
      <w:r w:rsidR="005244F0" w:rsidRPr="00375D0E">
        <w:rPr>
          <w:sz w:val="24"/>
          <w:szCs w:val="24"/>
        </w:rPr>
        <w:t>4 above</w:t>
      </w:r>
      <w:r w:rsidR="00B6149A" w:rsidRPr="00375D0E">
        <w:rPr>
          <w:sz w:val="24"/>
          <w:szCs w:val="24"/>
        </w:rPr>
        <w:t>)</w:t>
      </w:r>
      <w:r w:rsidRPr="00375D0E">
        <w:rPr>
          <w:sz w:val="24"/>
          <w:szCs w:val="24"/>
        </w:rPr>
        <w:t>;</w:t>
      </w:r>
    </w:p>
    <w:p w14:paraId="5B702E79" w14:textId="77777777" w:rsidR="00836F2B" w:rsidRDefault="000E3979" w:rsidP="00687CC5">
      <w:pPr>
        <w:pStyle w:val="aaHRLCBodytextakaNormal"/>
        <w:numPr>
          <w:ilvl w:val="0"/>
          <w:numId w:val="22"/>
        </w:numPr>
        <w:spacing w:line="240" w:lineRule="auto"/>
        <w:rPr>
          <w:sz w:val="24"/>
          <w:szCs w:val="24"/>
        </w:rPr>
      </w:pPr>
      <w:r w:rsidRPr="00375D0E">
        <w:rPr>
          <w:sz w:val="24"/>
          <w:szCs w:val="24"/>
        </w:rPr>
        <w:t xml:space="preserve">considers how </w:t>
      </w:r>
      <w:r w:rsidR="0082386F" w:rsidRPr="00375D0E">
        <w:rPr>
          <w:sz w:val="24"/>
          <w:szCs w:val="24"/>
        </w:rPr>
        <w:t xml:space="preserve">best </w:t>
      </w:r>
      <w:r w:rsidRPr="00375D0E">
        <w:rPr>
          <w:sz w:val="24"/>
          <w:szCs w:val="24"/>
        </w:rPr>
        <w:t>to</w:t>
      </w:r>
      <w:r w:rsidR="00675BC9" w:rsidRPr="00375D0E">
        <w:rPr>
          <w:sz w:val="24"/>
          <w:szCs w:val="24"/>
        </w:rPr>
        <w:t xml:space="preserve"> encourage </w:t>
      </w:r>
      <w:r w:rsidR="003C49EB" w:rsidRPr="00375D0E">
        <w:rPr>
          <w:sz w:val="24"/>
          <w:szCs w:val="24"/>
        </w:rPr>
        <w:t xml:space="preserve">a </w:t>
      </w:r>
      <w:r w:rsidR="00675BC9" w:rsidRPr="00375D0E">
        <w:rPr>
          <w:sz w:val="24"/>
          <w:szCs w:val="24"/>
        </w:rPr>
        <w:t>corporate culture of respect for human rights</w:t>
      </w:r>
      <w:r w:rsidRPr="00375D0E">
        <w:rPr>
          <w:sz w:val="24"/>
          <w:szCs w:val="24"/>
        </w:rPr>
        <w:t xml:space="preserve"> through </w:t>
      </w:r>
      <w:r w:rsidR="00D8061A" w:rsidRPr="00375D0E">
        <w:rPr>
          <w:sz w:val="24"/>
          <w:szCs w:val="24"/>
        </w:rPr>
        <w:t>preventative measures</w:t>
      </w:r>
      <w:r w:rsidR="00584550" w:rsidRPr="00375D0E">
        <w:rPr>
          <w:sz w:val="24"/>
          <w:szCs w:val="24"/>
        </w:rPr>
        <w:t>;</w:t>
      </w:r>
    </w:p>
    <w:p w14:paraId="79B3BB89" w14:textId="77777777" w:rsidR="00C86593" w:rsidRPr="00375D0E" w:rsidRDefault="00C86593" w:rsidP="00687CC5">
      <w:pPr>
        <w:pStyle w:val="aaHRLCBodytextakaNormal"/>
        <w:numPr>
          <w:ilvl w:val="0"/>
          <w:numId w:val="22"/>
        </w:numPr>
        <w:spacing w:line="240" w:lineRule="auto"/>
        <w:rPr>
          <w:sz w:val="24"/>
          <w:szCs w:val="24"/>
        </w:rPr>
      </w:pPr>
      <w:r>
        <w:rPr>
          <w:sz w:val="24"/>
          <w:szCs w:val="24"/>
        </w:rPr>
        <w:t>develops guidance for business on how to respect human rights in accordance with the UNGPs;</w:t>
      </w:r>
      <w:r w:rsidR="0091729C">
        <w:rPr>
          <w:rStyle w:val="EndnoteReference"/>
          <w:szCs w:val="24"/>
        </w:rPr>
        <w:endnoteReference w:id="17"/>
      </w:r>
    </w:p>
    <w:p w14:paraId="7F2E5FF7" w14:textId="77777777" w:rsidR="00836F2B" w:rsidRPr="00375D0E" w:rsidRDefault="00584550" w:rsidP="00687CC5">
      <w:pPr>
        <w:pStyle w:val="aaHRLCBodytextakaNormal"/>
        <w:numPr>
          <w:ilvl w:val="0"/>
          <w:numId w:val="22"/>
        </w:numPr>
        <w:spacing w:line="240" w:lineRule="auto"/>
        <w:rPr>
          <w:sz w:val="24"/>
          <w:szCs w:val="24"/>
        </w:rPr>
      </w:pPr>
      <w:r w:rsidRPr="00375D0E">
        <w:rPr>
          <w:sz w:val="24"/>
          <w:szCs w:val="24"/>
        </w:rPr>
        <w:t>focuses on</w:t>
      </w:r>
      <w:r w:rsidR="004A580D">
        <w:rPr>
          <w:sz w:val="24"/>
          <w:szCs w:val="24"/>
        </w:rPr>
        <w:t xml:space="preserve"> </w:t>
      </w:r>
      <w:r w:rsidR="00AE3962">
        <w:rPr>
          <w:sz w:val="24"/>
          <w:szCs w:val="24"/>
        </w:rPr>
        <w:t xml:space="preserve">and explores </w:t>
      </w:r>
      <w:r w:rsidR="004A580D">
        <w:rPr>
          <w:sz w:val="24"/>
          <w:szCs w:val="24"/>
        </w:rPr>
        <w:t>both</w:t>
      </w:r>
      <w:r w:rsidRPr="00375D0E">
        <w:rPr>
          <w:sz w:val="24"/>
          <w:szCs w:val="24"/>
        </w:rPr>
        <w:t xml:space="preserve"> legislative options, </w:t>
      </w:r>
      <w:r w:rsidR="00636CA7" w:rsidRPr="00375D0E">
        <w:rPr>
          <w:sz w:val="24"/>
          <w:szCs w:val="24"/>
        </w:rPr>
        <w:t xml:space="preserve">such as those provided by </w:t>
      </w:r>
      <w:r w:rsidRPr="00375D0E">
        <w:rPr>
          <w:sz w:val="24"/>
          <w:szCs w:val="24"/>
        </w:rPr>
        <w:t>corporate law</w:t>
      </w:r>
      <w:r w:rsidR="000F05E4" w:rsidRPr="00375D0E">
        <w:rPr>
          <w:sz w:val="24"/>
          <w:szCs w:val="24"/>
        </w:rPr>
        <w:t xml:space="preserve"> framework</w:t>
      </w:r>
      <w:r w:rsidRPr="00375D0E">
        <w:rPr>
          <w:sz w:val="24"/>
          <w:szCs w:val="24"/>
        </w:rPr>
        <w:t xml:space="preserve">s, </w:t>
      </w:r>
      <w:r w:rsidR="00F12C51">
        <w:rPr>
          <w:sz w:val="24"/>
          <w:szCs w:val="24"/>
        </w:rPr>
        <w:t xml:space="preserve">and non-legislative options </w:t>
      </w:r>
      <w:r w:rsidRPr="00375D0E">
        <w:rPr>
          <w:sz w:val="24"/>
          <w:szCs w:val="24"/>
        </w:rPr>
        <w:t>for enhancing human rights protections in business practice</w:t>
      </w:r>
      <w:r w:rsidR="00E610FF" w:rsidRPr="00375D0E">
        <w:rPr>
          <w:sz w:val="24"/>
          <w:szCs w:val="24"/>
        </w:rPr>
        <w:t>;</w:t>
      </w:r>
      <w:r w:rsidR="00DC62DC">
        <w:rPr>
          <w:rStyle w:val="EndnoteReference"/>
          <w:szCs w:val="24"/>
        </w:rPr>
        <w:endnoteReference w:id="18"/>
      </w:r>
    </w:p>
    <w:p w14:paraId="312487D5" w14:textId="77777777" w:rsidR="00836F2B" w:rsidRPr="00375D0E" w:rsidRDefault="00C12319" w:rsidP="00687CC5">
      <w:pPr>
        <w:pStyle w:val="aaHRLCBodytextakaNormal"/>
        <w:numPr>
          <w:ilvl w:val="0"/>
          <w:numId w:val="22"/>
        </w:numPr>
        <w:spacing w:line="240" w:lineRule="auto"/>
        <w:rPr>
          <w:sz w:val="24"/>
          <w:szCs w:val="24"/>
        </w:rPr>
      </w:pPr>
      <w:r w:rsidRPr="00375D0E">
        <w:rPr>
          <w:sz w:val="24"/>
          <w:szCs w:val="24"/>
        </w:rPr>
        <w:t xml:space="preserve">supports </w:t>
      </w:r>
      <w:r w:rsidR="00400DC6" w:rsidRPr="00375D0E">
        <w:rPr>
          <w:sz w:val="24"/>
          <w:szCs w:val="24"/>
        </w:rPr>
        <w:t xml:space="preserve">and promotes </w:t>
      </w:r>
      <w:r w:rsidR="00585F79" w:rsidRPr="00375D0E">
        <w:rPr>
          <w:sz w:val="24"/>
          <w:szCs w:val="24"/>
        </w:rPr>
        <w:t>effective corporate human rights due diligence practices</w:t>
      </w:r>
      <w:r w:rsidR="00204EDF" w:rsidRPr="00375D0E">
        <w:rPr>
          <w:sz w:val="24"/>
          <w:szCs w:val="24"/>
        </w:rPr>
        <w:t xml:space="preserve"> (see section 7.3(a) </w:t>
      </w:r>
      <w:r w:rsidR="004E37AD" w:rsidRPr="00375D0E">
        <w:rPr>
          <w:sz w:val="24"/>
          <w:szCs w:val="24"/>
        </w:rPr>
        <w:t>below)</w:t>
      </w:r>
      <w:r w:rsidR="00585F79" w:rsidRPr="00375D0E">
        <w:rPr>
          <w:sz w:val="24"/>
          <w:szCs w:val="24"/>
        </w:rPr>
        <w:t>;</w:t>
      </w:r>
      <w:r w:rsidR="00400DC6" w:rsidRPr="00375D0E">
        <w:rPr>
          <w:sz w:val="24"/>
          <w:szCs w:val="24"/>
        </w:rPr>
        <w:t xml:space="preserve"> and</w:t>
      </w:r>
    </w:p>
    <w:p w14:paraId="617BCF04" w14:textId="77777777" w:rsidR="00961A68" w:rsidRPr="00375D0E" w:rsidRDefault="00C12319" w:rsidP="00687CC5">
      <w:pPr>
        <w:pStyle w:val="aaHRLCBodytextakaNormal"/>
        <w:numPr>
          <w:ilvl w:val="0"/>
          <w:numId w:val="22"/>
        </w:numPr>
        <w:spacing w:line="240" w:lineRule="auto"/>
        <w:rPr>
          <w:sz w:val="24"/>
          <w:szCs w:val="24"/>
        </w:rPr>
      </w:pPr>
      <w:r w:rsidRPr="00375D0E">
        <w:rPr>
          <w:sz w:val="24"/>
          <w:szCs w:val="24"/>
        </w:rPr>
        <w:t>encourages</w:t>
      </w:r>
      <w:r w:rsidR="00620472" w:rsidRPr="00375D0E">
        <w:rPr>
          <w:sz w:val="24"/>
          <w:szCs w:val="24"/>
        </w:rPr>
        <w:t xml:space="preserve"> and facilitates</w:t>
      </w:r>
      <w:r w:rsidRPr="00375D0E">
        <w:rPr>
          <w:sz w:val="24"/>
          <w:szCs w:val="24"/>
        </w:rPr>
        <w:t xml:space="preserve"> </w:t>
      </w:r>
      <w:r w:rsidR="00620472" w:rsidRPr="00375D0E">
        <w:rPr>
          <w:sz w:val="24"/>
          <w:szCs w:val="24"/>
        </w:rPr>
        <w:t xml:space="preserve">greater </w:t>
      </w:r>
      <w:r w:rsidRPr="00375D0E">
        <w:rPr>
          <w:sz w:val="24"/>
          <w:szCs w:val="24"/>
        </w:rPr>
        <w:t xml:space="preserve">transparency through </w:t>
      </w:r>
      <w:r w:rsidR="00620472" w:rsidRPr="00375D0E">
        <w:rPr>
          <w:sz w:val="24"/>
          <w:szCs w:val="24"/>
        </w:rPr>
        <w:t xml:space="preserve">enhanced </w:t>
      </w:r>
      <w:r w:rsidR="007275F7" w:rsidRPr="00375D0E">
        <w:rPr>
          <w:sz w:val="24"/>
          <w:szCs w:val="24"/>
        </w:rPr>
        <w:t xml:space="preserve">human rights-related </w:t>
      </w:r>
      <w:r w:rsidRPr="00375D0E">
        <w:rPr>
          <w:sz w:val="24"/>
          <w:szCs w:val="24"/>
        </w:rPr>
        <w:t>reporting and disclosure</w:t>
      </w:r>
      <w:r w:rsidR="009C7F3B" w:rsidRPr="00375D0E">
        <w:rPr>
          <w:sz w:val="24"/>
          <w:szCs w:val="24"/>
        </w:rPr>
        <w:t xml:space="preserve"> by companies</w:t>
      </w:r>
      <w:r w:rsidRPr="00375D0E">
        <w:rPr>
          <w:sz w:val="24"/>
          <w:szCs w:val="24"/>
        </w:rPr>
        <w:t xml:space="preserve"> </w:t>
      </w:r>
      <w:r w:rsidR="000B1001">
        <w:rPr>
          <w:sz w:val="24"/>
          <w:szCs w:val="24"/>
        </w:rPr>
        <w:t xml:space="preserve">(see </w:t>
      </w:r>
      <w:r w:rsidR="0040330D" w:rsidRPr="00375D0E">
        <w:rPr>
          <w:sz w:val="24"/>
          <w:szCs w:val="24"/>
        </w:rPr>
        <w:t>7.3</w:t>
      </w:r>
      <w:r w:rsidR="00872E59">
        <w:rPr>
          <w:sz w:val="24"/>
          <w:szCs w:val="24"/>
        </w:rPr>
        <w:t>(b)</w:t>
      </w:r>
      <w:r w:rsidR="004E37AD" w:rsidRPr="00375D0E">
        <w:rPr>
          <w:sz w:val="24"/>
          <w:szCs w:val="24"/>
        </w:rPr>
        <w:t xml:space="preserve"> below)</w:t>
      </w:r>
    </w:p>
    <w:p w14:paraId="65C1C815" w14:textId="77777777" w:rsidR="00EC6242" w:rsidRPr="00511F52" w:rsidRDefault="00CE788F" w:rsidP="00687CC5">
      <w:pPr>
        <w:pStyle w:val="Heading4"/>
        <w:numPr>
          <w:ilvl w:val="3"/>
          <w:numId w:val="21"/>
        </w:numPr>
        <w:rPr>
          <w:iCs w:val="0"/>
          <w:szCs w:val="24"/>
        </w:rPr>
      </w:pPr>
      <w:bookmarkStart w:id="86" w:name="_Toc454973542"/>
      <w:bookmarkStart w:id="87" w:name="_Toc455580922"/>
      <w:bookmarkStart w:id="88" w:name="_Toc455588127"/>
      <w:bookmarkStart w:id="89" w:name="_Toc456168876"/>
      <w:bookmarkEnd w:id="79"/>
      <w:bookmarkEnd w:id="80"/>
      <w:r w:rsidRPr="00511F52">
        <w:rPr>
          <w:b/>
          <w:i/>
        </w:rPr>
        <w:t>Extra</w:t>
      </w:r>
      <w:r w:rsidR="00E455E4">
        <w:rPr>
          <w:b/>
          <w:i/>
        </w:rPr>
        <w:t>-</w:t>
      </w:r>
      <w:r w:rsidRPr="00511F52">
        <w:rPr>
          <w:b/>
          <w:i/>
        </w:rPr>
        <w:t>territorial</w:t>
      </w:r>
      <w:bookmarkEnd w:id="86"/>
      <w:bookmarkEnd w:id="87"/>
      <w:bookmarkEnd w:id="88"/>
      <w:bookmarkEnd w:id="89"/>
      <w:r w:rsidR="00A55534">
        <w:rPr>
          <w:b/>
          <w:i/>
        </w:rPr>
        <w:t>ity</w:t>
      </w:r>
    </w:p>
    <w:p w14:paraId="5625C297" w14:textId="77777777" w:rsidR="00123713" w:rsidRDefault="00ED3D38" w:rsidP="009A2E88">
      <w:pPr>
        <w:spacing w:before="0" w:after="0"/>
      </w:pPr>
      <w:r>
        <w:t xml:space="preserve">The </w:t>
      </w:r>
      <w:r w:rsidR="0069154B">
        <w:t xml:space="preserve">Australian </w:t>
      </w:r>
      <w:r>
        <w:t xml:space="preserve">Government has endorsed the UNGPs and has an obligation to </w:t>
      </w:r>
      <w:r w:rsidR="00970735">
        <w:t>implement</w:t>
      </w:r>
      <w:r w:rsidR="00FC2C54">
        <w:t xml:space="preserve"> them</w:t>
      </w:r>
      <w:r>
        <w:t xml:space="preserve">. </w:t>
      </w:r>
      <w:r w:rsidR="004D3891">
        <w:t>Under th</w:t>
      </w:r>
      <w:r w:rsidR="00011C3E">
        <w:t xml:space="preserve">e </w:t>
      </w:r>
      <w:r w:rsidR="001C3A47">
        <w:t>UNGPs</w:t>
      </w:r>
      <w:r w:rsidR="004D3891">
        <w:t>,</w:t>
      </w:r>
      <w:r w:rsidR="001C3A47">
        <w:t xml:space="preserve"> </w:t>
      </w:r>
      <w:r w:rsidR="004D3891">
        <w:t>States</w:t>
      </w:r>
      <w:r w:rsidR="00D857C7">
        <w:t xml:space="preserve"> are required to</w:t>
      </w:r>
      <w:r w:rsidR="004D3891">
        <w:t xml:space="preserve"> </w:t>
      </w:r>
      <w:r w:rsidR="002216B3" w:rsidRPr="00BE3B6B">
        <w:t>‘protect against human rights abuse within their</w:t>
      </w:r>
      <w:r w:rsidR="002216B3" w:rsidRPr="00BE3B6B">
        <w:rPr>
          <w:i/>
        </w:rPr>
        <w:t xml:space="preserve"> territory and/ or jurisdiction by third parties</w:t>
      </w:r>
      <w:r w:rsidR="002216B3" w:rsidRPr="00BE3B6B">
        <w:t>’</w:t>
      </w:r>
      <w:r w:rsidR="0069154B">
        <w:t>.</w:t>
      </w:r>
      <w:r w:rsidR="002216B3">
        <w:rPr>
          <w:rStyle w:val="EndnoteReference"/>
        </w:rPr>
        <w:endnoteReference w:id="19"/>
      </w:r>
      <w:r w:rsidR="0069154B">
        <w:t xml:space="preserve"> </w:t>
      </w:r>
      <w:r w:rsidR="00123713">
        <w:t>T</w:t>
      </w:r>
      <w:r w:rsidR="0040330D">
        <w:t xml:space="preserve">he UNGPs </w:t>
      </w:r>
      <w:r w:rsidR="00123713">
        <w:t>also require</w:t>
      </w:r>
      <w:r w:rsidR="0040330D">
        <w:t xml:space="preserve"> States to </w:t>
      </w:r>
      <w:r w:rsidR="004D3891">
        <w:t xml:space="preserve">set out an expectation that </w:t>
      </w:r>
      <w:r w:rsidR="00665985">
        <w:t xml:space="preserve">‘all </w:t>
      </w:r>
      <w:r w:rsidR="004D3891">
        <w:t>business enterprises domiciled in their territory and</w:t>
      </w:r>
      <w:r w:rsidR="00665985">
        <w:t>/ or</w:t>
      </w:r>
      <w:r w:rsidR="004D3891">
        <w:t xml:space="preserve"> </w:t>
      </w:r>
      <w:r w:rsidR="00665985">
        <w:rPr>
          <w:i/>
        </w:rPr>
        <w:t>jurisdiction</w:t>
      </w:r>
      <w:r w:rsidR="001C3A47">
        <w:t xml:space="preserve"> </w:t>
      </w:r>
      <w:r w:rsidR="00665985">
        <w:t xml:space="preserve">respect human rights </w:t>
      </w:r>
      <w:r w:rsidR="00665985" w:rsidRPr="0040330D">
        <w:rPr>
          <w:i/>
        </w:rPr>
        <w:t>throughout their operations</w:t>
      </w:r>
      <w:r w:rsidR="00665985" w:rsidRPr="00BE3B6B">
        <w:t>’</w:t>
      </w:r>
      <w:r w:rsidR="00D13F86" w:rsidRPr="00BE3B6B">
        <w:t>.</w:t>
      </w:r>
      <w:r w:rsidR="00665985" w:rsidRPr="00BE3B6B">
        <w:rPr>
          <w:rStyle w:val="EndnoteReference"/>
        </w:rPr>
        <w:endnoteReference w:id="20"/>
      </w:r>
      <w:r w:rsidR="002216B3">
        <w:t xml:space="preserve"> </w:t>
      </w:r>
      <w:r w:rsidR="0040330D">
        <w:t xml:space="preserve">The UNGPs clearly articulate an expectation that States will take steps to control </w:t>
      </w:r>
      <w:r w:rsidR="00123713">
        <w:t>and influence business</w:t>
      </w:r>
      <w:r w:rsidR="0040330D">
        <w:t xml:space="preserve"> activities </w:t>
      </w:r>
      <w:r w:rsidR="00123713">
        <w:t xml:space="preserve">occurring beyond their </w:t>
      </w:r>
      <w:r w:rsidR="005C089A" w:rsidRPr="005C089A">
        <w:t>geo</w:t>
      </w:r>
      <w:r w:rsidR="006C2753">
        <w:t>graphic</w:t>
      </w:r>
      <w:r w:rsidR="00D13F86">
        <w:t>al</w:t>
      </w:r>
      <w:r w:rsidR="00123713">
        <w:t xml:space="preserve"> borders.</w:t>
      </w:r>
    </w:p>
    <w:p w14:paraId="01A70974" w14:textId="77777777" w:rsidR="00A26C4C" w:rsidRDefault="00A26C4C" w:rsidP="009A2E88">
      <w:pPr>
        <w:spacing w:before="0" w:after="0"/>
      </w:pPr>
    </w:p>
    <w:p w14:paraId="00225E84" w14:textId="77777777" w:rsidR="009613D8" w:rsidRDefault="00123713" w:rsidP="009A2E88">
      <w:pPr>
        <w:spacing w:before="0" w:after="0"/>
      </w:pPr>
      <w:r>
        <w:t>The e</w:t>
      </w:r>
      <w:r w:rsidR="00C3681B">
        <w:t xml:space="preserve">xtra-territorial </w:t>
      </w:r>
      <w:r w:rsidR="00A26C4C">
        <w:t xml:space="preserve">control </w:t>
      </w:r>
      <w:r>
        <w:t xml:space="preserve">of </w:t>
      </w:r>
      <w:r w:rsidR="00A26C4C">
        <w:t xml:space="preserve">business </w:t>
      </w:r>
      <w:r>
        <w:t>activities</w:t>
      </w:r>
      <w:r w:rsidR="00570F8C">
        <w:t xml:space="preserve"> and prevention of human rights abuses in foreign jurisdictions</w:t>
      </w:r>
      <w:r w:rsidR="00CF486B">
        <w:t xml:space="preserve"> is</w:t>
      </w:r>
      <w:r w:rsidR="00A26C4C">
        <w:t xml:space="preserve"> </w:t>
      </w:r>
      <w:r w:rsidR="002E1E30">
        <w:t>fundamental</w:t>
      </w:r>
      <w:r w:rsidR="00A26C4C">
        <w:t xml:space="preserve"> </w:t>
      </w:r>
      <w:r w:rsidR="00CF486B">
        <w:t xml:space="preserve">to the protection of </w:t>
      </w:r>
      <w:r w:rsidR="00A26C4C">
        <w:t xml:space="preserve">human rights </w:t>
      </w:r>
      <w:r w:rsidR="00CF486B">
        <w:t>in a business context</w:t>
      </w:r>
      <w:r w:rsidR="007C2945">
        <w:t xml:space="preserve">. Australian </w:t>
      </w:r>
      <w:r w:rsidR="00A26C4C">
        <w:t>companies</w:t>
      </w:r>
      <w:r w:rsidR="004E33B9">
        <w:t xml:space="preserve"> </w:t>
      </w:r>
      <w:r w:rsidR="00C3681B">
        <w:t xml:space="preserve">frequently </w:t>
      </w:r>
      <w:r w:rsidR="00A26C4C">
        <w:t xml:space="preserve">operate </w:t>
      </w:r>
      <w:r w:rsidR="00C3681B">
        <w:t xml:space="preserve">extra-territorially, either directly or indirectly through their </w:t>
      </w:r>
      <w:r w:rsidR="004E33B9">
        <w:t xml:space="preserve">subsidiaries or </w:t>
      </w:r>
      <w:r w:rsidR="00C3681B">
        <w:t xml:space="preserve">business relationships. </w:t>
      </w:r>
      <w:r w:rsidR="009613D8">
        <w:t xml:space="preserve">Whilst the question of extra-territorial regulation of Australian business enterprises raises complex legal issues, </w:t>
      </w:r>
      <w:r w:rsidR="004E33B9">
        <w:t xml:space="preserve">there is </w:t>
      </w:r>
      <w:r w:rsidR="004A32F3">
        <w:t>precedent</w:t>
      </w:r>
      <w:r w:rsidR="009613D8">
        <w:t xml:space="preserve"> for action.</w:t>
      </w:r>
      <w:r w:rsidR="00DC45BE">
        <w:rPr>
          <w:rStyle w:val="EndnoteReference"/>
        </w:rPr>
        <w:endnoteReference w:id="21"/>
      </w:r>
      <w:r w:rsidR="009613D8">
        <w:t xml:space="preserve"> </w:t>
      </w:r>
    </w:p>
    <w:p w14:paraId="4190AA59" w14:textId="77777777" w:rsidR="009613D8" w:rsidRDefault="009613D8" w:rsidP="009A2E88">
      <w:pPr>
        <w:spacing w:before="0" w:after="0"/>
      </w:pPr>
    </w:p>
    <w:p w14:paraId="65E3E6BE" w14:textId="77777777" w:rsidR="009613D8" w:rsidRDefault="009613D8" w:rsidP="009A2E88">
      <w:pPr>
        <w:spacing w:before="0" w:after="0"/>
      </w:pPr>
      <w:r>
        <w:t xml:space="preserve">It is recommended that the </w:t>
      </w:r>
      <w:r w:rsidR="0069154B">
        <w:t xml:space="preserve">Australian </w:t>
      </w:r>
      <w:r>
        <w:t>Government:</w:t>
      </w:r>
    </w:p>
    <w:p w14:paraId="7317E342" w14:textId="77777777" w:rsidR="00AC0792" w:rsidRPr="00375D0E" w:rsidRDefault="009613D8" w:rsidP="00C10B54">
      <w:pPr>
        <w:pStyle w:val="aaHRLCBodytextakaNormal"/>
        <w:numPr>
          <w:ilvl w:val="0"/>
          <w:numId w:val="22"/>
        </w:numPr>
        <w:spacing w:line="240" w:lineRule="auto"/>
        <w:rPr>
          <w:sz w:val="24"/>
          <w:szCs w:val="24"/>
        </w:rPr>
      </w:pPr>
      <w:r w:rsidRPr="00375D0E">
        <w:rPr>
          <w:sz w:val="24"/>
          <w:szCs w:val="24"/>
        </w:rPr>
        <w:lastRenderedPageBreak/>
        <w:t>examines</w:t>
      </w:r>
      <w:r w:rsidR="006B704A" w:rsidRPr="00375D0E">
        <w:rPr>
          <w:sz w:val="24"/>
          <w:szCs w:val="24"/>
        </w:rPr>
        <w:t>, as part of a NBA,</w:t>
      </w:r>
      <w:r w:rsidRPr="00375D0E">
        <w:rPr>
          <w:sz w:val="24"/>
          <w:szCs w:val="24"/>
        </w:rPr>
        <w:t xml:space="preserve"> </w:t>
      </w:r>
      <w:r w:rsidR="006B704A" w:rsidRPr="00375D0E">
        <w:rPr>
          <w:sz w:val="24"/>
          <w:szCs w:val="24"/>
        </w:rPr>
        <w:t xml:space="preserve">the scope of </w:t>
      </w:r>
      <w:r w:rsidRPr="00375D0E">
        <w:rPr>
          <w:sz w:val="24"/>
          <w:szCs w:val="24"/>
        </w:rPr>
        <w:t>existing domestic laws with extra</w:t>
      </w:r>
      <w:r w:rsidR="00E455E4">
        <w:rPr>
          <w:sz w:val="24"/>
          <w:szCs w:val="24"/>
        </w:rPr>
        <w:t>-</w:t>
      </w:r>
      <w:r w:rsidRPr="00375D0E">
        <w:rPr>
          <w:sz w:val="24"/>
          <w:szCs w:val="24"/>
        </w:rPr>
        <w:t>territorial application</w:t>
      </w:r>
      <w:r w:rsidR="00AC0792" w:rsidRPr="00375D0E">
        <w:rPr>
          <w:sz w:val="24"/>
          <w:szCs w:val="24"/>
        </w:rPr>
        <w:t xml:space="preserve">; </w:t>
      </w:r>
    </w:p>
    <w:p w14:paraId="76764BD1" w14:textId="77777777" w:rsidR="002255C7" w:rsidRPr="00375D0E" w:rsidRDefault="009613D8" w:rsidP="00687CC5">
      <w:pPr>
        <w:pStyle w:val="aaHRLCBodytextakaNormal"/>
        <w:numPr>
          <w:ilvl w:val="0"/>
          <w:numId w:val="22"/>
        </w:numPr>
        <w:spacing w:line="240" w:lineRule="auto"/>
        <w:rPr>
          <w:sz w:val="24"/>
          <w:szCs w:val="24"/>
        </w:rPr>
      </w:pPr>
      <w:r w:rsidRPr="00375D0E">
        <w:rPr>
          <w:sz w:val="24"/>
          <w:szCs w:val="24"/>
        </w:rPr>
        <w:t xml:space="preserve">considers </w:t>
      </w:r>
      <w:r w:rsidR="00AC0792" w:rsidRPr="00375D0E">
        <w:rPr>
          <w:sz w:val="24"/>
          <w:szCs w:val="24"/>
        </w:rPr>
        <w:t>the</w:t>
      </w:r>
      <w:r w:rsidR="006B704A" w:rsidRPr="00375D0E">
        <w:rPr>
          <w:sz w:val="24"/>
          <w:szCs w:val="24"/>
        </w:rPr>
        <w:t xml:space="preserve"> potential</w:t>
      </w:r>
      <w:r w:rsidR="00AC0792" w:rsidRPr="00375D0E">
        <w:rPr>
          <w:sz w:val="24"/>
          <w:szCs w:val="24"/>
        </w:rPr>
        <w:t xml:space="preserve"> of domestic laws</w:t>
      </w:r>
      <w:r w:rsidR="006B704A" w:rsidRPr="00375D0E">
        <w:rPr>
          <w:sz w:val="24"/>
          <w:szCs w:val="24"/>
        </w:rPr>
        <w:t xml:space="preserve"> in providing a roadmap for </w:t>
      </w:r>
      <w:r w:rsidR="00AC0792" w:rsidRPr="00375D0E">
        <w:rPr>
          <w:sz w:val="24"/>
          <w:szCs w:val="24"/>
        </w:rPr>
        <w:t>enhancing</w:t>
      </w:r>
      <w:r w:rsidR="0033614F" w:rsidRPr="00375D0E">
        <w:rPr>
          <w:sz w:val="24"/>
          <w:szCs w:val="24"/>
        </w:rPr>
        <w:t xml:space="preserve"> </w:t>
      </w:r>
      <w:r w:rsidR="00900DBB" w:rsidRPr="00375D0E">
        <w:rPr>
          <w:sz w:val="24"/>
          <w:szCs w:val="24"/>
        </w:rPr>
        <w:t xml:space="preserve">human rights-based </w:t>
      </w:r>
      <w:r w:rsidR="0033614F" w:rsidRPr="00375D0E">
        <w:rPr>
          <w:sz w:val="24"/>
          <w:szCs w:val="24"/>
        </w:rPr>
        <w:t>regulation</w:t>
      </w:r>
      <w:r w:rsidR="006B704A" w:rsidRPr="00375D0E">
        <w:rPr>
          <w:sz w:val="24"/>
          <w:szCs w:val="24"/>
        </w:rPr>
        <w:t xml:space="preserve"> </w:t>
      </w:r>
      <w:r w:rsidR="00900DBB" w:rsidRPr="00375D0E">
        <w:rPr>
          <w:sz w:val="24"/>
          <w:szCs w:val="24"/>
        </w:rPr>
        <w:t xml:space="preserve">of </w:t>
      </w:r>
      <w:r w:rsidR="006B704A" w:rsidRPr="00375D0E">
        <w:rPr>
          <w:sz w:val="24"/>
          <w:szCs w:val="24"/>
        </w:rPr>
        <w:t>Australian companies in their</w:t>
      </w:r>
      <w:r w:rsidR="00AC0792" w:rsidRPr="00375D0E">
        <w:rPr>
          <w:sz w:val="24"/>
          <w:szCs w:val="24"/>
        </w:rPr>
        <w:t xml:space="preserve"> </w:t>
      </w:r>
      <w:r w:rsidR="006B704A" w:rsidRPr="00375D0E">
        <w:rPr>
          <w:sz w:val="24"/>
          <w:szCs w:val="24"/>
        </w:rPr>
        <w:t>overseas operations</w:t>
      </w:r>
      <w:r w:rsidR="0033614F" w:rsidRPr="00375D0E">
        <w:rPr>
          <w:sz w:val="24"/>
          <w:szCs w:val="24"/>
        </w:rPr>
        <w:t xml:space="preserve">;  </w:t>
      </w:r>
    </w:p>
    <w:p w14:paraId="3347800C" w14:textId="3036FF7A" w:rsidR="002255C7" w:rsidRPr="00375D0E" w:rsidRDefault="00DA588A" w:rsidP="00687CC5">
      <w:pPr>
        <w:pStyle w:val="aaHRLCBodytextakaNormal"/>
        <w:numPr>
          <w:ilvl w:val="0"/>
          <w:numId w:val="22"/>
        </w:numPr>
        <w:spacing w:line="240" w:lineRule="auto"/>
        <w:rPr>
          <w:sz w:val="24"/>
          <w:szCs w:val="24"/>
        </w:rPr>
      </w:pPr>
      <w:r w:rsidRPr="00375D0E">
        <w:rPr>
          <w:sz w:val="24"/>
          <w:szCs w:val="24"/>
        </w:rPr>
        <w:t>ratifies</w:t>
      </w:r>
      <w:r w:rsidR="003F3B37" w:rsidRPr="00375D0E">
        <w:rPr>
          <w:sz w:val="24"/>
          <w:szCs w:val="24"/>
        </w:rPr>
        <w:t xml:space="preserve"> relevant international conventions</w:t>
      </w:r>
      <w:r w:rsidR="00C66BD6">
        <w:rPr>
          <w:sz w:val="24"/>
          <w:szCs w:val="24"/>
        </w:rPr>
        <w:t xml:space="preserve"> (together with optional protocols)</w:t>
      </w:r>
      <w:r w:rsidR="003F3B37" w:rsidRPr="00375D0E">
        <w:rPr>
          <w:sz w:val="24"/>
          <w:szCs w:val="24"/>
        </w:rPr>
        <w:t>;</w:t>
      </w:r>
    </w:p>
    <w:p w14:paraId="59080E38" w14:textId="77777777" w:rsidR="002255C7" w:rsidRPr="00375D0E" w:rsidRDefault="00006F4F" w:rsidP="00687CC5">
      <w:pPr>
        <w:pStyle w:val="aaHRLCBodytextakaNormal"/>
        <w:numPr>
          <w:ilvl w:val="0"/>
          <w:numId w:val="22"/>
        </w:numPr>
        <w:spacing w:line="240" w:lineRule="auto"/>
        <w:rPr>
          <w:sz w:val="24"/>
          <w:szCs w:val="24"/>
        </w:rPr>
      </w:pPr>
      <w:r w:rsidRPr="00375D0E">
        <w:rPr>
          <w:sz w:val="24"/>
          <w:szCs w:val="24"/>
        </w:rPr>
        <w:t xml:space="preserve">supports and encourages </w:t>
      </w:r>
      <w:r w:rsidR="00BB6E7E" w:rsidRPr="00375D0E">
        <w:rPr>
          <w:sz w:val="24"/>
          <w:szCs w:val="24"/>
        </w:rPr>
        <w:t xml:space="preserve">Australian </w:t>
      </w:r>
      <w:r w:rsidRPr="00375D0E">
        <w:rPr>
          <w:sz w:val="24"/>
          <w:szCs w:val="24"/>
        </w:rPr>
        <w:t>p</w:t>
      </w:r>
      <w:r w:rsidR="00304250" w:rsidRPr="00375D0E">
        <w:rPr>
          <w:sz w:val="24"/>
          <w:szCs w:val="24"/>
        </w:rPr>
        <w:t xml:space="preserve">arent companies </w:t>
      </w:r>
      <w:r w:rsidRPr="00375D0E">
        <w:rPr>
          <w:sz w:val="24"/>
          <w:szCs w:val="24"/>
        </w:rPr>
        <w:t xml:space="preserve">in </w:t>
      </w:r>
      <w:r w:rsidR="00304250" w:rsidRPr="00375D0E">
        <w:rPr>
          <w:sz w:val="24"/>
          <w:szCs w:val="24"/>
        </w:rPr>
        <w:t>conduct</w:t>
      </w:r>
      <w:r w:rsidRPr="00375D0E">
        <w:rPr>
          <w:sz w:val="24"/>
          <w:szCs w:val="24"/>
        </w:rPr>
        <w:t>ing</w:t>
      </w:r>
      <w:r w:rsidR="00304250" w:rsidRPr="00375D0E">
        <w:rPr>
          <w:sz w:val="24"/>
          <w:szCs w:val="24"/>
        </w:rPr>
        <w:t xml:space="preserve"> adequate due diligence, in accordance with the UNGPs,</w:t>
      </w:r>
      <w:r w:rsidR="002255C7" w:rsidRPr="00375D0E">
        <w:rPr>
          <w:sz w:val="24"/>
          <w:szCs w:val="24"/>
        </w:rPr>
        <w:t xml:space="preserve"> </w:t>
      </w:r>
      <w:r w:rsidR="0069154B">
        <w:rPr>
          <w:sz w:val="24"/>
          <w:szCs w:val="24"/>
        </w:rPr>
        <w:t xml:space="preserve">to ensure awareness of </w:t>
      </w:r>
      <w:r w:rsidR="00304250" w:rsidRPr="00375D0E">
        <w:rPr>
          <w:sz w:val="24"/>
          <w:szCs w:val="24"/>
        </w:rPr>
        <w:t>potential</w:t>
      </w:r>
      <w:r w:rsidR="004E6543">
        <w:rPr>
          <w:sz w:val="24"/>
          <w:szCs w:val="24"/>
        </w:rPr>
        <w:t xml:space="preserve"> and actual</w:t>
      </w:r>
      <w:r w:rsidR="00304250" w:rsidRPr="00375D0E">
        <w:rPr>
          <w:sz w:val="24"/>
          <w:szCs w:val="24"/>
        </w:rPr>
        <w:t xml:space="preserve"> </w:t>
      </w:r>
      <w:r w:rsidR="00872150" w:rsidRPr="00375D0E">
        <w:rPr>
          <w:sz w:val="24"/>
          <w:szCs w:val="24"/>
        </w:rPr>
        <w:t xml:space="preserve">human rights </w:t>
      </w:r>
      <w:r w:rsidR="00304250" w:rsidRPr="00375D0E">
        <w:rPr>
          <w:sz w:val="24"/>
          <w:szCs w:val="24"/>
        </w:rPr>
        <w:t>abuses and facilitate prevention or remediation</w:t>
      </w:r>
      <w:r w:rsidR="008B28CC" w:rsidRPr="00375D0E">
        <w:rPr>
          <w:sz w:val="24"/>
          <w:szCs w:val="24"/>
        </w:rPr>
        <w:t xml:space="preserve"> of abuses;</w:t>
      </w:r>
      <w:r w:rsidR="00304250" w:rsidRPr="00375D0E">
        <w:rPr>
          <w:sz w:val="24"/>
          <w:szCs w:val="24"/>
        </w:rPr>
        <w:t xml:space="preserve"> </w:t>
      </w:r>
    </w:p>
    <w:p w14:paraId="25166D96" w14:textId="77777777" w:rsidR="002255C7" w:rsidRPr="00375D0E" w:rsidRDefault="002255C7" w:rsidP="00687CC5">
      <w:pPr>
        <w:pStyle w:val="aaHRLCBodytextakaNormal"/>
        <w:numPr>
          <w:ilvl w:val="0"/>
          <w:numId w:val="22"/>
        </w:numPr>
        <w:spacing w:line="240" w:lineRule="auto"/>
        <w:rPr>
          <w:sz w:val="24"/>
          <w:szCs w:val="24"/>
        </w:rPr>
      </w:pPr>
      <w:r w:rsidRPr="00375D0E">
        <w:rPr>
          <w:sz w:val="24"/>
          <w:szCs w:val="24"/>
        </w:rPr>
        <w:t>co</w:t>
      </w:r>
      <w:r w:rsidR="00872150" w:rsidRPr="00375D0E">
        <w:rPr>
          <w:sz w:val="24"/>
          <w:szCs w:val="24"/>
        </w:rPr>
        <w:t>nsiders</w:t>
      </w:r>
      <w:r w:rsidR="00304250" w:rsidRPr="00375D0E">
        <w:rPr>
          <w:sz w:val="24"/>
          <w:szCs w:val="24"/>
        </w:rPr>
        <w:t xml:space="preserve"> legislative reform imposing liability on parent companies where there is a </w:t>
      </w:r>
      <w:r w:rsidR="003D1EE2">
        <w:rPr>
          <w:sz w:val="24"/>
          <w:szCs w:val="24"/>
        </w:rPr>
        <w:t xml:space="preserve">procedural </w:t>
      </w:r>
      <w:r w:rsidR="00304250" w:rsidRPr="00375D0E">
        <w:rPr>
          <w:sz w:val="24"/>
          <w:szCs w:val="24"/>
        </w:rPr>
        <w:t>fa</w:t>
      </w:r>
      <w:r w:rsidR="00872E59">
        <w:rPr>
          <w:sz w:val="24"/>
          <w:szCs w:val="24"/>
        </w:rPr>
        <w:t>ilure to act with due diligence;</w:t>
      </w:r>
    </w:p>
    <w:p w14:paraId="6876D4E7" w14:textId="77777777" w:rsidR="002255C7" w:rsidRPr="00375D0E" w:rsidRDefault="00006F4F" w:rsidP="00687CC5">
      <w:pPr>
        <w:pStyle w:val="aaHRLCBodytextakaNormal"/>
        <w:numPr>
          <w:ilvl w:val="0"/>
          <w:numId w:val="22"/>
        </w:numPr>
        <w:spacing w:line="240" w:lineRule="auto"/>
        <w:rPr>
          <w:sz w:val="24"/>
          <w:szCs w:val="24"/>
        </w:rPr>
      </w:pPr>
      <w:r w:rsidRPr="00375D0E">
        <w:rPr>
          <w:sz w:val="24"/>
          <w:szCs w:val="24"/>
        </w:rPr>
        <w:t xml:space="preserve">provides certainty for Australian businesses by clearly articulating </w:t>
      </w:r>
      <w:r w:rsidR="00E265E4" w:rsidRPr="00375D0E">
        <w:rPr>
          <w:sz w:val="24"/>
          <w:szCs w:val="24"/>
        </w:rPr>
        <w:t xml:space="preserve">an </w:t>
      </w:r>
      <w:r w:rsidRPr="00375D0E">
        <w:rPr>
          <w:sz w:val="24"/>
          <w:szCs w:val="24"/>
        </w:rPr>
        <w:t>expectation that they respect human rights abroad</w:t>
      </w:r>
      <w:r w:rsidR="00E265E4" w:rsidRPr="00375D0E">
        <w:rPr>
          <w:sz w:val="24"/>
          <w:szCs w:val="24"/>
        </w:rPr>
        <w:t>;</w:t>
      </w:r>
    </w:p>
    <w:p w14:paraId="31D291B6" w14:textId="77777777" w:rsidR="002255C7" w:rsidRPr="00375D0E" w:rsidRDefault="009E53C8" w:rsidP="00687CC5">
      <w:pPr>
        <w:pStyle w:val="aaHRLCBodytextakaNormal"/>
        <w:numPr>
          <w:ilvl w:val="0"/>
          <w:numId w:val="22"/>
        </w:numPr>
        <w:spacing w:line="240" w:lineRule="auto"/>
        <w:rPr>
          <w:sz w:val="24"/>
          <w:szCs w:val="24"/>
        </w:rPr>
      </w:pPr>
      <w:r w:rsidRPr="00375D0E">
        <w:rPr>
          <w:sz w:val="24"/>
          <w:szCs w:val="24"/>
        </w:rPr>
        <w:t>promotes adherence to human rights standards by Australian businesses in multi-lateral, i</w:t>
      </w:r>
      <w:r w:rsidR="000F5195" w:rsidRPr="00375D0E">
        <w:rPr>
          <w:sz w:val="24"/>
          <w:szCs w:val="24"/>
        </w:rPr>
        <w:t>nternational and regional fora (</w:t>
      </w:r>
      <w:r w:rsidRPr="00375D0E">
        <w:rPr>
          <w:sz w:val="24"/>
          <w:szCs w:val="24"/>
        </w:rPr>
        <w:t>such as the UN, the OECD and APEC</w:t>
      </w:r>
      <w:r w:rsidR="000F5195" w:rsidRPr="00375D0E">
        <w:rPr>
          <w:sz w:val="24"/>
          <w:szCs w:val="24"/>
        </w:rPr>
        <w:t>)</w:t>
      </w:r>
      <w:r w:rsidR="00ED0A96" w:rsidRPr="00375D0E">
        <w:rPr>
          <w:sz w:val="24"/>
          <w:szCs w:val="24"/>
        </w:rPr>
        <w:t xml:space="preserve">; </w:t>
      </w:r>
    </w:p>
    <w:p w14:paraId="762CCD41" w14:textId="77777777" w:rsidR="006A7A9D" w:rsidRDefault="008D2AF1" w:rsidP="00687CC5">
      <w:pPr>
        <w:pStyle w:val="aaHRLCBodytextakaNormal"/>
        <w:numPr>
          <w:ilvl w:val="0"/>
          <w:numId w:val="22"/>
        </w:numPr>
        <w:spacing w:line="240" w:lineRule="auto"/>
        <w:rPr>
          <w:sz w:val="24"/>
          <w:szCs w:val="24"/>
        </w:rPr>
      </w:pPr>
      <w:r w:rsidRPr="00375D0E">
        <w:rPr>
          <w:sz w:val="24"/>
          <w:szCs w:val="24"/>
        </w:rPr>
        <w:t>a</w:t>
      </w:r>
      <w:r w:rsidR="00D441FA" w:rsidRPr="00375D0E">
        <w:rPr>
          <w:sz w:val="24"/>
          <w:szCs w:val="24"/>
        </w:rPr>
        <w:t>dequately address</w:t>
      </w:r>
      <w:r w:rsidR="000F5195" w:rsidRPr="00375D0E">
        <w:rPr>
          <w:sz w:val="24"/>
          <w:szCs w:val="24"/>
        </w:rPr>
        <w:t>es, in a NAP,</w:t>
      </w:r>
      <w:r w:rsidRPr="00375D0E">
        <w:rPr>
          <w:sz w:val="24"/>
          <w:szCs w:val="24"/>
        </w:rPr>
        <w:t xml:space="preserve"> issues relating to the </w:t>
      </w:r>
      <w:r w:rsidR="00D441FA" w:rsidRPr="00375D0E">
        <w:rPr>
          <w:sz w:val="24"/>
          <w:szCs w:val="24"/>
        </w:rPr>
        <w:t>regulat</w:t>
      </w:r>
      <w:r w:rsidRPr="00375D0E">
        <w:rPr>
          <w:sz w:val="24"/>
          <w:szCs w:val="24"/>
        </w:rPr>
        <w:t>ion and control of Australian business enterprises</w:t>
      </w:r>
      <w:r w:rsidR="00337AD4" w:rsidRPr="00375D0E">
        <w:rPr>
          <w:sz w:val="24"/>
          <w:szCs w:val="24"/>
        </w:rPr>
        <w:t>,</w:t>
      </w:r>
      <w:r w:rsidRPr="00375D0E">
        <w:rPr>
          <w:sz w:val="24"/>
          <w:szCs w:val="24"/>
        </w:rPr>
        <w:t xml:space="preserve"> </w:t>
      </w:r>
      <w:r w:rsidR="000F5195" w:rsidRPr="00375D0E">
        <w:rPr>
          <w:sz w:val="24"/>
          <w:szCs w:val="24"/>
        </w:rPr>
        <w:t>both at home and abroad</w:t>
      </w:r>
      <w:r w:rsidR="00D441FA" w:rsidRPr="00375D0E">
        <w:rPr>
          <w:sz w:val="24"/>
          <w:szCs w:val="24"/>
        </w:rPr>
        <w:t xml:space="preserve">; </w:t>
      </w:r>
    </w:p>
    <w:p w14:paraId="1F3701F4" w14:textId="77777777" w:rsidR="002255C7" w:rsidRPr="00375D0E" w:rsidRDefault="006A7A9D" w:rsidP="00687CC5">
      <w:pPr>
        <w:pStyle w:val="aaHRLCBodytextakaNormal"/>
        <w:numPr>
          <w:ilvl w:val="0"/>
          <w:numId w:val="22"/>
        </w:numPr>
        <w:spacing w:line="240" w:lineRule="auto"/>
        <w:rPr>
          <w:sz w:val="24"/>
          <w:szCs w:val="24"/>
        </w:rPr>
      </w:pPr>
      <w:r w:rsidRPr="00375D0E">
        <w:rPr>
          <w:sz w:val="24"/>
          <w:szCs w:val="24"/>
        </w:rPr>
        <w:t>protect</w:t>
      </w:r>
      <w:r w:rsidR="00E41D8D" w:rsidRPr="00375D0E">
        <w:rPr>
          <w:sz w:val="24"/>
          <w:szCs w:val="24"/>
        </w:rPr>
        <w:t>s</w:t>
      </w:r>
      <w:r w:rsidRPr="00375D0E">
        <w:rPr>
          <w:sz w:val="24"/>
          <w:szCs w:val="24"/>
        </w:rPr>
        <w:t xml:space="preserve"> and supports, via diplomatic and consular missions, the work of human rights defenders </w:t>
      </w:r>
      <w:r w:rsidR="00E41D8D" w:rsidRPr="00375D0E">
        <w:rPr>
          <w:sz w:val="24"/>
          <w:szCs w:val="24"/>
        </w:rPr>
        <w:t>in providing protection</w:t>
      </w:r>
      <w:r w:rsidRPr="00375D0E">
        <w:rPr>
          <w:sz w:val="24"/>
          <w:szCs w:val="24"/>
        </w:rPr>
        <w:t xml:space="preserve"> against business-related human rights abuse</w:t>
      </w:r>
      <w:r w:rsidR="00E41D8D" w:rsidRPr="00375D0E">
        <w:rPr>
          <w:sz w:val="24"/>
          <w:szCs w:val="24"/>
        </w:rPr>
        <w:t xml:space="preserve"> occurring overseas; and</w:t>
      </w:r>
    </w:p>
    <w:p w14:paraId="1C52A4F1" w14:textId="77777777" w:rsidR="00017B50" w:rsidRPr="00375D0E" w:rsidRDefault="00A26C4C" w:rsidP="00D3513B">
      <w:pPr>
        <w:pStyle w:val="aaHRLCBodytextakaNormal"/>
        <w:numPr>
          <w:ilvl w:val="0"/>
          <w:numId w:val="22"/>
        </w:numPr>
        <w:spacing w:line="240" w:lineRule="auto"/>
        <w:rPr>
          <w:sz w:val="24"/>
          <w:szCs w:val="24"/>
        </w:rPr>
      </w:pPr>
      <w:r w:rsidRPr="00375D0E">
        <w:rPr>
          <w:sz w:val="24"/>
          <w:szCs w:val="24"/>
        </w:rPr>
        <w:t>focus</w:t>
      </w:r>
      <w:r w:rsidR="00E20A17" w:rsidRPr="00375D0E">
        <w:rPr>
          <w:sz w:val="24"/>
          <w:szCs w:val="24"/>
        </w:rPr>
        <w:t>es</w:t>
      </w:r>
      <w:r w:rsidRPr="00375D0E">
        <w:rPr>
          <w:sz w:val="24"/>
          <w:szCs w:val="24"/>
        </w:rPr>
        <w:t xml:space="preserve"> on </w:t>
      </w:r>
      <w:r w:rsidR="00D323E2" w:rsidRPr="00375D0E">
        <w:rPr>
          <w:sz w:val="24"/>
          <w:szCs w:val="24"/>
        </w:rPr>
        <w:t xml:space="preserve">Australia’s </w:t>
      </w:r>
      <w:r w:rsidRPr="00375D0E">
        <w:rPr>
          <w:sz w:val="24"/>
          <w:szCs w:val="24"/>
        </w:rPr>
        <w:t xml:space="preserve">diplomatic missions </w:t>
      </w:r>
      <w:r w:rsidR="000F5195" w:rsidRPr="00375D0E">
        <w:rPr>
          <w:sz w:val="24"/>
          <w:szCs w:val="24"/>
        </w:rPr>
        <w:t xml:space="preserve">and consular activities </w:t>
      </w:r>
      <w:r w:rsidR="00E20A17" w:rsidRPr="00375D0E">
        <w:rPr>
          <w:sz w:val="24"/>
          <w:szCs w:val="24"/>
        </w:rPr>
        <w:t xml:space="preserve">as a vehicle </w:t>
      </w:r>
      <w:r w:rsidRPr="00375D0E">
        <w:rPr>
          <w:sz w:val="24"/>
          <w:szCs w:val="24"/>
        </w:rPr>
        <w:t xml:space="preserve">to </w:t>
      </w:r>
      <w:r w:rsidR="001E1FBA" w:rsidRPr="00375D0E">
        <w:rPr>
          <w:sz w:val="24"/>
          <w:szCs w:val="24"/>
        </w:rPr>
        <w:t>enhance human rights protection</w:t>
      </w:r>
      <w:r w:rsidRPr="00375D0E">
        <w:rPr>
          <w:sz w:val="24"/>
          <w:szCs w:val="24"/>
        </w:rPr>
        <w:t xml:space="preserve"> </w:t>
      </w:r>
      <w:r w:rsidR="001E1FBA" w:rsidRPr="00375D0E">
        <w:rPr>
          <w:sz w:val="24"/>
          <w:szCs w:val="24"/>
        </w:rPr>
        <w:t>for</w:t>
      </w:r>
      <w:r w:rsidRPr="00375D0E">
        <w:rPr>
          <w:sz w:val="24"/>
          <w:szCs w:val="24"/>
        </w:rPr>
        <w:t xml:space="preserve"> local communities </w:t>
      </w:r>
      <w:r w:rsidR="00E6499E" w:rsidRPr="00375D0E">
        <w:rPr>
          <w:sz w:val="24"/>
          <w:szCs w:val="24"/>
        </w:rPr>
        <w:t xml:space="preserve">impacted by </w:t>
      </w:r>
      <w:r w:rsidRPr="00375D0E">
        <w:rPr>
          <w:sz w:val="24"/>
          <w:szCs w:val="24"/>
        </w:rPr>
        <w:t>Australian business</w:t>
      </w:r>
      <w:r w:rsidR="00E6499E" w:rsidRPr="00375D0E">
        <w:rPr>
          <w:sz w:val="24"/>
          <w:szCs w:val="24"/>
        </w:rPr>
        <w:t>es</w:t>
      </w:r>
      <w:r w:rsidR="001E1FBA" w:rsidRPr="00375D0E">
        <w:rPr>
          <w:sz w:val="24"/>
          <w:szCs w:val="24"/>
        </w:rPr>
        <w:t xml:space="preserve"> operating overseas</w:t>
      </w:r>
      <w:r w:rsidRPr="00375D0E">
        <w:rPr>
          <w:sz w:val="24"/>
          <w:szCs w:val="24"/>
        </w:rPr>
        <w:t>.</w:t>
      </w:r>
    </w:p>
    <w:p w14:paraId="298E66FA" w14:textId="77777777" w:rsidR="005B0EDB" w:rsidRPr="00F6410D" w:rsidRDefault="005B0EDB" w:rsidP="00A274B6">
      <w:pPr>
        <w:pStyle w:val="ListParagraph"/>
        <w:spacing w:before="0"/>
        <w:ind w:left="1080"/>
      </w:pPr>
    </w:p>
    <w:p w14:paraId="57114BDA" w14:textId="77777777" w:rsidR="00CE788F" w:rsidRPr="007E4AAA" w:rsidRDefault="00CE788F" w:rsidP="00687CC5">
      <w:pPr>
        <w:pStyle w:val="ListParagraph"/>
        <w:numPr>
          <w:ilvl w:val="2"/>
          <w:numId w:val="15"/>
        </w:numPr>
        <w:spacing w:before="0" w:after="160"/>
      </w:pPr>
      <w:r w:rsidRPr="007E4AAA">
        <w:rPr>
          <w:b/>
          <w:i/>
        </w:rPr>
        <w:t xml:space="preserve">State-Business nexus – ensuring State </w:t>
      </w:r>
      <w:r w:rsidR="00222539" w:rsidRPr="007E4AAA">
        <w:rPr>
          <w:b/>
          <w:i/>
        </w:rPr>
        <w:t>adherence to human rights standards</w:t>
      </w:r>
      <w:r w:rsidR="00B32A9A" w:rsidRPr="007E4AAA">
        <w:rPr>
          <w:b/>
          <w:i/>
        </w:rPr>
        <w:t xml:space="preserve"> in its own activities</w:t>
      </w:r>
    </w:p>
    <w:p w14:paraId="4D97CB87" w14:textId="77777777" w:rsidR="005C349F" w:rsidRDefault="00147CA1" w:rsidP="009A2E88">
      <w:r>
        <w:t>A</w:t>
      </w:r>
      <w:r w:rsidR="00A00D3D">
        <w:t xml:space="preserve"> key priority for civil society </w:t>
      </w:r>
      <w:r>
        <w:t xml:space="preserve">is </w:t>
      </w:r>
      <w:r w:rsidR="00A00D3D">
        <w:t>that the</w:t>
      </w:r>
      <w:r w:rsidR="006050EC" w:rsidRPr="006050EC">
        <w:t xml:space="preserve"> </w:t>
      </w:r>
      <w:r w:rsidR="006050EC">
        <w:t>Australian</w:t>
      </w:r>
      <w:r w:rsidR="00A00D3D">
        <w:t xml:space="preserve"> Government</w:t>
      </w:r>
      <w:r w:rsidR="00A00D3D" w:rsidRPr="00E173DD">
        <w:t xml:space="preserve"> </w:t>
      </w:r>
      <w:r w:rsidR="00A00D3D">
        <w:t xml:space="preserve">adequately reflects human rights standards in </w:t>
      </w:r>
      <w:r w:rsidR="00444929">
        <w:t xml:space="preserve">its </w:t>
      </w:r>
      <w:r w:rsidR="00A00D3D">
        <w:t xml:space="preserve">own policies and procedures. </w:t>
      </w:r>
      <w:r w:rsidR="006050EC">
        <w:t>The g</w:t>
      </w:r>
      <w:r w:rsidR="005C349F">
        <w:t xml:space="preserve">overnment is an economic actor in its own right. As such, it is </w:t>
      </w:r>
      <w:r w:rsidR="00A80036">
        <w:t xml:space="preserve">also required to adhere to </w:t>
      </w:r>
      <w:r w:rsidR="005C349F">
        <w:t xml:space="preserve">human rights standards </w:t>
      </w:r>
      <w:r w:rsidR="00A80036">
        <w:t>in its</w:t>
      </w:r>
      <w:r w:rsidR="005C349F">
        <w:t xml:space="preserve"> business</w:t>
      </w:r>
      <w:r w:rsidR="00A80036">
        <w:t>-related activities</w:t>
      </w:r>
      <w:r w:rsidR="000B0259">
        <w:t>.</w:t>
      </w:r>
      <w:r w:rsidR="00E173DD" w:rsidRPr="00F6410D">
        <w:rPr>
          <w:rStyle w:val="EndnoteReference"/>
          <w:b/>
        </w:rPr>
        <w:endnoteReference w:id="22"/>
      </w:r>
      <w:r w:rsidR="00E173DD" w:rsidRPr="00E173DD">
        <w:t xml:space="preserve"> </w:t>
      </w:r>
      <w:r w:rsidR="006050EC">
        <w:t>Further, it would be commendable for the g</w:t>
      </w:r>
      <w:r w:rsidR="001C7DCA">
        <w:t xml:space="preserve">overnment </w:t>
      </w:r>
      <w:r w:rsidR="006050EC">
        <w:t>to</w:t>
      </w:r>
      <w:r w:rsidR="00E173DD">
        <w:t xml:space="preserve"> </w:t>
      </w:r>
      <w:r w:rsidR="00CC16D4">
        <w:t xml:space="preserve">endeavour to </w:t>
      </w:r>
      <w:r w:rsidR="001C7DCA">
        <w:t xml:space="preserve">act as a role model and </w:t>
      </w:r>
      <w:r w:rsidR="00E173DD">
        <w:t>lead Australia’s corporate sector by example.</w:t>
      </w:r>
      <w:r w:rsidR="00CB3569">
        <w:rPr>
          <w:rStyle w:val="EndnoteReference"/>
        </w:rPr>
        <w:endnoteReference w:id="23"/>
      </w:r>
      <w:r w:rsidR="001C7DCA">
        <w:t xml:space="preserve"> </w:t>
      </w:r>
      <w:r w:rsidR="00E173DD">
        <w:t xml:space="preserve"> </w:t>
      </w:r>
    </w:p>
    <w:p w14:paraId="5367D202" w14:textId="77777777" w:rsidR="00CD0E49" w:rsidRPr="00511F52" w:rsidRDefault="00CD0E49" w:rsidP="00687CC5">
      <w:pPr>
        <w:pStyle w:val="Heading4"/>
        <w:numPr>
          <w:ilvl w:val="3"/>
          <w:numId w:val="15"/>
        </w:numPr>
        <w:rPr>
          <w:szCs w:val="24"/>
        </w:rPr>
      </w:pPr>
      <w:bookmarkStart w:id="90" w:name="_Toc455580923"/>
      <w:bookmarkStart w:id="91" w:name="_Toc455588128"/>
      <w:bookmarkStart w:id="92" w:name="_Toc456168877"/>
      <w:bookmarkStart w:id="93" w:name="_Toc454973543"/>
      <w:r w:rsidRPr="00511F52">
        <w:rPr>
          <w:b/>
          <w:i/>
          <w:szCs w:val="24"/>
        </w:rPr>
        <w:t>Government-owned and supported business enterprises</w:t>
      </w:r>
      <w:bookmarkEnd w:id="90"/>
      <w:bookmarkEnd w:id="91"/>
      <w:bookmarkEnd w:id="92"/>
      <w:r w:rsidR="007F7349" w:rsidRPr="00511F52">
        <w:rPr>
          <w:b/>
          <w:i/>
          <w:szCs w:val="24"/>
        </w:rPr>
        <w:t xml:space="preserve"> </w:t>
      </w:r>
      <w:bookmarkEnd w:id="93"/>
    </w:p>
    <w:p w14:paraId="50F07A01" w14:textId="77777777" w:rsidR="00CD0E49" w:rsidRDefault="00CD0E49" w:rsidP="009A2E88">
      <w:pPr>
        <w:pStyle w:val="aaHRLCBodytextakaNormal"/>
        <w:spacing w:line="240" w:lineRule="auto"/>
        <w:rPr>
          <w:sz w:val="24"/>
          <w:szCs w:val="24"/>
        </w:rPr>
      </w:pPr>
      <w:r>
        <w:rPr>
          <w:sz w:val="24"/>
          <w:szCs w:val="24"/>
        </w:rPr>
        <w:t xml:space="preserve">The </w:t>
      </w:r>
      <w:r w:rsidR="006050EC" w:rsidRPr="006050EC">
        <w:rPr>
          <w:sz w:val="24"/>
          <w:szCs w:val="24"/>
        </w:rPr>
        <w:t>Australian</w:t>
      </w:r>
      <w:r w:rsidR="006050EC">
        <w:t xml:space="preserve"> </w:t>
      </w:r>
      <w:r>
        <w:rPr>
          <w:sz w:val="24"/>
          <w:szCs w:val="24"/>
        </w:rPr>
        <w:t>Government bears responsibility for the human rights impacts of the busin</w:t>
      </w:r>
      <w:r w:rsidR="006050EC">
        <w:rPr>
          <w:sz w:val="24"/>
          <w:szCs w:val="24"/>
        </w:rPr>
        <w:t xml:space="preserve">esses that it owns or controls </w:t>
      </w:r>
      <w:r>
        <w:rPr>
          <w:sz w:val="24"/>
          <w:szCs w:val="24"/>
        </w:rPr>
        <w:t xml:space="preserve">such as the </w:t>
      </w:r>
      <w:r>
        <w:rPr>
          <w:sz w:val="24"/>
          <w:szCs w:val="24"/>
          <w:lang w:val="en-US"/>
        </w:rPr>
        <w:t>Australian Government Future Fund, the Australian Broadcasting</w:t>
      </w:r>
      <w:r w:rsidR="006050EC">
        <w:rPr>
          <w:sz w:val="24"/>
          <w:szCs w:val="24"/>
          <w:lang w:val="en-US"/>
        </w:rPr>
        <w:t xml:space="preserve"> Corporation and Australia Post</w:t>
      </w:r>
      <w:r>
        <w:rPr>
          <w:sz w:val="24"/>
          <w:szCs w:val="24"/>
          <w:lang w:val="en-US"/>
        </w:rPr>
        <w:t xml:space="preserve"> or</w:t>
      </w:r>
      <w:r>
        <w:rPr>
          <w:sz w:val="24"/>
          <w:szCs w:val="24"/>
        </w:rPr>
        <w:t xml:space="preserve"> supports </w:t>
      </w:r>
      <w:r>
        <w:rPr>
          <w:sz w:val="24"/>
          <w:szCs w:val="24"/>
          <w:lang w:val="en-US"/>
        </w:rPr>
        <w:t>through</w:t>
      </w:r>
      <w:r w:rsidR="00B73796">
        <w:rPr>
          <w:sz w:val="24"/>
          <w:szCs w:val="24"/>
          <w:lang w:val="en-US"/>
        </w:rPr>
        <w:t>,</w:t>
      </w:r>
      <w:r w:rsidR="00B73796" w:rsidRPr="00B73796">
        <w:rPr>
          <w:sz w:val="24"/>
          <w:szCs w:val="24"/>
          <w:lang w:val="en-US"/>
        </w:rPr>
        <w:t xml:space="preserve"> </w:t>
      </w:r>
      <w:r w:rsidR="00B73796">
        <w:rPr>
          <w:sz w:val="24"/>
          <w:szCs w:val="24"/>
          <w:lang w:val="en-US"/>
        </w:rPr>
        <w:t>for example,</w:t>
      </w:r>
      <w:r>
        <w:rPr>
          <w:sz w:val="24"/>
          <w:szCs w:val="24"/>
          <w:lang w:val="en-US"/>
        </w:rPr>
        <w:t xml:space="preserve"> </w:t>
      </w:r>
      <w:r w:rsidR="0058078D">
        <w:rPr>
          <w:sz w:val="24"/>
          <w:szCs w:val="24"/>
          <w:lang w:val="en-US"/>
        </w:rPr>
        <w:t xml:space="preserve">the </w:t>
      </w:r>
      <w:r>
        <w:rPr>
          <w:sz w:val="24"/>
          <w:szCs w:val="24"/>
        </w:rPr>
        <w:t>D</w:t>
      </w:r>
      <w:r w:rsidR="0058078D">
        <w:rPr>
          <w:sz w:val="24"/>
          <w:szCs w:val="24"/>
        </w:rPr>
        <w:t xml:space="preserve">epartment of </w:t>
      </w:r>
      <w:r>
        <w:rPr>
          <w:sz w:val="24"/>
          <w:szCs w:val="24"/>
        </w:rPr>
        <w:t>F</w:t>
      </w:r>
      <w:r w:rsidR="0058078D">
        <w:rPr>
          <w:sz w:val="24"/>
          <w:szCs w:val="24"/>
        </w:rPr>
        <w:t xml:space="preserve">oreign </w:t>
      </w:r>
      <w:r>
        <w:rPr>
          <w:sz w:val="24"/>
          <w:szCs w:val="24"/>
        </w:rPr>
        <w:t>A</w:t>
      </w:r>
      <w:r w:rsidR="0058078D">
        <w:rPr>
          <w:sz w:val="24"/>
          <w:szCs w:val="24"/>
        </w:rPr>
        <w:t xml:space="preserve">ffairs and </w:t>
      </w:r>
      <w:r>
        <w:rPr>
          <w:sz w:val="24"/>
          <w:szCs w:val="24"/>
        </w:rPr>
        <w:t>T</w:t>
      </w:r>
      <w:r w:rsidR="0058078D">
        <w:rPr>
          <w:sz w:val="24"/>
          <w:szCs w:val="24"/>
        </w:rPr>
        <w:t>rade</w:t>
      </w:r>
      <w:r>
        <w:rPr>
          <w:sz w:val="24"/>
          <w:szCs w:val="24"/>
        </w:rPr>
        <w:t>, Austrade, Tourism Australia, E</w:t>
      </w:r>
      <w:r w:rsidR="0058078D">
        <w:rPr>
          <w:sz w:val="24"/>
          <w:szCs w:val="24"/>
        </w:rPr>
        <w:t xml:space="preserve">xport </w:t>
      </w:r>
      <w:r>
        <w:rPr>
          <w:sz w:val="24"/>
          <w:szCs w:val="24"/>
        </w:rPr>
        <w:t>F</w:t>
      </w:r>
      <w:r w:rsidR="0058078D">
        <w:rPr>
          <w:sz w:val="24"/>
          <w:szCs w:val="24"/>
        </w:rPr>
        <w:t xml:space="preserve">inance and </w:t>
      </w:r>
      <w:r>
        <w:rPr>
          <w:sz w:val="24"/>
          <w:szCs w:val="24"/>
        </w:rPr>
        <w:t>I</w:t>
      </w:r>
      <w:r w:rsidR="0058078D">
        <w:rPr>
          <w:sz w:val="24"/>
          <w:szCs w:val="24"/>
        </w:rPr>
        <w:t xml:space="preserve">nsurance </w:t>
      </w:r>
      <w:r>
        <w:rPr>
          <w:sz w:val="24"/>
          <w:szCs w:val="24"/>
        </w:rPr>
        <w:t>C</w:t>
      </w:r>
      <w:r w:rsidR="0058078D">
        <w:rPr>
          <w:sz w:val="24"/>
          <w:szCs w:val="24"/>
        </w:rPr>
        <w:t>orporation</w:t>
      </w:r>
      <w:r>
        <w:rPr>
          <w:sz w:val="24"/>
          <w:szCs w:val="24"/>
        </w:rPr>
        <w:t>, or the Australian Centre for Inte</w:t>
      </w:r>
      <w:r w:rsidR="006050EC">
        <w:rPr>
          <w:sz w:val="24"/>
          <w:szCs w:val="24"/>
        </w:rPr>
        <w:t>rnational Agricultural Research</w:t>
      </w:r>
      <w:r w:rsidR="00C10B54">
        <w:rPr>
          <w:sz w:val="24"/>
          <w:szCs w:val="24"/>
        </w:rPr>
        <w:t xml:space="preserve"> (SOEs)</w:t>
      </w:r>
      <w:r>
        <w:rPr>
          <w:sz w:val="24"/>
          <w:szCs w:val="24"/>
        </w:rPr>
        <w:t xml:space="preserve">. </w:t>
      </w:r>
    </w:p>
    <w:p w14:paraId="34856C0E" w14:textId="48F3A8D6" w:rsidR="00CD0E49" w:rsidRDefault="007E33B7" w:rsidP="009A2E88">
      <w:pPr>
        <w:pStyle w:val="aaHRLCBodytextakaNormal"/>
        <w:spacing w:line="240" w:lineRule="auto"/>
        <w:rPr>
          <w:sz w:val="24"/>
          <w:szCs w:val="24"/>
        </w:rPr>
      </w:pPr>
      <w:r>
        <w:rPr>
          <w:sz w:val="24"/>
          <w:szCs w:val="24"/>
        </w:rPr>
        <w:t xml:space="preserve">If the </w:t>
      </w:r>
      <w:r w:rsidR="006050EC">
        <w:rPr>
          <w:sz w:val="24"/>
          <w:szCs w:val="24"/>
        </w:rPr>
        <w:t>g</w:t>
      </w:r>
      <w:r>
        <w:rPr>
          <w:sz w:val="24"/>
          <w:szCs w:val="24"/>
        </w:rPr>
        <w:t>overnment</w:t>
      </w:r>
      <w:r w:rsidR="00FE286E">
        <w:rPr>
          <w:sz w:val="24"/>
          <w:szCs w:val="24"/>
        </w:rPr>
        <w:t xml:space="preserve"> is to</w:t>
      </w:r>
      <w:r w:rsidR="00CD0E49">
        <w:rPr>
          <w:sz w:val="24"/>
          <w:szCs w:val="24"/>
        </w:rPr>
        <w:t xml:space="preserve"> </w:t>
      </w:r>
      <w:r>
        <w:rPr>
          <w:sz w:val="24"/>
          <w:szCs w:val="24"/>
        </w:rPr>
        <w:t xml:space="preserve">effectively promote UNGPs </w:t>
      </w:r>
      <w:r w:rsidR="00CD0E49">
        <w:rPr>
          <w:sz w:val="24"/>
          <w:szCs w:val="24"/>
        </w:rPr>
        <w:t xml:space="preserve">adoption by the private sector, it </w:t>
      </w:r>
      <w:r w:rsidR="00977CE5">
        <w:rPr>
          <w:sz w:val="24"/>
          <w:szCs w:val="24"/>
        </w:rPr>
        <w:t>should</w:t>
      </w:r>
      <w:r w:rsidR="00CD0E49">
        <w:rPr>
          <w:sz w:val="24"/>
          <w:szCs w:val="24"/>
        </w:rPr>
        <w:t xml:space="preserve"> </w:t>
      </w:r>
      <w:r w:rsidR="00D01177">
        <w:rPr>
          <w:sz w:val="24"/>
          <w:szCs w:val="24"/>
        </w:rPr>
        <w:t xml:space="preserve">similarly </w:t>
      </w:r>
      <w:r w:rsidR="00CD0E49">
        <w:rPr>
          <w:sz w:val="24"/>
          <w:szCs w:val="24"/>
        </w:rPr>
        <w:t xml:space="preserve">adhere to </w:t>
      </w:r>
      <w:r w:rsidR="003B6434">
        <w:rPr>
          <w:sz w:val="24"/>
          <w:szCs w:val="24"/>
        </w:rPr>
        <w:t>relevant</w:t>
      </w:r>
      <w:r w:rsidR="00CD0E49">
        <w:rPr>
          <w:sz w:val="24"/>
          <w:szCs w:val="24"/>
        </w:rPr>
        <w:t xml:space="preserve"> obligations</w:t>
      </w:r>
      <w:r w:rsidR="006813A3">
        <w:rPr>
          <w:sz w:val="24"/>
          <w:szCs w:val="24"/>
        </w:rPr>
        <w:t xml:space="preserve">. The UNGPs make it clear that States </w:t>
      </w:r>
      <w:r w:rsidR="00977CE5">
        <w:rPr>
          <w:sz w:val="24"/>
          <w:szCs w:val="24"/>
        </w:rPr>
        <w:lastRenderedPageBreak/>
        <w:t>are required to</w:t>
      </w:r>
      <w:r w:rsidR="006813A3">
        <w:rPr>
          <w:sz w:val="24"/>
          <w:szCs w:val="24"/>
        </w:rPr>
        <w:t xml:space="preserve"> take additional steps to protect against human rights abuses by business enterprises that are owned or controlled by the State.</w:t>
      </w:r>
      <w:r w:rsidR="006813A3">
        <w:rPr>
          <w:rStyle w:val="EndnoteReference"/>
          <w:szCs w:val="24"/>
        </w:rPr>
        <w:endnoteReference w:id="24"/>
      </w:r>
      <w:r w:rsidR="006813A3">
        <w:rPr>
          <w:sz w:val="24"/>
          <w:szCs w:val="24"/>
        </w:rPr>
        <w:t xml:space="preserve"> These additional steps may include requiring human rights due diligence.</w:t>
      </w:r>
      <w:r w:rsidR="006813A3">
        <w:rPr>
          <w:rStyle w:val="EndnoteReference"/>
          <w:szCs w:val="24"/>
        </w:rPr>
        <w:endnoteReference w:id="25"/>
      </w:r>
      <w:r w:rsidR="006813A3">
        <w:rPr>
          <w:sz w:val="24"/>
          <w:szCs w:val="24"/>
        </w:rPr>
        <w:t xml:space="preserve"> </w:t>
      </w:r>
      <w:r w:rsidR="006050EC">
        <w:rPr>
          <w:sz w:val="24"/>
          <w:szCs w:val="24"/>
        </w:rPr>
        <w:t xml:space="preserve"> Similarly, the g</w:t>
      </w:r>
      <w:r w:rsidR="00CD0E49">
        <w:rPr>
          <w:sz w:val="24"/>
          <w:szCs w:val="24"/>
        </w:rPr>
        <w:t xml:space="preserve">overnment should ensure that it does not provide support for companies that are failing to meet their human rights responsibilities. </w:t>
      </w:r>
    </w:p>
    <w:p w14:paraId="7D8F19F1" w14:textId="77777777" w:rsidR="00CD0E49" w:rsidRDefault="00156D59" w:rsidP="009A2E88">
      <w:pPr>
        <w:pStyle w:val="aaHRLCBodytextakaNormal"/>
        <w:spacing w:line="240" w:lineRule="auto"/>
        <w:rPr>
          <w:sz w:val="24"/>
          <w:szCs w:val="24"/>
        </w:rPr>
      </w:pPr>
      <w:r>
        <w:rPr>
          <w:sz w:val="24"/>
          <w:szCs w:val="24"/>
        </w:rPr>
        <w:t>A</w:t>
      </w:r>
      <w:r w:rsidR="00CD0E49">
        <w:rPr>
          <w:sz w:val="24"/>
          <w:szCs w:val="24"/>
        </w:rPr>
        <w:t xml:space="preserve">s a first step, </w:t>
      </w:r>
      <w:r w:rsidR="004D4190">
        <w:rPr>
          <w:sz w:val="24"/>
          <w:szCs w:val="24"/>
        </w:rPr>
        <w:t xml:space="preserve">it is recommended that </w:t>
      </w:r>
      <w:r w:rsidR="006050EC">
        <w:rPr>
          <w:sz w:val="24"/>
          <w:szCs w:val="24"/>
        </w:rPr>
        <w:t>the g</w:t>
      </w:r>
      <w:r w:rsidR="00CD0E49">
        <w:rPr>
          <w:sz w:val="24"/>
          <w:szCs w:val="24"/>
        </w:rPr>
        <w:t>overnment review</w:t>
      </w:r>
      <w:r w:rsidR="004D4190">
        <w:rPr>
          <w:sz w:val="24"/>
          <w:szCs w:val="24"/>
        </w:rPr>
        <w:t>s</w:t>
      </w:r>
      <w:r w:rsidR="00CD0E49">
        <w:rPr>
          <w:sz w:val="24"/>
          <w:szCs w:val="24"/>
        </w:rPr>
        <w:t>, as part of the NBA, its policies and procedur</w:t>
      </w:r>
      <w:r w:rsidR="004D4190">
        <w:rPr>
          <w:sz w:val="24"/>
          <w:szCs w:val="24"/>
        </w:rPr>
        <w:t>es relating to SOEs and identifies</w:t>
      </w:r>
      <w:r w:rsidR="00CD0E49">
        <w:rPr>
          <w:sz w:val="24"/>
          <w:szCs w:val="24"/>
        </w:rPr>
        <w:t xml:space="preserve"> measures to improve its practices.</w:t>
      </w:r>
      <w:r w:rsidR="00861703" w:rsidRPr="00861703">
        <w:rPr>
          <w:sz w:val="24"/>
          <w:szCs w:val="24"/>
        </w:rPr>
        <w:t xml:space="preserve"> </w:t>
      </w:r>
      <w:r w:rsidR="00861703">
        <w:rPr>
          <w:sz w:val="24"/>
          <w:szCs w:val="24"/>
        </w:rPr>
        <w:t>In considering its obligations,</w:t>
      </w:r>
      <w:r w:rsidR="004D4190">
        <w:rPr>
          <w:sz w:val="24"/>
          <w:szCs w:val="24"/>
        </w:rPr>
        <w:t xml:space="preserve"> it is recommended that</w:t>
      </w:r>
      <w:r w:rsidR="006050EC">
        <w:rPr>
          <w:sz w:val="24"/>
          <w:szCs w:val="24"/>
        </w:rPr>
        <w:t xml:space="preserve"> the g</w:t>
      </w:r>
      <w:r w:rsidR="00861703">
        <w:rPr>
          <w:sz w:val="24"/>
          <w:szCs w:val="24"/>
        </w:rPr>
        <w:t xml:space="preserve">overnment </w:t>
      </w:r>
      <w:r w:rsidR="004D4190">
        <w:rPr>
          <w:sz w:val="24"/>
          <w:szCs w:val="24"/>
        </w:rPr>
        <w:t xml:space="preserve">has </w:t>
      </w:r>
      <w:r w:rsidR="00861703">
        <w:rPr>
          <w:sz w:val="24"/>
          <w:szCs w:val="24"/>
        </w:rPr>
        <w:t xml:space="preserve">regard to the State-directed recommendations in the </w:t>
      </w:r>
      <w:r w:rsidR="00917889">
        <w:rPr>
          <w:sz w:val="24"/>
          <w:szCs w:val="24"/>
        </w:rPr>
        <w:t xml:space="preserve">report of the </w:t>
      </w:r>
      <w:r w:rsidR="00861703">
        <w:rPr>
          <w:sz w:val="24"/>
          <w:szCs w:val="24"/>
        </w:rPr>
        <w:t xml:space="preserve">UN Working Group on Business and Human Rights to the UN Human Rights Council, </w:t>
      </w:r>
      <w:r w:rsidR="000C211E" w:rsidRPr="000C211E">
        <w:rPr>
          <w:i/>
          <w:sz w:val="24"/>
          <w:szCs w:val="24"/>
        </w:rPr>
        <w:t>Leading by example – The State, State-owned enterprises and Human Rights</w:t>
      </w:r>
      <w:r w:rsidR="000C211E">
        <w:rPr>
          <w:i/>
          <w:sz w:val="24"/>
          <w:szCs w:val="24"/>
        </w:rPr>
        <w:t>,</w:t>
      </w:r>
      <w:r w:rsidR="000C211E" w:rsidRPr="000C211E">
        <w:rPr>
          <w:i/>
          <w:sz w:val="24"/>
          <w:szCs w:val="24"/>
        </w:rPr>
        <w:t xml:space="preserve"> </w:t>
      </w:r>
      <w:r w:rsidR="000C211E">
        <w:rPr>
          <w:sz w:val="24"/>
          <w:szCs w:val="24"/>
        </w:rPr>
        <w:t>May</w:t>
      </w:r>
      <w:r w:rsidR="00861703">
        <w:rPr>
          <w:sz w:val="24"/>
          <w:szCs w:val="24"/>
        </w:rPr>
        <w:t xml:space="preserve"> 2016.</w:t>
      </w:r>
      <w:r w:rsidR="00861703">
        <w:rPr>
          <w:rStyle w:val="EndnoteReference"/>
          <w:szCs w:val="24"/>
        </w:rPr>
        <w:endnoteReference w:id="26"/>
      </w:r>
    </w:p>
    <w:p w14:paraId="75E32FFA" w14:textId="77777777" w:rsidR="007F7349" w:rsidRPr="007F7349" w:rsidRDefault="007F7349" w:rsidP="009A2E88">
      <w:pPr>
        <w:pStyle w:val="aaHRLCBodytextakaNormal"/>
        <w:spacing w:line="240" w:lineRule="auto"/>
        <w:rPr>
          <w:sz w:val="24"/>
          <w:szCs w:val="24"/>
        </w:rPr>
      </w:pPr>
      <w:r w:rsidRPr="007F7349">
        <w:rPr>
          <w:sz w:val="24"/>
          <w:szCs w:val="24"/>
        </w:rPr>
        <w:t xml:space="preserve">It is </w:t>
      </w:r>
      <w:r w:rsidR="00715DCC">
        <w:rPr>
          <w:sz w:val="24"/>
          <w:szCs w:val="24"/>
        </w:rPr>
        <w:t xml:space="preserve">further </w:t>
      </w:r>
      <w:r w:rsidRPr="007F7349">
        <w:rPr>
          <w:sz w:val="24"/>
          <w:szCs w:val="24"/>
        </w:rPr>
        <w:t>r</w:t>
      </w:r>
      <w:r w:rsidR="00CD0E49" w:rsidRPr="007F7349">
        <w:rPr>
          <w:sz w:val="24"/>
          <w:szCs w:val="24"/>
        </w:rPr>
        <w:t>ecommend</w:t>
      </w:r>
      <w:r w:rsidRPr="007F7349">
        <w:rPr>
          <w:sz w:val="24"/>
          <w:szCs w:val="24"/>
        </w:rPr>
        <w:t>ed that</w:t>
      </w:r>
      <w:r>
        <w:rPr>
          <w:sz w:val="24"/>
          <w:szCs w:val="24"/>
        </w:rPr>
        <w:t xml:space="preserve"> the </w:t>
      </w:r>
      <w:r w:rsidR="006050EC" w:rsidRPr="006050EC">
        <w:rPr>
          <w:sz w:val="24"/>
          <w:szCs w:val="24"/>
        </w:rPr>
        <w:t>Australian</w:t>
      </w:r>
      <w:r w:rsidR="006050EC">
        <w:rPr>
          <w:sz w:val="24"/>
          <w:szCs w:val="24"/>
        </w:rPr>
        <w:t xml:space="preserve"> </w:t>
      </w:r>
      <w:r>
        <w:rPr>
          <w:sz w:val="24"/>
          <w:szCs w:val="24"/>
        </w:rPr>
        <w:t>Government</w:t>
      </w:r>
      <w:r w:rsidRPr="007F7349">
        <w:rPr>
          <w:sz w:val="24"/>
          <w:szCs w:val="24"/>
        </w:rPr>
        <w:t>:</w:t>
      </w:r>
    </w:p>
    <w:p w14:paraId="27B48CB9" w14:textId="77777777" w:rsidR="00CD0E49" w:rsidRDefault="00CD0E49" w:rsidP="00687CC5">
      <w:pPr>
        <w:pStyle w:val="aaHRLCBodytextakaNormal"/>
        <w:numPr>
          <w:ilvl w:val="0"/>
          <w:numId w:val="22"/>
        </w:numPr>
        <w:spacing w:line="240" w:lineRule="auto"/>
        <w:rPr>
          <w:sz w:val="24"/>
          <w:szCs w:val="24"/>
        </w:rPr>
      </w:pPr>
      <w:r>
        <w:rPr>
          <w:sz w:val="24"/>
          <w:szCs w:val="24"/>
        </w:rPr>
        <w:t>ensure</w:t>
      </w:r>
      <w:r w:rsidR="007F7349">
        <w:rPr>
          <w:sz w:val="24"/>
          <w:szCs w:val="24"/>
        </w:rPr>
        <w:t>s</w:t>
      </w:r>
      <w:r>
        <w:rPr>
          <w:sz w:val="24"/>
          <w:szCs w:val="24"/>
        </w:rPr>
        <w:t xml:space="preserve"> that human rights due diligence requirements are built into </w:t>
      </w:r>
      <w:r w:rsidR="00977CE5">
        <w:rPr>
          <w:sz w:val="24"/>
          <w:szCs w:val="24"/>
        </w:rPr>
        <w:t xml:space="preserve">its own business </w:t>
      </w:r>
      <w:r w:rsidR="00AE5BB6">
        <w:rPr>
          <w:sz w:val="24"/>
          <w:szCs w:val="24"/>
        </w:rPr>
        <w:t>practices</w:t>
      </w:r>
      <w:r>
        <w:rPr>
          <w:sz w:val="24"/>
          <w:szCs w:val="24"/>
        </w:rPr>
        <w:t xml:space="preserve"> </w:t>
      </w:r>
      <w:r w:rsidR="007F7349">
        <w:rPr>
          <w:sz w:val="24"/>
          <w:szCs w:val="24"/>
        </w:rPr>
        <w:t xml:space="preserve">and </w:t>
      </w:r>
      <w:r w:rsidR="00A952FB">
        <w:rPr>
          <w:sz w:val="24"/>
          <w:szCs w:val="24"/>
        </w:rPr>
        <w:t>are</w:t>
      </w:r>
      <w:r w:rsidR="007F7349">
        <w:rPr>
          <w:sz w:val="24"/>
          <w:szCs w:val="24"/>
        </w:rPr>
        <w:t xml:space="preserve"> a condition of </w:t>
      </w:r>
      <w:r>
        <w:rPr>
          <w:sz w:val="24"/>
          <w:szCs w:val="24"/>
        </w:rPr>
        <w:t>financial</w:t>
      </w:r>
      <w:r w:rsidR="00AE5BB6">
        <w:rPr>
          <w:sz w:val="24"/>
          <w:szCs w:val="24"/>
        </w:rPr>
        <w:t>,</w:t>
      </w:r>
      <w:r w:rsidR="00977CE5">
        <w:rPr>
          <w:sz w:val="24"/>
          <w:szCs w:val="24"/>
        </w:rPr>
        <w:t xml:space="preserve"> </w:t>
      </w:r>
      <w:r>
        <w:rPr>
          <w:sz w:val="24"/>
          <w:szCs w:val="24"/>
        </w:rPr>
        <w:t>or othe</w:t>
      </w:r>
      <w:r w:rsidR="00156D59">
        <w:rPr>
          <w:sz w:val="24"/>
          <w:szCs w:val="24"/>
        </w:rPr>
        <w:t>r</w:t>
      </w:r>
      <w:r w:rsidR="00AE5BB6">
        <w:rPr>
          <w:sz w:val="24"/>
          <w:szCs w:val="24"/>
        </w:rPr>
        <w:t>,</w:t>
      </w:r>
      <w:r w:rsidR="00156D59">
        <w:rPr>
          <w:sz w:val="24"/>
          <w:szCs w:val="24"/>
        </w:rPr>
        <w:t xml:space="preserve"> support to business entities</w:t>
      </w:r>
      <w:r w:rsidR="00AE5BB6">
        <w:rPr>
          <w:sz w:val="24"/>
          <w:szCs w:val="24"/>
        </w:rPr>
        <w:t xml:space="preserve"> with which it partners</w:t>
      </w:r>
      <w:r w:rsidR="00156D59">
        <w:rPr>
          <w:sz w:val="24"/>
          <w:szCs w:val="24"/>
        </w:rPr>
        <w:t>;</w:t>
      </w:r>
    </w:p>
    <w:p w14:paraId="54875545" w14:textId="77777777" w:rsidR="00CD0E49" w:rsidRDefault="00CD0E49" w:rsidP="00687CC5">
      <w:pPr>
        <w:pStyle w:val="aaHRLCBodytextakaNormal"/>
        <w:numPr>
          <w:ilvl w:val="0"/>
          <w:numId w:val="22"/>
        </w:numPr>
        <w:spacing w:line="240" w:lineRule="auto"/>
        <w:rPr>
          <w:sz w:val="24"/>
          <w:szCs w:val="24"/>
        </w:rPr>
      </w:pPr>
      <w:r>
        <w:rPr>
          <w:sz w:val="24"/>
          <w:szCs w:val="24"/>
        </w:rPr>
        <w:t>ensure</w:t>
      </w:r>
      <w:r w:rsidR="007F7349">
        <w:rPr>
          <w:sz w:val="24"/>
          <w:szCs w:val="24"/>
        </w:rPr>
        <w:t>s</w:t>
      </w:r>
      <w:r>
        <w:rPr>
          <w:sz w:val="24"/>
          <w:szCs w:val="24"/>
        </w:rPr>
        <w:t xml:space="preserve"> that companies to which it provides financial</w:t>
      </w:r>
      <w:r w:rsidR="00147CA1">
        <w:rPr>
          <w:sz w:val="24"/>
          <w:szCs w:val="24"/>
        </w:rPr>
        <w:t>,</w:t>
      </w:r>
      <w:r>
        <w:rPr>
          <w:sz w:val="24"/>
          <w:szCs w:val="24"/>
        </w:rPr>
        <w:t xml:space="preserve"> or other</w:t>
      </w:r>
      <w:r w:rsidR="000C211E">
        <w:rPr>
          <w:sz w:val="24"/>
          <w:szCs w:val="24"/>
        </w:rPr>
        <w:t>,</w:t>
      </w:r>
      <w:r>
        <w:rPr>
          <w:sz w:val="24"/>
          <w:szCs w:val="24"/>
        </w:rPr>
        <w:t xml:space="preserve"> support meet all </w:t>
      </w:r>
      <w:r w:rsidR="00156D59">
        <w:rPr>
          <w:sz w:val="24"/>
          <w:szCs w:val="24"/>
        </w:rPr>
        <w:t>relevant human rights standards;</w:t>
      </w:r>
      <w:r w:rsidR="00A952FB">
        <w:rPr>
          <w:sz w:val="24"/>
          <w:szCs w:val="24"/>
        </w:rPr>
        <w:t xml:space="preserve"> </w:t>
      </w:r>
    </w:p>
    <w:p w14:paraId="66DF1D84" w14:textId="77777777" w:rsidR="00C97ACB" w:rsidRDefault="00CD0E49" w:rsidP="00687CC5">
      <w:pPr>
        <w:pStyle w:val="aaHRLCBodytextakaNormal"/>
        <w:numPr>
          <w:ilvl w:val="0"/>
          <w:numId w:val="22"/>
        </w:numPr>
        <w:spacing w:line="240" w:lineRule="auto"/>
        <w:rPr>
          <w:sz w:val="24"/>
          <w:szCs w:val="24"/>
        </w:rPr>
      </w:pPr>
      <w:r>
        <w:rPr>
          <w:sz w:val="24"/>
          <w:szCs w:val="24"/>
        </w:rPr>
        <w:t>review</w:t>
      </w:r>
      <w:r w:rsidR="00156D59">
        <w:rPr>
          <w:sz w:val="24"/>
          <w:szCs w:val="24"/>
        </w:rPr>
        <w:t>s available</w:t>
      </w:r>
      <w:r>
        <w:rPr>
          <w:sz w:val="24"/>
          <w:szCs w:val="24"/>
        </w:rPr>
        <w:t xml:space="preserve"> grievance mechanisms </w:t>
      </w:r>
      <w:r w:rsidR="00156D59">
        <w:rPr>
          <w:sz w:val="24"/>
          <w:szCs w:val="24"/>
        </w:rPr>
        <w:t>for</w:t>
      </w:r>
      <w:r>
        <w:rPr>
          <w:sz w:val="24"/>
          <w:szCs w:val="24"/>
        </w:rPr>
        <w:t xml:space="preserve"> people affected by t</w:t>
      </w:r>
      <w:r w:rsidR="00543A72">
        <w:rPr>
          <w:sz w:val="24"/>
          <w:szCs w:val="24"/>
        </w:rPr>
        <w:t>he operations of g</w:t>
      </w:r>
      <w:r w:rsidR="00FE286E">
        <w:rPr>
          <w:sz w:val="24"/>
          <w:szCs w:val="24"/>
        </w:rPr>
        <w:t>overnment-</w:t>
      </w:r>
      <w:r>
        <w:rPr>
          <w:sz w:val="24"/>
          <w:szCs w:val="24"/>
        </w:rPr>
        <w:t>owned or controlled companies to ensure their adequacy and consistency with the UNGPs</w:t>
      </w:r>
      <w:r w:rsidR="00C97ACB">
        <w:rPr>
          <w:sz w:val="24"/>
          <w:szCs w:val="24"/>
        </w:rPr>
        <w:t>; and</w:t>
      </w:r>
    </w:p>
    <w:p w14:paraId="187C4EE9" w14:textId="77777777" w:rsidR="00CD0E49" w:rsidRPr="00CC5721" w:rsidRDefault="00C97ACB" w:rsidP="00687CC5">
      <w:pPr>
        <w:pStyle w:val="aaHRLCBodytextakaNormal"/>
        <w:numPr>
          <w:ilvl w:val="0"/>
          <w:numId w:val="22"/>
        </w:numPr>
        <w:spacing w:line="240" w:lineRule="auto"/>
        <w:rPr>
          <w:sz w:val="24"/>
          <w:szCs w:val="24"/>
        </w:rPr>
      </w:pPr>
      <w:r>
        <w:rPr>
          <w:sz w:val="24"/>
          <w:szCs w:val="24"/>
        </w:rPr>
        <w:t>includes provision for human r</w:t>
      </w:r>
      <w:r w:rsidR="00543A72">
        <w:rPr>
          <w:sz w:val="24"/>
          <w:szCs w:val="24"/>
        </w:rPr>
        <w:t>ights requirements relating to g</w:t>
      </w:r>
      <w:r>
        <w:rPr>
          <w:sz w:val="24"/>
          <w:szCs w:val="24"/>
        </w:rPr>
        <w:t>overnment-owned and/ or supported business enterprises in a NAP</w:t>
      </w:r>
      <w:r w:rsidR="00CD0E49">
        <w:rPr>
          <w:sz w:val="24"/>
          <w:szCs w:val="24"/>
        </w:rPr>
        <w:t xml:space="preserve">. </w:t>
      </w:r>
    </w:p>
    <w:p w14:paraId="73EC0114" w14:textId="77777777" w:rsidR="00CD0E49" w:rsidRPr="00511F52" w:rsidRDefault="00CD0E49" w:rsidP="00687CC5">
      <w:pPr>
        <w:pStyle w:val="Heading4"/>
        <w:numPr>
          <w:ilvl w:val="3"/>
          <w:numId w:val="15"/>
        </w:numPr>
        <w:rPr>
          <w:iCs w:val="0"/>
        </w:rPr>
      </w:pPr>
      <w:bookmarkStart w:id="94" w:name="_Toc454973544"/>
      <w:bookmarkStart w:id="95" w:name="_Toc455580924"/>
      <w:bookmarkStart w:id="96" w:name="_Toc455588129"/>
      <w:bookmarkStart w:id="97" w:name="_Toc456168878"/>
      <w:r w:rsidRPr="00511F52">
        <w:rPr>
          <w:b/>
          <w:i/>
          <w:iCs w:val="0"/>
        </w:rPr>
        <w:t>Privatisation</w:t>
      </w:r>
      <w:bookmarkEnd w:id="94"/>
      <w:bookmarkEnd w:id="95"/>
      <w:bookmarkEnd w:id="96"/>
      <w:bookmarkEnd w:id="97"/>
    </w:p>
    <w:p w14:paraId="3FF2648F" w14:textId="77777777" w:rsidR="00CD0E49" w:rsidRDefault="00901AF1" w:rsidP="009A2E88">
      <w:pPr>
        <w:spacing w:before="120" w:after="0"/>
        <w:rPr>
          <w:rFonts w:eastAsia="Times New Roman" w:cs="Arial"/>
          <w:lang w:eastAsia="en-US"/>
        </w:rPr>
      </w:pPr>
      <w:r>
        <w:rPr>
          <w:rFonts w:eastAsia="Times New Roman" w:cs="Arial"/>
          <w:lang w:eastAsia="en-US"/>
        </w:rPr>
        <w:t>The UNGPs recogni</w:t>
      </w:r>
      <w:r w:rsidR="007C70B6">
        <w:rPr>
          <w:rFonts w:eastAsia="Times New Roman" w:cs="Arial"/>
          <w:lang w:eastAsia="en-US"/>
        </w:rPr>
        <w:t>se that S</w:t>
      </w:r>
      <w:r>
        <w:rPr>
          <w:rFonts w:eastAsia="Times New Roman" w:cs="Arial"/>
          <w:lang w:eastAsia="en-US"/>
        </w:rPr>
        <w:t>tates do not relinquish their international human rights obligations when public services are privatised.</w:t>
      </w:r>
      <w:r>
        <w:rPr>
          <w:rStyle w:val="EndnoteReference"/>
          <w:rFonts w:eastAsia="Times New Roman" w:cs="Arial"/>
          <w:lang w:eastAsia="en-US"/>
        </w:rPr>
        <w:endnoteReference w:id="27"/>
      </w:r>
      <w:r>
        <w:rPr>
          <w:rFonts w:eastAsia="Times New Roman" w:cs="Arial"/>
          <w:lang w:eastAsia="en-US"/>
        </w:rPr>
        <w:t xml:space="preserve"> </w:t>
      </w:r>
      <w:r w:rsidR="00CD0E49" w:rsidRPr="00CD0E49">
        <w:rPr>
          <w:rFonts w:eastAsia="Times New Roman" w:cs="Arial"/>
          <w:lang w:eastAsia="en-US"/>
        </w:rPr>
        <w:t>T</w:t>
      </w:r>
      <w:r w:rsidR="00543A72">
        <w:rPr>
          <w:rFonts w:eastAsia="Times New Roman"/>
          <w:lang w:eastAsia="en-US"/>
        </w:rPr>
        <w:t>he g</w:t>
      </w:r>
      <w:r w:rsidR="00CD0E49" w:rsidRPr="00CD0E49">
        <w:rPr>
          <w:rFonts w:eastAsia="Times New Roman"/>
          <w:lang w:eastAsia="en-US"/>
        </w:rPr>
        <w:t xml:space="preserve">overnment </w:t>
      </w:r>
      <w:r w:rsidR="000D1F34">
        <w:rPr>
          <w:rFonts w:eastAsia="Times New Roman"/>
          <w:lang w:eastAsia="en-US"/>
        </w:rPr>
        <w:t xml:space="preserve">is obliged to </w:t>
      </w:r>
      <w:r w:rsidR="00CD0E49" w:rsidRPr="00CD0E49">
        <w:rPr>
          <w:rFonts w:eastAsia="Times New Roman"/>
          <w:lang w:eastAsia="en-US"/>
        </w:rPr>
        <w:t>promote compliance with the UNGPs when setting conditions for the privatisation of essential services.</w:t>
      </w:r>
    </w:p>
    <w:p w14:paraId="5108AB5F" w14:textId="77777777" w:rsidR="004F75DE" w:rsidRPr="004F75DE" w:rsidRDefault="004F75DE" w:rsidP="009A2E88">
      <w:pPr>
        <w:spacing w:before="120" w:after="0"/>
        <w:rPr>
          <w:rFonts w:eastAsia="Times New Roman" w:cs="Arial"/>
          <w:lang w:eastAsia="en-US"/>
        </w:rPr>
      </w:pPr>
      <w:r>
        <w:rPr>
          <w:rFonts w:eastAsia="Times New Roman" w:cs="Arial"/>
          <w:lang w:eastAsia="en-US"/>
        </w:rPr>
        <w:t>It is recommended that</w:t>
      </w:r>
      <w:r w:rsidRPr="004F75DE">
        <w:rPr>
          <w:rFonts w:eastAsia="Times New Roman"/>
          <w:lang w:eastAsia="en-US"/>
        </w:rPr>
        <w:t xml:space="preserve"> </w:t>
      </w:r>
      <w:r>
        <w:rPr>
          <w:rFonts w:eastAsia="Times New Roman"/>
          <w:lang w:eastAsia="en-US"/>
        </w:rPr>
        <w:t>t</w:t>
      </w:r>
      <w:r w:rsidRPr="00CD0E49">
        <w:rPr>
          <w:rFonts w:eastAsia="Times New Roman"/>
          <w:lang w:eastAsia="en-US"/>
        </w:rPr>
        <w:t>he</w:t>
      </w:r>
      <w:r w:rsidRPr="00CD0E49">
        <w:rPr>
          <w:rFonts w:eastAsia="Times New Roman"/>
          <w:b/>
          <w:lang w:eastAsia="en-US"/>
        </w:rPr>
        <w:t xml:space="preserve"> </w:t>
      </w:r>
      <w:r w:rsidR="006050EC" w:rsidRPr="006050EC">
        <w:t>Australian</w:t>
      </w:r>
      <w:r w:rsidR="006050EC">
        <w:rPr>
          <w:rFonts w:eastAsia="Times New Roman"/>
          <w:lang w:eastAsia="en-US"/>
        </w:rPr>
        <w:t xml:space="preserve"> </w:t>
      </w:r>
      <w:r w:rsidR="008475F7">
        <w:rPr>
          <w:rFonts w:eastAsia="Times New Roman"/>
          <w:lang w:eastAsia="en-US"/>
        </w:rPr>
        <w:t>Governmen</w:t>
      </w:r>
      <w:r w:rsidR="008475F7">
        <w:rPr>
          <w:rFonts w:eastAsia="Times New Roman" w:cs="Arial"/>
          <w:lang w:eastAsia="en-US"/>
        </w:rPr>
        <w:t>t</w:t>
      </w:r>
      <w:r>
        <w:rPr>
          <w:rFonts w:eastAsia="Times New Roman" w:cs="Arial"/>
          <w:lang w:eastAsia="en-US"/>
        </w:rPr>
        <w:t>:</w:t>
      </w:r>
    </w:p>
    <w:p w14:paraId="54A34B27" w14:textId="77777777" w:rsidR="00CD0E49" w:rsidRPr="004F75DE" w:rsidRDefault="00CD0E49" w:rsidP="00687CC5">
      <w:pPr>
        <w:pStyle w:val="aaHRLCBodytextakaNormal"/>
        <w:numPr>
          <w:ilvl w:val="0"/>
          <w:numId w:val="22"/>
        </w:numPr>
        <w:spacing w:line="240" w:lineRule="auto"/>
        <w:rPr>
          <w:sz w:val="24"/>
          <w:szCs w:val="24"/>
        </w:rPr>
      </w:pPr>
      <w:r w:rsidRPr="004F75DE">
        <w:rPr>
          <w:sz w:val="24"/>
          <w:szCs w:val="24"/>
        </w:rPr>
        <w:t>conduct</w:t>
      </w:r>
      <w:r w:rsidR="004F75DE">
        <w:rPr>
          <w:sz w:val="24"/>
          <w:szCs w:val="24"/>
        </w:rPr>
        <w:t>s</w:t>
      </w:r>
      <w:r w:rsidRPr="004F75DE">
        <w:rPr>
          <w:sz w:val="24"/>
          <w:szCs w:val="24"/>
        </w:rPr>
        <w:t xml:space="preserve"> a human rights impact assessment of the potential consequences of a</w:t>
      </w:r>
      <w:r w:rsidR="00C03286">
        <w:rPr>
          <w:sz w:val="24"/>
          <w:szCs w:val="24"/>
        </w:rPr>
        <w:t>ny</w:t>
      </w:r>
      <w:r w:rsidRPr="004F75DE">
        <w:rPr>
          <w:sz w:val="24"/>
          <w:szCs w:val="24"/>
        </w:rPr>
        <w:t xml:space="preserve"> planned privatisation o</w:t>
      </w:r>
      <w:r w:rsidR="004F75DE">
        <w:rPr>
          <w:sz w:val="24"/>
          <w:szCs w:val="24"/>
        </w:rPr>
        <w:t xml:space="preserve">f public services; </w:t>
      </w:r>
    </w:p>
    <w:p w14:paraId="178709BC" w14:textId="77777777" w:rsidR="000B6B74" w:rsidRDefault="00CD0E49" w:rsidP="00687CC5">
      <w:pPr>
        <w:pStyle w:val="aaHRLCBodytextakaNormal"/>
        <w:numPr>
          <w:ilvl w:val="0"/>
          <w:numId w:val="22"/>
        </w:numPr>
        <w:spacing w:line="240" w:lineRule="auto"/>
        <w:rPr>
          <w:sz w:val="24"/>
          <w:szCs w:val="24"/>
        </w:rPr>
      </w:pPr>
      <w:r w:rsidRPr="004F75DE">
        <w:rPr>
          <w:sz w:val="24"/>
          <w:szCs w:val="24"/>
        </w:rPr>
        <w:t>establish</w:t>
      </w:r>
      <w:r w:rsidR="004F75DE">
        <w:rPr>
          <w:sz w:val="24"/>
          <w:szCs w:val="24"/>
        </w:rPr>
        <w:t>es</w:t>
      </w:r>
      <w:r w:rsidRPr="004F75DE">
        <w:rPr>
          <w:sz w:val="24"/>
          <w:szCs w:val="24"/>
        </w:rPr>
        <w:t xml:space="preserve"> institutional and contractual protections to ensure that human rights are respected in the operation of privatised services</w:t>
      </w:r>
      <w:r w:rsidR="000B6B74">
        <w:rPr>
          <w:sz w:val="24"/>
          <w:szCs w:val="24"/>
        </w:rPr>
        <w:t>; and</w:t>
      </w:r>
    </w:p>
    <w:p w14:paraId="328D40B9" w14:textId="77777777" w:rsidR="00CD0E49" w:rsidRPr="004F75DE" w:rsidRDefault="000B6B74" w:rsidP="00687CC5">
      <w:pPr>
        <w:pStyle w:val="aaHRLCBodytextakaNormal"/>
        <w:numPr>
          <w:ilvl w:val="0"/>
          <w:numId w:val="22"/>
        </w:numPr>
        <w:spacing w:line="240" w:lineRule="auto"/>
        <w:rPr>
          <w:sz w:val="24"/>
          <w:szCs w:val="24"/>
        </w:rPr>
      </w:pPr>
      <w:r>
        <w:rPr>
          <w:sz w:val="24"/>
          <w:szCs w:val="24"/>
        </w:rPr>
        <w:t>includes provision for human rights requirements relating to privatisation measures in a NAP</w:t>
      </w:r>
      <w:r w:rsidR="00CD0E49" w:rsidRPr="004F75DE">
        <w:rPr>
          <w:sz w:val="24"/>
          <w:szCs w:val="24"/>
        </w:rPr>
        <w:t xml:space="preserve">.  </w:t>
      </w:r>
    </w:p>
    <w:p w14:paraId="6FF8C15C" w14:textId="77777777" w:rsidR="00335DCA" w:rsidRPr="00511F52" w:rsidRDefault="00335DCA" w:rsidP="00687CC5">
      <w:pPr>
        <w:pStyle w:val="Heading4"/>
        <w:numPr>
          <w:ilvl w:val="3"/>
          <w:numId w:val="15"/>
        </w:numPr>
      </w:pPr>
      <w:bookmarkStart w:id="98" w:name="_Toc455580925"/>
      <w:bookmarkStart w:id="99" w:name="_Toc455588130"/>
      <w:bookmarkStart w:id="100" w:name="_Toc456168879"/>
      <w:r w:rsidRPr="00511F52">
        <w:rPr>
          <w:b/>
          <w:i/>
        </w:rPr>
        <w:t>G</w:t>
      </w:r>
      <w:r w:rsidR="00C10B54">
        <w:rPr>
          <w:b/>
          <w:i/>
        </w:rPr>
        <w:t>overnment p</w:t>
      </w:r>
      <w:r w:rsidRPr="00511F52">
        <w:rPr>
          <w:b/>
          <w:i/>
        </w:rPr>
        <w:t>rocurement</w:t>
      </w:r>
      <w:bookmarkEnd w:id="98"/>
      <w:bookmarkEnd w:id="99"/>
      <w:bookmarkEnd w:id="100"/>
    </w:p>
    <w:p w14:paraId="351EE38E" w14:textId="77777777" w:rsidR="009A2E88" w:rsidRDefault="00F25148" w:rsidP="009A2E88">
      <w:pPr>
        <w:spacing w:before="0" w:after="0"/>
      </w:pPr>
      <w:r>
        <w:t xml:space="preserve">Achieving respect for human rights in </w:t>
      </w:r>
      <w:r w:rsidR="00A820D8">
        <w:t>the Commonwealth’s</w:t>
      </w:r>
      <w:r w:rsidR="00A820D8" w:rsidRPr="00A820D8">
        <w:t xml:space="preserve"> </w:t>
      </w:r>
      <w:r w:rsidR="00A820D8">
        <w:t>procurement practices</w:t>
      </w:r>
      <w:r>
        <w:t xml:space="preserve"> is a key priority for civil society. </w:t>
      </w:r>
    </w:p>
    <w:p w14:paraId="7D0C7F3F" w14:textId="77777777" w:rsidR="009A2E88" w:rsidRDefault="009A2E88" w:rsidP="009A2E88">
      <w:pPr>
        <w:spacing w:before="0" w:after="0"/>
      </w:pPr>
    </w:p>
    <w:p w14:paraId="637A8AB9" w14:textId="77777777" w:rsidR="00335DCA" w:rsidRDefault="006050EC" w:rsidP="00111F0D">
      <w:pPr>
        <w:spacing w:before="0" w:after="0"/>
      </w:pPr>
      <w:r>
        <w:t>The g</w:t>
      </w:r>
      <w:r w:rsidR="00F25148">
        <w:t xml:space="preserve">overnment is itself a consumer </w:t>
      </w:r>
      <w:r w:rsidR="00492719">
        <w:t xml:space="preserve">of goods and services. It </w:t>
      </w:r>
      <w:r w:rsidR="00335DCA">
        <w:t>wield</w:t>
      </w:r>
      <w:r w:rsidR="00525931">
        <w:t>s</w:t>
      </w:r>
      <w:r w:rsidR="00335DCA">
        <w:t xml:space="preserve"> </w:t>
      </w:r>
      <w:r w:rsidR="00492719">
        <w:t>enormous</w:t>
      </w:r>
      <w:r w:rsidR="00335DCA">
        <w:t xml:space="preserve"> influence over the private sector’s human rights policies and practices through its procurement</w:t>
      </w:r>
      <w:r w:rsidR="00492719">
        <w:t xml:space="preserve"> practices</w:t>
      </w:r>
      <w:r w:rsidR="00335DCA">
        <w:t>. Procurement spending across all Australian government</w:t>
      </w:r>
      <w:r>
        <w:t xml:space="preserve"> department</w:t>
      </w:r>
      <w:r w:rsidR="00335DCA">
        <w:t xml:space="preserve">s represents approximately 10 percent of Australia’s GDP and in 2014-15 </w:t>
      </w:r>
      <w:r w:rsidR="00335DCA">
        <w:lastRenderedPageBreak/>
        <w:t>the Commonw</w:t>
      </w:r>
      <w:r w:rsidR="00525931">
        <w:t>ealth Government signed over 69,</w:t>
      </w:r>
      <w:r w:rsidR="00335DCA">
        <w:t>000 contracts with a combined value of over $59 million.</w:t>
      </w:r>
      <w:r w:rsidR="00476EF3">
        <w:rPr>
          <w:rStyle w:val="EndnoteReference"/>
        </w:rPr>
        <w:endnoteReference w:id="28"/>
      </w:r>
      <w:r w:rsidR="00335DCA">
        <w:t xml:space="preserve"> </w:t>
      </w:r>
      <w:r w:rsidR="00525931">
        <w:t>W</w:t>
      </w:r>
      <w:r w:rsidR="00335DCA">
        <w:t>here the s</w:t>
      </w:r>
      <w:r w:rsidR="00882678">
        <w:t>uppliers of goods and services to</w:t>
      </w:r>
      <w:r w:rsidR="00543A72">
        <w:t xml:space="preserve"> the g</w:t>
      </w:r>
      <w:r w:rsidR="00335DCA">
        <w:t>overnment are responsible for human rights violations, includi</w:t>
      </w:r>
      <w:r w:rsidR="00543A72">
        <w:t>ng in their supply chains, the g</w:t>
      </w:r>
      <w:r w:rsidR="00335DCA">
        <w:t>overnment</w:t>
      </w:r>
      <w:r w:rsidR="002867BE">
        <w:t xml:space="preserve"> </w:t>
      </w:r>
      <w:r w:rsidR="00525931">
        <w:t>may</w:t>
      </w:r>
      <w:r w:rsidR="00335DCA">
        <w:t xml:space="preserve"> </w:t>
      </w:r>
      <w:r w:rsidR="00882678">
        <w:t xml:space="preserve">itself </w:t>
      </w:r>
      <w:r w:rsidR="00335DCA">
        <w:t xml:space="preserve">be </w:t>
      </w:r>
      <w:r w:rsidR="002867BE">
        <w:t xml:space="preserve">directly </w:t>
      </w:r>
      <w:r w:rsidR="00335DCA">
        <w:t>implicated.</w:t>
      </w:r>
    </w:p>
    <w:p w14:paraId="6F28B857" w14:textId="77777777" w:rsidR="00335DCA" w:rsidRDefault="00335DCA" w:rsidP="009A2E88">
      <w:pPr>
        <w:pStyle w:val="aaHRLCBodytextakaNormal"/>
        <w:spacing w:line="240" w:lineRule="auto"/>
        <w:rPr>
          <w:rFonts w:cs="Arial"/>
          <w:sz w:val="24"/>
          <w:szCs w:val="24"/>
        </w:rPr>
      </w:pPr>
      <w:r>
        <w:rPr>
          <w:rFonts w:cs="Arial"/>
          <w:sz w:val="24"/>
          <w:szCs w:val="24"/>
        </w:rPr>
        <w:t xml:space="preserve">The UN’s former Special Representative on Business and Human Rights, Professor John Ruggie, has </w:t>
      </w:r>
      <w:r>
        <w:rPr>
          <w:sz w:val="24"/>
          <w:szCs w:val="24"/>
        </w:rPr>
        <w:t>recommended</w:t>
      </w:r>
      <w:r>
        <w:rPr>
          <w:rFonts w:cs="Arial"/>
          <w:sz w:val="24"/>
          <w:szCs w:val="24"/>
        </w:rPr>
        <w:t xml:space="preserve"> that any partnerships between the public and private sectors should:</w:t>
      </w:r>
    </w:p>
    <w:p w14:paraId="0834D958" w14:textId="77777777" w:rsidR="00335DCA" w:rsidRDefault="00F905D8" w:rsidP="00511F52">
      <w:pPr>
        <w:pStyle w:val="aaHRLCBodytextakaNormal"/>
        <w:spacing w:line="240" w:lineRule="auto"/>
        <w:ind w:left="709"/>
        <w:rPr>
          <w:sz w:val="24"/>
          <w:szCs w:val="24"/>
        </w:rPr>
      </w:pPr>
      <w:r w:rsidRPr="00511F52">
        <w:rPr>
          <w:i/>
          <w:sz w:val="24"/>
          <w:szCs w:val="24"/>
        </w:rPr>
        <w:t>‘</w:t>
      </w:r>
      <w:r w:rsidR="00335DCA" w:rsidRPr="00511F52">
        <w:rPr>
          <w:i/>
          <w:sz w:val="24"/>
          <w:szCs w:val="24"/>
        </w:rPr>
        <w:t xml:space="preserve">include in their governance arrangements </w:t>
      </w:r>
      <w:r w:rsidR="00CE22A4">
        <w:rPr>
          <w:i/>
          <w:sz w:val="24"/>
          <w:szCs w:val="24"/>
        </w:rPr>
        <w:t>measures to reinforce existing S</w:t>
      </w:r>
      <w:r w:rsidR="00335DCA" w:rsidRPr="00511F52">
        <w:rPr>
          <w:i/>
          <w:sz w:val="24"/>
          <w:szCs w:val="24"/>
        </w:rPr>
        <w:t>tate duties as well as corporate due diligence processes to avoid adverse impacts, and to address them where they do occur. Multi-stakeholder initiatives should also ensure they have in place effective grievance mechanisms consistent with the provisions set out in the guiding principles</w:t>
      </w:r>
      <w:r w:rsidRPr="00511F52">
        <w:rPr>
          <w:i/>
          <w:sz w:val="24"/>
          <w:szCs w:val="24"/>
        </w:rPr>
        <w:t>’</w:t>
      </w:r>
      <w:r w:rsidR="00511F52">
        <w:rPr>
          <w:sz w:val="24"/>
          <w:szCs w:val="24"/>
        </w:rPr>
        <w:t>.</w:t>
      </w:r>
      <w:r w:rsidR="00511F52">
        <w:rPr>
          <w:rStyle w:val="EndnoteReference"/>
          <w:rFonts w:cs="Arial"/>
          <w:szCs w:val="24"/>
        </w:rPr>
        <w:endnoteReference w:id="29"/>
      </w:r>
    </w:p>
    <w:p w14:paraId="6E82C2A2" w14:textId="77777777" w:rsidR="00377262" w:rsidRDefault="00DB4C29" w:rsidP="00377262">
      <w:r>
        <w:t>The Commonwealth p</w:t>
      </w:r>
      <w:r w:rsidR="00335DCA">
        <w:t xml:space="preserve">rocurement </w:t>
      </w:r>
      <w:r>
        <w:t>policy framework</w:t>
      </w:r>
      <w:r w:rsidR="00335DCA">
        <w:t xml:space="preserve"> already aim</w:t>
      </w:r>
      <w:r>
        <w:t>s</w:t>
      </w:r>
      <w:r w:rsidR="00335DCA">
        <w:t xml:space="preserve"> to ensure that businesses </w:t>
      </w:r>
      <w:r w:rsidR="00987C41">
        <w:t>supp</w:t>
      </w:r>
      <w:r w:rsidR="00543A72">
        <w:t>lying goods or services to the g</w:t>
      </w:r>
      <w:r w:rsidR="00335DCA">
        <w:t>overnment do no</w:t>
      </w:r>
      <w:r w:rsidR="00CE22A4">
        <w:t>t</w:t>
      </w:r>
      <w:r w:rsidR="00335DCA">
        <w:t xml:space="preserve"> use products affected by human trafficking, slavery or slavery-like practices in supply chains.</w:t>
      </w:r>
      <w:r w:rsidR="0082253C">
        <w:rPr>
          <w:rStyle w:val="EndnoteReference"/>
        </w:rPr>
        <w:endnoteReference w:id="30"/>
      </w:r>
      <w:r w:rsidR="00335DCA">
        <w:t xml:space="preserve"> The Commonwealth Procurement Rules preclude entering into contracts with tenderers who have had a judicial decision against them relating to employee entitlements and who have not satisfied any resulting order.</w:t>
      </w:r>
      <w:r>
        <w:rPr>
          <w:rStyle w:val="EndnoteReference"/>
        </w:rPr>
        <w:endnoteReference w:id="31"/>
      </w:r>
      <w:r w:rsidR="00335DCA">
        <w:t xml:space="preserve"> These provisions create a model for a more comprehensive incorporation of human rights protections</w:t>
      </w:r>
      <w:r w:rsidR="00B63A58">
        <w:t xml:space="preserve"> into Commonwealth </w:t>
      </w:r>
      <w:r w:rsidR="00111F0D">
        <w:t xml:space="preserve">procurement </w:t>
      </w:r>
      <w:r w:rsidR="00B63A58">
        <w:t>practices</w:t>
      </w:r>
      <w:r w:rsidR="00377262">
        <w:t>.</w:t>
      </w:r>
    </w:p>
    <w:p w14:paraId="2971AD80" w14:textId="77777777" w:rsidR="008062E6" w:rsidRDefault="00377262" w:rsidP="00377262">
      <w:r>
        <w:t>It is recommended that</w:t>
      </w:r>
      <w:r w:rsidR="008062E6">
        <w:t>:</w:t>
      </w:r>
    </w:p>
    <w:p w14:paraId="0919C9AA" w14:textId="77777777" w:rsidR="008062E6" w:rsidRPr="008062E6" w:rsidRDefault="00377262" w:rsidP="00687CC5">
      <w:pPr>
        <w:pStyle w:val="aaHRLCBodytextakaNormal"/>
        <w:numPr>
          <w:ilvl w:val="0"/>
          <w:numId w:val="22"/>
        </w:numPr>
        <w:spacing w:line="240" w:lineRule="auto"/>
        <w:rPr>
          <w:sz w:val="24"/>
          <w:szCs w:val="24"/>
        </w:rPr>
      </w:pPr>
      <w:r w:rsidRPr="008062E6">
        <w:rPr>
          <w:sz w:val="24"/>
          <w:szCs w:val="24"/>
        </w:rPr>
        <w:t>t</w:t>
      </w:r>
      <w:r w:rsidR="00335DCA">
        <w:rPr>
          <w:sz w:val="24"/>
          <w:szCs w:val="24"/>
        </w:rPr>
        <w:t xml:space="preserve">he award and renewal of procurement contracts </w:t>
      </w:r>
      <w:r w:rsidR="00543A72">
        <w:rPr>
          <w:sz w:val="24"/>
          <w:szCs w:val="24"/>
        </w:rPr>
        <w:t>by the g</w:t>
      </w:r>
      <w:r w:rsidRPr="008062E6">
        <w:rPr>
          <w:sz w:val="24"/>
          <w:szCs w:val="24"/>
        </w:rPr>
        <w:t>overnment</w:t>
      </w:r>
      <w:r>
        <w:t xml:space="preserve"> </w:t>
      </w:r>
      <w:r w:rsidR="00B61BC9">
        <w:rPr>
          <w:sz w:val="24"/>
          <w:szCs w:val="24"/>
        </w:rPr>
        <w:t xml:space="preserve">is </w:t>
      </w:r>
      <w:r w:rsidR="00335DCA">
        <w:rPr>
          <w:sz w:val="24"/>
          <w:szCs w:val="24"/>
        </w:rPr>
        <w:t xml:space="preserve">conditional on the human rights record of a business enterprise and </w:t>
      </w:r>
      <w:r w:rsidR="008062E6">
        <w:rPr>
          <w:sz w:val="24"/>
          <w:szCs w:val="24"/>
        </w:rPr>
        <w:t>its</w:t>
      </w:r>
      <w:r w:rsidR="00335DCA">
        <w:rPr>
          <w:sz w:val="24"/>
          <w:szCs w:val="24"/>
        </w:rPr>
        <w:t xml:space="preserve"> ongoing </w:t>
      </w:r>
      <w:r w:rsidR="008062E6">
        <w:rPr>
          <w:sz w:val="24"/>
          <w:szCs w:val="24"/>
        </w:rPr>
        <w:t xml:space="preserve">commitment </w:t>
      </w:r>
      <w:r w:rsidR="00335DCA">
        <w:rPr>
          <w:sz w:val="24"/>
          <w:szCs w:val="24"/>
        </w:rPr>
        <w:t>to respect human rights</w:t>
      </w:r>
      <w:r w:rsidR="008062E6">
        <w:t>;</w:t>
      </w:r>
      <w:r>
        <w:t xml:space="preserve"> </w:t>
      </w:r>
    </w:p>
    <w:p w14:paraId="3D5A4125" w14:textId="77777777" w:rsidR="00844679" w:rsidRDefault="008062E6" w:rsidP="00687CC5">
      <w:pPr>
        <w:pStyle w:val="aaHRLCBodytextakaNormal"/>
        <w:numPr>
          <w:ilvl w:val="0"/>
          <w:numId w:val="22"/>
        </w:numPr>
        <w:spacing w:line="240" w:lineRule="auto"/>
        <w:rPr>
          <w:sz w:val="24"/>
          <w:szCs w:val="24"/>
        </w:rPr>
      </w:pPr>
      <w:r>
        <w:rPr>
          <w:sz w:val="24"/>
          <w:szCs w:val="24"/>
        </w:rPr>
        <w:t>ongoing commitment</w:t>
      </w:r>
      <w:r w:rsidR="00B61BC9">
        <w:rPr>
          <w:sz w:val="24"/>
          <w:szCs w:val="24"/>
        </w:rPr>
        <w:t>s by a business</w:t>
      </w:r>
      <w:r>
        <w:rPr>
          <w:sz w:val="24"/>
          <w:szCs w:val="24"/>
        </w:rPr>
        <w:t xml:space="preserve"> to respect human rights </w:t>
      </w:r>
      <w:r w:rsidR="00844679">
        <w:rPr>
          <w:sz w:val="24"/>
          <w:szCs w:val="24"/>
        </w:rPr>
        <w:t>include effective</w:t>
      </w:r>
      <w:r w:rsidR="00335DCA">
        <w:rPr>
          <w:sz w:val="24"/>
          <w:szCs w:val="24"/>
        </w:rPr>
        <w:t xml:space="preserve"> human rights due diligence </w:t>
      </w:r>
      <w:r w:rsidR="00844679">
        <w:rPr>
          <w:sz w:val="24"/>
          <w:szCs w:val="24"/>
        </w:rPr>
        <w:t xml:space="preserve">conducted </w:t>
      </w:r>
      <w:r w:rsidR="005B0EDB">
        <w:rPr>
          <w:sz w:val="24"/>
          <w:szCs w:val="24"/>
        </w:rPr>
        <w:t>in accordance with the UNGPs;</w:t>
      </w:r>
      <w:r w:rsidR="00335DCA">
        <w:rPr>
          <w:sz w:val="24"/>
          <w:szCs w:val="24"/>
        </w:rPr>
        <w:t xml:space="preserve"> </w:t>
      </w:r>
    </w:p>
    <w:p w14:paraId="4A81FFBC" w14:textId="77777777" w:rsidR="009A5260" w:rsidRPr="009A5260" w:rsidRDefault="009A5260" w:rsidP="00687CC5">
      <w:pPr>
        <w:pStyle w:val="aaHRLCBodytextakaNormal"/>
        <w:numPr>
          <w:ilvl w:val="0"/>
          <w:numId w:val="22"/>
        </w:numPr>
        <w:spacing w:line="240" w:lineRule="auto"/>
        <w:rPr>
          <w:sz w:val="24"/>
          <w:szCs w:val="24"/>
        </w:rPr>
      </w:pPr>
      <w:r>
        <w:rPr>
          <w:sz w:val="24"/>
          <w:szCs w:val="24"/>
        </w:rPr>
        <w:t xml:space="preserve">due consideration is </w:t>
      </w:r>
      <w:r w:rsidR="00887036">
        <w:rPr>
          <w:sz w:val="24"/>
          <w:szCs w:val="24"/>
        </w:rPr>
        <w:t xml:space="preserve">also </w:t>
      </w:r>
      <w:r>
        <w:rPr>
          <w:sz w:val="24"/>
          <w:szCs w:val="24"/>
        </w:rPr>
        <w:t xml:space="preserve">given to </w:t>
      </w:r>
      <w:r w:rsidR="00CE22A4">
        <w:rPr>
          <w:sz w:val="24"/>
          <w:szCs w:val="24"/>
        </w:rPr>
        <w:t xml:space="preserve">the </w:t>
      </w:r>
      <w:r w:rsidR="00543A72">
        <w:rPr>
          <w:sz w:val="24"/>
          <w:szCs w:val="24"/>
        </w:rPr>
        <w:t>g</w:t>
      </w:r>
      <w:r>
        <w:rPr>
          <w:sz w:val="24"/>
          <w:szCs w:val="24"/>
        </w:rPr>
        <w:t xml:space="preserve">overnment’s obligations under the </w:t>
      </w:r>
      <w:r w:rsidRPr="009A5260">
        <w:rPr>
          <w:sz w:val="24"/>
          <w:szCs w:val="24"/>
        </w:rPr>
        <w:t>S</w:t>
      </w:r>
      <w:r>
        <w:rPr>
          <w:sz w:val="24"/>
          <w:szCs w:val="24"/>
        </w:rPr>
        <w:t xml:space="preserve">ustainable </w:t>
      </w:r>
      <w:r w:rsidRPr="009A5260">
        <w:rPr>
          <w:sz w:val="24"/>
          <w:szCs w:val="24"/>
        </w:rPr>
        <w:t>D</w:t>
      </w:r>
      <w:r>
        <w:rPr>
          <w:sz w:val="24"/>
          <w:szCs w:val="24"/>
        </w:rPr>
        <w:t xml:space="preserve">evelopment </w:t>
      </w:r>
      <w:r w:rsidRPr="009A5260">
        <w:rPr>
          <w:sz w:val="24"/>
          <w:szCs w:val="24"/>
        </w:rPr>
        <w:t>G</w:t>
      </w:r>
      <w:r>
        <w:rPr>
          <w:sz w:val="24"/>
          <w:szCs w:val="24"/>
        </w:rPr>
        <w:t>oal</w:t>
      </w:r>
      <w:r w:rsidRPr="009A5260">
        <w:rPr>
          <w:sz w:val="24"/>
          <w:szCs w:val="24"/>
        </w:rPr>
        <w:t>s</w:t>
      </w:r>
      <w:r>
        <w:rPr>
          <w:sz w:val="24"/>
          <w:szCs w:val="24"/>
        </w:rPr>
        <w:t xml:space="preserve"> (</w:t>
      </w:r>
      <w:r w:rsidR="0095080C">
        <w:rPr>
          <w:sz w:val="24"/>
          <w:szCs w:val="24"/>
        </w:rPr>
        <w:t>including</w:t>
      </w:r>
      <w:r>
        <w:rPr>
          <w:sz w:val="24"/>
          <w:szCs w:val="24"/>
        </w:rPr>
        <w:t xml:space="preserve"> Target 12.7 which requires the promotion of sustainable public procurement practices</w:t>
      </w:r>
      <w:r w:rsidR="00147CA1">
        <w:rPr>
          <w:sz w:val="24"/>
          <w:szCs w:val="24"/>
        </w:rPr>
        <w:t>);</w:t>
      </w:r>
      <w:r>
        <w:rPr>
          <w:rStyle w:val="EndnoteReference"/>
          <w:szCs w:val="24"/>
        </w:rPr>
        <w:endnoteReference w:id="32"/>
      </w:r>
    </w:p>
    <w:p w14:paraId="783C9A39" w14:textId="77777777" w:rsidR="00844679" w:rsidRDefault="00887036" w:rsidP="00687CC5">
      <w:pPr>
        <w:pStyle w:val="aaHRLCBodytextakaNormal"/>
        <w:numPr>
          <w:ilvl w:val="0"/>
          <w:numId w:val="22"/>
        </w:numPr>
        <w:spacing w:line="240" w:lineRule="auto"/>
        <w:rPr>
          <w:sz w:val="24"/>
          <w:szCs w:val="24"/>
        </w:rPr>
      </w:pPr>
      <w:r>
        <w:rPr>
          <w:sz w:val="24"/>
          <w:szCs w:val="24"/>
        </w:rPr>
        <w:t xml:space="preserve">human rights </w:t>
      </w:r>
      <w:r w:rsidR="00335DCA">
        <w:rPr>
          <w:sz w:val="24"/>
          <w:szCs w:val="24"/>
        </w:rPr>
        <w:t xml:space="preserve">requirements </w:t>
      </w:r>
      <w:r w:rsidR="00B61BC9">
        <w:rPr>
          <w:sz w:val="24"/>
          <w:szCs w:val="24"/>
        </w:rPr>
        <w:t>are</w:t>
      </w:r>
      <w:r w:rsidR="00335DCA">
        <w:rPr>
          <w:sz w:val="24"/>
          <w:szCs w:val="24"/>
        </w:rPr>
        <w:t xml:space="preserve"> included in the Commonwealth Procurement Rules</w:t>
      </w:r>
      <w:r w:rsidR="00844679">
        <w:rPr>
          <w:sz w:val="24"/>
          <w:szCs w:val="24"/>
        </w:rPr>
        <w:t xml:space="preserve">; </w:t>
      </w:r>
      <w:r w:rsidR="00335DCA">
        <w:rPr>
          <w:sz w:val="24"/>
          <w:szCs w:val="24"/>
        </w:rPr>
        <w:t xml:space="preserve">and </w:t>
      </w:r>
    </w:p>
    <w:p w14:paraId="47F56F1F" w14:textId="77777777" w:rsidR="00CE788F" w:rsidRPr="00377262" w:rsidRDefault="00147CA1" w:rsidP="00687CC5">
      <w:pPr>
        <w:pStyle w:val="aaHRLCBodytextakaNormal"/>
        <w:numPr>
          <w:ilvl w:val="0"/>
          <w:numId w:val="22"/>
        </w:numPr>
        <w:spacing w:line="240" w:lineRule="auto"/>
        <w:rPr>
          <w:sz w:val="24"/>
          <w:szCs w:val="24"/>
        </w:rPr>
      </w:pPr>
      <w:r>
        <w:rPr>
          <w:sz w:val="24"/>
          <w:szCs w:val="24"/>
        </w:rPr>
        <w:t xml:space="preserve">human rights-related </w:t>
      </w:r>
      <w:r w:rsidR="00844679">
        <w:rPr>
          <w:sz w:val="24"/>
          <w:szCs w:val="24"/>
        </w:rPr>
        <w:t xml:space="preserve">procurement requirements </w:t>
      </w:r>
      <w:r>
        <w:rPr>
          <w:sz w:val="24"/>
          <w:szCs w:val="24"/>
        </w:rPr>
        <w:t>are applied</w:t>
      </w:r>
      <w:r w:rsidR="00335DCA">
        <w:rPr>
          <w:sz w:val="24"/>
          <w:szCs w:val="24"/>
        </w:rPr>
        <w:t xml:space="preserve"> to </w:t>
      </w:r>
      <w:r>
        <w:rPr>
          <w:sz w:val="24"/>
          <w:szCs w:val="24"/>
        </w:rPr>
        <w:t xml:space="preserve">the supply of </w:t>
      </w:r>
      <w:r w:rsidR="00335DCA">
        <w:rPr>
          <w:sz w:val="24"/>
          <w:szCs w:val="24"/>
        </w:rPr>
        <w:t xml:space="preserve">goods or services </w:t>
      </w:r>
      <w:r>
        <w:rPr>
          <w:sz w:val="24"/>
          <w:szCs w:val="24"/>
        </w:rPr>
        <w:t xml:space="preserve">to </w:t>
      </w:r>
      <w:r w:rsidR="003D1751">
        <w:rPr>
          <w:sz w:val="24"/>
          <w:szCs w:val="24"/>
        </w:rPr>
        <w:t>the g</w:t>
      </w:r>
      <w:r w:rsidR="00844679">
        <w:rPr>
          <w:sz w:val="24"/>
          <w:szCs w:val="24"/>
        </w:rPr>
        <w:t xml:space="preserve">overnment </w:t>
      </w:r>
      <w:r>
        <w:rPr>
          <w:sz w:val="24"/>
          <w:szCs w:val="24"/>
        </w:rPr>
        <w:t xml:space="preserve">from </w:t>
      </w:r>
      <w:r w:rsidR="00335DCA">
        <w:rPr>
          <w:sz w:val="24"/>
          <w:szCs w:val="24"/>
        </w:rPr>
        <w:t>both Australia</w:t>
      </w:r>
      <w:r w:rsidR="00CE22A4">
        <w:rPr>
          <w:sz w:val="24"/>
          <w:szCs w:val="24"/>
        </w:rPr>
        <w:t>n</w:t>
      </w:r>
      <w:r w:rsidR="00335DCA">
        <w:rPr>
          <w:sz w:val="24"/>
          <w:szCs w:val="24"/>
        </w:rPr>
        <w:t xml:space="preserve"> and</w:t>
      </w:r>
      <w:r>
        <w:rPr>
          <w:sz w:val="24"/>
          <w:szCs w:val="24"/>
        </w:rPr>
        <w:t xml:space="preserve"> overseas suppliers</w:t>
      </w:r>
      <w:r w:rsidR="00335DCA">
        <w:rPr>
          <w:sz w:val="24"/>
          <w:szCs w:val="24"/>
        </w:rPr>
        <w:t>.</w:t>
      </w:r>
      <w:r w:rsidR="008D5353">
        <w:rPr>
          <w:sz w:val="24"/>
          <w:szCs w:val="24"/>
        </w:rPr>
        <w:t xml:space="preserve"> </w:t>
      </w:r>
    </w:p>
    <w:p w14:paraId="2DB4E030" w14:textId="77777777" w:rsidR="008C1FEF" w:rsidRPr="00511F52" w:rsidRDefault="008C1FEF" w:rsidP="00511F52">
      <w:pPr>
        <w:pStyle w:val="Heading4"/>
        <w:numPr>
          <w:ilvl w:val="3"/>
          <w:numId w:val="15"/>
        </w:numPr>
        <w:rPr>
          <w:szCs w:val="24"/>
        </w:rPr>
      </w:pPr>
      <w:bookmarkStart w:id="101" w:name="_Toc454973545"/>
      <w:bookmarkStart w:id="102" w:name="_Toc455580926"/>
      <w:bookmarkStart w:id="103" w:name="_Toc455588131"/>
      <w:bookmarkStart w:id="104" w:name="_Toc456168880"/>
      <w:r w:rsidRPr="00511F52">
        <w:rPr>
          <w:b/>
          <w:i/>
          <w:szCs w:val="24"/>
        </w:rPr>
        <w:t>Aid and development policy</w:t>
      </w:r>
      <w:bookmarkEnd w:id="101"/>
      <w:bookmarkEnd w:id="102"/>
      <w:bookmarkEnd w:id="103"/>
      <w:bookmarkEnd w:id="104"/>
      <w:r w:rsidRPr="00511F52">
        <w:rPr>
          <w:b/>
          <w:i/>
          <w:szCs w:val="24"/>
        </w:rPr>
        <w:t xml:space="preserve"> </w:t>
      </w:r>
    </w:p>
    <w:p w14:paraId="0F0968CF" w14:textId="77777777" w:rsidR="008C1FEF" w:rsidRDefault="008C1FEF" w:rsidP="00632A98">
      <w:pPr>
        <w:pStyle w:val="aaHRLCBodytextakaNormal"/>
        <w:spacing w:after="240" w:line="240" w:lineRule="auto"/>
        <w:rPr>
          <w:sz w:val="24"/>
          <w:szCs w:val="24"/>
        </w:rPr>
      </w:pPr>
      <w:r>
        <w:rPr>
          <w:sz w:val="24"/>
          <w:szCs w:val="24"/>
        </w:rPr>
        <w:t>Australia’s official development assistance includes a focus on ‘sustainable economic growth driven by the private sector’ and directs Australia’s development assistance towards the pursuit of economic growth through the promotion of free markets, trade agreements and private sector development.</w:t>
      </w:r>
      <w:r w:rsidR="0082253C">
        <w:rPr>
          <w:rStyle w:val="EndnoteReference"/>
          <w:szCs w:val="24"/>
        </w:rPr>
        <w:endnoteReference w:id="33"/>
      </w:r>
      <w:r>
        <w:rPr>
          <w:sz w:val="24"/>
          <w:szCs w:val="24"/>
        </w:rPr>
        <w:t xml:space="preserve"> Examples of DFAT programs that seek to harness the private sector include the Mining for Development Initiative, ‘aid for trade’ policy and private sector involvement in the delivery of aid. </w:t>
      </w:r>
    </w:p>
    <w:p w14:paraId="770678BB" w14:textId="77777777" w:rsidR="008C1FEF" w:rsidRDefault="008C1FEF" w:rsidP="00632A98">
      <w:pPr>
        <w:pStyle w:val="aaHRLCBodytextakaNormal"/>
        <w:spacing w:after="240" w:line="240" w:lineRule="auto"/>
        <w:rPr>
          <w:rFonts w:cs="Arial"/>
          <w:sz w:val="24"/>
          <w:szCs w:val="24"/>
        </w:rPr>
      </w:pPr>
      <w:r>
        <w:rPr>
          <w:rFonts w:cs="Arial"/>
          <w:sz w:val="24"/>
          <w:szCs w:val="24"/>
        </w:rPr>
        <w:t xml:space="preserve">While the private sector has the capacity to contribute to economic growth, poverty alleviation and human </w:t>
      </w:r>
      <w:r>
        <w:rPr>
          <w:sz w:val="24"/>
          <w:szCs w:val="24"/>
        </w:rPr>
        <w:t>development</w:t>
      </w:r>
      <w:r>
        <w:rPr>
          <w:rFonts w:cs="Arial"/>
          <w:sz w:val="24"/>
          <w:szCs w:val="24"/>
        </w:rPr>
        <w:t xml:space="preserve">, businesses can also undermine those goals </w:t>
      </w:r>
      <w:r>
        <w:rPr>
          <w:rFonts w:cs="Arial"/>
          <w:sz w:val="24"/>
          <w:szCs w:val="24"/>
        </w:rPr>
        <w:lastRenderedPageBreak/>
        <w:t xml:space="preserve">when they fail to respect human rights. Aid effectiveness principles and Australia’s international human rights obligations require that aid and development initiatives that involve supporting or partnering with companies must incorporate effective safeguards to protect human rights and facilitate remedies for victims where violations occur.   </w:t>
      </w:r>
    </w:p>
    <w:p w14:paraId="4E528C3A" w14:textId="77777777" w:rsidR="00D62DE1" w:rsidRDefault="00D62DE1" w:rsidP="00511F52">
      <w:pPr>
        <w:pStyle w:val="aaHRLCBodytextakaNormal"/>
        <w:spacing w:before="0" w:after="240" w:line="240" w:lineRule="auto"/>
        <w:rPr>
          <w:rFonts w:cs="Arial"/>
          <w:sz w:val="24"/>
          <w:szCs w:val="24"/>
        </w:rPr>
      </w:pPr>
      <w:r>
        <w:rPr>
          <w:rFonts w:cs="Arial"/>
          <w:sz w:val="24"/>
          <w:szCs w:val="24"/>
        </w:rPr>
        <w:t xml:space="preserve">It is recommended that the </w:t>
      </w:r>
      <w:r w:rsidR="003D1751" w:rsidRPr="006050EC">
        <w:rPr>
          <w:sz w:val="24"/>
          <w:szCs w:val="24"/>
        </w:rPr>
        <w:t>Australian</w:t>
      </w:r>
      <w:r w:rsidR="003D1751">
        <w:rPr>
          <w:rFonts w:cs="Arial"/>
          <w:sz w:val="24"/>
          <w:szCs w:val="24"/>
        </w:rPr>
        <w:t xml:space="preserve"> </w:t>
      </w:r>
      <w:r>
        <w:rPr>
          <w:rFonts w:cs="Arial"/>
          <w:sz w:val="24"/>
          <w:szCs w:val="24"/>
        </w:rPr>
        <w:t>Government:</w:t>
      </w:r>
    </w:p>
    <w:p w14:paraId="4FDA754C" w14:textId="77777777" w:rsidR="008C1FEF" w:rsidRDefault="008C1FEF" w:rsidP="00687CC5">
      <w:pPr>
        <w:pStyle w:val="aaHRLCBodytextakaNormal"/>
        <w:numPr>
          <w:ilvl w:val="0"/>
          <w:numId w:val="24"/>
        </w:numPr>
        <w:spacing w:line="240" w:lineRule="auto"/>
        <w:rPr>
          <w:sz w:val="24"/>
          <w:szCs w:val="24"/>
        </w:rPr>
      </w:pPr>
      <w:r>
        <w:rPr>
          <w:sz w:val="24"/>
          <w:szCs w:val="24"/>
        </w:rPr>
        <w:t>conduct</w:t>
      </w:r>
      <w:r w:rsidR="00D62DE1">
        <w:rPr>
          <w:sz w:val="24"/>
          <w:szCs w:val="24"/>
        </w:rPr>
        <w:t>s</w:t>
      </w:r>
      <w:r>
        <w:rPr>
          <w:sz w:val="24"/>
          <w:szCs w:val="24"/>
        </w:rPr>
        <w:t xml:space="preserve"> human rights impact assessments of aid and development projects and of private sector partn</w:t>
      </w:r>
      <w:r w:rsidR="00D62DE1">
        <w:rPr>
          <w:sz w:val="24"/>
          <w:szCs w:val="24"/>
        </w:rPr>
        <w:t xml:space="preserve">ers involved in </w:t>
      </w:r>
      <w:r w:rsidR="00A274B6">
        <w:rPr>
          <w:sz w:val="24"/>
          <w:szCs w:val="24"/>
        </w:rPr>
        <w:t xml:space="preserve">their </w:t>
      </w:r>
      <w:r w:rsidR="00D62DE1">
        <w:rPr>
          <w:sz w:val="24"/>
          <w:szCs w:val="24"/>
        </w:rPr>
        <w:t>implementation;</w:t>
      </w:r>
      <w:r>
        <w:rPr>
          <w:sz w:val="24"/>
          <w:szCs w:val="24"/>
        </w:rPr>
        <w:t xml:space="preserve"> </w:t>
      </w:r>
    </w:p>
    <w:p w14:paraId="0AD2B17D" w14:textId="77777777" w:rsidR="008C1FEF" w:rsidRDefault="00D62DE1" w:rsidP="00687CC5">
      <w:pPr>
        <w:pStyle w:val="aaHRLCBodytextakaNormal"/>
        <w:numPr>
          <w:ilvl w:val="0"/>
          <w:numId w:val="24"/>
        </w:numPr>
        <w:spacing w:line="240" w:lineRule="auto"/>
        <w:rPr>
          <w:sz w:val="24"/>
          <w:szCs w:val="24"/>
        </w:rPr>
      </w:pPr>
      <w:r w:rsidRPr="00D62DE1">
        <w:rPr>
          <w:sz w:val="24"/>
          <w:szCs w:val="24"/>
        </w:rPr>
        <w:t>expresses</w:t>
      </w:r>
      <w:r>
        <w:rPr>
          <w:b/>
          <w:sz w:val="24"/>
          <w:szCs w:val="24"/>
        </w:rPr>
        <w:t xml:space="preserve"> </w:t>
      </w:r>
      <w:r w:rsidR="008C1FEF">
        <w:rPr>
          <w:sz w:val="24"/>
          <w:szCs w:val="24"/>
        </w:rPr>
        <w:t xml:space="preserve">a clear commitment not </w:t>
      </w:r>
      <w:r>
        <w:rPr>
          <w:sz w:val="24"/>
          <w:szCs w:val="24"/>
        </w:rPr>
        <w:t xml:space="preserve">to </w:t>
      </w:r>
      <w:r w:rsidR="008C1FEF">
        <w:rPr>
          <w:sz w:val="24"/>
          <w:szCs w:val="24"/>
        </w:rPr>
        <w:t>partner with</w:t>
      </w:r>
      <w:r>
        <w:rPr>
          <w:sz w:val="24"/>
          <w:szCs w:val="24"/>
        </w:rPr>
        <w:t>,</w:t>
      </w:r>
      <w:r w:rsidR="008C1FEF">
        <w:rPr>
          <w:sz w:val="24"/>
          <w:szCs w:val="24"/>
        </w:rPr>
        <w:t xml:space="preserve"> or support</w:t>
      </w:r>
      <w:r>
        <w:rPr>
          <w:sz w:val="24"/>
          <w:szCs w:val="24"/>
        </w:rPr>
        <w:t>,</w:t>
      </w:r>
      <w:r w:rsidR="008C1FEF">
        <w:rPr>
          <w:sz w:val="24"/>
          <w:szCs w:val="24"/>
        </w:rPr>
        <w:t xml:space="preserve"> companies or projects responsib</w:t>
      </w:r>
      <w:r>
        <w:rPr>
          <w:sz w:val="24"/>
          <w:szCs w:val="24"/>
        </w:rPr>
        <w:t>le for human rights violations;</w:t>
      </w:r>
    </w:p>
    <w:p w14:paraId="4FEFC9D2" w14:textId="77777777" w:rsidR="006F79A9" w:rsidRDefault="008C1FEF" w:rsidP="00687CC5">
      <w:pPr>
        <w:pStyle w:val="aaHRLCBodytextakaNormal"/>
        <w:numPr>
          <w:ilvl w:val="0"/>
          <w:numId w:val="24"/>
        </w:numPr>
        <w:spacing w:line="240" w:lineRule="auto"/>
        <w:rPr>
          <w:sz w:val="24"/>
          <w:szCs w:val="24"/>
        </w:rPr>
      </w:pPr>
      <w:r>
        <w:rPr>
          <w:sz w:val="24"/>
          <w:szCs w:val="24"/>
        </w:rPr>
        <w:t>establish</w:t>
      </w:r>
      <w:r w:rsidR="00D62DE1">
        <w:rPr>
          <w:sz w:val="24"/>
          <w:szCs w:val="24"/>
        </w:rPr>
        <w:t>es</w:t>
      </w:r>
      <w:r>
        <w:rPr>
          <w:sz w:val="24"/>
          <w:szCs w:val="24"/>
        </w:rPr>
        <w:t xml:space="preserve"> a</w:t>
      </w:r>
      <w:r w:rsidR="00D62DE1">
        <w:rPr>
          <w:sz w:val="24"/>
          <w:szCs w:val="24"/>
        </w:rPr>
        <w:t>n effective,</w:t>
      </w:r>
      <w:r>
        <w:rPr>
          <w:sz w:val="24"/>
          <w:szCs w:val="24"/>
        </w:rPr>
        <w:t xml:space="preserve"> </w:t>
      </w:r>
      <w:r w:rsidR="00D62DE1">
        <w:rPr>
          <w:sz w:val="24"/>
          <w:szCs w:val="24"/>
        </w:rPr>
        <w:t xml:space="preserve">transparent and accessible </w:t>
      </w:r>
      <w:r>
        <w:rPr>
          <w:sz w:val="24"/>
          <w:szCs w:val="24"/>
        </w:rPr>
        <w:t>grievance mechanism for its aid and development program</w:t>
      </w:r>
      <w:r w:rsidR="00D62DE1">
        <w:rPr>
          <w:sz w:val="24"/>
          <w:szCs w:val="24"/>
        </w:rPr>
        <w:t xml:space="preserve"> available to those</w:t>
      </w:r>
      <w:r>
        <w:rPr>
          <w:sz w:val="24"/>
          <w:szCs w:val="24"/>
        </w:rPr>
        <w:t xml:space="preserve"> </w:t>
      </w:r>
      <w:r w:rsidR="00D62DE1">
        <w:rPr>
          <w:sz w:val="24"/>
          <w:szCs w:val="24"/>
        </w:rPr>
        <w:t xml:space="preserve">adversely </w:t>
      </w:r>
      <w:r>
        <w:rPr>
          <w:sz w:val="24"/>
          <w:szCs w:val="24"/>
        </w:rPr>
        <w:t xml:space="preserve">affected by </w:t>
      </w:r>
      <w:r w:rsidR="003D1751">
        <w:rPr>
          <w:sz w:val="24"/>
          <w:szCs w:val="24"/>
        </w:rPr>
        <w:t>g</w:t>
      </w:r>
      <w:r w:rsidR="00D62DE1">
        <w:rPr>
          <w:sz w:val="24"/>
          <w:szCs w:val="24"/>
        </w:rPr>
        <w:t>overnment</w:t>
      </w:r>
      <w:r>
        <w:rPr>
          <w:sz w:val="24"/>
          <w:szCs w:val="24"/>
        </w:rPr>
        <w:t xml:space="preserve"> projects</w:t>
      </w:r>
      <w:r w:rsidR="006F79A9">
        <w:rPr>
          <w:sz w:val="24"/>
          <w:szCs w:val="24"/>
        </w:rPr>
        <w:t>;</w:t>
      </w:r>
      <w:r>
        <w:rPr>
          <w:sz w:val="24"/>
          <w:szCs w:val="24"/>
        </w:rPr>
        <w:t xml:space="preserve"> and </w:t>
      </w:r>
    </w:p>
    <w:p w14:paraId="3D1E6D15" w14:textId="77777777" w:rsidR="00CE788F" w:rsidRDefault="006F79A9" w:rsidP="00687CC5">
      <w:pPr>
        <w:pStyle w:val="aaHRLCBodytextakaNormal"/>
        <w:numPr>
          <w:ilvl w:val="0"/>
          <w:numId w:val="24"/>
        </w:numPr>
        <w:spacing w:line="240" w:lineRule="auto"/>
        <w:rPr>
          <w:sz w:val="24"/>
          <w:szCs w:val="24"/>
        </w:rPr>
      </w:pPr>
      <w:r>
        <w:rPr>
          <w:sz w:val="24"/>
          <w:szCs w:val="24"/>
        </w:rPr>
        <w:t>investigates and remedies, via the aid and development grievance mechanism,</w:t>
      </w:r>
      <w:r w:rsidR="00E41D8D">
        <w:rPr>
          <w:sz w:val="24"/>
          <w:szCs w:val="24"/>
        </w:rPr>
        <w:t xml:space="preserve"> human rights abuse</w:t>
      </w:r>
      <w:r w:rsidR="008C1FEF">
        <w:rPr>
          <w:sz w:val="24"/>
          <w:szCs w:val="24"/>
        </w:rPr>
        <w:t xml:space="preserve"> when </w:t>
      </w:r>
      <w:r w:rsidR="00E41D8D">
        <w:rPr>
          <w:sz w:val="24"/>
          <w:szCs w:val="24"/>
        </w:rPr>
        <w:t>it</w:t>
      </w:r>
      <w:r w:rsidR="008C1FEF">
        <w:rPr>
          <w:sz w:val="24"/>
          <w:szCs w:val="24"/>
        </w:rPr>
        <w:t xml:space="preserve"> occur</w:t>
      </w:r>
      <w:r w:rsidR="00E41D8D">
        <w:rPr>
          <w:sz w:val="24"/>
          <w:szCs w:val="24"/>
        </w:rPr>
        <w:t>s</w:t>
      </w:r>
      <w:r w:rsidR="00D111E3">
        <w:rPr>
          <w:sz w:val="24"/>
          <w:szCs w:val="24"/>
        </w:rPr>
        <w:t>.</w:t>
      </w:r>
    </w:p>
    <w:p w14:paraId="534B98C4" w14:textId="77777777" w:rsidR="00D111E3" w:rsidRPr="008D284E" w:rsidRDefault="00D111E3" w:rsidP="00D111E3">
      <w:pPr>
        <w:pStyle w:val="aaHRLCBodytextakaNormal"/>
        <w:spacing w:line="240" w:lineRule="auto"/>
        <w:ind w:left="720"/>
        <w:rPr>
          <w:sz w:val="24"/>
          <w:szCs w:val="24"/>
        </w:rPr>
      </w:pPr>
    </w:p>
    <w:p w14:paraId="163084C0" w14:textId="77777777" w:rsidR="00602871" w:rsidRPr="00632A98" w:rsidRDefault="00602871" w:rsidP="00BF0CB2">
      <w:pPr>
        <w:pStyle w:val="ListParagraph"/>
        <w:numPr>
          <w:ilvl w:val="2"/>
          <w:numId w:val="15"/>
        </w:numPr>
        <w:spacing w:before="0" w:after="160"/>
      </w:pPr>
      <w:bookmarkStart w:id="105" w:name="_Toc454973546"/>
      <w:bookmarkStart w:id="106" w:name="_Toc455580927"/>
      <w:bookmarkStart w:id="107" w:name="_Toc455588132"/>
      <w:bookmarkStart w:id="108" w:name="_Toc456168881"/>
      <w:r w:rsidRPr="00632A98">
        <w:rPr>
          <w:b/>
          <w:i/>
        </w:rPr>
        <w:t>Maintaining p</w:t>
      </w:r>
      <w:r w:rsidR="00CE788F" w:rsidRPr="00632A98">
        <w:rPr>
          <w:b/>
          <w:i/>
        </w:rPr>
        <w:t>olicy coherence</w:t>
      </w:r>
      <w:bookmarkEnd w:id="105"/>
      <w:bookmarkEnd w:id="106"/>
      <w:bookmarkEnd w:id="107"/>
      <w:bookmarkEnd w:id="108"/>
    </w:p>
    <w:p w14:paraId="5E6182A7" w14:textId="77777777" w:rsidR="00602871" w:rsidRDefault="00602871" w:rsidP="00B24A84">
      <w:pPr>
        <w:pStyle w:val="Heading3"/>
        <w:numPr>
          <w:ilvl w:val="0"/>
          <w:numId w:val="0"/>
        </w:numPr>
        <w:rPr>
          <w:i w:val="0"/>
        </w:rPr>
      </w:pPr>
      <w:bookmarkStart w:id="109" w:name="_Toc454973547"/>
      <w:bookmarkStart w:id="110" w:name="_Toc455050940"/>
      <w:bookmarkStart w:id="111" w:name="_Toc455580928"/>
      <w:bookmarkStart w:id="112" w:name="_Toc455588133"/>
      <w:bookmarkStart w:id="113" w:name="_Toc456168882"/>
      <w:r>
        <w:rPr>
          <w:i w:val="0"/>
        </w:rPr>
        <w:t>Government policy should be consistent in promoting respect for human rights.</w:t>
      </w:r>
      <w:r w:rsidR="005C0D45">
        <w:rPr>
          <w:rStyle w:val="EndnoteReference"/>
          <w:i w:val="0"/>
        </w:rPr>
        <w:endnoteReference w:id="34"/>
      </w:r>
      <w:r>
        <w:rPr>
          <w:i w:val="0"/>
        </w:rPr>
        <w:t xml:space="preserve"> The adoption and maintenance of a strong, coherent message on human rights </w:t>
      </w:r>
      <w:r w:rsidR="003D1751">
        <w:rPr>
          <w:i w:val="0"/>
        </w:rPr>
        <w:t>by the g</w:t>
      </w:r>
      <w:r w:rsidR="00354127">
        <w:rPr>
          <w:i w:val="0"/>
        </w:rPr>
        <w:t xml:space="preserve">overnment </w:t>
      </w:r>
      <w:r>
        <w:rPr>
          <w:i w:val="0"/>
        </w:rPr>
        <w:t>ac</w:t>
      </w:r>
      <w:r w:rsidR="00354127">
        <w:rPr>
          <w:i w:val="0"/>
        </w:rPr>
        <w:t>ro</w:t>
      </w:r>
      <w:r>
        <w:rPr>
          <w:i w:val="0"/>
        </w:rPr>
        <w:t xml:space="preserve">ss domestic, regional and international fora is a key priority for </w:t>
      </w:r>
      <w:r w:rsidR="00354127">
        <w:rPr>
          <w:i w:val="0"/>
        </w:rPr>
        <w:t>civil society.</w:t>
      </w:r>
      <w:bookmarkEnd w:id="109"/>
      <w:bookmarkEnd w:id="110"/>
      <w:bookmarkEnd w:id="111"/>
      <w:bookmarkEnd w:id="112"/>
      <w:bookmarkEnd w:id="113"/>
    </w:p>
    <w:p w14:paraId="5DDE36C1" w14:textId="77777777" w:rsidR="00354127" w:rsidRDefault="00354127" w:rsidP="00354127">
      <w:r>
        <w:t xml:space="preserve">It is recommended that the </w:t>
      </w:r>
      <w:r w:rsidR="003D1751" w:rsidRPr="006050EC">
        <w:t>Australian</w:t>
      </w:r>
      <w:r w:rsidR="003D1751">
        <w:t xml:space="preserve"> </w:t>
      </w:r>
      <w:r>
        <w:t>Government:</w:t>
      </w:r>
    </w:p>
    <w:p w14:paraId="30E76E25" w14:textId="77777777" w:rsidR="001B3F68" w:rsidRPr="003F2CC5" w:rsidRDefault="00F3110A" w:rsidP="003F2CC5">
      <w:pPr>
        <w:pStyle w:val="aaHRLCBodytextakaNormal"/>
        <w:numPr>
          <w:ilvl w:val="0"/>
          <w:numId w:val="22"/>
        </w:numPr>
        <w:spacing w:line="240" w:lineRule="auto"/>
        <w:rPr>
          <w:sz w:val="24"/>
          <w:szCs w:val="24"/>
        </w:rPr>
      </w:pPr>
      <w:r w:rsidRPr="003F2CC5">
        <w:rPr>
          <w:sz w:val="24"/>
          <w:szCs w:val="24"/>
        </w:rPr>
        <w:t>undertakes</w:t>
      </w:r>
      <w:r w:rsidR="00354127" w:rsidRPr="003F2CC5">
        <w:rPr>
          <w:sz w:val="24"/>
          <w:szCs w:val="24"/>
        </w:rPr>
        <w:t xml:space="preserve">, as part of the NBA, </w:t>
      </w:r>
      <w:r w:rsidRPr="003F2CC5">
        <w:rPr>
          <w:sz w:val="24"/>
          <w:szCs w:val="24"/>
        </w:rPr>
        <w:t>a thorough</w:t>
      </w:r>
      <w:r w:rsidR="00354127" w:rsidRPr="003F2CC5">
        <w:rPr>
          <w:sz w:val="24"/>
          <w:szCs w:val="24"/>
        </w:rPr>
        <w:t xml:space="preserve"> examination of its current </w:t>
      </w:r>
      <w:r w:rsidRPr="003F2CC5">
        <w:rPr>
          <w:sz w:val="24"/>
          <w:szCs w:val="24"/>
        </w:rPr>
        <w:t xml:space="preserve">business and human rights </w:t>
      </w:r>
      <w:r w:rsidR="00354127" w:rsidRPr="003F2CC5">
        <w:rPr>
          <w:sz w:val="24"/>
          <w:szCs w:val="24"/>
        </w:rPr>
        <w:t xml:space="preserve">policy framework </w:t>
      </w:r>
      <w:r w:rsidRPr="003F2CC5">
        <w:rPr>
          <w:sz w:val="24"/>
          <w:szCs w:val="24"/>
        </w:rPr>
        <w:t xml:space="preserve">on a domestic (horizontal) and international (vertical) </w:t>
      </w:r>
      <w:r w:rsidR="00147CA1">
        <w:rPr>
          <w:sz w:val="24"/>
          <w:szCs w:val="24"/>
        </w:rPr>
        <w:t>basis</w:t>
      </w:r>
      <w:r w:rsidR="00124EE2" w:rsidRPr="003F2CC5">
        <w:rPr>
          <w:sz w:val="24"/>
          <w:szCs w:val="24"/>
        </w:rPr>
        <w:t>;</w:t>
      </w:r>
    </w:p>
    <w:p w14:paraId="397947BA" w14:textId="77777777" w:rsidR="008E0ECD" w:rsidRPr="003F2CC5" w:rsidRDefault="00F3110A" w:rsidP="003F2CC5">
      <w:pPr>
        <w:pStyle w:val="aaHRLCBodytextakaNormal"/>
        <w:numPr>
          <w:ilvl w:val="0"/>
          <w:numId w:val="22"/>
        </w:numPr>
        <w:spacing w:line="240" w:lineRule="auto"/>
        <w:rPr>
          <w:sz w:val="24"/>
          <w:szCs w:val="24"/>
        </w:rPr>
      </w:pPr>
      <w:r w:rsidRPr="003F2CC5">
        <w:rPr>
          <w:sz w:val="24"/>
          <w:szCs w:val="24"/>
        </w:rPr>
        <w:t>analyses the results of the NBA to identify how best to ensure enhanced vertical and horizontal policy integration and coherence on business and human rights</w:t>
      </w:r>
      <w:r w:rsidR="00147CA1">
        <w:rPr>
          <w:sz w:val="24"/>
          <w:szCs w:val="24"/>
        </w:rPr>
        <w:t xml:space="preserve"> polic</w:t>
      </w:r>
      <w:r w:rsidR="00CF259C">
        <w:rPr>
          <w:sz w:val="24"/>
          <w:szCs w:val="24"/>
        </w:rPr>
        <w:t>y</w:t>
      </w:r>
      <w:r w:rsidR="003F2CC5">
        <w:rPr>
          <w:sz w:val="24"/>
          <w:szCs w:val="24"/>
        </w:rPr>
        <w:t>;</w:t>
      </w:r>
    </w:p>
    <w:p w14:paraId="7CC16C94" w14:textId="77777777" w:rsidR="001B3F68" w:rsidRPr="003F2CC5" w:rsidRDefault="008E0ECD" w:rsidP="003F2CC5">
      <w:pPr>
        <w:pStyle w:val="aaHRLCBodytextakaNormal"/>
        <w:numPr>
          <w:ilvl w:val="0"/>
          <w:numId w:val="22"/>
        </w:numPr>
        <w:spacing w:line="240" w:lineRule="auto"/>
        <w:rPr>
          <w:sz w:val="24"/>
          <w:szCs w:val="24"/>
        </w:rPr>
      </w:pPr>
      <w:r w:rsidRPr="003F2CC5">
        <w:rPr>
          <w:sz w:val="24"/>
          <w:szCs w:val="24"/>
        </w:rPr>
        <w:t xml:space="preserve">proactively participates </w:t>
      </w:r>
      <w:r w:rsidR="00124EE2" w:rsidRPr="003F2CC5">
        <w:rPr>
          <w:sz w:val="24"/>
          <w:szCs w:val="24"/>
        </w:rPr>
        <w:t xml:space="preserve">in </w:t>
      </w:r>
      <w:r w:rsidRPr="003F2CC5">
        <w:rPr>
          <w:sz w:val="24"/>
          <w:szCs w:val="24"/>
        </w:rPr>
        <w:t>and supports international and regional bodies (</w:t>
      </w:r>
      <w:r w:rsidR="00DF44B0" w:rsidRPr="003F2CC5">
        <w:rPr>
          <w:sz w:val="24"/>
          <w:szCs w:val="24"/>
        </w:rPr>
        <w:t xml:space="preserve">including the </w:t>
      </w:r>
      <w:r w:rsidRPr="003F2CC5">
        <w:rPr>
          <w:sz w:val="24"/>
          <w:szCs w:val="24"/>
        </w:rPr>
        <w:t xml:space="preserve">UN, </w:t>
      </w:r>
      <w:r w:rsidR="00124B2B" w:rsidRPr="003F2CC5">
        <w:rPr>
          <w:sz w:val="24"/>
          <w:szCs w:val="24"/>
        </w:rPr>
        <w:t xml:space="preserve">ILO, </w:t>
      </w:r>
      <w:r w:rsidR="00705A77">
        <w:rPr>
          <w:sz w:val="24"/>
          <w:szCs w:val="24"/>
        </w:rPr>
        <w:t xml:space="preserve">WTO, Commonwealth, OECD, G20 and </w:t>
      </w:r>
      <w:r w:rsidRPr="003F2CC5">
        <w:rPr>
          <w:sz w:val="24"/>
          <w:szCs w:val="24"/>
        </w:rPr>
        <w:t>ASEAN), processes and initiatives (</w:t>
      </w:r>
      <w:r w:rsidR="009B6687" w:rsidRPr="003F2CC5">
        <w:rPr>
          <w:sz w:val="24"/>
          <w:szCs w:val="24"/>
        </w:rPr>
        <w:t xml:space="preserve">such as the </w:t>
      </w:r>
      <w:r w:rsidRPr="003F2CC5">
        <w:rPr>
          <w:sz w:val="24"/>
          <w:szCs w:val="24"/>
        </w:rPr>
        <w:t>Voluntary Principles on Security and Human Rights</w:t>
      </w:r>
      <w:r w:rsidR="0018188D" w:rsidRPr="003F2CC5">
        <w:rPr>
          <w:sz w:val="24"/>
          <w:szCs w:val="24"/>
        </w:rPr>
        <w:t xml:space="preserve"> and the Children’s Rights and Business Principles)</w:t>
      </w:r>
      <w:r w:rsidRPr="003F2CC5">
        <w:rPr>
          <w:sz w:val="24"/>
          <w:szCs w:val="24"/>
        </w:rPr>
        <w:t xml:space="preserve"> so as to promote the UNGPs framework and responsible business practices; </w:t>
      </w:r>
      <w:r w:rsidR="001B3F68" w:rsidRPr="003F2CC5">
        <w:rPr>
          <w:sz w:val="24"/>
          <w:szCs w:val="24"/>
        </w:rPr>
        <w:t>and</w:t>
      </w:r>
    </w:p>
    <w:p w14:paraId="236F6AF2" w14:textId="77777777" w:rsidR="000F5195" w:rsidRDefault="001B3F68" w:rsidP="003F2CC5">
      <w:pPr>
        <w:pStyle w:val="aaHRLCBodytextakaNormal"/>
        <w:numPr>
          <w:ilvl w:val="0"/>
          <w:numId w:val="22"/>
        </w:numPr>
        <w:spacing w:line="240" w:lineRule="auto"/>
        <w:rPr>
          <w:sz w:val="24"/>
          <w:szCs w:val="24"/>
        </w:rPr>
      </w:pPr>
      <w:r w:rsidRPr="003F2CC5">
        <w:rPr>
          <w:sz w:val="24"/>
          <w:szCs w:val="24"/>
        </w:rPr>
        <w:t>includes, in a NAP, proposals for achieving and maintaining a consistent</w:t>
      </w:r>
      <w:r w:rsidR="00124EE2" w:rsidRPr="003F2CC5">
        <w:rPr>
          <w:sz w:val="24"/>
          <w:szCs w:val="24"/>
        </w:rPr>
        <w:t>, coherent</w:t>
      </w:r>
      <w:r w:rsidRPr="003F2CC5">
        <w:rPr>
          <w:sz w:val="24"/>
          <w:szCs w:val="24"/>
        </w:rPr>
        <w:t xml:space="preserve"> approach to promulgating policies that en</w:t>
      </w:r>
      <w:r w:rsidR="003D1751">
        <w:rPr>
          <w:sz w:val="24"/>
          <w:szCs w:val="24"/>
        </w:rPr>
        <w:t>able the g</w:t>
      </w:r>
      <w:r w:rsidRPr="003F2CC5">
        <w:rPr>
          <w:sz w:val="24"/>
          <w:szCs w:val="24"/>
        </w:rPr>
        <w:t>overnment to meet its obligations under the UNGPs.</w:t>
      </w:r>
    </w:p>
    <w:p w14:paraId="04667F17" w14:textId="77777777" w:rsidR="00D111E3" w:rsidRPr="003F2CC5" w:rsidRDefault="00D111E3" w:rsidP="00D111E3">
      <w:pPr>
        <w:pStyle w:val="aaHRLCBodytextakaNormal"/>
        <w:spacing w:line="240" w:lineRule="auto"/>
        <w:ind w:left="720"/>
        <w:rPr>
          <w:sz w:val="24"/>
          <w:szCs w:val="24"/>
        </w:rPr>
      </w:pPr>
    </w:p>
    <w:p w14:paraId="6B26392B" w14:textId="77777777" w:rsidR="008D284E" w:rsidRPr="00632A98" w:rsidRDefault="008D284E" w:rsidP="00BF0CB2">
      <w:pPr>
        <w:pStyle w:val="ListParagraph"/>
        <w:numPr>
          <w:ilvl w:val="2"/>
          <w:numId w:val="15"/>
        </w:numPr>
        <w:spacing w:before="0" w:after="160"/>
      </w:pPr>
      <w:bookmarkStart w:id="114" w:name="_Toc454973548"/>
      <w:bookmarkStart w:id="115" w:name="_Toc455580929"/>
      <w:bookmarkStart w:id="116" w:name="_Toc455588134"/>
      <w:bookmarkStart w:id="117" w:name="_Toc456168883"/>
      <w:r w:rsidRPr="00632A98">
        <w:rPr>
          <w:b/>
          <w:i/>
        </w:rPr>
        <w:t>Trade and investment agreements</w:t>
      </w:r>
      <w:bookmarkEnd w:id="114"/>
      <w:bookmarkEnd w:id="115"/>
      <w:bookmarkEnd w:id="116"/>
      <w:bookmarkEnd w:id="117"/>
    </w:p>
    <w:p w14:paraId="346C2015" w14:textId="77777777" w:rsidR="008D284E" w:rsidRDefault="005C0D45" w:rsidP="008D284E">
      <w:r>
        <w:t>The UNGPs require States to have due regard to their human rights obligations in entering into international investment and trade agreements</w:t>
      </w:r>
      <w:r w:rsidR="00D34614" w:rsidRPr="00D34614">
        <w:t xml:space="preserve"> </w:t>
      </w:r>
      <w:r w:rsidR="00D34614">
        <w:t xml:space="preserve">and not </w:t>
      </w:r>
      <w:r w:rsidR="009C6E6E">
        <w:t xml:space="preserve">to </w:t>
      </w:r>
      <w:r w:rsidR="00D34614">
        <w:t>act so as to constrain their ability to meet these obligations</w:t>
      </w:r>
      <w:r w:rsidR="004202A7">
        <w:t>.</w:t>
      </w:r>
      <w:r w:rsidR="004202A7">
        <w:rPr>
          <w:rStyle w:val="EndnoteReference"/>
        </w:rPr>
        <w:endnoteReference w:id="35"/>
      </w:r>
      <w:r w:rsidR="00D34614">
        <w:t xml:space="preserve"> </w:t>
      </w:r>
    </w:p>
    <w:p w14:paraId="33178A0A" w14:textId="77777777" w:rsidR="00D34614" w:rsidRDefault="00D34614" w:rsidP="008D284E">
      <w:r>
        <w:lastRenderedPageBreak/>
        <w:t xml:space="preserve">It is recommended that the </w:t>
      </w:r>
      <w:r w:rsidR="003D1751" w:rsidRPr="006050EC">
        <w:t>Australian</w:t>
      </w:r>
      <w:r w:rsidR="003D1751">
        <w:t xml:space="preserve"> </w:t>
      </w:r>
      <w:r>
        <w:t>Government:</w:t>
      </w:r>
    </w:p>
    <w:p w14:paraId="29177541" w14:textId="77777777" w:rsidR="00D86CDF" w:rsidRPr="003F2CC5" w:rsidRDefault="00D34614" w:rsidP="003F2CC5">
      <w:pPr>
        <w:pStyle w:val="aaHRLCBodytextakaNormal"/>
        <w:numPr>
          <w:ilvl w:val="0"/>
          <w:numId w:val="22"/>
        </w:numPr>
        <w:spacing w:line="240" w:lineRule="auto"/>
        <w:rPr>
          <w:sz w:val="24"/>
          <w:szCs w:val="24"/>
        </w:rPr>
      </w:pPr>
      <w:r w:rsidRPr="003F2CC5">
        <w:rPr>
          <w:sz w:val="24"/>
          <w:szCs w:val="24"/>
        </w:rPr>
        <w:t>reviews and analyses, as part of the NBA, Australia’s trade and investment relationships and agreements from a human rights compliance perspective</w:t>
      </w:r>
      <w:r w:rsidR="004D1A78" w:rsidRPr="003F2CC5">
        <w:rPr>
          <w:sz w:val="24"/>
          <w:szCs w:val="24"/>
        </w:rPr>
        <w:t xml:space="preserve"> (with special reference to investor-state dispute settlement mechanisms and stabilisation clauses)</w:t>
      </w:r>
      <w:r w:rsidRPr="003F2CC5">
        <w:rPr>
          <w:sz w:val="24"/>
          <w:szCs w:val="24"/>
        </w:rPr>
        <w:t xml:space="preserve">; </w:t>
      </w:r>
      <w:r w:rsidR="007172D4" w:rsidRPr="003F2CC5">
        <w:rPr>
          <w:sz w:val="24"/>
          <w:szCs w:val="24"/>
        </w:rPr>
        <w:t>and</w:t>
      </w:r>
    </w:p>
    <w:p w14:paraId="03FA0D5E" w14:textId="77777777" w:rsidR="00D86CDF" w:rsidRPr="003F2CC5" w:rsidRDefault="00D86CDF" w:rsidP="003F2CC5">
      <w:pPr>
        <w:pStyle w:val="aaHRLCBodytextakaNormal"/>
        <w:numPr>
          <w:ilvl w:val="0"/>
          <w:numId w:val="22"/>
        </w:numPr>
        <w:spacing w:line="240" w:lineRule="auto"/>
        <w:rPr>
          <w:sz w:val="24"/>
          <w:szCs w:val="24"/>
        </w:rPr>
      </w:pPr>
      <w:r w:rsidRPr="003F2CC5">
        <w:rPr>
          <w:sz w:val="24"/>
          <w:szCs w:val="24"/>
        </w:rPr>
        <w:t xml:space="preserve">explores options for </w:t>
      </w:r>
      <w:r w:rsidR="00840887" w:rsidRPr="003F2CC5">
        <w:rPr>
          <w:sz w:val="24"/>
          <w:szCs w:val="24"/>
        </w:rPr>
        <w:t xml:space="preserve">human rights </w:t>
      </w:r>
      <w:r w:rsidRPr="003F2CC5">
        <w:rPr>
          <w:sz w:val="24"/>
          <w:szCs w:val="24"/>
        </w:rPr>
        <w:t>protections relating to Australia’s trade and investment arrangements to be included in a NAP.</w:t>
      </w:r>
    </w:p>
    <w:p w14:paraId="2ADF7EF4" w14:textId="77777777" w:rsidR="00A2302A" w:rsidRDefault="003363CB" w:rsidP="00687CC5">
      <w:pPr>
        <w:pStyle w:val="Heading2"/>
        <w:numPr>
          <w:ilvl w:val="1"/>
          <w:numId w:val="15"/>
        </w:numPr>
      </w:pPr>
      <w:bookmarkStart w:id="118" w:name="_Toc456168884"/>
      <w:r w:rsidRPr="00172515">
        <w:t>The Corporate Responsibility to Respect Human Rights (Pillar 2)</w:t>
      </w:r>
      <w:bookmarkEnd w:id="118"/>
    </w:p>
    <w:p w14:paraId="5B162C22" w14:textId="77777777" w:rsidR="00F46C12" w:rsidRDefault="00E32E08" w:rsidP="009A2E88">
      <w:r>
        <w:t>Business enterprises are required to respect human rights.</w:t>
      </w:r>
      <w:r>
        <w:rPr>
          <w:rStyle w:val="EndnoteReference"/>
        </w:rPr>
        <w:endnoteReference w:id="36"/>
      </w:r>
      <w:r>
        <w:t xml:space="preserve"> </w:t>
      </w:r>
      <w:r w:rsidR="00605F3D" w:rsidRPr="00605F3D">
        <w:t xml:space="preserve">The UNGPs </w:t>
      </w:r>
      <w:r w:rsidR="008D284E">
        <w:t xml:space="preserve">should be taken as </w:t>
      </w:r>
      <w:r w:rsidR="007840F7">
        <w:t>represent</w:t>
      </w:r>
      <w:r w:rsidR="008D284E">
        <w:t>ing</w:t>
      </w:r>
      <w:r w:rsidR="007840F7">
        <w:t xml:space="preserve"> a </w:t>
      </w:r>
      <w:r w:rsidR="00605F3D" w:rsidRPr="00605F3D">
        <w:t>floor</w:t>
      </w:r>
      <w:r w:rsidR="008D284E">
        <w:t>,</w:t>
      </w:r>
      <w:r w:rsidR="007840F7">
        <w:t xml:space="preserve"> </w:t>
      </w:r>
      <w:r w:rsidR="008D284E">
        <w:t>rather than</w:t>
      </w:r>
      <w:r w:rsidR="00605F3D" w:rsidRPr="00605F3D">
        <w:t xml:space="preserve"> a ceiling</w:t>
      </w:r>
      <w:r w:rsidR="008D284E">
        <w:t>,</w:t>
      </w:r>
      <w:r w:rsidR="007840F7">
        <w:t xml:space="preserve"> for responsible </w:t>
      </w:r>
      <w:r w:rsidR="00A026AA">
        <w:t xml:space="preserve">business </w:t>
      </w:r>
      <w:r w:rsidR="007840F7">
        <w:t>practices. C</w:t>
      </w:r>
      <w:r w:rsidR="00605F3D" w:rsidRPr="00605F3D">
        <w:t xml:space="preserve">ompanies </w:t>
      </w:r>
      <w:r w:rsidR="00605F3D">
        <w:t>should be encouraged to</w:t>
      </w:r>
      <w:r w:rsidR="00B915F3">
        <w:t xml:space="preserve"> go beyond ‘respecting’</w:t>
      </w:r>
      <w:r w:rsidR="00605F3D" w:rsidRPr="00605F3D">
        <w:t xml:space="preserve"> human rights and </w:t>
      </w:r>
      <w:r w:rsidR="00B915F3">
        <w:t>do more to ‘</w:t>
      </w:r>
      <w:r w:rsidR="007840F7">
        <w:t>protect</w:t>
      </w:r>
      <w:r w:rsidR="00B915F3">
        <w:t>’</w:t>
      </w:r>
      <w:r w:rsidR="00605F3D" w:rsidRPr="00605F3D">
        <w:t xml:space="preserve"> </w:t>
      </w:r>
      <w:r w:rsidR="007840F7">
        <w:t>human rights</w:t>
      </w:r>
      <w:r w:rsidR="009A2ECB">
        <w:t>,</w:t>
      </w:r>
      <w:r w:rsidR="00F46C12">
        <w:t xml:space="preserve"> particularly </w:t>
      </w:r>
      <w:r w:rsidR="00605F3D" w:rsidRPr="00605F3D">
        <w:t xml:space="preserve">when </w:t>
      </w:r>
      <w:r w:rsidR="008668CD">
        <w:t>interacting</w:t>
      </w:r>
      <w:r w:rsidR="00605F3D" w:rsidRPr="00605F3D">
        <w:t xml:space="preserve"> with human rights defenders</w:t>
      </w:r>
      <w:r w:rsidR="001A6A16">
        <w:t>,</w:t>
      </w:r>
      <w:r w:rsidR="00F46C12">
        <w:t xml:space="preserve"> who frequently risk </w:t>
      </w:r>
      <w:r w:rsidR="001A6A16">
        <w:t xml:space="preserve">criminalisation, violent attacks and </w:t>
      </w:r>
      <w:r w:rsidR="00F46C12">
        <w:t>even death</w:t>
      </w:r>
      <w:r w:rsidR="00D62D3C">
        <w:t>,</w:t>
      </w:r>
      <w:r w:rsidR="00F46C12">
        <w:t xml:space="preserve"> in seeking to protect human rights in at risk communities</w:t>
      </w:r>
      <w:r w:rsidR="00605F3D" w:rsidRPr="00605F3D">
        <w:t>.</w:t>
      </w:r>
      <w:r w:rsidR="0079376C">
        <w:rPr>
          <w:rStyle w:val="EndnoteReference"/>
        </w:rPr>
        <w:endnoteReference w:id="37"/>
      </w:r>
    </w:p>
    <w:p w14:paraId="7CA7F7DA" w14:textId="77777777" w:rsidR="00301CAC" w:rsidRDefault="007840F7" w:rsidP="009A2E88">
      <w:r>
        <w:t xml:space="preserve">Pillar 2 of the UNGPs contains the </w:t>
      </w:r>
      <w:r w:rsidR="00301CAC">
        <w:t xml:space="preserve">corporate </w:t>
      </w:r>
      <w:r w:rsidR="00A026AA">
        <w:t>responsibility</w:t>
      </w:r>
      <w:r w:rsidR="00301CAC">
        <w:t xml:space="preserve"> to respect human rights and requires the establishment of policies and procedures, including human rights due diligence and reporting, to </w:t>
      </w:r>
      <w:r w:rsidR="00A026AA">
        <w:t>meet</w:t>
      </w:r>
      <w:r w:rsidR="00301CAC">
        <w:t xml:space="preserve"> this </w:t>
      </w:r>
      <w:r w:rsidR="00A026AA">
        <w:t>responsibility</w:t>
      </w:r>
      <w:r w:rsidR="00301CAC">
        <w:t>.</w:t>
      </w:r>
    </w:p>
    <w:p w14:paraId="52DC6ECA" w14:textId="77777777" w:rsidR="00254583" w:rsidRDefault="00CC54F1" w:rsidP="009A2E88">
      <w:pPr>
        <w:spacing w:before="0" w:after="0"/>
      </w:pPr>
      <w:r>
        <w:t>In</w:t>
      </w:r>
      <w:r w:rsidR="00EE594D">
        <w:t xml:space="preserve"> meeting its obligations under Pillar 1 of the UNGPs, </w:t>
      </w:r>
      <w:r>
        <w:t xml:space="preserve">the </w:t>
      </w:r>
      <w:r w:rsidR="003D1751" w:rsidRPr="006050EC">
        <w:t>Australian</w:t>
      </w:r>
      <w:r w:rsidR="003D1751">
        <w:t xml:space="preserve"> </w:t>
      </w:r>
      <w:r>
        <w:t>Government should</w:t>
      </w:r>
      <w:r w:rsidR="001462DF">
        <w:t xml:space="preserve"> </w:t>
      </w:r>
      <w:r w:rsidR="008A643E">
        <w:t>assist and support</w:t>
      </w:r>
      <w:r w:rsidR="001462DF">
        <w:t xml:space="preserve"> business in </w:t>
      </w:r>
      <w:r w:rsidR="00FD6DC8">
        <w:t>meeting the corporate</w:t>
      </w:r>
      <w:r w:rsidR="001462DF">
        <w:t xml:space="preserve"> human rights responsibilities ar</w:t>
      </w:r>
      <w:r>
        <w:t>ticulated in Pillar 2</w:t>
      </w:r>
      <w:r w:rsidR="00C10077">
        <w:t xml:space="preserve"> of the UNGPs</w:t>
      </w:r>
      <w:r w:rsidR="001462DF">
        <w:t>.</w:t>
      </w:r>
      <w:r w:rsidR="00254583">
        <w:t xml:space="preserve"> </w:t>
      </w:r>
      <w:r w:rsidR="00660105">
        <w:t>Keys mechanisms for achieving this include human rights due diligence and reporting</w:t>
      </w:r>
      <w:r w:rsidR="00D04C72">
        <w:t xml:space="preserve"> – the ‘know and show’ elements</w:t>
      </w:r>
      <w:r w:rsidR="006659C5">
        <w:t>, respectively,</w:t>
      </w:r>
      <w:r w:rsidR="00D04C72" w:rsidRPr="00D04C72">
        <w:t xml:space="preserve"> </w:t>
      </w:r>
      <w:r w:rsidR="00D04C72" w:rsidRPr="008A1BAA">
        <w:t>of</w:t>
      </w:r>
      <w:r w:rsidR="006659C5">
        <w:t xml:space="preserve"> the</w:t>
      </w:r>
      <w:r w:rsidR="00D04C72" w:rsidRPr="008A1BAA">
        <w:t xml:space="preserve"> corporate responsibility to re</w:t>
      </w:r>
      <w:r w:rsidR="00D04C72">
        <w:t>spect human rights</w:t>
      </w:r>
      <w:r w:rsidR="00821CB6">
        <w:t>,</w:t>
      </w:r>
      <w:r w:rsidR="00D04C72">
        <w:t xml:space="preserve"> </w:t>
      </w:r>
      <w:r w:rsidR="003178C7">
        <w:t xml:space="preserve">as </w:t>
      </w:r>
      <w:r w:rsidR="00017E43">
        <w:t xml:space="preserve">expressed </w:t>
      </w:r>
      <w:r w:rsidR="003178C7">
        <w:t>by</w:t>
      </w:r>
      <w:r w:rsidR="005C5763">
        <w:t xml:space="preserve"> the</w:t>
      </w:r>
      <w:r w:rsidR="00D04C72">
        <w:t xml:space="preserve"> UNGPs.</w:t>
      </w:r>
    </w:p>
    <w:p w14:paraId="6D931A51" w14:textId="77777777" w:rsidR="00343ACB" w:rsidRDefault="00343ACB" w:rsidP="009A2E88">
      <w:pPr>
        <w:spacing w:before="0" w:after="0"/>
      </w:pPr>
    </w:p>
    <w:p w14:paraId="32366C58" w14:textId="77777777" w:rsidR="00592815" w:rsidRPr="00AC15E3" w:rsidRDefault="00B147F0" w:rsidP="00687CC5">
      <w:pPr>
        <w:pStyle w:val="Heading3"/>
        <w:numPr>
          <w:ilvl w:val="2"/>
          <w:numId w:val="20"/>
        </w:numPr>
      </w:pPr>
      <w:bookmarkStart w:id="119" w:name="_Toc454973550"/>
      <w:bookmarkStart w:id="120" w:name="_Toc455580931"/>
      <w:bookmarkStart w:id="121" w:name="_Toc455588136"/>
      <w:bookmarkStart w:id="122" w:name="_Toc456168885"/>
      <w:r>
        <w:rPr>
          <w:b/>
        </w:rPr>
        <w:t>Human rights due d</w:t>
      </w:r>
      <w:r w:rsidR="00592815" w:rsidRPr="00AC15E3">
        <w:rPr>
          <w:b/>
        </w:rPr>
        <w:t>iligence</w:t>
      </w:r>
      <w:bookmarkEnd w:id="119"/>
      <w:bookmarkEnd w:id="120"/>
      <w:bookmarkEnd w:id="121"/>
      <w:bookmarkEnd w:id="122"/>
    </w:p>
    <w:p w14:paraId="6CE73B3E" w14:textId="77777777" w:rsidR="006F2AEF" w:rsidRDefault="006D4C1E" w:rsidP="009A2E88">
      <w:pPr>
        <w:spacing w:before="0" w:after="0"/>
      </w:pPr>
      <w:r>
        <w:t>Properly conducted h</w:t>
      </w:r>
      <w:r w:rsidR="00D04C72">
        <w:t xml:space="preserve">uman rights due diligence enables companies to uncover their </w:t>
      </w:r>
      <w:r>
        <w:t xml:space="preserve">actual and </w:t>
      </w:r>
      <w:r w:rsidR="00D04C72">
        <w:t>potential human rights impacts. This represents the ‘k</w:t>
      </w:r>
      <w:r w:rsidR="008A1BAA" w:rsidRPr="008A1BAA">
        <w:t>now</w:t>
      </w:r>
      <w:r w:rsidR="00D04C72">
        <w:t>’</w:t>
      </w:r>
      <w:r w:rsidR="004338D4">
        <w:t xml:space="preserve"> </w:t>
      </w:r>
      <w:r w:rsidR="008A1BAA" w:rsidRPr="008A1BAA">
        <w:t>element of corporate responsibility to respect human rights</w:t>
      </w:r>
      <w:r w:rsidR="00291C79">
        <w:t>.</w:t>
      </w:r>
      <w:r w:rsidR="00291C79">
        <w:rPr>
          <w:rStyle w:val="EndnoteReference"/>
        </w:rPr>
        <w:endnoteReference w:id="38"/>
      </w:r>
      <w:r w:rsidR="00291C79">
        <w:t xml:space="preserve"> </w:t>
      </w:r>
      <w:r w:rsidR="000B65C9">
        <w:t xml:space="preserve"> </w:t>
      </w:r>
      <w:r w:rsidR="00A20F1B">
        <w:t>It is recommended that the g</w:t>
      </w:r>
      <w:r w:rsidR="006F6935">
        <w:t>overnment take</w:t>
      </w:r>
      <w:r w:rsidR="0050468D">
        <w:t>s</w:t>
      </w:r>
      <w:r w:rsidR="006F6935">
        <w:t xml:space="preserve"> steps </w:t>
      </w:r>
      <w:r w:rsidR="006F2AEF" w:rsidRPr="008E7572">
        <w:t>to reinforce the corporate responsibility to respect</w:t>
      </w:r>
      <w:r w:rsidR="006F6935">
        <w:t xml:space="preserve"> </w:t>
      </w:r>
      <w:r w:rsidR="00596A0E">
        <w:t xml:space="preserve">human rights by encouraging and supporting companies in </w:t>
      </w:r>
      <w:r w:rsidR="00C1304D">
        <w:t>their adoption</w:t>
      </w:r>
      <w:r w:rsidR="00596A0E">
        <w:t xml:space="preserve"> </w:t>
      </w:r>
      <w:r w:rsidR="00C1304D">
        <w:t xml:space="preserve">of </w:t>
      </w:r>
      <w:r w:rsidR="00596A0E">
        <w:t>effective and appropriate human rights due diligence processes</w:t>
      </w:r>
      <w:r w:rsidR="00096624">
        <w:t>.</w:t>
      </w:r>
    </w:p>
    <w:p w14:paraId="7DD89A1A" w14:textId="77777777" w:rsidR="00596A0E" w:rsidRDefault="00596A0E" w:rsidP="009A2E88">
      <w:pPr>
        <w:spacing w:before="0" w:after="0"/>
      </w:pPr>
    </w:p>
    <w:p w14:paraId="799CDCE4" w14:textId="77777777" w:rsidR="008A1BAA" w:rsidRDefault="008F2322" w:rsidP="009A2E88">
      <w:pPr>
        <w:spacing w:before="0" w:after="0"/>
      </w:pPr>
      <w:r>
        <w:t>It is acknowledged that an insufficient number of Australian companies have introduced human rights due diligence processes in accordance with the UNGPs. This is particularly</w:t>
      </w:r>
      <w:r w:rsidR="00EF423C">
        <w:t xml:space="preserve"> </w:t>
      </w:r>
      <w:r w:rsidR="000E77D6">
        <w:t xml:space="preserve">the case </w:t>
      </w:r>
      <w:r w:rsidR="00A20F1B">
        <w:t>in relation to</w:t>
      </w:r>
      <w:r>
        <w:t xml:space="preserve"> </w:t>
      </w:r>
      <w:r w:rsidR="004276CF">
        <w:t>small and medium enterprises (</w:t>
      </w:r>
      <w:r>
        <w:t>SMEs</w:t>
      </w:r>
      <w:r w:rsidR="004276CF">
        <w:t>)</w:t>
      </w:r>
      <w:r w:rsidR="00A20F1B">
        <w:t>. Civil society recommends that t</w:t>
      </w:r>
      <w:r>
        <w:t xml:space="preserve">he </w:t>
      </w:r>
      <w:r w:rsidR="00A20F1B" w:rsidRPr="006050EC">
        <w:t>Australian</w:t>
      </w:r>
      <w:r w:rsidR="00A20F1B">
        <w:t xml:space="preserve"> </w:t>
      </w:r>
      <w:r w:rsidR="00AD4F3C">
        <w:t xml:space="preserve">Government prioritises </w:t>
      </w:r>
      <w:r w:rsidR="006B4AD1">
        <w:t>facilitating</w:t>
      </w:r>
      <w:r w:rsidR="0010546E">
        <w:t xml:space="preserve"> </w:t>
      </w:r>
      <w:r w:rsidR="0094054D">
        <w:t>effective</w:t>
      </w:r>
      <w:r>
        <w:t xml:space="preserve"> </w:t>
      </w:r>
      <w:r w:rsidR="008A1BAA">
        <w:t xml:space="preserve">structural change in this area. </w:t>
      </w:r>
    </w:p>
    <w:p w14:paraId="11D30400" w14:textId="77777777" w:rsidR="008F2322" w:rsidRDefault="008F2322" w:rsidP="009A2E88">
      <w:pPr>
        <w:spacing w:before="0" w:after="0"/>
      </w:pPr>
    </w:p>
    <w:p w14:paraId="674D4080" w14:textId="77777777" w:rsidR="008F2322" w:rsidRDefault="001859BC" w:rsidP="00147CA1">
      <w:pPr>
        <w:spacing w:before="0"/>
      </w:pPr>
      <w:r>
        <w:t>T</w:t>
      </w:r>
      <w:r w:rsidR="00D87508">
        <w:t>o achieve</w:t>
      </w:r>
      <w:r w:rsidR="008F2322">
        <w:t xml:space="preserve"> this, it is recommended that</w:t>
      </w:r>
      <w:r w:rsidR="00832684">
        <w:t xml:space="preserve"> the </w:t>
      </w:r>
      <w:r w:rsidR="0010546E" w:rsidRPr="006050EC">
        <w:t>Australian</w:t>
      </w:r>
      <w:r w:rsidR="0010546E">
        <w:t xml:space="preserve"> </w:t>
      </w:r>
      <w:r w:rsidR="00832684">
        <w:t>Govern</w:t>
      </w:r>
      <w:r w:rsidR="008F2322">
        <w:t>m</w:t>
      </w:r>
      <w:r w:rsidR="00832684">
        <w:t>e</w:t>
      </w:r>
      <w:r w:rsidR="008F2322">
        <w:t>nt:</w:t>
      </w:r>
    </w:p>
    <w:p w14:paraId="19B059CD" w14:textId="77777777" w:rsidR="00147CA1" w:rsidRDefault="0081525A" w:rsidP="00147CA1">
      <w:pPr>
        <w:pStyle w:val="aaHRLCBodytextakaNormal"/>
        <w:numPr>
          <w:ilvl w:val="0"/>
          <w:numId w:val="22"/>
        </w:numPr>
        <w:spacing w:line="240" w:lineRule="auto"/>
        <w:rPr>
          <w:sz w:val="24"/>
          <w:szCs w:val="24"/>
        </w:rPr>
      </w:pPr>
      <w:r w:rsidRPr="003F2CC5">
        <w:rPr>
          <w:sz w:val="24"/>
          <w:szCs w:val="24"/>
        </w:rPr>
        <w:t>examines, as part of the NBA, the current human rights due diligence activities of Austr</w:t>
      </w:r>
      <w:r w:rsidR="00620FD4">
        <w:rPr>
          <w:sz w:val="24"/>
          <w:szCs w:val="24"/>
        </w:rPr>
        <w:t>alian companies</w:t>
      </w:r>
      <w:r w:rsidRPr="003F2CC5">
        <w:rPr>
          <w:sz w:val="24"/>
          <w:szCs w:val="24"/>
        </w:rPr>
        <w:t>;</w:t>
      </w:r>
    </w:p>
    <w:p w14:paraId="1D71C526" w14:textId="77777777" w:rsidR="00C814CF" w:rsidRPr="00147CA1" w:rsidRDefault="00C814CF" w:rsidP="00147CA1">
      <w:pPr>
        <w:pStyle w:val="aaHRLCBodytextakaNormal"/>
        <w:numPr>
          <w:ilvl w:val="0"/>
          <w:numId w:val="22"/>
        </w:numPr>
        <w:spacing w:line="240" w:lineRule="auto"/>
        <w:rPr>
          <w:sz w:val="24"/>
          <w:szCs w:val="24"/>
        </w:rPr>
      </w:pPr>
      <w:r w:rsidRPr="00147CA1">
        <w:rPr>
          <w:sz w:val="24"/>
          <w:szCs w:val="24"/>
        </w:rPr>
        <w:lastRenderedPageBreak/>
        <w:t>assesses, as part of a NBA, existing legislative due diligence requirements;</w:t>
      </w:r>
    </w:p>
    <w:p w14:paraId="30A4F4B5" w14:textId="77777777" w:rsidR="0081525A" w:rsidRPr="003F2CC5" w:rsidRDefault="00C814CF" w:rsidP="003F2CC5">
      <w:pPr>
        <w:pStyle w:val="aaHRLCBodytextakaNormal"/>
        <w:numPr>
          <w:ilvl w:val="0"/>
          <w:numId w:val="22"/>
        </w:numPr>
        <w:spacing w:line="240" w:lineRule="auto"/>
        <w:rPr>
          <w:sz w:val="24"/>
          <w:szCs w:val="24"/>
        </w:rPr>
      </w:pPr>
      <w:r w:rsidRPr="003F2CC5">
        <w:rPr>
          <w:sz w:val="24"/>
          <w:szCs w:val="24"/>
        </w:rPr>
        <w:t xml:space="preserve">considers options for building upon existing foundations so as to enhance </w:t>
      </w:r>
      <w:r w:rsidR="004372B1" w:rsidRPr="003F2CC5">
        <w:rPr>
          <w:sz w:val="24"/>
          <w:szCs w:val="24"/>
        </w:rPr>
        <w:t xml:space="preserve">the </w:t>
      </w:r>
      <w:r w:rsidR="00FB78D2" w:rsidRPr="003F2CC5">
        <w:rPr>
          <w:sz w:val="24"/>
          <w:szCs w:val="24"/>
        </w:rPr>
        <w:t>human rights due diligence</w:t>
      </w:r>
      <w:r w:rsidRPr="003F2CC5">
        <w:rPr>
          <w:sz w:val="24"/>
          <w:szCs w:val="24"/>
        </w:rPr>
        <w:t xml:space="preserve"> require</w:t>
      </w:r>
      <w:r w:rsidR="004372B1" w:rsidRPr="003F2CC5">
        <w:rPr>
          <w:sz w:val="24"/>
          <w:szCs w:val="24"/>
        </w:rPr>
        <w:t>ments of Australian</w:t>
      </w:r>
      <w:r w:rsidRPr="003F2CC5">
        <w:rPr>
          <w:sz w:val="24"/>
          <w:szCs w:val="24"/>
        </w:rPr>
        <w:t xml:space="preserve"> business</w:t>
      </w:r>
      <w:r w:rsidR="004372B1" w:rsidRPr="003F2CC5">
        <w:rPr>
          <w:sz w:val="24"/>
          <w:szCs w:val="24"/>
        </w:rPr>
        <w:t>es;</w:t>
      </w:r>
    </w:p>
    <w:p w14:paraId="434C9C8B" w14:textId="77777777" w:rsidR="00FF260B" w:rsidRPr="003F2CC5" w:rsidRDefault="007402B6" w:rsidP="003F2CC5">
      <w:pPr>
        <w:pStyle w:val="aaHRLCBodytextakaNormal"/>
        <w:numPr>
          <w:ilvl w:val="0"/>
          <w:numId w:val="22"/>
        </w:numPr>
        <w:spacing w:line="240" w:lineRule="auto"/>
        <w:rPr>
          <w:sz w:val="24"/>
          <w:szCs w:val="24"/>
        </w:rPr>
      </w:pPr>
      <w:r w:rsidRPr="003F2CC5">
        <w:rPr>
          <w:sz w:val="24"/>
          <w:szCs w:val="24"/>
        </w:rPr>
        <w:t>endeavours, through education and training programs, to bring about a cultura</w:t>
      </w:r>
      <w:r w:rsidR="0010546E">
        <w:rPr>
          <w:sz w:val="24"/>
          <w:szCs w:val="24"/>
        </w:rPr>
        <w:t xml:space="preserve">l shift in corporate attitudes </w:t>
      </w:r>
      <w:r w:rsidRPr="003F2CC5">
        <w:rPr>
          <w:sz w:val="24"/>
          <w:szCs w:val="24"/>
        </w:rPr>
        <w:t>to</w:t>
      </w:r>
      <w:r w:rsidR="0010546E">
        <w:rPr>
          <w:sz w:val="24"/>
          <w:szCs w:val="24"/>
        </w:rPr>
        <w:t>wards</w:t>
      </w:r>
      <w:r w:rsidR="00671AFD" w:rsidRPr="003F2CC5">
        <w:rPr>
          <w:sz w:val="24"/>
          <w:szCs w:val="24"/>
        </w:rPr>
        <w:t>,</w:t>
      </w:r>
      <w:r w:rsidRPr="003F2CC5">
        <w:rPr>
          <w:sz w:val="24"/>
          <w:szCs w:val="24"/>
        </w:rPr>
        <w:t xml:space="preserve"> </w:t>
      </w:r>
      <w:r w:rsidR="00671AFD" w:rsidRPr="003F2CC5">
        <w:rPr>
          <w:sz w:val="24"/>
          <w:szCs w:val="24"/>
        </w:rPr>
        <w:t xml:space="preserve">and understanding of, </w:t>
      </w:r>
      <w:r w:rsidRPr="003F2CC5">
        <w:rPr>
          <w:sz w:val="24"/>
          <w:szCs w:val="24"/>
        </w:rPr>
        <w:t>human rights due diligence processes and procedures</w:t>
      </w:r>
      <w:r w:rsidR="0010546E">
        <w:rPr>
          <w:sz w:val="24"/>
          <w:szCs w:val="24"/>
        </w:rPr>
        <w:t>,</w:t>
      </w:r>
      <w:r w:rsidR="0010546E" w:rsidRPr="0010546E">
        <w:rPr>
          <w:sz w:val="24"/>
          <w:szCs w:val="24"/>
        </w:rPr>
        <w:t xml:space="preserve"> </w:t>
      </w:r>
      <w:r w:rsidR="0010546E" w:rsidRPr="003F2CC5">
        <w:rPr>
          <w:sz w:val="24"/>
          <w:szCs w:val="24"/>
        </w:rPr>
        <w:t>with an emphasis on engaging SMEs</w:t>
      </w:r>
      <w:r w:rsidRPr="003F2CC5">
        <w:rPr>
          <w:sz w:val="24"/>
          <w:szCs w:val="24"/>
        </w:rPr>
        <w:t xml:space="preserve">; </w:t>
      </w:r>
    </w:p>
    <w:p w14:paraId="6D1E63B3" w14:textId="77777777" w:rsidR="00751D1E" w:rsidRPr="003F2CC5" w:rsidRDefault="00751D1E" w:rsidP="003F2CC5">
      <w:pPr>
        <w:pStyle w:val="aaHRLCBodytextakaNormal"/>
        <w:numPr>
          <w:ilvl w:val="0"/>
          <w:numId w:val="22"/>
        </w:numPr>
        <w:spacing w:line="240" w:lineRule="auto"/>
        <w:rPr>
          <w:sz w:val="24"/>
          <w:szCs w:val="24"/>
        </w:rPr>
      </w:pPr>
      <w:r w:rsidRPr="003F2CC5">
        <w:rPr>
          <w:sz w:val="24"/>
          <w:szCs w:val="24"/>
        </w:rPr>
        <w:t>develops</w:t>
      </w:r>
      <w:r w:rsidR="006228C2" w:rsidRPr="003F2CC5">
        <w:rPr>
          <w:sz w:val="24"/>
          <w:szCs w:val="24"/>
        </w:rPr>
        <w:t xml:space="preserve"> guidance </w:t>
      </w:r>
      <w:r w:rsidR="00D40EEC">
        <w:rPr>
          <w:sz w:val="24"/>
          <w:szCs w:val="24"/>
        </w:rPr>
        <w:t xml:space="preserve">for companies </w:t>
      </w:r>
      <w:r w:rsidR="006228C2" w:rsidRPr="003F2CC5">
        <w:rPr>
          <w:sz w:val="24"/>
          <w:szCs w:val="24"/>
        </w:rPr>
        <w:t xml:space="preserve">on </w:t>
      </w:r>
      <w:r w:rsidRPr="003F2CC5">
        <w:rPr>
          <w:sz w:val="24"/>
          <w:szCs w:val="24"/>
        </w:rPr>
        <w:t xml:space="preserve">interpreting and implementing the </w:t>
      </w:r>
      <w:r w:rsidR="006228C2" w:rsidRPr="003F2CC5">
        <w:rPr>
          <w:sz w:val="24"/>
          <w:szCs w:val="24"/>
        </w:rPr>
        <w:t xml:space="preserve">human rights due diligence </w:t>
      </w:r>
      <w:r w:rsidR="00495B48" w:rsidRPr="003F2CC5">
        <w:rPr>
          <w:sz w:val="24"/>
          <w:szCs w:val="24"/>
        </w:rPr>
        <w:t>requirements</w:t>
      </w:r>
      <w:r w:rsidR="00DB10E5" w:rsidRPr="003F2CC5">
        <w:rPr>
          <w:sz w:val="24"/>
          <w:szCs w:val="24"/>
        </w:rPr>
        <w:t xml:space="preserve"> </w:t>
      </w:r>
      <w:r w:rsidRPr="003F2CC5">
        <w:rPr>
          <w:sz w:val="24"/>
          <w:szCs w:val="24"/>
        </w:rPr>
        <w:t>under the UNGPs</w:t>
      </w:r>
      <w:r w:rsidR="0010546E">
        <w:rPr>
          <w:sz w:val="24"/>
          <w:szCs w:val="24"/>
        </w:rPr>
        <w:t>,</w:t>
      </w:r>
      <w:r w:rsidR="0010546E" w:rsidRPr="0010546E">
        <w:rPr>
          <w:sz w:val="24"/>
          <w:szCs w:val="24"/>
        </w:rPr>
        <w:t xml:space="preserve"> </w:t>
      </w:r>
      <w:r w:rsidR="0010546E" w:rsidRPr="003F2CC5">
        <w:rPr>
          <w:sz w:val="24"/>
          <w:szCs w:val="24"/>
        </w:rPr>
        <w:t xml:space="preserve">with a </w:t>
      </w:r>
      <w:r w:rsidR="0010546E">
        <w:rPr>
          <w:sz w:val="24"/>
          <w:szCs w:val="24"/>
        </w:rPr>
        <w:t>particular</w:t>
      </w:r>
      <w:r w:rsidR="0010546E" w:rsidRPr="003F2CC5">
        <w:rPr>
          <w:sz w:val="24"/>
          <w:szCs w:val="24"/>
        </w:rPr>
        <w:t xml:space="preserve"> focus on SMEs</w:t>
      </w:r>
      <w:r w:rsidRPr="003F2CC5">
        <w:rPr>
          <w:sz w:val="24"/>
          <w:szCs w:val="24"/>
        </w:rPr>
        <w:t>;</w:t>
      </w:r>
    </w:p>
    <w:p w14:paraId="41E3B6C0" w14:textId="77777777" w:rsidR="0081525A" w:rsidRPr="003F2CC5" w:rsidRDefault="00B66359" w:rsidP="003F2CC5">
      <w:pPr>
        <w:pStyle w:val="aaHRLCBodytextakaNormal"/>
        <w:numPr>
          <w:ilvl w:val="0"/>
          <w:numId w:val="22"/>
        </w:numPr>
        <w:spacing w:line="240" w:lineRule="auto"/>
        <w:rPr>
          <w:sz w:val="24"/>
          <w:szCs w:val="24"/>
        </w:rPr>
      </w:pPr>
      <w:r w:rsidRPr="003F2CC5">
        <w:rPr>
          <w:sz w:val="24"/>
          <w:szCs w:val="24"/>
        </w:rPr>
        <w:t>collaborate</w:t>
      </w:r>
      <w:r w:rsidR="00147CA1">
        <w:rPr>
          <w:sz w:val="24"/>
          <w:szCs w:val="24"/>
        </w:rPr>
        <w:t xml:space="preserve">s with </w:t>
      </w:r>
      <w:r w:rsidR="00671AFD" w:rsidRPr="003F2CC5">
        <w:rPr>
          <w:sz w:val="24"/>
          <w:szCs w:val="24"/>
        </w:rPr>
        <w:t xml:space="preserve">civil society in developing human rights due diligence guidance for business; </w:t>
      </w:r>
    </w:p>
    <w:p w14:paraId="57E6ACCE" w14:textId="77777777" w:rsidR="00770400" w:rsidRPr="003F2CC5" w:rsidRDefault="0081525A" w:rsidP="003F2CC5">
      <w:pPr>
        <w:pStyle w:val="aaHRLCBodytextakaNormal"/>
        <w:numPr>
          <w:ilvl w:val="0"/>
          <w:numId w:val="22"/>
        </w:numPr>
        <w:spacing w:line="240" w:lineRule="auto"/>
        <w:rPr>
          <w:sz w:val="24"/>
          <w:szCs w:val="24"/>
        </w:rPr>
      </w:pPr>
      <w:r w:rsidRPr="003F2CC5">
        <w:rPr>
          <w:sz w:val="24"/>
          <w:szCs w:val="24"/>
        </w:rPr>
        <w:t>a</w:t>
      </w:r>
      <w:r w:rsidR="00770400" w:rsidRPr="003F2CC5">
        <w:rPr>
          <w:sz w:val="24"/>
          <w:szCs w:val="24"/>
        </w:rPr>
        <w:t>dopt</w:t>
      </w:r>
      <w:r w:rsidRPr="003F2CC5">
        <w:rPr>
          <w:sz w:val="24"/>
          <w:szCs w:val="24"/>
        </w:rPr>
        <w:t xml:space="preserve">s </w:t>
      </w:r>
      <w:r w:rsidR="00770400" w:rsidRPr="003F2CC5">
        <w:rPr>
          <w:sz w:val="24"/>
          <w:szCs w:val="24"/>
        </w:rPr>
        <w:t>human rights due diligence processes in</w:t>
      </w:r>
      <w:r w:rsidR="006F2AEF" w:rsidRPr="003F2CC5">
        <w:rPr>
          <w:sz w:val="24"/>
          <w:szCs w:val="24"/>
        </w:rPr>
        <w:t xml:space="preserve"> its own </w:t>
      </w:r>
      <w:r w:rsidR="00240F3E" w:rsidRPr="003F2CC5">
        <w:rPr>
          <w:sz w:val="24"/>
          <w:szCs w:val="24"/>
        </w:rPr>
        <w:t xml:space="preserve">business </w:t>
      </w:r>
      <w:r w:rsidR="00240F3E">
        <w:rPr>
          <w:sz w:val="24"/>
          <w:szCs w:val="24"/>
        </w:rPr>
        <w:t xml:space="preserve">practices </w:t>
      </w:r>
      <w:r w:rsidR="0076391B" w:rsidRPr="003F2CC5">
        <w:rPr>
          <w:sz w:val="24"/>
          <w:szCs w:val="24"/>
        </w:rPr>
        <w:t>(</w:t>
      </w:r>
      <w:r w:rsidR="00147CA1">
        <w:rPr>
          <w:sz w:val="24"/>
          <w:szCs w:val="24"/>
        </w:rPr>
        <w:t xml:space="preserve">see further at </w:t>
      </w:r>
      <w:r w:rsidR="00770400" w:rsidRPr="003F2CC5">
        <w:rPr>
          <w:sz w:val="24"/>
          <w:szCs w:val="24"/>
        </w:rPr>
        <w:t>7.2</w:t>
      </w:r>
      <w:r w:rsidR="00AB0FBE" w:rsidRPr="003F2CC5">
        <w:rPr>
          <w:sz w:val="24"/>
          <w:szCs w:val="24"/>
        </w:rPr>
        <w:t>(c)</w:t>
      </w:r>
      <w:r w:rsidR="00770400" w:rsidRPr="003F2CC5">
        <w:rPr>
          <w:sz w:val="24"/>
          <w:szCs w:val="24"/>
        </w:rPr>
        <w:t xml:space="preserve"> above</w:t>
      </w:r>
      <w:r w:rsidR="0076391B" w:rsidRPr="003F2CC5">
        <w:rPr>
          <w:sz w:val="24"/>
          <w:szCs w:val="24"/>
        </w:rPr>
        <w:t>)</w:t>
      </w:r>
      <w:r w:rsidR="00770400" w:rsidRPr="003F2CC5">
        <w:rPr>
          <w:sz w:val="24"/>
          <w:szCs w:val="24"/>
        </w:rPr>
        <w:t>; and</w:t>
      </w:r>
    </w:p>
    <w:p w14:paraId="4780387F" w14:textId="77777777" w:rsidR="00A94E69" w:rsidRPr="003F2CC5" w:rsidRDefault="00770400" w:rsidP="003F2CC5">
      <w:pPr>
        <w:pStyle w:val="aaHRLCBodytextakaNormal"/>
        <w:numPr>
          <w:ilvl w:val="0"/>
          <w:numId w:val="22"/>
        </w:numPr>
        <w:spacing w:line="240" w:lineRule="auto"/>
        <w:rPr>
          <w:sz w:val="24"/>
          <w:szCs w:val="24"/>
        </w:rPr>
      </w:pPr>
      <w:r w:rsidRPr="003F2CC5">
        <w:rPr>
          <w:sz w:val="24"/>
          <w:szCs w:val="24"/>
        </w:rPr>
        <w:t>seeks c</w:t>
      </w:r>
      <w:r w:rsidR="006F2AEF" w:rsidRPr="003F2CC5">
        <w:rPr>
          <w:sz w:val="24"/>
          <w:szCs w:val="24"/>
        </w:rPr>
        <w:t>ompliance</w:t>
      </w:r>
      <w:r w:rsidRPr="003F2CC5">
        <w:rPr>
          <w:sz w:val="24"/>
          <w:szCs w:val="24"/>
        </w:rPr>
        <w:t xml:space="preserve"> by companies</w:t>
      </w:r>
      <w:r w:rsidR="006F2AEF" w:rsidRPr="003F2CC5">
        <w:rPr>
          <w:sz w:val="24"/>
          <w:szCs w:val="24"/>
        </w:rPr>
        <w:t xml:space="preserve"> with </w:t>
      </w:r>
      <w:r w:rsidRPr="003F2CC5">
        <w:rPr>
          <w:sz w:val="24"/>
          <w:szCs w:val="24"/>
        </w:rPr>
        <w:t>human rights due diligence guidelines and</w:t>
      </w:r>
      <w:r w:rsidR="006F2AEF" w:rsidRPr="003F2CC5">
        <w:rPr>
          <w:sz w:val="24"/>
          <w:szCs w:val="24"/>
        </w:rPr>
        <w:t xml:space="preserve"> standards</w:t>
      </w:r>
      <w:r w:rsidRPr="003F2CC5">
        <w:rPr>
          <w:sz w:val="24"/>
          <w:szCs w:val="24"/>
        </w:rPr>
        <w:t>.</w:t>
      </w:r>
    </w:p>
    <w:p w14:paraId="1D043BED" w14:textId="77777777" w:rsidR="00592815" w:rsidRPr="00AB0FBE" w:rsidRDefault="00592815" w:rsidP="00687CC5">
      <w:pPr>
        <w:pStyle w:val="Heading3"/>
        <w:numPr>
          <w:ilvl w:val="2"/>
          <w:numId w:val="20"/>
        </w:numPr>
        <w:rPr>
          <w:rFonts w:cs="Arial"/>
          <w:b/>
          <w:lang w:val="en"/>
        </w:rPr>
      </w:pPr>
      <w:bookmarkStart w:id="123" w:name="_Toc454973551"/>
      <w:bookmarkStart w:id="124" w:name="_Toc455580932"/>
      <w:bookmarkStart w:id="125" w:name="_Toc455588137"/>
      <w:bookmarkStart w:id="126" w:name="_Toc456168886"/>
      <w:r w:rsidRPr="00AB0FBE">
        <w:rPr>
          <w:rFonts w:cs="Arial"/>
          <w:b/>
          <w:lang w:val="en"/>
        </w:rPr>
        <w:t>Reporting</w:t>
      </w:r>
      <w:bookmarkEnd w:id="123"/>
      <w:bookmarkEnd w:id="124"/>
      <w:bookmarkEnd w:id="125"/>
      <w:bookmarkEnd w:id="126"/>
    </w:p>
    <w:p w14:paraId="467BBA21" w14:textId="77777777" w:rsidR="00D31159" w:rsidRDefault="00C11C72" w:rsidP="00DB0D4A">
      <w:pPr>
        <w:spacing w:before="0" w:after="0"/>
      </w:pPr>
      <w:r>
        <w:t>Where</w:t>
      </w:r>
      <w:r w:rsidR="00F65AB6">
        <w:t xml:space="preserve"> a company’s operations</w:t>
      </w:r>
      <w:r>
        <w:t>,</w:t>
      </w:r>
      <w:r w:rsidR="00F65AB6">
        <w:t xml:space="preserve"> or operating context</w:t>
      </w:r>
      <w:r>
        <w:t>,</w:t>
      </w:r>
      <w:r w:rsidR="00F65AB6">
        <w:t xml:space="preserve"> poses the risk of severe human rights impacts, t</w:t>
      </w:r>
      <w:r w:rsidR="000F43B2">
        <w:t>he</w:t>
      </w:r>
      <w:r>
        <w:t>n the</w:t>
      </w:r>
      <w:r w:rsidR="000F43B2">
        <w:t xml:space="preserve"> UNGPs require</w:t>
      </w:r>
      <w:r w:rsidR="00F65AB6">
        <w:t xml:space="preserve"> the company</w:t>
      </w:r>
      <w:r w:rsidR="000F43B2">
        <w:t xml:space="preserve"> </w:t>
      </w:r>
      <w:r>
        <w:t xml:space="preserve">to </w:t>
      </w:r>
      <w:r w:rsidR="000F43B2">
        <w:t xml:space="preserve">report </w:t>
      </w:r>
      <w:r w:rsidR="00F65AB6">
        <w:t xml:space="preserve">formally </w:t>
      </w:r>
      <w:r w:rsidR="000F43B2">
        <w:t>on</w:t>
      </w:r>
      <w:r>
        <w:t xml:space="preserve"> how it addresses that</w:t>
      </w:r>
      <w:r w:rsidR="00F65AB6">
        <w:t xml:space="preserve"> risk.</w:t>
      </w:r>
      <w:r w:rsidR="00F65AB6">
        <w:rPr>
          <w:rStyle w:val="EndnoteReference"/>
        </w:rPr>
        <w:endnoteReference w:id="39"/>
      </w:r>
      <w:r w:rsidR="00F65AB6">
        <w:t xml:space="preserve"> </w:t>
      </w:r>
      <w:r w:rsidR="00AE3097">
        <w:t xml:space="preserve"> Reporting constitutes the ‘show’ element of the corporate responsibility to respect human rights.</w:t>
      </w:r>
      <w:r w:rsidR="00DB0D4A">
        <w:t xml:space="preserve"> </w:t>
      </w:r>
      <w:r w:rsidR="00235ABF">
        <w:t xml:space="preserve">The UNGPs require States to promote </w:t>
      </w:r>
      <w:r w:rsidR="00506A4D">
        <w:t>communication by business enterprises</w:t>
      </w:r>
      <w:r w:rsidR="00235ABF">
        <w:t xml:space="preserve"> on </w:t>
      </w:r>
      <w:r w:rsidR="00506A4D">
        <w:t xml:space="preserve">their </w:t>
      </w:r>
      <w:r w:rsidR="00235ABF">
        <w:t>human rights impacts.</w:t>
      </w:r>
      <w:r w:rsidR="00235ABF">
        <w:rPr>
          <w:rStyle w:val="EndnoteReference"/>
        </w:rPr>
        <w:endnoteReference w:id="40"/>
      </w:r>
      <w:r w:rsidR="00235ABF">
        <w:t xml:space="preserve"> </w:t>
      </w:r>
    </w:p>
    <w:p w14:paraId="13A06553" w14:textId="77777777" w:rsidR="00235ABF" w:rsidRDefault="00235ABF" w:rsidP="00DB0D4A">
      <w:pPr>
        <w:spacing w:before="0" w:after="0"/>
      </w:pPr>
    </w:p>
    <w:p w14:paraId="0B5BD2C2" w14:textId="77777777" w:rsidR="00D369A3" w:rsidRDefault="00DB0D4A" w:rsidP="00DB0D4A">
      <w:pPr>
        <w:spacing w:before="0" w:after="0"/>
      </w:pPr>
      <w:r>
        <w:t xml:space="preserve">Targeted </w:t>
      </w:r>
      <w:r w:rsidR="003A29BD">
        <w:t>corporate</w:t>
      </w:r>
      <w:r w:rsidR="00D528E5">
        <w:t xml:space="preserve"> </w:t>
      </w:r>
      <w:r>
        <w:t xml:space="preserve">human rights reporting can play a critical role in </w:t>
      </w:r>
      <w:r w:rsidR="00D528E5">
        <w:t xml:space="preserve">changing patterns of behaviour and </w:t>
      </w:r>
      <w:r w:rsidR="007A2C6B">
        <w:t>achieving</w:t>
      </w:r>
      <w:r>
        <w:t xml:space="preserve"> greater corporate responsibility with respect to human rights. </w:t>
      </w:r>
      <w:r w:rsidR="003933EA">
        <w:t xml:space="preserve">It </w:t>
      </w:r>
      <w:r w:rsidR="00774562">
        <w:t>encourages</w:t>
      </w:r>
      <w:r w:rsidR="003933EA">
        <w:t xml:space="preserve"> companies to critically examine their potential and actual human rights impacts and </w:t>
      </w:r>
      <w:r w:rsidR="00D31159">
        <w:t xml:space="preserve">the steps required to address these impacts. It </w:t>
      </w:r>
      <w:r w:rsidR="00774562">
        <w:t xml:space="preserve">also </w:t>
      </w:r>
      <w:r w:rsidR="00D31159">
        <w:t xml:space="preserve">facilitates transparency. </w:t>
      </w:r>
      <w:r>
        <w:t xml:space="preserve">The information yielded by company reporting provides a valuable source of information for civil society </w:t>
      </w:r>
      <w:r w:rsidR="00E70490">
        <w:t xml:space="preserve">and other stakeholders (such as investors, customers and employees) </w:t>
      </w:r>
      <w:r>
        <w:t>on corporate endeavours to improve human rights records.</w:t>
      </w:r>
      <w:r w:rsidR="00D31159">
        <w:t xml:space="preserve"> This enables gr</w:t>
      </w:r>
      <w:r w:rsidR="00D80038">
        <w:t xml:space="preserve">eater scrutiny </w:t>
      </w:r>
      <w:r w:rsidR="002253CA">
        <w:t xml:space="preserve">and evaluation </w:t>
      </w:r>
      <w:r w:rsidR="00D80038">
        <w:t xml:space="preserve">of </w:t>
      </w:r>
      <w:r w:rsidR="0054422C">
        <w:t xml:space="preserve">the </w:t>
      </w:r>
      <w:r w:rsidR="002253CA">
        <w:t xml:space="preserve">human rights performance </w:t>
      </w:r>
      <w:r w:rsidR="0054422C">
        <w:t xml:space="preserve">of Australian </w:t>
      </w:r>
      <w:r w:rsidR="00774562">
        <w:t>businesses</w:t>
      </w:r>
      <w:r w:rsidR="00E70490">
        <w:t xml:space="preserve">. </w:t>
      </w:r>
    </w:p>
    <w:p w14:paraId="5CB11964" w14:textId="77777777" w:rsidR="00D369A3" w:rsidRDefault="00D369A3" w:rsidP="00DB0D4A">
      <w:pPr>
        <w:spacing w:before="0" w:after="0"/>
      </w:pPr>
    </w:p>
    <w:p w14:paraId="11280505" w14:textId="77777777" w:rsidR="00E26125" w:rsidRPr="004A7E8E" w:rsidRDefault="00854824" w:rsidP="00E26125">
      <w:pPr>
        <w:spacing w:before="0" w:after="0"/>
        <w:rPr>
          <w:rFonts w:cs="Arial"/>
          <w:lang w:val="en"/>
        </w:rPr>
      </w:pPr>
      <w:r>
        <w:rPr>
          <w:rFonts w:cs="Arial"/>
          <w:lang w:val="en"/>
        </w:rPr>
        <w:t>I</w:t>
      </w:r>
      <w:r w:rsidR="00E26125">
        <w:rPr>
          <w:rFonts w:cs="Arial"/>
          <w:lang w:val="en"/>
        </w:rPr>
        <w:t>ncreasing</w:t>
      </w:r>
      <w:r>
        <w:rPr>
          <w:rFonts w:cs="Arial"/>
          <w:lang w:val="en"/>
        </w:rPr>
        <w:t xml:space="preserve">ly, </w:t>
      </w:r>
      <w:r w:rsidR="00BE19DE">
        <w:rPr>
          <w:rFonts w:cs="Arial"/>
          <w:lang w:val="en"/>
        </w:rPr>
        <w:t xml:space="preserve">companies </w:t>
      </w:r>
      <w:r>
        <w:rPr>
          <w:rFonts w:cs="Arial"/>
          <w:lang w:val="en"/>
        </w:rPr>
        <w:t xml:space="preserve">are required </w:t>
      </w:r>
      <w:r w:rsidR="002032F4">
        <w:rPr>
          <w:rFonts w:cs="Arial"/>
          <w:lang w:val="en"/>
        </w:rPr>
        <w:t xml:space="preserve">to </w:t>
      </w:r>
      <w:r w:rsidR="00BE19DE">
        <w:rPr>
          <w:rFonts w:cs="Arial"/>
          <w:lang w:val="en"/>
        </w:rPr>
        <w:t>public</w:t>
      </w:r>
      <w:r w:rsidR="002032F4">
        <w:rPr>
          <w:rFonts w:cs="Arial"/>
          <w:lang w:val="en"/>
        </w:rPr>
        <w:t>ly disclose</w:t>
      </w:r>
      <w:r w:rsidR="00BE19DE">
        <w:rPr>
          <w:rFonts w:cs="Arial"/>
          <w:lang w:val="en"/>
        </w:rPr>
        <w:t xml:space="preserve"> information </w:t>
      </w:r>
      <w:r w:rsidR="00E26125">
        <w:rPr>
          <w:rFonts w:cs="Arial"/>
          <w:lang w:val="en"/>
        </w:rPr>
        <w:t>on human rights issues arising from their operations</w:t>
      </w:r>
      <w:r w:rsidR="004A11B9">
        <w:rPr>
          <w:rFonts w:cs="Arial"/>
          <w:lang w:val="en"/>
        </w:rPr>
        <w:t xml:space="preserve">,  </w:t>
      </w:r>
      <w:r w:rsidR="00BE19DE">
        <w:rPr>
          <w:rFonts w:cs="Arial"/>
          <w:lang w:val="en"/>
        </w:rPr>
        <w:t>such as steps to eradicate abusive labour p</w:t>
      </w:r>
      <w:r w:rsidR="004A11B9">
        <w:rPr>
          <w:rFonts w:cs="Arial"/>
          <w:lang w:val="en"/>
        </w:rPr>
        <w:t>ractices in their supply chains</w:t>
      </w:r>
      <w:r w:rsidR="00E26125">
        <w:rPr>
          <w:rFonts w:cs="Arial"/>
          <w:lang w:val="en"/>
        </w:rPr>
        <w:t>.</w:t>
      </w:r>
      <w:r w:rsidR="006F03F4">
        <w:rPr>
          <w:rStyle w:val="EndnoteReference"/>
          <w:rFonts w:cs="Arial"/>
          <w:lang w:val="en"/>
        </w:rPr>
        <w:endnoteReference w:id="41"/>
      </w:r>
      <w:r w:rsidR="00E26125">
        <w:rPr>
          <w:rFonts w:cs="Arial"/>
          <w:lang w:val="en"/>
        </w:rPr>
        <w:t xml:space="preserve"> </w:t>
      </w:r>
      <w:r w:rsidR="00C1251B">
        <w:rPr>
          <w:rFonts w:cs="Arial"/>
          <w:lang w:val="en"/>
        </w:rPr>
        <w:t xml:space="preserve">There is </w:t>
      </w:r>
      <w:r>
        <w:rPr>
          <w:rFonts w:cs="Arial"/>
          <w:lang w:val="en"/>
        </w:rPr>
        <w:t xml:space="preserve">also </w:t>
      </w:r>
      <w:r w:rsidR="002032F4">
        <w:rPr>
          <w:rFonts w:cs="Arial"/>
          <w:lang w:val="en"/>
        </w:rPr>
        <w:t>a</w:t>
      </w:r>
      <w:r w:rsidR="00C1251B">
        <w:rPr>
          <w:rFonts w:cs="Arial"/>
          <w:lang w:val="en"/>
        </w:rPr>
        <w:t xml:space="preserve"> </w:t>
      </w:r>
      <w:r>
        <w:rPr>
          <w:rFonts w:cs="Arial"/>
          <w:lang w:val="en"/>
        </w:rPr>
        <w:t>growing</w:t>
      </w:r>
      <w:r w:rsidR="00C1251B">
        <w:rPr>
          <w:rFonts w:cs="Arial"/>
          <w:lang w:val="en"/>
        </w:rPr>
        <w:t xml:space="preserve"> trend </w:t>
      </w:r>
      <w:r>
        <w:rPr>
          <w:rFonts w:cs="Arial"/>
          <w:lang w:val="en"/>
        </w:rPr>
        <w:t>in corporat</w:t>
      </w:r>
      <w:r w:rsidR="002032F4">
        <w:rPr>
          <w:rFonts w:cs="Arial"/>
          <w:lang w:val="en"/>
        </w:rPr>
        <w:t>e</w:t>
      </w:r>
      <w:r>
        <w:rPr>
          <w:rFonts w:cs="Arial"/>
          <w:lang w:val="en"/>
        </w:rPr>
        <w:t xml:space="preserve"> regulators </w:t>
      </w:r>
      <w:r w:rsidR="002032F4">
        <w:rPr>
          <w:rFonts w:cs="Arial"/>
          <w:lang w:val="en"/>
        </w:rPr>
        <w:t xml:space="preserve">requiring greater </w:t>
      </w:r>
      <w:r>
        <w:rPr>
          <w:rFonts w:cs="Arial"/>
          <w:lang w:val="en"/>
        </w:rPr>
        <w:t>transparency in company reporting. C</w:t>
      </w:r>
      <w:r w:rsidR="002032F4">
        <w:rPr>
          <w:rFonts w:cs="Arial"/>
          <w:lang w:val="en"/>
        </w:rPr>
        <w:t xml:space="preserve">ompanies are </w:t>
      </w:r>
      <w:r>
        <w:rPr>
          <w:rFonts w:cs="Arial"/>
          <w:lang w:val="en"/>
        </w:rPr>
        <w:t xml:space="preserve">increasingly </w:t>
      </w:r>
      <w:r w:rsidR="002032F4">
        <w:rPr>
          <w:rFonts w:cs="Arial"/>
          <w:lang w:val="en"/>
        </w:rPr>
        <w:t>required to</w:t>
      </w:r>
      <w:r>
        <w:rPr>
          <w:rFonts w:cs="Arial"/>
          <w:lang w:val="en"/>
        </w:rPr>
        <w:t xml:space="preserve"> report</w:t>
      </w:r>
      <w:r w:rsidR="00C1251B">
        <w:rPr>
          <w:rFonts w:cs="Arial"/>
          <w:lang w:val="en"/>
        </w:rPr>
        <w:t xml:space="preserve"> </w:t>
      </w:r>
      <w:r w:rsidR="00A71453">
        <w:rPr>
          <w:rFonts w:cs="Arial"/>
          <w:lang w:val="en"/>
        </w:rPr>
        <w:t xml:space="preserve">on </w:t>
      </w:r>
      <w:r w:rsidR="002032F4">
        <w:rPr>
          <w:rFonts w:cs="Arial"/>
          <w:lang w:val="en"/>
        </w:rPr>
        <w:t xml:space="preserve">non-financial information, </w:t>
      </w:r>
      <w:r>
        <w:rPr>
          <w:rFonts w:cs="Arial"/>
          <w:lang w:val="en"/>
        </w:rPr>
        <w:t xml:space="preserve">including their </w:t>
      </w:r>
      <w:r w:rsidR="00A71453">
        <w:rPr>
          <w:rFonts w:cs="Arial"/>
          <w:lang w:val="en"/>
        </w:rPr>
        <w:t>human rights performance</w:t>
      </w:r>
      <w:r w:rsidR="00C1251B">
        <w:rPr>
          <w:rFonts w:cs="Arial"/>
          <w:lang w:val="en"/>
        </w:rPr>
        <w:t xml:space="preserve">. </w:t>
      </w:r>
      <w:r w:rsidR="00E26125">
        <w:rPr>
          <w:rFonts w:cs="Arial"/>
          <w:lang w:val="en"/>
        </w:rPr>
        <w:t xml:space="preserve">Mandatory </w:t>
      </w:r>
      <w:r w:rsidR="004A7E8E" w:rsidRPr="004A7E8E">
        <w:rPr>
          <w:rFonts w:cs="Arial"/>
          <w:lang w:val="en"/>
        </w:rPr>
        <w:t xml:space="preserve">environmental, social </w:t>
      </w:r>
      <w:r w:rsidR="004A7E8E">
        <w:rPr>
          <w:rFonts w:cs="Arial"/>
          <w:lang w:val="en"/>
        </w:rPr>
        <w:t xml:space="preserve">(generally accepted as including human rights) </w:t>
      </w:r>
      <w:r w:rsidR="004A7E8E" w:rsidRPr="004A7E8E">
        <w:rPr>
          <w:rFonts w:cs="Arial"/>
          <w:lang w:val="en"/>
        </w:rPr>
        <w:t xml:space="preserve">and governance </w:t>
      </w:r>
      <w:r w:rsidR="00E26125">
        <w:rPr>
          <w:rFonts w:cs="Arial"/>
          <w:lang w:val="en"/>
        </w:rPr>
        <w:t xml:space="preserve">disclosures are now required </w:t>
      </w:r>
      <w:r w:rsidR="004A7E8E">
        <w:rPr>
          <w:rFonts w:cs="Arial"/>
          <w:lang w:val="en"/>
        </w:rPr>
        <w:t>by a number of stock exc</w:t>
      </w:r>
      <w:r w:rsidR="00D805CA">
        <w:rPr>
          <w:rFonts w:cs="Arial"/>
          <w:lang w:val="en"/>
        </w:rPr>
        <w:t xml:space="preserve">hanges, </w:t>
      </w:r>
      <w:r w:rsidR="00E26125">
        <w:rPr>
          <w:rFonts w:cs="Arial"/>
          <w:lang w:val="en"/>
        </w:rPr>
        <w:t xml:space="preserve">including in </w:t>
      </w:r>
      <w:r w:rsidR="00E26125" w:rsidRPr="004A7E8E">
        <w:rPr>
          <w:rFonts w:cs="Arial"/>
          <w:lang w:val="en"/>
        </w:rPr>
        <w:t xml:space="preserve">the US, </w:t>
      </w:r>
      <w:r w:rsidR="004A7E8E">
        <w:rPr>
          <w:rFonts w:cs="Arial"/>
          <w:lang w:val="en"/>
        </w:rPr>
        <w:t xml:space="preserve">the </w:t>
      </w:r>
      <w:r w:rsidR="00E26125" w:rsidRPr="004A7E8E">
        <w:rPr>
          <w:rFonts w:cs="Arial"/>
          <w:lang w:val="en"/>
        </w:rPr>
        <w:t>UK and, most recently, Singapore</w:t>
      </w:r>
      <w:r w:rsidR="001048AF" w:rsidRPr="004A7E8E">
        <w:rPr>
          <w:rStyle w:val="EndnoteReference"/>
          <w:rFonts w:cs="Arial"/>
          <w:lang w:val="en"/>
        </w:rPr>
        <w:endnoteReference w:id="42"/>
      </w:r>
      <w:r w:rsidR="00E26125" w:rsidRPr="004A7E8E">
        <w:rPr>
          <w:rFonts w:cs="Arial"/>
          <w:lang w:val="en"/>
        </w:rPr>
        <w:t xml:space="preserve">.  </w:t>
      </w:r>
    </w:p>
    <w:p w14:paraId="475555AD" w14:textId="77777777" w:rsidR="00E26125" w:rsidRDefault="00E26125" w:rsidP="00E26125">
      <w:pPr>
        <w:spacing w:before="0" w:after="0"/>
        <w:rPr>
          <w:rFonts w:cs="Arial"/>
          <w:lang w:val="en"/>
        </w:rPr>
      </w:pPr>
    </w:p>
    <w:p w14:paraId="2FC4A4EA" w14:textId="77777777" w:rsidR="000F43B2" w:rsidRPr="009C35C9" w:rsidRDefault="006B40F1" w:rsidP="009A2E88">
      <w:pPr>
        <w:spacing w:before="0" w:after="0"/>
      </w:pPr>
      <w:r>
        <w:t>The goal of a</w:t>
      </w:r>
      <w:r w:rsidRPr="006B40F1">
        <w:t xml:space="preserve">chieving greater transparency </w:t>
      </w:r>
      <w:r w:rsidR="00513662">
        <w:t>through pu</w:t>
      </w:r>
      <w:r w:rsidR="004A11B9">
        <w:t xml:space="preserve">blic reporting on human rights </w:t>
      </w:r>
      <w:r w:rsidRPr="006B40F1">
        <w:t xml:space="preserve">is a </w:t>
      </w:r>
      <w:r w:rsidR="00513662">
        <w:t>priority for civil society.</w:t>
      </w:r>
      <w:r w:rsidR="004A11B9">
        <w:t xml:space="preserve"> </w:t>
      </w:r>
    </w:p>
    <w:p w14:paraId="25F78165" w14:textId="77777777" w:rsidR="000F43B2" w:rsidRDefault="000F43B2" w:rsidP="009A2E88">
      <w:pPr>
        <w:spacing w:before="0" w:after="0"/>
        <w:rPr>
          <w:rFonts w:cs="Arial"/>
          <w:lang w:val="en"/>
        </w:rPr>
      </w:pPr>
    </w:p>
    <w:p w14:paraId="232BD81C" w14:textId="77777777" w:rsidR="00DA4FEA" w:rsidRPr="004B73C9" w:rsidRDefault="00DA4FEA" w:rsidP="009A2E88">
      <w:pPr>
        <w:spacing w:before="0" w:after="0"/>
        <w:rPr>
          <w:rFonts w:cs="Arial"/>
          <w:lang w:val="en"/>
        </w:rPr>
      </w:pPr>
      <w:r w:rsidRPr="00DA4FEA">
        <w:rPr>
          <w:rFonts w:cs="Arial"/>
          <w:lang w:val="en"/>
        </w:rPr>
        <w:t>I</w:t>
      </w:r>
      <w:r w:rsidR="000E2BC1">
        <w:rPr>
          <w:rFonts w:cs="Arial"/>
          <w:lang w:val="en"/>
        </w:rPr>
        <w:t>n working towards this, i</w:t>
      </w:r>
      <w:r w:rsidRPr="00DA4FEA">
        <w:rPr>
          <w:rFonts w:cs="Arial"/>
          <w:lang w:val="en"/>
        </w:rPr>
        <w:t>t is recommended that</w:t>
      </w:r>
      <w:r>
        <w:rPr>
          <w:rFonts w:cs="Arial"/>
          <w:lang w:val="en"/>
        </w:rPr>
        <w:t xml:space="preserve"> the </w:t>
      </w:r>
      <w:r w:rsidR="004A11B9">
        <w:rPr>
          <w:rFonts w:cs="Arial"/>
          <w:lang w:val="en"/>
        </w:rPr>
        <w:t xml:space="preserve">Australian </w:t>
      </w:r>
      <w:r>
        <w:rPr>
          <w:rFonts w:cs="Arial"/>
          <w:lang w:val="en"/>
        </w:rPr>
        <w:t>Government</w:t>
      </w:r>
      <w:r w:rsidRPr="00DA4FEA">
        <w:rPr>
          <w:rFonts w:cs="Arial"/>
          <w:lang w:val="en"/>
        </w:rPr>
        <w:t>:</w:t>
      </w:r>
    </w:p>
    <w:p w14:paraId="640E6A89" w14:textId="77777777" w:rsidR="005F1D4D" w:rsidRDefault="00DA4FEA" w:rsidP="003F2CC5">
      <w:pPr>
        <w:pStyle w:val="aaHRLCBodytextakaNormal"/>
        <w:numPr>
          <w:ilvl w:val="0"/>
          <w:numId w:val="22"/>
        </w:numPr>
        <w:spacing w:line="240" w:lineRule="auto"/>
        <w:rPr>
          <w:sz w:val="24"/>
          <w:szCs w:val="24"/>
        </w:rPr>
      </w:pPr>
      <w:r w:rsidRPr="003F2CC5">
        <w:rPr>
          <w:sz w:val="24"/>
          <w:szCs w:val="24"/>
        </w:rPr>
        <w:lastRenderedPageBreak/>
        <w:t>examines</w:t>
      </w:r>
      <w:r w:rsidR="000F43B2" w:rsidRPr="003F2CC5">
        <w:rPr>
          <w:sz w:val="24"/>
          <w:szCs w:val="24"/>
        </w:rPr>
        <w:t>, as part of a NBA,</w:t>
      </w:r>
      <w:r w:rsidRPr="003F2CC5">
        <w:rPr>
          <w:sz w:val="24"/>
          <w:szCs w:val="24"/>
        </w:rPr>
        <w:t xml:space="preserve"> the </w:t>
      </w:r>
      <w:r w:rsidR="000A795D" w:rsidRPr="003F2CC5">
        <w:rPr>
          <w:sz w:val="24"/>
          <w:szCs w:val="24"/>
        </w:rPr>
        <w:t xml:space="preserve">current </w:t>
      </w:r>
      <w:r w:rsidRPr="003F2CC5">
        <w:rPr>
          <w:sz w:val="24"/>
          <w:szCs w:val="24"/>
        </w:rPr>
        <w:t>human rights</w:t>
      </w:r>
      <w:r w:rsidR="00652189" w:rsidRPr="003F2CC5">
        <w:rPr>
          <w:sz w:val="24"/>
          <w:szCs w:val="24"/>
        </w:rPr>
        <w:t xml:space="preserve">-related disclosure and reporting requirements </w:t>
      </w:r>
      <w:r w:rsidRPr="003F2CC5">
        <w:rPr>
          <w:sz w:val="24"/>
          <w:szCs w:val="24"/>
        </w:rPr>
        <w:t xml:space="preserve">of companies </w:t>
      </w:r>
      <w:r w:rsidR="002572B3">
        <w:rPr>
          <w:sz w:val="24"/>
          <w:szCs w:val="24"/>
        </w:rPr>
        <w:t xml:space="preserve">in Australia, </w:t>
      </w:r>
      <w:r w:rsidRPr="003F2CC5">
        <w:rPr>
          <w:sz w:val="24"/>
          <w:szCs w:val="24"/>
        </w:rPr>
        <w:t xml:space="preserve">including under the </w:t>
      </w:r>
      <w:r w:rsidR="00652189" w:rsidRPr="003F2CC5">
        <w:rPr>
          <w:sz w:val="24"/>
          <w:szCs w:val="24"/>
        </w:rPr>
        <w:t>A</w:t>
      </w:r>
      <w:r w:rsidRPr="003F2CC5">
        <w:rPr>
          <w:sz w:val="24"/>
          <w:szCs w:val="24"/>
        </w:rPr>
        <w:t xml:space="preserve">ustralian </w:t>
      </w:r>
      <w:r w:rsidR="00652189" w:rsidRPr="003F2CC5">
        <w:rPr>
          <w:sz w:val="24"/>
          <w:szCs w:val="24"/>
        </w:rPr>
        <w:t>S</w:t>
      </w:r>
      <w:r w:rsidRPr="003F2CC5">
        <w:rPr>
          <w:sz w:val="24"/>
          <w:szCs w:val="24"/>
        </w:rPr>
        <w:t>tock Exchange</w:t>
      </w:r>
      <w:r w:rsidR="00652189" w:rsidRPr="003F2CC5">
        <w:rPr>
          <w:sz w:val="24"/>
          <w:szCs w:val="24"/>
        </w:rPr>
        <w:t xml:space="preserve"> </w:t>
      </w:r>
      <w:r w:rsidR="000F43B2" w:rsidRPr="003F2CC5">
        <w:rPr>
          <w:sz w:val="24"/>
          <w:szCs w:val="24"/>
        </w:rPr>
        <w:t xml:space="preserve">(ASX) </w:t>
      </w:r>
      <w:r w:rsidR="00652189" w:rsidRPr="003F2CC5">
        <w:rPr>
          <w:sz w:val="24"/>
          <w:szCs w:val="24"/>
        </w:rPr>
        <w:t xml:space="preserve">Listing Rules, </w:t>
      </w:r>
      <w:r w:rsidR="000F43B2" w:rsidRPr="003F2CC5">
        <w:rPr>
          <w:sz w:val="24"/>
          <w:szCs w:val="24"/>
        </w:rPr>
        <w:t>ASX Corporate Governance Principles and Recommendations and the</w:t>
      </w:r>
      <w:r w:rsidR="00652189" w:rsidRPr="003F2CC5">
        <w:rPr>
          <w:sz w:val="24"/>
          <w:szCs w:val="24"/>
        </w:rPr>
        <w:t xml:space="preserve"> Corporations Act</w:t>
      </w:r>
      <w:r w:rsidR="000F43B2" w:rsidRPr="003F2CC5">
        <w:rPr>
          <w:sz w:val="24"/>
          <w:szCs w:val="24"/>
        </w:rPr>
        <w:t xml:space="preserve"> 2001 (Cth)</w:t>
      </w:r>
      <w:r w:rsidR="008E0D22">
        <w:rPr>
          <w:sz w:val="24"/>
          <w:szCs w:val="24"/>
        </w:rPr>
        <w:t xml:space="preserve"> to ascertain whether they support the corporate responsibility to respect human rights under the UNGPs</w:t>
      </w:r>
      <w:r w:rsidR="000F43B2" w:rsidRPr="003F2CC5">
        <w:rPr>
          <w:sz w:val="24"/>
          <w:szCs w:val="24"/>
        </w:rPr>
        <w:t>;</w:t>
      </w:r>
    </w:p>
    <w:p w14:paraId="1819E4BC" w14:textId="77777777" w:rsidR="004B73C9" w:rsidRPr="004B73C9" w:rsidRDefault="004B73C9" w:rsidP="004B73C9">
      <w:pPr>
        <w:pStyle w:val="aaHRLCBodytextakaNormal"/>
        <w:numPr>
          <w:ilvl w:val="0"/>
          <w:numId w:val="22"/>
        </w:numPr>
        <w:spacing w:line="240" w:lineRule="auto"/>
        <w:rPr>
          <w:sz w:val="24"/>
          <w:szCs w:val="24"/>
        </w:rPr>
      </w:pPr>
      <w:r w:rsidRPr="003F2CC5">
        <w:rPr>
          <w:sz w:val="24"/>
          <w:szCs w:val="24"/>
        </w:rPr>
        <w:t>consults, as pa</w:t>
      </w:r>
      <w:r w:rsidR="002572B3">
        <w:rPr>
          <w:sz w:val="24"/>
          <w:szCs w:val="24"/>
        </w:rPr>
        <w:t xml:space="preserve">rt of a NBA, with stakeholders, </w:t>
      </w:r>
      <w:r w:rsidRPr="003F2CC5">
        <w:rPr>
          <w:sz w:val="24"/>
          <w:szCs w:val="24"/>
        </w:rPr>
        <w:t>including cor</w:t>
      </w:r>
      <w:r w:rsidR="002572B3">
        <w:rPr>
          <w:sz w:val="24"/>
          <w:szCs w:val="24"/>
        </w:rPr>
        <w:t>porate regulators, ASIC</w:t>
      </w:r>
      <w:r w:rsidR="00957CFC">
        <w:rPr>
          <w:sz w:val="24"/>
          <w:szCs w:val="24"/>
        </w:rPr>
        <w:t>,</w:t>
      </w:r>
      <w:r w:rsidR="002572B3">
        <w:rPr>
          <w:sz w:val="24"/>
          <w:szCs w:val="24"/>
        </w:rPr>
        <w:t xml:space="preserve"> ASX</w:t>
      </w:r>
      <w:r w:rsidR="00957CFC">
        <w:rPr>
          <w:sz w:val="24"/>
          <w:szCs w:val="24"/>
        </w:rPr>
        <w:t xml:space="preserve"> and AusTRAC</w:t>
      </w:r>
      <w:r w:rsidR="002572B3">
        <w:rPr>
          <w:sz w:val="24"/>
          <w:szCs w:val="24"/>
        </w:rPr>
        <w:t>, on the adequacy from a human rights perspective</w:t>
      </w:r>
      <w:r w:rsidRPr="003F2CC5">
        <w:rPr>
          <w:sz w:val="24"/>
          <w:szCs w:val="24"/>
        </w:rPr>
        <w:t xml:space="preserve"> of current reporting requirements in Australia and compliance with </w:t>
      </w:r>
      <w:r w:rsidR="004046C7">
        <w:rPr>
          <w:sz w:val="24"/>
          <w:szCs w:val="24"/>
        </w:rPr>
        <w:t xml:space="preserve">the </w:t>
      </w:r>
      <w:r w:rsidRPr="003F2CC5">
        <w:rPr>
          <w:sz w:val="24"/>
          <w:szCs w:val="24"/>
        </w:rPr>
        <w:t xml:space="preserve">UNGPs; </w:t>
      </w:r>
    </w:p>
    <w:p w14:paraId="3468C768" w14:textId="77777777" w:rsidR="000F43B2" w:rsidRPr="003F2CC5" w:rsidRDefault="00AF48C7" w:rsidP="003F2CC5">
      <w:pPr>
        <w:pStyle w:val="aaHRLCBodytextakaNormal"/>
        <w:numPr>
          <w:ilvl w:val="0"/>
          <w:numId w:val="22"/>
        </w:numPr>
        <w:spacing w:line="240" w:lineRule="auto"/>
        <w:rPr>
          <w:sz w:val="24"/>
          <w:szCs w:val="24"/>
        </w:rPr>
      </w:pPr>
      <w:r w:rsidRPr="003F2CC5">
        <w:rPr>
          <w:sz w:val="24"/>
          <w:szCs w:val="24"/>
        </w:rPr>
        <w:t>considers, as part of the NBA, t</w:t>
      </w:r>
      <w:r w:rsidR="004B73C9">
        <w:rPr>
          <w:sz w:val="24"/>
          <w:szCs w:val="24"/>
        </w:rPr>
        <w:t xml:space="preserve">he extent to which human rights-related matters </w:t>
      </w:r>
      <w:r w:rsidRPr="003F2CC5">
        <w:rPr>
          <w:sz w:val="24"/>
          <w:szCs w:val="24"/>
        </w:rPr>
        <w:t>potentially meet materiality thresholds under existing mandatory disclosure requirements;</w:t>
      </w:r>
    </w:p>
    <w:p w14:paraId="32B6A2B8" w14:textId="77777777" w:rsidR="000727CB" w:rsidRPr="003F2CC5" w:rsidRDefault="00AF48C7" w:rsidP="003F2CC5">
      <w:pPr>
        <w:pStyle w:val="aaHRLCBodytextakaNormal"/>
        <w:numPr>
          <w:ilvl w:val="0"/>
          <w:numId w:val="22"/>
        </w:numPr>
        <w:spacing w:line="240" w:lineRule="auto"/>
        <w:rPr>
          <w:sz w:val="24"/>
          <w:szCs w:val="24"/>
        </w:rPr>
      </w:pPr>
      <w:r w:rsidRPr="003F2CC5">
        <w:rPr>
          <w:sz w:val="24"/>
          <w:szCs w:val="24"/>
        </w:rPr>
        <w:t>examines, as part of a NBA, the current reporting prac</w:t>
      </w:r>
      <w:r w:rsidR="002572B3">
        <w:rPr>
          <w:sz w:val="24"/>
          <w:szCs w:val="24"/>
        </w:rPr>
        <w:t>tices of Australian businesses, particularly SMEs</w:t>
      </w:r>
      <w:r w:rsidRPr="003F2CC5">
        <w:rPr>
          <w:sz w:val="24"/>
          <w:szCs w:val="24"/>
        </w:rPr>
        <w:t>;</w:t>
      </w:r>
    </w:p>
    <w:p w14:paraId="238D40B1" w14:textId="77777777" w:rsidR="004A6F3F" w:rsidRPr="003F2CC5" w:rsidRDefault="005F62F6" w:rsidP="003F2CC5">
      <w:pPr>
        <w:pStyle w:val="aaHRLCBodytextakaNormal"/>
        <w:numPr>
          <w:ilvl w:val="0"/>
          <w:numId w:val="22"/>
        </w:numPr>
        <w:spacing w:line="240" w:lineRule="auto"/>
        <w:rPr>
          <w:sz w:val="24"/>
          <w:szCs w:val="24"/>
        </w:rPr>
      </w:pPr>
      <w:r w:rsidRPr="003F2CC5">
        <w:rPr>
          <w:sz w:val="24"/>
          <w:szCs w:val="24"/>
        </w:rPr>
        <w:t>c</w:t>
      </w:r>
      <w:r w:rsidR="00FF366E" w:rsidRPr="003F2CC5">
        <w:rPr>
          <w:sz w:val="24"/>
          <w:szCs w:val="24"/>
        </w:rPr>
        <w:t>onsider</w:t>
      </w:r>
      <w:r w:rsidR="004A6F3F" w:rsidRPr="003F2CC5">
        <w:rPr>
          <w:sz w:val="24"/>
          <w:szCs w:val="24"/>
        </w:rPr>
        <w:t>s</w:t>
      </w:r>
      <w:r w:rsidR="00FF366E" w:rsidRPr="003F2CC5">
        <w:rPr>
          <w:sz w:val="24"/>
          <w:szCs w:val="24"/>
        </w:rPr>
        <w:t xml:space="preserve"> options for excluding </w:t>
      </w:r>
      <w:r w:rsidRPr="003F2CC5">
        <w:rPr>
          <w:sz w:val="24"/>
          <w:szCs w:val="24"/>
        </w:rPr>
        <w:t xml:space="preserve">potential business partners </w:t>
      </w:r>
      <w:r w:rsidR="00FF366E" w:rsidRPr="003F2CC5">
        <w:rPr>
          <w:sz w:val="24"/>
          <w:szCs w:val="24"/>
        </w:rPr>
        <w:t>from pu</w:t>
      </w:r>
      <w:r w:rsidR="002572B3">
        <w:rPr>
          <w:sz w:val="24"/>
          <w:szCs w:val="24"/>
        </w:rPr>
        <w:t xml:space="preserve">blic procurement opportunities </w:t>
      </w:r>
      <w:r w:rsidR="00FF366E" w:rsidRPr="003F2CC5">
        <w:rPr>
          <w:sz w:val="24"/>
          <w:szCs w:val="24"/>
        </w:rPr>
        <w:t>and other</w:t>
      </w:r>
      <w:r w:rsidRPr="003F2CC5">
        <w:rPr>
          <w:sz w:val="24"/>
          <w:szCs w:val="24"/>
        </w:rPr>
        <w:t xml:space="preserve"> public</w:t>
      </w:r>
      <w:r w:rsidR="002572B3">
        <w:rPr>
          <w:sz w:val="24"/>
          <w:szCs w:val="24"/>
        </w:rPr>
        <w:t xml:space="preserve"> contracts</w:t>
      </w:r>
      <w:r w:rsidR="00FF366E" w:rsidRPr="003F2CC5">
        <w:rPr>
          <w:sz w:val="24"/>
          <w:szCs w:val="24"/>
        </w:rPr>
        <w:t xml:space="preserve"> where </w:t>
      </w:r>
      <w:r w:rsidRPr="003F2CC5">
        <w:rPr>
          <w:sz w:val="24"/>
          <w:szCs w:val="24"/>
        </w:rPr>
        <w:t xml:space="preserve">the </w:t>
      </w:r>
      <w:r w:rsidR="00BA5E53" w:rsidRPr="003F2CC5">
        <w:rPr>
          <w:sz w:val="24"/>
          <w:szCs w:val="24"/>
        </w:rPr>
        <w:t>entity</w:t>
      </w:r>
      <w:r w:rsidR="00FF366E" w:rsidRPr="003F2CC5">
        <w:rPr>
          <w:sz w:val="24"/>
          <w:szCs w:val="24"/>
        </w:rPr>
        <w:t xml:space="preserve"> do</w:t>
      </w:r>
      <w:r w:rsidRPr="003F2CC5">
        <w:rPr>
          <w:sz w:val="24"/>
          <w:szCs w:val="24"/>
        </w:rPr>
        <w:t>es</w:t>
      </w:r>
      <w:r w:rsidR="00FF366E" w:rsidRPr="003F2CC5">
        <w:rPr>
          <w:sz w:val="24"/>
          <w:szCs w:val="24"/>
        </w:rPr>
        <w:t xml:space="preserve"> not adequately comply with </w:t>
      </w:r>
      <w:r w:rsidR="004A6F3F" w:rsidRPr="003F2CC5">
        <w:rPr>
          <w:sz w:val="24"/>
          <w:szCs w:val="24"/>
        </w:rPr>
        <w:t xml:space="preserve">human rights-related </w:t>
      </w:r>
      <w:r w:rsidR="00FF366E" w:rsidRPr="003F2CC5">
        <w:rPr>
          <w:sz w:val="24"/>
          <w:szCs w:val="24"/>
        </w:rPr>
        <w:t>disclo</w:t>
      </w:r>
      <w:r w:rsidR="004A6F3F" w:rsidRPr="003F2CC5">
        <w:rPr>
          <w:sz w:val="24"/>
          <w:szCs w:val="24"/>
        </w:rPr>
        <w:t>sure and reporting requirements;</w:t>
      </w:r>
    </w:p>
    <w:p w14:paraId="7CF78397" w14:textId="77777777" w:rsidR="002B1CD9" w:rsidRPr="003F2CC5" w:rsidRDefault="004A6F3F" w:rsidP="003F2CC5">
      <w:pPr>
        <w:pStyle w:val="aaHRLCBodytextakaNormal"/>
        <w:numPr>
          <w:ilvl w:val="0"/>
          <w:numId w:val="22"/>
        </w:numPr>
        <w:spacing w:line="240" w:lineRule="auto"/>
        <w:rPr>
          <w:sz w:val="24"/>
          <w:szCs w:val="24"/>
        </w:rPr>
      </w:pPr>
      <w:r w:rsidRPr="003F2CC5">
        <w:rPr>
          <w:sz w:val="24"/>
          <w:szCs w:val="24"/>
        </w:rPr>
        <w:t>c</w:t>
      </w:r>
      <w:r w:rsidR="0035216C" w:rsidRPr="003F2CC5">
        <w:rPr>
          <w:sz w:val="24"/>
          <w:szCs w:val="24"/>
        </w:rPr>
        <w:t>onsider</w:t>
      </w:r>
      <w:r w:rsidRPr="003F2CC5">
        <w:rPr>
          <w:sz w:val="24"/>
          <w:szCs w:val="24"/>
        </w:rPr>
        <w:t>s</w:t>
      </w:r>
      <w:r w:rsidR="0035216C" w:rsidRPr="003F2CC5">
        <w:rPr>
          <w:sz w:val="24"/>
          <w:szCs w:val="24"/>
        </w:rPr>
        <w:t xml:space="preserve"> </w:t>
      </w:r>
      <w:r w:rsidRPr="003F2CC5">
        <w:rPr>
          <w:sz w:val="24"/>
          <w:szCs w:val="24"/>
        </w:rPr>
        <w:t>human rights self-reporting measures</w:t>
      </w:r>
      <w:r w:rsidR="003F2CC5">
        <w:rPr>
          <w:sz w:val="24"/>
          <w:szCs w:val="24"/>
        </w:rPr>
        <w:t>;</w:t>
      </w:r>
      <w:r w:rsidRPr="003F2CC5">
        <w:rPr>
          <w:rStyle w:val="EndnoteReference"/>
          <w:rFonts w:eastAsia="MS Mincho"/>
          <w:lang w:eastAsia="en-AU"/>
        </w:rPr>
        <w:endnoteReference w:id="43"/>
      </w:r>
    </w:p>
    <w:p w14:paraId="3E802806" w14:textId="77777777" w:rsidR="00A47F07" w:rsidRPr="003F2CC5" w:rsidRDefault="00AF48C7" w:rsidP="003F2CC5">
      <w:pPr>
        <w:pStyle w:val="aaHRLCBodytextakaNormal"/>
        <w:numPr>
          <w:ilvl w:val="0"/>
          <w:numId w:val="22"/>
        </w:numPr>
        <w:spacing w:line="240" w:lineRule="auto"/>
        <w:rPr>
          <w:sz w:val="24"/>
          <w:szCs w:val="24"/>
        </w:rPr>
      </w:pPr>
      <w:r w:rsidRPr="003F2CC5">
        <w:rPr>
          <w:sz w:val="24"/>
          <w:szCs w:val="24"/>
        </w:rPr>
        <w:t>c</w:t>
      </w:r>
      <w:r w:rsidR="001C7244" w:rsidRPr="003F2CC5">
        <w:rPr>
          <w:sz w:val="24"/>
          <w:szCs w:val="24"/>
        </w:rPr>
        <w:t>onsider</w:t>
      </w:r>
      <w:r w:rsidRPr="003F2CC5">
        <w:rPr>
          <w:sz w:val="24"/>
          <w:szCs w:val="24"/>
        </w:rPr>
        <w:t>s</w:t>
      </w:r>
      <w:r w:rsidR="001C7244" w:rsidRPr="003F2CC5">
        <w:rPr>
          <w:sz w:val="24"/>
          <w:szCs w:val="24"/>
        </w:rPr>
        <w:t xml:space="preserve"> devel</w:t>
      </w:r>
      <w:r w:rsidR="002B1CD9" w:rsidRPr="003F2CC5">
        <w:rPr>
          <w:sz w:val="24"/>
          <w:szCs w:val="24"/>
        </w:rPr>
        <w:t>oping best practice guidelines for companies on</w:t>
      </w:r>
      <w:r w:rsidR="001C7244" w:rsidRPr="003F2CC5">
        <w:rPr>
          <w:sz w:val="24"/>
          <w:szCs w:val="24"/>
        </w:rPr>
        <w:t xml:space="preserve"> discl</w:t>
      </w:r>
      <w:r w:rsidR="002B1CD9" w:rsidRPr="003F2CC5">
        <w:rPr>
          <w:sz w:val="24"/>
          <w:szCs w:val="24"/>
        </w:rPr>
        <w:t>o</w:t>
      </w:r>
      <w:r w:rsidR="005F1D4D" w:rsidRPr="003F2CC5">
        <w:rPr>
          <w:sz w:val="24"/>
          <w:szCs w:val="24"/>
        </w:rPr>
        <w:t>sures relating to human rights</w:t>
      </w:r>
      <w:r w:rsidR="00CA643C" w:rsidRPr="003F2CC5">
        <w:rPr>
          <w:sz w:val="24"/>
          <w:szCs w:val="24"/>
        </w:rPr>
        <w:t xml:space="preserve"> and other mechanisms </w:t>
      </w:r>
      <w:r w:rsidR="004B73C9">
        <w:rPr>
          <w:sz w:val="24"/>
          <w:szCs w:val="24"/>
        </w:rPr>
        <w:t>to encourage enhanced reporting on</w:t>
      </w:r>
      <w:r w:rsidR="001C3F76">
        <w:rPr>
          <w:sz w:val="24"/>
          <w:szCs w:val="24"/>
        </w:rPr>
        <w:t xml:space="preserve"> human rights</w:t>
      </w:r>
      <w:r w:rsidR="002572B3">
        <w:rPr>
          <w:sz w:val="24"/>
          <w:szCs w:val="24"/>
        </w:rPr>
        <w:t>,</w:t>
      </w:r>
      <w:r w:rsidR="002572B3" w:rsidRPr="002572B3">
        <w:rPr>
          <w:sz w:val="24"/>
          <w:szCs w:val="24"/>
        </w:rPr>
        <w:t xml:space="preserve"> </w:t>
      </w:r>
      <w:r w:rsidR="002572B3" w:rsidRPr="003F2CC5">
        <w:rPr>
          <w:sz w:val="24"/>
          <w:szCs w:val="24"/>
        </w:rPr>
        <w:t xml:space="preserve">in conjunction with </w:t>
      </w:r>
      <w:r w:rsidR="002572B3">
        <w:rPr>
          <w:sz w:val="24"/>
          <w:szCs w:val="24"/>
        </w:rPr>
        <w:t>civil society and corporate regulators</w:t>
      </w:r>
      <w:r w:rsidR="005F1D4D" w:rsidRPr="003F2CC5">
        <w:rPr>
          <w:sz w:val="24"/>
          <w:szCs w:val="24"/>
        </w:rPr>
        <w:t>;</w:t>
      </w:r>
      <w:r w:rsidR="00BB36CE" w:rsidRPr="003F2CC5">
        <w:rPr>
          <w:rStyle w:val="EndnoteReference"/>
          <w:rFonts w:eastAsia="MS Mincho"/>
          <w:szCs w:val="24"/>
          <w:lang w:eastAsia="en-AU"/>
        </w:rPr>
        <w:endnoteReference w:id="44"/>
      </w:r>
      <w:r w:rsidR="005F1D4D" w:rsidRPr="003F2CC5">
        <w:rPr>
          <w:rStyle w:val="EndnoteReference"/>
          <w:rFonts w:eastAsia="MS Mincho"/>
          <w:lang w:eastAsia="en-AU"/>
        </w:rPr>
        <w:t xml:space="preserve"> </w:t>
      </w:r>
    </w:p>
    <w:p w14:paraId="558C44DF" w14:textId="77777777" w:rsidR="00AB3C42" w:rsidRPr="003F2CC5" w:rsidRDefault="006F2AEF" w:rsidP="003F2CC5">
      <w:pPr>
        <w:pStyle w:val="aaHRLCBodytextakaNormal"/>
        <w:numPr>
          <w:ilvl w:val="0"/>
          <w:numId w:val="22"/>
        </w:numPr>
        <w:spacing w:line="240" w:lineRule="auto"/>
        <w:rPr>
          <w:sz w:val="24"/>
          <w:szCs w:val="24"/>
        </w:rPr>
      </w:pPr>
      <w:r w:rsidRPr="003F2CC5">
        <w:rPr>
          <w:sz w:val="24"/>
          <w:szCs w:val="24"/>
        </w:rPr>
        <w:t>explore</w:t>
      </w:r>
      <w:r w:rsidR="00C814CF" w:rsidRPr="003F2CC5">
        <w:rPr>
          <w:sz w:val="24"/>
          <w:szCs w:val="24"/>
        </w:rPr>
        <w:t>s options for prescribing specific human rights</w:t>
      </w:r>
      <w:r w:rsidRPr="003F2CC5">
        <w:rPr>
          <w:sz w:val="24"/>
          <w:szCs w:val="24"/>
        </w:rPr>
        <w:t xml:space="preserve"> disclosures </w:t>
      </w:r>
      <w:r w:rsidR="005F1D4D" w:rsidRPr="003F2CC5">
        <w:rPr>
          <w:sz w:val="24"/>
          <w:szCs w:val="24"/>
        </w:rPr>
        <w:t xml:space="preserve">and enforcement mechanisms </w:t>
      </w:r>
      <w:r w:rsidR="00C814CF" w:rsidRPr="003F2CC5">
        <w:rPr>
          <w:sz w:val="24"/>
          <w:szCs w:val="24"/>
        </w:rPr>
        <w:t>so as to effect structural change;</w:t>
      </w:r>
      <w:r w:rsidR="00AB3C42" w:rsidRPr="003F2CC5">
        <w:rPr>
          <w:sz w:val="24"/>
          <w:szCs w:val="24"/>
        </w:rPr>
        <w:t xml:space="preserve"> and</w:t>
      </w:r>
    </w:p>
    <w:p w14:paraId="013AFEED" w14:textId="77777777" w:rsidR="00432346" w:rsidRPr="003F2CC5" w:rsidRDefault="0041762B" w:rsidP="003F2CC5">
      <w:pPr>
        <w:pStyle w:val="aaHRLCBodytextakaNormal"/>
        <w:numPr>
          <w:ilvl w:val="0"/>
          <w:numId w:val="22"/>
        </w:numPr>
        <w:spacing w:line="240" w:lineRule="auto"/>
        <w:rPr>
          <w:sz w:val="24"/>
          <w:szCs w:val="24"/>
        </w:rPr>
      </w:pPr>
      <w:bookmarkStart w:id="127" w:name="_Toc162769295"/>
      <w:bookmarkStart w:id="128" w:name="_Toc207761836"/>
      <w:bookmarkStart w:id="129" w:name="_Toc209578272"/>
      <w:r>
        <w:rPr>
          <w:sz w:val="24"/>
          <w:szCs w:val="24"/>
        </w:rPr>
        <w:t xml:space="preserve">includes </w:t>
      </w:r>
      <w:r w:rsidR="0001379B" w:rsidRPr="003F2CC5">
        <w:rPr>
          <w:sz w:val="24"/>
          <w:szCs w:val="24"/>
        </w:rPr>
        <w:t xml:space="preserve">its </w:t>
      </w:r>
      <w:r w:rsidR="00AF48C7" w:rsidRPr="003F2CC5">
        <w:rPr>
          <w:sz w:val="24"/>
          <w:szCs w:val="24"/>
        </w:rPr>
        <w:t>reporting expectations</w:t>
      </w:r>
      <w:r w:rsidR="0001379B" w:rsidRPr="003F2CC5">
        <w:rPr>
          <w:sz w:val="24"/>
          <w:szCs w:val="24"/>
        </w:rPr>
        <w:t xml:space="preserve"> of Australian businesses</w:t>
      </w:r>
      <w:r w:rsidRPr="0041762B">
        <w:rPr>
          <w:sz w:val="24"/>
          <w:szCs w:val="24"/>
        </w:rPr>
        <w:t xml:space="preserve"> </w:t>
      </w:r>
      <w:r w:rsidRPr="003F2CC5">
        <w:rPr>
          <w:sz w:val="24"/>
          <w:szCs w:val="24"/>
        </w:rPr>
        <w:t>in a NAP</w:t>
      </w:r>
      <w:r w:rsidR="00AF48C7" w:rsidRPr="003F2CC5">
        <w:rPr>
          <w:sz w:val="24"/>
          <w:szCs w:val="24"/>
        </w:rPr>
        <w:t>.</w:t>
      </w:r>
    </w:p>
    <w:p w14:paraId="4F526A64" w14:textId="77777777" w:rsidR="007E0433" w:rsidRPr="002274BC" w:rsidRDefault="003363CB" w:rsidP="00687CC5">
      <w:pPr>
        <w:pStyle w:val="Heading2"/>
        <w:numPr>
          <w:ilvl w:val="1"/>
          <w:numId w:val="15"/>
        </w:numPr>
        <w:rPr>
          <w:szCs w:val="28"/>
        </w:rPr>
      </w:pPr>
      <w:bookmarkStart w:id="130" w:name="_Toc456168887"/>
      <w:r w:rsidRPr="002274BC">
        <w:rPr>
          <w:szCs w:val="28"/>
        </w:rPr>
        <w:t>Access to Remedy (Pillar 3)</w:t>
      </w:r>
      <w:bookmarkEnd w:id="130"/>
      <w:r w:rsidRPr="002274BC">
        <w:rPr>
          <w:szCs w:val="28"/>
        </w:rPr>
        <w:t xml:space="preserve"> </w:t>
      </w:r>
    </w:p>
    <w:p w14:paraId="27C8632F" w14:textId="77777777" w:rsidR="00AB2653" w:rsidRDefault="00D67736" w:rsidP="00AB2653">
      <w:pPr>
        <w:spacing w:before="0" w:after="0"/>
      </w:pPr>
      <w:r>
        <w:t>The UNGPs require States to take appropriate steps to ensure access to</w:t>
      </w:r>
      <w:r w:rsidRPr="00D67736">
        <w:t xml:space="preserve"> </w:t>
      </w:r>
      <w:r>
        <w:t>effective remedy for those affected by business-related human rights abuse.</w:t>
      </w:r>
      <w:r>
        <w:rPr>
          <w:rStyle w:val="EndnoteReference"/>
        </w:rPr>
        <w:endnoteReference w:id="45"/>
      </w:r>
      <w:r>
        <w:t xml:space="preserve">  This </w:t>
      </w:r>
      <w:r w:rsidR="00115C0E">
        <w:t xml:space="preserve">applies to both judicial and non-judicial </w:t>
      </w:r>
      <w:r w:rsidR="00080955">
        <w:t xml:space="preserve">grievance </w:t>
      </w:r>
      <w:r w:rsidR="00115C0E">
        <w:t xml:space="preserve">mechanisms. </w:t>
      </w:r>
      <w:r w:rsidR="003158C1">
        <w:t>A State</w:t>
      </w:r>
      <w:r>
        <w:t xml:space="preserve"> </w:t>
      </w:r>
      <w:r w:rsidR="003158C1">
        <w:t xml:space="preserve">is required to take these steps in fulfilment of its </w:t>
      </w:r>
      <w:r>
        <w:t xml:space="preserve">duty to protect against human rights abuses by business. </w:t>
      </w:r>
    </w:p>
    <w:p w14:paraId="4D91D3BF" w14:textId="6C83D530" w:rsidR="003F44FE" w:rsidRDefault="00D940A1" w:rsidP="003F44FE">
      <w:r>
        <w:t xml:space="preserve">The area of remedies is one in which governments </w:t>
      </w:r>
      <w:r w:rsidR="00EB5260">
        <w:t xml:space="preserve">around the world have </w:t>
      </w:r>
      <w:r>
        <w:t>c</w:t>
      </w:r>
      <w:r w:rsidR="00AB138E">
        <w:t>onsistently delay</w:t>
      </w:r>
      <w:r w:rsidR="00EB5260">
        <w:t>ed</w:t>
      </w:r>
      <w:r>
        <w:t xml:space="preserve"> in implementing the UNGPs.  </w:t>
      </w:r>
      <w:r w:rsidR="00EB5260">
        <w:t xml:space="preserve">In Australia, </w:t>
      </w:r>
      <w:r w:rsidR="002E3B2E">
        <w:t xml:space="preserve">civil society recommends that </w:t>
      </w:r>
      <w:r w:rsidR="00EB5260">
        <w:t xml:space="preserve">the </w:t>
      </w:r>
      <w:r w:rsidR="002E3B2E">
        <w:t>g</w:t>
      </w:r>
      <w:r>
        <w:t>overnment</w:t>
      </w:r>
      <w:r w:rsidRPr="00D940A1">
        <w:t xml:space="preserve"> </w:t>
      </w:r>
      <w:r>
        <w:t>embrace</w:t>
      </w:r>
      <w:r w:rsidR="002E3B2E">
        <w:t>s</w:t>
      </w:r>
      <w:r>
        <w:t xml:space="preserve"> the opportunities provided by the NBA and NAP processes to identify key areas in which </w:t>
      </w:r>
      <w:r w:rsidRPr="00D940A1">
        <w:t xml:space="preserve">efforts </w:t>
      </w:r>
      <w:r w:rsidR="00FE16EA">
        <w:t xml:space="preserve">can be </w:t>
      </w:r>
      <w:r w:rsidR="002E3B2E">
        <w:t>enhanced</w:t>
      </w:r>
      <w:r w:rsidR="004D4872">
        <w:t xml:space="preserve"> so as </w:t>
      </w:r>
      <w:r>
        <w:t xml:space="preserve">to </w:t>
      </w:r>
      <w:r w:rsidR="00BC170F">
        <w:t>improve</w:t>
      </w:r>
      <w:r>
        <w:t xml:space="preserve"> access</w:t>
      </w:r>
      <w:r w:rsidRPr="00D940A1">
        <w:t xml:space="preserve"> </w:t>
      </w:r>
      <w:r>
        <w:t>to justice</w:t>
      </w:r>
      <w:r w:rsidR="00FE16EA" w:rsidRPr="00FE16EA">
        <w:t xml:space="preserve"> </w:t>
      </w:r>
      <w:r w:rsidR="00FE16EA">
        <w:t>for victims of corporate human rights abuses</w:t>
      </w:r>
      <w:r>
        <w:t xml:space="preserve">, </w:t>
      </w:r>
      <w:r w:rsidR="00FE16EA">
        <w:t>via</w:t>
      </w:r>
      <w:r w:rsidRPr="00D940A1">
        <w:t xml:space="preserve"> both judicial and non-judicial </w:t>
      </w:r>
      <w:r w:rsidR="00FE16EA">
        <w:t>mechanisms</w:t>
      </w:r>
      <w:r>
        <w:t xml:space="preserve">. </w:t>
      </w:r>
    </w:p>
    <w:p w14:paraId="18968C46" w14:textId="64FD7DC1" w:rsidR="00D818F3" w:rsidRDefault="00D818F3" w:rsidP="003F44FE"/>
    <w:p w14:paraId="6BCE54CA" w14:textId="637DED71" w:rsidR="00D818F3" w:rsidRDefault="00D818F3" w:rsidP="003F44FE"/>
    <w:p w14:paraId="710AEF26" w14:textId="77777777" w:rsidR="00D818F3" w:rsidRDefault="00D818F3" w:rsidP="003F44FE"/>
    <w:p w14:paraId="6E751FC6" w14:textId="77777777" w:rsidR="004A07B2" w:rsidRPr="00AB0FBE" w:rsidRDefault="004A07B2" w:rsidP="00687CC5">
      <w:pPr>
        <w:pStyle w:val="ListParagraph"/>
        <w:numPr>
          <w:ilvl w:val="2"/>
          <w:numId w:val="15"/>
        </w:numPr>
      </w:pPr>
      <w:r w:rsidRPr="00AB0FBE">
        <w:rPr>
          <w:b/>
          <w:i/>
        </w:rPr>
        <w:lastRenderedPageBreak/>
        <w:t xml:space="preserve">Barriers to </w:t>
      </w:r>
      <w:r w:rsidR="00894E16">
        <w:rPr>
          <w:b/>
          <w:i/>
        </w:rPr>
        <w:t xml:space="preserve">accessing </w:t>
      </w:r>
      <w:r w:rsidRPr="00AB0FBE">
        <w:rPr>
          <w:b/>
          <w:i/>
        </w:rPr>
        <w:t>justice</w:t>
      </w:r>
    </w:p>
    <w:p w14:paraId="1E50E385" w14:textId="77777777" w:rsidR="00A94E69" w:rsidRPr="00A94E69" w:rsidRDefault="003158C1" w:rsidP="00A94E69">
      <w:r>
        <w:t xml:space="preserve">Barriers exist which </w:t>
      </w:r>
      <w:r w:rsidR="00140118">
        <w:t>block</w:t>
      </w:r>
      <w:r w:rsidR="00894E16">
        <w:t xml:space="preserve"> victims of business-related human rights abuse</w:t>
      </w:r>
      <w:r w:rsidR="00140118">
        <w:t xml:space="preserve"> from accessing justice and obtaining redress</w:t>
      </w:r>
      <w:r>
        <w:t xml:space="preserve">.  </w:t>
      </w:r>
      <w:r w:rsidR="00A94E69" w:rsidRPr="00A94E69">
        <w:t xml:space="preserve">These </w:t>
      </w:r>
      <w:r w:rsidR="008025EE">
        <w:t>hurdles are</w:t>
      </w:r>
      <w:r w:rsidR="00A94E69" w:rsidRPr="00A94E69">
        <w:t>:</w:t>
      </w:r>
    </w:p>
    <w:p w14:paraId="20353112" w14:textId="77777777" w:rsidR="00E85E8C" w:rsidRPr="003F2CC5" w:rsidRDefault="002E3B2E" w:rsidP="003F2CC5">
      <w:pPr>
        <w:pStyle w:val="aaHRLCBodytextakaNormal"/>
        <w:numPr>
          <w:ilvl w:val="0"/>
          <w:numId w:val="22"/>
        </w:numPr>
        <w:spacing w:line="240" w:lineRule="auto"/>
        <w:rPr>
          <w:sz w:val="24"/>
          <w:szCs w:val="24"/>
        </w:rPr>
      </w:pPr>
      <w:r>
        <w:rPr>
          <w:sz w:val="24"/>
          <w:szCs w:val="24"/>
        </w:rPr>
        <w:t xml:space="preserve">financial: </w:t>
      </w:r>
      <w:r w:rsidR="00A94E69" w:rsidRPr="003F2CC5">
        <w:rPr>
          <w:sz w:val="24"/>
          <w:szCs w:val="24"/>
        </w:rPr>
        <w:t xml:space="preserve">prohibitive costs and lack of funding </w:t>
      </w:r>
      <w:r w:rsidR="00975F3B" w:rsidRPr="003F2CC5">
        <w:rPr>
          <w:sz w:val="24"/>
          <w:szCs w:val="24"/>
        </w:rPr>
        <w:t>or</w:t>
      </w:r>
      <w:r w:rsidR="00AA6A2D" w:rsidRPr="003F2CC5">
        <w:rPr>
          <w:sz w:val="24"/>
          <w:szCs w:val="24"/>
        </w:rPr>
        <w:t xml:space="preserve"> other forms of support </w:t>
      </w:r>
      <w:r>
        <w:rPr>
          <w:sz w:val="24"/>
          <w:szCs w:val="24"/>
        </w:rPr>
        <w:t>for legal action</w:t>
      </w:r>
      <w:r w:rsidR="00A94E69" w:rsidRPr="003F2CC5">
        <w:rPr>
          <w:sz w:val="24"/>
          <w:szCs w:val="24"/>
        </w:rPr>
        <w:t>;</w:t>
      </w:r>
    </w:p>
    <w:p w14:paraId="33A84B84" w14:textId="77777777" w:rsidR="00E85E8C" w:rsidRPr="003F2CC5" w:rsidRDefault="002E3B2E" w:rsidP="003F2CC5">
      <w:pPr>
        <w:pStyle w:val="aaHRLCBodytextakaNormal"/>
        <w:numPr>
          <w:ilvl w:val="0"/>
          <w:numId w:val="22"/>
        </w:numPr>
        <w:spacing w:line="240" w:lineRule="auto"/>
        <w:rPr>
          <w:sz w:val="24"/>
          <w:szCs w:val="24"/>
        </w:rPr>
      </w:pPr>
      <w:r>
        <w:rPr>
          <w:sz w:val="24"/>
          <w:szCs w:val="24"/>
        </w:rPr>
        <w:t xml:space="preserve">procedural: </w:t>
      </w:r>
      <w:r w:rsidR="00A94E69" w:rsidRPr="003F2CC5">
        <w:rPr>
          <w:sz w:val="24"/>
          <w:szCs w:val="24"/>
        </w:rPr>
        <w:t>jurisdiction of the courts, statutes of limit</w:t>
      </w:r>
      <w:r w:rsidR="00975F3B" w:rsidRPr="003F2CC5">
        <w:rPr>
          <w:sz w:val="24"/>
          <w:szCs w:val="24"/>
        </w:rPr>
        <w:t>ations, disclosure requirements and rules governing</w:t>
      </w:r>
      <w:r>
        <w:rPr>
          <w:sz w:val="24"/>
          <w:szCs w:val="24"/>
        </w:rPr>
        <w:t xml:space="preserve"> applicable law</w:t>
      </w:r>
      <w:r w:rsidR="00A94E69" w:rsidRPr="003F2CC5">
        <w:rPr>
          <w:sz w:val="24"/>
          <w:szCs w:val="24"/>
        </w:rPr>
        <w:t>;</w:t>
      </w:r>
    </w:p>
    <w:p w14:paraId="5A65E7D6" w14:textId="77777777" w:rsidR="00E85E8C" w:rsidRPr="003F2CC5" w:rsidRDefault="00A15CDA" w:rsidP="003F2CC5">
      <w:pPr>
        <w:pStyle w:val="aaHRLCBodytextakaNormal"/>
        <w:numPr>
          <w:ilvl w:val="0"/>
          <w:numId w:val="22"/>
        </w:numPr>
        <w:spacing w:line="240" w:lineRule="auto"/>
        <w:rPr>
          <w:sz w:val="24"/>
          <w:szCs w:val="24"/>
        </w:rPr>
      </w:pPr>
      <w:r>
        <w:rPr>
          <w:sz w:val="24"/>
          <w:szCs w:val="24"/>
        </w:rPr>
        <w:t>p</w:t>
      </w:r>
      <w:r w:rsidR="002E3B2E">
        <w:rPr>
          <w:sz w:val="24"/>
          <w:szCs w:val="24"/>
        </w:rPr>
        <w:t xml:space="preserve">ractical: </w:t>
      </w:r>
      <w:r w:rsidR="00975F3B" w:rsidRPr="003F2CC5">
        <w:rPr>
          <w:sz w:val="24"/>
          <w:szCs w:val="24"/>
        </w:rPr>
        <w:t>public awareness</w:t>
      </w:r>
      <w:r w:rsidR="00BF0B93" w:rsidRPr="003F2CC5">
        <w:rPr>
          <w:sz w:val="24"/>
          <w:szCs w:val="24"/>
        </w:rPr>
        <w:t xml:space="preserve"> and access to information</w:t>
      </w:r>
      <w:r w:rsidR="00975F3B" w:rsidRPr="003F2CC5">
        <w:rPr>
          <w:sz w:val="24"/>
          <w:szCs w:val="24"/>
        </w:rPr>
        <w:t>, claimant security and difficulties associated with</w:t>
      </w:r>
      <w:r>
        <w:rPr>
          <w:sz w:val="24"/>
          <w:szCs w:val="24"/>
        </w:rPr>
        <w:t xml:space="preserve"> evidence gathering</w:t>
      </w:r>
      <w:r w:rsidR="00A94E69" w:rsidRPr="003F2CC5">
        <w:rPr>
          <w:sz w:val="24"/>
          <w:szCs w:val="24"/>
        </w:rPr>
        <w:t>; and</w:t>
      </w:r>
    </w:p>
    <w:p w14:paraId="127BD144" w14:textId="77777777" w:rsidR="00A94E69" w:rsidRPr="003F2CC5" w:rsidRDefault="002E3B2E" w:rsidP="003F2CC5">
      <w:pPr>
        <w:pStyle w:val="aaHRLCBodytextakaNormal"/>
        <w:numPr>
          <w:ilvl w:val="0"/>
          <w:numId w:val="22"/>
        </w:numPr>
        <w:spacing w:line="240" w:lineRule="auto"/>
        <w:rPr>
          <w:sz w:val="24"/>
          <w:szCs w:val="24"/>
        </w:rPr>
      </w:pPr>
      <w:r>
        <w:rPr>
          <w:sz w:val="24"/>
          <w:szCs w:val="24"/>
        </w:rPr>
        <w:t xml:space="preserve">legal: </w:t>
      </w:r>
      <w:r w:rsidR="00A94E69" w:rsidRPr="003F2CC5">
        <w:rPr>
          <w:sz w:val="24"/>
          <w:szCs w:val="24"/>
        </w:rPr>
        <w:t xml:space="preserve">limitations on parent company </w:t>
      </w:r>
      <w:r w:rsidR="00BF0B93" w:rsidRPr="003F2CC5">
        <w:rPr>
          <w:sz w:val="24"/>
          <w:szCs w:val="24"/>
        </w:rPr>
        <w:t xml:space="preserve">legal </w:t>
      </w:r>
      <w:r w:rsidR="00A94E69" w:rsidRPr="003F2CC5">
        <w:rPr>
          <w:sz w:val="24"/>
          <w:szCs w:val="24"/>
        </w:rPr>
        <w:t xml:space="preserve">liability due to doctrines of limited liability, separate legal personality of companies and </w:t>
      </w:r>
      <w:r w:rsidR="00A15CDA">
        <w:rPr>
          <w:sz w:val="24"/>
          <w:szCs w:val="24"/>
        </w:rPr>
        <w:t>operation of the corporate veil</w:t>
      </w:r>
      <w:r w:rsidR="00A94E69" w:rsidRPr="003F2CC5">
        <w:rPr>
          <w:sz w:val="24"/>
          <w:szCs w:val="24"/>
        </w:rPr>
        <w:t>.</w:t>
      </w:r>
    </w:p>
    <w:p w14:paraId="3317CCFC" w14:textId="77777777" w:rsidR="003158C1" w:rsidRDefault="0034797F" w:rsidP="009A2E88">
      <w:pPr>
        <w:rPr>
          <w:b/>
        </w:rPr>
      </w:pPr>
      <w:r>
        <w:t>The UNGPs require</w:t>
      </w:r>
      <w:r w:rsidR="003158C1">
        <w:t xml:space="preserve"> States to </w:t>
      </w:r>
      <w:r w:rsidR="00841CAF">
        <w:t>consider ways to reduce</w:t>
      </w:r>
      <w:r w:rsidR="00975F3B">
        <w:t xml:space="preserve"> </w:t>
      </w:r>
      <w:r w:rsidR="005075EB">
        <w:t xml:space="preserve">such </w:t>
      </w:r>
      <w:r w:rsidR="00975F3B">
        <w:t>barriers.</w:t>
      </w:r>
      <w:r w:rsidR="00975F3B">
        <w:rPr>
          <w:rStyle w:val="EndnoteReference"/>
        </w:rPr>
        <w:endnoteReference w:id="46"/>
      </w:r>
      <w:r w:rsidR="00975F3B">
        <w:t xml:space="preserve"> </w:t>
      </w:r>
      <w:r w:rsidR="003158C1">
        <w:t>To improve access to remedy</w:t>
      </w:r>
      <w:r w:rsidR="00841CAF">
        <w:t xml:space="preserve"> for </w:t>
      </w:r>
      <w:r w:rsidR="00AB2653">
        <w:t>human rights abuses committed</w:t>
      </w:r>
      <w:r w:rsidR="00841CAF">
        <w:t xml:space="preserve"> by Australian businesses</w:t>
      </w:r>
      <w:r w:rsidR="003158C1">
        <w:t>, it is recommended that</w:t>
      </w:r>
      <w:r w:rsidR="00841CAF">
        <w:t xml:space="preserve"> existing barriers </w:t>
      </w:r>
      <w:r w:rsidR="00A15CDA">
        <w:t xml:space="preserve">are identified and analysed in the NBA and addressed in </w:t>
      </w:r>
      <w:r w:rsidR="00B645FC">
        <w:t>a</w:t>
      </w:r>
      <w:r w:rsidR="00A15CDA">
        <w:t xml:space="preserve"> NAP</w:t>
      </w:r>
      <w:r w:rsidR="003158C1">
        <w:t>.</w:t>
      </w:r>
    </w:p>
    <w:p w14:paraId="331FAAA0" w14:textId="77777777" w:rsidR="00D441FA" w:rsidRPr="00AB0FBE" w:rsidRDefault="004A07B2" w:rsidP="00687CC5">
      <w:pPr>
        <w:pStyle w:val="ListParagraph"/>
        <w:numPr>
          <w:ilvl w:val="2"/>
          <w:numId w:val="15"/>
        </w:numPr>
      </w:pPr>
      <w:r w:rsidRPr="00AB0FBE">
        <w:rPr>
          <w:b/>
          <w:i/>
        </w:rPr>
        <w:t>Steps to improve access to justice</w:t>
      </w:r>
    </w:p>
    <w:p w14:paraId="60E1961D" w14:textId="77777777" w:rsidR="00C3769B" w:rsidRDefault="005C251A" w:rsidP="005C251A">
      <w:pPr>
        <w:rPr>
          <w:rFonts w:cs="Arial"/>
        </w:rPr>
      </w:pPr>
      <w:r>
        <w:rPr>
          <w:rFonts w:cs="Arial"/>
        </w:rPr>
        <w:t xml:space="preserve">It is recommended that the </w:t>
      </w:r>
      <w:r w:rsidR="002A23D6">
        <w:t>Australian</w:t>
      </w:r>
      <w:r w:rsidR="002A23D6">
        <w:rPr>
          <w:rFonts w:cs="Arial"/>
        </w:rPr>
        <w:t xml:space="preserve"> </w:t>
      </w:r>
      <w:r>
        <w:rPr>
          <w:rFonts w:cs="Arial"/>
        </w:rPr>
        <w:t>Government</w:t>
      </w:r>
      <w:r w:rsidR="00C3769B">
        <w:rPr>
          <w:rFonts w:cs="Arial"/>
        </w:rPr>
        <w:t>:</w:t>
      </w:r>
      <w:r>
        <w:rPr>
          <w:rFonts w:cs="Arial"/>
        </w:rPr>
        <w:t xml:space="preserve"> </w:t>
      </w:r>
    </w:p>
    <w:p w14:paraId="4948B625" w14:textId="77777777" w:rsidR="003F44FE" w:rsidRPr="003F2CC5" w:rsidRDefault="00C46FED" w:rsidP="003F2CC5">
      <w:pPr>
        <w:pStyle w:val="aaHRLCBodytextakaNormal"/>
        <w:numPr>
          <w:ilvl w:val="0"/>
          <w:numId w:val="22"/>
        </w:numPr>
        <w:spacing w:line="240" w:lineRule="auto"/>
        <w:rPr>
          <w:sz w:val="24"/>
          <w:szCs w:val="24"/>
        </w:rPr>
      </w:pPr>
      <w:r w:rsidRPr="003F2CC5">
        <w:rPr>
          <w:sz w:val="24"/>
          <w:szCs w:val="24"/>
        </w:rPr>
        <w:t>c</w:t>
      </w:r>
      <w:r w:rsidR="00D441FA" w:rsidRPr="003F2CC5">
        <w:rPr>
          <w:sz w:val="24"/>
          <w:szCs w:val="24"/>
        </w:rPr>
        <w:t>onduct</w:t>
      </w:r>
      <w:r w:rsidR="005C251A" w:rsidRPr="003F2CC5">
        <w:rPr>
          <w:sz w:val="24"/>
          <w:szCs w:val="24"/>
        </w:rPr>
        <w:t>s</w:t>
      </w:r>
      <w:r w:rsidR="003F44FE" w:rsidRPr="003F2CC5">
        <w:rPr>
          <w:sz w:val="24"/>
          <w:szCs w:val="24"/>
        </w:rPr>
        <w:t>, as part of a NBA,</w:t>
      </w:r>
      <w:r w:rsidR="00D441FA" w:rsidRPr="003F2CC5">
        <w:rPr>
          <w:sz w:val="24"/>
          <w:szCs w:val="24"/>
        </w:rPr>
        <w:t xml:space="preserve"> an evaluation of Australia's </w:t>
      </w:r>
      <w:r w:rsidR="009B6405" w:rsidRPr="003F2CC5">
        <w:rPr>
          <w:sz w:val="24"/>
          <w:szCs w:val="24"/>
        </w:rPr>
        <w:t xml:space="preserve">State-based </w:t>
      </w:r>
      <w:r w:rsidR="00D441FA" w:rsidRPr="003F2CC5">
        <w:rPr>
          <w:sz w:val="24"/>
          <w:szCs w:val="24"/>
        </w:rPr>
        <w:t>judicial and non-judicial mechanisms and measures directed at providing remedy</w:t>
      </w:r>
      <w:r w:rsidR="00C3769B" w:rsidRPr="003F2CC5">
        <w:rPr>
          <w:sz w:val="24"/>
          <w:szCs w:val="24"/>
        </w:rPr>
        <w:t xml:space="preserve"> to victims;</w:t>
      </w:r>
    </w:p>
    <w:p w14:paraId="05807A98" w14:textId="77777777" w:rsidR="00213350" w:rsidRPr="003F2CC5" w:rsidRDefault="003F44FE" w:rsidP="003F2CC5">
      <w:pPr>
        <w:pStyle w:val="aaHRLCBodytextakaNormal"/>
        <w:numPr>
          <w:ilvl w:val="0"/>
          <w:numId w:val="22"/>
        </w:numPr>
        <w:spacing w:line="240" w:lineRule="auto"/>
        <w:rPr>
          <w:sz w:val="24"/>
          <w:szCs w:val="24"/>
        </w:rPr>
      </w:pPr>
      <w:r w:rsidRPr="003F2CC5">
        <w:rPr>
          <w:sz w:val="24"/>
          <w:szCs w:val="24"/>
        </w:rPr>
        <w:t>examines, as part of the NBA, barriers that exist in Australia that hinder access to justice for business-related human rights abuse</w:t>
      </w:r>
      <w:r w:rsidR="00C46FED" w:rsidRPr="003F2CC5">
        <w:rPr>
          <w:sz w:val="24"/>
          <w:szCs w:val="24"/>
        </w:rPr>
        <w:t>;</w:t>
      </w:r>
    </w:p>
    <w:p w14:paraId="2CEBC1D5" w14:textId="77777777" w:rsidR="00C46FED" w:rsidRPr="003F2CC5" w:rsidRDefault="00213350" w:rsidP="003F2CC5">
      <w:pPr>
        <w:pStyle w:val="aaHRLCBodytextakaNormal"/>
        <w:numPr>
          <w:ilvl w:val="0"/>
          <w:numId w:val="22"/>
        </w:numPr>
        <w:spacing w:line="240" w:lineRule="auto"/>
        <w:rPr>
          <w:sz w:val="24"/>
          <w:szCs w:val="24"/>
        </w:rPr>
      </w:pPr>
      <w:r w:rsidRPr="003F2CC5">
        <w:rPr>
          <w:sz w:val="24"/>
          <w:szCs w:val="24"/>
        </w:rPr>
        <w:t>explores options for reducing existing barriers that prevent victims of corporate human rights abuse f</w:t>
      </w:r>
      <w:r w:rsidR="00026953">
        <w:rPr>
          <w:sz w:val="24"/>
          <w:szCs w:val="24"/>
        </w:rPr>
        <w:t>r</w:t>
      </w:r>
      <w:r w:rsidRPr="003F2CC5">
        <w:rPr>
          <w:sz w:val="24"/>
          <w:szCs w:val="24"/>
        </w:rPr>
        <w:t xml:space="preserve">om obtaining effective remedy; </w:t>
      </w:r>
    </w:p>
    <w:p w14:paraId="6B77CD16" w14:textId="77777777" w:rsidR="00681ABD" w:rsidRPr="003F2CC5" w:rsidRDefault="00C46FED" w:rsidP="003F2CC5">
      <w:pPr>
        <w:pStyle w:val="aaHRLCBodytextakaNormal"/>
        <w:numPr>
          <w:ilvl w:val="0"/>
          <w:numId w:val="22"/>
        </w:numPr>
        <w:spacing w:line="240" w:lineRule="auto"/>
        <w:rPr>
          <w:sz w:val="24"/>
          <w:szCs w:val="24"/>
        </w:rPr>
      </w:pPr>
      <w:r w:rsidRPr="003F2CC5">
        <w:rPr>
          <w:sz w:val="24"/>
          <w:szCs w:val="24"/>
        </w:rPr>
        <w:t>reviews and analyses, as part of the NBA</w:t>
      </w:r>
      <w:r w:rsidR="00DA6B37">
        <w:rPr>
          <w:sz w:val="24"/>
          <w:szCs w:val="24"/>
        </w:rPr>
        <w:t>, current support for non-State-</w:t>
      </w:r>
      <w:r w:rsidR="002A23D6">
        <w:rPr>
          <w:sz w:val="24"/>
          <w:szCs w:val="24"/>
        </w:rPr>
        <w:t xml:space="preserve">based complaints procedures, </w:t>
      </w:r>
      <w:r w:rsidR="005C386B" w:rsidRPr="003F2CC5">
        <w:rPr>
          <w:sz w:val="24"/>
          <w:szCs w:val="24"/>
        </w:rPr>
        <w:t xml:space="preserve">such as those </w:t>
      </w:r>
      <w:r w:rsidRPr="003F2CC5">
        <w:rPr>
          <w:sz w:val="24"/>
          <w:szCs w:val="24"/>
        </w:rPr>
        <w:t xml:space="preserve">administered by </w:t>
      </w:r>
      <w:r w:rsidR="00C613C9" w:rsidRPr="003F2CC5">
        <w:rPr>
          <w:sz w:val="24"/>
          <w:szCs w:val="24"/>
        </w:rPr>
        <w:t>companies themselves</w:t>
      </w:r>
      <w:r w:rsidR="005C386B" w:rsidRPr="003F2CC5">
        <w:rPr>
          <w:sz w:val="24"/>
          <w:szCs w:val="24"/>
        </w:rPr>
        <w:t>,</w:t>
      </w:r>
      <w:r w:rsidRPr="003F2CC5">
        <w:rPr>
          <w:sz w:val="24"/>
          <w:szCs w:val="24"/>
        </w:rPr>
        <w:t xml:space="preserve"> </w:t>
      </w:r>
      <w:r w:rsidR="00C613C9" w:rsidRPr="003F2CC5">
        <w:rPr>
          <w:sz w:val="24"/>
          <w:szCs w:val="24"/>
        </w:rPr>
        <w:t xml:space="preserve">via </w:t>
      </w:r>
      <w:r w:rsidRPr="003F2CC5">
        <w:rPr>
          <w:sz w:val="24"/>
          <w:szCs w:val="24"/>
        </w:rPr>
        <w:t xml:space="preserve">industry </w:t>
      </w:r>
      <w:r w:rsidR="00C613C9" w:rsidRPr="003F2CC5">
        <w:rPr>
          <w:sz w:val="24"/>
          <w:szCs w:val="24"/>
        </w:rPr>
        <w:t xml:space="preserve">or multi-stakeholder groups or </w:t>
      </w:r>
      <w:r w:rsidR="002C20B4" w:rsidRPr="003F2CC5">
        <w:rPr>
          <w:sz w:val="24"/>
          <w:szCs w:val="24"/>
        </w:rPr>
        <w:t xml:space="preserve">through </w:t>
      </w:r>
      <w:r w:rsidR="00C613C9" w:rsidRPr="003F2CC5">
        <w:rPr>
          <w:sz w:val="24"/>
          <w:szCs w:val="24"/>
        </w:rPr>
        <w:t>regional and international bodies</w:t>
      </w:r>
      <w:r w:rsidR="002C20B4" w:rsidRPr="003F2CC5">
        <w:rPr>
          <w:sz w:val="24"/>
          <w:szCs w:val="24"/>
        </w:rPr>
        <w:t xml:space="preserve"> or initiatives</w:t>
      </w:r>
      <w:r w:rsidR="00C613C9" w:rsidRPr="003F2CC5">
        <w:rPr>
          <w:sz w:val="24"/>
          <w:szCs w:val="24"/>
        </w:rPr>
        <w:t>;</w:t>
      </w:r>
    </w:p>
    <w:p w14:paraId="6E03B47C" w14:textId="77777777" w:rsidR="00FA595C" w:rsidRPr="003F2CC5" w:rsidRDefault="00681ABD" w:rsidP="003F2CC5">
      <w:pPr>
        <w:pStyle w:val="aaHRLCBodytextakaNormal"/>
        <w:numPr>
          <w:ilvl w:val="0"/>
          <w:numId w:val="22"/>
        </w:numPr>
        <w:spacing w:line="240" w:lineRule="auto"/>
        <w:rPr>
          <w:sz w:val="24"/>
          <w:szCs w:val="24"/>
        </w:rPr>
      </w:pPr>
      <w:r w:rsidRPr="003F2CC5">
        <w:rPr>
          <w:sz w:val="24"/>
          <w:szCs w:val="24"/>
        </w:rPr>
        <w:t xml:space="preserve">explores, as part of the NBA, the role of Australia’s diplomatic </w:t>
      </w:r>
      <w:r w:rsidR="006A7A9D" w:rsidRPr="003F2CC5">
        <w:rPr>
          <w:sz w:val="24"/>
          <w:szCs w:val="24"/>
        </w:rPr>
        <w:t xml:space="preserve">and consular </w:t>
      </w:r>
      <w:r w:rsidRPr="003F2CC5">
        <w:rPr>
          <w:sz w:val="24"/>
          <w:szCs w:val="24"/>
        </w:rPr>
        <w:t>missions in providing redress for business-related human rights grievances and coordinating between home and host state mechanisms;</w:t>
      </w:r>
    </w:p>
    <w:p w14:paraId="1F2FDDAE" w14:textId="77777777" w:rsidR="00C613C9" w:rsidRPr="003F2CC5" w:rsidRDefault="00FA595C" w:rsidP="003F2CC5">
      <w:pPr>
        <w:pStyle w:val="aaHRLCBodytextakaNormal"/>
        <w:numPr>
          <w:ilvl w:val="0"/>
          <w:numId w:val="22"/>
        </w:numPr>
        <w:spacing w:line="240" w:lineRule="auto"/>
        <w:rPr>
          <w:sz w:val="24"/>
          <w:szCs w:val="24"/>
        </w:rPr>
      </w:pPr>
      <w:r w:rsidRPr="003F2CC5">
        <w:rPr>
          <w:sz w:val="24"/>
          <w:szCs w:val="24"/>
        </w:rPr>
        <w:t>considers options for strengthening existing</w:t>
      </w:r>
      <w:r w:rsidR="009B6405" w:rsidRPr="003F2CC5">
        <w:rPr>
          <w:sz w:val="24"/>
          <w:szCs w:val="24"/>
        </w:rPr>
        <w:t xml:space="preserve"> State-based</w:t>
      </w:r>
      <w:r w:rsidRPr="003F2CC5">
        <w:rPr>
          <w:sz w:val="24"/>
          <w:szCs w:val="24"/>
        </w:rPr>
        <w:t xml:space="preserve"> judicial and non-judicial remedy mechanisms;</w:t>
      </w:r>
    </w:p>
    <w:p w14:paraId="0A580D98" w14:textId="77777777" w:rsidR="00FA595C" w:rsidRPr="003F2CC5" w:rsidRDefault="00C613C9" w:rsidP="003F2CC5">
      <w:pPr>
        <w:pStyle w:val="aaHRLCBodytextakaNormal"/>
        <w:numPr>
          <w:ilvl w:val="0"/>
          <w:numId w:val="22"/>
        </w:numPr>
        <w:spacing w:line="240" w:lineRule="auto"/>
        <w:rPr>
          <w:sz w:val="24"/>
          <w:szCs w:val="24"/>
        </w:rPr>
      </w:pPr>
      <w:r w:rsidRPr="003F2CC5">
        <w:rPr>
          <w:sz w:val="24"/>
          <w:szCs w:val="24"/>
        </w:rPr>
        <w:t>considers options for enhancing support for non-S</w:t>
      </w:r>
      <w:r w:rsidR="00DA6B37">
        <w:rPr>
          <w:sz w:val="24"/>
          <w:szCs w:val="24"/>
        </w:rPr>
        <w:t>tate-</w:t>
      </w:r>
      <w:r w:rsidR="003F2CC5">
        <w:rPr>
          <w:sz w:val="24"/>
          <w:szCs w:val="24"/>
        </w:rPr>
        <w:t>based grievance mechanisms;</w:t>
      </w:r>
    </w:p>
    <w:p w14:paraId="6F0E283A" w14:textId="77777777" w:rsidR="00FA595C" w:rsidRPr="003F2CC5" w:rsidRDefault="00213350" w:rsidP="003F2CC5">
      <w:pPr>
        <w:pStyle w:val="aaHRLCBodytextakaNormal"/>
        <w:numPr>
          <w:ilvl w:val="0"/>
          <w:numId w:val="22"/>
        </w:numPr>
        <w:spacing w:line="240" w:lineRule="auto"/>
        <w:rPr>
          <w:sz w:val="24"/>
          <w:szCs w:val="24"/>
        </w:rPr>
      </w:pPr>
      <w:r w:rsidRPr="003F2CC5">
        <w:rPr>
          <w:sz w:val="24"/>
          <w:szCs w:val="24"/>
        </w:rPr>
        <w:t>explores</w:t>
      </w:r>
      <w:r w:rsidR="00FA595C" w:rsidRPr="003F2CC5">
        <w:rPr>
          <w:sz w:val="24"/>
          <w:szCs w:val="24"/>
        </w:rPr>
        <w:t xml:space="preserve"> options for </w:t>
      </w:r>
      <w:r w:rsidR="00C613C9" w:rsidRPr="003F2CC5">
        <w:rPr>
          <w:sz w:val="24"/>
          <w:szCs w:val="24"/>
        </w:rPr>
        <w:t xml:space="preserve">developing </w:t>
      </w:r>
      <w:r w:rsidR="0036439E" w:rsidRPr="003F2CC5">
        <w:rPr>
          <w:sz w:val="24"/>
          <w:szCs w:val="24"/>
        </w:rPr>
        <w:t xml:space="preserve">and strengthening </w:t>
      </w:r>
      <w:r w:rsidR="002F5B00" w:rsidRPr="003F2CC5">
        <w:rPr>
          <w:sz w:val="24"/>
          <w:szCs w:val="24"/>
        </w:rPr>
        <w:t>alternative</w:t>
      </w:r>
      <w:r w:rsidR="00FA595C" w:rsidRPr="003F2CC5">
        <w:rPr>
          <w:sz w:val="24"/>
          <w:szCs w:val="24"/>
        </w:rPr>
        <w:t xml:space="preserve"> remedy mechanisms</w:t>
      </w:r>
      <w:r w:rsidR="0036439E" w:rsidRPr="003F2CC5">
        <w:rPr>
          <w:sz w:val="24"/>
          <w:szCs w:val="24"/>
        </w:rPr>
        <w:t xml:space="preserve"> that provide an alternative to the ‘traditional’ judicial system</w:t>
      </w:r>
      <w:r w:rsidR="00FA595C" w:rsidRPr="003F2CC5">
        <w:rPr>
          <w:sz w:val="24"/>
          <w:szCs w:val="24"/>
        </w:rPr>
        <w:t>;</w:t>
      </w:r>
      <w:r w:rsidR="0036439E" w:rsidRPr="003F2CC5">
        <w:rPr>
          <w:rStyle w:val="EndnoteReference"/>
          <w:rFonts w:eastAsia="MS Mincho"/>
          <w:lang w:eastAsia="en-AU"/>
        </w:rPr>
        <w:endnoteReference w:id="47"/>
      </w:r>
      <w:r w:rsidR="00C613C9" w:rsidRPr="003F2CC5">
        <w:rPr>
          <w:sz w:val="24"/>
          <w:szCs w:val="24"/>
        </w:rPr>
        <w:t xml:space="preserve"> </w:t>
      </w:r>
    </w:p>
    <w:p w14:paraId="0D2A3920" w14:textId="77777777" w:rsidR="00952B9F" w:rsidRDefault="00FA595C" w:rsidP="00952B9F">
      <w:pPr>
        <w:pStyle w:val="aaHRLCBodytextakaNormal"/>
        <w:numPr>
          <w:ilvl w:val="0"/>
          <w:numId w:val="22"/>
        </w:numPr>
        <w:spacing w:line="240" w:lineRule="auto"/>
        <w:rPr>
          <w:sz w:val="24"/>
          <w:szCs w:val="24"/>
        </w:rPr>
      </w:pPr>
      <w:r w:rsidRPr="003F2CC5">
        <w:rPr>
          <w:sz w:val="24"/>
          <w:szCs w:val="24"/>
        </w:rPr>
        <w:lastRenderedPageBreak/>
        <w:t>develops and implements a public education and awareness</w:t>
      </w:r>
      <w:r w:rsidR="00AE36B4" w:rsidRPr="003F2CC5">
        <w:rPr>
          <w:sz w:val="24"/>
          <w:szCs w:val="24"/>
        </w:rPr>
        <w:t>-</w:t>
      </w:r>
      <w:r w:rsidRPr="003F2CC5">
        <w:rPr>
          <w:sz w:val="24"/>
          <w:szCs w:val="24"/>
        </w:rPr>
        <w:t>raising</w:t>
      </w:r>
      <w:r w:rsidR="00AE36B4" w:rsidRPr="003F2CC5">
        <w:rPr>
          <w:sz w:val="24"/>
          <w:szCs w:val="24"/>
        </w:rPr>
        <w:t xml:space="preserve"> program about </w:t>
      </w:r>
      <w:r w:rsidR="00CC38DC" w:rsidRPr="003F2CC5">
        <w:rPr>
          <w:sz w:val="24"/>
          <w:szCs w:val="24"/>
        </w:rPr>
        <w:t xml:space="preserve">the availability of </w:t>
      </w:r>
      <w:r w:rsidR="00AE36B4" w:rsidRPr="003F2CC5">
        <w:rPr>
          <w:sz w:val="24"/>
          <w:szCs w:val="24"/>
        </w:rPr>
        <w:t>business</w:t>
      </w:r>
      <w:r w:rsidR="00CB2DEF">
        <w:rPr>
          <w:sz w:val="24"/>
          <w:szCs w:val="24"/>
        </w:rPr>
        <w:t xml:space="preserve">-related complaints mechanisms, </w:t>
      </w:r>
      <w:r w:rsidR="00AE36B4" w:rsidRPr="003F2CC5">
        <w:rPr>
          <w:sz w:val="24"/>
          <w:szCs w:val="24"/>
        </w:rPr>
        <w:t>with a special f</w:t>
      </w:r>
      <w:r w:rsidR="00CB2DEF">
        <w:rPr>
          <w:sz w:val="24"/>
          <w:szCs w:val="24"/>
        </w:rPr>
        <w:t>ocus on non-judicial mechanisms</w:t>
      </w:r>
      <w:r w:rsidR="00AE36B4" w:rsidRPr="003F2CC5">
        <w:rPr>
          <w:sz w:val="24"/>
          <w:szCs w:val="24"/>
        </w:rPr>
        <w:t>;</w:t>
      </w:r>
      <w:r w:rsidR="00D57E8D" w:rsidRPr="003F2CC5">
        <w:rPr>
          <w:sz w:val="24"/>
          <w:szCs w:val="24"/>
        </w:rPr>
        <w:t xml:space="preserve"> </w:t>
      </w:r>
      <w:r w:rsidR="00C613C9" w:rsidRPr="003F2CC5">
        <w:rPr>
          <w:sz w:val="24"/>
          <w:szCs w:val="24"/>
        </w:rPr>
        <w:t>and</w:t>
      </w:r>
    </w:p>
    <w:p w14:paraId="27DE4470" w14:textId="77777777" w:rsidR="005075EB" w:rsidRPr="00952B9F" w:rsidRDefault="00C3769B" w:rsidP="00952B9F">
      <w:pPr>
        <w:pStyle w:val="aaHRLCBodytextakaNormal"/>
        <w:numPr>
          <w:ilvl w:val="0"/>
          <w:numId w:val="22"/>
        </w:numPr>
        <w:spacing w:line="240" w:lineRule="auto"/>
        <w:rPr>
          <w:sz w:val="24"/>
          <w:szCs w:val="24"/>
        </w:rPr>
      </w:pPr>
      <w:r w:rsidRPr="00952B9F">
        <w:rPr>
          <w:sz w:val="24"/>
          <w:szCs w:val="24"/>
        </w:rPr>
        <w:t>identifies</w:t>
      </w:r>
      <w:r w:rsidR="00D441FA" w:rsidRPr="00952B9F">
        <w:rPr>
          <w:sz w:val="24"/>
          <w:szCs w:val="24"/>
        </w:rPr>
        <w:t xml:space="preserve"> measures to effecti</w:t>
      </w:r>
      <w:r w:rsidR="00CB2DEF">
        <w:rPr>
          <w:sz w:val="24"/>
          <w:szCs w:val="24"/>
        </w:rPr>
        <w:t xml:space="preserve">vely remove or reduce barriers, </w:t>
      </w:r>
      <w:r w:rsidR="00D441FA" w:rsidRPr="00952B9F">
        <w:rPr>
          <w:sz w:val="24"/>
          <w:szCs w:val="24"/>
        </w:rPr>
        <w:t>such as measures to assist finan</w:t>
      </w:r>
      <w:r w:rsidR="00CB2DEF">
        <w:rPr>
          <w:sz w:val="24"/>
          <w:szCs w:val="24"/>
        </w:rPr>
        <w:t>cially disadvantaged claimants</w:t>
      </w:r>
      <w:r w:rsidR="003F2CC5" w:rsidRPr="00952B9F">
        <w:rPr>
          <w:sz w:val="24"/>
          <w:szCs w:val="24"/>
        </w:rPr>
        <w:t>.</w:t>
      </w:r>
      <w:r w:rsidR="00D441FA" w:rsidRPr="003F2CC5">
        <w:rPr>
          <w:rStyle w:val="EndnoteReference"/>
          <w:rFonts w:eastAsia="MS Mincho"/>
          <w:lang w:eastAsia="en-AU"/>
        </w:rPr>
        <w:endnoteReference w:id="48"/>
      </w:r>
    </w:p>
    <w:p w14:paraId="14F43EED" w14:textId="77777777" w:rsidR="00380C71" w:rsidRPr="00717729" w:rsidRDefault="00380C71" w:rsidP="005075EB">
      <w:pPr>
        <w:pStyle w:val="ListParagraph"/>
        <w:spacing w:before="0"/>
      </w:pPr>
    </w:p>
    <w:p w14:paraId="791ED373" w14:textId="77777777" w:rsidR="005B57B8" w:rsidRPr="005B57B8" w:rsidRDefault="00A16FA3" w:rsidP="0010018E">
      <w:pPr>
        <w:pStyle w:val="ListParagraph"/>
        <w:numPr>
          <w:ilvl w:val="2"/>
          <w:numId w:val="15"/>
        </w:numPr>
        <w:rPr>
          <w:rFonts w:cs="Arial"/>
        </w:rPr>
      </w:pPr>
      <w:r w:rsidRPr="00AB0FBE">
        <w:rPr>
          <w:rFonts w:cs="Arial"/>
          <w:b/>
          <w:i/>
        </w:rPr>
        <w:t xml:space="preserve">Australia’s </w:t>
      </w:r>
      <w:r w:rsidR="00BB715A" w:rsidRPr="00AB0FBE">
        <w:rPr>
          <w:rFonts w:cs="Arial"/>
          <w:b/>
          <w:i/>
        </w:rPr>
        <w:t xml:space="preserve">OECD </w:t>
      </w:r>
      <w:r w:rsidR="004A07B2" w:rsidRPr="00AB0FBE">
        <w:rPr>
          <w:rFonts w:cs="Arial"/>
          <w:b/>
          <w:i/>
        </w:rPr>
        <w:t>National Contact Point</w:t>
      </w:r>
    </w:p>
    <w:p w14:paraId="2EA2DC50" w14:textId="77777777" w:rsidR="00762FD9" w:rsidRPr="005B57B8" w:rsidRDefault="005C251A" w:rsidP="005B57B8">
      <w:pPr>
        <w:rPr>
          <w:rFonts w:cs="Arial"/>
        </w:rPr>
      </w:pPr>
      <w:r w:rsidRPr="005B57B8">
        <w:rPr>
          <w:rFonts w:cs="Arial"/>
        </w:rPr>
        <w:t>A k</w:t>
      </w:r>
      <w:r w:rsidR="00275FF1" w:rsidRPr="005B57B8">
        <w:rPr>
          <w:rFonts w:cs="Arial"/>
        </w:rPr>
        <w:t xml:space="preserve">ey </w:t>
      </w:r>
      <w:r w:rsidR="005075EB" w:rsidRPr="005B57B8">
        <w:rPr>
          <w:rFonts w:cs="Arial"/>
        </w:rPr>
        <w:t>civil society priority</w:t>
      </w:r>
      <w:r w:rsidR="00275FF1" w:rsidRPr="005B57B8">
        <w:rPr>
          <w:rFonts w:cs="Arial"/>
        </w:rPr>
        <w:t xml:space="preserve"> is </w:t>
      </w:r>
      <w:r w:rsidRPr="005B57B8">
        <w:rPr>
          <w:rFonts w:cs="Arial"/>
        </w:rPr>
        <w:t xml:space="preserve">the </w:t>
      </w:r>
      <w:r w:rsidR="002C7598" w:rsidRPr="005B57B8">
        <w:rPr>
          <w:rFonts w:cs="Arial"/>
        </w:rPr>
        <w:t>need to</w:t>
      </w:r>
      <w:r w:rsidR="00275FF1" w:rsidRPr="005B57B8">
        <w:rPr>
          <w:rFonts w:cs="Arial"/>
        </w:rPr>
        <w:t xml:space="preserve"> reform the Australian </w:t>
      </w:r>
      <w:r w:rsidR="00CB2DEF">
        <w:rPr>
          <w:rFonts w:cs="Arial"/>
        </w:rPr>
        <w:t xml:space="preserve">OECD </w:t>
      </w:r>
      <w:r w:rsidR="00275FF1" w:rsidRPr="005B57B8">
        <w:rPr>
          <w:rFonts w:cs="Arial"/>
        </w:rPr>
        <w:t>N</w:t>
      </w:r>
      <w:r w:rsidR="002C7598" w:rsidRPr="005B57B8">
        <w:rPr>
          <w:rFonts w:cs="Arial"/>
        </w:rPr>
        <w:t xml:space="preserve">ational </w:t>
      </w:r>
      <w:r w:rsidR="00275FF1" w:rsidRPr="005B57B8">
        <w:rPr>
          <w:rFonts w:cs="Arial"/>
        </w:rPr>
        <w:t>C</w:t>
      </w:r>
      <w:r w:rsidR="002C7598" w:rsidRPr="005B57B8">
        <w:rPr>
          <w:rFonts w:cs="Arial"/>
        </w:rPr>
        <w:t xml:space="preserve">ontact </w:t>
      </w:r>
      <w:r w:rsidR="00275FF1" w:rsidRPr="005B57B8">
        <w:rPr>
          <w:rFonts w:cs="Arial"/>
        </w:rPr>
        <w:t>P</w:t>
      </w:r>
      <w:r w:rsidR="002C7598" w:rsidRPr="005B57B8">
        <w:rPr>
          <w:rFonts w:cs="Arial"/>
        </w:rPr>
        <w:t>oint</w:t>
      </w:r>
      <w:r w:rsidR="0010018E" w:rsidRPr="005B57B8">
        <w:rPr>
          <w:rFonts w:cs="Arial"/>
        </w:rPr>
        <w:t xml:space="preserve"> </w:t>
      </w:r>
      <w:r w:rsidR="00A16FA3" w:rsidRPr="005B57B8">
        <w:rPr>
          <w:rFonts w:cs="Arial"/>
        </w:rPr>
        <w:t>(AusNCP)</w:t>
      </w:r>
      <w:r w:rsidR="00CB2DEF">
        <w:rPr>
          <w:rFonts w:cs="Arial"/>
        </w:rPr>
        <w:t xml:space="preserve"> in terms of </w:t>
      </w:r>
      <w:r w:rsidR="005075EB" w:rsidRPr="005B57B8">
        <w:rPr>
          <w:rFonts w:cs="Arial"/>
        </w:rPr>
        <w:t>its</w:t>
      </w:r>
      <w:r w:rsidR="00A16FA3" w:rsidRPr="005B57B8">
        <w:rPr>
          <w:rFonts w:cs="Arial"/>
        </w:rPr>
        <w:t xml:space="preserve"> </w:t>
      </w:r>
      <w:r w:rsidR="0010018E" w:rsidRPr="005B57B8">
        <w:rPr>
          <w:rFonts w:cs="Arial"/>
        </w:rPr>
        <w:t>resourcing and functionality</w:t>
      </w:r>
      <w:r w:rsidR="00275FF1" w:rsidRPr="005B57B8">
        <w:rPr>
          <w:rFonts w:cs="Arial"/>
        </w:rPr>
        <w:t>.</w:t>
      </w:r>
    </w:p>
    <w:p w14:paraId="38EAB484" w14:textId="77777777" w:rsidR="00D8096B" w:rsidRDefault="00FC2309" w:rsidP="00762FD9">
      <w:pPr>
        <w:rPr>
          <w:rFonts w:cs="Arial"/>
        </w:rPr>
      </w:pPr>
      <w:r>
        <w:rPr>
          <w:rFonts w:cs="Arial"/>
        </w:rPr>
        <w:t xml:space="preserve">The OECD Guidelines on Multinational Enterprises </w:t>
      </w:r>
      <w:r w:rsidR="00A136D2">
        <w:rPr>
          <w:rFonts w:cs="Arial"/>
        </w:rPr>
        <w:t xml:space="preserve">(MNE) </w:t>
      </w:r>
      <w:r>
        <w:rPr>
          <w:rFonts w:cs="Arial"/>
        </w:rPr>
        <w:t>(the Guidelines)</w:t>
      </w:r>
      <w:r w:rsidR="00AE789F" w:rsidRPr="00AE789F">
        <w:rPr>
          <w:rFonts w:cs="Arial"/>
        </w:rPr>
        <w:t xml:space="preserve"> </w:t>
      </w:r>
      <w:r w:rsidR="00AE789F">
        <w:rPr>
          <w:rFonts w:cs="Arial"/>
        </w:rPr>
        <w:t xml:space="preserve">provide </w:t>
      </w:r>
      <w:r w:rsidR="00A6370B">
        <w:rPr>
          <w:rFonts w:cs="Arial"/>
        </w:rPr>
        <w:t xml:space="preserve">government-backed </w:t>
      </w:r>
      <w:r w:rsidR="00AE789F" w:rsidRPr="00AE789F">
        <w:rPr>
          <w:rFonts w:cs="Arial"/>
        </w:rPr>
        <w:t xml:space="preserve">recommendations </w:t>
      </w:r>
      <w:r w:rsidR="00AE789F">
        <w:rPr>
          <w:rFonts w:cs="Arial"/>
        </w:rPr>
        <w:t xml:space="preserve">for </w:t>
      </w:r>
      <w:r w:rsidR="00E15142">
        <w:rPr>
          <w:rFonts w:cs="Arial"/>
        </w:rPr>
        <w:t xml:space="preserve">the </w:t>
      </w:r>
      <w:r w:rsidR="00AE789F" w:rsidRPr="00AE789F">
        <w:rPr>
          <w:rFonts w:cs="Arial"/>
        </w:rPr>
        <w:t xml:space="preserve">responsible business conduct </w:t>
      </w:r>
      <w:r w:rsidR="00E15142">
        <w:rPr>
          <w:rFonts w:cs="Arial"/>
        </w:rPr>
        <w:t>of</w:t>
      </w:r>
      <w:r w:rsidR="00AE789F" w:rsidRPr="00AE789F">
        <w:rPr>
          <w:rFonts w:cs="Arial"/>
        </w:rPr>
        <w:t xml:space="preserve"> multinational corporations</w:t>
      </w:r>
      <w:r w:rsidR="007F2D0D">
        <w:rPr>
          <w:rFonts w:cs="Arial"/>
        </w:rPr>
        <w:t xml:space="preserve"> in countries adhering to the Guidelines</w:t>
      </w:r>
      <w:r w:rsidR="00AE789F">
        <w:rPr>
          <w:rFonts w:cs="Arial"/>
        </w:rPr>
        <w:t xml:space="preserve">. They cover a </w:t>
      </w:r>
      <w:r w:rsidR="00D8096B">
        <w:rPr>
          <w:rFonts w:cs="Arial"/>
        </w:rPr>
        <w:t xml:space="preserve">broad </w:t>
      </w:r>
      <w:r w:rsidR="00AE789F">
        <w:rPr>
          <w:rFonts w:cs="Arial"/>
        </w:rPr>
        <w:t xml:space="preserve">range of </w:t>
      </w:r>
      <w:r w:rsidR="00D277B1">
        <w:rPr>
          <w:rFonts w:cs="Arial"/>
        </w:rPr>
        <w:t>areas relating to business ethics</w:t>
      </w:r>
      <w:r w:rsidR="00AE789F">
        <w:rPr>
          <w:rFonts w:cs="Arial"/>
        </w:rPr>
        <w:t xml:space="preserve">, including human </w:t>
      </w:r>
      <w:r w:rsidR="00846A35">
        <w:rPr>
          <w:rFonts w:cs="Arial"/>
        </w:rPr>
        <w:t xml:space="preserve">and labour </w:t>
      </w:r>
      <w:r w:rsidR="00AE789F">
        <w:rPr>
          <w:rFonts w:cs="Arial"/>
        </w:rPr>
        <w:t>rights</w:t>
      </w:r>
      <w:r w:rsidR="00846A35">
        <w:rPr>
          <w:rFonts w:cs="Arial"/>
        </w:rPr>
        <w:t>, disclosure</w:t>
      </w:r>
      <w:r w:rsidR="000D61AA">
        <w:rPr>
          <w:rFonts w:cs="Arial"/>
        </w:rPr>
        <w:t>, taxation</w:t>
      </w:r>
      <w:r w:rsidR="00846A35">
        <w:rPr>
          <w:rFonts w:cs="Arial"/>
        </w:rPr>
        <w:t xml:space="preserve"> and the environment</w:t>
      </w:r>
      <w:r w:rsidR="00D8096B">
        <w:rPr>
          <w:rFonts w:cs="Arial"/>
        </w:rPr>
        <w:t xml:space="preserve">. The Guidelines </w:t>
      </w:r>
      <w:r>
        <w:rPr>
          <w:rFonts w:cs="Arial"/>
        </w:rPr>
        <w:t xml:space="preserve">have been endorsed by the </w:t>
      </w:r>
      <w:r w:rsidR="00D13338">
        <w:t>Australian</w:t>
      </w:r>
      <w:r w:rsidR="00D13338">
        <w:rPr>
          <w:rFonts w:cs="Arial"/>
        </w:rPr>
        <w:t xml:space="preserve"> </w:t>
      </w:r>
      <w:r>
        <w:rPr>
          <w:rFonts w:cs="Arial"/>
        </w:rPr>
        <w:t>Government.</w:t>
      </w:r>
      <w:r w:rsidR="00DA6B37">
        <w:rPr>
          <w:rFonts w:cs="Arial"/>
        </w:rPr>
        <w:t xml:space="preserve"> </w:t>
      </w:r>
    </w:p>
    <w:p w14:paraId="1F1C026C" w14:textId="77777777" w:rsidR="00646506" w:rsidRPr="00241685" w:rsidRDefault="00D8096B" w:rsidP="00762FD9">
      <w:pPr>
        <w:rPr>
          <w:rFonts w:cs="Arial"/>
          <w:lang w:val="en"/>
        </w:rPr>
      </w:pPr>
      <w:r>
        <w:rPr>
          <w:rFonts w:cs="Arial"/>
        </w:rPr>
        <w:t>A</w:t>
      </w:r>
      <w:r w:rsidR="00E94A23">
        <w:rPr>
          <w:rFonts w:cs="Arial"/>
        </w:rPr>
        <w:t xml:space="preserve"> potentially significant</w:t>
      </w:r>
      <w:r w:rsidR="005668FF">
        <w:rPr>
          <w:rFonts w:cs="Arial"/>
        </w:rPr>
        <w:t xml:space="preserve"> grievance mechanism</w:t>
      </w:r>
      <w:r w:rsidR="002C7598">
        <w:rPr>
          <w:rFonts w:cs="Arial"/>
        </w:rPr>
        <w:t xml:space="preserve"> for victims of business-related human rights abuse</w:t>
      </w:r>
      <w:r w:rsidR="00626548">
        <w:rPr>
          <w:rFonts w:cs="Arial"/>
        </w:rPr>
        <w:t xml:space="preserve"> </w:t>
      </w:r>
      <w:r>
        <w:rPr>
          <w:rFonts w:cs="Arial"/>
        </w:rPr>
        <w:t>is provided by the Guidelines in the form of</w:t>
      </w:r>
      <w:r w:rsidR="00D929DD">
        <w:rPr>
          <w:rFonts w:cs="Arial"/>
        </w:rPr>
        <w:t xml:space="preserve"> the National Contact Point </w:t>
      </w:r>
      <w:r w:rsidR="00762FD9">
        <w:rPr>
          <w:rFonts w:cs="Arial"/>
        </w:rPr>
        <w:t xml:space="preserve">(NCP) </w:t>
      </w:r>
      <w:r w:rsidR="00D929DD">
        <w:rPr>
          <w:rFonts w:cs="Arial"/>
        </w:rPr>
        <w:t>complaints mechanism</w:t>
      </w:r>
      <w:r w:rsidR="005668FF">
        <w:rPr>
          <w:rFonts w:cs="Arial"/>
        </w:rPr>
        <w:t xml:space="preserve">. </w:t>
      </w:r>
      <w:r w:rsidR="00194633">
        <w:rPr>
          <w:rFonts w:cs="Arial"/>
        </w:rPr>
        <w:t xml:space="preserve">An NCP is the </w:t>
      </w:r>
      <w:r w:rsidR="00194633" w:rsidRPr="00194633">
        <w:rPr>
          <w:rFonts w:cs="Arial"/>
          <w:lang w:val="en"/>
        </w:rPr>
        <w:t xml:space="preserve">entity responsible for </w:t>
      </w:r>
      <w:r w:rsidR="00194633">
        <w:rPr>
          <w:rFonts w:cs="Arial"/>
          <w:lang w:val="en"/>
        </w:rPr>
        <w:t>promoti</w:t>
      </w:r>
      <w:r w:rsidR="00194633" w:rsidRPr="00194633">
        <w:rPr>
          <w:rFonts w:cs="Arial"/>
          <w:lang w:val="en"/>
        </w:rPr>
        <w:t>n</w:t>
      </w:r>
      <w:r w:rsidR="00194633">
        <w:rPr>
          <w:rFonts w:cs="Arial"/>
          <w:lang w:val="en"/>
        </w:rPr>
        <w:t>g</w:t>
      </w:r>
      <w:r w:rsidR="00194633" w:rsidRPr="00194633">
        <w:rPr>
          <w:rFonts w:cs="Arial"/>
          <w:lang w:val="en"/>
        </w:rPr>
        <w:t xml:space="preserve"> the Guidelines on a national level</w:t>
      </w:r>
      <w:r w:rsidR="00194633">
        <w:rPr>
          <w:rFonts w:cs="Arial"/>
          <w:lang w:val="en"/>
        </w:rPr>
        <w:t xml:space="preserve"> within a country</w:t>
      </w:r>
      <w:r w:rsidR="00194633" w:rsidRPr="00194633">
        <w:rPr>
          <w:rFonts w:cs="Arial"/>
          <w:lang w:val="en"/>
        </w:rPr>
        <w:t>. It handles enquiries and matters r</w:t>
      </w:r>
      <w:r w:rsidR="00194633">
        <w:rPr>
          <w:rFonts w:cs="Arial"/>
          <w:lang w:val="en"/>
        </w:rPr>
        <w:t>elated to the Guidelines</w:t>
      </w:r>
      <w:r w:rsidR="00194633" w:rsidRPr="00194633">
        <w:rPr>
          <w:rFonts w:cs="Arial"/>
          <w:lang w:val="en"/>
        </w:rPr>
        <w:t xml:space="preserve">, including </w:t>
      </w:r>
      <w:r w:rsidR="00194633">
        <w:rPr>
          <w:rFonts w:cs="Arial"/>
          <w:lang w:val="en"/>
        </w:rPr>
        <w:t>investigating complaints about companies</w:t>
      </w:r>
      <w:r w:rsidR="00194633" w:rsidRPr="00194633">
        <w:rPr>
          <w:rFonts w:cs="Arial"/>
          <w:lang w:val="en"/>
        </w:rPr>
        <w:t xml:space="preserve"> operating, or headquartered</w:t>
      </w:r>
      <w:r w:rsidR="00DF2DF5">
        <w:rPr>
          <w:rFonts w:cs="Arial"/>
          <w:lang w:val="en"/>
        </w:rPr>
        <w:t>,</w:t>
      </w:r>
      <w:r w:rsidR="00194633" w:rsidRPr="00194633">
        <w:rPr>
          <w:rFonts w:cs="Arial"/>
          <w:lang w:val="en"/>
        </w:rPr>
        <w:t xml:space="preserve"> in </w:t>
      </w:r>
      <w:r w:rsidR="005D5310">
        <w:rPr>
          <w:rFonts w:cs="Arial"/>
          <w:lang w:val="en"/>
        </w:rPr>
        <w:t>its</w:t>
      </w:r>
      <w:r w:rsidR="00194633" w:rsidRPr="00194633">
        <w:rPr>
          <w:rFonts w:cs="Arial"/>
          <w:lang w:val="en"/>
        </w:rPr>
        <w:t xml:space="preserve"> country</w:t>
      </w:r>
      <w:r w:rsidR="00194633">
        <w:rPr>
          <w:rFonts w:cs="Arial"/>
          <w:lang w:val="en"/>
        </w:rPr>
        <w:t>.</w:t>
      </w:r>
      <w:r w:rsidR="00846A35">
        <w:rPr>
          <w:rFonts w:cs="Arial"/>
          <w:lang w:val="en"/>
        </w:rPr>
        <w:t xml:space="preserve"> </w:t>
      </w:r>
    </w:p>
    <w:p w14:paraId="1095B43E" w14:textId="77777777" w:rsidR="009475CC" w:rsidRDefault="007D3C42" w:rsidP="009A2E88">
      <w:pPr>
        <w:rPr>
          <w:rFonts w:cs="Arial"/>
        </w:rPr>
      </w:pPr>
      <w:r>
        <w:rPr>
          <w:rFonts w:cs="Arial"/>
        </w:rPr>
        <w:t>As noted, c</w:t>
      </w:r>
      <w:r w:rsidR="00E76390" w:rsidRPr="00C11C9D">
        <w:rPr>
          <w:rFonts w:cs="Arial"/>
        </w:rPr>
        <w:t xml:space="preserve">onsiderable hurdles </w:t>
      </w:r>
      <w:r w:rsidR="00E76390">
        <w:rPr>
          <w:rFonts w:cs="Arial"/>
        </w:rPr>
        <w:t xml:space="preserve">exist to </w:t>
      </w:r>
      <w:r w:rsidR="00E76390" w:rsidRPr="00C11C9D">
        <w:rPr>
          <w:rFonts w:cs="Arial"/>
        </w:rPr>
        <w:t>access</w:t>
      </w:r>
      <w:r w:rsidR="00E76390">
        <w:rPr>
          <w:rFonts w:cs="Arial"/>
        </w:rPr>
        <w:t>ing</w:t>
      </w:r>
      <w:r w:rsidR="00E76390" w:rsidRPr="00C11C9D">
        <w:rPr>
          <w:rFonts w:cs="Arial"/>
        </w:rPr>
        <w:t xml:space="preserve"> justice via </w:t>
      </w:r>
      <w:r w:rsidR="009475CC">
        <w:rPr>
          <w:rFonts w:cs="Arial"/>
        </w:rPr>
        <w:t xml:space="preserve">the </w:t>
      </w:r>
      <w:r w:rsidR="00E76390" w:rsidRPr="00C11C9D">
        <w:rPr>
          <w:rFonts w:cs="Arial"/>
        </w:rPr>
        <w:t xml:space="preserve">judicial </w:t>
      </w:r>
      <w:r w:rsidR="00A136D2">
        <w:rPr>
          <w:rFonts w:cs="Arial"/>
        </w:rPr>
        <w:t>sys</w:t>
      </w:r>
      <w:r w:rsidR="009475CC">
        <w:rPr>
          <w:rFonts w:cs="Arial"/>
        </w:rPr>
        <w:t>tem</w:t>
      </w:r>
      <w:r w:rsidR="00E76390">
        <w:rPr>
          <w:rFonts w:cs="Arial"/>
        </w:rPr>
        <w:t xml:space="preserve"> in cases of business-related human rights abuse. </w:t>
      </w:r>
      <w:r w:rsidR="00094A8D">
        <w:rPr>
          <w:rFonts w:cs="Arial"/>
        </w:rPr>
        <w:t xml:space="preserve">The NCP complaints </w:t>
      </w:r>
      <w:r w:rsidR="00BA33A4">
        <w:rPr>
          <w:rFonts w:cs="Arial"/>
        </w:rPr>
        <w:t>system</w:t>
      </w:r>
      <w:r w:rsidR="00094A8D">
        <w:rPr>
          <w:rFonts w:cs="Arial"/>
        </w:rPr>
        <w:t xml:space="preserve"> potentially offers a number of benefits as an alternative </w:t>
      </w:r>
      <w:r w:rsidR="00626548">
        <w:rPr>
          <w:rFonts w:cs="Arial"/>
        </w:rPr>
        <w:t xml:space="preserve">method of </w:t>
      </w:r>
      <w:r w:rsidR="00094A8D">
        <w:rPr>
          <w:rFonts w:cs="Arial"/>
        </w:rPr>
        <w:t xml:space="preserve">dispute settlement. </w:t>
      </w:r>
      <w:r w:rsidR="00846A35">
        <w:rPr>
          <w:rFonts w:cs="Arial"/>
        </w:rPr>
        <w:t xml:space="preserve">As </w:t>
      </w:r>
      <w:r w:rsidR="00846A35">
        <w:rPr>
          <w:rFonts w:cs="Arial"/>
          <w:lang w:val="en"/>
        </w:rPr>
        <w:t xml:space="preserve">a State-based non-judicial grievance mechanism, </w:t>
      </w:r>
      <w:r w:rsidR="00846A35">
        <w:rPr>
          <w:rFonts w:cs="Arial"/>
        </w:rPr>
        <w:t>i</w:t>
      </w:r>
      <w:r w:rsidR="00094A8D">
        <w:rPr>
          <w:rFonts w:cs="Arial"/>
        </w:rPr>
        <w:t xml:space="preserve">t represents a consensual and non-adversarial method of dispute resolution which is potentially cheaper </w:t>
      </w:r>
      <w:r w:rsidR="00A26D9E">
        <w:rPr>
          <w:rFonts w:cs="Arial"/>
        </w:rPr>
        <w:t xml:space="preserve">and </w:t>
      </w:r>
      <w:r w:rsidR="00094A8D">
        <w:rPr>
          <w:rFonts w:cs="Arial"/>
        </w:rPr>
        <w:t xml:space="preserve">faster than </w:t>
      </w:r>
      <w:r w:rsidR="00453411">
        <w:rPr>
          <w:rFonts w:cs="Arial"/>
        </w:rPr>
        <w:t>more formal legal</w:t>
      </w:r>
      <w:r w:rsidR="00094A8D">
        <w:rPr>
          <w:rFonts w:cs="Arial"/>
        </w:rPr>
        <w:t xml:space="preserve"> proceedings. </w:t>
      </w:r>
      <w:r w:rsidR="000B7F22">
        <w:rPr>
          <w:rFonts w:cs="Arial"/>
        </w:rPr>
        <w:t xml:space="preserve">As NCPs are not limited to considering negative human rights impacts occurring within their borders, the complaints system offers a valuable tool for tackling global </w:t>
      </w:r>
      <w:r w:rsidR="00620FD4">
        <w:rPr>
          <w:rFonts w:cs="Arial"/>
        </w:rPr>
        <w:t>human rights issues</w:t>
      </w:r>
      <w:r w:rsidR="00C85F0F">
        <w:rPr>
          <w:rFonts w:cs="Arial"/>
        </w:rPr>
        <w:t>,</w:t>
      </w:r>
      <w:r w:rsidR="00AA7BA4">
        <w:rPr>
          <w:rFonts w:cs="Arial"/>
        </w:rPr>
        <w:t xml:space="preserve"> </w:t>
      </w:r>
      <w:r w:rsidR="00620FD4">
        <w:rPr>
          <w:rFonts w:cs="Arial"/>
        </w:rPr>
        <w:t xml:space="preserve">such as those arising in transnational </w:t>
      </w:r>
      <w:r w:rsidR="000B7F22">
        <w:rPr>
          <w:rFonts w:cs="Arial"/>
        </w:rPr>
        <w:t>supply chain</w:t>
      </w:r>
      <w:r w:rsidR="00620FD4">
        <w:rPr>
          <w:rFonts w:cs="Arial"/>
        </w:rPr>
        <w:t>s</w:t>
      </w:r>
      <w:r w:rsidR="000B7F22">
        <w:rPr>
          <w:rFonts w:cs="Arial"/>
        </w:rPr>
        <w:t>.</w:t>
      </w:r>
    </w:p>
    <w:p w14:paraId="5A305B2E" w14:textId="77777777" w:rsidR="005668FF" w:rsidRDefault="00B933C4" w:rsidP="009A2E88">
      <w:pPr>
        <w:rPr>
          <w:rFonts w:cs="Arial"/>
        </w:rPr>
      </w:pPr>
      <w:r>
        <w:rPr>
          <w:rFonts w:cs="Arial"/>
        </w:rPr>
        <w:t>T</w:t>
      </w:r>
      <w:r w:rsidR="00A26D9E">
        <w:rPr>
          <w:rFonts w:cs="Arial"/>
        </w:rPr>
        <w:t>he Aus</w:t>
      </w:r>
      <w:r w:rsidR="005668FF">
        <w:rPr>
          <w:rFonts w:cs="Arial"/>
        </w:rPr>
        <w:t>NCP</w:t>
      </w:r>
      <w:r w:rsidR="003311E1">
        <w:rPr>
          <w:rFonts w:cs="Arial"/>
        </w:rPr>
        <w:t xml:space="preserve"> </w:t>
      </w:r>
      <w:r>
        <w:rPr>
          <w:rFonts w:cs="Arial"/>
        </w:rPr>
        <w:t>requires adequate funding and resourcing with staff holding relevant human rights qualifications and experience</w:t>
      </w:r>
      <w:r w:rsidR="00E82F89">
        <w:rPr>
          <w:rFonts w:cs="Arial"/>
        </w:rPr>
        <w:t>. It also requires greater independence</w:t>
      </w:r>
      <w:r>
        <w:rPr>
          <w:rFonts w:cs="Arial"/>
        </w:rPr>
        <w:t xml:space="preserve"> </w:t>
      </w:r>
      <w:r w:rsidR="00E82F89">
        <w:rPr>
          <w:rFonts w:cs="Arial"/>
        </w:rPr>
        <w:t xml:space="preserve">from the government </w:t>
      </w:r>
      <w:r w:rsidR="003D1EE2">
        <w:rPr>
          <w:rFonts w:cs="Arial"/>
        </w:rPr>
        <w:t xml:space="preserve">to enable it to function as an effective </w:t>
      </w:r>
      <w:r w:rsidR="005668FF">
        <w:rPr>
          <w:rFonts w:cs="Arial"/>
        </w:rPr>
        <w:t>complaint</w:t>
      </w:r>
      <w:r w:rsidR="007D3C42">
        <w:rPr>
          <w:rFonts w:cs="Arial"/>
        </w:rPr>
        <w:t>s</w:t>
      </w:r>
      <w:r w:rsidR="005668FF">
        <w:rPr>
          <w:rFonts w:cs="Arial"/>
        </w:rPr>
        <w:t xml:space="preserve"> </w:t>
      </w:r>
      <w:r w:rsidR="007D3C42">
        <w:rPr>
          <w:rFonts w:cs="Arial"/>
        </w:rPr>
        <w:t xml:space="preserve">handling </w:t>
      </w:r>
      <w:r w:rsidR="005668FF">
        <w:rPr>
          <w:rFonts w:cs="Arial"/>
        </w:rPr>
        <w:t>procedu</w:t>
      </w:r>
      <w:r w:rsidR="00A26D9E">
        <w:rPr>
          <w:rFonts w:cs="Arial"/>
        </w:rPr>
        <w:t xml:space="preserve">re. </w:t>
      </w:r>
      <w:r w:rsidR="00764F94">
        <w:rPr>
          <w:rFonts w:cs="Arial"/>
        </w:rPr>
        <w:t xml:space="preserve">It represents a key factor in </w:t>
      </w:r>
      <w:r w:rsidR="00D32915">
        <w:rPr>
          <w:rFonts w:cs="Arial"/>
        </w:rPr>
        <w:t>Australia’s implementation of the UNGPs</w:t>
      </w:r>
      <w:r w:rsidR="00764F94">
        <w:rPr>
          <w:rFonts w:cs="Arial"/>
        </w:rPr>
        <w:t xml:space="preserve"> and</w:t>
      </w:r>
      <w:r w:rsidR="004208A7">
        <w:rPr>
          <w:rFonts w:cs="Arial"/>
        </w:rPr>
        <w:t>, as such,</w:t>
      </w:r>
      <w:r w:rsidR="00764F94">
        <w:rPr>
          <w:rFonts w:cs="Arial"/>
        </w:rPr>
        <w:t xml:space="preserve"> should be </w:t>
      </w:r>
      <w:r w:rsidR="00352F75">
        <w:rPr>
          <w:rFonts w:cs="Arial"/>
        </w:rPr>
        <w:t xml:space="preserve">reformed, </w:t>
      </w:r>
      <w:r w:rsidR="00764F94">
        <w:rPr>
          <w:rFonts w:cs="Arial"/>
        </w:rPr>
        <w:t>strengthe</w:t>
      </w:r>
      <w:r w:rsidR="00B0556D">
        <w:rPr>
          <w:rFonts w:cs="Arial"/>
        </w:rPr>
        <w:t>ne</w:t>
      </w:r>
      <w:r w:rsidR="00764F94">
        <w:rPr>
          <w:rFonts w:cs="Arial"/>
        </w:rPr>
        <w:t xml:space="preserve">d and </w:t>
      </w:r>
      <w:r w:rsidR="00352F75">
        <w:rPr>
          <w:rFonts w:cs="Arial"/>
        </w:rPr>
        <w:t xml:space="preserve">better </w:t>
      </w:r>
      <w:r w:rsidR="00764F94">
        <w:rPr>
          <w:rFonts w:cs="Arial"/>
        </w:rPr>
        <w:t>supported</w:t>
      </w:r>
      <w:r w:rsidR="00040A8D" w:rsidRPr="00040A8D">
        <w:rPr>
          <w:rFonts w:cs="Arial"/>
        </w:rPr>
        <w:t xml:space="preserve"> </w:t>
      </w:r>
      <w:r w:rsidR="00CF79BF">
        <w:rPr>
          <w:rFonts w:cs="Arial"/>
        </w:rPr>
        <w:t>i</w:t>
      </w:r>
      <w:r w:rsidR="00352F75">
        <w:rPr>
          <w:rFonts w:cs="Arial"/>
        </w:rPr>
        <w:t xml:space="preserve">n order </w:t>
      </w:r>
      <w:r w:rsidR="00040A8D">
        <w:rPr>
          <w:rFonts w:cs="Arial"/>
        </w:rPr>
        <w:t>to enhance its functionality and help realise its potential</w:t>
      </w:r>
      <w:r w:rsidR="00CF79BF">
        <w:rPr>
          <w:rFonts w:cs="Arial"/>
        </w:rPr>
        <w:t xml:space="preserve"> as a non-judicial complaints mechanism </w:t>
      </w:r>
      <w:r w:rsidR="00626548">
        <w:rPr>
          <w:rFonts w:cs="Arial"/>
        </w:rPr>
        <w:t>in</w:t>
      </w:r>
      <w:r w:rsidR="001C7837">
        <w:rPr>
          <w:rFonts w:cs="Arial"/>
        </w:rPr>
        <w:t xml:space="preserve"> cases of</w:t>
      </w:r>
      <w:r w:rsidR="00CF79BF">
        <w:rPr>
          <w:rFonts w:cs="Arial"/>
        </w:rPr>
        <w:t xml:space="preserve"> business-related human rights abuse</w:t>
      </w:r>
      <w:r w:rsidR="005668FF">
        <w:rPr>
          <w:rFonts w:cs="Arial"/>
        </w:rPr>
        <w:t>.</w:t>
      </w:r>
      <w:r w:rsidR="00CB2B9E">
        <w:rPr>
          <w:rStyle w:val="EndnoteReference"/>
          <w:rFonts w:cs="Arial"/>
        </w:rPr>
        <w:endnoteReference w:id="49"/>
      </w:r>
    </w:p>
    <w:p w14:paraId="0C26D772" w14:textId="77777777" w:rsidR="00241685" w:rsidRDefault="00241685" w:rsidP="009A2E88">
      <w:pPr>
        <w:rPr>
          <w:rFonts w:cs="Arial"/>
        </w:rPr>
      </w:pPr>
      <w:r w:rsidRPr="00C11C9D">
        <w:rPr>
          <w:rFonts w:cs="Arial"/>
        </w:rPr>
        <w:t>In 2015, G7 leaders committed to strengthening mechanisms for providing access to remedies through NCPs, by encouraging OECD promotion of peer reviews and ensuring their own NCPs ‘</w:t>
      </w:r>
      <w:r w:rsidRPr="00C11C9D">
        <w:rPr>
          <w:rFonts w:cs="Arial"/>
          <w:i/>
          <w:lang w:val="en-US"/>
        </w:rPr>
        <w:t>are effective and lead by example</w:t>
      </w:r>
      <w:r>
        <w:rPr>
          <w:rFonts w:cs="Arial"/>
          <w:i/>
          <w:lang w:val="en-US"/>
        </w:rPr>
        <w:t>’.</w:t>
      </w:r>
      <w:r w:rsidRPr="00154E15">
        <w:rPr>
          <w:rStyle w:val="EndnoteReference"/>
          <w:rFonts w:cs="Arial"/>
          <w:lang w:val="en-US"/>
        </w:rPr>
        <w:endnoteReference w:id="50"/>
      </w:r>
      <w:r w:rsidRPr="00154E15">
        <w:rPr>
          <w:rFonts w:cs="Arial"/>
          <w:lang w:val="en-US"/>
        </w:rPr>
        <w:t xml:space="preserve"> </w:t>
      </w:r>
      <w:r>
        <w:rPr>
          <w:rFonts w:cs="Arial"/>
          <w:lang w:val="en-US"/>
        </w:rPr>
        <w:t>Civil society would welcome the demonstration of s</w:t>
      </w:r>
      <w:r w:rsidRPr="00C11C9D">
        <w:rPr>
          <w:rFonts w:cs="Arial"/>
          <w:lang w:val="en-US"/>
        </w:rPr>
        <w:t xml:space="preserve">imilar leadership </w:t>
      </w:r>
      <w:r w:rsidR="00D13338">
        <w:rPr>
          <w:rFonts w:cs="Arial"/>
          <w:lang w:val="en-US"/>
        </w:rPr>
        <w:t>by our g</w:t>
      </w:r>
      <w:r>
        <w:rPr>
          <w:rFonts w:cs="Arial"/>
          <w:lang w:val="en-US"/>
        </w:rPr>
        <w:t xml:space="preserve">overnment and a reform program for </w:t>
      </w:r>
      <w:r w:rsidRPr="00C11C9D">
        <w:rPr>
          <w:rFonts w:cs="Arial"/>
          <w:lang w:val="en-US"/>
        </w:rPr>
        <w:t>the AusNCP</w:t>
      </w:r>
      <w:r>
        <w:rPr>
          <w:rFonts w:cs="Arial"/>
          <w:lang w:val="en-US"/>
        </w:rPr>
        <w:t>.</w:t>
      </w:r>
    </w:p>
    <w:p w14:paraId="4923DAD3" w14:textId="77777777" w:rsidR="00B642EC" w:rsidRPr="00C11C9D" w:rsidRDefault="00B642EC" w:rsidP="009A2E88">
      <w:pPr>
        <w:rPr>
          <w:rFonts w:eastAsia="Times New Roman" w:cs="Arial"/>
          <w:lang w:val="en-US"/>
        </w:rPr>
      </w:pPr>
      <w:r>
        <w:rPr>
          <w:rFonts w:cs="Arial"/>
          <w:lang w:val="en-US"/>
        </w:rPr>
        <w:t>More specifically, it is recommended that</w:t>
      </w:r>
      <w:r w:rsidR="00515B0A">
        <w:rPr>
          <w:rFonts w:cs="Arial"/>
          <w:lang w:val="en-US"/>
        </w:rPr>
        <w:t xml:space="preserve"> the </w:t>
      </w:r>
      <w:r w:rsidR="00D13338">
        <w:t>Australian</w:t>
      </w:r>
      <w:r w:rsidR="00D13338">
        <w:rPr>
          <w:rFonts w:cs="Arial"/>
        </w:rPr>
        <w:t xml:space="preserve"> </w:t>
      </w:r>
      <w:r w:rsidR="00515B0A">
        <w:rPr>
          <w:rFonts w:cs="Arial"/>
          <w:lang w:val="en-US"/>
        </w:rPr>
        <w:t>Government</w:t>
      </w:r>
      <w:r>
        <w:rPr>
          <w:rFonts w:cs="Arial"/>
          <w:lang w:val="en-US"/>
        </w:rPr>
        <w:t>:</w:t>
      </w:r>
    </w:p>
    <w:p w14:paraId="7F8EA325" w14:textId="77777777" w:rsidR="0073123E" w:rsidRDefault="0073123E" w:rsidP="00154E15">
      <w:pPr>
        <w:pStyle w:val="aaHRLCBodytextakaNormal"/>
        <w:numPr>
          <w:ilvl w:val="0"/>
          <w:numId w:val="22"/>
        </w:numPr>
        <w:spacing w:line="240" w:lineRule="auto"/>
        <w:rPr>
          <w:sz w:val="24"/>
          <w:szCs w:val="24"/>
        </w:rPr>
      </w:pPr>
      <w:bookmarkStart w:id="131" w:name="_Toc454973553"/>
      <w:r>
        <w:rPr>
          <w:sz w:val="24"/>
          <w:szCs w:val="24"/>
        </w:rPr>
        <w:t xml:space="preserve">undertakes a comprehensive review of the </w:t>
      </w:r>
      <w:r w:rsidR="007D3C42">
        <w:rPr>
          <w:sz w:val="24"/>
          <w:szCs w:val="24"/>
        </w:rPr>
        <w:t>Aus</w:t>
      </w:r>
      <w:r>
        <w:rPr>
          <w:sz w:val="24"/>
          <w:szCs w:val="24"/>
        </w:rPr>
        <w:t>NCP in the NBA;</w:t>
      </w:r>
    </w:p>
    <w:p w14:paraId="1E15C21F" w14:textId="77777777" w:rsidR="006119D3" w:rsidRPr="00154E15" w:rsidRDefault="0073123E" w:rsidP="00154E15">
      <w:pPr>
        <w:pStyle w:val="aaHRLCBodytextakaNormal"/>
        <w:numPr>
          <w:ilvl w:val="0"/>
          <w:numId w:val="22"/>
        </w:numPr>
        <w:spacing w:line="240" w:lineRule="auto"/>
        <w:rPr>
          <w:sz w:val="24"/>
          <w:szCs w:val="24"/>
        </w:rPr>
      </w:pPr>
      <w:r>
        <w:rPr>
          <w:sz w:val="24"/>
          <w:szCs w:val="24"/>
        </w:rPr>
        <w:lastRenderedPageBreak/>
        <w:t xml:space="preserve">develops a strategy to </w:t>
      </w:r>
      <w:bookmarkEnd w:id="131"/>
      <w:r>
        <w:rPr>
          <w:sz w:val="24"/>
          <w:szCs w:val="24"/>
        </w:rPr>
        <w:t>promote</w:t>
      </w:r>
      <w:r w:rsidR="00C11C9D" w:rsidRPr="00154E15">
        <w:rPr>
          <w:sz w:val="24"/>
          <w:szCs w:val="24"/>
        </w:rPr>
        <w:t xml:space="preserve"> the Guidelines, including </w:t>
      </w:r>
      <w:r w:rsidR="007D3C42">
        <w:rPr>
          <w:sz w:val="24"/>
          <w:szCs w:val="24"/>
        </w:rPr>
        <w:t>the</w:t>
      </w:r>
      <w:r w:rsidR="00C11C9D" w:rsidRPr="00154E15">
        <w:rPr>
          <w:sz w:val="24"/>
          <w:szCs w:val="24"/>
        </w:rPr>
        <w:t xml:space="preserve"> complaint mechanism, amongst the busin</w:t>
      </w:r>
      <w:r w:rsidR="006119D3" w:rsidRPr="00154E15">
        <w:rPr>
          <w:sz w:val="24"/>
          <w:szCs w:val="24"/>
        </w:rPr>
        <w:t>ess and non-business community;</w:t>
      </w:r>
    </w:p>
    <w:p w14:paraId="43C4E685" w14:textId="77777777" w:rsidR="006119D3" w:rsidRPr="00154E15" w:rsidRDefault="00515B0A" w:rsidP="00154E15">
      <w:pPr>
        <w:pStyle w:val="aaHRLCBodytextakaNormal"/>
        <w:numPr>
          <w:ilvl w:val="0"/>
          <w:numId w:val="22"/>
        </w:numPr>
        <w:spacing w:line="240" w:lineRule="auto"/>
        <w:rPr>
          <w:sz w:val="24"/>
          <w:szCs w:val="24"/>
        </w:rPr>
      </w:pPr>
      <w:r w:rsidRPr="00154E15">
        <w:rPr>
          <w:sz w:val="24"/>
          <w:szCs w:val="24"/>
        </w:rPr>
        <w:t>restructures the AusNCP</w:t>
      </w:r>
      <w:r w:rsidR="00C11C9D" w:rsidRPr="00154E15">
        <w:rPr>
          <w:sz w:val="24"/>
          <w:szCs w:val="24"/>
        </w:rPr>
        <w:t xml:space="preserve"> so as to ensure independence from government agencies whose role it is to promote and fund i</w:t>
      </w:r>
      <w:r w:rsidR="006119D3" w:rsidRPr="00154E15">
        <w:rPr>
          <w:sz w:val="24"/>
          <w:szCs w:val="24"/>
        </w:rPr>
        <w:t>nternational business activity;</w:t>
      </w:r>
    </w:p>
    <w:p w14:paraId="73CC4C30" w14:textId="77777777" w:rsidR="00717729" w:rsidRPr="00154E15" w:rsidRDefault="00F840B0" w:rsidP="00154E15">
      <w:pPr>
        <w:pStyle w:val="aaHRLCBodytextakaNormal"/>
        <w:numPr>
          <w:ilvl w:val="0"/>
          <w:numId w:val="22"/>
        </w:numPr>
        <w:spacing w:line="240" w:lineRule="auto"/>
        <w:rPr>
          <w:sz w:val="24"/>
          <w:szCs w:val="24"/>
        </w:rPr>
      </w:pPr>
      <w:r w:rsidRPr="00154E15">
        <w:rPr>
          <w:sz w:val="24"/>
          <w:szCs w:val="24"/>
        </w:rPr>
        <w:t xml:space="preserve">considers options to increase the </w:t>
      </w:r>
      <w:r w:rsidR="000D62A7">
        <w:rPr>
          <w:sz w:val="24"/>
          <w:szCs w:val="24"/>
        </w:rPr>
        <w:t xml:space="preserve">visibility, </w:t>
      </w:r>
      <w:r w:rsidRPr="00154E15">
        <w:rPr>
          <w:sz w:val="24"/>
          <w:szCs w:val="24"/>
        </w:rPr>
        <w:t xml:space="preserve">accessibility </w:t>
      </w:r>
      <w:r w:rsidR="001C3F76">
        <w:rPr>
          <w:sz w:val="24"/>
          <w:szCs w:val="24"/>
        </w:rPr>
        <w:t xml:space="preserve">and effectiveness </w:t>
      </w:r>
      <w:r w:rsidRPr="00154E15">
        <w:rPr>
          <w:sz w:val="24"/>
          <w:szCs w:val="24"/>
        </w:rPr>
        <w:t>of the AusNCP;</w:t>
      </w:r>
    </w:p>
    <w:p w14:paraId="7F93BF66" w14:textId="77777777" w:rsidR="00A80761" w:rsidRDefault="006119D3" w:rsidP="00154E15">
      <w:pPr>
        <w:pStyle w:val="aaHRLCBodytextakaNormal"/>
        <w:numPr>
          <w:ilvl w:val="0"/>
          <w:numId w:val="22"/>
        </w:numPr>
        <w:spacing w:line="240" w:lineRule="auto"/>
        <w:rPr>
          <w:sz w:val="24"/>
          <w:szCs w:val="24"/>
        </w:rPr>
      </w:pPr>
      <w:r w:rsidRPr="00154E15">
        <w:rPr>
          <w:sz w:val="24"/>
          <w:szCs w:val="24"/>
        </w:rPr>
        <w:t xml:space="preserve">restructures the </w:t>
      </w:r>
      <w:r w:rsidR="00C11C9D" w:rsidRPr="00154E15">
        <w:rPr>
          <w:sz w:val="24"/>
          <w:szCs w:val="24"/>
        </w:rPr>
        <w:t xml:space="preserve">AusNCP </w:t>
      </w:r>
      <w:r w:rsidR="00A80761">
        <w:rPr>
          <w:sz w:val="24"/>
          <w:szCs w:val="24"/>
        </w:rPr>
        <w:t>to promote independence and impartiality;</w:t>
      </w:r>
    </w:p>
    <w:p w14:paraId="6222B6E5" w14:textId="77777777" w:rsidR="006119D3" w:rsidRPr="00154E15" w:rsidRDefault="00A80761" w:rsidP="00154E15">
      <w:pPr>
        <w:pStyle w:val="aaHRLCBodytextakaNormal"/>
        <w:numPr>
          <w:ilvl w:val="0"/>
          <w:numId w:val="22"/>
        </w:numPr>
        <w:spacing w:line="240" w:lineRule="auto"/>
        <w:rPr>
          <w:sz w:val="24"/>
          <w:szCs w:val="24"/>
        </w:rPr>
      </w:pPr>
      <w:r>
        <w:rPr>
          <w:sz w:val="24"/>
          <w:szCs w:val="24"/>
        </w:rPr>
        <w:t xml:space="preserve">ensures that the AusNCP’s structure incorporates </w:t>
      </w:r>
      <w:r w:rsidR="00C11C9D" w:rsidRPr="00154E15">
        <w:rPr>
          <w:sz w:val="24"/>
          <w:szCs w:val="24"/>
        </w:rPr>
        <w:t xml:space="preserve">qualified independent specialists </w:t>
      </w:r>
      <w:r w:rsidR="006119D3" w:rsidRPr="00154E15">
        <w:rPr>
          <w:sz w:val="24"/>
          <w:szCs w:val="24"/>
        </w:rPr>
        <w:t>with</w:t>
      </w:r>
      <w:r w:rsidR="00C11C9D" w:rsidRPr="00154E15">
        <w:rPr>
          <w:sz w:val="24"/>
          <w:szCs w:val="24"/>
        </w:rPr>
        <w:t xml:space="preserve"> experi</w:t>
      </w:r>
      <w:r w:rsidR="006119D3" w:rsidRPr="00154E15">
        <w:rPr>
          <w:sz w:val="24"/>
          <w:szCs w:val="24"/>
        </w:rPr>
        <w:t>ence relevant to the Guidelines</w:t>
      </w:r>
      <w:r w:rsidR="00D13338">
        <w:rPr>
          <w:sz w:val="24"/>
          <w:szCs w:val="24"/>
        </w:rPr>
        <w:t>,</w:t>
      </w:r>
      <w:r w:rsidR="00D8096B">
        <w:rPr>
          <w:sz w:val="24"/>
          <w:szCs w:val="24"/>
        </w:rPr>
        <w:t xml:space="preserve"> </w:t>
      </w:r>
      <w:r w:rsidR="00D13338">
        <w:rPr>
          <w:sz w:val="24"/>
          <w:szCs w:val="24"/>
        </w:rPr>
        <w:t>including in human rights</w:t>
      </w:r>
      <w:r w:rsidR="006119D3" w:rsidRPr="00154E15">
        <w:rPr>
          <w:sz w:val="24"/>
          <w:szCs w:val="24"/>
        </w:rPr>
        <w:t>;</w:t>
      </w:r>
    </w:p>
    <w:p w14:paraId="68CF5F5B" w14:textId="77777777" w:rsidR="00717729" w:rsidRPr="00154E15" w:rsidRDefault="00A136D2" w:rsidP="00154E15">
      <w:pPr>
        <w:pStyle w:val="aaHRLCBodytextakaNormal"/>
        <w:numPr>
          <w:ilvl w:val="0"/>
          <w:numId w:val="22"/>
        </w:numPr>
        <w:spacing w:line="240" w:lineRule="auto"/>
        <w:rPr>
          <w:sz w:val="24"/>
          <w:szCs w:val="24"/>
        </w:rPr>
      </w:pPr>
      <w:r>
        <w:rPr>
          <w:sz w:val="24"/>
          <w:szCs w:val="24"/>
        </w:rPr>
        <w:t>consider</w:t>
      </w:r>
      <w:r w:rsidR="001C3F76">
        <w:rPr>
          <w:sz w:val="24"/>
          <w:szCs w:val="24"/>
        </w:rPr>
        <w:t>s</w:t>
      </w:r>
      <w:r>
        <w:rPr>
          <w:sz w:val="24"/>
          <w:szCs w:val="24"/>
        </w:rPr>
        <w:t xml:space="preserve"> </w:t>
      </w:r>
      <w:r w:rsidR="00C11C9D" w:rsidRPr="00154E15">
        <w:rPr>
          <w:sz w:val="24"/>
          <w:szCs w:val="24"/>
        </w:rPr>
        <w:t>publish</w:t>
      </w:r>
      <w:r>
        <w:rPr>
          <w:sz w:val="24"/>
          <w:szCs w:val="24"/>
        </w:rPr>
        <w:t>ing</w:t>
      </w:r>
      <w:r w:rsidR="00C11C9D" w:rsidRPr="00154E15">
        <w:rPr>
          <w:sz w:val="24"/>
          <w:szCs w:val="24"/>
        </w:rPr>
        <w:t xml:space="preserve"> findings on whether the Guidelines have been breached where parties fail</w:t>
      </w:r>
      <w:r>
        <w:rPr>
          <w:sz w:val="24"/>
          <w:szCs w:val="24"/>
        </w:rPr>
        <w:t xml:space="preserve"> to resolve a complaint</w:t>
      </w:r>
      <w:r w:rsidR="00C11C9D" w:rsidRPr="00154E15">
        <w:rPr>
          <w:sz w:val="24"/>
          <w:szCs w:val="24"/>
        </w:rPr>
        <w:t>, or where an MNE refuses to engage in the AusNCP</w:t>
      </w:r>
      <w:r w:rsidR="00717729" w:rsidRPr="00154E15">
        <w:rPr>
          <w:sz w:val="24"/>
          <w:szCs w:val="24"/>
        </w:rPr>
        <w:t>’s complaint resolution process;</w:t>
      </w:r>
    </w:p>
    <w:p w14:paraId="768A2309" w14:textId="77777777" w:rsidR="006119D3" w:rsidRPr="00154E15" w:rsidRDefault="00717729" w:rsidP="00154E15">
      <w:pPr>
        <w:pStyle w:val="aaHRLCBodytextakaNormal"/>
        <w:numPr>
          <w:ilvl w:val="0"/>
          <w:numId w:val="22"/>
        </w:numPr>
        <w:spacing w:line="240" w:lineRule="auto"/>
      </w:pPr>
      <w:bookmarkStart w:id="132" w:name="_Toc454973554"/>
      <w:r w:rsidRPr="00154E15">
        <w:rPr>
          <w:sz w:val="24"/>
          <w:szCs w:val="24"/>
        </w:rPr>
        <w:t xml:space="preserve">develops a mechanism to ensure that </w:t>
      </w:r>
      <w:bookmarkEnd w:id="132"/>
      <w:r w:rsidRPr="00154E15">
        <w:rPr>
          <w:sz w:val="24"/>
          <w:szCs w:val="24"/>
        </w:rPr>
        <w:t xml:space="preserve">recommendations </w:t>
      </w:r>
      <w:r w:rsidR="00610A36">
        <w:rPr>
          <w:sz w:val="24"/>
          <w:szCs w:val="24"/>
        </w:rPr>
        <w:t xml:space="preserve">of the </w:t>
      </w:r>
      <w:r w:rsidR="00610A36" w:rsidRPr="00154E15">
        <w:rPr>
          <w:sz w:val="24"/>
          <w:szCs w:val="24"/>
        </w:rPr>
        <w:t xml:space="preserve">AusNCP </w:t>
      </w:r>
      <w:r w:rsidRPr="00154E15">
        <w:rPr>
          <w:sz w:val="24"/>
          <w:szCs w:val="24"/>
        </w:rPr>
        <w:t>are taken into account by governmental authorities in their decisions on</w:t>
      </w:r>
      <w:r w:rsidR="001F72EB">
        <w:rPr>
          <w:sz w:val="24"/>
          <w:szCs w:val="24"/>
        </w:rPr>
        <w:t xml:space="preserve">, for example, </w:t>
      </w:r>
      <w:r w:rsidRPr="00154E15">
        <w:rPr>
          <w:sz w:val="24"/>
          <w:szCs w:val="24"/>
        </w:rPr>
        <w:t>public procurement, export credits</w:t>
      </w:r>
      <w:r w:rsidR="001F72EB">
        <w:rPr>
          <w:sz w:val="24"/>
          <w:szCs w:val="24"/>
        </w:rPr>
        <w:t xml:space="preserve"> and investment guarantees</w:t>
      </w:r>
      <w:r w:rsidRPr="00154E15">
        <w:rPr>
          <w:sz w:val="24"/>
          <w:szCs w:val="24"/>
        </w:rPr>
        <w:t xml:space="preserve">; </w:t>
      </w:r>
    </w:p>
    <w:p w14:paraId="2C6F0F93" w14:textId="77777777" w:rsidR="006119D3" w:rsidRPr="00154E15" w:rsidRDefault="005C251A" w:rsidP="00154E15">
      <w:pPr>
        <w:pStyle w:val="aaHRLCBodytextakaNormal"/>
        <w:numPr>
          <w:ilvl w:val="0"/>
          <w:numId w:val="22"/>
        </w:numPr>
        <w:spacing w:line="240" w:lineRule="auto"/>
        <w:rPr>
          <w:sz w:val="24"/>
          <w:szCs w:val="24"/>
        </w:rPr>
      </w:pPr>
      <w:bookmarkStart w:id="133" w:name="_Toc454973555"/>
      <w:r w:rsidRPr="00154E15">
        <w:rPr>
          <w:sz w:val="24"/>
          <w:szCs w:val="24"/>
        </w:rPr>
        <w:t>encourages the</w:t>
      </w:r>
      <w:bookmarkEnd w:id="133"/>
      <w:r w:rsidR="00C11C9D" w:rsidRPr="00154E15">
        <w:rPr>
          <w:sz w:val="24"/>
          <w:szCs w:val="24"/>
        </w:rPr>
        <w:t xml:space="preserve"> AusNCP </w:t>
      </w:r>
      <w:r w:rsidRPr="00154E15">
        <w:rPr>
          <w:sz w:val="24"/>
          <w:szCs w:val="24"/>
        </w:rPr>
        <w:t>to</w:t>
      </w:r>
      <w:r w:rsidR="00C11C9D" w:rsidRPr="00154E15">
        <w:rPr>
          <w:sz w:val="24"/>
          <w:szCs w:val="24"/>
        </w:rPr>
        <w:t xml:space="preserve"> undergo the O</w:t>
      </w:r>
      <w:r w:rsidR="006119D3" w:rsidRPr="00154E15">
        <w:rPr>
          <w:sz w:val="24"/>
          <w:szCs w:val="24"/>
        </w:rPr>
        <w:t>E</w:t>
      </w:r>
      <w:r w:rsidR="00EA7AD0">
        <w:rPr>
          <w:sz w:val="24"/>
          <w:szCs w:val="24"/>
        </w:rPr>
        <w:t xml:space="preserve">CD-facilitated NCP peer review </w:t>
      </w:r>
      <w:r w:rsidR="006119D3" w:rsidRPr="00154E15">
        <w:rPr>
          <w:sz w:val="24"/>
          <w:szCs w:val="24"/>
        </w:rPr>
        <w:t>process;</w:t>
      </w:r>
    </w:p>
    <w:p w14:paraId="3BB54542" w14:textId="77777777" w:rsidR="006119D3" w:rsidRPr="00154E15" w:rsidRDefault="005C251A" w:rsidP="00154E15">
      <w:pPr>
        <w:pStyle w:val="aaHRLCBodytextakaNormal"/>
        <w:numPr>
          <w:ilvl w:val="0"/>
          <w:numId w:val="22"/>
        </w:numPr>
        <w:spacing w:line="240" w:lineRule="auto"/>
        <w:rPr>
          <w:sz w:val="24"/>
          <w:szCs w:val="24"/>
        </w:rPr>
      </w:pPr>
      <w:r w:rsidRPr="00154E15">
        <w:rPr>
          <w:sz w:val="24"/>
          <w:szCs w:val="24"/>
        </w:rPr>
        <w:t xml:space="preserve">encourages the AusNCP to </w:t>
      </w:r>
      <w:r w:rsidR="00C11C9D" w:rsidRPr="00154E15">
        <w:rPr>
          <w:sz w:val="24"/>
          <w:szCs w:val="24"/>
        </w:rPr>
        <w:t>regularly contribute to conduc</w:t>
      </w:r>
      <w:r w:rsidR="006119D3" w:rsidRPr="00154E15">
        <w:rPr>
          <w:sz w:val="24"/>
          <w:szCs w:val="24"/>
        </w:rPr>
        <w:t xml:space="preserve">ting peer reviews of other NCPs; </w:t>
      </w:r>
    </w:p>
    <w:p w14:paraId="342EBA10" w14:textId="77777777" w:rsidR="00FF49D7" w:rsidRPr="00154E15" w:rsidRDefault="00302438" w:rsidP="00154E15">
      <w:pPr>
        <w:pStyle w:val="aaHRLCBodytextakaNormal"/>
        <w:numPr>
          <w:ilvl w:val="0"/>
          <w:numId w:val="22"/>
        </w:numPr>
        <w:spacing w:line="240" w:lineRule="auto"/>
        <w:rPr>
          <w:sz w:val="24"/>
          <w:szCs w:val="24"/>
        </w:rPr>
      </w:pPr>
      <w:r w:rsidRPr="00154E15">
        <w:rPr>
          <w:sz w:val="24"/>
          <w:szCs w:val="24"/>
        </w:rPr>
        <w:t>explores options for introducing a follow-up process to monitor a company’s compliance with the AusNCP’s recommendations</w:t>
      </w:r>
      <w:r w:rsidR="00FF49D7" w:rsidRPr="00154E15">
        <w:rPr>
          <w:sz w:val="24"/>
          <w:szCs w:val="24"/>
        </w:rPr>
        <w:t>;</w:t>
      </w:r>
      <w:r w:rsidR="0056420A" w:rsidRPr="00154E15">
        <w:rPr>
          <w:rStyle w:val="EndnoteReference"/>
          <w:rFonts w:eastAsia="MS Mincho" w:cs="Arial"/>
          <w:lang w:val="en-US" w:eastAsia="en-AU"/>
        </w:rPr>
        <w:endnoteReference w:id="51"/>
      </w:r>
      <w:bookmarkEnd w:id="127"/>
      <w:bookmarkEnd w:id="128"/>
      <w:bookmarkEnd w:id="129"/>
      <w:r w:rsidR="00FF49D7" w:rsidRPr="00154E15">
        <w:rPr>
          <w:rStyle w:val="EndnoteReference"/>
          <w:rFonts w:eastAsia="MS Mincho" w:cs="Arial"/>
          <w:lang w:val="en-US" w:eastAsia="en-AU"/>
        </w:rPr>
        <w:t xml:space="preserve"> </w:t>
      </w:r>
      <w:r w:rsidR="00FF49D7" w:rsidRPr="00154E15">
        <w:rPr>
          <w:sz w:val="24"/>
          <w:szCs w:val="24"/>
        </w:rPr>
        <w:t>and</w:t>
      </w:r>
    </w:p>
    <w:p w14:paraId="7FA4BD6B" w14:textId="77777777" w:rsidR="00B44598" w:rsidRDefault="00FF49D7" w:rsidP="00B44598">
      <w:pPr>
        <w:pStyle w:val="aaHRLCBodytextakaNormal"/>
        <w:numPr>
          <w:ilvl w:val="0"/>
          <w:numId w:val="22"/>
        </w:numPr>
        <w:spacing w:line="240" w:lineRule="auto"/>
        <w:rPr>
          <w:sz w:val="24"/>
          <w:szCs w:val="24"/>
        </w:rPr>
      </w:pPr>
      <w:bookmarkStart w:id="134" w:name="_Toc454973556"/>
      <w:r w:rsidRPr="008C7B13">
        <w:rPr>
          <w:sz w:val="24"/>
          <w:szCs w:val="24"/>
        </w:rPr>
        <w:t>provides</w:t>
      </w:r>
      <w:bookmarkEnd w:id="134"/>
      <w:r w:rsidRPr="00154E15">
        <w:rPr>
          <w:iCs/>
        </w:rPr>
        <w:t xml:space="preserve"> </w:t>
      </w:r>
      <w:r w:rsidR="001F72EB">
        <w:rPr>
          <w:sz w:val="24"/>
          <w:szCs w:val="24"/>
        </w:rPr>
        <w:t>adequate</w:t>
      </w:r>
      <w:r w:rsidRPr="00154E15">
        <w:rPr>
          <w:sz w:val="24"/>
          <w:szCs w:val="24"/>
        </w:rPr>
        <w:t xml:space="preserve"> resourcing for the AusNCP.</w:t>
      </w:r>
    </w:p>
    <w:p w14:paraId="6E03A841" w14:textId="77777777" w:rsidR="00B44598" w:rsidRDefault="00B44598" w:rsidP="00B44598">
      <w:pPr>
        <w:pStyle w:val="Heading1"/>
        <w:numPr>
          <w:ilvl w:val="0"/>
          <w:numId w:val="15"/>
        </w:numPr>
        <w:tabs>
          <w:tab w:val="clear" w:pos="851"/>
          <w:tab w:val="num" w:pos="971"/>
        </w:tabs>
        <w:ind w:left="971"/>
        <w:rPr>
          <w:sz w:val="36"/>
          <w:szCs w:val="36"/>
        </w:rPr>
      </w:pPr>
      <w:bookmarkStart w:id="135" w:name="_Toc456168888"/>
      <w:r w:rsidRPr="00B44598">
        <w:rPr>
          <w:sz w:val="36"/>
          <w:szCs w:val="36"/>
        </w:rPr>
        <w:t>Conclusion</w:t>
      </w:r>
      <w:bookmarkEnd w:id="135"/>
    </w:p>
    <w:p w14:paraId="1D5AC585" w14:textId="77777777" w:rsidR="00A701C6" w:rsidRDefault="00B44598" w:rsidP="00B44598">
      <w:r>
        <w:t xml:space="preserve">Civil society welcomes the announcement </w:t>
      </w:r>
      <w:r w:rsidR="00E81766">
        <w:t>by</w:t>
      </w:r>
      <w:r>
        <w:t xml:space="preserve"> the Australian Government </w:t>
      </w:r>
      <w:r w:rsidR="00E81766">
        <w:t xml:space="preserve">that it </w:t>
      </w:r>
      <w:r w:rsidR="000F0FB2">
        <w:t>will</w:t>
      </w:r>
      <w:r>
        <w:t xml:space="preserve"> hold public consultations in 2016 on implementing the UNGPs. </w:t>
      </w:r>
      <w:r w:rsidR="00510952">
        <w:t>It is hoped that, following these consultations, Australia will progress to developing a NAP.</w:t>
      </w:r>
    </w:p>
    <w:p w14:paraId="3E583531" w14:textId="77777777" w:rsidR="00510952" w:rsidRPr="00B44598" w:rsidRDefault="00510952" w:rsidP="00B44598">
      <w:r>
        <w:t>As outlined in this Statement, a fully par</w:t>
      </w:r>
      <w:r w:rsidR="00F70236">
        <w:t>ticipatory NBA and</w:t>
      </w:r>
      <w:r>
        <w:t xml:space="preserve"> NAP process is</w:t>
      </w:r>
      <w:r w:rsidR="004B2BD6">
        <w:t xml:space="preserve"> a</w:t>
      </w:r>
      <w:r>
        <w:t xml:space="preserve"> key priority for civil society. We look forward to working </w:t>
      </w:r>
      <w:r w:rsidR="00223B19">
        <w:t xml:space="preserve">together </w:t>
      </w:r>
      <w:r>
        <w:t xml:space="preserve">with </w:t>
      </w:r>
      <w:r w:rsidR="004B1A44">
        <w:t>the</w:t>
      </w:r>
      <w:r>
        <w:t xml:space="preserve"> </w:t>
      </w:r>
      <w:r w:rsidR="00223B19">
        <w:t>g</w:t>
      </w:r>
      <w:r>
        <w:t>overnment</w:t>
      </w:r>
      <w:r w:rsidR="00471F3F">
        <w:t>,</w:t>
      </w:r>
      <w:r>
        <w:t xml:space="preserve"> </w:t>
      </w:r>
      <w:r w:rsidR="007E00B3">
        <w:t xml:space="preserve">business and </w:t>
      </w:r>
      <w:r w:rsidR="00543A72">
        <w:t>other</w:t>
      </w:r>
      <w:r w:rsidR="007E00B3">
        <w:t xml:space="preserve"> </w:t>
      </w:r>
      <w:r w:rsidR="00471F3F">
        <w:t>s</w:t>
      </w:r>
      <w:r w:rsidR="007E00B3">
        <w:t>take</w:t>
      </w:r>
      <w:r w:rsidR="00B2092E">
        <w:t>h</w:t>
      </w:r>
      <w:r w:rsidR="007E00B3">
        <w:t>olders</w:t>
      </w:r>
      <w:r w:rsidR="00471F3F">
        <w:t>,</w:t>
      </w:r>
      <w:r w:rsidR="00543A72">
        <w:t xml:space="preserve"> </w:t>
      </w:r>
      <w:r w:rsidR="00DD47FA">
        <w:t>to</w:t>
      </w:r>
      <w:r w:rsidR="00A701C6">
        <w:t xml:space="preserve"> </w:t>
      </w:r>
      <w:r w:rsidR="00DD47FA">
        <w:t>implement</w:t>
      </w:r>
      <w:r w:rsidR="00A701C6">
        <w:t xml:space="preserve"> the UNGPs </w:t>
      </w:r>
      <w:r w:rsidR="00370C84">
        <w:t>in Australia.</w:t>
      </w:r>
    </w:p>
    <w:p w14:paraId="58FD6347" w14:textId="77777777" w:rsidR="00AC553B" w:rsidRDefault="00AC553B">
      <w:pPr>
        <w:spacing w:before="0" w:after="0"/>
        <w:rPr>
          <w:rFonts w:eastAsia="Times New Roman"/>
          <w:lang w:eastAsia="en-US"/>
        </w:rPr>
      </w:pPr>
    </w:p>
    <w:p w14:paraId="0BD689C4" w14:textId="77777777" w:rsidR="00FC4A4E" w:rsidRPr="00154E15" w:rsidRDefault="00FC4A4E" w:rsidP="00FC4A4E">
      <w:pPr>
        <w:pStyle w:val="aaHRLCBodytextakaNormal"/>
        <w:spacing w:line="240" w:lineRule="auto"/>
        <w:ind w:left="360"/>
        <w:rPr>
          <w:sz w:val="24"/>
          <w:szCs w:val="24"/>
        </w:rPr>
      </w:pPr>
    </w:p>
    <w:sectPr w:rsidR="00FC4A4E" w:rsidRPr="00154E15"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2B11E" w14:textId="77777777" w:rsidR="00B0413C" w:rsidRDefault="00B0413C" w:rsidP="00F14C6D">
      <w:r>
        <w:separator/>
      </w:r>
    </w:p>
  </w:endnote>
  <w:endnote w:type="continuationSeparator" w:id="0">
    <w:p w14:paraId="3FCC93B9" w14:textId="77777777" w:rsidR="00B0413C" w:rsidRDefault="00B0413C" w:rsidP="00F14C6D">
      <w:r>
        <w:continuationSeparator/>
      </w:r>
    </w:p>
  </w:endnote>
  <w:endnote w:id="1">
    <w:p w14:paraId="08E579F3" w14:textId="77777777" w:rsidR="00B0413C" w:rsidRPr="00B2092E" w:rsidRDefault="00B0413C">
      <w:pPr>
        <w:pStyle w:val="EndnoteText"/>
        <w:rPr>
          <w:b/>
        </w:rPr>
      </w:pPr>
      <w:r>
        <w:rPr>
          <w:b/>
        </w:rPr>
        <w:t>Endnotes</w:t>
      </w:r>
    </w:p>
    <w:p w14:paraId="66842482" w14:textId="77777777" w:rsidR="00B0413C" w:rsidRDefault="00B0413C">
      <w:pPr>
        <w:pStyle w:val="EndnoteText"/>
      </w:pPr>
    </w:p>
    <w:p w14:paraId="76798922" w14:textId="77777777" w:rsidR="00B0413C" w:rsidRDefault="00B0413C">
      <w:pPr>
        <w:pStyle w:val="EndnoteText"/>
      </w:pPr>
      <w:r>
        <w:rPr>
          <w:rStyle w:val="EndnoteReference"/>
        </w:rPr>
        <w:endnoteRef/>
      </w:r>
      <w:r>
        <w:t xml:space="preserve"> Noting that the Human Rights Law Centre authored the following sections of this Statement: 7.2(c)(i)-(iv) (inclusive).</w:t>
      </w:r>
    </w:p>
  </w:endnote>
  <w:endnote w:id="2">
    <w:p w14:paraId="2F8ECB7F" w14:textId="77777777" w:rsidR="00B0413C" w:rsidRDefault="00B0413C" w:rsidP="001B0796">
      <w:pPr>
        <w:pStyle w:val="EndnoteText"/>
      </w:pPr>
      <w:r>
        <w:rPr>
          <w:rStyle w:val="EndnoteReference"/>
        </w:rPr>
        <w:endnoteRef/>
      </w:r>
      <w:r>
        <w:t xml:space="preserve"> In this Statement, a reference to ‘civil society’ includes academia and trade unions.</w:t>
      </w:r>
    </w:p>
  </w:endnote>
  <w:endnote w:id="3">
    <w:p w14:paraId="1421A194" w14:textId="77777777" w:rsidR="00B0413C" w:rsidRDefault="00B0413C">
      <w:pPr>
        <w:pStyle w:val="EndnoteText"/>
      </w:pPr>
      <w:r>
        <w:rPr>
          <w:rStyle w:val="EndnoteReference"/>
        </w:rPr>
        <w:endnoteRef/>
      </w:r>
      <w:r>
        <w:t xml:space="preserve"> See UNGP 3(c).</w:t>
      </w:r>
    </w:p>
  </w:endnote>
  <w:endnote w:id="4">
    <w:p w14:paraId="69406775" w14:textId="77777777" w:rsidR="00B0413C" w:rsidRDefault="00B0413C" w:rsidP="003C35C6">
      <w:pPr>
        <w:pStyle w:val="EndnoteText"/>
      </w:pPr>
      <w:r>
        <w:rPr>
          <w:rStyle w:val="EndnoteReference"/>
        </w:rPr>
        <w:endnoteRef/>
      </w:r>
      <w:r>
        <w:t xml:space="preserve"> Human Rights Council Res. A/HRC/26/L.1. </w:t>
      </w:r>
      <w:r w:rsidRPr="00AC0CB3">
        <w:rPr>
          <w:i/>
        </w:rPr>
        <w:t>Rep. of the Human Rights Council</w:t>
      </w:r>
      <w:r>
        <w:t xml:space="preserve">, 26th Sess., June 10-27, 2014 (27 June 2014). Available at: </w:t>
      </w:r>
      <w:hyperlink r:id="rId1" w:history="1">
        <w:r w:rsidRPr="00A55DED">
          <w:rPr>
            <w:rStyle w:val="Hyperlink"/>
          </w:rPr>
          <w:t>https://documents-dds-ny.un.org/doc/UNDOC/LTD/G14/062/40/PDF/G1406240.pdf?OpenElement</w:t>
        </w:r>
      </w:hyperlink>
      <w:r>
        <w:t xml:space="preserve">. </w:t>
      </w:r>
    </w:p>
  </w:endnote>
  <w:endnote w:id="5">
    <w:p w14:paraId="66CDD249" w14:textId="77777777" w:rsidR="00B0413C" w:rsidRDefault="00B0413C" w:rsidP="003C35C6">
      <w:pPr>
        <w:pStyle w:val="EndnoteText"/>
      </w:pPr>
      <w:r>
        <w:rPr>
          <w:rStyle w:val="EndnoteReference"/>
        </w:rPr>
        <w:endnoteRef/>
      </w:r>
      <w:r>
        <w:t xml:space="preserve"> These being, the UK, the Netherlands, Italy, Denmark, Spain, Finland, Lithuania, Sweden, Norway and Colombia. Information available at: </w:t>
      </w:r>
      <w:hyperlink r:id="rId2" w:history="1">
        <w:r w:rsidRPr="00B17238">
          <w:rPr>
            <w:rStyle w:val="Hyperlink"/>
          </w:rPr>
          <w:t>http://www.ohchr.org/EN/Issues/Business/Pages/NationalActionPlans.aspx</w:t>
        </w:r>
      </w:hyperlink>
      <w:r>
        <w:t xml:space="preserve"> (accessed on 29 June 2016).</w:t>
      </w:r>
    </w:p>
  </w:endnote>
  <w:endnote w:id="6">
    <w:p w14:paraId="0109321C" w14:textId="77777777" w:rsidR="00B0413C" w:rsidRDefault="00B0413C" w:rsidP="003C35C6">
      <w:pPr>
        <w:pStyle w:val="EndnoteText"/>
      </w:pPr>
      <w:r>
        <w:rPr>
          <w:rStyle w:val="EndnoteReference"/>
        </w:rPr>
        <w:endnoteRef/>
      </w:r>
      <w:r>
        <w:t xml:space="preserve"> At: </w:t>
      </w:r>
      <w:hyperlink r:id="rId3" w:history="1">
        <w:r w:rsidRPr="00B17238">
          <w:rPr>
            <w:rStyle w:val="Hyperlink"/>
          </w:rPr>
          <w:t>http://www.ohchr.org/EN/Issues/Business/Pages/NationalActionPlans.aspx</w:t>
        </w:r>
      </w:hyperlink>
      <w:r>
        <w:t xml:space="preserve"> (accessed on 29 June 2016).</w:t>
      </w:r>
    </w:p>
  </w:endnote>
  <w:endnote w:id="7">
    <w:p w14:paraId="58D40BC0" w14:textId="77777777" w:rsidR="00B0413C" w:rsidRPr="00E27591" w:rsidRDefault="00B0413C" w:rsidP="001B0796">
      <w:pPr>
        <w:pStyle w:val="EndnoteText"/>
      </w:pPr>
      <w:r>
        <w:rPr>
          <w:rStyle w:val="EndnoteReference"/>
        </w:rPr>
        <w:endnoteRef/>
      </w:r>
      <w:r>
        <w:t xml:space="preserve"> Available at: </w:t>
      </w:r>
      <w:hyperlink r:id="rId4" w:history="1">
        <w:r w:rsidRPr="00A55DED">
          <w:rPr>
            <w:rStyle w:val="Hyperlink"/>
          </w:rPr>
          <w:t>http://www.upr-info.org/sites/default/files/document/australia/session_23_-_november_2015/a_hrc_31_14_add.1_e.pdf</w:t>
        </w:r>
      </w:hyperlink>
      <w:r>
        <w:t xml:space="preserve">. </w:t>
      </w:r>
    </w:p>
  </w:endnote>
  <w:endnote w:id="8">
    <w:p w14:paraId="59D3ABB4" w14:textId="77777777" w:rsidR="00B0413C" w:rsidRDefault="00B0413C">
      <w:pPr>
        <w:pStyle w:val="EndnoteText"/>
      </w:pPr>
      <w:r>
        <w:rPr>
          <w:rStyle w:val="EndnoteReference"/>
        </w:rPr>
        <w:endnoteRef/>
      </w:r>
      <w:r>
        <w:t xml:space="preserve"> These calls include a letter from a coalition of non-governmental organisations, 27 January 2016 (available at: </w:t>
      </w:r>
      <w:hyperlink r:id="rId5" w:history="1">
        <w:r w:rsidRPr="009A5CDC">
          <w:rPr>
            <w:rStyle w:val="Hyperlink"/>
          </w:rPr>
          <w:t>http://hrlc.org.au/wp-content/uploads/2016/01/NAP-civil-society-letter.pdf</w:t>
        </w:r>
      </w:hyperlink>
      <w:r>
        <w:t xml:space="preserve">) and a </w:t>
      </w:r>
      <w:r w:rsidRPr="00672992">
        <w:rPr>
          <w:i/>
        </w:rPr>
        <w:t>Policy Paper on a</w:t>
      </w:r>
      <w:r>
        <w:rPr>
          <w:i/>
        </w:rPr>
        <w:t>n Australian</w:t>
      </w:r>
      <w:r w:rsidRPr="00672992">
        <w:rPr>
          <w:i/>
        </w:rPr>
        <w:t xml:space="preserve"> NAP</w:t>
      </w:r>
      <w:r>
        <w:t xml:space="preserve">, Australian Lawyers for Human Rights, 16 February 2016 (available at: </w:t>
      </w:r>
      <w:hyperlink r:id="rId6" w:history="1">
        <w:r w:rsidRPr="009A5CDC">
          <w:rPr>
            <w:rStyle w:val="Hyperlink"/>
          </w:rPr>
          <w:t>http://alhr.org.au/wp/wp-content/uploads/2016/03/NAP-Policy-Paper.pdf</w:t>
        </w:r>
      </w:hyperlink>
      <w:r>
        <w:t xml:space="preserve">). </w:t>
      </w:r>
    </w:p>
  </w:endnote>
  <w:endnote w:id="9">
    <w:p w14:paraId="286EED5C" w14:textId="77777777" w:rsidR="00B0413C" w:rsidRDefault="00B0413C" w:rsidP="001B0796">
      <w:pPr>
        <w:pStyle w:val="EndnoteText"/>
      </w:pPr>
      <w:r>
        <w:rPr>
          <w:rStyle w:val="EndnoteReference"/>
        </w:rPr>
        <w:endnoteRef/>
      </w:r>
      <w:r>
        <w:t xml:space="preserve"> </w:t>
      </w:r>
      <w:r>
        <w:rPr>
          <w:rFonts w:cs="Arial"/>
        </w:rPr>
        <w:t xml:space="preserve">Noting Annex 4 (National Baseline Assessment Template), </w:t>
      </w:r>
      <w:r>
        <w:rPr>
          <w:rFonts w:cs="Arial"/>
          <w:i/>
        </w:rPr>
        <w:t xml:space="preserve">National Action Plans on Business and Human Rights, A Toolkit for the Development, Implementation and Review of State Commitments to Business and Human Rights Frameworks, </w:t>
      </w:r>
      <w:r>
        <w:rPr>
          <w:rFonts w:cs="Arial"/>
        </w:rPr>
        <w:t xml:space="preserve">Danish Institute for Human Rights and International Corporate Accountability Roundtable (ICAR), pages 88-145. At: </w:t>
      </w:r>
      <w:hyperlink r:id="rId7" w:history="1">
        <w:r>
          <w:rPr>
            <w:rStyle w:val="Hyperlink"/>
            <w:rFonts w:cs="Arial"/>
          </w:rPr>
          <w:t>http://icar.ngo/wp-content/uploads/2014/06/DIHR-ICAR-National-Action-Plans-NAPs-Report3.pdf</w:t>
        </w:r>
      </w:hyperlink>
      <w:r>
        <w:rPr>
          <w:rFonts w:cs="Arial"/>
        </w:rPr>
        <w:t>.</w:t>
      </w:r>
    </w:p>
  </w:endnote>
  <w:endnote w:id="10">
    <w:p w14:paraId="4294BB83" w14:textId="77777777" w:rsidR="00B0413C" w:rsidRDefault="00B0413C" w:rsidP="001B0796">
      <w:pPr>
        <w:pStyle w:val="EndnoteText"/>
      </w:pPr>
      <w:r>
        <w:rPr>
          <w:rStyle w:val="EndnoteReference"/>
        </w:rPr>
        <w:endnoteRef/>
      </w:r>
      <w:r>
        <w:t xml:space="preserve"> In framing a NBA, regard should be had to the International Service for Human Rights’ (ISHR) and ICAR’s </w:t>
      </w:r>
      <w:r w:rsidRPr="00B91274">
        <w:rPr>
          <w:i/>
        </w:rPr>
        <w:t>Human Rights Defenders in National Action Plans (NAPs) on Business and Human Right</w:t>
      </w:r>
      <w:r>
        <w:rPr>
          <w:i/>
        </w:rPr>
        <w:t>s</w:t>
      </w:r>
      <w:r>
        <w:t>, June 2016</w:t>
      </w:r>
      <w:r>
        <w:rPr>
          <w:i/>
        </w:rPr>
        <w:t>.</w:t>
      </w:r>
      <w:r>
        <w:t xml:space="preserve"> Available at:</w:t>
      </w:r>
      <w:r w:rsidRPr="00B91274">
        <w:t xml:space="preserve"> </w:t>
      </w:r>
      <w:hyperlink r:id="rId8" w:history="1">
        <w:r w:rsidRPr="00B91274">
          <w:rPr>
            <w:rStyle w:val="Hyperlink"/>
          </w:rPr>
          <w:t>http://icar.ngo/wp-content/uploads/2016/06/HRDs-English-FINAL.pdf</w:t>
        </w:r>
      </w:hyperlink>
      <w:r>
        <w:t>.</w:t>
      </w:r>
    </w:p>
  </w:endnote>
  <w:endnote w:id="11">
    <w:p w14:paraId="5EEA694E" w14:textId="77777777" w:rsidR="00B0413C" w:rsidRDefault="00B0413C">
      <w:pPr>
        <w:pStyle w:val="EndnoteText"/>
      </w:pPr>
      <w:r>
        <w:rPr>
          <w:rStyle w:val="EndnoteReference"/>
        </w:rPr>
        <w:endnoteRef/>
      </w:r>
      <w:r>
        <w:t xml:space="preserve"> Including representatives from non-governmental organisations, academia,</w:t>
      </w:r>
      <w:r w:rsidRPr="00F153E0">
        <w:t xml:space="preserve"> </w:t>
      </w:r>
      <w:r>
        <w:t>impacted communities, the Commission, trade unions and other industry bodies business.</w:t>
      </w:r>
    </w:p>
  </w:endnote>
  <w:endnote w:id="12">
    <w:p w14:paraId="61D6B192" w14:textId="77777777" w:rsidR="00B0413C" w:rsidRDefault="00B0413C" w:rsidP="00343F0C">
      <w:pPr>
        <w:pStyle w:val="EndnoteText"/>
      </w:pPr>
      <w:r>
        <w:rPr>
          <w:rStyle w:val="EndnoteReference"/>
        </w:rPr>
        <w:endnoteRef/>
      </w:r>
      <w:r>
        <w:t xml:space="preserve"> </w:t>
      </w:r>
      <w:r>
        <w:rPr>
          <w:rFonts w:cs="Arial"/>
        </w:rPr>
        <w:t>As contemplate</w:t>
      </w:r>
      <w:r w:rsidRPr="00386CD6">
        <w:rPr>
          <w:rFonts w:cs="Arial"/>
        </w:rPr>
        <w:t>d by The Office of the High</w:t>
      </w:r>
      <w:r>
        <w:rPr>
          <w:rFonts w:cs="Arial"/>
        </w:rPr>
        <w:t xml:space="preserve"> Commissioner for Human Rights, </w:t>
      </w:r>
      <w:r w:rsidRPr="00964731">
        <w:rPr>
          <w:rFonts w:cs="Arial"/>
          <w:i/>
        </w:rPr>
        <w:t>Accountability and</w:t>
      </w:r>
      <w:r>
        <w:rPr>
          <w:rFonts w:cs="Arial"/>
        </w:rPr>
        <w:t xml:space="preserve"> </w:t>
      </w:r>
      <w:r w:rsidRPr="00964731">
        <w:rPr>
          <w:rFonts w:cs="Arial"/>
          <w:i/>
        </w:rPr>
        <w:t>Remedy</w:t>
      </w:r>
      <w:r>
        <w:rPr>
          <w:rFonts w:cs="Arial"/>
        </w:rPr>
        <w:t xml:space="preserve"> report, 10 May 2016, page 11. Available at: </w:t>
      </w:r>
      <w:hyperlink r:id="rId9" w:history="1">
        <w:r w:rsidRPr="00A55DED">
          <w:rPr>
            <w:rStyle w:val="Hyperlink"/>
            <w:rFonts w:cs="Arial"/>
          </w:rPr>
          <w:t>http://www.ohchr.org/Documents/Issues/Business/DomesticLawRemedies/A_HRC_32_19_AEV.pdf</w:t>
        </w:r>
      </w:hyperlink>
      <w:r>
        <w:rPr>
          <w:rFonts w:cs="Arial"/>
        </w:rPr>
        <w:t xml:space="preserve">. </w:t>
      </w:r>
    </w:p>
  </w:endnote>
  <w:endnote w:id="13">
    <w:p w14:paraId="04671EE3" w14:textId="77777777" w:rsidR="00B0413C" w:rsidRDefault="00B0413C">
      <w:pPr>
        <w:pStyle w:val="EndnoteText"/>
      </w:pPr>
      <w:r>
        <w:rPr>
          <w:rStyle w:val="EndnoteReference"/>
        </w:rPr>
        <w:endnoteRef/>
      </w:r>
      <w:r>
        <w:t xml:space="preserve"> I</w:t>
      </w:r>
      <w:r w:rsidRPr="00AC4F6E">
        <w:t xml:space="preserve">ncluding children, women, persons with disabilities, indigenous Australians, migrant workers </w:t>
      </w:r>
      <w:r>
        <w:t>and their families, LGBTIQ, impacted communities</w:t>
      </w:r>
      <w:r w:rsidRPr="00AC4F6E">
        <w:t xml:space="preserve"> and older Australians</w:t>
      </w:r>
      <w:r>
        <w:t>.</w:t>
      </w:r>
    </w:p>
  </w:endnote>
  <w:endnote w:id="14">
    <w:p w14:paraId="03188CB6" w14:textId="77777777" w:rsidR="00B0413C" w:rsidRDefault="00B0413C" w:rsidP="001B0796">
      <w:pPr>
        <w:pStyle w:val="EndnoteText"/>
      </w:pPr>
      <w:r>
        <w:rPr>
          <w:rStyle w:val="EndnoteReference"/>
        </w:rPr>
        <w:endnoteRef/>
      </w:r>
      <w:r>
        <w:t xml:space="preserve"> </w:t>
      </w:r>
      <w:r w:rsidRPr="008D5353">
        <w:t xml:space="preserve">Noting </w:t>
      </w:r>
      <w:r>
        <w:t xml:space="preserve">recent </w:t>
      </w:r>
      <w:r w:rsidRPr="008D5353">
        <w:t>corporate disclosure developments in the UK,</w:t>
      </w:r>
      <w:r>
        <w:t xml:space="preserve"> the</w:t>
      </w:r>
      <w:r w:rsidRPr="008D5353">
        <w:t xml:space="preserve"> US and</w:t>
      </w:r>
      <w:r>
        <w:t xml:space="preserve"> the</w:t>
      </w:r>
      <w:r w:rsidRPr="008D5353">
        <w:t xml:space="preserve"> EU relating to conflict minerals and modern slavery.</w:t>
      </w:r>
    </w:p>
  </w:endnote>
  <w:endnote w:id="15">
    <w:p w14:paraId="5FDAD5F7" w14:textId="77777777" w:rsidR="00B0413C" w:rsidRDefault="00B0413C" w:rsidP="001B0796">
      <w:pPr>
        <w:pStyle w:val="EndnoteText"/>
      </w:pPr>
      <w:r>
        <w:rPr>
          <w:rStyle w:val="EndnoteReference"/>
        </w:rPr>
        <w:endnoteRef/>
      </w:r>
      <w:r>
        <w:t xml:space="preserve"> See UNGP 1. Available at: </w:t>
      </w:r>
      <w:hyperlink r:id="rId10" w:history="1">
        <w:r w:rsidRPr="00A55DED">
          <w:rPr>
            <w:rStyle w:val="Hyperlink"/>
          </w:rPr>
          <w:t>http://www.ohchr.org/Documents/Publications/GuidingPrinciplesBusinessHR_EN.pdf</w:t>
        </w:r>
      </w:hyperlink>
      <w:r>
        <w:t xml:space="preserve">. </w:t>
      </w:r>
    </w:p>
  </w:endnote>
  <w:endnote w:id="16">
    <w:p w14:paraId="694F593E" w14:textId="77777777" w:rsidR="00B0413C" w:rsidRDefault="00B0413C" w:rsidP="001B0796">
      <w:pPr>
        <w:pStyle w:val="EndnoteText"/>
      </w:pPr>
      <w:r>
        <w:rPr>
          <w:rStyle w:val="EndnoteReference"/>
        </w:rPr>
        <w:endnoteRef/>
      </w:r>
      <w:r>
        <w:t xml:space="preserve"> See Commentary on UNGP 1.</w:t>
      </w:r>
    </w:p>
  </w:endnote>
  <w:endnote w:id="17">
    <w:p w14:paraId="241FA1AD" w14:textId="77777777" w:rsidR="00B0413C" w:rsidRDefault="00B0413C">
      <w:pPr>
        <w:pStyle w:val="EndnoteText"/>
      </w:pPr>
      <w:r>
        <w:rPr>
          <w:rStyle w:val="EndnoteReference"/>
        </w:rPr>
        <w:endnoteRef/>
      </w:r>
      <w:r>
        <w:t xml:space="preserve"> Including guidance on managing supply chain relationships, directors’ duties, human rights due diligence and reporting.</w:t>
      </w:r>
    </w:p>
  </w:endnote>
  <w:endnote w:id="18">
    <w:p w14:paraId="6C8A30E1" w14:textId="77777777" w:rsidR="00B0413C" w:rsidRDefault="00B0413C">
      <w:pPr>
        <w:pStyle w:val="EndnoteText"/>
      </w:pPr>
      <w:r>
        <w:rPr>
          <w:rStyle w:val="EndnoteReference"/>
        </w:rPr>
        <w:endnoteRef/>
      </w:r>
      <w:r>
        <w:t xml:space="preserve"> Noting that there should also be a focus on ensuring that existing and future laws do not constrain the ability of companies, and their officers, to act in accordance with the UNGPs. </w:t>
      </w:r>
    </w:p>
  </w:endnote>
  <w:endnote w:id="19">
    <w:p w14:paraId="0C820913" w14:textId="77777777" w:rsidR="00B0413C" w:rsidRDefault="00B0413C" w:rsidP="001B0796">
      <w:pPr>
        <w:pStyle w:val="EndnoteText"/>
      </w:pPr>
      <w:r>
        <w:rPr>
          <w:rStyle w:val="EndnoteReference"/>
        </w:rPr>
        <w:endnoteRef/>
      </w:r>
      <w:r>
        <w:t xml:space="preserve"> See UNGP 1 (author’s emphasis).</w:t>
      </w:r>
    </w:p>
  </w:endnote>
  <w:endnote w:id="20">
    <w:p w14:paraId="73A2CF94" w14:textId="77777777" w:rsidR="00B0413C" w:rsidRDefault="00B0413C" w:rsidP="001B0796">
      <w:pPr>
        <w:pStyle w:val="EndnoteText"/>
      </w:pPr>
      <w:r>
        <w:rPr>
          <w:rStyle w:val="EndnoteReference"/>
        </w:rPr>
        <w:endnoteRef/>
      </w:r>
      <w:r>
        <w:t xml:space="preserve"> See UNGP 2</w:t>
      </w:r>
      <w:r w:rsidRPr="00BE3B6B">
        <w:t xml:space="preserve"> </w:t>
      </w:r>
      <w:r>
        <w:t>(author’s emphasis).</w:t>
      </w:r>
    </w:p>
  </w:endnote>
  <w:endnote w:id="21">
    <w:p w14:paraId="48024B04" w14:textId="77777777" w:rsidR="00B0413C" w:rsidRDefault="00B0413C" w:rsidP="001B0796">
      <w:pPr>
        <w:pStyle w:val="EndnoteText"/>
      </w:pPr>
      <w:r>
        <w:rPr>
          <w:rStyle w:val="EndnoteReference"/>
        </w:rPr>
        <w:endnoteRef/>
      </w:r>
      <w:r>
        <w:t xml:space="preserve"> An example of Australian legislation with extra-territorial effect is provided by the </w:t>
      </w:r>
      <w:r w:rsidRPr="00886E01">
        <w:rPr>
          <w:i/>
        </w:rPr>
        <w:t>Illegal Logging Prohibition Act 2012</w:t>
      </w:r>
      <w:r w:rsidRPr="001B228F">
        <w:t>.</w:t>
      </w:r>
    </w:p>
  </w:endnote>
  <w:endnote w:id="22">
    <w:p w14:paraId="1B04A1CF" w14:textId="77777777" w:rsidR="00B0413C" w:rsidRDefault="00B0413C" w:rsidP="001B0796">
      <w:pPr>
        <w:pStyle w:val="EndnoteText"/>
      </w:pPr>
      <w:r>
        <w:rPr>
          <w:rStyle w:val="EndnoteReference"/>
        </w:rPr>
        <w:endnoteRef/>
      </w:r>
      <w:r>
        <w:t xml:space="preserve"> See UNGPs 4, 5 and 6. </w:t>
      </w:r>
    </w:p>
  </w:endnote>
  <w:endnote w:id="23">
    <w:p w14:paraId="1BC0555F" w14:textId="77777777" w:rsidR="00B0413C" w:rsidRDefault="00B0413C" w:rsidP="001B0796">
      <w:pPr>
        <w:pStyle w:val="EndnoteText"/>
      </w:pPr>
      <w:r>
        <w:rPr>
          <w:rStyle w:val="EndnoteReference"/>
        </w:rPr>
        <w:endnoteRef/>
      </w:r>
      <w:r>
        <w:t xml:space="preserve"> Human Rights Council Res. </w:t>
      </w:r>
      <w:r w:rsidRPr="00F056D4">
        <w:t>A/HRC/32/45</w:t>
      </w:r>
      <w:r>
        <w:t xml:space="preserve">, </w:t>
      </w:r>
      <w:r w:rsidRPr="002143C2">
        <w:rPr>
          <w:i/>
        </w:rPr>
        <w:t>Report of the Working Group on the issue of human rights and transnational corporations and other business enterprises</w:t>
      </w:r>
      <w:r>
        <w:t xml:space="preserve">, 4 May 2016.                                                                                                                </w:t>
      </w:r>
    </w:p>
    <w:p w14:paraId="3C97E8D1" w14:textId="77777777" w:rsidR="00B0413C" w:rsidRDefault="00B0413C" w:rsidP="001B0796">
      <w:pPr>
        <w:pStyle w:val="EndnoteText"/>
      </w:pPr>
      <w:r>
        <w:t xml:space="preserve">Available at: </w:t>
      </w:r>
      <w:hyperlink r:id="rId11" w:history="1">
        <w:r w:rsidRPr="00A55DED">
          <w:rPr>
            <w:rStyle w:val="Hyperlink"/>
          </w:rPr>
          <w:t>https://documents-ddsny.un.org/doc/UNDOC/GEN/G16/091/71/PDF/G1609171.pdf?OpenElement</w:t>
        </w:r>
      </w:hyperlink>
      <w:r>
        <w:t xml:space="preserve">. </w:t>
      </w:r>
    </w:p>
  </w:endnote>
  <w:endnote w:id="24">
    <w:p w14:paraId="2ACB6275" w14:textId="77777777" w:rsidR="00B0413C" w:rsidRDefault="00B0413C" w:rsidP="001B0796">
      <w:pPr>
        <w:pStyle w:val="EndnoteText"/>
      </w:pPr>
      <w:r>
        <w:rPr>
          <w:rStyle w:val="EndnoteReference"/>
        </w:rPr>
        <w:endnoteRef/>
      </w:r>
      <w:r>
        <w:t xml:space="preserve"> See UNGP 4.</w:t>
      </w:r>
    </w:p>
  </w:endnote>
  <w:endnote w:id="25">
    <w:p w14:paraId="578CF5C0" w14:textId="77777777" w:rsidR="00B0413C" w:rsidRDefault="00B0413C" w:rsidP="001B0796">
      <w:pPr>
        <w:pStyle w:val="EndnoteText"/>
      </w:pPr>
      <w:r>
        <w:rPr>
          <w:rStyle w:val="EndnoteReference"/>
        </w:rPr>
        <w:endnoteRef/>
      </w:r>
      <w:r>
        <w:t xml:space="preserve"> See UNGP 4. </w:t>
      </w:r>
    </w:p>
  </w:endnote>
  <w:endnote w:id="26">
    <w:p w14:paraId="55BC9905" w14:textId="77777777" w:rsidR="00B0413C" w:rsidRDefault="00B0413C" w:rsidP="001B0796">
      <w:pPr>
        <w:pStyle w:val="EndnoteText"/>
      </w:pPr>
      <w:r>
        <w:rPr>
          <w:rStyle w:val="EndnoteReference"/>
        </w:rPr>
        <w:endnoteRef/>
      </w:r>
      <w:r>
        <w:t xml:space="preserve"> Human Rights Council Res. </w:t>
      </w:r>
      <w:r w:rsidRPr="00F056D4">
        <w:t>A/HRC/32/45</w:t>
      </w:r>
      <w:r>
        <w:t xml:space="preserve">, </w:t>
      </w:r>
      <w:r w:rsidRPr="002143C2">
        <w:rPr>
          <w:i/>
        </w:rPr>
        <w:t>Report of the Working Group on the issue of human rights and transnational corporations and other business enterprises</w:t>
      </w:r>
      <w:r>
        <w:t xml:space="preserve">, 4 May 2016.                                                                                                                </w:t>
      </w:r>
    </w:p>
    <w:p w14:paraId="3F473F97" w14:textId="77777777" w:rsidR="00B0413C" w:rsidRDefault="00B0413C" w:rsidP="001B0796">
      <w:pPr>
        <w:pStyle w:val="EndnoteText"/>
      </w:pPr>
      <w:r>
        <w:t xml:space="preserve">Available at: </w:t>
      </w:r>
      <w:hyperlink r:id="rId12" w:history="1">
        <w:r w:rsidRPr="00A55DED">
          <w:rPr>
            <w:rStyle w:val="Hyperlink"/>
          </w:rPr>
          <w:t>https://documents-ddsny.un.org/doc/UNDOC/GEN/G16/091/71/PDF/G1609171.pdf?OpenElement</w:t>
        </w:r>
      </w:hyperlink>
    </w:p>
  </w:endnote>
  <w:endnote w:id="27">
    <w:p w14:paraId="2B5F577A" w14:textId="77777777" w:rsidR="00B0413C" w:rsidRDefault="00B0413C" w:rsidP="001B0796">
      <w:pPr>
        <w:pStyle w:val="EndnoteText"/>
      </w:pPr>
      <w:r>
        <w:rPr>
          <w:rStyle w:val="EndnoteReference"/>
        </w:rPr>
        <w:endnoteRef/>
      </w:r>
      <w:r>
        <w:t xml:space="preserve"> See Commentary on UNGP 5.</w:t>
      </w:r>
    </w:p>
  </w:endnote>
  <w:endnote w:id="28">
    <w:p w14:paraId="03ABB213" w14:textId="77777777" w:rsidR="00B0413C" w:rsidRDefault="00B0413C" w:rsidP="001B0796">
      <w:pPr>
        <w:pStyle w:val="EndnoteText"/>
      </w:pPr>
      <w:r>
        <w:rPr>
          <w:rStyle w:val="EndnoteReference"/>
        </w:rPr>
        <w:endnoteRef/>
      </w:r>
      <w:r>
        <w:t xml:space="preserve"> </w:t>
      </w:r>
      <w:r>
        <w:rPr>
          <w:rFonts w:cs="Arial"/>
        </w:rPr>
        <w:t xml:space="preserve">Australian Government, Department of Finance, </w:t>
      </w:r>
      <w:r>
        <w:rPr>
          <w:rFonts w:cs="Arial"/>
          <w:i/>
        </w:rPr>
        <w:t>Statistics on Government Procurement Contracts</w:t>
      </w:r>
      <w:r>
        <w:rPr>
          <w:rFonts w:cs="Arial"/>
        </w:rPr>
        <w:t xml:space="preserve">, available at: </w:t>
      </w:r>
      <w:hyperlink r:id="rId13" w:history="1">
        <w:r>
          <w:rPr>
            <w:rStyle w:val="Hyperlink"/>
            <w:rFonts w:cs="Arial"/>
          </w:rPr>
          <w:t>http://www.finance.gov.au/procurement/statistics-on-commonwealth-purchasing-contracts/</w:t>
        </w:r>
      </w:hyperlink>
    </w:p>
  </w:endnote>
  <w:endnote w:id="29">
    <w:p w14:paraId="6CDB32B4" w14:textId="77777777" w:rsidR="00B0413C" w:rsidRDefault="00B0413C" w:rsidP="00511F52">
      <w:pPr>
        <w:pStyle w:val="EndnoteText"/>
      </w:pPr>
      <w:r>
        <w:rPr>
          <w:rStyle w:val="EndnoteReference"/>
        </w:rPr>
        <w:endnoteRef/>
      </w:r>
      <w:r>
        <w:t xml:space="preserve"> </w:t>
      </w:r>
      <w:r>
        <w:rPr>
          <w:rFonts w:cs="Arial"/>
          <w:lang w:val="en-US"/>
        </w:rPr>
        <w:t xml:space="preserve">John Ruggie, </w:t>
      </w:r>
      <w:r w:rsidRPr="00701A75">
        <w:rPr>
          <w:rFonts w:cs="Arial"/>
          <w:i/>
          <w:lang w:val="en-US"/>
        </w:rPr>
        <w:t>Making public-private partnerships work</w:t>
      </w:r>
      <w:r>
        <w:rPr>
          <w:rFonts w:cs="Arial"/>
          <w:lang w:val="en-US"/>
        </w:rPr>
        <w:t xml:space="preserve">, 11 September 2013, available at: </w:t>
      </w:r>
      <w:hyperlink r:id="rId14" w:history="1">
        <w:r>
          <w:rPr>
            <w:rStyle w:val="Hyperlink"/>
            <w:rFonts w:cs="Arial"/>
            <w:lang w:val="en-US"/>
          </w:rPr>
          <w:t>http://www.trust.org/item/20130911091253-vmh6s/</w:t>
        </w:r>
      </w:hyperlink>
      <w:r>
        <w:rPr>
          <w:rFonts w:cs="Arial"/>
          <w:lang w:val="en-US"/>
        </w:rPr>
        <w:t xml:space="preserve">.  </w:t>
      </w:r>
    </w:p>
  </w:endnote>
  <w:endnote w:id="30">
    <w:p w14:paraId="30351F40" w14:textId="77777777" w:rsidR="00B0413C" w:rsidRPr="00987C41" w:rsidRDefault="00B0413C" w:rsidP="001B0796">
      <w:pPr>
        <w:pStyle w:val="EndnoteText"/>
        <w:rPr>
          <w:rFonts w:cs="Arial"/>
        </w:rPr>
      </w:pPr>
      <w:r>
        <w:rPr>
          <w:rStyle w:val="EndnoteReference"/>
        </w:rPr>
        <w:endnoteRef/>
      </w:r>
      <w:r>
        <w:t xml:space="preserve"> </w:t>
      </w:r>
      <w:r>
        <w:rPr>
          <w:rFonts w:cs="Arial"/>
        </w:rPr>
        <w:t xml:space="preserve">Ethical Procurement: </w:t>
      </w:r>
      <w:r w:rsidRPr="00701A75">
        <w:rPr>
          <w:rFonts w:cs="Arial"/>
          <w:i/>
        </w:rPr>
        <w:t>Information Sheet for Commonwealth Government Procurement Officers</w:t>
      </w:r>
      <w:r>
        <w:rPr>
          <w:rFonts w:cs="Arial"/>
        </w:rPr>
        <w:t xml:space="preserve">, available at: </w:t>
      </w:r>
      <w:hyperlink r:id="rId15" w:history="1">
        <w:r w:rsidRPr="00E25BD9">
          <w:rPr>
            <w:rStyle w:val="Hyperlink"/>
            <w:rFonts w:cs="Arial"/>
          </w:rPr>
          <w:t>https://www.ag.gov.au/CrimeAndCorruption/HumanTrafficking/Documents/Human-Trafficking-Information-sheet-for-Commonwealth-Government-procurement-officers.pdf</w:t>
        </w:r>
      </w:hyperlink>
      <w:r w:rsidRPr="00701A75">
        <w:rPr>
          <w:rStyle w:val="Hyperlink"/>
          <w:rFonts w:cs="Arial"/>
          <w:u w:val="none"/>
        </w:rPr>
        <w:t>.</w:t>
      </w:r>
      <w:r w:rsidRPr="00701A75">
        <w:rPr>
          <w:rFonts w:cs="Arial"/>
        </w:rPr>
        <w:t xml:space="preserve"> </w:t>
      </w:r>
    </w:p>
  </w:endnote>
  <w:endnote w:id="31">
    <w:p w14:paraId="00FC9778" w14:textId="77777777" w:rsidR="00B0413C" w:rsidRDefault="00B0413C" w:rsidP="001B0796">
      <w:pPr>
        <w:pStyle w:val="EndnoteText"/>
      </w:pPr>
      <w:r>
        <w:rPr>
          <w:rStyle w:val="EndnoteReference"/>
        </w:rPr>
        <w:endnoteRef/>
      </w:r>
      <w:r>
        <w:t xml:space="preserve"> Commonwealth Procurement Rule 6.7, available at: </w:t>
      </w:r>
      <w:hyperlink r:id="rId16" w:history="1">
        <w:r w:rsidRPr="00DB4C29">
          <w:rPr>
            <w:rStyle w:val="Hyperlink"/>
          </w:rPr>
          <w:t>https://www.finance.gov.au/sites/default/files/2014%20Commonwealth%20Procurement%20Rules.pdf</w:t>
        </w:r>
      </w:hyperlink>
      <w:r>
        <w:t>.</w:t>
      </w:r>
    </w:p>
  </w:endnote>
  <w:endnote w:id="32">
    <w:p w14:paraId="754B996D" w14:textId="77777777" w:rsidR="00B0413C" w:rsidRDefault="00B0413C" w:rsidP="001B0796">
      <w:pPr>
        <w:pStyle w:val="EndnoteText"/>
      </w:pPr>
      <w:r>
        <w:rPr>
          <w:rStyle w:val="EndnoteReference"/>
        </w:rPr>
        <w:endnoteRef/>
      </w:r>
      <w:r>
        <w:t xml:space="preserve"> See </w:t>
      </w:r>
      <w:r w:rsidRPr="007B21E8">
        <w:rPr>
          <w:i/>
        </w:rPr>
        <w:t>UN Sustainable Development Goals</w:t>
      </w:r>
      <w:r>
        <w:t xml:space="preserve">, available at:  </w:t>
      </w:r>
      <w:hyperlink r:id="rId17" w:history="1">
        <w:r w:rsidRPr="009A5260">
          <w:rPr>
            <w:rStyle w:val="Hyperlink"/>
          </w:rPr>
          <w:t>https://sustainabledevelopment.un.org/?menu=1300</w:t>
        </w:r>
      </w:hyperlink>
    </w:p>
  </w:endnote>
  <w:endnote w:id="33">
    <w:p w14:paraId="7049EBB3" w14:textId="77777777" w:rsidR="00B0413C" w:rsidRDefault="00B0413C" w:rsidP="001B0796">
      <w:pPr>
        <w:pStyle w:val="EndnoteText"/>
      </w:pPr>
      <w:r>
        <w:rPr>
          <w:rStyle w:val="EndnoteReference"/>
        </w:rPr>
        <w:endnoteRef/>
      </w:r>
      <w:r>
        <w:t xml:space="preserve"> </w:t>
      </w:r>
      <w:r>
        <w:rPr>
          <w:rFonts w:cs="Arial"/>
          <w:lang w:val="en-US"/>
        </w:rPr>
        <w:t xml:space="preserve">Julie Bishop, </w:t>
      </w:r>
      <w:r w:rsidRPr="00701A75">
        <w:rPr>
          <w:rFonts w:cs="Arial"/>
          <w:i/>
          <w:lang w:val="en-US"/>
        </w:rPr>
        <w:t xml:space="preserve">2014 Magna Carta Lecture: A new paradigm in development assistance – harnessing the private sector </w:t>
      </w:r>
      <w:r>
        <w:rPr>
          <w:rFonts w:cs="Arial"/>
          <w:lang w:val="en-US"/>
        </w:rPr>
        <w:t xml:space="preserve">(Speech delivered at the Parliament of Victoria, 29 April 2014) available at: </w:t>
      </w:r>
      <w:hyperlink r:id="rId18" w:history="1">
        <w:r>
          <w:rPr>
            <w:rStyle w:val="Hyperlink"/>
            <w:rFonts w:cs="Arial"/>
            <w:lang w:val="en-US"/>
          </w:rPr>
          <w:t>https://www.gov.uk/government/world-location-news/transcript-magna-carta-lecture-2014</w:t>
        </w:r>
      </w:hyperlink>
      <w:r>
        <w:rPr>
          <w:rStyle w:val="Hyperlink"/>
          <w:rFonts w:cs="Arial"/>
          <w:lang w:val="en-US"/>
        </w:rPr>
        <w:t>.</w:t>
      </w:r>
    </w:p>
  </w:endnote>
  <w:endnote w:id="34">
    <w:p w14:paraId="5EE41634" w14:textId="77777777" w:rsidR="00B0413C" w:rsidRDefault="00B0413C" w:rsidP="001B0796">
      <w:pPr>
        <w:pStyle w:val="EndnoteText"/>
      </w:pPr>
      <w:r>
        <w:rPr>
          <w:rStyle w:val="EndnoteReference"/>
        </w:rPr>
        <w:endnoteRef/>
      </w:r>
      <w:r>
        <w:t xml:space="preserve"> See UNGPs 8 and 10. </w:t>
      </w:r>
    </w:p>
  </w:endnote>
  <w:endnote w:id="35">
    <w:p w14:paraId="6F34C38C" w14:textId="77777777" w:rsidR="00B0413C" w:rsidRDefault="00B0413C" w:rsidP="001B0796">
      <w:pPr>
        <w:pStyle w:val="EndnoteText"/>
      </w:pPr>
      <w:r>
        <w:rPr>
          <w:rStyle w:val="EndnoteReference"/>
        </w:rPr>
        <w:endnoteRef/>
      </w:r>
      <w:r>
        <w:t xml:space="preserve"> See UNGP 9.</w:t>
      </w:r>
    </w:p>
  </w:endnote>
  <w:endnote w:id="36">
    <w:p w14:paraId="563EB8F6" w14:textId="77777777" w:rsidR="00B0413C" w:rsidRDefault="00B0413C" w:rsidP="001B0796">
      <w:pPr>
        <w:pStyle w:val="EndnoteText"/>
      </w:pPr>
      <w:r>
        <w:rPr>
          <w:rStyle w:val="EndnoteReference"/>
        </w:rPr>
        <w:endnoteRef/>
      </w:r>
      <w:r>
        <w:t xml:space="preserve"> See UNGP 11.</w:t>
      </w:r>
    </w:p>
  </w:endnote>
  <w:endnote w:id="37">
    <w:p w14:paraId="3F4A8CCF" w14:textId="77777777" w:rsidR="00B0413C" w:rsidRDefault="00B0413C" w:rsidP="001B0796">
      <w:pPr>
        <w:pStyle w:val="EndnoteText"/>
      </w:pPr>
      <w:r>
        <w:rPr>
          <w:rStyle w:val="EndnoteReference"/>
        </w:rPr>
        <w:endnoteRef/>
      </w:r>
      <w:r>
        <w:t xml:space="preserve"> In developing a NAP, regard should be had to ISHR and ICAR’s </w:t>
      </w:r>
      <w:r w:rsidRPr="00B91274">
        <w:rPr>
          <w:i/>
        </w:rPr>
        <w:t>Human Rights Defenders in National Action Plans (NAPs) on Business and Human Right</w:t>
      </w:r>
      <w:r>
        <w:rPr>
          <w:i/>
        </w:rPr>
        <w:t>s</w:t>
      </w:r>
      <w:r>
        <w:t>, June 2016,</w:t>
      </w:r>
      <w:r>
        <w:rPr>
          <w:i/>
        </w:rPr>
        <w:t xml:space="preserve"> </w:t>
      </w:r>
      <w:r>
        <w:t>available at:</w:t>
      </w:r>
      <w:r w:rsidRPr="00B91274">
        <w:t xml:space="preserve"> </w:t>
      </w:r>
      <w:hyperlink r:id="rId19" w:history="1">
        <w:r w:rsidRPr="00B91274">
          <w:rPr>
            <w:rStyle w:val="Hyperlink"/>
          </w:rPr>
          <w:t>http://icar.ngo/wp-content/uploads/2016/06/HRDs-English-FINAL.pdf</w:t>
        </w:r>
      </w:hyperlink>
      <w:r>
        <w:rPr>
          <w:rStyle w:val="Hyperlink"/>
        </w:rPr>
        <w:t>.</w:t>
      </w:r>
    </w:p>
  </w:endnote>
  <w:endnote w:id="38">
    <w:p w14:paraId="2A08BA11" w14:textId="77777777" w:rsidR="00B0413C" w:rsidRDefault="00B0413C" w:rsidP="001B0796">
      <w:pPr>
        <w:pStyle w:val="EndnoteText"/>
      </w:pPr>
      <w:r>
        <w:rPr>
          <w:rStyle w:val="EndnoteReference"/>
        </w:rPr>
        <w:endnoteRef/>
      </w:r>
      <w:r>
        <w:t xml:space="preserve"> See UNGPs 17-21, inclusive.</w:t>
      </w:r>
    </w:p>
  </w:endnote>
  <w:endnote w:id="39">
    <w:p w14:paraId="2BD6E1FD" w14:textId="77777777" w:rsidR="00B0413C" w:rsidRDefault="00B0413C" w:rsidP="001B0796">
      <w:pPr>
        <w:pStyle w:val="EndnoteText"/>
      </w:pPr>
      <w:r>
        <w:rPr>
          <w:rStyle w:val="EndnoteReference"/>
        </w:rPr>
        <w:endnoteRef/>
      </w:r>
      <w:r>
        <w:t xml:space="preserve"> See UNGP 21.</w:t>
      </w:r>
    </w:p>
  </w:endnote>
  <w:endnote w:id="40">
    <w:p w14:paraId="6DA86925" w14:textId="77777777" w:rsidR="00B0413C" w:rsidRDefault="00B0413C">
      <w:pPr>
        <w:pStyle w:val="EndnoteText"/>
      </w:pPr>
      <w:r>
        <w:rPr>
          <w:rStyle w:val="EndnoteReference"/>
        </w:rPr>
        <w:endnoteRef/>
      </w:r>
      <w:r>
        <w:t xml:space="preserve"> See UNGP 3(d).</w:t>
      </w:r>
    </w:p>
  </w:endnote>
  <w:endnote w:id="41">
    <w:p w14:paraId="70D6A028" w14:textId="77777777" w:rsidR="00B0413C" w:rsidRDefault="00B0413C">
      <w:pPr>
        <w:pStyle w:val="EndnoteText"/>
      </w:pPr>
      <w:r>
        <w:rPr>
          <w:rStyle w:val="EndnoteReference"/>
        </w:rPr>
        <w:endnoteRef/>
      </w:r>
      <w:r>
        <w:t xml:space="preserve"> Examples include the UK’s </w:t>
      </w:r>
      <w:r w:rsidRPr="00441FAE">
        <w:rPr>
          <w:i/>
        </w:rPr>
        <w:t>Modern Slavery Act 2015</w:t>
      </w:r>
      <w:r>
        <w:t xml:space="preserve"> and the US’ </w:t>
      </w:r>
      <w:r w:rsidRPr="00441FAE">
        <w:rPr>
          <w:i/>
        </w:rPr>
        <w:t>California Transparency in Supply Chains Act 2010</w:t>
      </w:r>
      <w:r>
        <w:t xml:space="preserve">. </w:t>
      </w:r>
    </w:p>
  </w:endnote>
  <w:endnote w:id="42">
    <w:p w14:paraId="74CB1823" w14:textId="77777777" w:rsidR="00B0413C" w:rsidRDefault="00B0413C" w:rsidP="001B0796">
      <w:pPr>
        <w:pStyle w:val="EndnoteText"/>
      </w:pPr>
      <w:r>
        <w:rPr>
          <w:rStyle w:val="EndnoteReference"/>
        </w:rPr>
        <w:endnoteRef/>
      </w:r>
      <w:r>
        <w:t xml:space="preserve"> </w:t>
      </w:r>
      <w:r w:rsidRPr="0087246F">
        <w:t xml:space="preserve">‘Sustainability Reporting for all </w:t>
      </w:r>
      <w:r>
        <w:t xml:space="preserve">listed </w:t>
      </w:r>
      <w:r w:rsidRPr="0087246F">
        <w:t>companies mandatory from FY2017’</w:t>
      </w:r>
      <w:r>
        <w:t>,</w:t>
      </w:r>
      <w:r w:rsidRPr="0087246F">
        <w:t xml:space="preserve"> </w:t>
      </w:r>
      <w:r w:rsidRPr="0087246F">
        <w:rPr>
          <w:i/>
        </w:rPr>
        <w:t>Today</w:t>
      </w:r>
      <w:r w:rsidRPr="0087246F">
        <w:t xml:space="preserve"> (online),</w:t>
      </w:r>
      <w:r>
        <w:t xml:space="preserve"> 21 June 2016. At: </w:t>
      </w:r>
      <w:hyperlink r:id="rId20" w:history="1">
        <w:r w:rsidRPr="00A55DED">
          <w:rPr>
            <w:rStyle w:val="Hyperlink"/>
          </w:rPr>
          <w:t>http://www.todayonline.com/business/sustainability-reporting-all-listed-companies-mandatory-fy2017</w:t>
        </w:r>
      </w:hyperlink>
      <w:r>
        <w:t xml:space="preserve">. </w:t>
      </w:r>
    </w:p>
  </w:endnote>
  <w:endnote w:id="43">
    <w:p w14:paraId="2E69EF6D" w14:textId="77777777" w:rsidR="00B0413C" w:rsidRDefault="00B0413C" w:rsidP="001B0796">
      <w:pPr>
        <w:pStyle w:val="EndnoteText"/>
      </w:pPr>
      <w:r>
        <w:rPr>
          <w:rStyle w:val="EndnoteReference"/>
        </w:rPr>
        <w:endnoteRef/>
      </w:r>
      <w:r>
        <w:t xml:space="preserve"> In the manner of the </w:t>
      </w:r>
      <w:r w:rsidRPr="004A6F3F">
        <w:t xml:space="preserve">US Department of Labor </w:t>
      </w:r>
      <w:r>
        <w:t>reporting on forced and child labour. At:</w:t>
      </w:r>
      <w:r w:rsidRPr="00701A75">
        <w:t xml:space="preserve"> </w:t>
      </w:r>
      <w:hyperlink r:id="rId21" w:history="1">
        <w:r w:rsidRPr="00A55DED">
          <w:rPr>
            <w:rStyle w:val="Hyperlink"/>
          </w:rPr>
          <w:t>https://www.dol.gov/agencies/ilab/resources/reports/child-labor</w:t>
        </w:r>
      </w:hyperlink>
      <w:r>
        <w:t xml:space="preserve">.  </w:t>
      </w:r>
    </w:p>
  </w:endnote>
  <w:endnote w:id="44">
    <w:p w14:paraId="3112F40D" w14:textId="77777777" w:rsidR="00B0413C" w:rsidRPr="00BB36CE" w:rsidRDefault="00B0413C" w:rsidP="001B0796">
      <w:pPr>
        <w:pStyle w:val="EndnoteText"/>
      </w:pPr>
      <w:r>
        <w:rPr>
          <w:rStyle w:val="EndnoteReference"/>
        </w:rPr>
        <w:endnoteRef/>
      </w:r>
      <w:r>
        <w:t xml:space="preserve"> Noting the findings of</w:t>
      </w:r>
      <w:r w:rsidRPr="00BB36CE">
        <w:t xml:space="preserve"> </w:t>
      </w:r>
      <w:r w:rsidRPr="00E95F81">
        <w:t xml:space="preserve">KPMG’s </w:t>
      </w:r>
      <w:r w:rsidRPr="0053472B">
        <w:rPr>
          <w:i/>
        </w:rPr>
        <w:t>ASX Corporate Governance Council Adoption of Third Edition Corporate Governance Principles and Recommendations Analysis of Disclosures for the Financial Years Ended Between 1 January 2015 and 31 December 2015</w:t>
      </w:r>
      <w:r>
        <w:t xml:space="preserve">, available at: </w:t>
      </w:r>
      <w:hyperlink r:id="rId22" w:history="1">
        <w:r w:rsidRPr="00107C1D">
          <w:rPr>
            <w:rStyle w:val="Hyperlink"/>
          </w:rPr>
          <w:t>https://assets.kpmg.com/content/dam/kpmg/pdf/2016/05/asx-corporate-governance-council-principles-recommendations-jan-dec-2015.pdf</w:t>
        </w:r>
      </w:hyperlink>
      <w:r w:rsidRPr="00176473">
        <w:rPr>
          <w:rStyle w:val="Hyperlink"/>
          <w:u w:val="none"/>
        </w:rPr>
        <w:t xml:space="preserve">. </w:t>
      </w:r>
      <w:r w:rsidRPr="00176473">
        <w:t xml:space="preserve">This </w:t>
      </w:r>
      <w:r>
        <w:t xml:space="preserve">report </w:t>
      </w:r>
      <w:r w:rsidRPr="00BB36CE">
        <w:t xml:space="preserve">identifies two </w:t>
      </w:r>
      <w:r>
        <w:t>main</w:t>
      </w:r>
      <w:r w:rsidRPr="00BB36CE">
        <w:t xml:space="preserve"> issues rela</w:t>
      </w:r>
      <w:r>
        <w:t xml:space="preserve">ting to disclosures against ASX Corporate Governance Recommendation </w:t>
      </w:r>
      <w:r w:rsidRPr="00BB36CE">
        <w:t>7.4 (disclosure of material exposure to economic, environmental or social sustainability risks and how these are managed). Issue 1: differences in interpretation of what con</w:t>
      </w:r>
      <w:r>
        <w:t>stitutes ‘material risk’. I</w:t>
      </w:r>
      <w:r w:rsidRPr="00BB36CE">
        <w:t>ssue</w:t>
      </w:r>
      <w:r>
        <w:t xml:space="preserve"> 2</w:t>
      </w:r>
      <w:r w:rsidRPr="00BB36CE">
        <w:t>: no information provided by entities to support how</w:t>
      </w:r>
      <w:r>
        <w:t xml:space="preserve"> the</w:t>
      </w:r>
      <w:r w:rsidRPr="00BB36CE">
        <w:t xml:space="preserve"> material risk</w:t>
      </w:r>
      <w:r>
        <w:t xml:space="preserve"> is</w:t>
      </w:r>
      <w:r w:rsidRPr="00CD526F">
        <w:t xml:space="preserve"> </w:t>
      </w:r>
      <w:r w:rsidRPr="00BB36CE">
        <w:t>assessed.</w:t>
      </w:r>
    </w:p>
  </w:endnote>
  <w:endnote w:id="45">
    <w:p w14:paraId="3F296D31" w14:textId="77777777" w:rsidR="00B0413C" w:rsidRDefault="00B0413C" w:rsidP="001B0796">
      <w:pPr>
        <w:pStyle w:val="EndnoteText"/>
      </w:pPr>
      <w:r>
        <w:rPr>
          <w:rStyle w:val="EndnoteReference"/>
        </w:rPr>
        <w:endnoteRef/>
      </w:r>
      <w:r>
        <w:t xml:space="preserve"> See UNGP 25.</w:t>
      </w:r>
    </w:p>
  </w:endnote>
  <w:endnote w:id="46">
    <w:p w14:paraId="334EBBCE" w14:textId="77777777" w:rsidR="00B0413C" w:rsidRDefault="00B0413C" w:rsidP="001B0796">
      <w:pPr>
        <w:pStyle w:val="EndnoteText"/>
      </w:pPr>
      <w:r>
        <w:rPr>
          <w:rStyle w:val="EndnoteReference"/>
        </w:rPr>
        <w:endnoteRef/>
      </w:r>
      <w:r>
        <w:t xml:space="preserve"> See UNGP 26 in relation to judicial mechanisms. See also Commentary on UNGP 27 with regard to barriers preventing access to non-judicial remedy mechanisms.</w:t>
      </w:r>
    </w:p>
  </w:endnote>
  <w:endnote w:id="47">
    <w:p w14:paraId="6E87A0DB" w14:textId="77777777" w:rsidR="00B0413C" w:rsidRDefault="00B0413C" w:rsidP="001B0796">
      <w:pPr>
        <w:pStyle w:val="EndnoteText"/>
      </w:pPr>
      <w:r>
        <w:rPr>
          <w:rStyle w:val="EndnoteReference"/>
        </w:rPr>
        <w:endnoteRef/>
      </w:r>
      <w:r>
        <w:t xml:space="preserve"> Examples include mechanisms provided via the </w:t>
      </w:r>
      <w:r w:rsidRPr="00DA37D9">
        <w:t>OECD N</w:t>
      </w:r>
      <w:r>
        <w:t xml:space="preserve">ational </w:t>
      </w:r>
      <w:r w:rsidRPr="00DA37D9">
        <w:t>C</w:t>
      </w:r>
      <w:r>
        <w:t xml:space="preserve">ontact </w:t>
      </w:r>
      <w:r w:rsidRPr="00DA37D9">
        <w:t>P</w:t>
      </w:r>
      <w:r>
        <w:t>oint</w:t>
      </w:r>
      <w:r w:rsidRPr="00DA37D9">
        <w:t xml:space="preserve">, International Finance Corporation Compliance Advisor Ombudsman (CAO), </w:t>
      </w:r>
      <w:r>
        <w:t>Australian Human Rights Commission</w:t>
      </w:r>
      <w:r w:rsidRPr="00DA37D9">
        <w:t>, M</w:t>
      </w:r>
      <w:r>
        <w:t>ulti-</w:t>
      </w:r>
      <w:r w:rsidRPr="00DA37D9">
        <w:t>S</w:t>
      </w:r>
      <w:r>
        <w:t xml:space="preserve">takeholder </w:t>
      </w:r>
      <w:r w:rsidRPr="00DA37D9">
        <w:t>I</w:t>
      </w:r>
      <w:r>
        <w:t>nitiatives (such as the Ethical Trading Initiative and</w:t>
      </w:r>
      <w:r w:rsidRPr="00DA37D9">
        <w:t xml:space="preserve"> Roundtable on Sustainable Palm Oil)</w:t>
      </w:r>
      <w:r>
        <w:t>.</w:t>
      </w:r>
    </w:p>
  </w:endnote>
  <w:endnote w:id="48">
    <w:p w14:paraId="6432D549" w14:textId="77777777" w:rsidR="00B0413C" w:rsidRDefault="00B0413C" w:rsidP="001B0796">
      <w:pPr>
        <w:pStyle w:val="EndnoteText"/>
      </w:pPr>
      <w:r>
        <w:rPr>
          <w:rStyle w:val="EndnoteReference"/>
        </w:rPr>
        <w:endnoteRef/>
      </w:r>
      <w:r>
        <w:t xml:space="preserve"> </w:t>
      </w:r>
      <w:r>
        <w:rPr>
          <w:rFonts w:cs="Arial"/>
        </w:rPr>
        <w:t xml:space="preserve">Noting the Office of the High Commissioner for Human Rights, </w:t>
      </w:r>
      <w:r>
        <w:rPr>
          <w:rFonts w:cs="Arial"/>
          <w:i/>
        </w:rPr>
        <w:t>Accountability and Remedy Project</w:t>
      </w:r>
      <w:r>
        <w:rPr>
          <w:rFonts w:cs="Arial"/>
        </w:rPr>
        <w:t xml:space="preserve"> draft Discussion paper for consultation 19-20 November 2015, 'good practice indicators', Box 2, page 21, accessible at: </w:t>
      </w:r>
      <w:hyperlink r:id="rId23" w:history="1">
        <w:r>
          <w:rPr>
            <w:rStyle w:val="Hyperlink"/>
            <w:rFonts w:cs="Arial"/>
          </w:rPr>
          <w:t>http://businesshumanrights.org/sites/default/files/documents/Accountability%20and%20Remedy%20Project%20-%20Discussion%20paper%20for%20consultation.pdf</w:t>
        </w:r>
      </w:hyperlink>
      <w:r>
        <w:rPr>
          <w:rFonts w:cs="Arial"/>
        </w:rPr>
        <w:t>.</w:t>
      </w:r>
    </w:p>
  </w:endnote>
  <w:endnote w:id="49">
    <w:p w14:paraId="0D2D48BC" w14:textId="77777777" w:rsidR="00B0413C" w:rsidRDefault="00B0413C">
      <w:pPr>
        <w:pStyle w:val="EndnoteText"/>
      </w:pPr>
      <w:r>
        <w:rPr>
          <w:rStyle w:val="EndnoteReference"/>
        </w:rPr>
        <w:endnoteRef/>
      </w:r>
      <w:r>
        <w:t xml:space="preserve"> See OECD Watch,</w:t>
      </w:r>
      <w:r w:rsidRPr="00BF0CB2">
        <w:rPr>
          <w:i/>
        </w:rPr>
        <w:t xml:space="preserve"> A “4x10” plan for why and how to unlock the potential of the OECD Guidelines</w:t>
      </w:r>
      <w:r>
        <w:rPr>
          <w:i/>
        </w:rPr>
        <w:t>,</w:t>
      </w:r>
      <w:r w:rsidRPr="00BF0CB2">
        <w:t xml:space="preserve"> 3 June 201</w:t>
      </w:r>
      <w:r w:rsidRPr="00CB2B9E">
        <w:t>6</w:t>
      </w:r>
      <w:r>
        <w:t>,</w:t>
      </w:r>
      <w:r w:rsidRPr="00BF0CB2">
        <w:t xml:space="preserve"> at:</w:t>
      </w:r>
      <w:r w:rsidRPr="00BF0CB2">
        <w:rPr>
          <w:i/>
        </w:rPr>
        <w:t xml:space="preserve"> </w:t>
      </w:r>
      <w:hyperlink r:id="rId24" w:history="1">
        <w:r w:rsidRPr="00CB2B9E">
          <w:rPr>
            <w:rStyle w:val="Hyperlink"/>
          </w:rPr>
          <w:t>http://www.oecdwatch.org/news-en/a-201c4x10201d-plan-for-why-and-how-to-unlock-the-potential-of-the-oecd-guidelines</w:t>
        </w:r>
      </w:hyperlink>
      <w:r>
        <w:t>.</w:t>
      </w:r>
    </w:p>
  </w:endnote>
  <w:endnote w:id="50">
    <w:p w14:paraId="1D4C0767" w14:textId="77777777" w:rsidR="00B0413C" w:rsidRDefault="00B0413C" w:rsidP="00241685">
      <w:pPr>
        <w:pStyle w:val="EndnoteText"/>
      </w:pPr>
      <w:r>
        <w:rPr>
          <w:rStyle w:val="EndnoteReference"/>
        </w:rPr>
        <w:endnoteRef/>
      </w:r>
      <w:r>
        <w:t xml:space="preserve"> See </w:t>
      </w:r>
      <w:r w:rsidRPr="0053472B">
        <w:rPr>
          <w:i/>
        </w:rPr>
        <w:t>G-7 Leaders' Declaration</w:t>
      </w:r>
      <w:r>
        <w:t>, Schloss Elmau, Germany, 8 June 2015, at:</w:t>
      </w:r>
    </w:p>
    <w:p w14:paraId="08C4A940" w14:textId="77777777" w:rsidR="00B0413C" w:rsidRDefault="00350C3C" w:rsidP="00241685">
      <w:pPr>
        <w:pStyle w:val="EndnoteText"/>
      </w:pPr>
      <w:hyperlink r:id="rId25" w:history="1">
        <w:r w:rsidR="00B0413C" w:rsidRPr="00A55DED">
          <w:rPr>
            <w:rStyle w:val="Hyperlink"/>
          </w:rPr>
          <w:t>https://www.whitehouse.gov/the-press-office/2015/06/08/g-7-leaders-declaration</w:t>
        </w:r>
      </w:hyperlink>
      <w:r w:rsidR="00B0413C">
        <w:t>.</w:t>
      </w:r>
    </w:p>
  </w:endnote>
  <w:endnote w:id="51">
    <w:p w14:paraId="7B9DC3E1" w14:textId="77777777" w:rsidR="00B0413C" w:rsidRPr="00FA1A5C" w:rsidRDefault="00B0413C" w:rsidP="001B0796">
      <w:pPr>
        <w:pStyle w:val="EndnoteText"/>
        <w:rPr>
          <w:rFonts w:cs="Arial"/>
          <w:bCs/>
          <w:iCs/>
        </w:rPr>
      </w:pPr>
      <w:r>
        <w:rPr>
          <w:rStyle w:val="EndnoteReference"/>
        </w:rPr>
        <w:endnoteRef/>
      </w:r>
      <w:r>
        <w:t xml:space="preserve"> </w:t>
      </w:r>
      <w:r>
        <w:rPr>
          <w:rFonts w:cs="Arial"/>
          <w:bCs/>
          <w:iCs/>
        </w:rPr>
        <w:t>The Aus</w:t>
      </w:r>
      <w:r w:rsidRPr="00FA1A5C">
        <w:rPr>
          <w:rFonts w:cs="Arial"/>
          <w:bCs/>
          <w:iCs/>
        </w:rPr>
        <w:t xml:space="preserve">NCP </w:t>
      </w:r>
      <w:r>
        <w:rPr>
          <w:rFonts w:cs="Arial"/>
          <w:bCs/>
          <w:iCs/>
        </w:rPr>
        <w:t>is noteworthy</w:t>
      </w:r>
      <w:r w:rsidRPr="00FA1A5C">
        <w:rPr>
          <w:rFonts w:cs="Arial"/>
          <w:bCs/>
          <w:iCs/>
        </w:rPr>
        <w:t xml:space="preserve"> in this regard for not having a</w:t>
      </w:r>
      <w:r>
        <w:rPr>
          <w:rFonts w:cs="Arial"/>
          <w:bCs/>
          <w:iCs/>
        </w:rPr>
        <w:t xml:space="preserve"> follow-up mechanism. See </w:t>
      </w:r>
      <w:r>
        <w:t xml:space="preserve">Trade Union Cases, </w:t>
      </w:r>
      <w:r>
        <w:rPr>
          <w:i/>
        </w:rPr>
        <w:t>National Contact Point Comparison,</w:t>
      </w:r>
      <w:r>
        <w:t xml:space="preserve"> available at: </w:t>
      </w:r>
      <w:hyperlink r:id="rId26" w:history="1">
        <w:r w:rsidRPr="00FA1A5C">
          <w:rPr>
            <w:rStyle w:val="Hyperlink"/>
          </w:rPr>
          <w:t>http://www.tuacoecdmneguidelines.org/NCPcomparisonAll.asp</w:t>
        </w:r>
      </w:hyperlink>
      <w:r>
        <w:t>.</w:t>
      </w:r>
    </w:p>
    <w:p w14:paraId="6E708173" w14:textId="77777777" w:rsidR="00B0413C" w:rsidRDefault="00B0413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985DF" w14:textId="77777777" w:rsidR="00B0413C" w:rsidRPr="0090165F" w:rsidRDefault="00B0413C" w:rsidP="00162A8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91738" w14:textId="77777777" w:rsidR="00B0413C" w:rsidRPr="004A187B" w:rsidRDefault="00B0413C" w:rsidP="008B23BC">
    <w:pPr>
      <w:pStyle w:val="Footer"/>
    </w:pPr>
    <w:r>
      <w:rPr>
        <w:noProof/>
      </w:rPr>
      <mc:AlternateContent>
        <mc:Choice Requires="wps">
          <w:drawing>
            <wp:anchor distT="0" distB="0" distL="114300" distR="114300" simplePos="0" relativeHeight="251662336" behindDoc="0" locked="0" layoutInCell="1" allowOverlap="1" wp14:anchorId="6BE1010B" wp14:editId="31F1E454">
              <wp:simplePos x="0" y="0"/>
              <wp:positionH relativeFrom="column">
                <wp:posOffset>-548005</wp:posOffset>
              </wp:positionH>
              <wp:positionV relativeFrom="paragraph">
                <wp:posOffset>-1339215</wp:posOffset>
              </wp:positionV>
              <wp:extent cx="6071235" cy="906780"/>
              <wp:effectExtent l="0" t="0" r="571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906780"/>
                      </a:xfrm>
                      <a:prstGeom prst="rect">
                        <a:avLst/>
                      </a:prstGeom>
                      <a:noFill/>
                      <a:ln w="6350">
                        <a:noFill/>
                      </a:ln>
                      <a:effectLst/>
                    </wps:spPr>
                    <wps:txbx>
                      <w:txbxContent>
                        <w:p w14:paraId="142F5A41" w14:textId="77777777" w:rsidR="00B0413C" w:rsidRPr="0003606D" w:rsidRDefault="00B0413C" w:rsidP="00730BD2">
                          <w:pPr>
                            <w:pStyle w:val="coveraddress"/>
                          </w:pPr>
                          <w:r w:rsidRPr="0003606D">
                            <w:t>ABN 47 996 232 602</w:t>
                          </w:r>
                        </w:p>
                        <w:p w14:paraId="77A63DE9" w14:textId="77777777" w:rsidR="00B0413C" w:rsidRPr="0003606D" w:rsidRDefault="00B0413C" w:rsidP="00730BD2">
                          <w:pPr>
                            <w:pStyle w:val="coveraddress"/>
                          </w:pPr>
                          <w:r w:rsidRPr="0003606D">
                            <w:t>Level 3, 175 Pitt Street, Sydney NSW 2000</w:t>
                          </w:r>
                        </w:p>
                        <w:p w14:paraId="3FA20CBB" w14:textId="77777777" w:rsidR="00B0413C" w:rsidRPr="0003606D" w:rsidRDefault="00B0413C" w:rsidP="00730BD2">
                          <w:pPr>
                            <w:pStyle w:val="coveraddress"/>
                          </w:pPr>
                          <w:r w:rsidRPr="0003606D">
                            <w:t>GPO Box 5218, Sydney NSW 2001</w:t>
                          </w:r>
                        </w:p>
                        <w:p w14:paraId="46CF29CA" w14:textId="77777777" w:rsidR="00B0413C" w:rsidRPr="0003606D" w:rsidRDefault="00B0413C" w:rsidP="00730BD2">
                          <w:pPr>
                            <w:pStyle w:val="coveraddress"/>
                          </w:pPr>
                          <w:r w:rsidRPr="0003606D">
                            <w:t>General enquiries 1300 369 711</w:t>
                          </w:r>
                        </w:p>
                        <w:p w14:paraId="14830BA5" w14:textId="77777777" w:rsidR="00B0413C" w:rsidRPr="0003606D" w:rsidRDefault="00B0413C" w:rsidP="00730BD2">
                          <w:pPr>
                            <w:pStyle w:val="coveraddress"/>
                          </w:pPr>
                          <w:r w:rsidRPr="0003606D">
                            <w:t>Complaints info line 1300 656 419</w:t>
                          </w:r>
                        </w:p>
                        <w:p w14:paraId="02626394" w14:textId="77777777" w:rsidR="00B0413C" w:rsidRPr="0003606D" w:rsidRDefault="00B0413C" w:rsidP="00730BD2">
                          <w:pPr>
                            <w:pStyle w:val="coveraddress"/>
                          </w:pPr>
                          <w:r w:rsidRPr="0003606D">
                            <w:t>TTY 1800 620 241</w:t>
                          </w:r>
                        </w:p>
                        <w:p w14:paraId="1392E5CE" w14:textId="77777777" w:rsidR="00B0413C" w:rsidRPr="00B63D24" w:rsidRDefault="00B0413C" w:rsidP="00730BD2">
                          <w:pPr>
                            <w:pStyle w:val="Footer"/>
                          </w:pPr>
                          <w:r w:rsidRPr="00B63D24">
                            <w:tab/>
                          </w:r>
                        </w:p>
                        <w:p w14:paraId="0586DCCB" w14:textId="77777777" w:rsidR="00B0413C" w:rsidRPr="00B63D24" w:rsidRDefault="00B0413C" w:rsidP="00B63D24">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1010B" id="_x0000_t202" coordsize="21600,21600" o:spt="202" path="m,l,21600r21600,l21600,xe">
              <v:stroke joinstyle="miter"/>
              <v:path gradientshapeok="t" o:connecttype="rect"/>
            </v:shapetype>
            <v:shape id="Text Box 6" o:spid="_x0000_s1028" type="#_x0000_t202" style="position:absolute;margin-left:-43.15pt;margin-top:-105.45pt;width:478.05pt;height:7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" filled="f" stroked="f" strokeweight=".5pt">
              <v:path arrowok="t"/>
              <v:textbox inset="0,0,0,0">
                <w:txbxContent>
                  <w:p w14:paraId="142F5A41" w14:textId="77777777" w:rsidR="00B0413C" w:rsidRPr="0003606D" w:rsidRDefault="00B0413C" w:rsidP="00730BD2">
                    <w:pPr>
                      <w:pStyle w:val="coveraddress"/>
                    </w:pPr>
                    <w:r w:rsidRPr="0003606D">
                      <w:t>ABN 47 996 232 602</w:t>
                    </w:r>
                  </w:p>
                  <w:p w14:paraId="77A63DE9" w14:textId="77777777" w:rsidR="00B0413C" w:rsidRPr="0003606D" w:rsidRDefault="00B0413C" w:rsidP="00730BD2">
                    <w:pPr>
                      <w:pStyle w:val="coveraddress"/>
                    </w:pPr>
                    <w:r w:rsidRPr="0003606D">
                      <w:t>Level 3, 175 Pitt Street, Sydney NSW 2000</w:t>
                    </w:r>
                  </w:p>
                  <w:p w14:paraId="3FA20CBB" w14:textId="77777777" w:rsidR="00B0413C" w:rsidRPr="0003606D" w:rsidRDefault="00B0413C" w:rsidP="00730BD2">
                    <w:pPr>
                      <w:pStyle w:val="coveraddress"/>
                    </w:pPr>
                    <w:r w:rsidRPr="0003606D">
                      <w:t>GPO Box 5218, Sydney NSW 2001</w:t>
                    </w:r>
                  </w:p>
                  <w:p w14:paraId="46CF29CA" w14:textId="77777777" w:rsidR="00B0413C" w:rsidRPr="0003606D" w:rsidRDefault="00B0413C" w:rsidP="00730BD2">
                    <w:pPr>
                      <w:pStyle w:val="coveraddress"/>
                    </w:pPr>
                    <w:r w:rsidRPr="0003606D">
                      <w:t>General enquiries 1300 369 711</w:t>
                    </w:r>
                  </w:p>
                  <w:p w14:paraId="14830BA5" w14:textId="77777777" w:rsidR="00B0413C" w:rsidRPr="0003606D" w:rsidRDefault="00B0413C" w:rsidP="00730BD2">
                    <w:pPr>
                      <w:pStyle w:val="coveraddress"/>
                    </w:pPr>
                    <w:r w:rsidRPr="0003606D">
                      <w:t>Complaints info line 1300 656 419</w:t>
                    </w:r>
                  </w:p>
                  <w:p w14:paraId="02626394" w14:textId="77777777" w:rsidR="00B0413C" w:rsidRPr="0003606D" w:rsidRDefault="00B0413C" w:rsidP="00730BD2">
                    <w:pPr>
                      <w:pStyle w:val="coveraddress"/>
                    </w:pPr>
                    <w:r w:rsidRPr="0003606D">
                      <w:t>TTY 1800 620 241</w:t>
                    </w:r>
                  </w:p>
                  <w:p w14:paraId="1392E5CE" w14:textId="77777777" w:rsidR="00B0413C" w:rsidRPr="00B63D24" w:rsidRDefault="00B0413C" w:rsidP="00730BD2">
                    <w:pPr>
                      <w:pStyle w:val="Footer"/>
                    </w:pPr>
                    <w:r w:rsidRPr="00B63D24">
                      <w:tab/>
                    </w:r>
                  </w:p>
                  <w:p w14:paraId="0586DCCB" w14:textId="77777777" w:rsidR="00B0413C" w:rsidRPr="00B63D24" w:rsidRDefault="00B0413C" w:rsidP="00B63D24">
                    <w:pPr>
                      <w:pStyle w:val="Foote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8740" w14:textId="51140082" w:rsidR="00B0413C" w:rsidRPr="0090165F" w:rsidRDefault="00B0413C"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50C3C">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87CAE" w14:textId="77777777" w:rsidR="00B0413C" w:rsidRDefault="00B0413C" w:rsidP="00F14C6D">
      <w:r>
        <w:separator/>
      </w:r>
    </w:p>
  </w:footnote>
  <w:footnote w:type="continuationSeparator" w:id="0">
    <w:p w14:paraId="4188145B" w14:textId="77777777" w:rsidR="00B0413C" w:rsidRDefault="00B0413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80A4" w14:textId="77777777" w:rsidR="00B0413C" w:rsidRDefault="00350C3C">
    <w:pPr>
      <w:pStyle w:val="Header"/>
    </w:pPr>
    <w:r>
      <w:rPr>
        <w:noProof/>
      </w:rPr>
      <w:pict w14:anchorId="2183D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4098" type="#_x0000_t75" style="position:absolute;margin-left:0;margin-top:0;width:595.65pt;height:870.15pt;z-index:-251656192;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FC5F7" w14:textId="77777777" w:rsidR="00B0413C" w:rsidRPr="00D27262" w:rsidRDefault="00350C3C" w:rsidP="002B1B65">
    <w:pPr>
      <w:spacing w:before="0" w:after="0"/>
      <w:jc w:val="right"/>
      <w:rPr>
        <w:sz w:val="22"/>
        <w:szCs w:val="22"/>
      </w:rPr>
    </w:pPr>
    <w:r>
      <w:rPr>
        <w:noProof/>
        <w:sz w:val="22"/>
        <w:szCs w:val="22"/>
      </w:rPr>
      <w:pict w14:anchorId="59ED7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4099" type="#_x0000_t75" style="position:absolute;left:0;text-align:left;margin-left:0;margin-top:0;width:595.65pt;height:870.15pt;z-index:-251655168;mso-position-horizontal:center;mso-position-horizontal-relative:margin;mso-position-vertical:center;mso-position-vertical-relative:margin" o:allowincell="f">
          <v:imagedata r:id="rId1" o:title="MS word cover1"/>
          <w10:wrap anchorx="margin" anchory="margin"/>
        </v:shape>
      </w:pict>
    </w:r>
    <w:r w:rsidR="00B0413C" w:rsidRPr="00D27262">
      <w:rPr>
        <w:sz w:val="22"/>
        <w:szCs w:val="22"/>
      </w:rPr>
      <w:t>Au</w:t>
    </w:r>
    <w:r w:rsidR="00B0413C">
      <w:rPr>
        <w:sz w:val="22"/>
        <w:szCs w:val="22"/>
      </w:rPr>
      <w:t>stralian Human Rights Commission</w:t>
    </w:r>
  </w:p>
  <w:p w14:paraId="723A6367" w14:textId="77777777" w:rsidR="00B0413C" w:rsidRDefault="00B0413C"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0413C" w:rsidRPr="00B85DD4" w14:paraId="4234AC0D" w14:textId="77777777" w:rsidTr="00165E3C">
      <w:trPr>
        <w:trHeight w:val="1276"/>
      </w:trPr>
      <w:tc>
        <w:tcPr>
          <w:tcW w:w="1508" w:type="dxa"/>
        </w:tcPr>
        <w:p w14:paraId="426E61CE" w14:textId="77777777" w:rsidR="00B0413C" w:rsidRPr="00B85DD4" w:rsidRDefault="00B0413C" w:rsidP="00B520BC">
          <w:pPr>
            <w:pStyle w:val="Header"/>
            <w:tabs>
              <w:tab w:val="left" w:pos="4686"/>
              <w:tab w:val="left" w:pos="7088"/>
              <w:tab w:val="left" w:pos="7242"/>
            </w:tabs>
            <w:ind w:left="-108"/>
            <w:rPr>
              <w:rFonts w:cs="ArialMT"/>
              <w:b/>
              <w:spacing w:val="-20"/>
            </w:rPr>
          </w:pPr>
        </w:p>
      </w:tc>
      <w:tc>
        <w:tcPr>
          <w:tcW w:w="2688" w:type="dxa"/>
          <w:vAlign w:val="center"/>
        </w:tcPr>
        <w:p w14:paraId="1FAAE950" w14:textId="77777777" w:rsidR="00B0413C" w:rsidRPr="00B85DD4" w:rsidRDefault="00B0413C" w:rsidP="002B1B65">
          <w:pPr>
            <w:spacing w:before="0" w:after="0"/>
            <w:rPr>
              <w:rFonts w:cs="ArialMT"/>
              <w:i/>
              <w:color w:val="808080"/>
              <w:sz w:val="17"/>
            </w:rPr>
          </w:pPr>
        </w:p>
      </w:tc>
      <w:tc>
        <w:tcPr>
          <w:tcW w:w="2302" w:type="dxa"/>
        </w:tcPr>
        <w:p w14:paraId="7AC574DB" w14:textId="77777777" w:rsidR="00B0413C" w:rsidRPr="00B85DD4" w:rsidRDefault="00B0413C" w:rsidP="00B520BC">
          <w:pPr>
            <w:pStyle w:val="HeaderFooter"/>
            <w:rPr>
              <w:b/>
              <w:spacing w:val="-20"/>
              <w:sz w:val="40"/>
            </w:rPr>
          </w:pPr>
        </w:p>
      </w:tc>
      <w:tc>
        <w:tcPr>
          <w:tcW w:w="2130" w:type="dxa"/>
        </w:tcPr>
        <w:p w14:paraId="0420EAC0" w14:textId="77777777" w:rsidR="00B0413C" w:rsidRPr="00B85DD4" w:rsidRDefault="00B0413C" w:rsidP="00B520BC">
          <w:pPr>
            <w:pStyle w:val="HeaderFooter"/>
            <w:rPr>
              <w:b/>
              <w:spacing w:val="-20"/>
              <w:sz w:val="40"/>
            </w:rPr>
          </w:pPr>
        </w:p>
      </w:tc>
      <w:tc>
        <w:tcPr>
          <w:tcW w:w="1721" w:type="dxa"/>
        </w:tcPr>
        <w:p w14:paraId="7DDA7E85" w14:textId="77777777" w:rsidR="00B0413C" w:rsidRPr="00B85DD4" w:rsidRDefault="00B0413C" w:rsidP="00B520BC">
          <w:pPr>
            <w:pStyle w:val="HeaderFooter"/>
            <w:spacing w:before="227" w:after="340"/>
            <w:rPr>
              <w:b/>
              <w:spacing w:val="-20"/>
              <w:sz w:val="40"/>
            </w:rPr>
          </w:pPr>
        </w:p>
      </w:tc>
    </w:tr>
  </w:tbl>
  <w:p w14:paraId="79B952C0" w14:textId="77777777" w:rsidR="00B0413C" w:rsidRDefault="00350C3C">
    <w:pPr>
      <w:pStyle w:val="Header"/>
    </w:pPr>
    <w:r>
      <w:rPr>
        <w:rFonts w:cs="ArialMT"/>
        <w:b/>
        <w:noProof/>
        <w:spacing w:val="-20"/>
      </w:rPr>
      <w:pict w14:anchorId="06D31B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4101" type="#_x0000_t75" style="position:absolute;margin-left:-71.05pt;margin-top:-116pt;width:595.65pt;height:870.15pt;z-index:-251657216;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BA3A" w14:textId="77777777" w:rsidR="00B0413C" w:rsidRDefault="00B0413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7E20D" w14:textId="77777777" w:rsidR="00B0413C" w:rsidRPr="00D27262" w:rsidRDefault="00B0413C" w:rsidP="00B34946">
    <w:pPr>
      <w:spacing w:before="0" w:after="60"/>
      <w:jc w:val="right"/>
      <w:rPr>
        <w:sz w:val="22"/>
        <w:szCs w:val="22"/>
      </w:rPr>
    </w:pPr>
    <w:r w:rsidRPr="00D27262">
      <w:rPr>
        <w:sz w:val="22"/>
        <w:szCs w:val="22"/>
      </w:rPr>
      <w:t>Au</w:t>
    </w:r>
    <w:r>
      <w:rPr>
        <w:sz w:val="22"/>
        <w:szCs w:val="22"/>
      </w:rPr>
      <w:t>stralian Human Rights Commission</w:t>
    </w:r>
  </w:p>
  <w:p w14:paraId="4CA7F4A6" w14:textId="363BF15B" w:rsidR="00B0413C" w:rsidRPr="001E5676" w:rsidRDefault="00B0413C" w:rsidP="002F4CE1">
    <w:pPr>
      <w:pStyle w:val="Footer"/>
      <w:spacing w:after="240"/>
      <w:jc w:val="right"/>
      <w:rPr>
        <w:i/>
        <w:sz w:val="18"/>
        <w:szCs w:val="18"/>
      </w:rPr>
    </w:pPr>
    <w:r>
      <w:rPr>
        <w:b/>
        <w:i/>
        <w:sz w:val="18"/>
        <w:szCs w:val="18"/>
      </w:rPr>
      <w:t>Joi</w:t>
    </w:r>
    <w:r w:rsidR="00D818F3">
      <w:rPr>
        <w:b/>
        <w:i/>
        <w:sz w:val="18"/>
        <w:szCs w:val="18"/>
      </w:rPr>
      <w:t>nt Civil Society Statement, August</w:t>
    </w:r>
    <w:r>
      <w:rPr>
        <w:b/>
        <w:i/>
        <w:sz w:val="18"/>
        <w:szCs w:val="18"/>
      </w:rPr>
      <w:t xml:space="preserve"> 2016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B0413C" w:rsidRPr="00B85DD4" w14:paraId="73AFB39E" w14:textId="77777777" w:rsidTr="002B1B65">
      <w:trPr>
        <w:trHeight w:val="1603"/>
      </w:trPr>
      <w:tc>
        <w:tcPr>
          <w:tcW w:w="1508" w:type="dxa"/>
        </w:tcPr>
        <w:p w14:paraId="3E95F3D6" w14:textId="77777777" w:rsidR="00B0413C" w:rsidRPr="00B85DD4" w:rsidRDefault="00B0413C" w:rsidP="00B520BC">
          <w:pPr>
            <w:pStyle w:val="Header"/>
            <w:tabs>
              <w:tab w:val="left" w:pos="4686"/>
              <w:tab w:val="left" w:pos="7088"/>
              <w:tab w:val="left" w:pos="7242"/>
            </w:tabs>
            <w:ind w:left="-108"/>
            <w:rPr>
              <w:rFonts w:cs="ArialMT"/>
              <w:b/>
              <w:spacing w:val="-20"/>
            </w:rPr>
          </w:pPr>
          <w:r w:rsidRPr="00140274">
            <w:rPr>
              <w:rFonts w:cs="ArialMT"/>
              <w:b/>
              <w:noProof/>
              <w:spacing w:val="-20"/>
            </w:rPr>
            <w:drawing>
              <wp:inline distT="0" distB="0" distL="0" distR="0" wp14:anchorId="27D1428F" wp14:editId="21F32BD6">
                <wp:extent cx="819150" cy="819150"/>
                <wp:effectExtent l="0" t="0" r="0" b="0"/>
                <wp:docPr id="8"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9B8221A" w14:textId="77777777" w:rsidR="00B0413C" w:rsidRPr="00D36BB2" w:rsidRDefault="00B0413C" w:rsidP="002B1B65">
          <w:pPr>
            <w:pStyle w:val="LogoType"/>
            <w:pBdr>
              <w:bottom w:val="single" w:sz="4" w:space="1" w:color="808080"/>
            </w:pBdr>
            <w:spacing w:line="240" w:lineRule="auto"/>
          </w:pPr>
          <w:r w:rsidRPr="00D36BB2">
            <w:t>Australian</w:t>
          </w:r>
        </w:p>
        <w:p w14:paraId="4800EC41" w14:textId="77777777" w:rsidR="00B0413C" w:rsidRPr="00D36BB2" w:rsidRDefault="00B0413C" w:rsidP="002B1B65">
          <w:pPr>
            <w:pStyle w:val="LogoType"/>
            <w:pBdr>
              <w:bottom w:val="single" w:sz="4" w:space="1" w:color="808080"/>
            </w:pBdr>
            <w:spacing w:line="240" w:lineRule="auto"/>
          </w:pPr>
          <w:r w:rsidRPr="00D36BB2">
            <w:t>Human Rights</w:t>
          </w:r>
        </w:p>
        <w:p w14:paraId="667444EA" w14:textId="77777777" w:rsidR="00B0413C" w:rsidRPr="00D36BB2" w:rsidRDefault="00B0413C" w:rsidP="002B1B65">
          <w:pPr>
            <w:pStyle w:val="LogoType"/>
            <w:pBdr>
              <w:bottom w:val="single" w:sz="4" w:space="1" w:color="808080"/>
            </w:pBdr>
            <w:spacing w:line="240" w:lineRule="auto"/>
          </w:pPr>
          <w:r w:rsidRPr="00D36BB2">
            <w:t>Commission</w:t>
          </w:r>
        </w:p>
        <w:p w14:paraId="1584B3E8" w14:textId="77777777" w:rsidR="00B0413C" w:rsidRPr="00B85DD4" w:rsidRDefault="00B0413C"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EF6782A" w14:textId="77777777" w:rsidR="00B0413C" w:rsidRPr="00B85DD4" w:rsidRDefault="00B0413C" w:rsidP="00B520BC">
          <w:pPr>
            <w:pStyle w:val="HeaderFooter"/>
            <w:rPr>
              <w:b/>
              <w:spacing w:val="-20"/>
              <w:sz w:val="40"/>
            </w:rPr>
          </w:pPr>
        </w:p>
      </w:tc>
      <w:tc>
        <w:tcPr>
          <w:tcW w:w="2130" w:type="dxa"/>
        </w:tcPr>
        <w:p w14:paraId="706CB587" w14:textId="77777777" w:rsidR="00B0413C" w:rsidRPr="00B85DD4" w:rsidRDefault="00B0413C" w:rsidP="00B520BC">
          <w:pPr>
            <w:pStyle w:val="HeaderFooter"/>
            <w:rPr>
              <w:b/>
              <w:spacing w:val="-20"/>
              <w:sz w:val="40"/>
            </w:rPr>
          </w:pPr>
        </w:p>
      </w:tc>
      <w:tc>
        <w:tcPr>
          <w:tcW w:w="1721" w:type="dxa"/>
        </w:tcPr>
        <w:p w14:paraId="157CE6D2" w14:textId="77777777" w:rsidR="00B0413C" w:rsidRPr="00B85DD4" w:rsidRDefault="00B0413C" w:rsidP="00B520BC">
          <w:pPr>
            <w:pStyle w:val="HeaderFooter"/>
            <w:spacing w:before="227" w:after="340"/>
            <w:rPr>
              <w:b/>
              <w:spacing w:val="-20"/>
              <w:sz w:val="40"/>
            </w:rPr>
          </w:pPr>
        </w:p>
      </w:tc>
    </w:tr>
  </w:tbl>
  <w:p w14:paraId="368AB07B" w14:textId="77777777" w:rsidR="00B0413C" w:rsidRDefault="00B0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27A95"/>
    <w:multiLevelType w:val="multilevel"/>
    <w:tmpl w:val="6A5CEA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2785881"/>
    <w:multiLevelType w:val="multilevel"/>
    <w:tmpl w:val="6A5CEA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2" w15:restartNumberingAfterBreak="0">
    <w:nsid w:val="02CB42F9"/>
    <w:multiLevelType w:val="hybridMultilevel"/>
    <w:tmpl w:val="D8E42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467AD6"/>
    <w:multiLevelType w:val="multilevel"/>
    <w:tmpl w:val="6A5CEA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4" w15:restartNumberingAfterBreak="0">
    <w:nsid w:val="0F3A45A0"/>
    <w:multiLevelType w:val="hybridMultilevel"/>
    <w:tmpl w:val="B538AF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161608EB"/>
    <w:multiLevelType w:val="hybridMultilevel"/>
    <w:tmpl w:val="7A023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CB237C"/>
    <w:multiLevelType w:val="hybridMultilevel"/>
    <w:tmpl w:val="1CBCC8D2"/>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A2C1BBE"/>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1A953D0"/>
    <w:multiLevelType w:val="hybridMultilevel"/>
    <w:tmpl w:val="17661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48166A6"/>
    <w:multiLevelType w:val="hybridMultilevel"/>
    <w:tmpl w:val="84E2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77738B"/>
    <w:multiLevelType w:val="hybridMultilevel"/>
    <w:tmpl w:val="C5C4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8E7D47"/>
    <w:multiLevelType w:val="hybridMultilevel"/>
    <w:tmpl w:val="BA1C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E51104"/>
    <w:multiLevelType w:val="hybridMultilevel"/>
    <w:tmpl w:val="8624A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F7A73"/>
    <w:multiLevelType w:val="multilevel"/>
    <w:tmpl w:val="6A5CEA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lowerLetter"/>
      <w:lvlText w:val="(%3)"/>
      <w:lvlJc w:val="left"/>
      <w:pPr>
        <w:tabs>
          <w:tab w:val="num" w:pos="851"/>
        </w:tabs>
        <w:ind w:left="851" w:hanging="851"/>
      </w:pPr>
      <w:rPr>
        <w:rFonts w:hint="default"/>
        <w:b w:val="0"/>
        <w:i w:val="0"/>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38B49CE"/>
    <w:multiLevelType w:val="hybridMultilevel"/>
    <w:tmpl w:val="35820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6D5642"/>
    <w:multiLevelType w:val="multilevel"/>
    <w:tmpl w:val="6A5CEA8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sz w:val="28"/>
        <w:szCs w:val="28"/>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9" w15:restartNumberingAfterBreak="0">
    <w:nsid w:val="678475A8"/>
    <w:multiLevelType w:val="hybridMultilevel"/>
    <w:tmpl w:val="A002E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0C3CC9"/>
    <w:multiLevelType w:val="hybridMultilevel"/>
    <w:tmpl w:val="4B5C8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2"/>
  </w:num>
  <w:num w:numId="13">
    <w:abstractNumId w:val="17"/>
  </w:num>
  <w:num w:numId="14">
    <w:abstractNumId w:val="16"/>
  </w:num>
  <w:num w:numId="15">
    <w:abstractNumId w:val="11"/>
  </w:num>
  <w:num w:numId="16">
    <w:abstractNumId w:val="30"/>
  </w:num>
  <w:num w:numId="17">
    <w:abstractNumId w:val="13"/>
  </w:num>
  <w:num w:numId="18">
    <w:abstractNumId w:val="14"/>
  </w:num>
  <w:num w:numId="19">
    <w:abstractNumId w:val="28"/>
  </w:num>
  <w:num w:numId="20">
    <w:abstractNumId w:val="25"/>
  </w:num>
  <w:num w:numId="21">
    <w:abstractNumId w:val="10"/>
  </w:num>
  <w:num w:numId="22">
    <w:abstractNumId w:val="15"/>
  </w:num>
  <w:num w:numId="23">
    <w:abstractNumId w:val="29"/>
  </w:num>
  <w:num w:numId="24">
    <w:abstractNumId w:val="24"/>
  </w:num>
  <w:num w:numId="25">
    <w:abstractNumId w:val="12"/>
  </w:num>
  <w:num w:numId="26">
    <w:abstractNumId w:val="21"/>
  </w:num>
  <w:num w:numId="27">
    <w:abstractNumId w:val="27"/>
  </w:num>
  <w:num w:numId="28">
    <w:abstractNumId w:val="20"/>
  </w:num>
  <w:num w:numId="29">
    <w:abstractNumId w:val="19"/>
  </w:num>
  <w:num w:numId="30">
    <w:abstractNumId w:val="23"/>
  </w:num>
  <w:num w:numId="31">
    <w:abstractNumId w:val="18"/>
  </w:num>
  <w:num w:numId="32">
    <w:abstractNumId w:val="18"/>
  </w:num>
  <w:num w:numId="33">
    <w:abstractNumId w:val="18"/>
  </w:num>
  <w:num w:numId="34">
    <w:abstractNumId w:val="18"/>
  </w:num>
  <w:num w:numId="35">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15"/>
    <w:rsid w:val="000019AE"/>
    <w:rsid w:val="00004F4A"/>
    <w:rsid w:val="00006F4F"/>
    <w:rsid w:val="00010449"/>
    <w:rsid w:val="00011C3E"/>
    <w:rsid w:val="0001379B"/>
    <w:rsid w:val="00017B50"/>
    <w:rsid w:val="00017E43"/>
    <w:rsid w:val="00022B81"/>
    <w:rsid w:val="00023A71"/>
    <w:rsid w:val="00026953"/>
    <w:rsid w:val="000316EE"/>
    <w:rsid w:val="000330C4"/>
    <w:rsid w:val="000338C5"/>
    <w:rsid w:val="00033F3D"/>
    <w:rsid w:val="00040A8D"/>
    <w:rsid w:val="000416E6"/>
    <w:rsid w:val="0004529A"/>
    <w:rsid w:val="0004601D"/>
    <w:rsid w:val="00047CF6"/>
    <w:rsid w:val="00054C21"/>
    <w:rsid w:val="0005782E"/>
    <w:rsid w:val="000579B1"/>
    <w:rsid w:val="00061A1F"/>
    <w:rsid w:val="00062C9B"/>
    <w:rsid w:val="000633EC"/>
    <w:rsid w:val="000660E3"/>
    <w:rsid w:val="00066CF9"/>
    <w:rsid w:val="00070DF4"/>
    <w:rsid w:val="000727CB"/>
    <w:rsid w:val="00072DDD"/>
    <w:rsid w:val="0007484B"/>
    <w:rsid w:val="0007666F"/>
    <w:rsid w:val="00077CA1"/>
    <w:rsid w:val="00080955"/>
    <w:rsid w:val="0008155C"/>
    <w:rsid w:val="00087F2A"/>
    <w:rsid w:val="000900A6"/>
    <w:rsid w:val="00090178"/>
    <w:rsid w:val="00094A8D"/>
    <w:rsid w:val="0009617A"/>
    <w:rsid w:val="00096624"/>
    <w:rsid w:val="00096AF6"/>
    <w:rsid w:val="00097192"/>
    <w:rsid w:val="0009748D"/>
    <w:rsid w:val="000A1DB8"/>
    <w:rsid w:val="000A300F"/>
    <w:rsid w:val="000A48AC"/>
    <w:rsid w:val="000A4A2D"/>
    <w:rsid w:val="000A795D"/>
    <w:rsid w:val="000B0259"/>
    <w:rsid w:val="000B0A5D"/>
    <w:rsid w:val="000B1001"/>
    <w:rsid w:val="000B5B0C"/>
    <w:rsid w:val="000B65C9"/>
    <w:rsid w:val="000B6B74"/>
    <w:rsid w:val="000B7F22"/>
    <w:rsid w:val="000C1365"/>
    <w:rsid w:val="000C211E"/>
    <w:rsid w:val="000D1F34"/>
    <w:rsid w:val="000D4804"/>
    <w:rsid w:val="000D61AA"/>
    <w:rsid w:val="000D62A7"/>
    <w:rsid w:val="000D75DF"/>
    <w:rsid w:val="000E03F9"/>
    <w:rsid w:val="000E130A"/>
    <w:rsid w:val="000E2BC1"/>
    <w:rsid w:val="000E2DD4"/>
    <w:rsid w:val="000E3979"/>
    <w:rsid w:val="000E3BBC"/>
    <w:rsid w:val="000E523F"/>
    <w:rsid w:val="000E6E19"/>
    <w:rsid w:val="000E77D6"/>
    <w:rsid w:val="000F05E4"/>
    <w:rsid w:val="000F0FB2"/>
    <w:rsid w:val="000F1250"/>
    <w:rsid w:val="000F43B2"/>
    <w:rsid w:val="000F5195"/>
    <w:rsid w:val="000F5B16"/>
    <w:rsid w:val="000F6D6F"/>
    <w:rsid w:val="0010018E"/>
    <w:rsid w:val="001009C5"/>
    <w:rsid w:val="001032EE"/>
    <w:rsid w:val="001048AF"/>
    <w:rsid w:val="0010546E"/>
    <w:rsid w:val="00105939"/>
    <w:rsid w:val="00106070"/>
    <w:rsid w:val="00107C1D"/>
    <w:rsid w:val="00111F0D"/>
    <w:rsid w:val="00112C4C"/>
    <w:rsid w:val="00113278"/>
    <w:rsid w:val="00115C0E"/>
    <w:rsid w:val="0011716B"/>
    <w:rsid w:val="00123713"/>
    <w:rsid w:val="00124B2B"/>
    <w:rsid w:val="00124EE2"/>
    <w:rsid w:val="00125977"/>
    <w:rsid w:val="00125ACB"/>
    <w:rsid w:val="00127BCD"/>
    <w:rsid w:val="001323CF"/>
    <w:rsid w:val="001327B0"/>
    <w:rsid w:val="001333B7"/>
    <w:rsid w:val="00134774"/>
    <w:rsid w:val="00140056"/>
    <w:rsid w:val="00140118"/>
    <w:rsid w:val="00140274"/>
    <w:rsid w:val="00143CFE"/>
    <w:rsid w:val="001462DF"/>
    <w:rsid w:val="00147CA1"/>
    <w:rsid w:val="00151263"/>
    <w:rsid w:val="00152402"/>
    <w:rsid w:val="00154E15"/>
    <w:rsid w:val="00155149"/>
    <w:rsid w:val="00156AD6"/>
    <w:rsid w:val="00156D59"/>
    <w:rsid w:val="00162A8D"/>
    <w:rsid w:val="00165E3C"/>
    <w:rsid w:val="00167501"/>
    <w:rsid w:val="00172515"/>
    <w:rsid w:val="001731DB"/>
    <w:rsid w:val="00173FB5"/>
    <w:rsid w:val="00176473"/>
    <w:rsid w:val="0018188D"/>
    <w:rsid w:val="0018442B"/>
    <w:rsid w:val="00185842"/>
    <w:rsid w:val="001859BC"/>
    <w:rsid w:val="001868AE"/>
    <w:rsid w:val="00187968"/>
    <w:rsid w:val="00194633"/>
    <w:rsid w:val="001A0C78"/>
    <w:rsid w:val="001A26AA"/>
    <w:rsid w:val="001A3152"/>
    <w:rsid w:val="001A4C79"/>
    <w:rsid w:val="001A5093"/>
    <w:rsid w:val="001A5BA2"/>
    <w:rsid w:val="001A670B"/>
    <w:rsid w:val="001A6A16"/>
    <w:rsid w:val="001B0353"/>
    <w:rsid w:val="001B0796"/>
    <w:rsid w:val="001B228F"/>
    <w:rsid w:val="001B2659"/>
    <w:rsid w:val="001B3F68"/>
    <w:rsid w:val="001B5958"/>
    <w:rsid w:val="001C073B"/>
    <w:rsid w:val="001C130B"/>
    <w:rsid w:val="001C1F8B"/>
    <w:rsid w:val="001C3A47"/>
    <w:rsid w:val="001C3F76"/>
    <w:rsid w:val="001C40B5"/>
    <w:rsid w:val="001C7244"/>
    <w:rsid w:val="001C7837"/>
    <w:rsid w:val="001C7DCA"/>
    <w:rsid w:val="001D2BE9"/>
    <w:rsid w:val="001D3320"/>
    <w:rsid w:val="001D3509"/>
    <w:rsid w:val="001D411F"/>
    <w:rsid w:val="001D4520"/>
    <w:rsid w:val="001D5DA0"/>
    <w:rsid w:val="001D7C55"/>
    <w:rsid w:val="001E1A9E"/>
    <w:rsid w:val="001E1FBA"/>
    <w:rsid w:val="001E2CA9"/>
    <w:rsid w:val="001E4F1E"/>
    <w:rsid w:val="001E5676"/>
    <w:rsid w:val="001E6BDB"/>
    <w:rsid w:val="001E6C59"/>
    <w:rsid w:val="001F2112"/>
    <w:rsid w:val="001F2BBB"/>
    <w:rsid w:val="001F5805"/>
    <w:rsid w:val="001F72EB"/>
    <w:rsid w:val="00200677"/>
    <w:rsid w:val="002022CE"/>
    <w:rsid w:val="002032F4"/>
    <w:rsid w:val="00204EDF"/>
    <w:rsid w:val="002112C8"/>
    <w:rsid w:val="00213350"/>
    <w:rsid w:val="002143C2"/>
    <w:rsid w:val="002145A5"/>
    <w:rsid w:val="00215F1A"/>
    <w:rsid w:val="002216B3"/>
    <w:rsid w:val="00222539"/>
    <w:rsid w:val="00223B19"/>
    <w:rsid w:val="002253CA"/>
    <w:rsid w:val="00225586"/>
    <w:rsid w:val="002255C7"/>
    <w:rsid w:val="002274BC"/>
    <w:rsid w:val="00231275"/>
    <w:rsid w:val="00231ED1"/>
    <w:rsid w:val="00234C16"/>
    <w:rsid w:val="00235ABF"/>
    <w:rsid w:val="00236E27"/>
    <w:rsid w:val="00237430"/>
    <w:rsid w:val="00240E15"/>
    <w:rsid w:val="00240F3E"/>
    <w:rsid w:val="00241685"/>
    <w:rsid w:val="00242624"/>
    <w:rsid w:val="0024557E"/>
    <w:rsid w:val="002506A2"/>
    <w:rsid w:val="00253C1A"/>
    <w:rsid w:val="00254583"/>
    <w:rsid w:val="00255B35"/>
    <w:rsid w:val="002572B3"/>
    <w:rsid w:val="00257F24"/>
    <w:rsid w:val="0026065B"/>
    <w:rsid w:val="00262C77"/>
    <w:rsid w:val="00263801"/>
    <w:rsid w:val="0026483F"/>
    <w:rsid w:val="00266E8A"/>
    <w:rsid w:val="00267BF3"/>
    <w:rsid w:val="00271F89"/>
    <w:rsid w:val="00272B17"/>
    <w:rsid w:val="002741DF"/>
    <w:rsid w:val="002755AD"/>
    <w:rsid w:val="00275E85"/>
    <w:rsid w:val="00275F90"/>
    <w:rsid w:val="00275FF1"/>
    <w:rsid w:val="002772C9"/>
    <w:rsid w:val="0028090E"/>
    <w:rsid w:val="0028097A"/>
    <w:rsid w:val="0028100D"/>
    <w:rsid w:val="00284414"/>
    <w:rsid w:val="00284E20"/>
    <w:rsid w:val="002863D7"/>
    <w:rsid w:val="002867BE"/>
    <w:rsid w:val="002873B4"/>
    <w:rsid w:val="00290CD2"/>
    <w:rsid w:val="00291C79"/>
    <w:rsid w:val="00292F6E"/>
    <w:rsid w:val="002946C6"/>
    <w:rsid w:val="002A09EF"/>
    <w:rsid w:val="002A16EC"/>
    <w:rsid w:val="002A1B77"/>
    <w:rsid w:val="002A23D6"/>
    <w:rsid w:val="002A332A"/>
    <w:rsid w:val="002A6BAF"/>
    <w:rsid w:val="002B0E72"/>
    <w:rsid w:val="002B1B65"/>
    <w:rsid w:val="002B1CD9"/>
    <w:rsid w:val="002B7AC0"/>
    <w:rsid w:val="002C1866"/>
    <w:rsid w:val="002C20B4"/>
    <w:rsid w:val="002C2E5D"/>
    <w:rsid w:val="002C307E"/>
    <w:rsid w:val="002C7598"/>
    <w:rsid w:val="002C7C81"/>
    <w:rsid w:val="002D34B5"/>
    <w:rsid w:val="002D6E3D"/>
    <w:rsid w:val="002D7669"/>
    <w:rsid w:val="002E1167"/>
    <w:rsid w:val="002E1E30"/>
    <w:rsid w:val="002E21FA"/>
    <w:rsid w:val="002E3B2E"/>
    <w:rsid w:val="002E429B"/>
    <w:rsid w:val="002E597C"/>
    <w:rsid w:val="002E611B"/>
    <w:rsid w:val="002E6743"/>
    <w:rsid w:val="002E7567"/>
    <w:rsid w:val="002E7D43"/>
    <w:rsid w:val="002F0906"/>
    <w:rsid w:val="002F4C23"/>
    <w:rsid w:val="002F4CE1"/>
    <w:rsid w:val="002F5B00"/>
    <w:rsid w:val="002F5D26"/>
    <w:rsid w:val="002F712F"/>
    <w:rsid w:val="00300F22"/>
    <w:rsid w:val="00301CAC"/>
    <w:rsid w:val="00302438"/>
    <w:rsid w:val="00304250"/>
    <w:rsid w:val="00304A37"/>
    <w:rsid w:val="00304EF9"/>
    <w:rsid w:val="0030509A"/>
    <w:rsid w:val="00306539"/>
    <w:rsid w:val="00310AB0"/>
    <w:rsid w:val="00310ED4"/>
    <w:rsid w:val="00311096"/>
    <w:rsid w:val="00311C10"/>
    <w:rsid w:val="00312301"/>
    <w:rsid w:val="003131E3"/>
    <w:rsid w:val="0031492A"/>
    <w:rsid w:val="003158C1"/>
    <w:rsid w:val="00316153"/>
    <w:rsid w:val="00316C1A"/>
    <w:rsid w:val="003178C7"/>
    <w:rsid w:val="00322820"/>
    <w:rsid w:val="00323255"/>
    <w:rsid w:val="00323C73"/>
    <w:rsid w:val="0032507B"/>
    <w:rsid w:val="003256F1"/>
    <w:rsid w:val="00331141"/>
    <w:rsid w:val="003311E1"/>
    <w:rsid w:val="00333A96"/>
    <w:rsid w:val="00335DCA"/>
    <w:rsid w:val="0033614F"/>
    <w:rsid w:val="003363CB"/>
    <w:rsid w:val="00337AD4"/>
    <w:rsid w:val="00337E62"/>
    <w:rsid w:val="00343921"/>
    <w:rsid w:val="00343ACB"/>
    <w:rsid w:val="00343F0C"/>
    <w:rsid w:val="00344758"/>
    <w:rsid w:val="00344929"/>
    <w:rsid w:val="00344CA3"/>
    <w:rsid w:val="00347142"/>
    <w:rsid w:val="0034797F"/>
    <w:rsid w:val="00350C3C"/>
    <w:rsid w:val="0035216C"/>
    <w:rsid w:val="00352F75"/>
    <w:rsid w:val="00354127"/>
    <w:rsid w:val="003555F2"/>
    <w:rsid w:val="003565A8"/>
    <w:rsid w:val="003566EA"/>
    <w:rsid w:val="00363615"/>
    <w:rsid w:val="0036439E"/>
    <w:rsid w:val="00367287"/>
    <w:rsid w:val="00370C84"/>
    <w:rsid w:val="003718E5"/>
    <w:rsid w:val="003727BA"/>
    <w:rsid w:val="00372C79"/>
    <w:rsid w:val="00372FC3"/>
    <w:rsid w:val="003730D3"/>
    <w:rsid w:val="00373DB4"/>
    <w:rsid w:val="00373F7C"/>
    <w:rsid w:val="00375D0E"/>
    <w:rsid w:val="00377262"/>
    <w:rsid w:val="00377A6D"/>
    <w:rsid w:val="00380C71"/>
    <w:rsid w:val="00383E8D"/>
    <w:rsid w:val="00383FFF"/>
    <w:rsid w:val="00386CD6"/>
    <w:rsid w:val="00387D4D"/>
    <w:rsid w:val="0039289B"/>
    <w:rsid w:val="00393230"/>
    <w:rsid w:val="00393302"/>
    <w:rsid w:val="003933EA"/>
    <w:rsid w:val="00394A7E"/>
    <w:rsid w:val="003968C8"/>
    <w:rsid w:val="003A19BB"/>
    <w:rsid w:val="003A24FA"/>
    <w:rsid w:val="003A29BD"/>
    <w:rsid w:val="003B3E35"/>
    <w:rsid w:val="003B4E3F"/>
    <w:rsid w:val="003B5FE5"/>
    <w:rsid w:val="003B6434"/>
    <w:rsid w:val="003C35C6"/>
    <w:rsid w:val="003C3B48"/>
    <w:rsid w:val="003C49EB"/>
    <w:rsid w:val="003C58B2"/>
    <w:rsid w:val="003C798B"/>
    <w:rsid w:val="003D1751"/>
    <w:rsid w:val="003D1EE2"/>
    <w:rsid w:val="003D529B"/>
    <w:rsid w:val="003E2F06"/>
    <w:rsid w:val="003E4594"/>
    <w:rsid w:val="003F2CC5"/>
    <w:rsid w:val="003F3B37"/>
    <w:rsid w:val="003F44FE"/>
    <w:rsid w:val="003F5828"/>
    <w:rsid w:val="00400DC6"/>
    <w:rsid w:val="0040119D"/>
    <w:rsid w:val="004022ED"/>
    <w:rsid w:val="00402C84"/>
    <w:rsid w:val="0040330D"/>
    <w:rsid w:val="004040AC"/>
    <w:rsid w:val="004046C7"/>
    <w:rsid w:val="0040486D"/>
    <w:rsid w:val="004060A7"/>
    <w:rsid w:val="00406750"/>
    <w:rsid w:val="0041762B"/>
    <w:rsid w:val="00417C83"/>
    <w:rsid w:val="004202A7"/>
    <w:rsid w:val="00420832"/>
    <w:rsid w:val="004208A7"/>
    <w:rsid w:val="00420B2D"/>
    <w:rsid w:val="00422417"/>
    <w:rsid w:val="0042275E"/>
    <w:rsid w:val="00424233"/>
    <w:rsid w:val="00426DC2"/>
    <w:rsid w:val="004276CF"/>
    <w:rsid w:val="004312D4"/>
    <w:rsid w:val="00432346"/>
    <w:rsid w:val="0043238C"/>
    <w:rsid w:val="00433586"/>
    <w:rsid w:val="004338D4"/>
    <w:rsid w:val="004339A0"/>
    <w:rsid w:val="00435173"/>
    <w:rsid w:val="004372B1"/>
    <w:rsid w:val="00437D9D"/>
    <w:rsid w:val="00441FAE"/>
    <w:rsid w:val="00444929"/>
    <w:rsid w:val="00444F20"/>
    <w:rsid w:val="00444FB7"/>
    <w:rsid w:val="004473FB"/>
    <w:rsid w:val="004518FF"/>
    <w:rsid w:val="00453411"/>
    <w:rsid w:val="00455876"/>
    <w:rsid w:val="00457FD4"/>
    <w:rsid w:val="00460C46"/>
    <w:rsid w:val="00461B4C"/>
    <w:rsid w:val="00465756"/>
    <w:rsid w:val="004712FB"/>
    <w:rsid w:val="00471F3F"/>
    <w:rsid w:val="00472EFF"/>
    <w:rsid w:val="0047315B"/>
    <w:rsid w:val="00474063"/>
    <w:rsid w:val="00474697"/>
    <w:rsid w:val="00475ADC"/>
    <w:rsid w:val="00476793"/>
    <w:rsid w:val="00476EF3"/>
    <w:rsid w:val="00476F2B"/>
    <w:rsid w:val="00481044"/>
    <w:rsid w:val="00483F4C"/>
    <w:rsid w:val="00484D83"/>
    <w:rsid w:val="004854F9"/>
    <w:rsid w:val="00485B25"/>
    <w:rsid w:val="004873B4"/>
    <w:rsid w:val="00487B8C"/>
    <w:rsid w:val="00490AE9"/>
    <w:rsid w:val="00491700"/>
    <w:rsid w:val="00491707"/>
    <w:rsid w:val="0049227E"/>
    <w:rsid w:val="00492719"/>
    <w:rsid w:val="00495B48"/>
    <w:rsid w:val="00495F7C"/>
    <w:rsid w:val="00496091"/>
    <w:rsid w:val="00496489"/>
    <w:rsid w:val="004976C8"/>
    <w:rsid w:val="004A07B2"/>
    <w:rsid w:val="004A11B9"/>
    <w:rsid w:val="004A187B"/>
    <w:rsid w:val="004A2928"/>
    <w:rsid w:val="004A2D3C"/>
    <w:rsid w:val="004A32F3"/>
    <w:rsid w:val="004A55B8"/>
    <w:rsid w:val="004A580D"/>
    <w:rsid w:val="004A607E"/>
    <w:rsid w:val="004A6F3F"/>
    <w:rsid w:val="004A7E8E"/>
    <w:rsid w:val="004B07E7"/>
    <w:rsid w:val="004B1A44"/>
    <w:rsid w:val="004B2BD6"/>
    <w:rsid w:val="004B4ACB"/>
    <w:rsid w:val="004B6A32"/>
    <w:rsid w:val="004B73C9"/>
    <w:rsid w:val="004B759E"/>
    <w:rsid w:val="004C4BBB"/>
    <w:rsid w:val="004C6087"/>
    <w:rsid w:val="004C7412"/>
    <w:rsid w:val="004D04BF"/>
    <w:rsid w:val="004D183C"/>
    <w:rsid w:val="004D1A78"/>
    <w:rsid w:val="004D1B29"/>
    <w:rsid w:val="004D2189"/>
    <w:rsid w:val="004D2FF7"/>
    <w:rsid w:val="004D3194"/>
    <w:rsid w:val="004D3891"/>
    <w:rsid w:val="004D4190"/>
    <w:rsid w:val="004D4872"/>
    <w:rsid w:val="004D5C5D"/>
    <w:rsid w:val="004D6B36"/>
    <w:rsid w:val="004E0DFF"/>
    <w:rsid w:val="004E1269"/>
    <w:rsid w:val="004E16E8"/>
    <w:rsid w:val="004E1B98"/>
    <w:rsid w:val="004E28AE"/>
    <w:rsid w:val="004E2E63"/>
    <w:rsid w:val="004E33B9"/>
    <w:rsid w:val="004E37AD"/>
    <w:rsid w:val="004E3C2E"/>
    <w:rsid w:val="004E638E"/>
    <w:rsid w:val="004E6543"/>
    <w:rsid w:val="004E7D82"/>
    <w:rsid w:val="004F0ADE"/>
    <w:rsid w:val="004F1968"/>
    <w:rsid w:val="004F1C7C"/>
    <w:rsid w:val="004F2339"/>
    <w:rsid w:val="004F56DB"/>
    <w:rsid w:val="004F638E"/>
    <w:rsid w:val="004F75DE"/>
    <w:rsid w:val="0050468D"/>
    <w:rsid w:val="00504D29"/>
    <w:rsid w:val="00506A4D"/>
    <w:rsid w:val="0050750E"/>
    <w:rsid w:val="005075EB"/>
    <w:rsid w:val="00507CE5"/>
    <w:rsid w:val="00510952"/>
    <w:rsid w:val="00510BF0"/>
    <w:rsid w:val="00511F52"/>
    <w:rsid w:val="005123F0"/>
    <w:rsid w:val="00513540"/>
    <w:rsid w:val="00513662"/>
    <w:rsid w:val="00513941"/>
    <w:rsid w:val="0051544E"/>
    <w:rsid w:val="00515B0A"/>
    <w:rsid w:val="005161EC"/>
    <w:rsid w:val="00516FBD"/>
    <w:rsid w:val="00517017"/>
    <w:rsid w:val="00520A90"/>
    <w:rsid w:val="005216A2"/>
    <w:rsid w:val="005244F0"/>
    <w:rsid w:val="00525931"/>
    <w:rsid w:val="0053051D"/>
    <w:rsid w:val="00532C06"/>
    <w:rsid w:val="00533126"/>
    <w:rsid w:val="0053472B"/>
    <w:rsid w:val="00540869"/>
    <w:rsid w:val="00541E73"/>
    <w:rsid w:val="00542524"/>
    <w:rsid w:val="00543A72"/>
    <w:rsid w:val="0054422C"/>
    <w:rsid w:val="0055096F"/>
    <w:rsid w:val="00560633"/>
    <w:rsid w:val="00560F14"/>
    <w:rsid w:val="00561288"/>
    <w:rsid w:val="00561D9B"/>
    <w:rsid w:val="00564208"/>
    <w:rsid w:val="0056420A"/>
    <w:rsid w:val="00564AA1"/>
    <w:rsid w:val="00564BD8"/>
    <w:rsid w:val="00566102"/>
    <w:rsid w:val="0056674C"/>
    <w:rsid w:val="005668FF"/>
    <w:rsid w:val="005700DE"/>
    <w:rsid w:val="00570A0C"/>
    <w:rsid w:val="00570D53"/>
    <w:rsid w:val="00570F8C"/>
    <w:rsid w:val="00571CEB"/>
    <w:rsid w:val="00574CBD"/>
    <w:rsid w:val="00576143"/>
    <w:rsid w:val="0057651A"/>
    <w:rsid w:val="0058078D"/>
    <w:rsid w:val="00582F40"/>
    <w:rsid w:val="00584550"/>
    <w:rsid w:val="00585F0F"/>
    <w:rsid w:val="00585F79"/>
    <w:rsid w:val="00586449"/>
    <w:rsid w:val="00587A3A"/>
    <w:rsid w:val="00591951"/>
    <w:rsid w:val="00591987"/>
    <w:rsid w:val="00592815"/>
    <w:rsid w:val="005936F3"/>
    <w:rsid w:val="005965E1"/>
    <w:rsid w:val="00596A0E"/>
    <w:rsid w:val="005A3058"/>
    <w:rsid w:val="005A50CF"/>
    <w:rsid w:val="005A5D92"/>
    <w:rsid w:val="005A7D2C"/>
    <w:rsid w:val="005B06C8"/>
    <w:rsid w:val="005B0EDB"/>
    <w:rsid w:val="005B1DFF"/>
    <w:rsid w:val="005B2A77"/>
    <w:rsid w:val="005B3258"/>
    <w:rsid w:val="005B4C0B"/>
    <w:rsid w:val="005B57B8"/>
    <w:rsid w:val="005C089A"/>
    <w:rsid w:val="005C0D45"/>
    <w:rsid w:val="005C11A4"/>
    <w:rsid w:val="005C251A"/>
    <w:rsid w:val="005C349F"/>
    <w:rsid w:val="005C3742"/>
    <w:rsid w:val="005C386B"/>
    <w:rsid w:val="005C4B78"/>
    <w:rsid w:val="005C5763"/>
    <w:rsid w:val="005C5C17"/>
    <w:rsid w:val="005C5D41"/>
    <w:rsid w:val="005D0F7A"/>
    <w:rsid w:val="005D1925"/>
    <w:rsid w:val="005D1F34"/>
    <w:rsid w:val="005D1FE1"/>
    <w:rsid w:val="005D383D"/>
    <w:rsid w:val="005D5310"/>
    <w:rsid w:val="005E00C3"/>
    <w:rsid w:val="005E1B49"/>
    <w:rsid w:val="005E27FC"/>
    <w:rsid w:val="005E5001"/>
    <w:rsid w:val="005E6AE6"/>
    <w:rsid w:val="005F1B24"/>
    <w:rsid w:val="005F1D4D"/>
    <w:rsid w:val="005F2F4E"/>
    <w:rsid w:val="005F36AF"/>
    <w:rsid w:val="005F62F6"/>
    <w:rsid w:val="005F6506"/>
    <w:rsid w:val="005F78AF"/>
    <w:rsid w:val="005F7D99"/>
    <w:rsid w:val="0060061D"/>
    <w:rsid w:val="00602871"/>
    <w:rsid w:val="00602F4B"/>
    <w:rsid w:val="006050EC"/>
    <w:rsid w:val="00605F3D"/>
    <w:rsid w:val="00607F61"/>
    <w:rsid w:val="0061031E"/>
    <w:rsid w:val="00610A36"/>
    <w:rsid w:val="006119D3"/>
    <w:rsid w:val="006135D0"/>
    <w:rsid w:val="00615314"/>
    <w:rsid w:val="006168B2"/>
    <w:rsid w:val="00620472"/>
    <w:rsid w:val="00620FD4"/>
    <w:rsid w:val="006228C2"/>
    <w:rsid w:val="00622C78"/>
    <w:rsid w:val="00623B72"/>
    <w:rsid w:val="006262F8"/>
    <w:rsid w:val="00626548"/>
    <w:rsid w:val="00627EDE"/>
    <w:rsid w:val="006301B0"/>
    <w:rsid w:val="006309D2"/>
    <w:rsid w:val="00631B4C"/>
    <w:rsid w:val="00632A98"/>
    <w:rsid w:val="00634FD4"/>
    <w:rsid w:val="00636CA7"/>
    <w:rsid w:val="00643EEF"/>
    <w:rsid w:val="006454A8"/>
    <w:rsid w:val="00645D45"/>
    <w:rsid w:val="00646506"/>
    <w:rsid w:val="006479AE"/>
    <w:rsid w:val="00650693"/>
    <w:rsid w:val="00652189"/>
    <w:rsid w:val="00652556"/>
    <w:rsid w:val="00654050"/>
    <w:rsid w:val="00654793"/>
    <w:rsid w:val="00654B4C"/>
    <w:rsid w:val="006558BF"/>
    <w:rsid w:val="00657E3D"/>
    <w:rsid w:val="00660105"/>
    <w:rsid w:val="00661791"/>
    <w:rsid w:val="00665985"/>
    <w:rsid w:val="006659C5"/>
    <w:rsid w:val="00671AFD"/>
    <w:rsid w:val="006720C3"/>
    <w:rsid w:val="00672992"/>
    <w:rsid w:val="00673F14"/>
    <w:rsid w:val="0067459C"/>
    <w:rsid w:val="006758E5"/>
    <w:rsid w:val="00675BC9"/>
    <w:rsid w:val="0067603B"/>
    <w:rsid w:val="006761DE"/>
    <w:rsid w:val="00680A6B"/>
    <w:rsid w:val="00681189"/>
    <w:rsid w:val="006813A3"/>
    <w:rsid w:val="00681ABD"/>
    <w:rsid w:val="00684BDE"/>
    <w:rsid w:val="00687CC5"/>
    <w:rsid w:val="0069154B"/>
    <w:rsid w:val="00692A4D"/>
    <w:rsid w:val="00695822"/>
    <w:rsid w:val="00695DD7"/>
    <w:rsid w:val="00696076"/>
    <w:rsid w:val="006970AA"/>
    <w:rsid w:val="0069785A"/>
    <w:rsid w:val="006A14DE"/>
    <w:rsid w:val="006A4285"/>
    <w:rsid w:val="006A6BB3"/>
    <w:rsid w:val="006A727A"/>
    <w:rsid w:val="006A7A9D"/>
    <w:rsid w:val="006B2A80"/>
    <w:rsid w:val="006B40F1"/>
    <w:rsid w:val="006B4AD1"/>
    <w:rsid w:val="006B680E"/>
    <w:rsid w:val="006B704A"/>
    <w:rsid w:val="006B7A40"/>
    <w:rsid w:val="006C15C5"/>
    <w:rsid w:val="006C2753"/>
    <w:rsid w:val="006C52B5"/>
    <w:rsid w:val="006C7737"/>
    <w:rsid w:val="006D16D0"/>
    <w:rsid w:val="006D327E"/>
    <w:rsid w:val="006D437B"/>
    <w:rsid w:val="006D4C1E"/>
    <w:rsid w:val="006D51CB"/>
    <w:rsid w:val="006D5EE5"/>
    <w:rsid w:val="006E3644"/>
    <w:rsid w:val="006E6D3B"/>
    <w:rsid w:val="006E745F"/>
    <w:rsid w:val="006E75AE"/>
    <w:rsid w:val="006F03F4"/>
    <w:rsid w:val="006F0402"/>
    <w:rsid w:val="006F0BD6"/>
    <w:rsid w:val="006F1499"/>
    <w:rsid w:val="006F2AEF"/>
    <w:rsid w:val="006F2CF9"/>
    <w:rsid w:val="006F6935"/>
    <w:rsid w:val="006F79A9"/>
    <w:rsid w:val="00701A75"/>
    <w:rsid w:val="00704D8D"/>
    <w:rsid w:val="00705A77"/>
    <w:rsid w:val="00706409"/>
    <w:rsid w:val="00707BEF"/>
    <w:rsid w:val="007123F0"/>
    <w:rsid w:val="00714C14"/>
    <w:rsid w:val="00714DBE"/>
    <w:rsid w:val="00715DCC"/>
    <w:rsid w:val="007172D4"/>
    <w:rsid w:val="00717729"/>
    <w:rsid w:val="00720FCB"/>
    <w:rsid w:val="00721457"/>
    <w:rsid w:val="007229A1"/>
    <w:rsid w:val="007244CB"/>
    <w:rsid w:val="00725C90"/>
    <w:rsid w:val="007275F7"/>
    <w:rsid w:val="00730BD2"/>
    <w:rsid w:val="0073123E"/>
    <w:rsid w:val="00734B59"/>
    <w:rsid w:val="00737236"/>
    <w:rsid w:val="00737387"/>
    <w:rsid w:val="007402B6"/>
    <w:rsid w:val="0074159F"/>
    <w:rsid w:val="00745C75"/>
    <w:rsid w:val="00751D1E"/>
    <w:rsid w:val="00752598"/>
    <w:rsid w:val="007540BF"/>
    <w:rsid w:val="00756B38"/>
    <w:rsid w:val="00757998"/>
    <w:rsid w:val="00762FD9"/>
    <w:rsid w:val="0076391B"/>
    <w:rsid w:val="00764F94"/>
    <w:rsid w:val="00770400"/>
    <w:rsid w:val="00770DCB"/>
    <w:rsid w:val="00774562"/>
    <w:rsid w:val="00775382"/>
    <w:rsid w:val="00775485"/>
    <w:rsid w:val="00777516"/>
    <w:rsid w:val="007800CC"/>
    <w:rsid w:val="00780C71"/>
    <w:rsid w:val="00782082"/>
    <w:rsid w:val="007840F7"/>
    <w:rsid w:val="00787E8B"/>
    <w:rsid w:val="007914FC"/>
    <w:rsid w:val="00791A13"/>
    <w:rsid w:val="0079376C"/>
    <w:rsid w:val="00793FB2"/>
    <w:rsid w:val="00796053"/>
    <w:rsid w:val="007962C0"/>
    <w:rsid w:val="007971C5"/>
    <w:rsid w:val="007A2C6B"/>
    <w:rsid w:val="007A4CC7"/>
    <w:rsid w:val="007A7804"/>
    <w:rsid w:val="007B02C5"/>
    <w:rsid w:val="007B06CE"/>
    <w:rsid w:val="007B21E8"/>
    <w:rsid w:val="007B356C"/>
    <w:rsid w:val="007C24C0"/>
    <w:rsid w:val="007C2945"/>
    <w:rsid w:val="007C52C8"/>
    <w:rsid w:val="007C692C"/>
    <w:rsid w:val="007C70B6"/>
    <w:rsid w:val="007D06F0"/>
    <w:rsid w:val="007D3C42"/>
    <w:rsid w:val="007D443B"/>
    <w:rsid w:val="007E00B3"/>
    <w:rsid w:val="007E0433"/>
    <w:rsid w:val="007E2F37"/>
    <w:rsid w:val="007E3198"/>
    <w:rsid w:val="007E33B7"/>
    <w:rsid w:val="007E4AAA"/>
    <w:rsid w:val="007E5B88"/>
    <w:rsid w:val="007E5E6C"/>
    <w:rsid w:val="007E61D3"/>
    <w:rsid w:val="007F0D0B"/>
    <w:rsid w:val="007F203B"/>
    <w:rsid w:val="007F2D0D"/>
    <w:rsid w:val="007F6BF0"/>
    <w:rsid w:val="007F715C"/>
    <w:rsid w:val="007F7349"/>
    <w:rsid w:val="007F785C"/>
    <w:rsid w:val="00800422"/>
    <w:rsid w:val="00800485"/>
    <w:rsid w:val="008004AE"/>
    <w:rsid w:val="008007A8"/>
    <w:rsid w:val="008025EE"/>
    <w:rsid w:val="00803EB7"/>
    <w:rsid w:val="008042D9"/>
    <w:rsid w:val="008046CD"/>
    <w:rsid w:val="008062E6"/>
    <w:rsid w:val="00806A5F"/>
    <w:rsid w:val="00810A27"/>
    <w:rsid w:val="00810B65"/>
    <w:rsid w:val="008119BA"/>
    <w:rsid w:val="008122F8"/>
    <w:rsid w:val="00812C5D"/>
    <w:rsid w:val="00814FC0"/>
    <w:rsid w:val="0081525A"/>
    <w:rsid w:val="008158D4"/>
    <w:rsid w:val="00817A62"/>
    <w:rsid w:val="00817DF5"/>
    <w:rsid w:val="00820AF1"/>
    <w:rsid w:val="00821CB6"/>
    <w:rsid w:val="0082253C"/>
    <w:rsid w:val="0082273C"/>
    <w:rsid w:val="0082386F"/>
    <w:rsid w:val="00832684"/>
    <w:rsid w:val="00832EAF"/>
    <w:rsid w:val="00834FE2"/>
    <w:rsid w:val="00835121"/>
    <w:rsid w:val="00836F2B"/>
    <w:rsid w:val="00840887"/>
    <w:rsid w:val="00841CAF"/>
    <w:rsid w:val="00841EC7"/>
    <w:rsid w:val="00844679"/>
    <w:rsid w:val="008449A2"/>
    <w:rsid w:val="00846A35"/>
    <w:rsid w:val="008474CA"/>
    <w:rsid w:val="008475F7"/>
    <w:rsid w:val="00847924"/>
    <w:rsid w:val="00847FDC"/>
    <w:rsid w:val="008526D7"/>
    <w:rsid w:val="00854824"/>
    <w:rsid w:val="00856752"/>
    <w:rsid w:val="00861703"/>
    <w:rsid w:val="00861759"/>
    <w:rsid w:val="008634E0"/>
    <w:rsid w:val="008668CD"/>
    <w:rsid w:val="00867B92"/>
    <w:rsid w:val="00872150"/>
    <w:rsid w:val="0087246F"/>
    <w:rsid w:val="008724DE"/>
    <w:rsid w:val="00872E59"/>
    <w:rsid w:val="00880C3D"/>
    <w:rsid w:val="00882678"/>
    <w:rsid w:val="00886B83"/>
    <w:rsid w:val="00886E01"/>
    <w:rsid w:val="00887036"/>
    <w:rsid w:val="00892E72"/>
    <w:rsid w:val="008947A9"/>
    <w:rsid w:val="00894E16"/>
    <w:rsid w:val="008972B3"/>
    <w:rsid w:val="008A018A"/>
    <w:rsid w:val="008A0963"/>
    <w:rsid w:val="008A1BAA"/>
    <w:rsid w:val="008A2907"/>
    <w:rsid w:val="008A3D57"/>
    <w:rsid w:val="008A62E7"/>
    <w:rsid w:val="008A643E"/>
    <w:rsid w:val="008A77AA"/>
    <w:rsid w:val="008B23BC"/>
    <w:rsid w:val="008B28CC"/>
    <w:rsid w:val="008B33B3"/>
    <w:rsid w:val="008B4792"/>
    <w:rsid w:val="008C1FEF"/>
    <w:rsid w:val="008C7291"/>
    <w:rsid w:val="008C7B13"/>
    <w:rsid w:val="008D0670"/>
    <w:rsid w:val="008D26D7"/>
    <w:rsid w:val="008D284E"/>
    <w:rsid w:val="008D2AF1"/>
    <w:rsid w:val="008D5353"/>
    <w:rsid w:val="008D5A27"/>
    <w:rsid w:val="008D607D"/>
    <w:rsid w:val="008D6763"/>
    <w:rsid w:val="008E0D22"/>
    <w:rsid w:val="008E0ECD"/>
    <w:rsid w:val="008E1603"/>
    <w:rsid w:val="008E1F3A"/>
    <w:rsid w:val="008E2E56"/>
    <w:rsid w:val="008E3D60"/>
    <w:rsid w:val="008E3F4C"/>
    <w:rsid w:val="008E4BEC"/>
    <w:rsid w:val="008F009B"/>
    <w:rsid w:val="008F1525"/>
    <w:rsid w:val="008F2322"/>
    <w:rsid w:val="008F233F"/>
    <w:rsid w:val="008F2BE4"/>
    <w:rsid w:val="008F64C4"/>
    <w:rsid w:val="008F6C53"/>
    <w:rsid w:val="00900DBB"/>
    <w:rsid w:val="0090165F"/>
    <w:rsid w:val="00901AF1"/>
    <w:rsid w:val="00901B82"/>
    <w:rsid w:val="00902BFA"/>
    <w:rsid w:val="00902C00"/>
    <w:rsid w:val="00912B09"/>
    <w:rsid w:val="00912E4A"/>
    <w:rsid w:val="00915325"/>
    <w:rsid w:val="0091729C"/>
    <w:rsid w:val="00917889"/>
    <w:rsid w:val="00923594"/>
    <w:rsid w:val="0092380D"/>
    <w:rsid w:val="00925114"/>
    <w:rsid w:val="00931E1B"/>
    <w:rsid w:val="00932774"/>
    <w:rsid w:val="00934467"/>
    <w:rsid w:val="009358D6"/>
    <w:rsid w:val="00936F49"/>
    <w:rsid w:val="00937BEA"/>
    <w:rsid w:val="0094054D"/>
    <w:rsid w:val="009407BF"/>
    <w:rsid w:val="009475CC"/>
    <w:rsid w:val="0095080C"/>
    <w:rsid w:val="009509D1"/>
    <w:rsid w:val="00952B9F"/>
    <w:rsid w:val="00955F13"/>
    <w:rsid w:val="0095761E"/>
    <w:rsid w:val="00957857"/>
    <w:rsid w:val="00957CFC"/>
    <w:rsid w:val="009613D8"/>
    <w:rsid w:val="00961A68"/>
    <w:rsid w:val="00964731"/>
    <w:rsid w:val="00966C2F"/>
    <w:rsid w:val="00970735"/>
    <w:rsid w:val="00970E85"/>
    <w:rsid w:val="00971C1A"/>
    <w:rsid w:val="0097361E"/>
    <w:rsid w:val="00973CBE"/>
    <w:rsid w:val="0097512B"/>
    <w:rsid w:val="00975F3B"/>
    <w:rsid w:val="00977CE5"/>
    <w:rsid w:val="009800B0"/>
    <w:rsid w:val="00981336"/>
    <w:rsid w:val="00981438"/>
    <w:rsid w:val="009869D0"/>
    <w:rsid w:val="00987C41"/>
    <w:rsid w:val="009926ED"/>
    <w:rsid w:val="009A0C18"/>
    <w:rsid w:val="009A2E88"/>
    <w:rsid w:val="009A2ECB"/>
    <w:rsid w:val="009A37CC"/>
    <w:rsid w:val="009A3A3A"/>
    <w:rsid w:val="009A3E58"/>
    <w:rsid w:val="009A4B69"/>
    <w:rsid w:val="009A5260"/>
    <w:rsid w:val="009A5CDC"/>
    <w:rsid w:val="009B0927"/>
    <w:rsid w:val="009B30AC"/>
    <w:rsid w:val="009B4170"/>
    <w:rsid w:val="009B6405"/>
    <w:rsid w:val="009B6687"/>
    <w:rsid w:val="009C35C9"/>
    <w:rsid w:val="009C417F"/>
    <w:rsid w:val="009C5995"/>
    <w:rsid w:val="009C6E6E"/>
    <w:rsid w:val="009C7F3B"/>
    <w:rsid w:val="009D0247"/>
    <w:rsid w:val="009D4B1F"/>
    <w:rsid w:val="009D67F6"/>
    <w:rsid w:val="009E0FE1"/>
    <w:rsid w:val="009E1C92"/>
    <w:rsid w:val="009E53C8"/>
    <w:rsid w:val="009E77B3"/>
    <w:rsid w:val="009F00E5"/>
    <w:rsid w:val="009F25DC"/>
    <w:rsid w:val="009F2764"/>
    <w:rsid w:val="00A00D3D"/>
    <w:rsid w:val="00A01D5B"/>
    <w:rsid w:val="00A026AA"/>
    <w:rsid w:val="00A02D3A"/>
    <w:rsid w:val="00A0406E"/>
    <w:rsid w:val="00A05777"/>
    <w:rsid w:val="00A06C22"/>
    <w:rsid w:val="00A11307"/>
    <w:rsid w:val="00A12316"/>
    <w:rsid w:val="00A136D2"/>
    <w:rsid w:val="00A13AF3"/>
    <w:rsid w:val="00A15CDA"/>
    <w:rsid w:val="00A16FA3"/>
    <w:rsid w:val="00A17D7A"/>
    <w:rsid w:val="00A201CC"/>
    <w:rsid w:val="00A20F1B"/>
    <w:rsid w:val="00A21388"/>
    <w:rsid w:val="00A2302A"/>
    <w:rsid w:val="00A23BD9"/>
    <w:rsid w:val="00A26336"/>
    <w:rsid w:val="00A26C4C"/>
    <w:rsid w:val="00A26D9E"/>
    <w:rsid w:val="00A27372"/>
    <w:rsid w:val="00A274B6"/>
    <w:rsid w:val="00A27791"/>
    <w:rsid w:val="00A31224"/>
    <w:rsid w:val="00A31EE8"/>
    <w:rsid w:val="00A41355"/>
    <w:rsid w:val="00A43B92"/>
    <w:rsid w:val="00A44C2C"/>
    <w:rsid w:val="00A44E83"/>
    <w:rsid w:val="00A47EA2"/>
    <w:rsid w:val="00A47F07"/>
    <w:rsid w:val="00A54251"/>
    <w:rsid w:val="00A55534"/>
    <w:rsid w:val="00A6005C"/>
    <w:rsid w:val="00A603FA"/>
    <w:rsid w:val="00A60F93"/>
    <w:rsid w:val="00A6179E"/>
    <w:rsid w:val="00A61FF5"/>
    <w:rsid w:val="00A62D80"/>
    <w:rsid w:val="00A6370B"/>
    <w:rsid w:val="00A641EC"/>
    <w:rsid w:val="00A64245"/>
    <w:rsid w:val="00A64316"/>
    <w:rsid w:val="00A701C6"/>
    <w:rsid w:val="00A71453"/>
    <w:rsid w:val="00A72080"/>
    <w:rsid w:val="00A737B9"/>
    <w:rsid w:val="00A80036"/>
    <w:rsid w:val="00A804D9"/>
    <w:rsid w:val="00A80761"/>
    <w:rsid w:val="00A80AB1"/>
    <w:rsid w:val="00A820D8"/>
    <w:rsid w:val="00A82B53"/>
    <w:rsid w:val="00A83C3B"/>
    <w:rsid w:val="00A87D5B"/>
    <w:rsid w:val="00A907BF"/>
    <w:rsid w:val="00A91E76"/>
    <w:rsid w:val="00A92915"/>
    <w:rsid w:val="00A92F92"/>
    <w:rsid w:val="00A93F2E"/>
    <w:rsid w:val="00A93FB7"/>
    <w:rsid w:val="00A94CC6"/>
    <w:rsid w:val="00A94E69"/>
    <w:rsid w:val="00A952FB"/>
    <w:rsid w:val="00A9683A"/>
    <w:rsid w:val="00A96892"/>
    <w:rsid w:val="00A96B22"/>
    <w:rsid w:val="00AA2051"/>
    <w:rsid w:val="00AA37D5"/>
    <w:rsid w:val="00AA3815"/>
    <w:rsid w:val="00AA5B07"/>
    <w:rsid w:val="00AA614A"/>
    <w:rsid w:val="00AA6A2D"/>
    <w:rsid w:val="00AA7BA4"/>
    <w:rsid w:val="00AB0FBE"/>
    <w:rsid w:val="00AB138E"/>
    <w:rsid w:val="00AB2653"/>
    <w:rsid w:val="00AB340C"/>
    <w:rsid w:val="00AB3C42"/>
    <w:rsid w:val="00AC0792"/>
    <w:rsid w:val="00AC0CB3"/>
    <w:rsid w:val="00AC0F06"/>
    <w:rsid w:val="00AC15E3"/>
    <w:rsid w:val="00AC1677"/>
    <w:rsid w:val="00AC4EC7"/>
    <w:rsid w:val="00AC4F6E"/>
    <w:rsid w:val="00AC553B"/>
    <w:rsid w:val="00AD1DA9"/>
    <w:rsid w:val="00AD25DE"/>
    <w:rsid w:val="00AD4F3C"/>
    <w:rsid w:val="00AD563C"/>
    <w:rsid w:val="00AD5FC4"/>
    <w:rsid w:val="00AD63A6"/>
    <w:rsid w:val="00AE158F"/>
    <w:rsid w:val="00AE3097"/>
    <w:rsid w:val="00AE36B4"/>
    <w:rsid w:val="00AE3962"/>
    <w:rsid w:val="00AE3B27"/>
    <w:rsid w:val="00AE4585"/>
    <w:rsid w:val="00AE5464"/>
    <w:rsid w:val="00AE5BB6"/>
    <w:rsid w:val="00AE6318"/>
    <w:rsid w:val="00AE6FDE"/>
    <w:rsid w:val="00AE789F"/>
    <w:rsid w:val="00AF0CB2"/>
    <w:rsid w:val="00AF1604"/>
    <w:rsid w:val="00AF48C7"/>
    <w:rsid w:val="00AF7109"/>
    <w:rsid w:val="00AF7D4D"/>
    <w:rsid w:val="00B00AFB"/>
    <w:rsid w:val="00B03D34"/>
    <w:rsid w:val="00B0413C"/>
    <w:rsid w:val="00B04B10"/>
    <w:rsid w:val="00B05182"/>
    <w:rsid w:val="00B0556D"/>
    <w:rsid w:val="00B07B09"/>
    <w:rsid w:val="00B10222"/>
    <w:rsid w:val="00B1243E"/>
    <w:rsid w:val="00B13CDF"/>
    <w:rsid w:val="00B147F0"/>
    <w:rsid w:val="00B1591C"/>
    <w:rsid w:val="00B2092E"/>
    <w:rsid w:val="00B23DFC"/>
    <w:rsid w:val="00B247E9"/>
    <w:rsid w:val="00B24A84"/>
    <w:rsid w:val="00B24B1D"/>
    <w:rsid w:val="00B2704B"/>
    <w:rsid w:val="00B277E0"/>
    <w:rsid w:val="00B32A9A"/>
    <w:rsid w:val="00B3463C"/>
    <w:rsid w:val="00B34946"/>
    <w:rsid w:val="00B44598"/>
    <w:rsid w:val="00B470B0"/>
    <w:rsid w:val="00B519FD"/>
    <w:rsid w:val="00B520BC"/>
    <w:rsid w:val="00B56145"/>
    <w:rsid w:val="00B60F98"/>
    <w:rsid w:val="00B6149A"/>
    <w:rsid w:val="00B61BC9"/>
    <w:rsid w:val="00B62178"/>
    <w:rsid w:val="00B63A58"/>
    <w:rsid w:val="00B63D24"/>
    <w:rsid w:val="00B642EC"/>
    <w:rsid w:val="00B645FC"/>
    <w:rsid w:val="00B66359"/>
    <w:rsid w:val="00B66610"/>
    <w:rsid w:val="00B67F2B"/>
    <w:rsid w:val="00B71122"/>
    <w:rsid w:val="00B73796"/>
    <w:rsid w:val="00B836C8"/>
    <w:rsid w:val="00B84F42"/>
    <w:rsid w:val="00B91274"/>
    <w:rsid w:val="00B915F3"/>
    <w:rsid w:val="00B91DC3"/>
    <w:rsid w:val="00B924E6"/>
    <w:rsid w:val="00B933C4"/>
    <w:rsid w:val="00B938A4"/>
    <w:rsid w:val="00BA0FF0"/>
    <w:rsid w:val="00BA2525"/>
    <w:rsid w:val="00BA262D"/>
    <w:rsid w:val="00BA33A4"/>
    <w:rsid w:val="00BA5144"/>
    <w:rsid w:val="00BA5698"/>
    <w:rsid w:val="00BA5E53"/>
    <w:rsid w:val="00BA678E"/>
    <w:rsid w:val="00BA792F"/>
    <w:rsid w:val="00BB29D5"/>
    <w:rsid w:val="00BB36CE"/>
    <w:rsid w:val="00BB370A"/>
    <w:rsid w:val="00BB4D84"/>
    <w:rsid w:val="00BB6E7E"/>
    <w:rsid w:val="00BB715A"/>
    <w:rsid w:val="00BC170F"/>
    <w:rsid w:val="00BC605A"/>
    <w:rsid w:val="00BC79EB"/>
    <w:rsid w:val="00BD1412"/>
    <w:rsid w:val="00BD2D9C"/>
    <w:rsid w:val="00BD65BD"/>
    <w:rsid w:val="00BD6B56"/>
    <w:rsid w:val="00BD7FCF"/>
    <w:rsid w:val="00BE19DE"/>
    <w:rsid w:val="00BE3B6B"/>
    <w:rsid w:val="00BE547E"/>
    <w:rsid w:val="00BF072B"/>
    <w:rsid w:val="00BF0B93"/>
    <w:rsid w:val="00BF0CB2"/>
    <w:rsid w:val="00BF551D"/>
    <w:rsid w:val="00BF553B"/>
    <w:rsid w:val="00C01942"/>
    <w:rsid w:val="00C02271"/>
    <w:rsid w:val="00C03286"/>
    <w:rsid w:val="00C0405A"/>
    <w:rsid w:val="00C049AD"/>
    <w:rsid w:val="00C064DC"/>
    <w:rsid w:val="00C065DE"/>
    <w:rsid w:val="00C10077"/>
    <w:rsid w:val="00C10737"/>
    <w:rsid w:val="00C10B54"/>
    <w:rsid w:val="00C11C72"/>
    <w:rsid w:val="00C11C9D"/>
    <w:rsid w:val="00C12319"/>
    <w:rsid w:val="00C1251B"/>
    <w:rsid w:val="00C1304D"/>
    <w:rsid w:val="00C138A5"/>
    <w:rsid w:val="00C14F36"/>
    <w:rsid w:val="00C15B03"/>
    <w:rsid w:val="00C15F66"/>
    <w:rsid w:val="00C2463C"/>
    <w:rsid w:val="00C25BDA"/>
    <w:rsid w:val="00C2603B"/>
    <w:rsid w:val="00C27712"/>
    <w:rsid w:val="00C315F0"/>
    <w:rsid w:val="00C318EE"/>
    <w:rsid w:val="00C33104"/>
    <w:rsid w:val="00C332D4"/>
    <w:rsid w:val="00C3681B"/>
    <w:rsid w:val="00C3769B"/>
    <w:rsid w:val="00C403FF"/>
    <w:rsid w:val="00C40492"/>
    <w:rsid w:val="00C45D14"/>
    <w:rsid w:val="00C460AA"/>
    <w:rsid w:val="00C46FED"/>
    <w:rsid w:val="00C4744E"/>
    <w:rsid w:val="00C47D26"/>
    <w:rsid w:val="00C56CD2"/>
    <w:rsid w:val="00C57CA3"/>
    <w:rsid w:val="00C613C9"/>
    <w:rsid w:val="00C62ACD"/>
    <w:rsid w:val="00C63ACD"/>
    <w:rsid w:val="00C64CE4"/>
    <w:rsid w:val="00C6580E"/>
    <w:rsid w:val="00C66BD6"/>
    <w:rsid w:val="00C67117"/>
    <w:rsid w:val="00C70252"/>
    <w:rsid w:val="00C740D0"/>
    <w:rsid w:val="00C771E1"/>
    <w:rsid w:val="00C814CF"/>
    <w:rsid w:val="00C81966"/>
    <w:rsid w:val="00C8515A"/>
    <w:rsid w:val="00C854D4"/>
    <w:rsid w:val="00C85F0F"/>
    <w:rsid w:val="00C86593"/>
    <w:rsid w:val="00C90556"/>
    <w:rsid w:val="00C924E8"/>
    <w:rsid w:val="00C95508"/>
    <w:rsid w:val="00C97ACB"/>
    <w:rsid w:val="00CA0D78"/>
    <w:rsid w:val="00CA3BE3"/>
    <w:rsid w:val="00CA4855"/>
    <w:rsid w:val="00CA5144"/>
    <w:rsid w:val="00CA643C"/>
    <w:rsid w:val="00CB0C2D"/>
    <w:rsid w:val="00CB0F6D"/>
    <w:rsid w:val="00CB1AC2"/>
    <w:rsid w:val="00CB24FE"/>
    <w:rsid w:val="00CB25C5"/>
    <w:rsid w:val="00CB2B9E"/>
    <w:rsid w:val="00CB2DEF"/>
    <w:rsid w:val="00CB3569"/>
    <w:rsid w:val="00CB3FCC"/>
    <w:rsid w:val="00CB6867"/>
    <w:rsid w:val="00CB7A0F"/>
    <w:rsid w:val="00CC02BB"/>
    <w:rsid w:val="00CC0552"/>
    <w:rsid w:val="00CC0C33"/>
    <w:rsid w:val="00CC16D4"/>
    <w:rsid w:val="00CC38DC"/>
    <w:rsid w:val="00CC54F1"/>
    <w:rsid w:val="00CC5721"/>
    <w:rsid w:val="00CD0E49"/>
    <w:rsid w:val="00CD2C14"/>
    <w:rsid w:val="00CD3946"/>
    <w:rsid w:val="00CD526F"/>
    <w:rsid w:val="00CD5395"/>
    <w:rsid w:val="00CD547D"/>
    <w:rsid w:val="00CD58FD"/>
    <w:rsid w:val="00CE053B"/>
    <w:rsid w:val="00CE150F"/>
    <w:rsid w:val="00CE22A4"/>
    <w:rsid w:val="00CE2FF8"/>
    <w:rsid w:val="00CE3567"/>
    <w:rsid w:val="00CE63E0"/>
    <w:rsid w:val="00CE788F"/>
    <w:rsid w:val="00CF0370"/>
    <w:rsid w:val="00CF259C"/>
    <w:rsid w:val="00CF486B"/>
    <w:rsid w:val="00CF4A45"/>
    <w:rsid w:val="00CF63CC"/>
    <w:rsid w:val="00CF6CB5"/>
    <w:rsid w:val="00CF794B"/>
    <w:rsid w:val="00CF79BF"/>
    <w:rsid w:val="00D00F5A"/>
    <w:rsid w:val="00D01177"/>
    <w:rsid w:val="00D0206C"/>
    <w:rsid w:val="00D04058"/>
    <w:rsid w:val="00D04C72"/>
    <w:rsid w:val="00D0506C"/>
    <w:rsid w:val="00D111E3"/>
    <w:rsid w:val="00D130E3"/>
    <w:rsid w:val="00D13338"/>
    <w:rsid w:val="00D13F86"/>
    <w:rsid w:val="00D14048"/>
    <w:rsid w:val="00D15FA6"/>
    <w:rsid w:val="00D16F1A"/>
    <w:rsid w:val="00D17B03"/>
    <w:rsid w:val="00D17BEF"/>
    <w:rsid w:val="00D209A8"/>
    <w:rsid w:val="00D25525"/>
    <w:rsid w:val="00D25D67"/>
    <w:rsid w:val="00D25E50"/>
    <w:rsid w:val="00D273D8"/>
    <w:rsid w:val="00D277B1"/>
    <w:rsid w:val="00D27AA6"/>
    <w:rsid w:val="00D30C22"/>
    <w:rsid w:val="00D31159"/>
    <w:rsid w:val="00D311C3"/>
    <w:rsid w:val="00D31B75"/>
    <w:rsid w:val="00D31D6E"/>
    <w:rsid w:val="00D32241"/>
    <w:rsid w:val="00D323E2"/>
    <w:rsid w:val="00D32915"/>
    <w:rsid w:val="00D32C81"/>
    <w:rsid w:val="00D343FA"/>
    <w:rsid w:val="00D34614"/>
    <w:rsid w:val="00D3513B"/>
    <w:rsid w:val="00D35276"/>
    <w:rsid w:val="00D35826"/>
    <w:rsid w:val="00D369A3"/>
    <w:rsid w:val="00D40EEC"/>
    <w:rsid w:val="00D418FF"/>
    <w:rsid w:val="00D43268"/>
    <w:rsid w:val="00D44023"/>
    <w:rsid w:val="00D441FA"/>
    <w:rsid w:val="00D44601"/>
    <w:rsid w:val="00D4758E"/>
    <w:rsid w:val="00D506EB"/>
    <w:rsid w:val="00D51554"/>
    <w:rsid w:val="00D528E5"/>
    <w:rsid w:val="00D55EB3"/>
    <w:rsid w:val="00D57494"/>
    <w:rsid w:val="00D57E8D"/>
    <w:rsid w:val="00D62D3C"/>
    <w:rsid w:val="00D62DE1"/>
    <w:rsid w:val="00D65C76"/>
    <w:rsid w:val="00D67736"/>
    <w:rsid w:val="00D67BD1"/>
    <w:rsid w:val="00D70720"/>
    <w:rsid w:val="00D712F9"/>
    <w:rsid w:val="00D734C7"/>
    <w:rsid w:val="00D73528"/>
    <w:rsid w:val="00D80038"/>
    <w:rsid w:val="00D805CA"/>
    <w:rsid w:val="00D8061A"/>
    <w:rsid w:val="00D8096B"/>
    <w:rsid w:val="00D818F3"/>
    <w:rsid w:val="00D83C2C"/>
    <w:rsid w:val="00D857C7"/>
    <w:rsid w:val="00D85C2B"/>
    <w:rsid w:val="00D86CDF"/>
    <w:rsid w:val="00D87508"/>
    <w:rsid w:val="00D87AB3"/>
    <w:rsid w:val="00D91C59"/>
    <w:rsid w:val="00D929DD"/>
    <w:rsid w:val="00D92FB4"/>
    <w:rsid w:val="00D935AB"/>
    <w:rsid w:val="00D940A1"/>
    <w:rsid w:val="00DA0B38"/>
    <w:rsid w:val="00DA2F73"/>
    <w:rsid w:val="00DA37D9"/>
    <w:rsid w:val="00DA4FEA"/>
    <w:rsid w:val="00DA588A"/>
    <w:rsid w:val="00DA597C"/>
    <w:rsid w:val="00DA6B37"/>
    <w:rsid w:val="00DB0D4A"/>
    <w:rsid w:val="00DB10E5"/>
    <w:rsid w:val="00DB1780"/>
    <w:rsid w:val="00DB2E51"/>
    <w:rsid w:val="00DB2E9D"/>
    <w:rsid w:val="00DB4C29"/>
    <w:rsid w:val="00DB6A58"/>
    <w:rsid w:val="00DB7206"/>
    <w:rsid w:val="00DB72FC"/>
    <w:rsid w:val="00DC4336"/>
    <w:rsid w:val="00DC45BE"/>
    <w:rsid w:val="00DC462F"/>
    <w:rsid w:val="00DC62DC"/>
    <w:rsid w:val="00DD044F"/>
    <w:rsid w:val="00DD0451"/>
    <w:rsid w:val="00DD088D"/>
    <w:rsid w:val="00DD34F9"/>
    <w:rsid w:val="00DD47FA"/>
    <w:rsid w:val="00DD55C8"/>
    <w:rsid w:val="00DD6A21"/>
    <w:rsid w:val="00DD6BC9"/>
    <w:rsid w:val="00DE4A06"/>
    <w:rsid w:val="00DE60CA"/>
    <w:rsid w:val="00DF1086"/>
    <w:rsid w:val="00DF2098"/>
    <w:rsid w:val="00DF2DF5"/>
    <w:rsid w:val="00DF333E"/>
    <w:rsid w:val="00DF44B0"/>
    <w:rsid w:val="00DF44EB"/>
    <w:rsid w:val="00E00D8C"/>
    <w:rsid w:val="00E03016"/>
    <w:rsid w:val="00E0418B"/>
    <w:rsid w:val="00E07A47"/>
    <w:rsid w:val="00E141E5"/>
    <w:rsid w:val="00E14521"/>
    <w:rsid w:val="00E14AFC"/>
    <w:rsid w:val="00E15142"/>
    <w:rsid w:val="00E156AC"/>
    <w:rsid w:val="00E173DD"/>
    <w:rsid w:val="00E20603"/>
    <w:rsid w:val="00E20A17"/>
    <w:rsid w:val="00E24FA3"/>
    <w:rsid w:val="00E25C82"/>
    <w:rsid w:val="00E26125"/>
    <w:rsid w:val="00E265E4"/>
    <w:rsid w:val="00E26B28"/>
    <w:rsid w:val="00E27241"/>
    <w:rsid w:val="00E274BC"/>
    <w:rsid w:val="00E27591"/>
    <w:rsid w:val="00E27A7C"/>
    <w:rsid w:val="00E31465"/>
    <w:rsid w:val="00E328CD"/>
    <w:rsid w:val="00E32E08"/>
    <w:rsid w:val="00E33AE0"/>
    <w:rsid w:val="00E352C3"/>
    <w:rsid w:val="00E36B95"/>
    <w:rsid w:val="00E4003F"/>
    <w:rsid w:val="00E41CF8"/>
    <w:rsid w:val="00E41D8D"/>
    <w:rsid w:val="00E43495"/>
    <w:rsid w:val="00E455E4"/>
    <w:rsid w:val="00E458F6"/>
    <w:rsid w:val="00E45954"/>
    <w:rsid w:val="00E50D4E"/>
    <w:rsid w:val="00E513C1"/>
    <w:rsid w:val="00E5173F"/>
    <w:rsid w:val="00E55387"/>
    <w:rsid w:val="00E610FF"/>
    <w:rsid w:val="00E623B4"/>
    <w:rsid w:val="00E6357E"/>
    <w:rsid w:val="00E6378F"/>
    <w:rsid w:val="00E64113"/>
    <w:rsid w:val="00E6499E"/>
    <w:rsid w:val="00E6744A"/>
    <w:rsid w:val="00E67EFE"/>
    <w:rsid w:val="00E70490"/>
    <w:rsid w:val="00E74379"/>
    <w:rsid w:val="00E75782"/>
    <w:rsid w:val="00E7579B"/>
    <w:rsid w:val="00E76390"/>
    <w:rsid w:val="00E81766"/>
    <w:rsid w:val="00E82F89"/>
    <w:rsid w:val="00E840FE"/>
    <w:rsid w:val="00E85E8C"/>
    <w:rsid w:val="00E8628B"/>
    <w:rsid w:val="00E86698"/>
    <w:rsid w:val="00E86E2A"/>
    <w:rsid w:val="00E92FA4"/>
    <w:rsid w:val="00E94A23"/>
    <w:rsid w:val="00E95F81"/>
    <w:rsid w:val="00E96B3B"/>
    <w:rsid w:val="00E97805"/>
    <w:rsid w:val="00EA0F96"/>
    <w:rsid w:val="00EA1132"/>
    <w:rsid w:val="00EA44D9"/>
    <w:rsid w:val="00EA7AD0"/>
    <w:rsid w:val="00EA7BDB"/>
    <w:rsid w:val="00EB2165"/>
    <w:rsid w:val="00EB3485"/>
    <w:rsid w:val="00EB36E6"/>
    <w:rsid w:val="00EB5260"/>
    <w:rsid w:val="00EB5F5A"/>
    <w:rsid w:val="00EB6A76"/>
    <w:rsid w:val="00EC2949"/>
    <w:rsid w:val="00EC5CBF"/>
    <w:rsid w:val="00EC6242"/>
    <w:rsid w:val="00EC75AF"/>
    <w:rsid w:val="00EC79F7"/>
    <w:rsid w:val="00ED0211"/>
    <w:rsid w:val="00ED0A96"/>
    <w:rsid w:val="00ED263B"/>
    <w:rsid w:val="00ED3D38"/>
    <w:rsid w:val="00ED7163"/>
    <w:rsid w:val="00ED71E0"/>
    <w:rsid w:val="00ED729B"/>
    <w:rsid w:val="00EE594D"/>
    <w:rsid w:val="00EE6178"/>
    <w:rsid w:val="00EF0914"/>
    <w:rsid w:val="00EF29CC"/>
    <w:rsid w:val="00EF32F4"/>
    <w:rsid w:val="00EF423C"/>
    <w:rsid w:val="00EF48C1"/>
    <w:rsid w:val="00EF4C1C"/>
    <w:rsid w:val="00EF7213"/>
    <w:rsid w:val="00EF7B94"/>
    <w:rsid w:val="00F01572"/>
    <w:rsid w:val="00F0331E"/>
    <w:rsid w:val="00F056D4"/>
    <w:rsid w:val="00F07BC5"/>
    <w:rsid w:val="00F10189"/>
    <w:rsid w:val="00F12C51"/>
    <w:rsid w:val="00F134B8"/>
    <w:rsid w:val="00F14635"/>
    <w:rsid w:val="00F14C6D"/>
    <w:rsid w:val="00F153E0"/>
    <w:rsid w:val="00F16600"/>
    <w:rsid w:val="00F228F8"/>
    <w:rsid w:val="00F237B3"/>
    <w:rsid w:val="00F24FC7"/>
    <w:rsid w:val="00F25148"/>
    <w:rsid w:val="00F2620B"/>
    <w:rsid w:val="00F278CC"/>
    <w:rsid w:val="00F3110A"/>
    <w:rsid w:val="00F31D5D"/>
    <w:rsid w:val="00F34BC9"/>
    <w:rsid w:val="00F36464"/>
    <w:rsid w:val="00F36A7D"/>
    <w:rsid w:val="00F37680"/>
    <w:rsid w:val="00F378EE"/>
    <w:rsid w:val="00F45C44"/>
    <w:rsid w:val="00F46C12"/>
    <w:rsid w:val="00F50ADC"/>
    <w:rsid w:val="00F52AA6"/>
    <w:rsid w:val="00F535BA"/>
    <w:rsid w:val="00F571C4"/>
    <w:rsid w:val="00F6137D"/>
    <w:rsid w:val="00F62AA5"/>
    <w:rsid w:val="00F6410D"/>
    <w:rsid w:val="00F65AB6"/>
    <w:rsid w:val="00F70236"/>
    <w:rsid w:val="00F72699"/>
    <w:rsid w:val="00F7374C"/>
    <w:rsid w:val="00F81104"/>
    <w:rsid w:val="00F8302E"/>
    <w:rsid w:val="00F840B0"/>
    <w:rsid w:val="00F858F7"/>
    <w:rsid w:val="00F8726D"/>
    <w:rsid w:val="00F905D8"/>
    <w:rsid w:val="00F920F1"/>
    <w:rsid w:val="00F97E50"/>
    <w:rsid w:val="00FA1485"/>
    <w:rsid w:val="00FA1A5C"/>
    <w:rsid w:val="00FA4916"/>
    <w:rsid w:val="00FA595C"/>
    <w:rsid w:val="00FA5A91"/>
    <w:rsid w:val="00FB0B8D"/>
    <w:rsid w:val="00FB12A0"/>
    <w:rsid w:val="00FB28D7"/>
    <w:rsid w:val="00FB2FE2"/>
    <w:rsid w:val="00FB3820"/>
    <w:rsid w:val="00FB3E7F"/>
    <w:rsid w:val="00FB6CAC"/>
    <w:rsid w:val="00FB78D2"/>
    <w:rsid w:val="00FB7A35"/>
    <w:rsid w:val="00FC22BD"/>
    <w:rsid w:val="00FC2309"/>
    <w:rsid w:val="00FC2C54"/>
    <w:rsid w:val="00FC4A4E"/>
    <w:rsid w:val="00FC6580"/>
    <w:rsid w:val="00FD01B5"/>
    <w:rsid w:val="00FD0F02"/>
    <w:rsid w:val="00FD498D"/>
    <w:rsid w:val="00FD6DC8"/>
    <w:rsid w:val="00FD7232"/>
    <w:rsid w:val="00FE15F2"/>
    <w:rsid w:val="00FE16EA"/>
    <w:rsid w:val="00FE1B2E"/>
    <w:rsid w:val="00FE286E"/>
    <w:rsid w:val="00FE2E15"/>
    <w:rsid w:val="00FE36AD"/>
    <w:rsid w:val="00FE5130"/>
    <w:rsid w:val="00FF09B0"/>
    <w:rsid w:val="00FF1307"/>
    <w:rsid w:val="00FF193E"/>
    <w:rsid w:val="00FF2467"/>
    <w:rsid w:val="00FF260B"/>
    <w:rsid w:val="00FF28B1"/>
    <w:rsid w:val="00FF366E"/>
    <w:rsid w:val="00FF4590"/>
    <w:rsid w:val="00FF49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2"/>
    <o:shapelayout v:ext="edit">
      <o:idmap v:ext="edit" data="1"/>
    </o:shapelayout>
  </w:shapeDefaults>
  <w:decimalSymbol w:val="."/>
  <w:listSeparator w:val=","/>
  <w14:docId w14:val="2BA10BE0"/>
  <w15:chartTrackingRefBased/>
  <w15:docId w15:val="{0858E654-EFFD-4ABA-9BB0-98B4679C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3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aliases w:val="4_G,Footnotes refss,Footnote number,Footnote"/>
    <w:rsid w:val="000A1DB8"/>
    <w:rPr>
      <w:rFonts w:ascii="Arial" w:hAnsi="Arial"/>
      <w:sz w:val="20"/>
      <w:vertAlign w:val="superscript"/>
    </w:rPr>
  </w:style>
  <w:style w:type="paragraph" w:styleId="FootnoteText">
    <w:name w:val="footnote text"/>
    <w:aliases w:val="5_G,Footnote Text Char Char Char Char Char Char Char,Footnote Text Char Char Char Char Char Char,Footnote Text Char Char Char Char Char Char Char Char Char Char Char Char Char Char Char Char Char,single space Char,single space"/>
    <w:basedOn w:val="Normal"/>
    <w:link w:val="FootnoteTextChar"/>
    <w:uiPriority w:val="99"/>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1"/>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paragraph" w:styleId="ListParagraph">
    <w:name w:val="List Paragraph"/>
    <w:basedOn w:val="Normal"/>
    <w:uiPriority w:val="34"/>
    <w:qFormat/>
    <w:rsid w:val="008B33B3"/>
    <w:pPr>
      <w:ind w:left="720"/>
      <w:contextualSpacing/>
    </w:pPr>
    <w:rPr>
      <w:rFonts w:eastAsia="Times New Roman"/>
    </w:rPr>
  </w:style>
  <w:style w:type="paragraph" w:customStyle="1" w:styleId="aaHRLCBodytextakaNormal">
    <w:name w:val="aa HRLC Body text (aka Normal)"/>
    <w:basedOn w:val="Normal"/>
    <w:qFormat/>
    <w:rsid w:val="003A19BB"/>
    <w:pPr>
      <w:spacing w:before="120" w:after="0" w:line="312" w:lineRule="auto"/>
    </w:pPr>
    <w:rPr>
      <w:rFonts w:eastAsia="Times New Roman"/>
      <w:sz w:val="20"/>
      <w:szCs w:val="20"/>
      <w:lang w:eastAsia="en-US"/>
    </w:rPr>
  </w:style>
  <w:style w:type="paragraph" w:styleId="NoSpacing">
    <w:name w:val="No Spacing"/>
    <w:uiPriority w:val="1"/>
    <w:qFormat/>
    <w:rsid w:val="00335DCA"/>
    <w:rPr>
      <w:rFonts w:ascii="Arial" w:hAnsi="Arial"/>
      <w:sz w:val="24"/>
      <w:szCs w:val="24"/>
    </w:rPr>
  </w:style>
  <w:style w:type="character" w:customStyle="1" w:styleId="FootnoteTextChar">
    <w:name w:val="Footnote Text Char"/>
    <w:aliases w:val="5_G Char,Footnote Text Char Char Char Char Char Char Char Char,Footnote Text Char Char Char Char Char Char Char1,Footnote Text Char Char Char Char Char Char Char Char Char Char Char Char Char Char Char Char Char Char"/>
    <w:basedOn w:val="DefaultParagraphFont"/>
    <w:link w:val="FootnoteText"/>
    <w:uiPriority w:val="99"/>
    <w:locked/>
    <w:rsid w:val="00A60F93"/>
    <w:rPr>
      <w:rFonts w:ascii="Arial" w:eastAsia="MS Mincho" w:hAnsi="Arial"/>
    </w:rPr>
  </w:style>
  <w:style w:type="character" w:styleId="CommentReference">
    <w:name w:val="annotation reference"/>
    <w:basedOn w:val="DefaultParagraphFont"/>
    <w:locked/>
    <w:rsid w:val="00507CE5"/>
    <w:rPr>
      <w:sz w:val="16"/>
      <w:szCs w:val="16"/>
    </w:rPr>
  </w:style>
  <w:style w:type="paragraph" w:styleId="CommentText">
    <w:name w:val="annotation text"/>
    <w:basedOn w:val="Normal"/>
    <w:link w:val="CommentTextChar"/>
    <w:locked/>
    <w:rsid w:val="00507CE5"/>
    <w:rPr>
      <w:sz w:val="20"/>
      <w:szCs w:val="20"/>
    </w:rPr>
  </w:style>
  <w:style w:type="character" w:customStyle="1" w:styleId="CommentTextChar">
    <w:name w:val="Comment Text Char"/>
    <w:basedOn w:val="DefaultParagraphFont"/>
    <w:link w:val="CommentText"/>
    <w:rsid w:val="00507CE5"/>
    <w:rPr>
      <w:rFonts w:ascii="Arial" w:eastAsia="MS Mincho" w:hAnsi="Arial"/>
    </w:rPr>
  </w:style>
  <w:style w:type="paragraph" w:styleId="CommentSubject">
    <w:name w:val="annotation subject"/>
    <w:basedOn w:val="CommentText"/>
    <w:next w:val="CommentText"/>
    <w:link w:val="CommentSubjectChar"/>
    <w:locked/>
    <w:rsid w:val="00507CE5"/>
    <w:rPr>
      <w:b/>
      <w:bCs/>
    </w:rPr>
  </w:style>
  <w:style w:type="character" w:customStyle="1" w:styleId="CommentSubjectChar">
    <w:name w:val="Comment Subject Char"/>
    <w:basedOn w:val="CommentTextChar"/>
    <w:link w:val="CommentSubject"/>
    <w:rsid w:val="00507CE5"/>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1377">
      <w:bodyDiv w:val="1"/>
      <w:marLeft w:val="0"/>
      <w:marRight w:val="0"/>
      <w:marTop w:val="0"/>
      <w:marBottom w:val="0"/>
      <w:divBdr>
        <w:top w:val="none" w:sz="0" w:space="0" w:color="auto"/>
        <w:left w:val="none" w:sz="0" w:space="0" w:color="auto"/>
        <w:bottom w:val="none" w:sz="0" w:space="0" w:color="auto"/>
        <w:right w:val="none" w:sz="0" w:space="0" w:color="auto"/>
      </w:divBdr>
    </w:div>
    <w:div w:id="65228036">
      <w:bodyDiv w:val="1"/>
      <w:marLeft w:val="0"/>
      <w:marRight w:val="0"/>
      <w:marTop w:val="0"/>
      <w:marBottom w:val="0"/>
      <w:divBdr>
        <w:top w:val="none" w:sz="0" w:space="0" w:color="auto"/>
        <w:left w:val="none" w:sz="0" w:space="0" w:color="auto"/>
        <w:bottom w:val="none" w:sz="0" w:space="0" w:color="auto"/>
        <w:right w:val="none" w:sz="0" w:space="0" w:color="auto"/>
      </w:divBdr>
    </w:div>
    <w:div w:id="74517748">
      <w:bodyDiv w:val="1"/>
      <w:marLeft w:val="0"/>
      <w:marRight w:val="0"/>
      <w:marTop w:val="0"/>
      <w:marBottom w:val="0"/>
      <w:divBdr>
        <w:top w:val="none" w:sz="0" w:space="0" w:color="auto"/>
        <w:left w:val="none" w:sz="0" w:space="0" w:color="auto"/>
        <w:bottom w:val="none" w:sz="0" w:space="0" w:color="auto"/>
        <w:right w:val="none" w:sz="0" w:space="0" w:color="auto"/>
      </w:divBdr>
    </w:div>
    <w:div w:id="174151273">
      <w:bodyDiv w:val="1"/>
      <w:marLeft w:val="0"/>
      <w:marRight w:val="0"/>
      <w:marTop w:val="0"/>
      <w:marBottom w:val="0"/>
      <w:divBdr>
        <w:top w:val="none" w:sz="0" w:space="0" w:color="auto"/>
        <w:left w:val="none" w:sz="0" w:space="0" w:color="auto"/>
        <w:bottom w:val="none" w:sz="0" w:space="0" w:color="auto"/>
        <w:right w:val="none" w:sz="0" w:space="0" w:color="auto"/>
      </w:divBdr>
    </w:div>
    <w:div w:id="259415471">
      <w:bodyDiv w:val="1"/>
      <w:marLeft w:val="0"/>
      <w:marRight w:val="0"/>
      <w:marTop w:val="0"/>
      <w:marBottom w:val="0"/>
      <w:divBdr>
        <w:top w:val="none" w:sz="0" w:space="0" w:color="auto"/>
        <w:left w:val="none" w:sz="0" w:space="0" w:color="auto"/>
        <w:bottom w:val="none" w:sz="0" w:space="0" w:color="auto"/>
        <w:right w:val="none" w:sz="0" w:space="0" w:color="auto"/>
      </w:divBdr>
    </w:div>
    <w:div w:id="568417058">
      <w:bodyDiv w:val="1"/>
      <w:marLeft w:val="0"/>
      <w:marRight w:val="0"/>
      <w:marTop w:val="0"/>
      <w:marBottom w:val="0"/>
      <w:divBdr>
        <w:top w:val="none" w:sz="0" w:space="0" w:color="auto"/>
        <w:left w:val="none" w:sz="0" w:space="0" w:color="auto"/>
        <w:bottom w:val="none" w:sz="0" w:space="0" w:color="auto"/>
        <w:right w:val="none" w:sz="0" w:space="0" w:color="auto"/>
      </w:divBdr>
    </w:div>
    <w:div w:id="605701056">
      <w:bodyDiv w:val="1"/>
      <w:marLeft w:val="0"/>
      <w:marRight w:val="0"/>
      <w:marTop w:val="0"/>
      <w:marBottom w:val="0"/>
      <w:divBdr>
        <w:top w:val="none" w:sz="0" w:space="0" w:color="auto"/>
        <w:left w:val="none" w:sz="0" w:space="0" w:color="auto"/>
        <w:bottom w:val="none" w:sz="0" w:space="0" w:color="auto"/>
        <w:right w:val="none" w:sz="0" w:space="0" w:color="auto"/>
      </w:divBdr>
    </w:div>
    <w:div w:id="702435740">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15030788">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93821832">
      <w:bodyDiv w:val="1"/>
      <w:marLeft w:val="0"/>
      <w:marRight w:val="0"/>
      <w:marTop w:val="0"/>
      <w:marBottom w:val="0"/>
      <w:divBdr>
        <w:top w:val="none" w:sz="0" w:space="0" w:color="auto"/>
        <w:left w:val="none" w:sz="0" w:space="0" w:color="auto"/>
        <w:bottom w:val="none" w:sz="0" w:space="0" w:color="auto"/>
        <w:right w:val="none" w:sz="0" w:space="0" w:color="auto"/>
      </w:divBdr>
      <w:divsChild>
        <w:div w:id="1194271348">
          <w:marLeft w:val="0"/>
          <w:marRight w:val="0"/>
          <w:marTop w:val="0"/>
          <w:marBottom w:val="0"/>
          <w:divBdr>
            <w:top w:val="none" w:sz="0" w:space="0" w:color="auto"/>
            <w:left w:val="none" w:sz="0" w:space="0" w:color="auto"/>
            <w:bottom w:val="none" w:sz="0" w:space="0" w:color="auto"/>
            <w:right w:val="none" w:sz="0" w:space="0" w:color="auto"/>
          </w:divBdr>
          <w:divsChild>
            <w:div w:id="3179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7145">
      <w:bodyDiv w:val="1"/>
      <w:marLeft w:val="0"/>
      <w:marRight w:val="0"/>
      <w:marTop w:val="0"/>
      <w:marBottom w:val="0"/>
      <w:divBdr>
        <w:top w:val="none" w:sz="0" w:space="0" w:color="auto"/>
        <w:left w:val="none" w:sz="0" w:space="0" w:color="auto"/>
        <w:bottom w:val="none" w:sz="0" w:space="0" w:color="auto"/>
        <w:right w:val="none" w:sz="0" w:space="0" w:color="auto"/>
      </w:divBdr>
    </w:div>
    <w:div w:id="1251737698">
      <w:bodyDiv w:val="1"/>
      <w:marLeft w:val="0"/>
      <w:marRight w:val="0"/>
      <w:marTop w:val="0"/>
      <w:marBottom w:val="0"/>
      <w:divBdr>
        <w:top w:val="none" w:sz="0" w:space="0" w:color="auto"/>
        <w:left w:val="none" w:sz="0" w:space="0" w:color="auto"/>
        <w:bottom w:val="none" w:sz="0" w:space="0" w:color="auto"/>
        <w:right w:val="none" w:sz="0" w:space="0" w:color="auto"/>
      </w:divBdr>
    </w:div>
    <w:div w:id="1284268804">
      <w:bodyDiv w:val="1"/>
      <w:marLeft w:val="0"/>
      <w:marRight w:val="0"/>
      <w:marTop w:val="0"/>
      <w:marBottom w:val="0"/>
      <w:divBdr>
        <w:top w:val="none" w:sz="0" w:space="0" w:color="auto"/>
        <w:left w:val="none" w:sz="0" w:space="0" w:color="auto"/>
        <w:bottom w:val="none" w:sz="0" w:space="0" w:color="auto"/>
        <w:right w:val="none" w:sz="0" w:space="0" w:color="auto"/>
      </w:divBdr>
    </w:div>
    <w:div w:id="1461221417">
      <w:bodyDiv w:val="1"/>
      <w:marLeft w:val="0"/>
      <w:marRight w:val="0"/>
      <w:marTop w:val="0"/>
      <w:marBottom w:val="0"/>
      <w:divBdr>
        <w:top w:val="none" w:sz="0" w:space="0" w:color="auto"/>
        <w:left w:val="none" w:sz="0" w:space="0" w:color="auto"/>
        <w:bottom w:val="none" w:sz="0" w:space="0" w:color="auto"/>
        <w:right w:val="none" w:sz="0" w:space="0" w:color="auto"/>
      </w:divBdr>
      <w:divsChild>
        <w:div w:id="1637181413">
          <w:marLeft w:val="0"/>
          <w:marRight w:val="0"/>
          <w:marTop w:val="0"/>
          <w:marBottom w:val="0"/>
          <w:divBdr>
            <w:top w:val="none" w:sz="0" w:space="0" w:color="auto"/>
            <w:left w:val="none" w:sz="0" w:space="0" w:color="auto"/>
            <w:bottom w:val="none" w:sz="0" w:space="0" w:color="auto"/>
            <w:right w:val="none" w:sz="0" w:space="0" w:color="auto"/>
          </w:divBdr>
          <w:divsChild>
            <w:div w:id="737634517">
              <w:marLeft w:val="0"/>
              <w:marRight w:val="0"/>
              <w:marTop w:val="0"/>
              <w:marBottom w:val="0"/>
              <w:divBdr>
                <w:top w:val="none" w:sz="0" w:space="0" w:color="auto"/>
                <w:left w:val="none" w:sz="0" w:space="0" w:color="auto"/>
                <w:bottom w:val="none" w:sz="0" w:space="0" w:color="auto"/>
                <w:right w:val="none" w:sz="0" w:space="0" w:color="auto"/>
              </w:divBdr>
              <w:divsChild>
                <w:div w:id="1441605249">
                  <w:marLeft w:val="0"/>
                  <w:marRight w:val="0"/>
                  <w:marTop w:val="0"/>
                  <w:marBottom w:val="0"/>
                  <w:divBdr>
                    <w:top w:val="none" w:sz="0" w:space="0" w:color="auto"/>
                    <w:left w:val="none" w:sz="0" w:space="0" w:color="auto"/>
                    <w:bottom w:val="none" w:sz="0" w:space="0" w:color="auto"/>
                    <w:right w:val="none" w:sz="0" w:space="0" w:color="auto"/>
                  </w:divBdr>
                  <w:divsChild>
                    <w:div w:id="520052078">
                      <w:marLeft w:val="0"/>
                      <w:marRight w:val="0"/>
                      <w:marTop w:val="0"/>
                      <w:marBottom w:val="0"/>
                      <w:divBdr>
                        <w:top w:val="none" w:sz="0" w:space="0" w:color="auto"/>
                        <w:left w:val="none" w:sz="0" w:space="0" w:color="auto"/>
                        <w:bottom w:val="none" w:sz="0" w:space="0" w:color="auto"/>
                        <w:right w:val="none" w:sz="0" w:space="0" w:color="auto"/>
                      </w:divBdr>
                      <w:divsChild>
                        <w:div w:id="532305727">
                          <w:marLeft w:val="0"/>
                          <w:marRight w:val="0"/>
                          <w:marTop w:val="0"/>
                          <w:marBottom w:val="0"/>
                          <w:divBdr>
                            <w:top w:val="none" w:sz="0" w:space="0" w:color="auto"/>
                            <w:left w:val="none" w:sz="0" w:space="0" w:color="auto"/>
                            <w:bottom w:val="none" w:sz="0" w:space="0" w:color="auto"/>
                            <w:right w:val="none" w:sz="0" w:space="0" w:color="auto"/>
                          </w:divBdr>
                        </w:div>
                        <w:div w:id="211579276">
                          <w:marLeft w:val="0"/>
                          <w:marRight w:val="0"/>
                          <w:marTop w:val="0"/>
                          <w:marBottom w:val="0"/>
                          <w:divBdr>
                            <w:top w:val="none" w:sz="0" w:space="0" w:color="auto"/>
                            <w:left w:val="none" w:sz="0" w:space="0" w:color="auto"/>
                            <w:bottom w:val="none" w:sz="0" w:space="0" w:color="auto"/>
                            <w:right w:val="none" w:sz="0" w:space="0" w:color="auto"/>
                          </w:divBdr>
                          <w:divsChild>
                            <w:div w:id="1379010300">
                              <w:marLeft w:val="0"/>
                              <w:marRight w:val="0"/>
                              <w:marTop w:val="0"/>
                              <w:marBottom w:val="0"/>
                              <w:divBdr>
                                <w:top w:val="none" w:sz="0" w:space="0" w:color="auto"/>
                                <w:left w:val="none" w:sz="0" w:space="0" w:color="auto"/>
                                <w:bottom w:val="none" w:sz="0" w:space="0" w:color="auto"/>
                                <w:right w:val="none" w:sz="0" w:space="0" w:color="auto"/>
                              </w:divBdr>
                              <w:divsChild>
                                <w:div w:id="1326321063">
                                  <w:marLeft w:val="0"/>
                                  <w:marRight w:val="0"/>
                                  <w:marTop w:val="0"/>
                                  <w:marBottom w:val="0"/>
                                  <w:divBdr>
                                    <w:top w:val="none" w:sz="0" w:space="0" w:color="auto"/>
                                    <w:left w:val="none" w:sz="0" w:space="0" w:color="auto"/>
                                    <w:bottom w:val="none" w:sz="0" w:space="0" w:color="auto"/>
                                    <w:right w:val="none" w:sz="0" w:space="0" w:color="auto"/>
                                  </w:divBdr>
                                  <w:divsChild>
                                    <w:div w:id="4728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470319">
      <w:bodyDiv w:val="1"/>
      <w:marLeft w:val="0"/>
      <w:marRight w:val="0"/>
      <w:marTop w:val="0"/>
      <w:marBottom w:val="0"/>
      <w:divBdr>
        <w:top w:val="none" w:sz="0" w:space="0" w:color="auto"/>
        <w:left w:val="none" w:sz="0" w:space="0" w:color="auto"/>
        <w:bottom w:val="none" w:sz="0" w:space="0" w:color="auto"/>
        <w:right w:val="none" w:sz="0" w:space="0" w:color="auto"/>
      </w:divBdr>
    </w:div>
    <w:div w:id="1773815162">
      <w:bodyDiv w:val="1"/>
      <w:marLeft w:val="0"/>
      <w:marRight w:val="0"/>
      <w:marTop w:val="0"/>
      <w:marBottom w:val="0"/>
      <w:divBdr>
        <w:top w:val="none" w:sz="0" w:space="0" w:color="auto"/>
        <w:left w:val="none" w:sz="0" w:space="0" w:color="auto"/>
        <w:bottom w:val="none" w:sz="0" w:space="0" w:color="auto"/>
        <w:right w:val="none" w:sz="0" w:space="0" w:color="auto"/>
      </w:divBdr>
    </w:div>
    <w:div w:id="2072801387">
      <w:bodyDiv w:val="1"/>
      <w:marLeft w:val="0"/>
      <w:marRight w:val="0"/>
      <w:marTop w:val="0"/>
      <w:marBottom w:val="0"/>
      <w:divBdr>
        <w:top w:val="none" w:sz="0" w:space="0" w:color="auto"/>
        <w:left w:val="none" w:sz="0" w:space="0" w:color="auto"/>
        <w:bottom w:val="none" w:sz="0" w:space="0" w:color="auto"/>
        <w:right w:val="none" w:sz="0" w:space="0" w:color="auto"/>
      </w:divBdr>
      <w:divsChild>
        <w:div w:id="224948679">
          <w:marLeft w:val="0"/>
          <w:marRight w:val="0"/>
          <w:marTop w:val="0"/>
          <w:marBottom w:val="0"/>
          <w:divBdr>
            <w:top w:val="none" w:sz="0" w:space="0" w:color="auto"/>
            <w:left w:val="none" w:sz="0" w:space="0" w:color="auto"/>
            <w:bottom w:val="none" w:sz="0" w:space="0" w:color="auto"/>
            <w:right w:val="none" w:sz="0" w:space="0" w:color="auto"/>
          </w:divBdr>
          <w:divsChild>
            <w:div w:id="20063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hchr.org/Documents/Publications/GuidingPrinciplesBusinessHR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8" Type="http://schemas.openxmlformats.org/officeDocument/2006/relationships/hyperlink" Target="http://icar.ngo/wp-content/uploads/2016/06/HRDs-English-FINAL.pdf" TargetMode="External"/><Relationship Id="rId13" Type="http://schemas.openxmlformats.org/officeDocument/2006/relationships/hyperlink" Target="http://www.finance.gov.au/procurement/statistics-on-commonwealth-purchasing-contracts/" TargetMode="External"/><Relationship Id="rId18" Type="http://schemas.openxmlformats.org/officeDocument/2006/relationships/hyperlink" Target="https://www.gov.uk/government/world-location-news/transcript-magna-carta-lecture-2014" TargetMode="External"/><Relationship Id="rId26" Type="http://schemas.openxmlformats.org/officeDocument/2006/relationships/hyperlink" Target="http://www.tuacoecdmneguidelines.org/NCPcomparisonAll.asp" TargetMode="External"/><Relationship Id="rId3" Type="http://schemas.openxmlformats.org/officeDocument/2006/relationships/hyperlink" Target="http://www.ohchr.org/EN/Issues/Business/Pages/NationalActionPlans.aspx" TargetMode="External"/><Relationship Id="rId21" Type="http://schemas.openxmlformats.org/officeDocument/2006/relationships/hyperlink" Target="https://www.dol.gov/agencies/ilab/resources/reports/child-labor" TargetMode="External"/><Relationship Id="rId7" Type="http://schemas.openxmlformats.org/officeDocument/2006/relationships/hyperlink" Target="http://icar.ngo/wp-content/uploads/2014/06/DIHR-ICAR-National-Action-Plans-NAPs-Report3.pdf" TargetMode="External"/><Relationship Id="rId12" Type="http://schemas.openxmlformats.org/officeDocument/2006/relationships/hyperlink" Target="https://documents-ddsny.un.org/doc/UNDOC/GEN/G16/091/71/PDF/G1609171.pdf?OpenElement" TargetMode="External"/><Relationship Id="rId17" Type="http://schemas.openxmlformats.org/officeDocument/2006/relationships/hyperlink" Target="https://sustainabledevelopment.un.org/?menu=1300" TargetMode="External"/><Relationship Id="rId25" Type="http://schemas.openxmlformats.org/officeDocument/2006/relationships/hyperlink" Target="https://www.whitehouse.gov/the-press-office/2015/06/08/g-7-leaders-declaration" TargetMode="External"/><Relationship Id="rId2" Type="http://schemas.openxmlformats.org/officeDocument/2006/relationships/hyperlink" Target="http://www.ohchr.org/EN/Issues/Business/Pages/NationalActionPlans.aspx" TargetMode="External"/><Relationship Id="rId16" Type="http://schemas.openxmlformats.org/officeDocument/2006/relationships/hyperlink" Target="https://www.finance.gov.au/sites/default/files/2014%20Commonwealth%20Procurement%20Rules.pdf" TargetMode="External"/><Relationship Id="rId20" Type="http://schemas.openxmlformats.org/officeDocument/2006/relationships/hyperlink" Target="http://www.todayonline.com/business/sustainability-reporting-all-listed-companies-mandatory-fy2017" TargetMode="External"/><Relationship Id="rId1" Type="http://schemas.openxmlformats.org/officeDocument/2006/relationships/hyperlink" Target="https://documents-dds-ny.un.org/doc/UNDOC/LTD/G14/062/40/PDF/G1406240.pdf?OpenElement" TargetMode="External"/><Relationship Id="rId6" Type="http://schemas.openxmlformats.org/officeDocument/2006/relationships/hyperlink" Target="http://alhr.org.au/wp/wp-content/uploads/2016/03/NAP-Policy-Paper.pdf" TargetMode="External"/><Relationship Id="rId11" Type="http://schemas.openxmlformats.org/officeDocument/2006/relationships/hyperlink" Target="https://documents-ddsny.un.org/doc/UNDOC/GEN/G16/091/71/PDF/G1609171.pdf?OpenElement" TargetMode="External"/><Relationship Id="rId24" Type="http://schemas.openxmlformats.org/officeDocument/2006/relationships/hyperlink" Target="http://www.oecdwatch.org/news-en/a-201c4x10201d-plan-for-why-and-how-to-unlock-the-potential-of-the-oecd-guidelines" TargetMode="External"/><Relationship Id="rId5" Type="http://schemas.openxmlformats.org/officeDocument/2006/relationships/hyperlink" Target="http://hrlc.org.au/wp-content/uploads/2016/01/NAP-civil-society-letter.pdf" TargetMode="External"/><Relationship Id="rId15" Type="http://schemas.openxmlformats.org/officeDocument/2006/relationships/hyperlink" Target="https://www.ag.gov.au/CrimeAndCorruption/HumanTrafficking/Documents/Human-Trafficking-Information-sheet-for-Commonwealth-Government-procurement-officers.pdf" TargetMode="External"/><Relationship Id="rId23" Type="http://schemas.openxmlformats.org/officeDocument/2006/relationships/hyperlink" Target="http://business-humanrights.org/sites/default/files/documents/Accountability%20and%20Remedy%20Project%20-%20Discussion%20paper%20for%20consultation.pdf" TargetMode="External"/><Relationship Id="rId10" Type="http://schemas.openxmlformats.org/officeDocument/2006/relationships/hyperlink" Target="http://www.ohchr.org/Documents/Publications/GuidingPrinciplesBusinessHR_EN.pdf" TargetMode="External"/><Relationship Id="rId19" Type="http://schemas.openxmlformats.org/officeDocument/2006/relationships/hyperlink" Target="http://icar.ngo/wp-content/uploads/2016/06/HRDs-English-FINAL.pdf" TargetMode="External"/><Relationship Id="rId4" Type="http://schemas.openxmlformats.org/officeDocument/2006/relationships/hyperlink" Target="http://www.upr-info.org/sites/default/files/document/australia/session_23_-_november_2015/a_hrc_31_14_add.1_e.pdf" TargetMode="External"/><Relationship Id="rId9" Type="http://schemas.openxmlformats.org/officeDocument/2006/relationships/hyperlink" Target="http://www.ohchr.org/Documents/Issues/Business/DomesticLawRemedies/A_HRC_32_19_AEV.pdf" TargetMode="External"/><Relationship Id="rId14" Type="http://schemas.openxmlformats.org/officeDocument/2006/relationships/hyperlink" Target="http://www.trust.org/item/20130911091253-vmh6s/" TargetMode="External"/><Relationship Id="rId22" Type="http://schemas.openxmlformats.org/officeDocument/2006/relationships/hyperlink" Target="https://assets.kpmg.com/content/dam/kpmg/pdf/2016/05/asx-corporate-governance-council-principles-recommendations-jan-dec-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3789-8A91-478A-9D5A-FA76FDB9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1</TotalTime>
  <Pages>22</Pages>
  <Words>6066</Words>
  <Characters>37417</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43397</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Amy Sinclair</dc:creator>
  <cp:keywords/>
  <cp:lastModifiedBy>Rivkah Nissim</cp:lastModifiedBy>
  <cp:revision>4</cp:revision>
  <cp:lastPrinted>2016-09-01T01:31:00Z</cp:lastPrinted>
  <dcterms:created xsi:type="dcterms:W3CDTF">2016-08-15T00:47:00Z</dcterms:created>
  <dcterms:modified xsi:type="dcterms:W3CDTF">2016-09-01T01:31:00Z</dcterms:modified>
</cp:coreProperties>
</file>