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FD6A1" w14:textId="6AC0EE09" w:rsidR="007E149E" w:rsidRDefault="002F1015" w:rsidP="007E149E">
      <w:pPr>
        <w:pStyle w:val="PlainText"/>
        <w:jc w:val="center"/>
        <w:rPr>
          <w:b/>
          <w:noProof/>
          <w:color w:val="FFFFFF" w:themeColor="background1"/>
          <w:sz w:val="56"/>
          <w:szCs w:val="56"/>
          <w:lang w:val="en-US"/>
        </w:rPr>
      </w:pPr>
      <w:r w:rsidRPr="00FD556D">
        <w:rPr>
          <w:b/>
          <w:noProof/>
          <w:color w:val="FFFFFF" w:themeColor="background1"/>
          <w:sz w:val="56"/>
          <w:szCs w:val="56"/>
          <w:lang w:eastAsia="en-AU"/>
        </w:rPr>
        <mc:AlternateContent>
          <mc:Choice Requires="wps">
            <w:drawing>
              <wp:anchor distT="0" distB="0" distL="114300" distR="114300" simplePos="0" relativeHeight="251651584" behindDoc="1" locked="0" layoutInCell="1" allowOverlap="1" wp14:anchorId="092A3F87" wp14:editId="7B0CB274">
                <wp:simplePos x="0" y="0"/>
                <wp:positionH relativeFrom="column">
                  <wp:posOffset>-457200</wp:posOffset>
                </wp:positionH>
                <wp:positionV relativeFrom="paragraph">
                  <wp:posOffset>-225425</wp:posOffset>
                </wp:positionV>
                <wp:extent cx="8229600" cy="2382520"/>
                <wp:effectExtent l="0" t="0" r="0" b="508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2382520"/>
                        </a:xfrm>
                        <a:prstGeom prst="rect">
                          <a:avLst/>
                        </a:prstGeom>
                        <a:solidFill>
                          <a:srgbClr val="00376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6213A" id="Rectangle 2" o:spid="_x0000_s1026" style="position:absolute;margin-left:-36pt;margin-top:-17.75pt;width:9in;height:18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" fillcolor="#003767" stroked="f"/>
            </w:pict>
          </mc:Fallback>
        </mc:AlternateContent>
      </w:r>
      <w:r w:rsidR="003072B0" w:rsidRPr="00DA335E">
        <w:rPr>
          <w:b/>
          <w:noProof/>
          <w:color w:val="FFFFFF" w:themeColor="background1"/>
          <w:sz w:val="56"/>
          <w:szCs w:val="56"/>
          <w:lang w:eastAsia="en-AU"/>
        </w:rPr>
        <w:drawing>
          <wp:anchor distT="0" distB="0" distL="114300" distR="114300" simplePos="0" relativeHeight="251655680" behindDoc="1" locked="0" layoutInCell="1" allowOverlap="1" wp14:anchorId="4E7BB638" wp14:editId="227BF0DF">
            <wp:simplePos x="0" y="0"/>
            <wp:positionH relativeFrom="column">
              <wp:posOffset>4643120</wp:posOffset>
            </wp:positionH>
            <wp:positionV relativeFrom="paragraph">
              <wp:posOffset>-2249805</wp:posOffset>
            </wp:positionV>
            <wp:extent cx="1474470" cy="681990"/>
            <wp:effectExtent l="19050" t="0" r="0" b="0"/>
            <wp:wrapNone/>
            <wp:docPr id="7" name="Picture 6" descr="00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Logo_cmyk.jpg"/>
                    <pic:cNvPicPr/>
                  </pic:nvPicPr>
                  <pic:blipFill>
                    <a:blip r:embed="rId8" cstate="print"/>
                    <a:stretch>
                      <a:fillRect/>
                    </a:stretch>
                  </pic:blipFill>
                  <pic:spPr>
                    <a:xfrm>
                      <a:off x="0" y="0"/>
                      <a:ext cx="1474470" cy="681990"/>
                    </a:xfrm>
                    <a:prstGeom prst="rect">
                      <a:avLst/>
                    </a:prstGeom>
                  </pic:spPr>
                </pic:pic>
              </a:graphicData>
            </a:graphic>
          </wp:anchor>
        </w:drawing>
      </w:r>
      <w:r>
        <w:rPr>
          <w:b/>
          <w:noProof/>
          <w:color w:val="FFFFFF" w:themeColor="background1"/>
          <w:sz w:val="56"/>
          <w:szCs w:val="56"/>
          <w:lang w:val="en-US"/>
        </w:rPr>
        <w:t>Willing to Work:</w:t>
      </w:r>
    </w:p>
    <w:p w14:paraId="13213BE1" w14:textId="1F0E7F49" w:rsidR="008238C8" w:rsidRPr="002F1015" w:rsidRDefault="002F1015" w:rsidP="007E149E">
      <w:pPr>
        <w:pStyle w:val="PlainText"/>
        <w:jc w:val="center"/>
        <w:rPr>
          <w:b/>
          <w:noProof/>
          <w:color w:val="FFFFFF" w:themeColor="background1"/>
          <w:sz w:val="56"/>
          <w:szCs w:val="56"/>
          <w:lang w:val="en-US"/>
        </w:rPr>
      </w:pPr>
      <w:r>
        <w:rPr>
          <w:b/>
          <w:noProof/>
          <w:color w:val="FFFFFF" w:themeColor="background1"/>
          <w:sz w:val="56"/>
          <w:szCs w:val="56"/>
          <w:lang w:val="en-US"/>
        </w:rPr>
        <w:t xml:space="preserve">National Inquiry into  </w:t>
      </w:r>
      <w:r w:rsidR="007E149E">
        <w:rPr>
          <w:b/>
          <w:noProof/>
          <w:color w:val="FFFFFF" w:themeColor="background1"/>
          <w:sz w:val="56"/>
          <w:szCs w:val="56"/>
          <w:lang w:val="en-US"/>
        </w:rPr>
        <w:br/>
      </w:r>
      <w:r>
        <w:rPr>
          <w:b/>
          <w:noProof/>
          <w:color w:val="FFFFFF" w:themeColor="background1"/>
          <w:sz w:val="56"/>
          <w:szCs w:val="56"/>
          <w:lang w:val="en-US"/>
        </w:rPr>
        <w:t>Employment Discrimination Against Older</w:t>
      </w:r>
      <w:r w:rsidR="002E7A96" w:rsidRPr="00DA335E">
        <w:rPr>
          <w:b/>
          <w:color w:val="FFFFFF" w:themeColor="background1"/>
          <w:sz w:val="56"/>
          <w:szCs w:val="56"/>
        </w:rPr>
        <w:t xml:space="preserve"> </w:t>
      </w:r>
      <w:r>
        <w:rPr>
          <w:b/>
          <w:color w:val="FFFFFF" w:themeColor="background1"/>
          <w:sz w:val="56"/>
          <w:szCs w:val="56"/>
        </w:rPr>
        <w:t xml:space="preserve">Australians and Australians </w:t>
      </w:r>
      <w:r w:rsidR="007E149E">
        <w:rPr>
          <w:b/>
          <w:color w:val="FFFFFF" w:themeColor="background1"/>
          <w:sz w:val="56"/>
          <w:szCs w:val="56"/>
        </w:rPr>
        <w:br/>
        <w:t xml:space="preserve">with </w:t>
      </w:r>
      <w:r>
        <w:rPr>
          <w:b/>
          <w:color w:val="FFFFFF" w:themeColor="background1"/>
          <w:sz w:val="56"/>
          <w:szCs w:val="56"/>
        </w:rPr>
        <w:t>Disability</w:t>
      </w:r>
    </w:p>
    <w:p w14:paraId="7D02D63D" w14:textId="77777777" w:rsidR="00696588" w:rsidRPr="00DA335E" w:rsidRDefault="00696588" w:rsidP="00696588">
      <w:pPr>
        <w:pStyle w:val="PlainText"/>
        <w:jc w:val="right"/>
        <w:rPr>
          <w:b/>
          <w:color w:val="8DB3E2" w:themeColor="text2" w:themeTint="66"/>
          <w:sz w:val="2"/>
          <w:szCs w:val="2"/>
        </w:rPr>
      </w:pPr>
    </w:p>
    <w:p w14:paraId="70E1E881" w14:textId="77777777" w:rsidR="00696588" w:rsidRPr="00DA335E" w:rsidRDefault="00696588" w:rsidP="00696588">
      <w:pPr>
        <w:pStyle w:val="PlainText"/>
        <w:jc w:val="right"/>
        <w:rPr>
          <w:b/>
          <w:color w:val="8DB3E2" w:themeColor="text2" w:themeTint="66"/>
          <w:sz w:val="2"/>
          <w:szCs w:val="2"/>
        </w:rPr>
      </w:pPr>
    </w:p>
    <w:p w14:paraId="25A190EE" w14:textId="77777777" w:rsidR="00696588" w:rsidRPr="00DA335E" w:rsidRDefault="00696588" w:rsidP="00696588">
      <w:pPr>
        <w:pStyle w:val="PlainText"/>
        <w:jc w:val="right"/>
        <w:rPr>
          <w:b/>
          <w:color w:val="8DB3E2" w:themeColor="text2" w:themeTint="66"/>
          <w:sz w:val="2"/>
          <w:szCs w:val="2"/>
        </w:rPr>
      </w:pPr>
    </w:p>
    <w:p w14:paraId="4241BBE0" w14:textId="77777777" w:rsidR="00696588" w:rsidRPr="00DA335E" w:rsidRDefault="00696588" w:rsidP="00696588">
      <w:pPr>
        <w:pStyle w:val="PlainText"/>
        <w:jc w:val="right"/>
        <w:rPr>
          <w:b/>
          <w:color w:val="8DB3E2" w:themeColor="text2" w:themeTint="66"/>
          <w:sz w:val="2"/>
          <w:szCs w:val="2"/>
        </w:rPr>
      </w:pPr>
    </w:p>
    <w:p w14:paraId="6ED149CD" w14:textId="77777777" w:rsidR="00696588" w:rsidRPr="00DA335E" w:rsidRDefault="00696588" w:rsidP="00696588">
      <w:pPr>
        <w:pStyle w:val="PlainText"/>
        <w:jc w:val="right"/>
        <w:rPr>
          <w:b/>
          <w:color w:val="8DB3E2" w:themeColor="text2" w:themeTint="66"/>
          <w:sz w:val="2"/>
          <w:szCs w:val="2"/>
        </w:rPr>
      </w:pPr>
    </w:p>
    <w:p w14:paraId="6E093DF9" w14:textId="77777777" w:rsidR="00696588" w:rsidRPr="00DA335E" w:rsidRDefault="00696588" w:rsidP="00696588">
      <w:pPr>
        <w:pStyle w:val="PlainText"/>
        <w:jc w:val="right"/>
        <w:rPr>
          <w:b/>
          <w:color w:val="8DB3E2" w:themeColor="text2" w:themeTint="66"/>
          <w:sz w:val="2"/>
          <w:szCs w:val="2"/>
        </w:rPr>
      </w:pPr>
    </w:p>
    <w:p w14:paraId="739B6713" w14:textId="77777777" w:rsidR="00696588" w:rsidRPr="00DA335E" w:rsidRDefault="00696588" w:rsidP="00696588">
      <w:pPr>
        <w:pStyle w:val="PlainText"/>
        <w:jc w:val="right"/>
        <w:rPr>
          <w:b/>
          <w:color w:val="8DB3E2" w:themeColor="text2" w:themeTint="66"/>
          <w:sz w:val="2"/>
          <w:szCs w:val="2"/>
        </w:rPr>
      </w:pPr>
    </w:p>
    <w:p w14:paraId="2BCE3A37" w14:textId="77777777" w:rsidR="00696588" w:rsidRPr="00DA335E" w:rsidRDefault="00696588" w:rsidP="00696588">
      <w:pPr>
        <w:pStyle w:val="PlainText"/>
        <w:jc w:val="right"/>
        <w:rPr>
          <w:b/>
          <w:color w:val="8DB3E2" w:themeColor="text2" w:themeTint="66"/>
          <w:sz w:val="2"/>
          <w:szCs w:val="2"/>
        </w:rPr>
      </w:pPr>
    </w:p>
    <w:p w14:paraId="219C22A1" w14:textId="77777777" w:rsidR="00696588" w:rsidRPr="00DA335E" w:rsidRDefault="00696588" w:rsidP="00696588">
      <w:pPr>
        <w:pStyle w:val="PlainText"/>
        <w:jc w:val="right"/>
        <w:rPr>
          <w:b/>
          <w:color w:val="8DB3E2" w:themeColor="text2" w:themeTint="66"/>
          <w:sz w:val="2"/>
          <w:szCs w:val="2"/>
        </w:rPr>
      </w:pPr>
    </w:p>
    <w:p w14:paraId="7DE93B5F" w14:textId="77777777" w:rsidR="00696588" w:rsidRPr="00DA335E" w:rsidRDefault="00696588" w:rsidP="00696588">
      <w:pPr>
        <w:pStyle w:val="PlainText"/>
        <w:jc w:val="right"/>
        <w:rPr>
          <w:b/>
          <w:color w:val="8DB3E2" w:themeColor="text2" w:themeTint="66"/>
          <w:sz w:val="2"/>
          <w:szCs w:val="2"/>
        </w:rPr>
      </w:pPr>
    </w:p>
    <w:p w14:paraId="7797B740" w14:textId="77777777" w:rsidR="00696588" w:rsidRPr="00DA335E" w:rsidRDefault="00696588" w:rsidP="00696588">
      <w:pPr>
        <w:pStyle w:val="PlainText"/>
        <w:jc w:val="right"/>
        <w:rPr>
          <w:b/>
          <w:color w:val="8DB3E2" w:themeColor="text2" w:themeTint="66"/>
          <w:sz w:val="2"/>
          <w:szCs w:val="2"/>
        </w:rPr>
      </w:pPr>
    </w:p>
    <w:p w14:paraId="125E0950" w14:textId="77777777" w:rsidR="00696588" w:rsidRPr="00DA335E" w:rsidRDefault="00696588" w:rsidP="00696588">
      <w:pPr>
        <w:pStyle w:val="PlainText"/>
        <w:jc w:val="right"/>
        <w:rPr>
          <w:b/>
          <w:color w:val="8DB3E2" w:themeColor="text2" w:themeTint="66"/>
          <w:sz w:val="2"/>
          <w:szCs w:val="2"/>
        </w:rPr>
      </w:pPr>
    </w:p>
    <w:p w14:paraId="3C980DAA" w14:textId="77777777" w:rsidR="00696588" w:rsidRPr="00DA335E" w:rsidRDefault="00696588" w:rsidP="00696588">
      <w:pPr>
        <w:pStyle w:val="PlainText"/>
        <w:jc w:val="right"/>
        <w:rPr>
          <w:b/>
          <w:color w:val="8DB3E2" w:themeColor="text2" w:themeTint="66"/>
          <w:sz w:val="2"/>
          <w:szCs w:val="2"/>
        </w:rPr>
      </w:pPr>
    </w:p>
    <w:p w14:paraId="3051172A" w14:textId="77777777" w:rsidR="00696588" w:rsidRPr="00DA335E" w:rsidRDefault="00696588" w:rsidP="00696588">
      <w:pPr>
        <w:pStyle w:val="PlainText"/>
        <w:jc w:val="right"/>
        <w:rPr>
          <w:b/>
          <w:color w:val="8DB3E2" w:themeColor="text2" w:themeTint="66"/>
          <w:sz w:val="2"/>
          <w:szCs w:val="2"/>
        </w:rPr>
      </w:pPr>
    </w:p>
    <w:p w14:paraId="31F26905" w14:textId="77777777" w:rsidR="00696588" w:rsidRPr="00DA335E" w:rsidRDefault="00696588" w:rsidP="00696588">
      <w:pPr>
        <w:pStyle w:val="PlainText"/>
        <w:jc w:val="right"/>
        <w:rPr>
          <w:b/>
          <w:color w:val="8DB3E2" w:themeColor="text2" w:themeTint="66"/>
          <w:sz w:val="2"/>
          <w:szCs w:val="2"/>
        </w:rPr>
      </w:pPr>
    </w:p>
    <w:p w14:paraId="3BB3B896" w14:textId="77777777" w:rsidR="00696588" w:rsidRPr="00DA335E" w:rsidRDefault="00696588" w:rsidP="00696588">
      <w:pPr>
        <w:pStyle w:val="PlainText"/>
        <w:jc w:val="right"/>
        <w:rPr>
          <w:b/>
          <w:color w:val="8DB3E2" w:themeColor="text2" w:themeTint="66"/>
          <w:sz w:val="2"/>
          <w:szCs w:val="2"/>
        </w:rPr>
      </w:pPr>
    </w:p>
    <w:p w14:paraId="78BD2F2D" w14:textId="77777777" w:rsidR="00696588" w:rsidRPr="00DA335E" w:rsidRDefault="00696588" w:rsidP="00696588">
      <w:pPr>
        <w:pStyle w:val="PlainText"/>
        <w:jc w:val="right"/>
        <w:rPr>
          <w:b/>
          <w:color w:val="8DB3E2" w:themeColor="text2" w:themeTint="66"/>
          <w:sz w:val="2"/>
          <w:szCs w:val="2"/>
        </w:rPr>
      </w:pPr>
    </w:p>
    <w:p w14:paraId="0CC7C5A4" w14:textId="77777777" w:rsidR="00696588" w:rsidRPr="00DA335E" w:rsidRDefault="00696588" w:rsidP="00696588">
      <w:pPr>
        <w:pStyle w:val="PlainText"/>
        <w:jc w:val="right"/>
        <w:rPr>
          <w:b/>
          <w:color w:val="8DB3E2" w:themeColor="text2" w:themeTint="66"/>
          <w:sz w:val="2"/>
          <w:szCs w:val="2"/>
        </w:rPr>
      </w:pPr>
    </w:p>
    <w:p w14:paraId="66F5D475" w14:textId="77777777" w:rsidR="00696588" w:rsidRPr="00DA335E" w:rsidRDefault="00696588" w:rsidP="00696588">
      <w:pPr>
        <w:pStyle w:val="PlainText"/>
        <w:jc w:val="right"/>
        <w:rPr>
          <w:b/>
          <w:color w:val="8DB3E2" w:themeColor="text2" w:themeTint="66"/>
          <w:sz w:val="2"/>
          <w:szCs w:val="2"/>
        </w:rPr>
      </w:pPr>
    </w:p>
    <w:p w14:paraId="7FE468F6" w14:textId="77777777" w:rsidR="00696588" w:rsidRPr="00DA335E" w:rsidRDefault="00696588" w:rsidP="00696588">
      <w:pPr>
        <w:pStyle w:val="PlainText"/>
        <w:jc w:val="right"/>
        <w:rPr>
          <w:b/>
          <w:color w:val="8DB3E2" w:themeColor="text2" w:themeTint="66"/>
          <w:sz w:val="2"/>
          <w:szCs w:val="2"/>
        </w:rPr>
      </w:pPr>
    </w:p>
    <w:p w14:paraId="789BAB1C" w14:textId="77777777" w:rsidR="00696588" w:rsidRPr="00DA335E" w:rsidRDefault="00696588" w:rsidP="00696588">
      <w:pPr>
        <w:pStyle w:val="PlainText"/>
        <w:jc w:val="right"/>
        <w:rPr>
          <w:b/>
          <w:color w:val="8DB3E2" w:themeColor="text2" w:themeTint="66"/>
          <w:sz w:val="2"/>
          <w:szCs w:val="2"/>
        </w:rPr>
      </w:pPr>
    </w:p>
    <w:p w14:paraId="07005A38" w14:textId="77777777" w:rsidR="00696588" w:rsidRPr="00DA335E" w:rsidRDefault="00696588" w:rsidP="00696588">
      <w:pPr>
        <w:pStyle w:val="PlainText"/>
        <w:jc w:val="right"/>
        <w:rPr>
          <w:b/>
          <w:color w:val="8DB3E2" w:themeColor="text2" w:themeTint="66"/>
          <w:sz w:val="2"/>
          <w:szCs w:val="2"/>
        </w:rPr>
      </w:pPr>
    </w:p>
    <w:p w14:paraId="3391D25D" w14:textId="77777777" w:rsidR="00696588" w:rsidRPr="00DA335E" w:rsidRDefault="00696588" w:rsidP="00696588">
      <w:pPr>
        <w:pStyle w:val="PlainText"/>
        <w:jc w:val="right"/>
        <w:rPr>
          <w:b/>
          <w:color w:val="8DB3E2" w:themeColor="text2" w:themeTint="66"/>
          <w:sz w:val="2"/>
          <w:szCs w:val="2"/>
        </w:rPr>
      </w:pPr>
    </w:p>
    <w:p w14:paraId="7C400037" w14:textId="77777777" w:rsidR="00696588" w:rsidRPr="00DA335E" w:rsidRDefault="00696588" w:rsidP="00696588">
      <w:pPr>
        <w:pStyle w:val="PlainText"/>
        <w:jc w:val="right"/>
        <w:rPr>
          <w:b/>
          <w:color w:val="8DB3E2" w:themeColor="text2" w:themeTint="66"/>
          <w:sz w:val="2"/>
          <w:szCs w:val="2"/>
        </w:rPr>
      </w:pPr>
    </w:p>
    <w:p w14:paraId="3E55344B" w14:textId="77777777" w:rsidR="00696588" w:rsidRPr="00DA335E" w:rsidRDefault="00696588" w:rsidP="00696588">
      <w:pPr>
        <w:pStyle w:val="PlainText"/>
        <w:jc w:val="right"/>
        <w:rPr>
          <w:b/>
          <w:color w:val="8DB3E2" w:themeColor="text2" w:themeTint="66"/>
          <w:sz w:val="2"/>
          <w:szCs w:val="2"/>
        </w:rPr>
      </w:pPr>
    </w:p>
    <w:p w14:paraId="3B035354" w14:textId="77777777" w:rsidR="000340A4" w:rsidRDefault="000340A4" w:rsidP="00696588">
      <w:pPr>
        <w:pStyle w:val="PlainText"/>
        <w:jc w:val="right"/>
        <w:rPr>
          <w:b/>
          <w:color w:val="8DB3E2" w:themeColor="text2" w:themeTint="66"/>
          <w:sz w:val="56"/>
          <w:szCs w:val="56"/>
        </w:rPr>
      </w:pPr>
    </w:p>
    <w:p w14:paraId="09A09D5A" w14:textId="77777777" w:rsidR="000340A4" w:rsidRDefault="000340A4" w:rsidP="00696588">
      <w:pPr>
        <w:pStyle w:val="PlainText"/>
        <w:jc w:val="right"/>
        <w:rPr>
          <w:b/>
          <w:color w:val="8DB3E2" w:themeColor="text2" w:themeTint="66"/>
          <w:sz w:val="56"/>
          <w:szCs w:val="56"/>
        </w:rPr>
      </w:pPr>
    </w:p>
    <w:p w14:paraId="65C3F3E4" w14:textId="2661D6BA" w:rsidR="003072B0" w:rsidRPr="00DA335E" w:rsidRDefault="002F1015" w:rsidP="00696588">
      <w:pPr>
        <w:pStyle w:val="PlainText"/>
        <w:jc w:val="right"/>
        <w:rPr>
          <w:b/>
          <w:color w:val="8DB3E2" w:themeColor="text2" w:themeTint="66"/>
          <w:sz w:val="56"/>
          <w:szCs w:val="56"/>
        </w:rPr>
      </w:pPr>
      <w:r>
        <w:rPr>
          <w:b/>
          <w:color w:val="8DB3E2" w:themeColor="text2" w:themeTint="66"/>
          <w:sz w:val="56"/>
          <w:szCs w:val="56"/>
        </w:rPr>
        <w:t>8 January</w:t>
      </w:r>
      <w:r w:rsidR="00BF5EFB" w:rsidRPr="00DA335E">
        <w:rPr>
          <w:b/>
          <w:color w:val="8DB3E2" w:themeColor="text2" w:themeTint="66"/>
          <w:sz w:val="56"/>
          <w:szCs w:val="56"/>
        </w:rPr>
        <w:t xml:space="preserve"> 201</w:t>
      </w:r>
      <w:r>
        <w:rPr>
          <w:b/>
          <w:color w:val="8DB3E2" w:themeColor="text2" w:themeTint="66"/>
          <w:sz w:val="56"/>
          <w:szCs w:val="56"/>
        </w:rPr>
        <w:t>6</w:t>
      </w:r>
    </w:p>
    <w:p w14:paraId="29705915" w14:textId="77777777" w:rsidR="00667ECD" w:rsidRPr="00DA335E" w:rsidRDefault="002E55D4" w:rsidP="003072B0">
      <w:pPr>
        <w:pStyle w:val="PlainText"/>
        <w:spacing w:before="800"/>
        <w:jc w:val="right"/>
        <w:rPr>
          <w:b/>
          <w:color w:val="8DB3E2" w:themeColor="text2" w:themeTint="66"/>
          <w:sz w:val="56"/>
          <w:szCs w:val="56"/>
        </w:rPr>
      </w:pPr>
      <w:r w:rsidRPr="00425A11">
        <w:rPr>
          <w:b/>
          <w:noProof/>
          <w:color w:val="FFFFFF" w:themeColor="background1"/>
          <w:sz w:val="56"/>
          <w:szCs w:val="56"/>
          <w:lang w:eastAsia="en-AU"/>
        </w:rPr>
        <mc:AlternateContent>
          <mc:Choice Requires="wps">
            <w:drawing>
              <wp:anchor distT="0" distB="0" distL="114300" distR="114300" simplePos="0" relativeHeight="251653632" behindDoc="0" locked="0" layoutInCell="1" allowOverlap="1" wp14:anchorId="3BD1FBBB" wp14:editId="01B317C5">
                <wp:simplePos x="0" y="0"/>
                <wp:positionH relativeFrom="column">
                  <wp:posOffset>-783590</wp:posOffset>
                </wp:positionH>
                <wp:positionV relativeFrom="paragraph">
                  <wp:posOffset>294005</wp:posOffset>
                </wp:positionV>
                <wp:extent cx="8229600" cy="1524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152400"/>
                        </a:xfrm>
                        <a:prstGeom prst="rect">
                          <a:avLst/>
                        </a:prstGeom>
                        <a:solidFill>
                          <a:schemeClr val="tx2">
                            <a:lumMod val="40000"/>
                            <a:lumOff val="60000"/>
                          </a:scheme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59C46" id="Rectangle 3" o:spid="_x0000_s1026" style="position:absolute;margin-left:-61.7pt;margin-top:23.15pt;width:9in;height: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" fillcolor="#8db3e2 [1311]" stroked="f"/>
            </w:pict>
          </mc:Fallback>
        </mc:AlternateContent>
      </w:r>
      <w:r w:rsidR="001F6EDD" w:rsidRPr="00DA335E">
        <w:rPr>
          <w:b/>
          <w:color w:val="8DB3E2" w:themeColor="text2" w:themeTint="66"/>
          <w:sz w:val="56"/>
          <w:szCs w:val="56"/>
        </w:rPr>
        <w:t>AIST Submission</w:t>
      </w:r>
    </w:p>
    <w:p w14:paraId="561639A5" w14:textId="77777777" w:rsidR="00667ECD" w:rsidRPr="00DA335E" w:rsidRDefault="00667ECD" w:rsidP="00667ECD"/>
    <w:p w14:paraId="2DAE3F91" w14:textId="6BE8A18D" w:rsidR="003072B0" w:rsidRPr="00DA335E" w:rsidRDefault="003072B0" w:rsidP="00667ECD">
      <w:pPr>
        <w:sectPr w:rsidR="003072B0" w:rsidRPr="00DA335E" w:rsidSect="00506416">
          <w:headerReference w:type="even" r:id="rId9"/>
          <w:footerReference w:type="even" r:id="rId10"/>
          <w:headerReference w:type="first" r:id="rId11"/>
          <w:pgSz w:w="11900" w:h="16840"/>
          <w:pgMar w:top="4536" w:right="1127" w:bottom="1985" w:left="1134" w:header="1135" w:footer="62" w:gutter="0"/>
          <w:cols w:space="708"/>
          <w:docGrid w:linePitch="360"/>
        </w:sectPr>
      </w:pPr>
    </w:p>
    <w:p w14:paraId="2C596AC9" w14:textId="77777777" w:rsidR="000340A4" w:rsidRDefault="000340A4" w:rsidP="00AD07C5">
      <w:pPr>
        <w:pStyle w:val="Heading2"/>
        <w:numPr>
          <w:ilvl w:val="0"/>
          <w:numId w:val="0"/>
        </w:numPr>
        <w:ind w:left="578" w:hanging="578"/>
      </w:pPr>
      <w:bookmarkStart w:id="0" w:name="_Toc420944901"/>
      <w:bookmarkStart w:id="1" w:name="_Toc420945030"/>
      <w:bookmarkStart w:id="2" w:name="_Toc433986853"/>
    </w:p>
    <w:p w14:paraId="7D625FA8" w14:textId="77777777" w:rsidR="000340A4" w:rsidRDefault="000340A4" w:rsidP="00AD07C5">
      <w:pPr>
        <w:pStyle w:val="Heading2"/>
        <w:numPr>
          <w:ilvl w:val="0"/>
          <w:numId w:val="0"/>
        </w:numPr>
        <w:ind w:left="578" w:hanging="578"/>
      </w:pPr>
    </w:p>
    <w:p w14:paraId="10C9623D" w14:textId="77777777" w:rsidR="00326401" w:rsidRPr="0055153E" w:rsidRDefault="00326401" w:rsidP="00AD07C5">
      <w:pPr>
        <w:pStyle w:val="Heading2"/>
        <w:numPr>
          <w:ilvl w:val="0"/>
          <w:numId w:val="0"/>
        </w:numPr>
        <w:ind w:left="578" w:hanging="578"/>
        <w:rPr>
          <w:rFonts w:ascii="Calibri" w:hAnsi="Calibri"/>
        </w:rPr>
      </w:pPr>
      <w:r w:rsidRPr="0055153E">
        <w:rPr>
          <w:rFonts w:ascii="Calibri" w:hAnsi="Calibri"/>
        </w:rPr>
        <w:t>AIST</w:t>
      </w:r>
      <w:bookmarkEnd w:id="0"/>
      <w:bookmarkEnd w:id="1"/>
      <w:bookmarkEnd w:id="2"/>
    </w:p>
    <w:p w14:paraId="18CA795B" w14:textId="77777777" w:rsidR="00252629" w:rsidRPr="0055153E" w:rsidRDefault="00252629" w:rsidP="002D3278">
      <w:pPr>
        <w:pStyle w:val="ListParagraph"/>
        <w:ind w:left="0"/>
        <w:rPr>
          <w:rFonts w:ascii="Calibri" w:hAnsi="Calibri"/>
          <w:sz w:val="22"/>
          <w:szCs w:val="22"/>
        </w:rPr>
      </w:pPr>
      <w:r w:rsidRPr="0055153E">
        <w:rPr>
          <w:rFonts w:ascii="Calibri" w:hAnsi="Calibri"/>
          <w:b/>
          <w:sz w:val="22"/>
          <w:szCs w:val="22"/>
        </w:rPr>
        <w:t>The Australian Institute of Superannuation Trustees</w:t>
      </w:r>
      <w:r w:rsidRPr="0055153E">
        <w:rPr>
          <w:rFonts w:ascii="Calibri" w:hAnsi="Calibri"/>
          <w:sz w:val="22"/>
          <w:szCs w:val="22"/>
        </w:rPr>
        <w:t xml:space="preserve"> is a national not-for-profit organisation whose membership consists of the trustee directors and staff of industry, corporate and public-sector funds.</w:t>
      </w:r>
    </w:p>
    <w:p w14:paraId="2A9E5E91" w14:textId="77777777" w:rsidR="00252629" w:rsidRPr="0055153E" w:rsidRDefault="00252629" w:rsidP="002D3278">
      <w:pPr>
        <w:pStyle w:val="ListParagraph"/>
        <w:ind w:left="0"/>
        <w:rPr>
          <w:rFonts w:ascii="Calibri" w:hAnsi="Calibri"/>
          <w:sz w:val="22"/>
          <w:szCs w:val="22"/>
        </w:rPr>
      </w:pPr>
      <w:r w:rsidRPr="0055153E">
        <w:rPr>
          <w:rFonts w:ascii="Calibri" w:hAnsi="Calibri"/>
          <w:sz w:val="22"/>
          <w:szCs w:val="22"/>
        </w:rPr>
        <w:t>As the principal advocate and peak representative body for the $6</w:t>
      </w:r>
      <w:r w:rsidR="00191357" w:rsidRPr="0055153E">
        <w:rPr>
          <w:rFonts w:ascii="Calibri" w:hAnsi="Calibri"/>
          <w:sz w:val="22"/>
          <w:szCs w:val="22"/>
        </w:rPr>
        <w:t>0</w:t>
      </w:r>
      <w:r w:rsidRPr="0055153E">
        <w:rPr>
          <w:rFonts w:ascii="Calibri" w:hAnsi="Calibri"/>
          <w:sz w:val="22"/>
          <w:szCs w:val="22"/>
        </w:rPr>
        <w:t>0 billion not-for-profit superannuation sector, AIST plays a key role in policy development and is a leading provider of research.</w:t>
      </w:r>
    </w:p>
    <w:p w14:paraId="189EB798" w14:textId="77777777" w:rsidR="00252629" w:rsidRDefault="00252629" w:rsidP="002D3278">
      <w:pPr>
        <w:pStyle w:val="ListParagraph"/>
        <w:ind w:left="0"/>
        <w:rPr>
          <w:rFonts w:ascii="Calibri" w:hAnsi="Calibri"/>
          <w:sz w:val="22"/>
          <w:szCs w:val="22"/>
        </w:rPr>
      </w:pPr>
      <w:r w:rsidRPr="0055153E">
        <w:rPr>
          <w:rFonts w:ascii="Calibri" w:hAnsi="Calibri"/>
          <w:sz w:val="22"/>
          <w:szCs w:val="22"/>
        </w:rPr>
        <w:t>AIST provides professional training, consulting services and support for trustees and fund staff to help them meet the challenges of managing superannuation funds and advancing the interests of their fund members. Each year, AIST hosts the Conference of Major Superannuation Funds (CMSF), in addition to numerous other industry conferences and events.</w:t>
      </w:r>
    </w:p>
    <w:p w14:paraId="5F771E95" w14:textId="77777777" w:rsidR="008A6487" w:rsidRPr="0055153E" w:rsidRDefault="008A6487" w:rsidP="002D3278">
      <w:pPr>
        <w:pStyle w:val="ListParagraph"/>
        <w:ind w:left="0"/>
        <w:rPr>
          <w:rFonts w:ascii="Calibri" w:hAnsi="Calibri"/>
          <w:sz w:val="22"/>
          <w:szCs w:val="22"/>
        </w:rPr>
      </w:pPr>
    </w:p>
    <w:p w14:paraId="1BF610AC" w14:textId="77777777" w:rsidR="00326401" w:rsidRPr="0055153E" w:rsidRDefault="00326401" w:rsidP="00AD07C5">
      <w:pPr>
        <w:pStyle w:val="Heading2"/>
        <w:numPr>
          <w:ilvl w:val="0"/>
          <w:numId w:val="0"/>
        </w:numPr>
        <w:ind w:left="578" w:hanging="578"/>
        <w:rPr>
          <w:rFonts w:ascii="Calibri" w:hAnsi="Calibri"/>
        </w:rPr>
      </w:pPr>
      <w:bookmarkStart w:id="3" w:name="_Toc420944902"/>
      <w:bookmarkStart w:id="4" w:name="_Toc420945031"/>
      <w:bookmarkStart w:id="5" w:name="_Toc433986854"/>
      <w:r w:rsidRPr="0055153E">
        <w:rPr>
          <w:rFonts w:ascii="Calibri" w:hAnsi="Calibri"/>
        </w:rPr>
        <w:t>Contact</w:t>
      </w:r>
      <w:bookmarkEnd w:id="3"/>
      <w:bookmarkEnd w:id="4"/>
      <w:bookmarkEnd w:id="5"/>
    </w:p>
    <w:p w14:paraId="49EA50C7" w14:textId="77777777" w:rsidR="00326401" w:rsidRPr="0055153E" w:rsidRDefault="00BF5EFB" w:rsidP="00326401">
      <w:pPr>
        <w:autoSpaceDE w:val="0"/>
        <w:autoSpaceDN w:val="0"/>
        <w:adjustRightInd w:val="0"/>
        <w:rPr>
          <w:rFonts w:ascii="Calibri" w:hAnsi="Calibri"/>
          <w:sz w:val="22"/>
          <w:szCs w:val="22"/>
        </w:rPr>
      </w:pPr>
      <w:r w:rsidRPr="0055153E">
        <w:rPr>
          <w:rFonts w:ascii="Calibri" w:hAnsi="Calibri"/>
          <w:sz w:val="22"/>
          <w:szCs w:val="22"/>
        </w:rPr>
        <w:t>Karen Volpato, Senior Policy Advisor</w:t>
      </w:r>
      <w:r w:rsidRPr="0055153E">
        <w:rPr>
          <w:rFonts w:ascii="Calibri" w:hAnsi="Calibri"/>
          <w:sz w:val="22"/>
          <w:szCs w:val="22"/>
        </w:rPr>
        <w:tab/>
      </w:r>
      <w:r w:rsidRPr="0055153E">
        <w:rPr>
          <w:rFonts w:ascii="Calibri" w:hAnsi="Calibri"/>
          <w:sz w:val="22"/>
          <w:szCs w:val="22"/>
        </w:rPr>
        <w:tab/>
      </w:r>
      <w:r w:rsidRPr="0055153E">
        <w:rPr>
          <w:rFonts w:ascii="Calibri" w:hAnsi="Calibri"/>
          <w:sz w:val="22"/>
          <w:szCs w:val="22"/>
        </w:rPr>
        <w:tab/>
      </w:r>
      <w:r w:rsidRPr="0055153E">
        <w:rPr>
          <w:rFonts w:ascii="Calibri" w:hAnsi="Calibri"/>
          <w:sz w:val="22"/>
          <w:szCs w:val="22"/>
        </w:rPr>
        <w:tab/>
      </w:r>
      <w:r w:rsidRPr="0055153E">
        <w:rPr>
          <w:rFonts w:ascii="Calibri" w:hAnsi="Calibri"/>
          <w:sz w:val="22"/>
          <w:szCs w:val="22"/>
        </w:rPr>
        <w:tab/>
      </w:r>
      <w:r w:rsidRPr="0055153E">
        <w:rPr>
          <w:rFonts w:ascii="Calibri" w:hAnsi="Calibri"/>
          <w:sz w:val="22"/>
          <w:szCs w:val="22"/>
        </w:rPr>
        <w:tab/>
      </w:r>
      <w:r w:rsidR="00192D54" w:rsidRPr="0055153E">
        <w:rPr>
          <w:rFonts w:ascii="Calibri" w:hAnsi="Calibri"/>
          <w:sz w:val="22"/>
          <w:szCs w:val="22"/>
        </w:rPr>
        <w:t>0419 127 496</w:t>
      </w:r>
    </w:p>
    <w:p w14:paraId="3D29C845" w14:textId="77777777" w:rsidR="00535D85" w:rsidRPr="0055153E" w:rsidRDefault="00535D85" w:rsidP="00326401">
      <w:pPr>
        <w:autoSpaceDE w:val="0"/>
        <w:autoSpaceDN w:val="0"/>
        <w:adjustRightInd w:val="0"/>
        <w:rPr>
          <w:rFonts w:ascii="Calibri" w:hAnsi="Calibri"/>
          <w:sz w:val="22"/>
          <w:szCs w:val="22"/>
        </w:rPr>
      </w:pPr>
    </w:p>
    <w:p w14:paraId="06F4E114" w14:textId="77777777" w:rsidR="00535D85" w:rsidRPr="0055153E" w:rsidRDefault="007849AF" w:rsidP="00535D85">
      <w:pPr>
        <w:autoSpaceDE w:val="0"/>
        <w:autoSpaceDN w:val="0"/>
        <w:adjustRightInd w:val="0"/>
        <w:rPr>
          <w:rFonts w:ascii="Calibri" w:hAnsi="Calibri"/>
          <w:sz w:val="22"/>
          <w:szCs w:val="22"/>
        </w:rPr>
      </w:pPr>
      <w:r w:rsidRPr="0055153E">
        <w:rPr>
          <w:rFonts w:ascii="Calibri" w:hAnsi="Calibri"/>
          <w:sz w:val="22"/>
          <w:szCs w:val="22"/>
        </w:rPr>
        <w:t xml:space="preserve">Tom Garcia, </w:t>
      </w:r>
      <w:r w:rsidR="005A656A" w:rsidRPr="0055153E">
        <w:rPr>
          <w:rFonts w:ascii="Calibri" w:hAnsi="Calibri"/>
          <w:sz w:val="22"/>
          <w:szCs w:val="22"/>
        </w:rPr>
        <w:t>Chief Executive Officer</w:t>
      </w:r>
      <w:r w:rsidR="005A656A" w:rsidRPr="0055153E">
        <w:rPr>
          <w:rFonts w:ascii="Calibri" w:hAnsi="Calibri"/>
          <w:sz w:val="22"/>
          <w:szCs w:val="22"/>
        </w:rPr>
        <w:tab/>
      </w:r>
      <w:r w:rsidR="005A656A" w:rsidRPr="0055153E">
        <w:rPr>
          <w:rFonts w:ascii="Calibri" w:hAnsi="Calibri"/>
          <w:sz w:val="22"/>
          <w:szCs w:val="22"/>
        </w:rPr>
        <w:tab/>
      </w:r>
      <w:r w:rsidR="005A656A" w:rsidRPr="0055153E">
        <w:rPr>
          <w:rFonts w:ascii="Calibri" w:hAnsi="Calibri"/>
          <w:sz w:val="22"/>
          <w:szCs w:val="22"/>
        </w:rPr>
        <w:tab/>
      </w:r>
      <w:r w:rsidR="005A656A" w:rsidRPr="0055153E">
        <w:rPr>
          <w:rFonts w:ascii="Calibri" w:hAnsi="Calibri"/>
          <w:sz w:val="22"/>
          <w:szCs w:val="22"/>
        </w:rPr>
        <w:tab/>
      </w:r>
      <w:r w:rsidR="00BF5EFB" w:rsidRPr="0055153E">
        <w:rPr>
          <w:rFonts w:ascii="Calibri" w:hAnsi="Calibri"/>
          <w:sz w:val="22"/>
          <w:szCs w:val="22"/>
        </w:rPr>
        <w:tab/>
      </w:r>
      <w:r w:rsidR="00BF5EFB" w:rsidRPr="0055153E">
        <w:rPr>
          <w:rFonts w:ascii="Calibri" w:hAnsi="Calibri"/>
          <w:sz w:val="22"/>
          <w:szCs w:val="22"/>
        </w:rPr>
        <w:tab/>
      </w:r>
      <w:r w:rsidRPr="0055153E">
        <w:rPr>
          <w:rFonts w:ascii="Calibri" w:hAnsi="Calibri"/>
          <w:sz w:val="22"/>
          <w:szCs w:val="22"/>
        </w:rPr>
        <w:t>03 8677 3800</w:t>
      </w:r>
    </w:p>
    <w:p w14:paraId="7B6B5FDA" w14:textId="77777777" w:rsidR="00326401" w:rsidRPr="0055153E" w:rsidRDefault="00326401" w:rsidP="00C73718">
      <w:pPr>
        <w:autoSpaceDE w:val="0"/>
        <w:autoSpaceDN w:val="0"/>
        <w:adjustRightInd w:val="0"/>
        <w:rPr>
          <w:rFonts w:ascii="Calibri" w:eastAsiaTheme="minorHAnsi" w:hAnsi="Calibri" w:cs="Calibri"/>
          <w:b/>
          <w:bCs/>
        </w:rPr>
      </w:pPr>
    </w:p>
    <w:p w14:paraId="6149391C" w14:textId="77777777" w:rsidR="00326401" w:rsidRPr="00DA335E" w:rsidRDefault="00326401">
      <w:pPr>
        <w:rPr>
          <w:rFonts w:eastAsiaTheme="minorHAnsi" w:cs="Calibri"/>
          <w:b/>
          <w:bCs/>
        </w:rPr>
      </w:pPr>
      <w:r w:rsidRPr="00DA335E">
        <w:rPr>
          <w:rFonts w:eastAsiaTheme="minorHAnsi" w:cs="Calibri"/>
          <w:b/>
          <w:bCs/>
        </w:rPr>
        <w:br w:type="page"/>
      </w:r>
    </w:p>
    <w:p w14:paraId="5120DE62" w14:textId="77777777" w:rsidR="005E6058" w:rsidRPr="007E149E" w:rsidRDefault="005E6058" w:rsidP="005E6058">
      <w:pPr>
        <w:pStyle w:val="Heading2"/>
        <w:numPr>
          <w:ilvl w:val="0"/>
          <w:numId w:val="0"/>
        </w:numPr>
        <w:ind w:left="578" w:hanging="578"/>
        <w:rPr>
          <w:rFonts w:ascii="Calibri" w:eastAsiaTheme="minorHAnsi" w:hAnsi="Calibri"/>
          <w:sz w:val="32"/>
          <w:szCs w:val="32"/>
        </w:rPr>
      </w:pPr>
      <w:bookmarkStart w:id="6" w:name="_Toc420945032"/>
      <w:bookmarkStart w:id="7" w:name="_Toc433986855"/>
      <w:r w:rsidRPr="007E149E">
        <w:rPr>
          <w:rFonts w:ascii="Calibri" w:eastAsiaTheme="minorHAnsi" w:hAnsi="Calibri"/>
          <w:sz w:val="32"/>
          <w:szCs w:val="32"/>
        </w:rPr>
        <w:lastRenderedPageBreak/>
        <w:t>Table of contents</w:t>
      </w:r>
      <w:bookmarkEnd w:id="6"/>
      <w:bookmarkEnd w:id="7"/>
    </w:p>
    <w:p w14:paraId="5DB9BB9F" w14:textId="77777777" w:rsidR="00741886" w:rsidRDefault="00741886" w:rsidP="000340A4">
      <w:pPr>
        <w:rPr>
          <w:rFonts w:ascii="Calibri" w:eastAsiaTheme="minorHAnsi" w:hAnsi="Calibri"/>
          <w:highlight w:val="yellow"/>
        </w:rPr>
      </w:pPr>
    </w:p>
    <w:p w14:paraId="395FA42B" w14:textId="244AC546" w:rsidR="00741886" w:rsidRPr="007E149E" w:rsidRDefault="00741886" w:rsidP="000340A4">
      <w:pPr>
        <w:rPr>
          <w:rFonts w:ascii="Calibri" w:eastAsiaTheme="minorHAnsi" w:hAnsi="Calibri"/>
          <w:b/>
          <w:sz w:val="24"/>
          <w:szCs w:val="24"/>
        </w:rPr>
      </w:pPr>
      <w:r w:rsidRPr="007E149E">
        <w:rPr>
          <w:rFonts w:ascii="Calibri" w:eastAsiaTheme="minorHAnsi" w:hAnsi="Calibri"/>
          <w:b/>
          <w:sz w:val="24"/>
          <w:szCs w:val="24"/>
        </w:rPr>
        <w:t>AIST</w:t>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t>2</w:t>
      </w:r>
    </w:p>
    <w:p w14:paraId="6B0D1AFA" w14:textId="7F27F99B" w:rsidR="007E149E" w:rsidRPr="007E149E" w:rsidRDefault="007E149E" w:rsidP="007E149E">
      <w:pPr>
        <w:rPr>
          <w:rFonts w:ascii="Calibri" w:eastAsiaTheme="minorHAnsi" w:hAnsi="Calibri"/>
          <w:b/>
          <w:sz w:val="24"/>
          <w:szCs w:val="24"/>
        </w:rPr>
      </w:pPr>
      <w:r w:rsidRPr="007E149E">
        <w:rPr>
          <w:rFonts w:ascii="Calibri" w:eastAsiaTheme="minorHAnsi" w:hAnsi="Calibri"/>
          <w:b/>
          <w:sz w:val="24"/>
          <w:szCs w:val="24"/>
        </w:rPr>
        <w:t>Contact</w:t>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t>2</w:t>
      </w:r>
    </w:p>
    <w:p w14:paraId="2529E48F" w14:textId="60937CC6" w:rsidR="00741886" w:rsidRPr="007E149E" w:rsidRDefault="007E149E" w:rsidP="000340A4">
      <w:pPr>
        <w:rPr>
          <w:rFonts w:ascii="Calibri" w:eastAsiaTheme="minorHAnsi" w:hAnsi="Calibri"/>
          <w:b/>
          <w:sz w:val="24"/>
          <w:szCs w:val="24"/>
        </w:rPr>
      </w:pPr>
      <w:r w:rsidRPr="007E149E">
        <w:rPr>
          <w:rFonts w:ascii="Calibri" w:eastAsiaTheme="minorHAnsi" w:hAnsi="Calibri"/>
          <w:b/>
          <w:sz w:val="24"/>
          <w:szCs w:val="24"/>
        </w:rPr>
        <w:t>Table of contents</w:t>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r>
      <w:r w:rsidRPr="007E149E">
        <w:rPr>
          <w:rFonts w:ascii="Calibri" w:eastAsiaTheme="minorHAnsi" w:hAnsi="Calibri"/>
          <w:b/>
          <w:sz w:val="24"/>
          <w:szCs w:val="24"/>
        </w:rPr>
        <w:tab/>
        <w:t>3</w:t>
      </w:r>
    </w:p>
    <w:p w14:paraId="5331FABE" w14:textId="77777777" w:rsidR="00741886" w:rsidRPr="007E149E" w:rsidRDefault="00741886" w:rsidP="000340A4">
      <w:pPr>
        <w:rPr>
          <w:rFonts w:ascii="Calibri" w:eastAsiaTheme="minorHAnsi" w:hAnsi="Calibri"/>
          <w:b/>
          <w:sz w:val="24"/>
          <w:szCs w:val="24"/>
        </w:rPr>
      </w:pPr>
    </w:p>
    <w:p w14:paraId="3F6D3F16" w14:textId="3B9FB2CF" w:rsidR="00741886" w:rsidRDefault="007E149E" w:rsidP="000340A4">
      <w:pPr>
        <w:rPr>
          <w:rFonts w:ascii="Calibri" w:eastAsiaTheme="minorHAnsi" w:hAnsi="Calibri"/>
          <w:b/>
          <w:sz w:val="24"/>
          <w:szCs w:val="24"/>
        </w:rPr>
      </w:pPr>
      <w:r w:rsidRPr="007E149E">
        <w:rPr>
          <w:rFonts w:ascii="Calibri" w:eastAsiaTheme="minorHAnsi" w:hAnsi="Calibri"/>
          <w:b/>
          <w:sz w:val="24"/>
          <w:szCs w:val="24"/>
        </w:rPr>
        <w:t>1.</w:t>
      </w:r>
      <w:r w:rsidRPr="007E149E">
        <w:rPr>
          <w:rFonts w:ascii="Calibri" w:eastAsiaTheme="minorHAnsi" w:hAnsi="Calibri"/>
          <w:b/>
          <w:sz w:val="24"/>
          <w:szCs w:val="24"/>
        </w:rPr>
        <w:tab/>
        <w:t>Executive summary</w:t>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t>4</w:t>
      </w:r>
    </w:p>
    <w:p w14:paraId="050A6F65" w14:textId="77777777" w:rsidR="007E149E" w:rsidRPr="007E149E" w:rsidRDefault="007E149E" w:rsidP="000340A4">
      <w:pPr>
        <w:rPr>
          <w:rFonts w:ascii="Calibri" w:eastAsiaTheme="minorHAnsi" w:hAnsi="Calibri"/>
          <w:b/>
          <w:sz w:val="24"/>
          <w:szCs w:val="24"/>
        </w:rPr>
      </w:pPr>
    </w:p>
    <w:p w14:paraId="5D1A16B1" w14:textId="00A324CB" w:rsidR="00741886" w:rsidRDefault="007E149E" w:rsidP="000340A4">
      <w:pPr>
        <w:rPr>
          <w:rFonts w:ascii="Calibri" w:eastAsiaTheme="minorHAnsi" w:hAnsi="Calibri"/>
          <w:b/>
          <w:sz w:val="24"/>
          <w:szCs w:val="24"/>
        </w:rPr>
      </w:pPr>
      <w:r>
        <w:rPr>
          <w:rFonts w:ascii="Calibri" w:eastAsiaTheme="minorHAnsi" w:hAnsi="Calibri"/>
          <w:b/>
          <w:sz w:val="24"/>
          <w:szCs w:val="24"/>
        </w:rPr>
        <w:t>2.</w:t>
      </w:r>
      <w:r>
        <w:rPr>
          <w:rFonts w:ascii="Calibri" w:eastAsiaTheme="minorHAnsi" w:hAnsi="Calibri"/>
          <w:b/>
          <w:sz w:val="24"/>
          <w:szCs w:val="24"/>
        </w:rPr>
        <w:tab/>
        <w:t>Introduction</w:t>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t>5</w:t>
      </w:r>
    </w:p>
    <w:p w14:paraId="7C60239E" w14:textId="77777777" w:rsidR="007E149E" w:rsidRDefault="007E149E" w:rsidP="000340A4">
      <w:pPr>
        <w:rPr>
          <w:rFonts w:ascii="Calibri" w:eastAsiaTheme="minorHAnsi" w:hAnsi="Calibri"/>
          <w:b/>
          <w:sz w:val="24"/>
          <w:szCs w:val="24"/>
        </w:rPr>
      </w:pPr>
    </w:p>
    <w:p w14:paraId="789B80A5" w14:textId="0DC73420" w:rsidR="007E149E" w:rsidRPr="007E149E" w:rsidRDefault="007E149E" w:rsidP="000340A4">
      <w:pPr>
        <w:rPr>
          <w:rFonts w:ascii="Calibri" w:eastAsiaTheme="minorHAnsi" w:hAnsi="Calibri"/>
          <w:b/>
          <w:sz w:val="24"/>
          <w:szCs w:val="24"/>
        </w:rPr>
      </w:pPr>
      <w:r>
        <w:rPr>
          <w:rFonts w:ascii="Calibri" w:eastAsiaTheme="minorHAnsi" w:hAnsi="Calibri"/>
          <w:b/>
          <w:sz w:val="24"/>
          <w:szCs w:val="24"/>
        </w:rPr>
        <w:t>3.</w:t>
      </w:r>
      <w:r>
        <w:rPr>
          <w:rFonts w:ascii="Calibri" w:eastAsiaTheme="minorHAnsi" w:hAnsi="Calibri"/>
          <w:b/>
          <w:sz w:val="24"/>
          <w:szCs w:val="24"/>
        </w:rPr>
        <w:tab/>
        <w:t>AIST Mercer Super Tracker 10 Key Performance Indicators</w:t>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t>6</w:t>
      </w:r>
    </w:p>
    <w:p w14:paraId="4CE56D20" w14:textId="37E0DBD1" w:rsidR="00741886" w:rsidRDefault="007E149E" w:rsidP="000340A4">
      <w:pPr>
        <w:rPr>
          <w:rFonts w:ascii="Calibri" w:eastAsiaTheme="minorHAnsi" w:hAnsi="Calibri"/>
          <w:b/>
        </w:rPr>
      </w:pPr>
      <w:r>
        <w:rPr>
          <w:rFonts w:ascii="Calibri" w:eastAsiaTheme="minorHAnsi" w:hAnsi="Calibri"/>
          <w:b/>
        </w:rPr>
        <w:tab/>
        <w:t>3.1</w:t>
      </w:r>
      <w:r>
        <w:rPr>
          <w:rFonts w:ascii="Calibri" w:eastAsiaTheme="minorHAnsi" w:hAnsi="Calibri"/>
          <w:b/>
        </w:rPr>
        <w:tab/>
        <w:t>AIST Mercer Super Tracker</w:t>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t>6</w:t>
      </w:r>
    </w:p>
    <w:p w14:paraId="2E2761D4" w14:textId="5FEB3006" w:rsidR="007E149E" w:rsidRDefault="007E149E" w:rsidP="000340A4">
      <w:pPr>
        <w:rPr>
          <w:rFonts w:ascii="Calibri" w:eastAsiaTheme="minorHAnsi" w:hAnsi="Calibri"/>
          <w:b/>
        </w:rPr>
      </w:pPr>
      <w:r>
        <w:rPr>
          <w:rFonts w:ascii="Calibri" w:eastAsiaTheme="minorHAnsi" w:hAnsi="Calibri"/>
          <w:b/>
        </w:rPr>
        <w:tab/>
        <w:t>3.2</w:t>
      </w:r>
      <w:r>
        <w:rPr>
          <w:rFonts w:ascii="Calibri" w:eastAsiaTheme="minorHAnsi" w:hAnsi="Calibri"/>
          <w:b/>
        </w:rPr>
        <w:tab/>
        <w:t>AIST Mercer Super Tr</w:t>
      </w:r>
      <w:r w:rsidR="0012056C">
        <w:rPr>
          <w:rFonts w:ascii="Calibri" w:eastAsiaTheme="minorHAnsi" w:hAnsi="Calibri"/>
          <w:b/>
        </w:rPr>
        <w:t>acker methodology similar to EU methodology</w:t>
      </w:r>
      <w:r>
        <w:rPr>
          <w:rFonts w:ascii="Calibri" w:eastAsiaTheme="minorHAnsi" w:hAnsi="Calibri"/>
          <w:b/>
        </w:rPr>
        <w:tab/>
      </w:r>
      <w:r>
        <w:rPr>
          <w:rFonts w:ascii="Calibri" w:eastAsiaTheme="minorHAnsi" w:hAnsi="Calibri"/>
          <w:b/>
        </w:rPr>
        <w:tab/>
        <w:t>8</w:t>
      </w:r>
    </w:p>
    <w:p w14:paraId="0F4371DE" w14:textId="77777777" w:rsidR="007E149E" w:rsidRDefault="007E149E" w:rsidP="000340A4">
      <w:pPr>
        <w:rPr>
          <w:rFonts w:ascii="Calibri" w:eastAsiaTheme="minorHAnsi" w:hAnsi="Calibri"/>
          <w:b/>
        </w:rPr>
      </w:pPr>
    </w:p>
    <w:p w14:paraId="485DC24B" w14:textId="4A02B354" w:rsidR="007E149E" w:rsidRDefault="007E149E" w:rsidP="000340A4">
      <w:pPr>
        <w:rPr>
          <w:rFonts w:ascii="Calibri" w:eastAsiaTheme="minorHAnsi" w:hAnsi="Calibri"/>
          <w:b/>
          <w:sz w:val="24"/>
          <w:szCs w:val="24"/>
        </w:rPr>
      </w:pPr>
      <w:r>
        <w:rPr>
          <w:rFonts w:ascii="Calibri" w:eastAsiaTheme="minorHAnsi" w:hAnsi="Calibri"/>
          <w:b/>
          <w:sz w:val="24"/>
          <w:szCs w:val="24"/>
        </w:rPr>
        <w:t>4.</w:t>
      </w:r>
      <w:r>
        <w:rPr>
          <w:rFonts w:ascii="Calibri" w:eastAsiaTheme="minorHAnsi" w:hAnsi="Calibri"/>
          <w:b/>
          <w:sz w:val="24"/>
          <w:szCs w:val="24"/>
        </w:rPr>
        <w:tab/>
        <w:t>Key statistics</w:t>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t>10</w:t>
      </w:r>
    </w:p>
    <w:p w14:paraId="5EF34A1D" w14:textId="7F46B31F" w:rsidR="007E149E" w:rsidRDefault="007E149E" w:rsidP="007E149E">
      <w:pPr>
        <w:rPr>
          <w:rFonts w:ascii="Calibri" w:eastAsiaTheme="minorHAnsi" w:hAnsi="Calibri"/>
          <w:b/>
        </w:rPr>
      </w:pPr>
      <w:r>
        <w:rPr>
          <w:rFonts w:ascii="Calibri" w:eastAsiaTheme="minorHAnsi" w:hAnsi="Calibri"/>
          <w:b/>
        </w:rPr>
        <w:tab/>
        <w:t>4.1</w:t>
      </w:r>
      <w:r>
        <w:rPr>
          <w:rFonts w:ascii="Calibri" w:eastAsiaTheme="minorHAnsi" w:hAnsi="Calibri"/>
          <w:b/>
        </w:rPr>
        <w:tab/>
        <w:t>Effective retirement age compared with official retirement age</w:t>
      </w:r>
      <w:r>
        <w:rPr>
          <w:rFonts w:ascii="Calibri" w:eastAsiaTheme="minorHAnsi" w:hAnsi="Calibri"/>
          <w:b/>
        </w:rPr>
        <w:tab/>
      </w:r>
      <w:r>
        <w:rPr>
          <w:rFonts w:ascii="Calibri" w:eastAsiaTheme="minorHAnsi" w:hAnsi="Calibri"/>
          <w:b/>
        </w:rPr>
        <w:tab/>
        <w:t>10</w:t>
      </w:r>
    </w:p>
    <w:p w14:paraId="5652B2E8" w14:textId="4008EEEC" w:rsidR="007E149E" w:rsidRDefault="007E149E" w:rsidP="007E149E">
      <w:pPr>
        <w:rPr>
          <w:rFonts w:ascii="Calibri" w:eastAsiaTheme="minorHAnsi" w:hAnsi="Calibri"/>
          <w:b/>
        </w:rPr>
      </w:pPr>
      <w:r>
        <w:rPr>
          <w:rFonts w:ascii="Calibri" w:eastAsiaTheme="minorHAnsi" w:hAnsi="Calibri"/>
          <w:b/>
        </w:rPr>
        <w:tab/>
        <w:t>4.2</w:t>
      </w:r>
      <w:r>
        <w:rPr>
          <w:rFonts w:ascii="Calibri" w:eastAsiaTheme="minorHAnsi" w:hAnsi="Calibri"/>
          <w:b/>
        </w:rPr>
        <w:tab/>
        <w:t>When Australians retire</w:t>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t>1</w:t>
      </w:r>
      <w:r w:rsidR="0012056C">
        <w:rPr>
          <w:rFonts w:ascii="Calibri" w:eastAsiaTheme="minorHAnsi" w:hAnsi="Calibri"/>
          <w:b/>
        </w:rPr>
        <w:t>2</w:t>
      </w:r>
    </w:p>
    <w:p w14:paraId="490C7DE6" w14:textId="77777777" w:rsidR="007E149E" w:rsidRDefault="007E149E" w:rsidP="007E149E">
      <w:pPr>
        <w:rPr>
          <w:rFonts w:ascii="Calibri" w:eastAsiaTheme="minorHAnsi" w:hAnsi="Calibri"/>
          <w:b/>
        </w:rPr>
      </w:pPr>
    </w:p>
    <w:p w14:paraId="04DE5696" w14:textId="3B60D49C" w:rsidR="00354C1F" w:rsidRDefault="00354C1F" w:rsidP="00354C1F">
      <w:pPr>
        <w:rPr>
          <w:rFonts w:ascii="Calibri" w:eastAsiaTheme="minorHAnsi" w:hAnsi="Calibri"/>
          <w:b/>
          <w:sz w:val="24"/>
          <w:szCs w:val="24"/>
        </w:rPr>
      </w:pPr>
      <w:r>
        <w:rPr>
          <w:rFonts w:ascii="Calibri" w:eastAsiaTheme="minorHAnsi" w:hAnsi="Calibri"/>
          <w:b/>
          <w:sz w:val="24"/>
          <w:szCs w:val="24"/>
        </w:rPr>
        <w:t>5.</w:t>
      </w:r>
      <w:r>
        <w:rPr>
          <w:rFonts w:ascii="Calibri" w:eastAsiaTheme="minorHAnsi" w:hAnsi="Calibri"/>
          <w:b/>
          <w:sz w:val="24"/>
          <w:szCs w:val="24"/>
        </w:rPr>
        <w:tab/>
        <w:t>Research commissioned by AIST</w:t>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t>13</w:t>
      </w:r>
    </w:p>
    <w:p w14:paraId="645C144B" w14:textId="215549FF" w:rsidR="00354C1F" w:rsidRDefault="00354C1F" w:rsidP="00354C1F">
      <w:pPr>
        <w:rPr>
          <w:rFonts w:ascii="Calibri" w:eastAsiaTheme="minorHAnsi" w:hAnsi="Calibri"/>
          <w:b/>
        </w:rPr>
      </w:pPr>
      <w:r>
        <w:rPr>
          <w:rFonts w:ascii="Calibri" w:eastAsiaTheme="minorHAnsi" w:hAnsi="Calibri"/>
          <w:b/>
        </w:rPr>
        <w:tab/>
        <w:t>5.1</w:t>
      </w:r>
      <w:r>
        <w:rPr>
          <w:rFonts w:ascii="Calibri" w:eastAsiaTheme="minorHAnsi" w:hAnsi="Calibri"/>
          <w:b/>
        </w:rPr>
        <w:tab/>
        <w:t>The Age of Retirement, ACFS 2013</w:t>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t>13</w:t>
      </w:r>
    </w:p>
    <w:p w14:paraId="1BE507C9" w14:textId="1ADD8004" w:rsidR="00354C1F" w:rsidRDefault="00354C1F" w:rsidP="00354C1F">
      <w:pPr>
        <w:rPr>
          <w:rFonts w:ascii="Calibri" w:eastAsiaTheme="minorHAnsi" w:hAnsi="Calibri"/>
          <w:b/>
        </w:rPr>
      </w:pPr>
      <w:r>
        <w:rPr>
          <w:rFonts w:ascii="Calibri" w:eastAsiaTheme="minorHAnsi" w:hAnsi="Calibri"/>
          <w:b/>
        </w:rPr>
        <w:tab/>
        <w:t>5.2</w:t>
      </w:r>
      <w:r>
        <w:rPr>
          <w:rFonts w:ascii="Calibri" w:eastAsiaTheme="minorHAnsi" w:hAnsi="Calibri"/>
          <w:b/>
        </w:rPr>
        <w:tab/>
        <w:t>Involuntary Retirement, ACFS 2014</w:t>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r>
      <w:r>
        <w:rPr>
          <w:rFonts w:ascii="Calibri" w:eastAsiaTheme="minorHAnsi" w:hAnsi="Calibri"/>
          <w:b/>
        </w:rPr>
        <w:tab/>
        <w:t>13</w:t>
      </w:r>
    </w:p>
    <w:p w14:paraId="69812E95" w14:textId="77777777" w:rsidR="00354C1F" w:rsidRDefault="00354C1F" w:rsidP="00354C1F">
      <w:pPr>
        <w:rPr>
          <w:rFonts w:ascii="Calibri" w:eastAsiaTheme="minorHAnsi" w:hAnsi="Calibri"/>
          <w:b/>
        </w:rPr>
      </w:pPr>
    </w:p>
    <w:p w14:paraId="06E1E1B5" w14:textId="606F00C3" w:rsidR="00354C1F" w:rsidRDefault="00354C1F" w:rsidP="00354C1F">
      <w:pPr>
        <w:rPr>
          <w:rFonts w:ascii="Calibri" w:eastAsiaTheme="minorHAnsi" w:hAnsi="Calibri"/>
          <w:b/>
          <w:sz w:val="24"/>
          <w:szCs w:val="24"/>
        </w:rPr>
      </w:pPr>
      <w:r>
        <w:rPr>
          <w:rFonts w:ascii="Calibri" w:eastAsiaTheme="minorHAnsi" w:hAnsi="Calibri"/>
          <w:b/>
          <w:sz w:val="24"/>
          <w:szCs w:val="24"/>
        </w:rPr>
        <w:t>6.</w:t>
      </w:r>
      <w:r>
        <w:rPr>
          <w:rFonts w:ascii="Calibri" w:eastAsiaTheme="minorHAnsi" w:hAnsi="Calibri"/>
          <w:b/>
          <w:sz w:val="24"/>
          <w:szCs w:val="24"/>
        </w:rPr>
        <w:tab/>
        <w:t>Superannuation policy affecting older workers workforce participation rates</w:t>
      </w:r>
      <w:r>
        <w:rPr>
          <w:rFonts w:ascii="Calibri" w:eastAsiaTheme="minorHAnsi" w:hAnsi="Calibri"/>
          <w:b/>
          <w:sz w:val="24"/>
          <w:szCs w:val="24"/>
        </w:rPr>
        <w:tab/>
        <w:t>14</w:t>
      </w:r>
    </w:p>
    <w:p w14:paraId="4F56A4F2" w14:textId="77777777" w:rsidR="007E149E" w:rsidRDefault="007E149E" w:rsidP="000340A4">
      <w:pPr>
        <w:rPr>
          <w:rFonts w:ascii="Calibri" w:eastAsiaTheme="minorHAnsi" w:hAnsi="Calibri"/>
          <w:b/>
          <w:sz w:val="24"/>
          <w:szCs w:val="24"/>
        </w:rPr>
      </w:pPr>
    </w:p>
    <w:p w14:paraId="1D7D1887" w14:textId="77777777" w:rsidR="00354C1F" w:rsidRDefault="00354C1F" w:rsidP="000340A4">
      <w:pPr>
        <w:rPr>
          <w:rFonts w:ascii="Calibri" w:eastAsiaTheme="minorHAnsi" w:hAnsi="Calibri"/>
          <w:b/>
          <w:sz w:val="24"/>
          <w:szCs w:val="24"/>
        </w:rPr>
      </w:pPr>
    </w:p>
    <w:p w14:paraId="6322A4CB" w14:textId="6B6D4CAC" w:rsidR="00354C1F" w:rsidRDefault="00354C1F" w:rsidP="000340A4">
      <w:pPr>
        <w:rPr>
          <w:rFonts w:ascii="Calibri" w:eastAsiaTheme="minorHAnsi" w:hAnsi="Calibri"/>
          <w:b/>
          <w:sz w:val="24"/>
          <w:szCs w:val="24"/>
        </w:rPr>
      </w:pPr>
      <w:r>
        <w:rPr>
          <w:rFonts w:ascii="Calibri" w:eastAsiaTheme="minorHAnsi" w:hAnsi="Calibri"/>
          <w:b/>
          <w:sz w:val="24"/>
          <w:szCs w:val="24"/>
        </w:rPr>
        <w:t xml:space="preserve">Annexure A  </w:t>
      </w:r>
      <w:r>
        <w:rPr>
          <w:rFonts w:ascii="Calibri" w:eastAsiaTheme="minorHAnsi" w:hAnsi="Calibri"/>
          <w:b/>
          <w:sz w:val="24"/>
          <w:szCs w:val="24"/>
        </w:rPr>
        <w:tab/>
        <w:t>AIST-Mercer Super Tracker: The Tracker scores and results of modelling</w:t>
      </w:r>
      <w:r>
        <w:rPr>
          <w:rFonts w:ascii="Calibri" w:eastAsiaTheme="minorHAnsi" w:hAnsi="Calibri"/>
          <w:b/>
          <w:sz w:val="24"/>
          <w:szCs w:val="24"/>
        </w:rPr>
        <w:tab/>
        <w:t>15</w:t>
      </w:r>
    </w:p>
    <w:p w14:paraId="4318F0F6" w14:textId="734A6ACA" w:rsidR="00354C1F" w:rsidRDefault="00354C1F" w:rsidP="000340A4">
      <w:pPr>
        <w:rPr>
          <w:rFonts w:ascii="Calibri" w:eastAsiaTheme="minorHAnsi" w:hAnsi="Calibri"/>
          <w:b/>
          <w:sz w:val="24"/>
          <w:szCs w:val="24"/>
        </w:rPr>
      </w:pPr>
      <w:r>
        <w:rPr>
          <w:rFonts w:ascii="Calibri" w:eastAsiaTheme="minorHAnsi" w:hAnsi="Calibri"/>
          <w:b/>
          <w:sz w:val="24"/>
          <w:szCs w:val="24"/>
        </w:rPr>
        <w:tab/>
      </w:r>
      <w:r>
        <w:rPr>
          <w:rFonts w:ascii="Calibri" w:eastAsiaTheme="minorHAnsi" w:hAnsi="Calibri"/>
          <w:b/>
          <w:sz w:val="24"/>
          <w:szCs w:val="24"/>
        </w:rPr>
        <w:tab/>
        <w:t>21 policies</w:t>
      </w:r>
    </w:p>
    <w:p w14:paraId="07B62F8A" w14:textId="77777777" w:rsidR="00354C1F" w:rsidRDefault="00354C1F" w:rsidP="000340A4">
      <w:pPr>
        <w:rPr>
          <w:rFonts w:ascii="Calibri" w:eastAsiaTheme="minorHAnsi" w:hAnsi="Calibri"/>
          <w:b/>
          <w:sz w:val="24"/>
          <w:szCs w:val="24"/>
        </w:rPr>
      </w:pPr>
    </w:p>
    <w:p w14:paraId="08EFC74A" w14:textId="74C20BF5" w:rsidR="00354C1F" w:rsidRDefault="00354C1F" w:rsidP="000340A4">
      <w:pPr>
        <w:rPr>
          <w:rFonts w:ascii="Calibri" w:eastAsiaTheme="minorHAnsi" w:hAnsi="Calibri"/>
          <w:b/>
          <w:sz w:val="24"/>
          <w:szCs w:val="24"/>
        </w:rPr>
      </w:pPr>
      <w:r>
        <w:rPr>
          <w:rFonts w:ascii="Calibri" w:eastAsiaTheme="minorHAnsi" w:hAnsi="Calibri"/>
          <w:b/>
          <w:sz w:val="24"/>
          <w:szCs w:val="24"/>
        </w:rPr>
        <w:t>Annexure B</w:t>
      </w:r>
      <w:r>
        <w:rPr>
          <w:rFonts w:ascii="Calibri" w:eastAsiaTheme="minorHAnsi" w:hAnsi="Calibri"/>
          <w:b/>
          <w:sz w:val="24"/>
          <w:szCs w:val="24"/>
        </w:rPr>
        <w:tab/>
        <w:t>AIST-ACFS research The Age of Retirement 2013</w:t>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t>17</w:t>
      </w:r>
    </w:p>
    <w:p w14:paraId="71BD17C1" w14:textId="381CF6B2" w:rsidR="00354C1F" w:rsidRDefault="00354C1F" w:rsidP="000340A4">
      <w:pPr>
        <w:rPr>
          <w:rFonts w:ascii="Calibri" w:eastAsiaTheme="minorHAnsi" w:hAnsi="Calibri"/>
          <w:b/>
          <w:sz w:val="24"/>
          <w:szCs w:val="24"/>
        </w:rPr>
      </w:pPr>
      <w:r>
        <w:rPr>
          <w:rFonts w:ascii="Calibri" w:eastAsiaTheme="minorHAnsi" w:hAnsi="Calibri"/>
          <w:b/>
          <w:sz w:val="24"/>
          <w:szCs w:val="24"/>
        </w:rPr>
        <w:t>(Enclosed as an attachment to this submission)</w:t>
      </w:r>
    </w:p>
    <w:p w14:paraId="40807AC2" w14:textId="77777777" w:rsidR="00354C1F" w:rsidRDefault="00354C1F" w:rsidP="000340A4">
      <w:pPr>
        <w:rPr>
          <w:rFonts w:ascii="Calibri" w:eastAsiaTheme="minorHAnsi" w:hAnsi="Calibri"/>
          <w:b/>
          <w:sz w:val="24"/>
          <w:szCs w:val="24"/>
        </w:rPr>
      </w:pPr>
    </w:p>
    <w:p w14:paraId="39756245" w14:textId="015A7A7C" w:rsidR="00354C1F" w:rsidRDefault="00354C1F" w:rsidP="000340A4">
      <w:pPr>
        <w:rPr>
          <w:rFonts w:ascii="Calibri" w:eastAsiaTheme="minorHAnsi" w:hAnsi="Calibri"/>
          <w:b/>
          <w:sz w:val="24"/>
          <w:szCs w:val="24"/>
        </w:rPr>
      </w:pPr>
      <w:r>
        <w:rPr>
          <w:rFonts w:ascii="Calibri" w:eastAsiaTheme="minorHAnsi" w:hAnsi="Calibri"/>
          <w:b/>
          <w:sz w:val="24"/>
          <w:szCs w:val="24"/>
        </w:rPr>
        <w:t>Annexure C</w:t>
      </w:r>
      <w:r>
        <w:rPr>
          <w:rFonts w:ascii="Calibri" w:eastAsiaTheme="minorHAnsi" w:hAnsi="Calibri"/>
          <w:b/>
          <w:sz w:val="24"/>
          <w:szCs w:val="24"/>
        </w:rPr>
        <w:tab/>
        <w:t>AIST-ACFS research Involuntary Retirement 2014</w:t>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r>
      <w:r>
        <w:rPr>
          <w:rFonts w:ascii="Calibri" w:eastAsiaTheme="minorHAnsi" w:hAnsi="Calibri"/>
          <w:b/>
          <w:sz w:val="24"/>
          <w:szCs w:val="24"/>
        </w:rPr>
        <w:tab/>
        <w:t>18</w:t>
      </w:r>
    </w:p>
    <w:p w14:paraId="5351BA07" w14:textId="071995A8" w:rsidR="00354C1F" w:rsidRPr="007E149E" w:rsidRDefault="00354C1F" w:rsidP="000340A4">
      <w:pPr>
        <w:rPr>
          <w:rFonts w:ascii="Calibri" w:eastAsiaTheme="minorHAnsi" w:hAnsi="Calibri"/>
          <w:b/>
          <w:sz w:val="24"/>
          <w:szCs w:val="24"/>
        </w:rPr>
      </w:pPr>
      <w:r>
        <w:rPr>
          <w:rFonts w:ascii="Calibri" w:eastAsiaTheme="minorHAnsi" w:hAnsi="Calibri"/>
          <w:b/>
          <w:sz w:val="24"/>
          <w:szCs w:val="24"/>
        </w:rPr>
        <w:t>(Enclosed as an attachment to this submission)</w:t>
      </w:r>
    </w:p>
    <w:p w14:paraId="41FCAA8A" w14:textId="2F8D6072" w:rsidR="000340A4" w:rsidRPr="000340A4" w:rsidRDefault="002D3278" w:rsidP="000340A4">
      <w:pPr>
        <w:rPr>
          <w:rFonts w:ascii="Calibri" w:eastAsiaTheme="minorHAnsi" w:hAnsi="Calibri"/>
          <w:highlight w:val="yellow"/>
        </w:rPr>
      </w:pPr>
      <w:r>
        <w:rPr>
          <w:rFonts w:ascii="Calibri" w:eastAsiaTheme="minorHAnsi" w:hAnsi="Calibri"/>
          <w:highlight w:val="yellow"/>
        </w:rPr>
        <w:br w:type="page"/>
      </w:r>
      <w:bookmarkStart w:id="8" w:name="_Toc420944903"/>
      <w:bookmarkStart w:id="9" w:name="_Toc420945033"/>
      <w:bookmarkStart w:id="10" w:name="_Toc433986856"/>
    </w:p>
    <w:bookmarkEnd w:id="8"/>
    <w:bookmarkEnd w:id="9"/>
    <w:bookmarkEnd w:id="10"/>
    <w:p w14:paraId="4E9B77D3" w14:textId="77777777" w:rsidR="000340A4" w:rsidRDefault="000340A4" w:rsidP="00C81980">
      <w:pPr>
        <w:rPr>
          <w:rFonts w:ascii="Calibri" w:hAnsi="Calibri"/>
          <w:sz w:val="22"/>
          <w:szCs w:val="22"/>
        </w:rPr>
      </w:pPr>
    </w:p>
    <w:p w14:paraId="3D50B06B" w14:textId="77777777" w:rsidR="000340A4" w:rsidRDefault="000340A4" w:rsidP="00C81980">
      <w:pPr>
        <w:rPr>
          <w:rFonts w:ascii="Calibri" w:hAnsi="Calibri"/>
          <w:sz w:val="22"/>
          <w:szCs w:val="22"/>
        </w:rPr>
      </w:pPr>
    </w:p>
    <w:p w14:paraId="4A25F17D" w14:textId="77777777" w:rsidR="000340A4" w:rsidRPr="002D3278" w:rsidRDefault="000340A4" w:rsidP="000340A4">
      <w:pPr>
        <w:pStyle w:val="Heading1"/>
        <w:rPr>
          <w:rFonts w:ascii="Calibri" w:eastAsiaTheme="minorHAnsi" w:hAnsi="Calibri"/>
        </w:rPr>
      </w:pPr>
      <w:r w:rsidRPr="002D3278">
        <w:rPr>
          <w:rFonts w:ascii="Calibri" w:eastAsiaTheme="minorHAnsi" w:hAnsi="Calibri"/>
        </w:rPr>
        <w:t>Executive summary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855"/>
      </w:tblGrid>
      <w:tr w:rsidR="000340A4" w:rsidRPr="002D3278" w14:paraId="572B28F4" w14:textId="77777777" w:rsidTr="000340A4">
        <w:tc>
          <w:tcPr>
            <w:tcW w:w="9855" w:type="dxa"/>
          </w:tcPr>
          <w:p w14:paraId="2CAE2938" w14:textId="77777777" w:rsidR="000340A4" w:rsidRPr="00354C1F" w:rsidRDefault="000340A4" w:rsidP="000340A4">
            <w:pPr>
              <w:rPr>
                <w:rFonts w:ascii="Calibri" w:eastAsiaTheme="minorHAnsi" w:hAnsi="Calibri"/>
                <w:b/>
                <w:sz w:val="22"/>
                <w:szCs w:val="22"/>
              </w:rPr>
            </w:pPr>
            <w:r w:rsidRPr="00354C1F">
              <w:rPr>
                <w:rFonts w:ascii="Calibri" w:eastAsiaTheme="minorHAnsi" w:hAnsi="Calibri"/>
                <w:b/>
                <w:sz w:val="22"/>
                <w:szCs w:val="22"/>
              </w:rPr>
              <w:t>In brief:</w:t>
            </w:r>
          </w:p>
          <w:p w14:paraId="307016E5" w14:textId="31C2AD0D" w:rsidR="000340A4" w:rsidRPr="002D3278" w:rsidRDefault="00354C1F" w:rsidP="00EA4EEF">
            <w:pPr>
              <w:rPr>
                <w:rFonts w:ascii="Calibri" w:hAnsi="Calibri"/>
                <w:sz w:val="22"/>
                <w:szCs w:val="22"/>
                <w:highlight w:val="yellow"/>
              </w:rPr>
            </w:pPr>
            <w:r w:rsidRPr="002D3278">
              <w:rPr>
                <w:rFonts w:ascii="Calibri" w:hAnsi="Calibri"/>
                <w:sz w:val="22"/>
                <w:szCs w:val="22"/>
              </w:rPr>
              <w:t>AIST’s vision is for a better retirement future for all Australians.  A key component of a better retirement future for all Australians is to better enable older Australians to continue working if they are able to do so</w:t>
            </w:r>
            <w:r w:rsidR="0012056C">
              <w:rPr>
                <w:rFonts w:ascii="Calibri" w:hAnsi="Calibri"/>
                <w:sz w:val="22"/>
                <w:szCs w:val="22"/>
              </w:rPr>
              <w:t>, and to contribute to their superannuation benefit</w:t>
            </w:r>
            <w:r w:rsidRPr="002D3278">
              <w:rPr>
                <w:rFonts w:ascii="Calibri" w:hAnsi="Calibri"/>
                <w:sz w:val="22"/>
                <w:szCs w:val="22"/>
              </w:rPr>
              <w:t xml:space="preserve">.  Superannuation policy is one driver of workforce participation.  </w:t>
            </w:r>
            <w:r w:rsidR="00EA4EEF">
              <w:rPr>
                <w:rFonts w:ascii="Calibri" w:hAnsi="Calibri"/>
                <w:sz w:val="22"/>
                <w:szCs w:val="22"/>
              </w:rPr>
              <w:t xml:space="preserve">Superannuation policies should only be examined within the context of a </w:t>
            </w:r>
            <w:r w:rsidR="009C4D7D">
              <w:rPr>
                <w:rFonts w:ascii="Calibri" w:hAnsi="Calibri"/>
                <w:sz w:val="22"/>
                <w:szCs w:val="22"/>
              </w:rPr>
              <w:t>framework that</w:t>
            </w:r>
            <w:r w:rsidR="00EA4EEF">
              <w:rPr>
                <w:rFonts w:ascii="Calibri" w:hAnsi="Calibri"/>
                <w:sz w:val="22"/>
                <w:szCs w:val="22"/>
              </w:rPr>
              <w:t xml:space="preserve"> sets system objectives, Key Performance Indicators, and a governance mechanism to assess progress. The AIST-Mercer Super Tracker is a robust methodology for tracking the objectives of the Australian superannuation system.</w:t>
            </w:r>
          </w:p>
        </w:tc>
      </w:tr>
    </w:tbl>
    <w:p w14:paraId="2DCF09B5" w14:textId="77777777" w:rsidR="000340A4" w:rsidRPr="002D3278" w:rsidRDefault="000340A4" w:rsidP="000340A4">
      <w:pPr>
        <w:rPr>
          <w:rFonts w:ascii="Calibri" w:eastAsiaTheme="minorHAnsi" w:hAnsi="Calibri"/>
          <w:sz w:val="16"/>
          <w:szCs w:val="16"/>
        </w:rPr>
      </w:pPr>
    </w:p>
    <w:p w14:paraId="27E4737F" w14:textId="77777777" w:rsidR="002D3278" w:rsidRPr="002D3278" w:rsidRDefault="002D3278" w:rsidP="00C81980">
      <w:pPr>
        <w:rPr>
          <w:rFonts w:ascii="Calibri" w:hAnsi="Calibri"/>
          <w:sz w:val="22"/>
          <w:szCs w:val="22"/>
          <w:highlight w:val="yellow"/>
        </w:rPr>
      </w:pPr>
    </w:p>
    <w:p w14:paraId="2B7F40CC" w14:textId="7D94770E" w:rsidR="00116FC3" w:rsidRPr="003071B9" w:rsidRDefault="00116FC3" w:rsidP="00116FC3">
      <w:pPr>
        <w:rPr>
          <w:rFonts w:ascii="Calibri" w:hAnsi="Calibri"/>
          <w:sz w:val="22"/>
          <w:szCs w:val="22"/>
        </w:rPr>
      </w:pPr>
      <w:r w:rsidRPr="003071B9">
        <w:rPr>
          <w:rFonts w:ascii="Calibri" w:hAnsi="Calibri"/>
          <w:sz w:val="22"/>
          <w:szCs w:val="22"/>
        </w:rPr>
        <w:t xml:space="preserve">AIST </w:t>
      </w:r>
      <w:r w:rsidR="0012056C">
        <w:rPr>
          <w:rFonts w:ascii="Calibri" w:hAnsi="Calibri"/>
          <w:sz w:val="22"/>
          <w:szCs w:val="22"/>
        </w:rPr>
        <w:t>notes</w:t>
      </w:r>
      <w:r w:rsidRPr="003071B9">
        <w:rPr>
          <w:rFonts w:ascii="Calibri" w:hAnsi="Calibri"/>
          <w:sz w:val="22"/>
          <w:szCs w:val="22"/>
        </w:rPr>
        <w:t xml:space="preserve"> the existence of a number of outstanding reviews and inquiries, and the need for a robust framework being in place before any changes to superannuation policy are made.  </w:t>
      </w:r>
      <w:r w:rsidR="00331259" w:rsidRPr="003071B9">
        <w:rPr>
          <w:rFonts w:ascii="Calibri" w:hAnsi="Calibri"/>
          <w:sz w:val="22"/>
          <w:szCs w:val="22"/>
        </w:rPr>
        <w:t>We also note our long-standing advocacy of the following policies, which would assist both the ability of members to save an adequate retirement as well as assisting Australia’s productivity:</w:t>
      </w:r>
    </w:p>
    <w:p w14:paraId="55335764" w14:textId="2DE4F738" w:rsidR="00604723" w:rsidRPr="003071B9" w:rsidRDefault="00750B02" w:rsidP="000A1662">
      <w:pPr>
        <w:pStyle w:val="ListParagraph"/>
        <w:numPr>
          <w:ilvl w:val="0"/>
          <w:numId w:val="8"/>
        </w:numPr>
        <w:rPr>
          <w:rFonts w:ascii="Calibri" w:hAnsi="Calibri"/>
          <w:sz w:val="22"/>
          <w:szCs w:val="22"/>
        </w:rPr>
      </w:pPr>
      <w:r w:rsidRPr="003071B9">
        <w:rPr>
          <w:rFonts w:ascii="Calibri" w:hAnsi="Calibri"/>
          <w:sz w:val="22"/>
          <w:szCs w:val="22"/>
        </w:rPr>
        <w:t>Any c</w:t>
      </w:r>
      <w:r w:rsidR="00604723" w:rsidRPr="003071B9">
        <w:rPr>
          <w:rFonts w:ascii="Calibri" w:hAnsi="Calibri"/>
          <w:sz w:val="22"/>
          <w:szCs w:val="22"/>
        </w:rPr>
        <w:t>hanges to rules implemented as part of the taxation system, such as the preservation of superannuation, affect decisions of Australians to remain in the workforce.  The tax system also needs to recognise and treat fairly those individuals who are unable to work to ‘retirement age’.</w:t>
      </w:r>
    </w:p>
    <w:p w14:paraId="4EC2CAA9" w14:textId="3F966E4F" w:rsidR="00604723" w:rsidRPr="003071B9" w:rsidRDefault="00604723" w:rsidP="000A1662">
      <w:pPr>
        <w:pStyle w:val="ListParagraph"/>
        <w:numPr>
          <w:ilvl w:val="0"/>
          <w:numId w:val="8"/>
        </w:numPr>
        <w:rPr>
          <w:rFonts w:ascii="Calibri" w:hAnsi="Calibri"/>
          <w:sz w:val="22"/>
          <w:szCs w:val="22"/>
        </w:rPr>
      </w:pPr>
      <w:r w:rsidRPr="003071B9">
        <w:rPr>
          <w:rFonts w:ascii="Calibri" w:hAnsi="Calibri"/>
          <w:sz w:val="22"/>
          <w:szCs w:val="22"/>
        </w:rPr>
        <w:t xml:space="preserve">The choice of taxation benchmarks may also impact the decision whether to remain in the workforce.  The choice of </w:t>
      </w:r>
      <w:r w:rsidR="006C7218" w:rsidRPr="003071B9">
        <w:rPr>
          <w:rFonts w:ascii="Calibri" w:hAnsi="Calibri"/>
          <w:sz w:val="22"/>
          <w:szCs w:val="22"/>
        </w:rPr>
        <w:t>benchmarks</w:t>
      </w:r>
      <w:r w:rsidRPr="003071B9">
        <w:rPr>
          <w:rFonts w:ascii="Calibri" w:hAnsi="Calibri"/>
          <w:sz w:val="22"/>
          <w:szCs w:val="22"/>
        </w:rPr>
        <w:t xml:space="preserve"> should be linked to </w:t>
      </w:r>
      <w:r w:rsidR="009C4D7D" w:rsidRPr="003071B9">
        <w:rPr>
          <w:rFonts w:ascii="Calibri" w:hAnsi="Calibri"/>
          <w:sz w:val="22"/>
          <w:szCs w:val="22"/>
        </w:rPr>
        <w:t>objectives that</w:t>
      </w:r>
      <w:r w:rsidRPr="003071B9">
        <w:rPr>
          <w:rFonts w:ascii="Calibri" w:hAnsi="Calibri"/>
          <w:sz w:val="22"/>
          <w:szCs w:val="22"/>
        </w:rPr>
        <w:t xml:space="preserve"> the government is seeking.  AIST believes that any review of the taxation of superannuation should examine the impacts of using various tax benchmarks.</w:t>
      </w:r>
    </w:p>
    <w:p w14:paraId="0F643BB1" w14:textId="2DAC86F9" w:rsidR="00331259" w:rsidRPr="003071B9" w:rsidRDefault="00CF0623" w:rsidP="000A1662">
      <w:pPr>
        <w:pStyle w:val="ListParagraph"/>
        <w:numPr>
          <w:ilvl w:val="0"/>
          <w:numId w:val="8"/>
        </w:numPr>
        <w:rPr>
          <w:rFonts w:ascii="Calibri" w:hAnsi="Calibri"/>
          <w:sz w:val="22"/>
          <w:szCs w:val="22"/>
        </w:rPr>
      </w:pPr>
      <w:r w:rsidRPr="003071B9">
        <w:rPr>
          <w:rFonts w:ascii="Calibri" w:hAnsi="Calibri"/>
          <w:sz w:val="22"/>
          <w:szCs w:val="22"/>
        </w:rPr>
        <w:t>Remove</w:t>
      </w:r>
      <w:r w:rsidR="00331259" w:rsidRPr="003071B9">
        <w:rPr>
          <w:rFonts w:ascii="Calibri" w:hAnsi="Calibri"/>
          <w:sz w:val="22"/>
          <w:szCs w:val="22"/>
        </w:rPr>
        <w:t xml:space="preserve"> the restrictions on voluntary contributions for members aged 75 years and over, and to extend the work test to these members.</w:t>
      </w:r>
    </w:p>
    <w:p w14:paraId="54F2789E" w14:textId="41491151" w:rsidR="00CF0623" w:rsidRPr="003071B9" w:rsidRDefault="00CF0623" w:rsidP="000A1662">
      <w:pPr>
        <w:pStyle w:val="ListParagraph"/>
        <w:numPr>
          <w:ilvl w:val="0"/>
          <w:numId w:val="8"/>
        </w:numPr>
        <w:rPr>
          <w:rFonts w:ascii="Calibri" w:hAnsi="Calibri"/>
          <w:sz w:val="22"/>
          <w:szCs w:val="22"/>
        </w:rPr>
      </w:pPr>
      <w:r w:rsidRPr="003071B9">
        <w:rPr>
          <w:rFonts w:ascii="Calibri" w:hAnsi="Calibri"/>
          <w:sz w:val="22"/>
          <w:szCs w:val="22"/>
        </w:rPr>
        <w:t>Retain the work test, but review to ensure it is relevant to modern work practices.</w:t>
      </w:r>
    </w:p>
    <w:p w14:paraId="0D6A2C2D" w14:textId="735D1805" w:rsidR="00CF0623" w:rsidRPr="003071B9" w:rsidRDefault="00CF0623" w:rsidP="000A1662">
      <w:pPr>
        <w:pStyle w:val="ListParagraph"/>
        <w:numPr>
          <w:ilvl w:val="0"/>
          <w:numId w:val="8"/>
        </w:numPr>
        <w:rPr>
          <w:rFonts w:ascii="Calibri" w:hAnsi="Calibri"/>
          <w:sz w:val="22"/>
          <w:szCs w:val="22"/>
        </w:rPr>
      </w:pPr>
      <w:r w:rsidRPr="003071B9">
        <w:rPr>
          <w:rFonts w:ascii="Calibri" w:hAnsi="Calibri"/>
          <w:sz w:val="22"/>
          <w:szCs w:val="22"/>
        </w:rPr>
        <w:t>Enable members to claim deductions for concessional contributions made at age 75 years and over.</w:t>
      </w:r>
    </w:p>
    <w:p w14:paraId="4DBB4D64" w14:textId="33AB6F0B" w:rsidR="00C46829" w:rsidRPr="003071B9" w:rsidRDefault="00C46829" w:rsidP="000A1662">
      <w:pPr>
        <w:pStyle w:val="ListParagraph"/>
        <w:numPr>
          <w:ilvl w:val="0"/>
          <w:numId w:val="8"/>
        </w:numPr>
        <w:rPr>
          <w:rFonts w:ascii="Calibri" w:hAnsi="Calibri"/>
          <w:sz w:val="22"/>
          <w:szCs w:val="22"/>
        </w:rPr>
      </w:pPr>
      <w:r w:rsidRPr="003071B9">
        <w:rPr>
          <w:rFonts w:ascii="Calibri" w:hAnsi="Calibri"/>
          <w:sz w:val="22"/>
          <w:szCs w:val="22"/>
        </w:rPr>
        <w:t>Review the unavailability of the bring-forward rule when making concessional superannuation contributions by those aged over 65.</w:t>
      </w:r>
    </w:p>
    <w:p w14:paraId="66861BED" w14:textId="2EEDAA04" w:rsidR="00331259" w:rsidRPr="003071B9" w:rsidRDefault="00CF0623" w:rsidP="000A1662">
      <w:pPr>
        <w:pStyle w:val="ListParagraph"/>
        <w:numPr>
          <w:ilvl w:val="0"/>
          <w:numId w:val="8"/>
        </w:numPr>
        <w:rPr>
          <w:rFonts w:ascii="Calibri" w:hAnsi="Calibri"/>
          <w:sz w:val="22"/>
          <w:szCs w:val="22"/>
        </w:rPr>
      </w:pPr>
      <w:r w:rsidRPr="003071B9">
        <w:rPr>
          <w:rFonts w:ascii="Calibri" w:hAnsi="Calibri"/>
          <w:sz w:val="22"/>
          <w:szCs w:val="22"/>
        </w:rPr>
        <w:t>Enable</w:t>
      </w:r>
      <w:r w:rsidR="00331259" w:rsidRPr="003071B9">
        <w:rPr>
          <w:rFonts w:ascii="Calibri" w:hAnsi="Calibri"/>
          <w:sz w:val="22"/>
          <w:szCs w:val="22"/>
        </w:rPr>
        <w:t xml:space="preserve"> a member of a superannuation fund to make contributions for a spouse aged 70 years or over when the spouse meets the work test (subject to reviewing the work test definition).</w:t>
      </w:r>
    </w:p>
    <w:p w14:paraId="41EA4690" w14:textId="11DEBECB" w:rsidR="00331259" w:rsidRPr="003071B9" w:rsidRDefault="00CF0623" w:rsidP="000A1662">
      <w:pPr>
        <w:pStyle w:val="ListParagraph"/>
        <w:numPr>
          <w:ilvl w:val="0"/>
          <w:numId w:val="8"/>
        </w:numPr>
        <w:rPr>
          <w:rFonts w:ascii="Calibri" w:hAnsi="Calibri"/>
          <w:sz w:val="22"/>
          <w:szCs w:val="22"/>
        </w:rPr>
      </w:pPr>
      <w:r w:rsidRPr="003071B9">
        <w:rPr>
          <w:rFonts w:ascii="Calibri" w:hAnsi="Calibri"/>
          <w:sz w:val="22"/>
          <w:szCs w:val="22"/>
        </w:rPr>
        <w:t>Remove</w:t>
      </w:r>
      <w:r w:rsidR="00331259" w:rsidRPr="003071B9">
        <w:rPr>
          <w:rFonts w:ascii="Calibri" w:hAnsi="Calibri"/>
          <w:sz w:val="22"/>
          <w:szCs w:val="22"/>
        </w:rPr>
        <w:t xml:space="preserve"> the age restriction from age 65 years when the spouse meets the work test, that is, being gainfully employed on at least a part-time basis during the financial year.</w:t>
      </w:r>
    </w:p>
    <w:p w14:paraId="53A1D8A1" w14:textId="1E7CB69F" w:rsidR="00331259" w:rsidRPr="003071B9" w:rsidRDefault="00CF0623" w:rsidP="000A1662">
      <w:pPr>
        <w:pStyle w:val="ListParagraph"/>
        <w:numPr>
          <w:ilvl w:val="0"/>
          <w:numId w:val="8"/>
        </w:numPr>
        <w:rPr>
          <w:rFonts w:ascii="Calibri" w:hAnsi="Calibri"/>
          <w:sz w:val="22"/>
          <w:szCs w:val="22"/>
        </w:rPr>
      </w:pPr>
      <w:r w:rsidRPr="003071B9">
        <w:rPr>
          <w:rFonts w:ascii="Calibri" w:hAnsi="Calibri"/>
          <w:sz w:val="22"/>
          <w:szCs w:val="22"/>
        </w:rPr>
        <w:t>Repeal</w:t>
      </w:r>
      <w:r w:rsidR="00331259" w:rsidRPr="003071B9">
        <w:rPr>
          <w:rFonts w:ascii="Calibri" w:hAnsi="Calibri"/>
          <w:sz w:val="22"/>
          <w:szCs w:val="22"/>
        </w:rPr>
        <w:t xml:space="preserve"> the restriction on providing government co-contributions for persons aged over 71 years.</w:t>
      </w:r>
    </w:p>
    <w:p w14:paraId="03007BEC" w14:textId="3026A167" w:rsidR="00331259" w:rsidRPr="003071B9" w:rsidRDefault="00CF0623" w:rsidP="000A1662">
      <w:pPr>
        <w:pStyle w:val="ListParagraph"/>
        <w:numPr>
          <w:ilvl w:val="0"/>
          <w:numId w:val="8"/>
        </w:numPr>
        <w:rPr>
          <w:rFonts w:ascii="Calibri" w:hAnsi="Calibri"/>
          <w:sz w:val="22"/>
          <w:szCs w:val="22"/>
        </w:rPr>
      </w:pPr>
      <w:r w:rsidRPr="003071B9">
        <w:rPr>
          <w:rFonts w:ascii="Calibri" w:hAnsi="Calibri"/>
          <w:sz w:val="22"/>
          <w:szCs w:val="22"/>
        </w:rPr>
        <w:t>Remove</w:t>
      </w:r>
      <w:r w:rsidR="00331259" w:rsidRPr="003071B9">
        <w:rPr>
          <w:rFonts w:ascii="Calibri" w:hAnsi="Calibri"/>
          <w:sz w:val="22"/>
          <w:szCs w:val="22"/>
        </w:rPr>
        <w:t xml:space="preserve"> the $450 monthly minimum earnings threshold for Superannuation Guarantee contributions.</w:t>
      </w:r>
    </w:p>
    <w:p w14:paraId="45B33598" w14:textId="77777777" w:rsidR="00331259" w:rsidRPr="002D3278" w:rsidRDefault="00331259" w:rsidP="00116FC3">
      <w:pPr>
        <w:rPr>
          <w:rFonts w:ascii="Calibri" w:hAnsi="Calibri"/>
        </w:rPr>
      </w:pPr>
    </w:p>
    <w:p w14:paraId="3B6CDB8C" w14:textId="77777777" w:rsidR="00326401" w:rsidRPr="00AB0497" w:rsidRDefault="00326401" w:rsidP="00AB0497">
      <w:r w:rsidRPr="00DA335E">
        <w:rPr>
          <w:rFonts w:eastAsiaTheme="minorHAnsi"/>
        </w:rPr>
        <w:br w:type="page"/>
      </w:r>
    </w:p>
    <w:p w14:paraId="5A2F6066" w14:textId="77777777" w:rsidR="00192D54" w:rsidRPr="002D3278" w:rsidRDefault="00192D54" w:rsidP="003E5077">
      <w:pPr>
        <w:pStyle w:val="Heading1"/>
      </w:pPr>
      <w:bookmarkStart w:id="11" w:name="_Toc420944904"/>
      <w:bookmarkStart w:id="12" w:name="_Toc420945034"/>
      <w:bookmarkStart w:id="13" w:name="_Toc433986857"/>
      <w:r w:rsidRPr="002D3278">
        <w:lastRenderedPageBreak/>
        <w:t>Introduction</w:t>
      </w:r>
      <w:bookmarkEnd w:id="11"/>
      <w:bookmarkEnd w:id="12"/>
      <w:bookmarkEnd w:id="13"/>
    </w:p>
    <w:p w14:paraId="66922163" w14:textId="31534F8F" w:rsidR="00192D54" w:rsidRDefault="00192D54" w:rsidP="00192D54">
      <w:pPr>
        <w:rPr>
          <w:rFonts w:ascii="Calibri" w:hAnsi="Calibri"/>
          <w:sz w:val="22"/>
          <w:szCs w:val="22"/>
        </w:rPr>
      </w:pPr>
      <w:r w:rsidRPr="002D3278">
        <w:rPr>
          <w:rFonts w:ascii="Calibri" w:hAnsi="Calibri"/>
          <w:sz w:val="22"/>
          <w:szCs w:val="22"/>
        </w:rPr>
        <w:t xml:space="preserve">AIST welcomes the opportunity to respond to </w:t>
      </w:r>
      <w:r w:rsidR="00C81980" w:rsidRPr="002D3278">
        <w:rPr>
          <w:rFonts w:ascii="Calibri" w:hAnsi="Calibri"/>
          <w:sz w:val="22"/>
          <w:szCs w:val="22"/>
        </w:rPr>
        <w:t xml:space="preserve">Australian Human Rights </w:t>
      </w:r>
      <w:r w:rsidR="007F1298" w:rsidRPr="002D3278">
        <w:rPr>
          <w:rFonts w:ascii="Calibri" w:hAnsi="Calibri"/>
          <w:sz w:val="22"/>
          <w:szCs w:val="22"/>
        </w:rPr>
        <w:t>Commission’</w:t>
      </w:r>
      <w:r w:rsidR="00D22E1A" w:rsidRPr="002D3278">
        <w:rPr>
          <w:rFonts w:ascii="Calibri" w:hAnsi="Calibri"/>
          <w:sz w:val="22"/>
          <w:szCs w:val="22"/>
        </w:rPr>
        <w:t>s</w:t>
      </w:r>
      <w:r w:rsidR="009E5443" w:rsidRPr="002D3278">
        <w:rPr>
          <w:rFonts w:ascii="Calibri" w:hAnsi="Calibri"/>
          <w:sz w:val="22"/>
          <w:szCs w:val="22"/>
        </w:rPr>
        <w:t xml:space="preserve"> </w:t>
      </w:r>
      <w:r w:rsidR="00C81980" w:rsidRPr="002D3278">
        <w:rPr>
          <w:rFonts w:ascii="Calibri" w:hAnsi="Calibri"/>
          <w:i/>
          <w:sz w:val="22"/>
          <w:szCs w:val="22"/>
        </w:rPr>
        <w:t>National Inquiry into Employment Discrimination against Older Australians and Australians with Disability</w:t>
      </w:r>
      <w:r w:rsidR="001C2799" w:rsidRPr="002D3278">
        <w:rPr>
          <w:rFonts w:ascii="Calibri" w:hAnsi="Calibri"/>
          <w:sz w:val="22"/>
          <w:szCs w:val="22"/>
        </w:rPr>
        <w:t>.</w:t>
      </w:r>
    </w:p>
    <w:p w14:paraId="21412B93" w14:textId="77777777" w:rsidR="008F0F61" w:rsidRPr="002D3278" w:rsidRDefault="008F0F61" w:rsidP="00192D54">
      <w:pPr>
        <w:rPr>
          <w:rFonts w:ascii="Calibri" w:hAnsi="Calibri"/>
          <w:sz w:val="22"/>
          <w:szCs w:val="22"/>
        </w:rPr>
      </w:pPr>
    </w:p>
    <w:p w14:paraId="1E693D2D" w14:textId="29572F78" w:rsidR="00573308" w:rsidRDefault="00192D54" w:rsidP="00573308">
      <w:pPr>
        <w:rPr>
          <w:rFonts w:ascii="Calibri" w:hAnsi="Calibri"/>
          <w:sz w:val="22"/>
          <w:szCs w:val="22"/>
        </w:rPr>
      </w:pPr>
      <w:r w:rsidRPr="002D3278">
        <w:rPr>
          <w:rFonts w:ascii="Calibri" w:hAnsi="Calibri"/>
          <w:sz w:val="22"/>
          <w:szCs w:val="22"/>
        </w:rPr>
        <w:t>AIST’s vision is for a better retirement future fo</w:t>
      </w:r>
      <w:r w:rsidR="00573308" w:rsidRPr="002D3278">
        <w:rPr>
          <w:rFonts w:ascii="Calibri" w:hAnsi="Calibri"/>
          <w:sz w:val="22"/>
          <w:szCs w:val="22"/>
        </w:rPr>
        <w:t xml:space="preserve">r all Australians. </w:t>
      </w:r>
      <w:r w:rsidR="001C2799" w:rsidRPr="002D3278">
        <w:rPr>
          <w:rFonts w:ascii="Calibri" w:hAnsi="Calibri"/>
          <w:sz w:val="22"/>
          <w:szCs w:val="22"/>
        </w:rPr>
        <w:t xml:space="preserve"> </w:t>
      </w:r>
      <w:r w:rsidR="009E5443" w:rsidRPr="002D3278">
        <w:rPr>
          <w:rFonts w:ascii="Calibri" w:hAnsi="Calibri"/>
          <w:sz w:val="22"/>
          <w:szCs w:val="22"/>
        </w:rPr>
        <w:t xml:space="preserve">A key component of a better retirement future for all Australians is </w:t>
      </w:r>
      <w:r w:rsidR="00F1411C" w:rsidRPr="002D3278">
        <w:rPr>
          <w:rFonts w:ascii="Calibri" w:hAnsi="Calibri"/>
          <w:sz w:val="22"/>
          <w:szCs w:val="22"/>
        </w:rPr>
        <w:t>to</w:t>
      </w:r>
      <w:r w:rsidR="009E5443" w:rsidRPr="002D3278">
        <w:rPr>
          <w:rFonts w:ascii="Calibri" w:hAnsi="Calibri"/>
          <w:sz w:val="22"/>
          <w:szCs w:val="22"/>
        </w:rPr>
        <w:t xml:space="preserve"> </w:t>
      </w:r>
      <w:r w:rsidR="00F1411C" w:rsidRPr="002D3278">
        <w:rPr>
          <w:rFonts w:ascii="Calibri" w:hAnsi="Calibri"/>
          <w:sz w:val="22"/>
          <w:szCs w:val="22"/>
        </w:rPr>
        <w:t>better enable older Australians to continue working if they are able to do so</w:t>
      </w:r>
      <w:r w:rsidRPr="002D3278">
        <w:rPr>
          <w:rFonts w:ascii="Calibri" w:hAnsi="Calibri"/>
          <w:sz w:val="22"/>
          <w:szCs w:val="22"/>
        </w:rPr>
        <w:t xml:space="preserve">.  </w:t>
      </w:r>
      <w:r w:rsidR="00F1411C" w:rsidRPr="002D3278">
        <w:rPr>
          <w:rFonts w:ascii="Calibri" w:hAnsi="Calibri"/>
          <w:sz w:val="22"/>
          <w:szCs w:val="22"/>
        </w:rPr>
        <w:t xml:space="preserve">Superannuation policy </w:t>
      </w:r>
      <w:r w:rsidR="00E426E6" w:rsidRPr="002D3278">
        <w:rPr>
          <w:rFonts w:ascii="Calibri" w:hAnsi="Calibri"/>
          <w:sz w:val="22"/>
          <w:szCs w:val="22"/>
        </w:rPr>
        <w:t>is</w:t>
      </w:r>
      <w:r w:rsidR="00F1411C" w:rsidRPr="002D3278">
        <w:rPr>
          <w:rFonts w:ascii="Calibri" w:hAnsi="Calibri"/>
          <w:sz w:val="22"/>
          <w:szCs w:val="22"/>
        </w:rPr>
        <w:t xml:space="preserve"> one driver of </w:t>
      </w:r>
      <w:r w:rsidR="00CF1EBD" w:rsidRPr="002D3278">
        <w:rPr>
          <w:rFonts w:ascii="Calibri" w:hAnsi="Calibri"/>
          <w:sz w:val="22"/>
          <w:szCs w:val="22"/>
        </w:rPr>
        <w:t>workforce participation</w:t>
      </w:r>
      <w:r w:rsidR="00F1411C" w:rsidRPr="002D3278">
        <w:rPr>
          <w:rFonts w:ascii="Calibri" w:hAnsi="Calibri"/>
          <w:sz w:val="22"/>
          <w:szCs w:val="22"/>
        </w:rPr>
        <w:t>.</w:t>
      </w:r>
      <w:r w:rsidR="00331259" w:rsidRPr="002D3278">
        <w:rPr>
          <w:rFonts w:ascii="Calibri" w:hAnsi="Calibri"/>
          <w:sz w:val="22"/>
          <w:szCs w:val="22"/>
        </w:rPr>
        <w:t xml:space="preserve">  </w:t>
      </w:r>
      <w:r w:rsidR="00F1411C" w:rsidRPr="002D3278">
        <w:rPr>
          <w:rFonts w:ascii="Calibri" w:hAnsi="Calibri"/>
          <w:sz w:val="22"/>
          <w:szCs w:val="22"/>
        </w:rPr>
        <w:t xml:space="preserve">Since AIST is the principal national peak body representing the not-for-profit superannuation sector, our submission will concentrate on superannuation policy issues associated with older Australians workforce participation rates.  </w:t>
      </w:r>
    </w:p>
    <w:p w14:paraId="5C3160B2" w14:textId="77777777" w:rsidR="008F0F61" w:rsidRPr="002D3278" w:rsidRDefault="008F0F61" w:rsidP="00573308">
      <w:pPr>
        <w:rPr>
          <w:rFonts w:ascii="Calibri" w:hAnsi="Calibri"/>
          <w:sz w:val="22"/>
          <w:szCs w:val="22"/>
        </w:rPr>
      </w:pPr>
    </w:p>
    <w:p w14:paraId="62BE9ADD" w14:textId="08434295" w:rsidR="00CF1EBD" w:rsidRDefault="00CF1EBD" w:rsidP="00CF1EBD">
      <w:pPr>
        <w:rPr>
          <w:rFonts w:ascii="Calibri" w:hAnsi="Calibri"/>
          <w:sz w:val="22"/>
          <w:szCs w:val="22"/>
        </w:rPr>
      </w:pPr>
      <w:r w:rsidRPr="002D3278">
        <w:rPr>
          <w:rFonts w:ascii="Calibri" w:hAnsi="Calibri"/>
          <w:sz w:val="22"/>
          <w:szCs w:val="22"/>
        </w:rPr>
        <w:t>There are also a number of other reviews and inquiries in train, the outcomes of which may also affect superannuation policy.  These include the Treasury review of retirement incomes, the Senate Economics review of economic security in retirement for women, and the Re:Think Ta</w:t>
      </w:r>
      <w:r w:rsidR="00D22E1A" w:rsidRPr="002D3278">
        <w:rPr>
          <w:rFonts w:ascii="Calibri" w:hAnsi="Calibri"/>
          <w:sz w:val="22"/>
          <w:szCs w:val="22"/>
        </w:rPr>
        <w:t>x</w:t>
      </w:r>
      <w:r w:rsidRPr="002D3278">
        <w:rPr>
          <w:rFonts w:ascii="Calibri" w:hAnsi="Calibri"/>
          <w:sz w:val="22"/>
          <w:szCs w:val="22"/>
        </w:rPr>
        <w:t xml:space="preserve"> Discussion Paper.  </w:t>
      </w:r>
      <w:r w:rsidR="00D22E1A" w:rsidRPr="002D3278">
        <w:rPr>
          <w:rFonts w:ascii="Calibri" w:hAnsi="Calibri"/>
          <w:sz w:val="22"/>
          <w:szCs w:val="22"/>
        </w:rPr>
        <w:t>Also</w:t>
      </w:r>
      <w:r w:rsidRPr="002D3278">
        <w:rPr>
          <w:rFonts w:ascii="Calibri" w:hAnsi="Calibri"/>
          <w:sz w:val="22"/>
          <w:szCs w:val="22"/>
        </w:rPr>
        <w:t>, the Government has announced as part of its response to the Financial Services Inquiry that it will develop and introduce legislation to enshrine the objectives of the superannuation system by the end of 2016.</w:t>
      </w:r>
    </w:p>
    <w:p w14:paraId="6D5772A4" w14:textId="77777777" w:rsidR="008F0F61" w:rsidRPr="002D3278" w:rsidRDefault="008F0F61" w:rsidP="00CF1EBD">
      <w:pPr>
        <w:rPr>
          <w:rFonts w:ascii="Calibri" w:hAnsi="Calibri"/>
          <w:sz w:val="22"/>
          <w:szCs w:val="22"/>
        </w:rPr>
      </w:pPr>
    </w:p>
    <w:p w14:paraId="28977448" w14:textId="77777777" w:rsidR="00CF1EBD" w:rsidRPr="002D3278" w:rsidRDefault="00CF1EBD" w:rsidP="00CF1EBD">
      <w:pPr>
        <w:rPr>
          <w:rFonts w:ascii="Calibri" w:hAnsi="Calibri"/>
          <w:sz w:val="22"/>
          <w:szCs w:val="22"/>
        </w:rPr>
      </w:pPr>
      <w:r w:rsidRPr="002D3278">
        <w:rPr>
          <w:rFonts w:ascii="Calibri" w:hAnsi="Calibri"/>
          <w:sz w:val="22"/>
          <w:szCs w:val="22"/>
        </w:rPr>
        <w:t>AIST has strongly and consistently advocated in our response to all reviews and inquiries that any changes to superannuation policy must be examined only once:</w:t>
      </w:r>
    </w:p>
    <w:p w14:paraId="568F5B62" w14:textId="08D7902B" w:rsidR="00CF1EBD" w:rsidRPr="003071B9" w:rsidRDefault="00CF1EBD" w:rsidP="000A1662">
      <w:pPr>
        <w:pStyle w:val="ListParagraph"/>
        <w:numPr>
          <w:ilvl w:val="0"/>
          <w:numId w:val="8"/>
        </w:numPr>
        <w:rPr>
          <w:rFonts w:ascii="Calibri" w:hAnsi="Calibri"/>
          <w:sz w:val="22"/>
          <w:szCs w:val="22"/>
        </w:rPr>
      </w:pPr>
      <w:r w:rsidRPr="003071B9">
        <w:rPr>
          <w:rFonts w:ascii="Calibri" w:hAnsi="Calibri"/>
          <w:sz w:val="22"/>
          <w:szCs w:val="22"/>
        </w:rPr>
        <w:t>Objectives for the superannuation system are in place.</w:t>
      </w:r>
    </w:p>
    <w:p w14:paraId="50C270FA" w14:textId="73981A34" w:rsidR="00CF1EBD" w:rsidRPr="003071B9" w:rsidRDefault="00CF1EBD" w:rsidP="000A1662">
      <w:pPr>
        <w:pStyle w:val="ListParagraph"/>
        <w:numPr>
          <w:ilvl w:val="0"/>
          <w:numId w:val="8"/>
        </w:numPr>
        <w:rPr>
          <w:rFonts w:ascii="Calibri" w:hAnsi="Calibri"/>
          <w:sz w:val="22"/>
          <w:szCs w:val="22"/>
        </w:rPr>
      </w:pPr>
      <w:r w:rsidRPr="003071B9">
        <w:rPr>
          <w:rFonts w:ascii="Calibri" w:hAnsi="Calibri"/>
          <w:sz w:val="22"/>
          <w:szCs w:val="22"/>
        </w:rPr>
        <w:t xml:space="preserve">Agreed Key Performance Indicators </w:t>
      </w:r>
      <w:r w:rsidR="00180677" w:rsidRPr="003071B9">
        <w:rPr>
          <w:rFonts w:ascii="Calibri" w:hAnsi="Calibri"/>
          <w:sz w:val="22"/>
          <w:szCs w:val="22"/>
        </w:rPr>
        <w:t>(</w:t>
      </w:r>
      <w:r w:rsidR="00180677" w:rsidRPr="003071B9">
        <w:rPr>
          <w:rFonts w:ascii="Calibri" w:hAnsi="Calibri"/>
          <w:b/>
          <w:color w:val="548DD4" w:themeColor="text2" w:themeTint="99"/>
          <w:sz w:val="22"/>
          <w:szCs w:val="22"/>
        </w:rPr>
        <w:t>KPIs</w:t>
      </w:r>
      <w:r w:rsidR="00180677" w:rsidRPr="003071B9">
        <w:rPr>
          <w:rFonts w:ascii="Calibri" w:hAnsi="Calibri"/>
          <w:sz w:val="22"/>
          <w:szCs w:val="22"/>
        </w:rPr>
        <w:t xml:space="preserve">) </w:t>
      </w:r>
      <w:r w:rsidRPr="003071B9">
        <w:rPr>
          <w:rFonts w:ascii="Calibri" w:hAnsi="Calibri"/>
          <w:sz w:val="22"/>
          <w:szCs w:val="22"/>
        </w:rPr>
        <w:t>underpinning the objectives are set.</w:t>
      </w:r>
    </w:p>
    <w:p w14:paraId="1F3ADF63" w14:textId="6C74A8E3" w:rsidR="00CF1EBD" w:rsidRPr="003071B9" w:rsidRDefault="00CF1EBD" w:rsidP="000A1662">
      <w:pPr>
        <w:pStyle w:val="ListParagraph"/>
        <w:numPr>
          <w:ilvl w:val="0"/>
          <w:numId w:val="8"/>
        </w:numPr>
        <w:rPr>
          <w:rFonts w:ascii="Calibri" w:hAnsi="Calibri"/>
          <w:sz w:val="22"/>
          <w:szCs w:val="22"/>
        </w:rPr>
      </w:pPr>
      <w:r w:rsidRPr="003071B9">
        <w:rPr>
          <w:rFonts w:ascii="Calibri" w:hAnsi="Calibri"/>
          <w:sz w:val="22"/>
          <w:szCs w:val="22"/>
        </w:rPr>
        <w:t>A governance methodology for reviewing progress is established.</w:t>
      </w:r>
    </w:p>
    <w:p w14:paraId="080A092E" w14:textId="77777777" w:rsidR="003071B9" w:rsidRDefault="003071B9" w:rsidP="00CF1EBD">
      <w:pPr>
        <w:rPr>
          <w:rFonts w:ascii="Calibri" w:hAnsi="Calibri"/>
          <w:sz w:val="22"/>
          <w:szCs w:val="22"/>
        </w:rPr>
      </w:pPr>
    </w:p>
    <w:p w14:paraId="3F891D0F" w14:textId="1477B2F3" w:rsidR="00CF1EBD" w:rsidRDefault="007F1298" w:rsidP="00CF1EBD">
      <w:pPr>
        <w:rPr>
          <w:rFonts w:ascii="Calibri" w:hAnsi="Calibri"/>
          <w:sz w:val="22"/>
          <w:szCs w:val="22"/>
        </w:rPr>
      </w:pPr>
      <w:r w:rsidRPr="002D3278">
        <w:rPr>
          <w:rFonts w:ascii="Calibri" w:hAnsi="Calibri"/>
          <w:sz w:val="22"/>
          <w:szCs w:val="22"/>
        </w:rPr>
        <w:t xml:space="preserve">These cornerstones are needed in order </w:t>
      </w:r>
      <w:r w:rsidR="00D22E1A" w:rsidRPr="002D3278">
        <w:rPr>
          <w:rFonts w:ascii="Calibri" w:hAnsi="Calibri"/>
          <w:sz w:val="22"/>
          <w:szCs w:val="22"/>
        </w:rPr>
        <w:t>to</w:t>
      </w:r>
      <w:r w:rsidR="00CF1EBD" w:rsidRPr="002D3278">
        <w:rPr>
          <w:rFonts w:ascii="Calibri" w:hAnsi="Calibri"/>
          <w:sz w:val="22"/>
          <w:szCs w:val="22"/>
        </w:rPr>
        <w:t xml:space="preserve"> provide a sound and robust framework within which to see how our superannuation system is going as well as to road-test policies.  </w:t>
      </w:r>
    </w:p>
    <w:p w14:paraId="4ED5DF95" w14:textId="77777777" w:rsidR="008F0F61" w:rsidRPr="002D3278" w:rsidRDefault="008F0F61" w:rsidP="00CF1EBD">
      <w:pPr>
        <w:rPr>
          <w:rFonts w:ascii="Calibri" w:hAnsi="Calibri"/>
          <w:sz w:val="22"/>
          <w:szCs w:val="22"/>
        </w:rPr>
      </w:pPr>
    </w:p>
    <w:p w14:paraId="7DEF4771" w14:textId="77777777" w:rsidR="008F0F61" w:rsidRDefault="00180677" w:rsidP="00573308">
      <w:pPr>
        <w:rPr>
          <w:rFonts w:ascii="Calibri" w:hAnsi="Calibri"/>
          <w:sz w:val="22"/>
          <w:szCs w:val="22"/>
        </w:rPr>
      </w:pPr>
      <w:r w:rsidRPr="002D3278">
        <w:rPr>
          <w:rFonts w:ascii="Calibri" w:hAnsi="Calibri"/>
          <w:sz w:val="22"/>
          <w:szCs w:val="22"/>
        </w:rPr>
        <w:t xml:space="preserve">The AIST Mercer Super Tracker provides </w:t>
      </w:r>
      <w:r w:rsidR="00203763" w:rsidRPr="002D3278">
        <w:rPr>
          <w:rFonts w:ascii="Calibri" w:hAnsi="Calibri"/>
          <w:sz w:val="22"/>
          <w:szCs w:val="22"/>
        </w:rPr>
        <w:t>ten</w:t>
      </w:r>
      <w:r w:rsidRPr="002D3278">
        <w:rPr>
          <w:rFonts w:ascii="Calibri" w:hAnsi="Calibri"/>
          <w:sz w:val="22"/>
          <w:szCs w:val="22"/>
        </w:rPr>
        <w:t xml:space="preserve"> robust suggested KPIs for the Australian superannuation system, including one which </w:t>
      </w:r>
      <w:r w:rsidR="00F63F52" w:rsidRPr="002D3278">
        <w:rPr>
          <w:rFonts w:ascii="Calibri" w:hAnsi="Calibri"/>
          <w:sz w:val="22"/>
          <w:szCs w:val="22"/>
        </w:rPr>
        <w:t>provides a score for</w:t>
      </w:r>
      <w:r w:rsidRPr="002D3278">
        <w:rPr>
          <w:rFonts w:ascii="Calibri" w:hAnsi="Calibri"/>
          <w:sz w:val="22"/>
          <w:szCs w:val="22"/>
        </w:rPr>
        <w:t xml:space="preserve"> older workforce participation</w:t>
      </w:r>
      <w:r w:rsidR="00203763" w:rsidRPr="002D3278">
        <w:rPr>
          <w:rFonts w:ascii="Calibri" w:hAnsi="Calibri"/>
          <w:sz w:val="22"/>
          <w:szCs w:val="22"/>
        </w:rPr>
        <w:t xml:space="preserve"> rates</w:t>
      </w:r>
      <w:r w:rsidRPr="002D3278">
        <w:rPr>
          <w:rFonts w:ascii="Calibri" w:hAnsi="Calibri"/>
          <w:sz w:val="22"/>
          <w:szCs w:val="22"/>
        </w:rPr>
        <w:t xml:space="preserve">.  </w:t>
      </w:r>
      <w:r w:rsidR="00F63F52" w:rsidRPr="002D3278">
        <w:rPr>
          <w:rFonts w:ascii="Calibri" w:hAnsi="Calibri"/>
          <w:sz w:val="22"/>
          <w:szCs w:val="22"/>
        </w:rPr>
        <w:t xml:space="preserve">As each KPI is a score, it enables each KPI to be compared with the other KPIs.  This highlights which areas in the superannuation system </w:t>
      </w:r>
      <w:r w:rsidR="00C46829" w:rsidRPr="002D3278">
        <w:rPr>
          <w:rFonts w:ascii="Calibri" w:hAnsi="Calibri"/>
          <w:sz w:val="22"/>
          <w:szCs w:val="22"/>
        </w:rPr>
        <w:t xml:space="preserve">may </w:t>
      </w:r>
      <w:r w:rsidR="00F63F52" w:rsidRPr="002D3278">
        <w:rPr>
          <w:rFonts w:ascii="Calibri" w:hAnsi="Calibri"/>
          <w:sz w:val="22"/>
          <w:szCs w:val="22"/>
        </w:rPr>
        <w:t xml:space="preserve">require more attention and potential policy development.  </w:t>
      </w:r>
    </w:p>
    <w:p w14:paraId="69552EF0" w14:textId="77777777" w:rsidR="008F0F61" w:rsidRDefault="008F0F61" w:rsidP="00573308">
      <w:pPr>
        <w:rPr>
          <w:rFonts w:ascii="Calibri" w:hAnsi="Calibri"/>
          <w:sz w:val="22"/>
          <w:szCs w:val="22"/>
        </w:rPr>
      </w:pPr>
    </w:p>
    <w:p w14:paraId="362CA5E8" w14:textId="207E6754" w:rsidR="00F1411C" w:rsidRDefault="00180677" w:rsidP="00573308">
      <w:pPr>
        <w:rPr>
          <w:rFonts w:ascii="Calibri" w:hAnsi="Calibri"/>
          <w:sz w:val="22"/>
          <w:szCs w:val="22"/>
        </w:rPr>
      </w:pPr>
      <w:r w:rsidRPr="002D3278">
        <w:rPr>
          <w:rFonts w:ascii="Calibri" w:hAnsi="Calibri"/>
          <w:sz w:val="22"/>
          <w:szCs w:val="22"/>
        </w:rPr>
        <w:t xml:space="preserve">The AIST Mercer Super Tracker can </w:t>
      </w:r>
      <w:r w:rsidR="00203763" w:rsidRPr="002D3278">
        <w:rPr>
          <w:rFonts w:ascii="Calibri" w:hAnsi="Calibri"/>
          <w:sz w:val="22"/>
          <w:szCs w:val="22"/>
        </w:rPr>
        <w:t xml:space="preserve">also </w:t>
      </w:r>
      <w:r w:rsidRPr="002D3278">
        <w:rPr>
          <w:rFonts w:ascii="Calibri" w:hAnsi="Calibri"/>
          <w:sz w:val="22"/>
          <w:szCs w:val="22"/>
        </w:rPr>
        <w:t>be used to road-test policies</w:t>
      </w:r>
      <w:r w:rsidR="00203763" w:rsidRPr="002D3278">
        <w:rPr>
          <w:rFonts w:ascii="Calibri" w:hAnsi="Calibri"/>
          <w:sz w:val="22"/>
          <w:szCs w:val="22"/>
        </w:rPr>
        <w:t xml:space="preserve"> to see how the scores might vary if the policy was implemented</w:t>
      </w:r>
      <w:r w:rsidRPr="002D3278">
        <w:rPr>
          <w:rFonts w:ascii="Calibri" w:hAnsi="Calibri"/>
          <w:sz w:val="22"/>
          <w:szCs w:val="22"/>
        </w:rPr>
        <w:t>.  AIST has used the Tracker to road-test over 20 policies</w:t>
      </w:r>
      <w:r w:rsidR="00203763" w:rsidRPr="002D3278">
        <w:rPr>
          <w:rFonts w:ascii="Calibri" w:hAnsi="Calibri"/>
          <w:sz w:val="22"/>
          <w:szCs w:val="22"/>
        </w:rPr>
        <w:t>.  We include</w:t>
      </w:r>
      <w:r w:rsidRPr="002D3278">
        <w:rPr>
          <w:rFonts w:ascii="Calibri" w:hAnsi="Calibri"/>
          <w:sz w:val="22"/>
          <w:szCs w:val="22"/>
        </w:rPr>
        <w:t xml:space="preserve"> more information about the Tracker</w:t>
      </w:r>
      <w:r w:rsidR="00203763" w:rsidRPr="002D3278">
        <w:rPr>
          <w:rFonts w:ascii="Calibri" w:hAnsi="Calibri"/>
          <w:sz w:val="22"/>
          <w:szCs w:val="22"/>
        </w:rPr>
        <w:t xml:space="preserve"> in this submission</w:t>
      </w:r>
      <w:r w:rsidRPr="002D3278">
        <w:rPr>
          <w:rFonts w:ascii="Calibri" w:hAnsi="Calibri"/>
          <w:sz w:val="22"/>
          <w:szCs w:val="22"/>
        </w:rPr>
        <w:t>.</w:t>
      </w:r>
      <w:r w:rsidR="00852584">
        <w:rPr>
          <w:rFonts w:ascii="Calibri" w:hAnsi="Calibri"/>
          <w:sz w:val="22"/>
          <w:szCs w:val="22"/>
        </w:rPr>
        <w:t xml:space="preserve">  We would be pleased to arrange a presentation of the AIST Mercer Super Tracker.</w:t>
      </w:r>
    </w:p>
    <w:p w14:paraId="03F6AD05" w14:textId="77777777" w:rsidR="008F0F61" w:rsidRPr="002D3278" w:rsidRDefault="008F0F61" w:rsidP="00573308">
      <w:pPr>
        <w:rPr>
          <w:rFonts w:ascii="Calibri" w:hAnsi="Calibri"/>
          <w:sz w:val="22"/>
          <w:szCs w:val="22"/>
        </w:rPr>
      </w:pPr>
    </w:p>
    <w:p w14:paraId="424A2287" w14:textId="2C3A1367" w:rsidR="00180677" w:rsidRPr="002D3278" w:rsidRDefault="00180677" w:rsidP="00573308">
      <w:pPr>
        <w:rPr>
          <w:rFonts w:ascii="Calibri" w:hAnsi="Calibri"/>
          <w:sz w:val="22"/>
          <w:szCs w:val="22"/>
        </w:rPr>
      </w:pPr>
      <w:r w:rsidRPr="002D3278">
        <w:rPr>
          <w:rFonts w:ascii="Calibri" w:hAnsi="Calibri"/>
          <w:sz w:val="22"/>
          <w:szCs w:val="22"/>
        </w:rPr>
        <w:t>This submission outlines:</w:t>
      </w:r>
    </w:p>
    <w:p w14:paraId="32EB9096" w14:textId="49D42EBF" w:rsidR="00180677" w:rsidRPr="003071B9" w:rsidRDefault="00180677" w:rsidP="000A1662">
      <w:pPr>
        <w:pStyle w:val="ListParagraph"/>
        <w:numPr>
          <w:ilvl w:val="0"/>
          <w:numId w:val="9"/>
        </w:numPr>
        <w:rPr>
          <w:rFonts w:ascii="Calibri" w:hAnsi="Calibri"/>
          <w:sz w:val="22"/>
          <w:szCs w:val="22"/>
        </w:rPr>
      </w:pPr>
      <w:r w:rsidRPr="003071B9">
        <w:rPr>
          <w:rFonts w:ascii="Calibri" w:hAnsi="Calibri"/>
          <w:sz w:val="22"/>
          <w:szCs w:val="22"/>
        </w:rPr>
        <w:t xml:space="preserve">How the AIST Mercer Super Tracker </w:t>
      </w:r>
      <w:r w:rsidR="00116FC3" w:rsidRPr="003071B9">
        <w:rPr>
          <w:rFonts w:ascii="Calibri" w:hAnsi="Calibri"/>
          <w:sz w:val="22"/>
          <w:szCs w:val="22"/>
        </w:rPr>
        <w:t>score</w:t>
      </w:r>
      <w:r w:rsidR="00C46829" w:rsidRPr="003071B9">
        <w:rPr>
          <w:rFonts w:ascii="Calibri" w:hAnsi="Calibri"/>
          <w:sz w:val="22"/>
          <w:szCs w:val="22"/>
        </w:rPr>
        <w:t>s</w:t>
      </w:r>
      <w:r w:rsidRPr="003071B9">
        <w:rPr>
          <w:rFonts w:ascii="Calibri" w:hAnsi="Calibri"/>
          <w:sz w:val="22"/>
          <w:szCs w:val="22"/>
        </w:rPr>
        <w:t xml:space="preserve"> Australia’s older workforce participation r</w:t>
      </w:r>
      <w:r w:rsidR="00203763" w:rsidRPr="003071B9">
        <w:rPr>
          <w:rFonts w:ascii="Calibri" w:hAnsi="Calibri"/>
          <w:sz w:val="22"/>
          <w:szCs w:val="22"/>
        </w:rPr>
        <w:t>ates.</w:t>
      </w:r>
    </w:p>
    <w:p w14:paraId="5D2F4393" w14:textId="30811BAE" w:rsidR="00C62023" w:rsidRPr="003071B9" w:rsidRDefault="00750B02" w:rsidP="00C62023">
      <w:pPr>
        <w:pStyle w:val="ListParagraph"/>
        <w:numPr>
          <w:ilvl w:val="0"/>
          <w:numId w:val="9"/>
        </w:numPr>
        <w:rPr>
          <w:rFonts w:ascii="Calibri" w:hAnsi="Calibri"/>
          <w:sz w:val="22"/>
          <w:szCs w:val="22"/>
        </w:rPr>
      </w:pPr>
      <w:r w:rsidRPr="003071B9">
        <w:rPr>
          <w:rFonts w:ascii="Calibri" w:hAnsi="Calibri"/>
          <w:sz w:val="22"/>
          <w:szCs w:val="22"/>
        </w:rPr>
        <w:t>Key statistics.</w:t>
      </w:r>
    </w:p>
    <w:p w14:paraId="33D0CCB0" w14:textId="3BB5A2DD" w:rsidR="00180677" w:rsidRPr="003071B9" w:rsidRDefault="00C46829" w:rsidP="000A1662">
      <w:pPr>
        <w:pStyle w:val="ListParagraph"/>
        <w:numPr>
          <w:ilvl w:val="0"/>
          <w:numId w:val="9"/>
        </w:numPr>
        <w:rPr>
          <w:rFonts w:ascii="Calibri" w:hAnsi="Calibri"/>
          <w:sz w:val="22"/>
          <w:szCs w:val="22"/>
        </w:rPr>
      </w:pPr>
      <w:r w:rsidRPr="003071B9">
        <w:rPr>
          <w:rFonts w:ascii="Calibri" w:hAnsi="Calibri"/>
          <w:sz w:val="22"/>
          <w:szCs w:val="22"/>
        </w:rPr>
        <w:t>Research commissioned by AIST</w:t>
      </w:r>
      <w:r w:rsidR="00180677" w:rsidRPr="003071B9">
        <w:rPr>
          <w:rFonts w:ascii="Calibri" w:hAnsi="Calibri"/>
          <w:sz w:val="22"/>
          <w:szCs w:val="22"/>
        </w:rPr>
        <w:t xml:space="preserve"> into the age of retirement and involuntary retirement.</w:t>
      </w:r>
    </w:p>
    <w:p w14:paraId="7473386D" w14:textId="7FA09D7C" w:rsidR="00116FC3" w:rsidRPr="003071B9" w:rsidRDefault="00116FC3" w:rsidP="000A1662">
      <w:pPr>
        <w:pStyle w:val="ListParagraph"/>
        <w:numPr>
          <w:ilvl w:val="0"/>
          <w:numId w:val="9"/>
        </w:numPr>
        <w:rPr>
          <w:rFonts w:ascii="Calibri" w:hAnsi="Calibri"/>
          <w:sz w:val="22"/>
          <w:szCs w:val="22"/>
        </w:rPr>
      </w:pPr>
      <w:r w:rsidRPr="003071B9">
        <w:rPr>
          <w:rFonts w:ascii="Calibri" w:hAnsi="Calibri"/>
          <w:sz w:val="22"/>
          <w:szCs w:val="22"/>
        </w:rPr>
        <w:t xml:space="preserve">Superannuation </w:t>
      </w:r>
      <w:r w:rsidR="00C46829" w:rsidRPr="003071B9">
        <w:rPr>
          <w:rFonts w:ascii="Calibri" w:hAnsi="Calibri"/>
          <w:sz w:val="22"/>
          <w:szCs w:val="22"/>
        </w:rPr>
        <w:t>policy affecting older workforce participation rates</w:t>
      </w:r>
      <w:r w:rsidRPr="003071B9">
        <w:rPr>
          <w:rFonts w:ascii="Calibri" w:hAnsi="Calibri"/>
          <w:sz w:val="22"/>
          <w:szCs w:val="22"/>
        </w:rPr>
        <w:t>.</w:t>
      </w:r>
    </w:p>
    <w:p w14:paraId="2F2EE056" w14:textId="346109C0" w:rsidR="008F0F61" w:rsidRDefault="008F0F61">
      <w:pPr>
        <w:rPr>
          <w:rFonts w:ascii="Calibri" w:hAnsi="Calibri"/>
          <w:sz w:val="22"/>
          <w:szCs w:val="22"/>
          <w:lang w:eastAsia="en-AU"/>
        </w:rPr>
      </w:pPr>
      <w:r>
        <w:br w:type="page"/>
      </w:r>
    </w:p>
    <w:p w14:paraId="0BC88233" w14:textId="77777777" w:rsidR="00AC0F59" w:rsidRPr="00AC0F59" w:rsidRDefault="00AC0F59" w:rsidP="00AC0F59">
      <w:pPr>
        <w:pStyle w:val="Heading2"/>
        <w:numPr>
          <w:ilvl w:val="0"/>
          <w:numId w:val="0"/>
        </w:numPr>
        <w:ind w:left="578"/>
        <w:rPr>
          <w:b w:val="0"/>
          <w:sz w:val="16"/>
          <w:szCs w:val="16"/>
        </w:rPr>
      </w:pPr>
      <w:bookmarkStart w:id="14" w:name="_Toc433986864"/>
    </w:p>
    <w:p w14:paraId="705EF88D" w14:textId="77777777" w:rsidR="000340A4" w:rsidRDefault="000340A4" w:rsidP="000340A4">
      <w:pPr>
        <w:pStyle w:val="Heading2"/>
        <w:numPr>
          <w:ilvl w:val="0"/>
          <w:numId w:val="0"/>
        </w:numPr>
        <w:ind w:left="578"/>
      </w:pPr>
    </w:p>
    <w:p w14:paraId="657F6E73" w14:textId="77777777" w:rsidR="000340A4" w:rsidRDefault="000340A4" w:rsidP="000340A4">
      <w:pPr>
        <w:pStyle w:val="Heading1"/>
      </w:pPr>
      <w:r>
        <w:t xml:space="preserve">AIST Mercer Super Tracker </w:t>
      </w:r>
      <w:r>
        <w:br/>
        <w:t>10 KPIs including older age workforce participation</w:t>
      </w:r>
    </w:p>
    <w:p w14:paraId="06722EF0" w14:textId="77777777" w:rsidR="000340A4" w:rsidRDefault="000340A4" w:rsidP="000340A4">
      <w:pPr>
        <w:pStyle w:val="Heading2"/>
        <w:numPr>
          <w:ilvl w:val="0"/>
          <w:numId w:val="0"/>
        </w:numPr>
        <w:ind w:left="578"/>
      </w:pPr>
    </w:p>
    <w:p w14:paraId="2EFB5925" w14:textId="2532329A" w:rsidR="00F65E2E" w:rsidRDefault="00F65E2E" w:rsidP="00F65E2E">
      <w:pPr>
        <w:pStyle w:val="Heading2"/>
        <w:ind w:left="578" w:hanging="578"/>
      </w:pPr>
      <w:r>
        <w:t>AIST Mercer Super Tracker</w:t>
      </w:r>
    </w:p>
    <w:p w14:paraId="46EEFC45" w14:textId="7B97B5A2" w:rsidR="00331259" w:rsidRDefault="00331259" w:rsidP="00331259">
      <w:pPr>
        <w:rPr>
          <w:rFonts w:ascii="Calibri" w:hAnsi="Calibri"/>
          <w:sz w:val="22"/>
          <w:szCs w:val="22"/>
        </w:rPr>
      </w:pPr>
      <w:r w:rsidRPr="00036CBB">
        <w:rPr>
          <w:rFonts w:ascii="Calibri" w:hAnsi="Calibri"/>
          <w:sz w:val="22"/>
          <w:szCs w:val="22"/>
        </w:rPr>
        <w:t xml:space="preserve">In 2015, AIST and Mercer developed a methodology for tracking the costs and benefits of the Australian superannuation system.  The result – AIST-Mercer Super Tracker – was launched at the 2015 Conference of Major Superannuation Funds (CMSF).  </w:t>
      </w:r>
    </w:p>
    <w:p w14:paraId="2153E6C1" w14:textId="77777777" w:rsidR="00036CBB" w:rsidRPr="00036CBB" w:rsidRDefault="00036CBB" w:rsidP="00331259">
      <w:pPr>
        <w:rPr>
          <w:rFonts w:ascii="Calibri" w:hAnsi="Calibri"/>
          <w:sz w:val="22"/>
          <w:szCs w:val="22"/>
        </w:rPr>
      </w:pPr>
    </w:p>
    <w:p w14:paraId="5950D0AF" w14:textId="1C84E150" w:rsidR="00331259" w:rsidRPr="00036CBB" w:rsidRDefault="00331259" w:rsidP="00331259">
      <w:pPr>
        <w:rPr>
          <w:rFonts w:ascii="Calibri" w:hAnsi="Calibri"/>
          <w:sz w:val="22"/>
          <w:szCs w:val="22"/>
        </w:rPr>
      </w:pPr>
      <w:r w:rsidRPr="00036CBB">
        <w:rPr>
          <w:rFonts w:ascii="Calibri" w:hAnsi="Calibri"/>
          <w:sz w:val="22"/>
          <w:szCs w:val="22"/>
        </w:rPr>
        <w:t>Our aim with developing the AIST-Mercer Super Tracker was</w:t>
      </w:r>
      <w:r w:rsidR="000A1662" w:rsidRPr="00036CBB">
        <w:rPr>
          <w:rFonts w:ascii="Calibri" w:hAnsi="Calibri"/>
          <w:sz w:val="22"/>
          <w:szCs w:val="22"/>
        </w:rPr>
        <w:t xml:space="preserve"> to:</w:t>
      </w:r>
    </w:p>
    <w:p w14:paraId="0C62BFD1" w14:textId="7940595B" w:rsidR="00331259" w:rsidRPr="003071B9" w:rsidRDefault="000A1662" w:rsidP="000A1662">
      <w:pPr>
        <w:pStyle w:val="ListParagraph"/>
        <w:numPr>
          <w:ilvl w:val="0"/>
          <w:numId w:val="5"/>
        </w:numPr>
        <w:rPr>
          <w:rFonts w:ascii="Calibri" w:hAnsi="Calibri"/>
          <w:sz w:val="22"/>
          <w:szCs w:val="22"/>
        </w:rPr>
      </w:pPr>
      <w:r w:rsidRPr="003071B9">
        <w:rPr>
          <w:rFonts w:ascii="Calibri" w:hAnsi="Calibri"/>
          <w:sz w:val="22"/>
          <w:szCs w:val="22"/>
        </w:rPr>
        <w:t>Develop</w:t>
      </w:r>
      <w:r w:rsidR="00331259" w:rsidRPr="003071B9">
        <w:rPr>
          <w:rFonts w:ascii="Calibri" w:hAnsi="Calibri"/>
          <w:sz w:val="22"/>
          <w:szCs w:val="22"/>
        </w:rPr>
        <w:t xml:space="preserve"> a robust tool </w:t>
      </w:r>
      <w:r w:rsidR="005D1F6B" w:rsidRPr="003071B9">
        <w:rPr>
          <w:rFonts w:ascii="Calibri" w:hAnsi="Calibri"/>
          <w:sz w:val="22"/>
          <w:szCs w:val="22"/>
        </w:rPr>
        <w:t>to</w:t>
      </w:r>
      <w:r w:rsidR="00331259" w:rsidRPr="003071B9">
        <w:rPr>
          <w:rFonts w:ascii="Calibri" w:hAnsi="Calibri"/>
          <w:sz w:val="22"/>
          <w:szCs w:val="22"/>
        </w:rPr>
        <w:t xml:space="preserve"> </w:t>
      </w:r>
      <w:r w:rsidRPr="003071B9">
        <w:rPr>
          <w:rFonts w:ascii="Calibri" w:hAnsi="Calibri"/>
          <w:sz w:val="22"/>
          <w:szCs w:val="22"/>
        </w:rPr>
        <w:t xml:space="preserve">provide a consistent way to examine </w:t>
      </w:r>
      <w:r w:rsidR="00C62023" w:rsidRPr="003071B9">
        <w:rPr>
          <w:rFonts w:ascii="Calibri" w:hAnsi="Calibri"/>
          <w:sz w:val="22"/>
          <w:szCs w:val="22"/>
        </w:rPr>
        <w:t xml:space="preserve">Australian </w:t>
      </w:r>
      <w:r w:rsidRPr="003071B9">
        <w:rPr>
          <w:rFonts w:ascii="Calibri" w:hAnsi="Calibri"/>
          <w:sz w:val="22"/>
          <w:szCs w:val="22"/>
        </w:rPr>
        <w:t>superannuation at system level.</w:t>
      </w:r>
    </w:p>
    <w:p w14:paraId="20247F6A" w14:textId="13017BF5" w:rsidR="000A1662" w:rsidRPr="003071B9" w:rsidRDefault="000A1662" w:rsidP="000A1662">
      <w:pPr>
        <w:pStyle w:val="ListParagraph"/>
        <w:numPr>
          <w:ilvl w:val="0"/>
          <w:numId w:val="5"/>
        </w:numPr>
        <w:rPr>
          <w:rFonts w:ascii="Calibri" w:hAnsi="Calibri"/>
          <w:sz w:val="22"/>
          <w:szCs w:val="22"/>
        </w:rPr>
      </w:pPr>
      <w:r w:rsidRPr="003071B9">
        <w:rPr>
          <w:rFonts w:ascii="Calibri" w:hAnsi="Calibri"/>
          <w:sz w:val="22"/>
          <w:szCs w:val="22"/>
        </w:rPr>
        <w:t>Track adequacy and sustainability of the superannuation system.</w:t>
      </w:r>
    </w:p>
    <w:p w14:paraId="22CFA534" w14:textId="1678FF50" w:rsidR="000A1662" w:rsidRPr="003071B9" w:rsidRDefault="000A1662" w:rsidP="000A1662">
      <w:pPr>
        <w:pStyle w:val="ListParagraph"/>
        <w:numPr>
          <w:ilvl w:val="0"/>
          <w:numId w:val="5"/>
        </w:numPr>
        <w:rPr>
          <w:rFonts w:ascii="Calibri" w:hAnsi="Calibri"/>
          <w:sz w:val="22"/>
          <w:szCs w:val="22"/>
        </w:rPr>
      </w:pPr>
      <w:r w:rsidRPr="003071B9">
        <w:rPr>
          <w:rFonts w:ascii="Calibri" w:hAnsi="Calibri"/>
          <w:sz w:val="22"/>
          <w:szCs w:val="22"/>
        </w:rPr>
        <w:t>Identify which areas of the superannuation system may need attention.</w:t>
      </w:r>
    </w:p>
    <w:p w14:paraId="43655A2A" w14:textId="2B13133D" w:rsidR="00331259" w:rsidRPr="003071B9" w:rsidRDefault="009C4D7D" w:rsidP="000A1662">
      <w:pPr>
        <w:pStyle w:val="ListParagraph"/>
        <w:numPr>
          <w:ilvl w:val="0"/>
          <w:numId w:val="5"/>
        </w:numPr>
        <w:rPr>
          <w:rFonts w:ascii="Calibri" w:hAnsi="Calibri"/>
          <w:sz w:val="22"/>
          <w:szCs w:val="22"/>
        </w:rPr>
      </w:pPr>
      <w:r w:rsidRPr="003071B9">
        <w:rPr>
          <w:rFonts w:ascii="Calibri" w:hAnsi="Calibri"/>
          <w:sz w:val="22"/>
          <w:szCs w:val="22"/>
        </w:rPr>
        <w:t>Road test</w:t>
      </w:r>
      <w:r w:rsidR="00331259" w:rsidRPr="003071B9">
        <w:rPr>
          <w:rFonts w:ascii="Calibri" w:hAnsi="Calibri"/>
          <w:sz w:val="22"/>
          <w:szCs w:val="22"/>
        </w:rPr>
        <w:t xml:space="preserve"> the impact of policy changes on a series of metrics.  AIST believes that proposed superannuation policies should be road-tested on the grounds of key drivers such as adequacy, fairness, gender impacts on retirement savings, and sustainability.</w:t>
      </w:r>
    </w:p>
    <w:p w14:paraId="28218D85" w14:textId="77777777" w:rsidR="00301C34" w:rsidRDefault="00301C34" w:rsidP="00331259">
      <w:pPr>
        <w:rPr>
          <w:rFonts w:ascii="Calibri" w:hAnsi="Calibri"/>
          <w:sz w:val="22"/>
          <w:szCs w:val="22"/>
        </w:rPr>
      </w:pPr>
    </w:p>
    <w:p w14:paraId="2240E1AA" w14:textId="77777777" w:rsidR="00331259" w:rsidRDefault="00331259" w:rsidP="00331259">
      <w:pPr>
        <w:rPr>
          <w:rFonts w:ascii="Calibri" w:hAnsi="Calibri"/>
          <w:sz w:val="22"/>
          <w:szCs w:val="22"/>
        </w:rPr>
      </w:pPr>
      <w:r w:rsidRPr="00036CBB">
        <w:rPr>
          <w:rFonts w:ascii="Calibri" w:hAnsi="Calibri"/>
          <w:sz w:val="22"/>
          <w:szCs w:val="22"/>
        </w:rPr>
        <w:t>AIST believes that such a tool is one methodology for measuring the costs and benefits of the superannuation system.  Such a tool- or indeed any form of metrics – can work best only where the key objectives of the system, which the tool is examining are known, accepted, and applied.</w:t>
      </w:r>
    </w:p>
    <w:p w14:paraId="2AC844F8" w14:textId="77777777" w:rsidR="00036CBB" w:rsidRPr="00036CBB" w:rsidRDefault="00036CBB" w:rsidP="00331259">
      <w:pPr>
        <w:rPr>
          <w:rFonts w:ascii="Calibri" w:hAnsi="Calibri"/>
          <w:sz w:val="22"/>
          <w:szCs w:val="22"/>
        </w:rPr>
      </w:pPr>
    </w:p>
    <w:p w14:paraId="2E1DF985" w14:textId="4B652DF9" w:rsidR="00331259" w:rsidRDefault="00331259" w:rsidP="00331259">
      <w:pPr>
        <w:rPr>
          <w:rFonts w:ascii="Calibri" w:hAnsi="Calibri"/>
          <w:sz w:val="22"/>
          <w:szCs w:val="22"/>
        </w:rPr>
      </w:pPr>
      <w:r w:rsidRPr="00036CBB">
        <w:rPr>
          <w:rFonts w:ascii="Calibri" w:hAnsi="Calibri"/>
          <w:sz w:val="22"/>
          <w:szCs w:val="22"/>
        </w:rPr>
        <w:t xml:space="preserve">The Super Tracker was developed as a model that could be used dynamically to model the progress of Australia’s retirement system based upon the available evidence and to determine the impact of potential policy changes that may affect the ongoing development of the system.  </w:t>
      </w:r>
      <w:r w:rsidR="00C62023" w:rsidRPr="00036CBB">
        <w:rPr>
          <w:rFonts w:ascii="Calibri" w:hAnsi="Calibri"/>
          <w:sz w:val="22"/>
          <w:szCs w:val="22"/>
        </w:rPr>
        <w:t xml:space="preserve">The Super Tracker does not examine how the Australian superannuation system compares with the systems of other countries – but examines how each of the ten KPIs compare with each other within the Australian system. </w:t>
      </w:r>
    </w:p>
    <w:p w14:paraId="600AA32D" w14:textId="77777777" w:rsidR="00036CBB" w:rsidRPr="00036CBB" w:rsidRDefault="00036CBB" w:rsidP="00331259">
      <w:pPr>
        <w:rPr>
          <w:rFonts w:ascii="Calibri" w:hAnsi="Calibri"/>
          <w:sz w:val="22"/>
          <w:szCs w:val="22"/>
        </w:rPr>
      </w:pPr>
    </w:p>
    <w:p w14:paraId="1322E153" w14:textId="77777777" w:rsidR="00036CBB" w:rsidRDefault="00331259" w:rsidP="00331259">
      <w:pPr>
        <w:rPr>
          <w:rFonts w:ascii="Calibri" w:hAnsi="Calibri"/>
          <w:sz w:val="22"/>
          <w:szCs w:val="22"/>
        </w:rPr>
      </w:pPr>
      <w:r w:rsidRPr="00036CBB">
        <w:rPr>
          <w:rFonts w:ascii="Calibri" w:hAnsi="Calibri"/>
          <w:sz w:val="22"/>
          <w:szCs w:val="22"/>
        </w:rPr>
        <w:t xml:space="preserve">The Super Tracker examines a number of areas that affect the sustainability and adequacy of Australia’s superannuation system.  Currently, the Super Tracker rates the Australian superannuation system as having a rating of </w:t>
      </w:r>
      <w:r w:rsidR="000A1662" w:rsidRPr="00036CBB">
        <w:rPr>
          <w:rFonts w:ascii="Calibri" w:hAnsi="Calibri"/>
          <w:sz w:val="22"/>
          <w:szCs w:val="22"/>
        </w:rPr>
        <w:t>67.5</w:t>
      </w:r>
      <w:r w:rsidRPr="00036CBB">
        <w:rPr>
          <w:rFonts w:ascii="Calibri" w:hAnsi="Calibri"/>
          <w:sz w:val="22"/>
          <w:szCs w:val="22"/>
        </w:rPr>
        <w:t xml:space="preserve"> out of a possible 100.  This recognises that Australia’s retirement income system has many attractive features.  However, the Super Tracker identifies a number of areas where we believe improvements could be made.  </w:t>
      </w:r>
    </w:p>
    <w:p w14:paraId="527FC31A" w14:textId="77777777" w:rsidR="00036CBB" w:rsidRDefault="00036CBB" w:rsidP="00331259">
      <w:pPr>
        <w:rPr>
          <w:rFonts w:ascii="Calibri" w:hAnsi="Calibri"/>
          <w:sz w:val="22"/>
          <w:szCs w:val="22"/>
        </w:rPr>
      </w:pPr>
    </w:p>
    <w:p w14:paraId="4EFA3716" w14:textId="3C2AD6D0" w:rsidR="00331259" w:rsidRPr="00036CBB" w:rsidRDefault="00331259" w:rsidP="00331259">
      <w:pPr>
        <w:rPr>
          <w:rFonts w:ascii="Calibri" w:hAnsi="Calibri"/>
          <w:sz w:val="22"/>
          <w:szCs w:val="22"/>
        </w:rPr>
      </w:pPr>
      <w:r w:rsidRPr="00036CBB">
        <w:rPr>
          <w:rFonts w:ascii="Calibri" w:hAnsi="Calibri"/>
          <w:sz w:val="22"/>
          <w:szCs w:val="22"/>
        </w:rPr>
        <w:t>The metrics used within the Super Tracker and their impact on Australia’s rating are provided in the following table.</w:t>
      </w:r>
    </w:p>
    <w:p w14:paraId="54FA36BC" w14:textId="517F875F" w:rsidR="00331259" w:rsidRDefault="00811B58" w:rsidP="00EA769D">
      <w:pPr>
        <w:pStyle w:val="Heading2"/>
        <w:numPr>
          <w:ilvl w:val="0"/>
          <w:numId w:val="0"/>
        </w:numPr>
        <w:ind w:left="-284"/>
      </w:pPr>
      <w:r>
        <w:rPr>
          <w:noProof/>
          <w:lang w:eastAsia="en-AU"/>
        </w:rPr>
        <w:lastRenderedPageBreak/>
        <w:drawing>
          <wp:inline distT="0" distB="0" distL="0" distR="0" wp14:anchorId="6EBC35B0" wp14:editId="660F24FD">
            <wp:extent cx="5942023" cy="3882602"/>
            <wp:effectExtent l="0" t="0" r="1905"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414" cy="3885471"/>
                    </a:xfrm>
                    <a:prstGeom prst="rect">
                      <a:avLst/>
                    </a:prstGeom>
                    <a:noFill/>
                    <a:ln>
                      <a:noFill/>
                    </a:ln>
                  </pic:spPr>
                </pic:pic>
              </a:graphicData>
            </a:graphic>
          </wp:inline>
        </w:drawing>
      </w:r>
    </w:p>
    <w:p w14:paraId="72AEF5B7" w14:textId="4A7D7248" w:rsidR="002C3ED6" w:rsidRDefault="005D1F6B" w:rsidP="002C3ED6">
      <w:pPr>
        <w:rPr>
          <w:rFonts w:ascii="Calibri" w:hAnsi="Calibri"/>
          <w:sz w:val="22"/>
          <w:szCs w:val="22"/>
        </w:rPr>
      </w:pPr>
      <w:r w:rsidRPr="00DE7F99">
        <w:rPr>
          <w:rFonts w:ascii="Calibri" w:hAnsi="Calibri"/>
          <w:sz w:val="22"/>
          <w:szCs w:val="22"/>
        </w:rPr>
        <w:t>It may be seen from this table that of the ten KPIs, labour force participation rates at older ages has the fourth lowest score.  At the time the Tracker was developed in March 2015, the labour force participation score was 5.53 (the third lowest score).  Since that time, the score has s</w:t>
      </w:r>
      <w:r w:rsidR="002C3ED6" w:rsidRPr="00DE7F99">
        <w:rPr>
          <w:rFonts w:ascii="Calibri" w:hAnsi="Calibri"/>
          <w:sz w:val="22"/>
          <w:szCs w:val="22"/>
        </w:rPr>
        <w:t xml:space="preserve">lightly increased, based on the following older workforce participation rate data: </w:t>
      </w:r>
    </w:p>
    <w:p w14:paraId="2A3F0162" w14:textId="77777777" w:rsidR="00301C34" w:rsidRPr="00DE7F99" w:rsidRDefault="00301C34" w:rsidP="002C3ED6">
      <w:pPr>
        <w:rPr>
          <w:rFonts w:ascii="Calibri" w:hAnsi="Calibri" w:cs="Arial"/>
          <w:color w:val="000000"/>
          <w:sz w:val="22"/>
          <w:szCs w:val="22"/>
          <w:lang w:val="en-US"/>
        </w:rPr>
      </w:pPr>
    </w:p>
    <w:tbl>
      <w:tblPr>
        <w:tblW w:w="9214" w:type="dxa"/>
        <w:tblInd w:w="108" w:type="dxa"/>
        <w:tblLayout w:type="fixed"/>
        <w:tblLook w:val="04A0" w:firstRow="1" w:lastRow="0" w:firstColumn="1" w:lastColumn="0" w:noHBand="0" w:noVBand="1"/>
      </w:tblPr>
      <w:tblGrid>
        <w:gridCol w:w="1701"/>
        <w:gridCol w:w="2977"/>
        <w:gridCol w:w="4536"/>
      </w:tblGrid>
      <w:tr w:rsidR="002C3ED6" w:rsidRPr="00DE7F99" w14:paraId="6F6C59DB" w14:textId="77777777" w:rsidTr="002C3ED6">
        <w:tc>
          <w:tcPr>
            <w:tcW w:w="1701" w:type="dxa"/>
          </w:tcPr>
          <w:p w14:paraId="0B63FBDA" w14:textId="2AC025A3" w:rsidR="002C3ED6" w:rsidRPr="00DE7F99" w:rsidRDefault="002C3ED6" w:rsidP="002C3ED6">
            <w:pPr>
              <w:jc w:val="center"/>
              <w:rPr>
                <w:rFonts w:ascii="Calibri" w:hAnsi="Calibri" w:cs="Arial"/>
                <w:b/>
                <w:sz w:val="22"/>
                <w:szCs w:val="22"/>
                <w:lang w:val="en-US"/>
              </w:rPr>
            </w:pPr>
            <w:r w:rsidRPr="00DE7F99">
              <w:rPr>
                <w:rFonts w:ascii="Calibri" w:hAnsi="Calibri" w:cs="Arial"/>
                <w:b/>
                <w:sz w:val="22"/>
                <w:szCs w:val="22"/>
                <w:lang w:val="en-US"/>
              </w:rPr>
              <w:t>Age group</w:t>
            </w:r>
          </w:p>
        </w:tc>
        <w:tc>
          <w:tcPr>
            <w:tcW w:w="2977" w:type="dxa"/>
          </w:tcPr>
          <w:p w14:paraId="15C18FC6" w14:textId="36015EF7" w:rsidR="002C3ED6" w:rsidRPr="00DE7F99" w:rsidRDefault="002C3ED6" w:rsidP="002C3ED6">
            <w:pPr>
              <w:jc w:val="center"/>
              <w:rPr>
                <w:rFonts w:ascii="Calibri" w:hAnsi="Calibri" w:cs="Arial"/>
                <w:b/>
                <w:sz w:val="22"/>
                <w:szCs w:val="22"/>
                <w:lang w:val="en-US"/>
              </w:rPr>
            </w:pPr>
            <w:r w:rsidRPr="00DE7F99">
              <w:rPr>
                <w:rFonts w:ascii="Calibri" w:hAnsi="Calibri" w:cs="Arial"/>
                <w:b/>
                <w:sz w:val="22"/>
                <w:szCs w:val="22"/>
                <w:lang w:val="en-US"/>
              </w:rPr>
              <w:t>Nov 2014 (previous Tracker)</w:t>
            </w:r>
          </w:p>
        </w:tc>
        <w:tc>
          <w:tcPr>
            <w:tcW w:w="4536" w:type="dxa"/>
          </w:tcPr>
          <w:p w14:paraId="3DB54D89" w14:textId="27D1F897" w:rsidR="002C3ED6" w:rsidRPr="00DE7F99" w:rsidRDefault="002C3ED6" w:rsidP="002C3ED6">
            <w:pPr>
              <w:jc w:val="center"/>
              <w:rPr>
                <w:rFonts w:ascii="Calibri" w:hAnsi="Calibri" w:cs="Arial"/>
                <w:b/>
                <w:sz w:val="22"/>
                <w:szCs w:val="22"/>
                <w:lang w:val="en-US"/>
              </w:rPr>
            </w:pPr>
            <w:r w:rsidRPr="00DE7F99">
              <w:rPr>
                <w:rFonts w:ascii="Calibri" w:hAnsi="Calibri" w:cs="Arial"/>
                <w:b/>
                <w:sz w:val="22"/>
                <w:szCs w:val="22"/>
                <w:lang w:val="en-US"/>
              </w:rPr>
              <w:t>Oct 2015 (new results)</w:t>
            </w:r>
          </w:p>
        </w:tc>
      </w:tr>
      <w:tr w:rsidR="002C3ED6" w:rsidRPr="00DE7F99" w14:paraId="7BF757AE" w14:textId="77777777" w:rsidTr="002C3ED6">
        <w:trPr>
          <w:trHeight w:val="224"/>
        </w:trPr>
        <w:tc>
          <w:tcPr>
            <w:tcW w:w="1701" w:type="dxa"/>
          </w:tcPr>
          <w:p w14:paraId="4D15676B" w14:textId="61EFBC6F" w:rsidR="002C3ED6" w:rsidRPr="00DE7F99" w:rsidRDefault="002C3ED6" w:rsidP="002C3ED6">
            <w:pPr>
              <w:jc w:val="center"/>
              <w:rPr>
                <w:rFonts w:ascii="Calibri" w:hAnsi="Calibri" w:cs="Arial"/>
                <w:sz w:val="22"/>
                <w:szCs w:val="22"/>
                <w:lang w:val="en-US"/>
              </w:rPr>
            </w:pPr>
            <w:r w:rsidRPr="00DE7F99">
              <w:rPr>
                <w:rFonts w:ascii="Calibri" w:hAnsi="Calibri" w:cs="Arial"/>
                <w:sz w:val="22"/>
                <w:szCs w:val="22"/>
                <w:lang w:val="en-US"/>
              </w:rPr>
              <w:t>55-59</w:t>
            </w:r>
          </w:p>
        </w:tc>
        <w:tc>
          <w:tcPr>
            <w:tcW w:w="2977" w:type="dxa"/>
          </w:tcPr>
          <w:p w14:paraId="492D40BF" w14:textId="1B01ECAC" w:rsidR="002C3ED6" w:rsidRPr="00DE7F99" w:rsidRDefault="002C3ED6" w:rsidP="002C3ED6">
            <w:pPr>
              <w:jc w:val="center"/>
              <w:rPr>
                <w:rFonts w:ascii="Calibri" w:hAnsi="Calibri" w:cs="Arial"/>
                <w:sz w:val="22"/>
                <w:szCs w:val="22"/>
                <w:lang w:val="en-US"/>
              </w:rPr>
            </w:pPr>
            <w:r w:rsidRPr="00DE7F99">
              <w:rPr>
                <w:rFonts w:ascii="Calibri" w:hAnsi="Calibri" w:cs="Arial"/>
                <w:sz w:val="22"/>
                <w:szCs w:val="22"/>
                <w:lang w:val="en-US"/>
              </w:rPr>
              <w:t>73.0%</w:t>
            </w:r>
          </w:p>
        </w:tc>
        <w:tc>
          <w:tcPr>
            <w:tcW w:w="4536" w:type="dxa"/>
          </w:tcPr>
          <w:p w14:paraId="6819C729" w14:textId="6C3F5060" w:rsidR="002C3ED6" w:rsidRPr="00DE7F99" w:rsidRDefault="002C3ED6" w:rsidP="002C3ED6">
            <w:pPr>
              <w:jc w:val="center"/>
              <w:rPr>
                <w:rFonts w:ascii="Calibri" w:hAnsi="Calibri" w:cs="Arial"/>
                <w:sz w:val="22"/>
                <w:szCs w:val="22"/>
                <w:lang w:val="en-US"/>
              </w:rPr>
            </w:pPr>
            <w:r w:rsidRPr="00DE7F99">
              <w:rPr>
                <w:rFonts w:ascii="Calibri" w:hAnsi="Calibri" w:cs="Arial"/>
                <w:sz w:val="22"/>
                <w:szCs w:val="22"/>
                <w:lang w:val="en-US"/>
              </w:rPr>
              <w:t>74.0%</w:t>
            </w:r>
          </w:p>
        </w:tc>
      </w:tr>
      <w:tr w:rsidR="002C3ED6" w:rsidRPr="00DE7F99" w14:paraId="1D69065F" w14:textId="77777777" w:rsidTr="002C3ED6">
        <w:tc>
          <w:tcPr>
            <w:tcW w:w="1701" w:type="dxa"/>
          </w:tcPr>
          <w:p w14:paraId="5AEBBB4D" w14:textId="20D35247" w:rsidR="002C3ED6" w:rsidRPr="00DE7F99" w:rsidRDefault="002C3ED6" w:rsidP="002C3ED6">
            <w:pPr>
              <w:jc w:val="center"/>
              <w:rPr>
                <w:rFonts w:ascii="Calibri" w:hAnsi="Calibri" w:cs="Arial"/>
                <w:sz w:val="22"/>
                <w:szCs w:val="22"/>
                <w:lang w:val="en-US"/>
              </w:rPr>
            </w:pPr>
            <w:r w:rsidRPr="00DE7F99">
              <w:rPr>
                <w:rFonts w:ascii="Calibri" w:hAnsi="Calibri" w:cs="Arial"/>
                <w:sz w:val="22"/>
                <w:szCs w:val="22"/>
                <w:lang w:val="en-US"/>
              </w:rPr>
              <w:t>60-64</w:t>
            </w:r>
          </w:p>
        </w:tc>
        <w:tc>
          <w:tcPr>
            <w:tcW w:w="2977" w:type="dxa"/>
          </w:tcPr>
          <w:p w14:paraId="207D5403" w14:textId="77D2B39C" w:rsidR="002C3ED6" w:rsidRPr="00DE7F99" w:rsidRDefault="002C3ED6" w:rsidP="002C3ED6">
            <w:pPr>
              <w:jc w:val="center"/>
              <w:rPr>
                <w:rFonts w:ascii="Calibri" w:hAnsi="Calibri" w:cs="Arial"/>
                <w:sz w:val="22"/>
                <w:szCs w:val="22"/>
                <w:lang w:val="en-US"/>
              </w:rPr>
            </w:pPr>
            <w:r w:rsidRPr="00DE7F99">
              <w:rPr>
                <w:rFonts w:ascii="Calibri" w:hAnsi="Calibri" w:cs="Arial"/>
                <w:sz w:val="22"/>
                <w:szCs w:val="22"/>
                <w:lang w:val="en-US"/>
              </w:rPr>
              <w:t>53.7%</w:t>
            </w:r>
          </w:p>
        </w:tc>
        <w:tc>
          <w:tcPr>
            <w:tcW w:w="4536" w:type="dxa"/>
          </w:tcPr>
          <w:p w14:paraId="030CC52B" w14:textId="16936A07" w:rsidR="002C3ED6" w:rsidRPr="00DE7F99" w:rsidRDefault="002C3ED6" w:rsidP="002C3ED6">
            <w:pPr>
              <w:jc w:val="center"/>
              <w:rPr>
                <w:rFonts w:ascii="Calibri" w:hAnsi="Calibri" w:cs="Arial"/>
                <w:sz w:val="22"/>
                <w:szCs w:val="22"/>
                <w:lang w:val="en-US"/>
              </w:rPr>
            </w:pPr>
            <w:r w:rsidRPr="00DE7F99">
              <w:rPr>
                <w:rFonts w:ascii="Calibri" w:hAnsi="Calibri" w:cs="Arial"/>
                <w:sz w:val="22"/>
                <w:szCs w:val="22"/>
                <w:lang w:val="en-US"/>
              </w:rPr>
              <w:t>56.8%</w:t>
            </w:r>
          </w:p>
        </w:tc>
      </w:tr>
      <w:tr w:rsidR="002C3ED6" w:rsidRPr="00DE7F99" w14:paraId="07653AE1" w14:textId="77777777" w:rsidTr="002C3ED6">
        <w:tc>
          <w:tcPr>
            <w:tcW w:w="1701" w:type="dxa"/>
          </w:tcPr>
          <w:p w14:paraId="4D2A1913" w14:textId="78476518" w:rsidR="002C3ED6" w:rsidRPr="00DE7F99" w:rsidRDefault="002C3ED6" w:rsidP="002C3ED6">
            <w:pPr>
              <w:jc w:val="center"/>
              <w:rPr>
                <w:rFonts w:ascii="Calibri" w:hAnsi="Calibri" w:cs="Arial"/>
                <w:sz w:val="22"/>
                <w:szCs w:val="22"/>
                <w:lang w:val="en-US"/>
              </w:rPr>
            </w:pPr>
            <w:r w:rsidRPr="00DE7F99">
              <w:rPr>
                <w:rFonts w:ascii="Calibri" w:hAnsi="Calibri" w:cs="Arial"/>
                <w:sz w:val="22"/>
                <w:szCs w:val="22"/>
                <w:lang w:val="en-US"/>
              </w:rPr>
              <w:t>65+</w:t>
            </w:r>
          </w:p>
        </w:tc>
        <w:tc>
          <w:tcPr>
            <w:tcW w:w="2977" w:type="dxa"/>
          </w:tcPr>
          <w:p w14:paraId="6310BB87" w14:textId="51A57E83" w:rsidR="002C3ED6" w:rsidRPr="00DE7F99" w:rsidRDefault="002C3ED6" w:rsidP="002C3ED6">
            <w:pPr>
              <w:jc w:val="center"/>
              <w:rPr>
                <w:rFonts w:ascii="Calibri" w:hAnsi="Calibri" w:cs="Arial"/>
                <w:sz w:val="22"/>
                <w:szCs w:val="22"/>
                <w:lang w:val="en-US"/>
              </w:rPr>
            </w:pPr>
            <w:r w:rsidRPr="00DE7F99">
              <w:rPr>
                <w:rFonts w:ascii="Calibri" w:hAnsi="Calibri" w:cs="Arial"/>
                <w:sz w:val="22"/>
                <w:szCs w:val="22"/>
                <w:lang w:val="en-US"/>
              </w:rPr>
              <w:t>12.4%</w:t>
            </w:r>
          </w:p>
        </w:tc>
        <w:tc>
          <w:tcPr>
            <w:tcW w:w="4536" w:type="dxa"/>
          </w:tcPr>
          <w:p w14:paraId="13F70AC7" w14:textId="30ABF4F5" w:rsidR="002C3ED6" w:rsidRPr="00DE7F99" w:rsidRDefault="002C3ED6" w:rsidP="002C3ED6">
            <w:pPr>
              <w:jc w:val="center"/>
              <w:rPr>
                <w:rFonts w:ascii="Calibri" w:hAnsi="Calibri" w:cs="Arial"/>
                <w:sz w:val="22"/>
                <w:szCs w:val="22"/>
                <w:lang w:val="en-US"/>
              </w:rPr>
            </w:pPr>
            <w:r w:rsidRPr="00DE7F99">
              <w:rPr>
                <w:rFonts w:ascii="Calibri" w:hAnsi="Calibri" w:cs="Arial"/>
                <w:sz w:val="22"/>
                <w:szCs w:val="22"/>
                <w:lang w:val="en-US"/>
              </w:rPr>
              <w:t>12.5%</w:t>
            </w:r>
          </w:p>
        </w:tc>
      </w:tr>
    </w:tbl>
    <w:p w14:paraId="36D77A05" w14:textId="431CFCE2" w:rsidR="005D1F6B" w:rsidRPr="00DE7F99" w:rsidRDefault="00BF0FD8" w:rsidP="005D1F6B">
      <w:pPr>
        <w:shd w:val="clear" w:color="auto" w:fill="FFFFFF"/>
        <w:spacing w:after="100"/>
        <w:rPr>
          <w:rFonts w:ascii="Calibri" w:hAnsi="Calibri"/>
          <w:sz w:val="22"/>
          <w:szCs w:val="22"/>
        </w:rPr>
      </w:pPr>
      <w:r w:rsidRPr="00DE7F99">
        <w:rPr>
          <w:rFonts w:ascii="Calibri" w:hAnsi="Calibri"/>
          <w:sz w:val="22"/>
          <w:szCs w:val="22"/>
        </w:rPr>
        <w:br/>
      </w:r>
      <w:r w:rsidR="002C3ED6" w:rsidRPr="00DE7F99">
        <w:rPr>
          <w:rFonts w:ascii="Calibri" w:hAnsi="Calibri"/>
          <w:sz w:val="22"/>
          <w:szCs w:val="22"/>
        </w:rPr>
        <w:t xml:space="preserve">We note that the </w:t>
      </w:r>
      <w:r w:rsidR="005D1F6B" w:rsidRPr="00DE7F99">
        <w:rPr>
          <w:rFonts w:ascii="Calibri" w:hAnsi="Calibri"/>
          <w:sz w:val="22"/>
          <w:szCs w:val="22"/>
        </w:rPr>
        <w:t>big jump is in the 60-64 age group</w:t>
      </w:r>
      <w:r w:rsidR="002C3ED6" w:rsidRPr="00DE7F99">
        <w:rPr>
          <w:rFonts w:ascii="Calibri" w:hAnsi="Calibri"/>
          <w:sz w:val="22"/>
          <w:szCs w:val="22"/>
        </w:rPr>
        <w:t>,</w:t>
      </w:r>
      <w:r w:rsidR="005D1F6B" w:rsidRPr="00DE7F99">
        <w:rPr>
          <w:rFonts w:ascii="Calibri" w:hAnsi="Calibri"/>
          <w:sz w:val="22"/>
          <w:szCs w:val="22"/>
        </w:rPr>
        <w:t xml:space="preserve"> but </w:t>
      </w:r>
      <w:r w:rsidR="002C3ED6" w:rsidRPr="00DE7F99">
        <w:rPr>
          <w:rFonts w:ascii="Calibri" w:hAnsi="Calibri"/>
          <w:sz w:val="22"/>
          <w:szCs w:val="22"/>
        </w:rPr>
        <w:t xml:space="preserve">that </w:t>
      </w:r>
      <w:r w:rsidR="005D1F6B" w:rsidRPr="00DE7F99">
        <w:rPr>
          <w:rFonts w:ascii="Calibri" w:hAnsi="Calibri"/>
          <w:sz w:val="22"/>
          <w:szCs w:val="22"/>
        </w:rPr>
        <w:t>this number moves around a fair bit.  For example, it jumped from 55.5% to 56.8%</w:t>
      </w:r>
      <w:r w:rsidR="002C3ED6" w:rsidRPr="00DE7F99">
        <w:rPr>
          <w:rFonts w:ascii="Calibri" w:hAnsi="Calibri"/>
          <w:sz w:val="22"/>
          <w:szCs w:val="22"/>
        </w:rPr>
        <w:t xml:space="preserve"> from September 2015 to October 2015.</w:t>
      </w:r>
    </w:p>
    <w:p w14:paraId="257E6F3C" w14:textId="7E7E27A3" w:rsidR="000340A4" w:rsidRDefault="005D1F6B">
      <w:pPr>
        <w:rPr>
          <w:rFonts w:ascii="Calibri" w:hAnsi="Calibri"/>
          <w:sz w:val="22"/>
          <w:szCs w:val="22"/>
        </w:rPr>
      </w:pPr>
      <w:r w:rsidRPr="00DE7F99">
        <w:rPr>
          <w:rFonts w:ascii="Calibri" w:hAnsi="Calibri"/>
          <w:sz w:val="22"/>
          <w:szCs w:val="22"/>
        </w:rPr>
        <w:t>In other submissions, AIST has also highlighted issues associated with the relatively low scores for the fairness of the system (the worst score)</w:t>
      </w:r>
      <w:r w:rsidR="002C3ED6" w:rsidRPr="00DE7F99">
        <w:rPr>
          <w:rStyle w:val="FootnoteReference"/>
          <w:rFonts w:ascii="Calibri" w:hAnsi="Calibri"/>
          <w:sz w:val="22"/>
          <w:szCs w:val="22"/>
        </w:rPr>
        <w:footnoteReference w:id="2"/>
      </w:r>
      <w:r w:rsidRPr="00DE7F99">
        <w:rPr>
          <w:rFonts w:ascii="Calibri" w:hAnsi="Calibri"/>
          <w:sz w:val="22"/>
          <w:szCs w:val="22"/>
        </w:rPr>
        <w:t xml:space="preserve"> and the gender gap</w:t>
      </w:r>
      <w:r w:rsidR="00BF0FD8" w:rsidRPr="00DE7F99">
        <w:rPr>
          <w:rStyle w:val="FootnoteReference"/>
          <w:rFonts w:ascii="Calibri" w:hAnsi="Calibri"/>
          <w:sz w:val="22"/>
          <w:szCs w:val="22"/>
        </w:rPr>
        <w:footnoteReference w:id="3"/>
      </w:r>
      <w:r w:rsidRPr="00DE7F99">
        <w:rPr>
          <w:rFonts w:ascii="Calibri" w:hAnsi="Calibri"/>
          <w:sz w:val="22"/>
          <w:szCs w:val="22"/>
        </w:rPr>
        <w:t xml:space="preserve"> score.</w:t>
      </w:r>
      <w:r w:rsidR="00AC0F59" w:rsidRPr="00DE7F99">
        <w:rPr>
          <w:rFonts w:ascii="Calibri" w:hAnsi="Calibri"/>
          <w:sz w:val="22"/>
          <w:szCs w:val="22"/>
        </w:rPr>
        <w:t xml:space="preserve">  As regards the sustainability of the superannuation system, it may be seen that the Super Tracker rates the total cost of government support </w:t>
      </w:r>
      <w:r w:rsidR="00C62023" w:rsidRPr="00DE7F99">
        <w:rPr>
          <w:rFonts w:ascii="Calibri" w:hAnsi="Calibri"/>
          <w:sz w:val="22"/>
          <w:szCs w:val="22"/>
        </w:rPr>
        <w:t>KPI</w:t>
      </w:r>
      <w:r w:rsidR="00AC0F59" w:rsidRPr="00DE7F99">
        <w:rPr>
          <w:rFonts w:ascii="Calibri" w:hAnsi="Calibri"/>
          <w:sz w:val="22"/>
          <w:szCs w:val="22"/>
        </w:rPr>
        <w:t xml:space="preserve"> well. </w:t>
      </w:r>
      <w:r w:rsidR="000340A4">
        <w:rPr>
          <w:rFonts w:ascii="Calibri" w:hAnsi="Calibri"/>
          <w:sz w:val="22"/>
          <w:szCs w:val="22"/>
        </w:rPr>
        <w:br w:type="page"/>
      </w:r>
    </w:p>
    <w:p w14:paraId="7E7BDB33" w14:textId="77777777" w:rsidR="000340A4" w:rsidRDefault="000340A4" w:rsidP="00AC0F59">
      <w:pPr>
        <w:rPr>
          <w:rFonts w:ascii="Calibri" w:hAnsi="Calibri"/>
          <w:sz w:val="22"/>
          <w:szCs w:val="22"/>
        </w:rPr>
      </w:pPr>
    </w:p>
    <w:p w14:paraId="5826943A" w14:textId="77777777" w:rsidR="000340A4" w:rsidRDefault="000340A4" w:rsidP="00AC0F59">
      <w:pPr>
        <w:rPr>
          <w:rFonts w:ascii="Calibri" w:hAnsi="Calibri"/>
          <w:sz w:val="22"/>
          <w:szCs w:val="22"/>
        </w:rPr>
      </w:pPr>
    </w:p>
    <w:p w14:paraId="5B116B61" w14:textId="77777777" w:rsidR="000340A4" w:rsidRDefault="000340A4" w:rsidP="00AC0F59">
      <w:pPr>
        <w:rPr>
          <w:rFonts w:ascii="Calibri" w:hAnsi="Calibri"/>
          <w:sz w:val="22"/>
          <w:szCs w:val="22"/>
        </w:rPr>
      </w:pPr>
    </w:p>
    <w:p w14:paraId="18C05D93" w14:textId="44A7103C" w:rsidR="00AC0F59" w:rsidRDefault="00AC0F59" w:rsidP="00AC0F59">
      <w:pPr>
        <w:rPr>
          <w:rFonts w:ascii="Calibri" w:hAnsi="Calibri"/>
          <w:sz w:val="22"/>
          <w:szCs w:val="22"/>
        </w:rPr>
      </w:pPr>
      <w:r w:rsidRPr="00DE7F99">
        <w:rPr>
          <w:rFonts w:ascii="Calibri" w:hAnsi="Calibri"/>
          <w:sz w:val="22"/>
          <w:szCs w:val="22"/>
        </w:rPr>
        <w:t xml:space="preserve">AIST notes that the projected figure of the average public pension expenditure across OECD countries is expected to rise from 9.5 </w:t>
      </w:r>
      <w:r w:rsidR="00A00A7C" w:rsidRPr="00DE7F99">
        <w:rPr>
          <w:rFonts w:ascii="Calibri" w:hAnsi="Calibri"/>
          <w:sz w:val="22"/>
          <w:szCs w:val="22"/>
        </w:rPr>
        <w:t>per cent</w:t>
      </w:r>
      <w:r w:rsidRPr="00DE7F99">
        <w:rPr>
          <w:rFonts w:ascii="Calibri" w:hAnsi="Calibri"/>
          <w:sz w:val="22"/>
          <w:szCs w:val="22"/>
        </w:rPr>
        <w:t xml:space="preserve"> of GDP in 2015 to 11.7 </w:t>
      </w:r>
      <w:r w:rsidR="00A00A7C" w:rsidRPr="00DE7F99">
        <w:rPr>
          <w:rFonts w:ascii="Calibri" w:hAnsi="Calibri"/>
          <w:sz w:val="22"/>
          <w:szCs w:val="22"/>
        </w:rPr>
        <w:t>per cent</w:t>
      </w:r>
      <w:r w:rsidRPr="00DE7F99">
        <w:rPr>
          <w:rFonts w:ascii="Calibri" w:hAnsi="Calibri"/>
          <w:sz w:val="22"/>
          <w:szCs w:val="22"/>
        </w:rPr>
        <w:t xml:space="preserve"> of GDP in 2050</w:t>
      </w:r>
      <w:r w:rsidRPr="00DE7F99">
        <w:rPr>
          <w:rStyle w:val="FootnoteReference"/>
          <w:rFonts w:ascii="Calibri" w:hAnsi="Calibri"/>
          <w:sz w:val="22"/>
          <w:szCs w:val="22"/>
        </w:rPr>
        <w:footnoteReference w:id="4"/>
      </w:r>
      <w:r w:rsidRPr="00DE7F99">
        <w:rPr>
          <w:rFonts w:ascii="Calibri" w:hAnsi="Calibri"/>
          <w:sz w:val="22"/>
          <w:szCs w:val="22"/>
        </w:rPr>
        <w:t xml:space="preserve">.  The projected Australian figure of 4.9 </w:t>
      </w:r>
      <w:r w:rsidR="00A00A7C" w:rsidRPr="00DE7F99">
        <w:rPr>
          <w:rFonts w:ascii="Calibri" w:hAnsi="Calibri"/>
          <w:sz w:val="22"/>
          <w:szCs w:val="22"/>
        </w:rPr>
        <w:t>per cent</w:t>
      </w:r>
      <w:r w:rsidRPr="00DE7F99">
        <w:rPr>
          <w:rFonts w:ascii="Calibri" w:hAnsi="Calibri"/>
          <w:sz w:val="22"/>
          <w:szCs w:val="22"/>
        </w:rPr>
        <w:t xml:space="preserve"> in 2050 is the second lowest of the 28 countries.  </w:t>
      </w:r>
    </w:p>
    <w:p w14:paraId="68040416" w14:textId="77777777" w:rsidR="00DE7F99" w:rsidRPr="00DE7F99" w:rsidRDefault="00DE7F99" w:rsidP="00AC0F59">
      <w:pPr>
        <w:rPr>
          <w:rFonts w:ascii="Calibri" w:hAnsi="Calibri"/>
          <w:sz w:val="22"/>
          <w:szCs w:val="22"/>
        </w:rPr>
      </w:pPr>
    </w:p>
    <w:p w14:paraId="4A1E3FF8" w14:textId="71D21A92" w:rsidR="00BF0FD8" w:rsidRPr="00DE7F99" w:rsidRDefault="00BF0FD8" w:rsidP="00811B58">
      <w:pPr>
        <w:rPr>
          <w:rFonts w:ascii="Calibri" w:hAnsi="Calibri"/>
          <w:sz w:val="22"/>
          <w:szCs w:val="22"/>
        </w:rPr>
      </w:pPr>
      <w:r w:rsidRPr="00DE7F99">
        <w:rPr>
          <w:rFonts w:ascii="Calibri" w:hAnsi="Calibri"/>
          <w:sz w:val="22"/>
          <w:szCs w:val="22"/>
        </w:rPr>
        <w:t xml:space="preserve">The Tracker could be used, for example, to assess possibilities such as projected increases in older age workforce participation rates upon the Net Retirement Income (A1 in the above table).  Annexure A contains </w:t>
      </w:r>
      <w:r w:rsidR="00EA769D" w:rsidRPr="00DE7F99">
        <w:rPr>
          <w:rFonts w:ascii="Calibri" w:hAnsi="Calibri"/>
          <w:sz w:val="22"/>
          <w:szCs w:val="22"/>
        </w:rPr>
        <w:t>outcomes of road-testing 21 possible policies.</w:t>
      </w:r>
      <w:r w:rsidRPr="00DE7F99">
        <w:rPr>
          <w:rFonts w:ascii="Calibri" w:hAnsi="Calibri"/>
          <w:sz w:val="22"/>
          <w:szCs w:val="22"/>
        </w:rPr>
        <w:t xml:space="preserve"> </w:t>
      </w:r>
    </w:p>
    <w:p w14:paraId="7D1DA66A" w14:textId="77777777" w:rsidR="00DE7F99" w:rsidRPr="00DE7F99" w:rsidRDefault="00DE7F99" w:rsidP="00811B58">
      <w:pPr>
        <w:rPr>
          <w:rFonts w:ascii="Calibri" w:hAnsi="Calibri"/>
          <w:sz w:val="22"/>
          <w:szCs w:val="22"/>
        </w:rPr>
      </w:pPr>
    </w:p>
    <w:p w14:paraId="463104B8" w14:textId="6CD5F93B" w:rsidR="00811B58" w:rsidRPr="00DE7F99" w:rsidRDefault="00F65E2E" w:rsidP="00811B58">
      <w:pPr>
        <w:rPr>
          <w:rFonts w:ascii="Calibri" w:hAnsi="Calibri"/>
          <w:sz w:val="22"/>
          <w:szCs w:val="22"/>
        </w:rPr>
      </w:pPr>
      <w:r w:rsidRPr="00DE7F99">
        <w:rPr>
          <w:rFonts w:ascii="Calibri" w:hAnsi="Calibri"/>
          <w:sz w:val="22"/>
          <w:szCs w:val="22"/>
        </w:rPr>
        <w:t xml:space="preserve">The methodology used in the Super Tracker is similar to that adopted by the EU, but has been adapted to Australia.  </w:t>
      </w:r>
    </w:p>
    <w:p w14:paraId="75863C52" w14:textId="77777777" w:rsidR="00DE7F99" w:rsidRPr="00DE7F99" w:rsidRDefault="00DE7F99" w:rsidP="00811B58">
      <w:pPr>
        <w:rPr>
          <w:rFonts w:ascii="Calibri" w:hAnsi="Calibri"/>
          <w:sz w:val="22"/>
          <w:szCs w:val="22"/>
        </w:rPr>
      </w:pPr>
    </w:p>
    <w:p w14:paraId="11CC1577" w14:textId="422C043E" w:rsidR="00F65E2E" w:rsidRDefault="00F65E2E" w:rsidP="00F65E2E">
      <w:pPr>
        <w:pStyle w:val="Heading2"/>
        <w:ind w:left="578" w:hanging="578"/>
      </w:pPr>
      <w:r>
        <w:t>AIST Mercer Super Tracker methodology similar to EU</w:t>
      </w:r>
    </w:p>
    <w:p w14:paraId="47A36530" w14:textId="77777777" w:rsidR="00F65E2E" w:rsidRPr="00DE7F99" w:rsidRDefault="00F65E2E" w:rsidP="00F65E2E">
      <w:pPr>
        <w:rPr>
          <w:rFonts w:ascii="Calibri" w:hAnsi="Calibri"/>
          <w:sz w:val="22"/>
          <w:szCs w:val="22"/>
        </w:rPr>
      </w:pPr>
      <w:r w:rsidRPr="00DE7F99">
        <w:rPr>
          <w:rFonts w:ascii="Calibri" w:hAnsi="Calibri"/>
          <w:sz w:val="22"/>
          <w:szCs w:val="22"/>
        </w:rPr>
        <w:t>In 2012, the EU issued a White Paper</w:t>
      </w:r>
      <w:r w:rsidRPr="00DE7F99">
        <w:rPr>
          <w:rStyle w:val="FootnoteReference"/>
          <w:rFonts w:ascii="Calibri" w:hAnsi="Calibri"/>
        </w:rPr>
        <w:footnoteReference w:id="5"/>
      </w:r>
      <w:r w:rsidRPr="00DE7F99">
        <w:rPr>
          <w:rFonts w:ascii="Calibri" w:hAnsi="Calibri"/>
        </w:rPr>
        <w:t xml:space="preserve"> </w:t>
      </w:r>
      <w:r w:rsidRPr="00DE7F99">
        <w:rPr>
          <w:rFonts w:ascii="Calibri" w:hAnsi="Calibri"/>
          <w:sz w:val="22"/>
          <w:szCs w:val="22"/>
        </w:rPr>
        <w:t xml:space="preserve">examining an agenda for adequate, safe and sustainable pensions.  This paper examines a number of initiatives, including examining the sustainability of public pensions, supporting longer working life, and measuring the gender gap in savings.  </w:t>
      </w:r>
    </w:p>
    <w:p w14:paraId="39C513E5" w14:textId="77777777" w:rsidR="00DE7F99" w:rsidRPr="00DE7F99" w:rsidRDefault="00DE7F99" w:rsidP="00F65E2E">
      <w:pPr>
        <w:rPr>
          <w:rFonts w:ascii="Calibri" w:hAnsi="Calibri"/>
        </w:rPr>
      </w:pPr>
    </w:p>
    <w:p w14:paraId="626DAB31" w14:textId="5BFE6616" w:rsidR="00F65E2E" w:rsidRPr="00DE7F99" w:rsidRDefault="00F65E2E" w:rsidP="00F65E2E">
      <w:pPr>
        <w:rPr>
          <w:rFonts w:ascii="Calibri" w:hAnsi="Calibri"/>
          <w:sz w:val="22"/>
          <w:szCs w:val="22"/>
        </w:rPr>
      </w:pPr>
      <w:r w:rsidRPr="00DE7F99">
        <w:rPr>
          <w:rFonts w:ascii="Calibri" w:hAnsi="Calibri"/>
          <w:sz w:val="22"/>
          <w:szCs w:val="22"/>
        </w:rPr>
        <w:t>The White Paper forms part of a series examined by the EU, with three further reports being of particular interest:</w:t>
      </w:r>
    </w:p>
    <w:p w14:paraId="244D5EF4" w14:textId="77777777" w:rsidR="00F65E2E" w:rsidRPr="003071B9" w:rsidRDefault="00F65E2E" w:rsidP="00F65E2E">
      <w:pPr>
        <w:pStyle w:val="ListParagraph"/>
        <w:numPr>
          <w:ilvl w:val="0"/>
          <w:numId w:val="4"/>
        </w:numPr>
        <w:rPr>
          <w:rFonts w:ascii="Calibri" w:hAnsi="Calibri"/>
          <w:sz w:val="22"/>
          <w:szCs w:val="22"/>
        </w:rPr>
      </w:pPr>
      <w:r w:rsidRPr="003071B9">
        <w:rPr>
          <w:rFonts w:ascii="Calibri" w:hAnsi="Calibri"/>
          <w:sz w:val="22"/>
          <w:szCs w:val="22"/>
        </w:rPr>
        <w:t>The Pension Adequacy Report</w:t>
      </w:r>
      <w:r w:rsidRPr="003071B9">
        <w:rPr>
          <w:rStyle w:val="FootnoteReference"/>
          <w:rFonts w:ascii="Calibri" w:hAnsi="Calibri"/>
          <w:sz w:val="22"/>
          <w:szCs w:val="22"/>
        </w:rPr>
        <w:footnoteReference w:id="6"/>
      </w:r>
      <w:r w:rsidRPr="003071B9">
        <w:rPr>
          <w:rFonts w:ascii="Calibri" w:hAnsi="Calibri"/>
          <w:sz w:val="22"/>
          <w:szCs w:val="22"/>
        </w:rPr>
        <w:t xml:space="preserve"> sets out the commonly agreed objectives for pensions, which are:</w:t>
      </w:r>
    </w:p>
    <w:p w14:paraId="47407C8C" w14:textId="77777777" w:rsidR="00F65E2E" w:rsidRPr="003071B9" w:rsidRDefault="00F65E2E" w:rsidP="00F65E2E">
      <w:pPr>
        <w:pStyle w:val="ListParagraph"/>
        <w:numPr>
          <w:ilvl w:val="1"/>
          <w:numId w:val="4"/>
        </w:numPr>
        <w:rPr>
          <w:rFonts w:ascii="Calibri" w:hAnsi="Calibri"/>
          <w:sz w:val="22"/>
          <w:szCs w:val="22"/>
        </w:rPr>
      </w:pPr>
      <w:r w:rsidRPr="003071B9">
        <w:rPr>
          <w:rFonts w:ascii="Calibri" w:hAnsi="Calibri"/>
          <w:sz w:val="22"/>
          <w:szCs w:val="22"/>
        </w:rPr>
        <w:t>‘Adequate retirement income for all and access to pensions which allow people to maintain, to a reasonable degree their living standard after retirement, in the spirit of solidarity and fairness between and within generations;</w:t>
      </w:r>
    </w:p>
    <w:p w14:paraId="0FF6F2C2" w14:textId="77777777" w:rsidR="00F65E2E" w:rsidRPr="003071B9" w:rsidRDefault="00F65E2E" w:rsidP="00F65E2E">
      <w:pPr>
        <w:pStyle w:val="ListParagraph"/>
        <w:numPr>
          <w:ilvl w:val="1"/>
          <w:numId w:val="4"/>
        </w:numPr>
        <w:rPr>
          <w:rFonts w:ascii="Calibri" w:hAnsi="Calibri"/>
          <w:sz w:val="22"/>
          <w:szCs w:val="22"/>
        </w:rPr>
      </w:pPr>
      <w:r w:rsidRPr="003071B9">
        <w:rPr>
          <w:rFonts w:ascii="Calibri" w:hAnsi="Calibri"/>
          <w:sz w:val="22"/>
          <w:szCs w:val="22"/>
        </w:rPr>
        <w:t>The financial sustainability of private and public pension schemes, bearing in mind pressures on public finances and the ageing of the populations, and in the context of the three-pronged strategy for tackling the budgetary implications of ageing, notably by:</w:t>
      </w:r>
    </w:p>
    <w:p w14:paraId="0FCBC589" w14:textId="77777777" w:rsidR="00F65E2E" w:rsidRPr="003071B9" w:rsidRDefault="00F65E2E" w:rsidP="00F65E2E">
      <w:pPr>
        <w:pStyle w:val="ListParagraph"/>
        <w:numPr>
          <w:ilvl w:val="2"/>
          <w:numId w:val="4"/>
        </w:numPr>
        <w:rPr>
          <w:rFonts w:ascii="Calibri" w:hAnsi="Calibri"/>
          <w:sz w:val="22"/>
          <w:szCs w:val="22"/>
        </w:rPr>
      </w:pPr>
      <w:r w:rsidRPr="003071B9">
        <w:rPr>
          <w:rFonts w:ascii="Calibri" w:hAnsi="Calibri"/>
          <w:sz w:val="22"/>
          <w:szCs w:val="22"/>
        </w:rPr>
        <w:t xml:space="preserve">supporting longer working lives and active ageing; </w:t>
      </w:r>
    </w:p>
    <w:p w14:paraId="1765D012" w14:textId="77777777" w:rsidR="00F65E2E" w:rsidRPr="003071B9" w:rsidRDefault="00F65E2E" w:rsidP="00F65E2E">
      <w:pPr>
        <w:pStyle w:val="ListParagraph"/>
        <w:numPr>
          <w:ilvl w:val="2"/>
          <w:numId w:val="4"/>
        </w:numPr>
        <w:rPr>
          <w:rFonts w:ascii="Calibri" w:hAnsi="Calibri"/>
          <w:sz w:val="22"/>
          <w:szCs w:val="22"/>
        </w:rPr>
      </w:pPr>
      <w:r w:rsidRPr="003071B9">
        <w:rPr>
          <w:rFonts w:ascii="Calibri" w:hAnsi="Calibri"/>
          <w:sz w:val="22"/>
          <w:szCs w:val="22"/>
        </w:rPr>
        <w:t xml:space="preserve">by balancing contributions and benefits in an appropriate and socially fair manner; and </w:t>
      </w:r>
    </w:p>
    <w:p w14:paraId="37EBF7F7" w14:textId="77777777" w:rsidR="00F65E2E" w:rsidRPr="003071B9" w:rsidRDefault="00F65E2E" w:rsidP="00F65E2E">
      <w:pPr>
        <w:pStyle w:val="ListParagraph"/>
        <w:numPr>
          <w:ilvl w:val="2"/>
          <w:numId w:val="4"/>
        </w:numPr>
        <w:rPr>
          <w:rFonts w:ascii="Calibri" w:hAnsi="Calibri"/>
          <w:sz w:val="22"/>
          <w:szCs w:val="22"/>
        </w:rPr>
      </w:pPr>
      <w:r w:rsidRPr="003071B9">
        <w:rPr>
          <w:rFonts w:ascii="Calibri" w:hAnsi="Calibri"/>
          <w:sz w:val="22"/>
          <w:szCs w:val="22"/>
        </w:rPr>
        <w:t>by promoting the affordability and the security of funded and private schemes;</w:t>
      </w:r>
    </w:p>
    <w:p w14:paraId="729485C2" w14:textId="0EA34366" w:rsidR="00F65E2E" w:rsidRDefault="00F65E2E" w:rsidP="00F65E2E">
      <w:pPr>
        <w:pStyle w:val="ListParagraph"/>
        <w:numPr>
          <w:ilvl w:val="1"/>
          <w:numId w:val="4"/>
        </w:numPr>
        <w:rPr>
          <w:rFonts w:ascii="Calibri" w:hAnsi="Calibri"/>
          <w:sz w:val="22"/>
          <w:szCs w:val="22"/>
        </w:rPr>
      </w:pPr>
      <w:r w:rsidRPr="003071B9">
        <w:rPr>
          <w:rFonts w:ascii="Calibri" w:hAnsi="Calibri"/>
          <w:sz w:val="22"/>
          <w:szCs w:val="22"/>
        </w:rPr>
        <w:t xml:space="preserve">That pension systems are transparent, well adapted to the needs and aspirations of women and men and the requirements of modern societies, </w:t>
      </w:r>
      <w:r w:rsidRPr="003071B9">
        <w:rPr>
          <w:rFonts w:ascii="Calibri" w:hAnsi="Calibri"/>
          <w:b/>
          <w:sz w:val="22"/>
          <w:szCs w:val="22"/>
        </w:rPr>
        <w:t>demographic ageing</w:t>
      </w:r>
      <w:r w:rsidRPr="003071B9">
        <w:rPr>
          <w:rFonts w:ascii="Calibri" w:hAnsi="Calibri"/>
          <w:sz w:val="22"/>
          <w:szCs w:val="22"/>
        </w:rPr>
        <w:t xml:space="preserve"> (emphasis added) and structural change; that people receive the information they need to plan their retirement and that reforms are conducted on the basis of the broadest possible consensus.’</w:t>
      </w:r>
    </w:p>
    <w:p w14:paraId="6E0AF6FE" w14:textId="35B25C7E" w:rsidR="00852584" w:rsidRDefault="00852584">
      <w:pPr>
        <w:rPr>
          <w:rFonts w:ascii="Calibri" w:hAnsi="Calibri"/>
          <w:sz w:val="22"/>
          <w:szCs w:val="22"/>
        </w:rPr>
      </w:pPr>
      <w:r>
        <w:rPr>
          <w:rFonts w:ascii="Calibri" w:hAnsi="Calibri"/>
          <w:sz w:val="22"/>
          <w:szCs w:val="22"/>
        </w:rPr>
        <w:br w:type="page"/>
      </w:r>
    </w:p>
    <w:p w14:paraId="16932F1C" w14:textId="77777777" w:rsidR="00852584" w:rsidRPr="003071B9" w:rsidRDefault="00852584" w:rsidP="00852584">
      <w:pPr>
        <w:pStyle w:val="ListParagraph"/>
        <w:ind w:left="1440"/>
        <w:rPr>
          <w:rFonts w:ascii="Calibri" w:hAnsi="Calibri"/>
          <w:sz w:val="22"/>
          <w:szCs w:val="22"/>
        </w:rPr>
      </w:pPr>
    </w:p>
    <w:p w14:paraId="46DC6B2C" w14:textId="77777777" w:rsidR="00F65E2E" w:rsidRPr="003071B9" w:rsidRDefault="00F65E2E" w:rsidP="00F65E2E">
      <w:pPr>
        <w:pStyle w:val="ListParagraph"/>
        <w:numPr>
          <w:ilvl w:val="0"/>
          <w:numId w:val="4"/>
        </w:numPr>
        <w:rPr>
          <w:rFonts w:ascii="Calibri" w:hAnsi="Calibri"/>
          <w:sz w:val="22"/>
          <w:szCs w:val="22"/>
        </w:rPr>
      </w:pPr>
      <w:r w:rsidRPr="003071B9">
        <w:rPr>
          <w:rFonts w:ascii="Calibri" w:hAnsi="Calibri"/>
          <w:i/>
          <w:sz w:val="22"/>
          <w:szCs w:val="22"/>
        </w:rPr>
        <w:t>Adequacy and Sustainability of Pensions Report</w:t>
      </w:r>
      <w:r w:rsidRPr="003071B9">
        <w:rPr>
          <w:rStyle w:val="FootnoteReference"/>
          <w:rFonts w:ascii="Calibri" w:hAnsi="Calibri"/>
          <w:sz w:val="22"/>
          <w:szCs w:val="22"/>
        </w:rPr>
        <w:footnoteReference w:id="7"/>
      </w:r>
      <w:r w:rsidRPr="003071B9">
        <w:rPr>
          <w:rFonts w:ascii="Calibri" w:hAnsi="Calibri"/>
          <w:sz w:val="22"/>
          <w:szCs w:val="22"/>
        </w:rPr>
        <w:t>, which gives a concise overview of the KPIs of pension adequacy and sustainability in the EU.  These indicators relate to adequacy of retirement benefits, the employment rate of older workers, and the sustainability challenge (the long term growth in pension expenditure as a per-cent of GDP).</w:t>
      </w:r>
    </w:p>
    <w:p w14:paraId="11084F07" w14:textId="77777777" w:rsidR="00F65E2E" w:rsidRDefault="00F65E2E" w:rsidP="00F65E2E">
      <w:pPr>
        <w:pStyle w:val="ListParagraph"/>
        <w:numPr>
          <w:ilvl w:val="0"/>
          <w:numId w:val="4"/>
        </w:numPr>
        <w:rPr>
          <w:rFonts w:ascii="Calibri" w:hAnsi="Calibri"/>
          <w:sz w:val="22"/>
          <w:szCs w:val="22"/>
        </w:rPr>
      </w:pPr>
      <w:r w:rsidRPr="003071B9">
        <w:rPr>
          <w:rFonts w:ascii="Calibri" w:hAnsi="Calibri"/>
          <w:i/>
          <w:sz w:val="22"/>
          <w:szCs w:val="22"/>
        </w:rPr>
        <w:t>Implementation of the Pensions White Paper</w:t>
      </w:r>
      <w:r w:rsidRPr="003071B9">
        <w:rPr>
          <w:rFonts w:ascii="Calibri" w:hAnsi="Calibri"/>
          <w:sz w:val="22"/>
          <w:szCs w:val="22"/>
        </w:rPr>
        <w:t xml:space="preserve"> </w:t>
      </w:r>
      <w:r w:rsidRPr="003071B9">
        <w:rPr>
          <w:rStyle w:val="FootnoteReference"/>
          <w:rFonts w:ascii="Calibri" w:hAnsi="Calibri"/>
          <w:sz w:val="22"/>
          <w:szCs w:val="22"/>
        </w:rPr>
        <w:footnoteReference w:id="8"/>
      </w:r>
      <w:r w:rsidRPr="003071B9">
        <w:rPr>
          <w:rFonts w:ascii="Calibri" w:hAnsi="Calibri"/>
          <w:sz w:val="22"/>
          <w:szCs w:val="22"/>
        </w:rPr>
        <w:t>report, a process for reviewing the outcomes of progress, including the KPIs.</w:t>
      </w:r>
    </w:p>
    <w:p w14:paraId="48C3860F" w14:textId="77777777" w:rsidR="000340A4" w:rsidRPr="003071B9" w:rsidRDefault="000340A4" w:rsidP="00301C34">
      <w:pPr>
        <w:pStyle w:val="ListParagraph"/>
        <w:rPr>
          <w:rFonts w:ascii="Calibri" w:hAnsi="Calibri"/>
          <w:sz w:val="22"/>
          <w:szCs w:val="22"/>
        </w:rPr>
      </w:pPr>
    </w:p>
    <w:p w14:paraId="263798AC" w14:textId="77777777" w:rsidR="00AC0F59" w:rsidRPr="00DE7F99" w:rsidRDefault="00AC0F59" w:rsidP="00AC0F59">
      <w:pPr>
        <w:rPr>
          <w:rFonts w:ascii="Calibri" w:hAnsi="Calibri"/>
          <w:sz w:val="22"/>
          <w:szCs w:val="22"/>
        </w:rPr>
      </w:pPr>
      <w:r w:rsidRPr="00DE7F99">
        <w:rPr>
          <w:rFonts w:ascii="Calibri" w:hAnsi="Calibri"/>
          <w:sz w:val="22"/>
          <w:szCs w:val="22"/>
        </w:rPr>
        <w:t>In our submission to the Financial System Inquiry</w:t>
      </w:r>
      <w:r w:rsidRPr="00DE7F99">
        <w:rPr>
          <w:rStyle w:val="FootnoteReference"/>
          <w:rFonts w:ascii="Calibri" w:hAnsi="Calibri"/>
        </w:rPr>
        <w:footnoteReference w:id="9"/>
      </w:r>
      <w:r w:rsidRPr="00DE7F99">
        <w:rPr>
          <w:rFonts w:ascii="Calibri" w:hAnsi="Calibri"/>
        </w:rPr>
        <w:t xml:space="preserve">, </w:t>
      </w:r>
      <w:r w:rsidRPr="00DE7F99">
        <w:rPr>
          <w:rFonts w:ascii="Calibri" w:hAnsi="Calibri"/>
          <w:sz w:val="22"/>
          <w:szCs w:val="22"/>
        </w:rPr>
        <w:t>AIST recommended:</w:t>
      </w:r>
    </w:p>
    <w:p w14:paraId="3DE8D687" w14:textId="7E9CE816" w:rsidR="00AC0F59" w:rsidRPr="000340A4" w:rsidRDefault="00AC0F59" w:rsidP="00AC0F59">
      <w:pPr>
        <w:pStyle w:val="ListParagraph"/>
        <w:numPr>
          <w:ilvl w:val="0"/>
          <w:numId w:val="3"/>
        </w:numPr>
        <w:rPr>
          <w:rFonts w:ascii="Calibri" w:hAnsi="Calibri"/>
          <w:sz w:val="22"/>
          <w:szCs w:val="22"/>
        </w:rPr>
      </w:pPr>
      <w:r w:rsidRPr="000340A4">
        <w:rPr>
          <w:rFonts w:ascii="Calibri" w:hAnsi="Calibri"/>
          <w:sz w:val="22"/>
          <w:szCs w:val="22"/>
        </w:rPr>
        <w:t>The primary objective of Australian superannuation is the provision of retirement income.</w:t>
      </w:r>
    </w:p>
    <w:p w14:paraId="287ABCEE" w14:textId="77777777" w:rsidR="00AC0F59" w:rsidRPr="000340A4" w:rsidRDefault="00AC0F59" w:rsidP="00AC0F59">
      <w:pPr>
        <w:pStyle w:val="ListParagraph"/>
        <w:numPr>
          <w:ilvl w:val="0"/>
          <w:numId w:val="3"/>
        </w:numPr>
        <w:rPr>
          <w:rFonts w:ascii="Calibri" w:hAnsi="Calibri"/>
          <w:sz w:val="22"/>
          <w:szCs w:val="22"/>
        </w:rPr>
      </w:pPr>
      <w:r w:rsidRPr="000340A4">
        <w:rPr>
          <w:rFonts w:ascii="Calibri" w:hAnsi="Calibri"/>
          <w:sz w:val="22"/>
          <w:szCs w:val="22"/>
        </w:rPr>
        <w:t xml:space="preserve">This retirement income should be seen in the context of substituting or supplementing the Age Pension, both at an individual and a system level.  </w:t>
      </w:r>
    </w:p>
    <w:p w14:paraId="07AEBFAB" w14:textId="77777777" w:rsidR="00AC0F59" w:rsidRPr="000340A4" w:rsidRDefault="00AC0F59" w:rsidP="00AC0F59">
      <w:pPr>
        <w:pStyle w:val="ListParagraph"/>
        <w:numPr>
          <w:ilvl w:val="0"/>
          <w:numId w:val="3"/>
        </w:numPr>
        <w:rPr>
          <w:rFonts w:ascii="Calibri" w:hAnsi="Calibri"/>
          <w:sz w:val="22"/>
          <w:szCs w:val="22"/>
        </w:rPr>
      </w:pPr>
      <w:r w:rsidRPr="000340A4">
        <w:rPr>
          <w:rFonts w:ascii="Calibri" w:hAnsi="Calibri"/>
          <w:sz w:val="22"/>
          <w:szCs w:val="22"/>
        </w:rPr>
        <w:t>Suggested other objectives, including the achievement of fairer outcomes (e.g. address the gender gap).</w:t>
      </w:r>
    </w:p>
    <w:p w14:paraId="06CC836F" w14:textId="77777777" w:rsidR="00F65E2E" w:rsidRDefault="00F65E2E" w:rsidP="00F65E2E">
      <w:pPr>
        <w:rPr>
          <w:rFonts w:ascii="Calibri" w:hAnsi="Calibri"/>
          <w:sz w:val="22"/>
          <w:szCs w:val="22"/>
        </w:rPr>
      </w:pPr>
      <w:r w:rsidRPr="00DE7F99">
        <w:rPr>
          <w:rFonts w:ascii="Calibri" w:hAnsi="Calibri"/>
          <w:sz w:val="22"/>
          <w:szCs w:val="22"/>
        </w:rPr>
        <w:t>AIST strongly believes that such an approach – transparent objectives for the superannuation system, coupled with agreed KPIs and a governance methodology for reviewing the outcomes – would provide a sound platform for reviewing any proposed taxation changes to the Australian superannuation system.</w:t>
      </w:r>
    </w:p>
    <w:p w14:paraId="589906A4" w14:textId="77777777" w:rsidR="00DE7F99" w:rsidRPr="00DE7F99" w:rsidRDefault="00DE7F99" w:rsidP="00F65E2E">
      <w:pPr>
        <w:rPr>
          <w:rFonts w:ascii="Calibri" w:hAnsi="Calibri"/>
          <w:sz w:val="22"/>
          <w:szCs w:val="22"/>
        </w:rPr>
      </w:pPr>
    </w:p>
    <w:p w14:paraId="5C5F15D4" w14:textId="77777777" w:rsidR="005D1F6B" w:rsidRPr="00DE7F99" w:rsidRDefault="005D1F6B" w:rsidP="005D1F6B">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b/>
          <w:sz w:val="22"/>
          <w:szCs w:val="22"/>
        </w:rPr>
      </w:pPr>
      <w:r w:rsidRPr="00DE7F99">
        <w:rPr>
          <w:rFonts w:ascii="Calibri" w:hAnsi="Calibri"/>
          <w:b/>
          <w:sz w:val="22"/>
          <w:szCs w:val="22"/>
        </w:rPr>
        <w:t>Recommendations</w:t>
      </w:r>
    </w:p>
    <w:p w14:paraId="46D54A92" w14:textId="77777777" w:rsidR="005D1F6B" w:rsidRPr="00DE7F99" w:rsidRDefault="005D1F6B" w:rsidP="005D1F6B">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sz w:val="22"/>
          <w:szCs w:val="22"/>
        </w:rPr>
      </w:pPr>
      <w:r w:rsidRPr="00DE7F99">
        <w:rPr>
          <w:rFonts w:ascii="Calibri" w:hAnsi="Calibri"/>
          <w:sz w:val="22"/>
          <w:szCs w:val="22"/>
        </w:rPr>
        <w:t>Superannuation policies should be examined within the context of a framework which sets system objectives, KPIs, and a governance mechanism to assess progress.</w:t>
      </w:r>
    </w:p>
    <w:p w14:paraId="7B1DC219" w14:textId="03A1932F" w:rsidR="003F61EF" w:rsidRPr="00DE7F99" w:rsidRDefault="005D1F6B" w:rsidP="00927178">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sz w:val="22"/>
          <w:szCs w:val="22"/>
        </w:rPr>
      </w:pPr>
      <w:r w:rsidRPr="00DE7F99">
        <w:rPr>
          <w:rFonts w:ascii="Calibri" w:hAnsi="Calibri"/>
          <w:sz w:val="22"/>
          <w:szCs w:val="22"/>
        </w:rPr>
        <w:t>Superannuation system objectives should include taking into account the demographic ageing of the population.</w:t>
      </w:r>
      <w:bookmarkEnd w:id="14"/>
      <w:r w:rsidR="003F61EF" w:rsidRPr="00DE7F99">
        <w:rPr>
          <w:rFonts w:ascii="Calibri" w:hAnsi="Calibri"/>
          <w:sz w:val="22"/>
          <w:szCs w:val="22"/>
        </w:rPr>
        <w:br w:type="page"/>
      </w:r>
    </w:p>
    <w:p w14:paraId="78AF9A56" w14:textId="77777777" w:rsidR="00927178" w:rsidRDefault="00927178" w:rsidP="00927178">
      <w:pPr>
        <w:pStyle w:val="Heading2"/>
        <w:numPr>
          <w:ilvl w:val="0"/>
          <w:numId w:val="0"/>
        </w:numPr>
        <w:ind w:left="578"/>
        <w:rPr>
          <w:b w:val="0"/>
          <w:sz w:val="16"/>
          <w:szCs w:val="16"/>
        </w:rPr>
      </w:pPr>
      <w:bookmarkStart w:id="15" w:name="_Toc433986871"/>
      <w:bookmarkStart w:id="16" w:name="_Toc420944921"/>
      <w:bookmarkStart w:id="17" w:name="_Toc420945051"/>
    </w:p>
    <w:p w14:paraId="6B6ADF74" w14:textId="77777777" w:rsidR="000340A4" w:rsidRDefault="000340A4" w:rsidP="000340A4"/>
    <w:p w14:paraId="54E2B93B" w14:textId="77777777" w:rsidR="000340A4" w:rsidRDefault="000340A4" w:rsidP="000340A4">
      <w:pPr>
        <w:pStyle w:val="Heading1"/>
      </w:pPr>
      <w:r>
        <w:t xml:space="preserve">Key statistics </w:t>
      </w:r>
    </w:p>
    <w:p w14:paraId="7E0B6185" w14:textId="77777777" w:rsidR="000340A4" w:rsidRDefault="000340A4" w:rsidP="000340A4"/>
    <w:bookmarkEnd w:id="15"/>
    <w:p w14:paraId="4A011468" w14:textId="25044A47" w:rsidR="008400AA" w:rsidRDefault="00750B02" w:rsidP="008400AA">
      <w:pPr>
        <w:pStyle w:val="Heading2"/>
        <w:ind w:left="578" w:hanging="578"/>
      </w:pPr>
      <w:r>
        <w:t>Effective retirement age compared with official retirement age</w:t>
      </w:r>
    </w:p>
    <w:p w14:paraId="1AEA484E" w14:textId="77777777" w:rsidR="00A00A7C" w:rsidRDefault="006C17E2" w:rsidP="00404AF8">
      <w:pPr>
        <w:rPr>
          <w:rFonts w:ascii="Calibri" w:hAnsi="Calibri"/>
          <w:sz w:val="22"/>
          <w:szCs w:val="22"/>
        </w:rPr>
      </w:pPr>
      <w:r w:rsidRPr="00A00A7C">
        <w:rPr>
          <w:rFonts w:ascii="Calibri" w:hAnsi="Calibri"/>
          <w:sz w:val="22"/>
          <w:szCs w:val="22"/>
        </w:rPr>
        <w:t>As the 2015 OCED Pensions at a Glance</w:t>
      </w:r>
      <w:r w:rsidRPr="00A00A7C">
        <w:rPr>
          <w:rStyle w:val="FootnoteReference"/>
          <w:rFonts w:ascii="Calibri" w:hAnsi="Calibri"/>
          <w:sz w:val="22"/>
          <w:szCs w:val="22"/>
        </w:rPr>
        <w:footnoteReference w:id="10"/>
      </w:r>
      <w:r w:rsidRPr="00A00A7C">
        <w:rPr>
          <w:rFonts w:ascii="Calibri" w:hAnsi="Calibri"/>
          <w:sz w:val="22"/>
          <w:szCs w:val="22"/>
        </w:rPr>
        <w:t xml:space="preserve"> mentions, </w:t>
      </w:r>
      <w:r w:rsidR="00604723" w:rsidRPr="00A00A7C">
        <w:rPr>
          <w:rFonts w:ascii="Calibri" w:hAnsi="Calibri"/>
          <w:sz w:val="22"/>
          <w:szCs w:val="22"/>
        </w:rPr>
        <w:t>any statutory retirement age sends a signal as to how individuals are expected to modify behaviours</w:t>
      </w:r>
      <w:r w:rsidR="00A00A7C">
        <w:rPr>
          <w:rFonts w:ascii="Calibri" w:hAnsi="Calibri"/>
          <w:sz w:val="22"/>
          <w:szCs w:val="22"/>
        </w:rPr>
        <w:t xml:space="preserve"> when planning for retirement.  </w:t>
      </w:r>
    </w:p>
    <w:p w14:paraId="66FEEC41" w14:textId="77777777" w:rsidR="00A00A7C" w:rsidRDefault="00A00A7C" w:rsidP="00404AF8">
      <w:pPr>
        <w:rPr>
          <w:rFonts w:ascii="Calibri" w:hAnsi="Calibri"/>
          <w:sz w:val="22"/>
          <w:szCs w:val="22"/>
        </w:rPr>
      </w:pPr>
    </w:p>
    <w:p w14:paraId="2EECDC96" w14:textId="28E4A79D" w:rsidR="004C60B3" w:rsidRDefault="00604723" w:rsidP="00404AF8">
      <w:pPr>
        <w:rPr>
          <w:rFonts w:ascii="Calibri" w:hAnsi="Calibri"/>
          <w:sz w:val="22"/>
          <w:szCs w:val="22"/>
        </w:rPr>
      </w:pPr>
      <w:r w:rsidRPr="00A00A7C">
        <w:rPr>
          <w:rFonts w:ascii="Calibri" w:hAnsi="Calibri"/>
          <w:sz w:val="22"/>
          <w:szCs w:val="22"/>
        </w:rPr>
        <w:t>The OECD goes on to note that most legislated increases phase in gradually to enable adaptions to retirement planning, and further that many OECD countries have reformed pension rules to extend working lives in the broader context of increasing longer life expectancy.</w:t>
      </w:r>
      <w:r w:rsidR="0055461E" w:rsidRPr="00A00A7C">
        <w:rPr>
          <w:rFonts w:ascii="Calibri" w:hAnsi="Calibri"/>
          <w:sz w:val="22"/>
          <w:szCs w:val="22"/>
        </w:rPr>
        <w:t xml:space="preserve">  </w:t>
      </w:r>
    </w:p>
    <w:p w14:paraId="10ACBB76" w14:textId="77777777" w:rsidR="00A00A7C" w:rsidRPr="00A00A7C" w:rsidRDefault="00A00A7C" w:rsidP="00404AF8">
      <w:pPr>
        <w:rPr>
          <w:rFonts w:ascii="Calibri" w:hAnsi="Calibri"/>
          <w:sz w:val="22"/>
          <w:szCs w:val="22"/>
        </w:rPr>
      </w:pPr>
    </w:p>
    <w:p w14:paraId="4FABFF41" w14:textId="4FD731CB" w:rsidR="00927178" w:rsidRDefault="0055461E" w:rsidP="00404AF8">
      <w:pPr>
        <w:rPr>
          <w:rFonts w:ascii="Calibri" w:hAnsi="Calibri"/>
          <w:sz w:val="22"/>
          <w:szCs w:val="22"/>
        </w:rPr>
      </w:pPr>
      <w:r w:rsidRPr="00A00A7C">
        <w:rPr>
          <w:rFonts w:ascii="Calibri" w:hAnsi="Calibri"/>
          <w:sz w:val="22"/>
          <w:szCs w:val="22"/>
        </w:rPr>
        <w:t>In Australia, while there is a ‘preservation age’ at which time people who meet certain conditions can access their superannuation and an age pension age, there is in effect no official retirement age.  There is a gap between the preservation age and the age pension age.</w:t>
      </w:r>
    </w:p>
    <w:p w14:paraId="4DA05504" w14:textId="77777777" w:rsidR="00A00A7C" w:rsidRPr="00A00A7C" w:rsidRDefault="00A00A7C" w:rsidP="00404AF8">
      <w:pPr>
        <w:rPr>
          <w:rFonts w:ascii="Calibri" w:hAnsi="Calibri"/>
          <w:sz w:val="22"/>
          <w:szCs w:val="22"/>
        </w:rPr>
      </w:pPr>
    </w:p>
    <w:p w14:paraId="4C3C6C85" w14:textId="4BBA8B17" w:rsidR="004C60B3" w:rsidRDefault="0055461E" w:rsidP="00404AF8">
      <w:pPr>
        <w:rPr>
          <w:rFonts w:ascii="Calibri" w:hAnsi="Calibri"/>
          <w:sz w:val="22"/>
          <w:szCs w:val="22"/>
        </w:rPr>
      </w:pPr>
      <w:r w:rsidRPr="00A00A7C">
        <w:rPr>
          <w:rFonts w:ascii="Calibri" w:hAnsi="Calibri"/>
          <w:sz w:val="22"/>
          <w:szCs w:val="22"/>
        </w:rPr>
        <w:t>The following charts who the average effective age of retirement versus the official age</w:t>
      </w:r>
      <w:r w:rsidR="004C60B3" w:rsidRPr="00A00A7C">
        <w:rPr>
          <w:rFonts w:ascii="Calibri" w:hAnsi="Calibri"/>
          <w:sz w:val="22"/>
          <w:szCs w:val="22"/>
        </w:rPr>
        <w:t xml:space="preserve"> across various countries, including Australia.  </w:t>
      </w:r>
      <w:r w:rsidR="00A00A7C">
        <w:rPr>
          <w:rFonts w:ascii="Calibri" w:hAnsi="Calibri"/>
          <w:sz w:val="22"/>
          <w:szCs w:val="22"/>
        </w:rPr>
        <w:t>The</w:t>
      </w:r>
      <w:r w:rsidR="00A00A7C" w:rsidRPr="00A00A7C">
        <w:rPr>
          <w:rFonts w:ascii="Calibri" w:hAnsi="Calibri"/>
          <w:sz w:val="22"/>
          <w:szCs w:val="22"/>
        </w:rPr>
        <w:t xml:space="preserve"> lower the </w:t>
      </w:r>
      <w:r w:rsidR="00A00A7C">
        <w:rPr>
          <w:rFonts w:ascii="Calibri" w:hAnsi="Calibri"/>
          <w:sz w:val="22"/>
          <w:szCs w:val="22"/>
        </w:rPr>
        <w:t xml:space="preserve">country’s </w:t>
      </w:r>
      <w:r w:rsidR="00A00A7C" w:rsidRPr="00A00A7C">
        <w:rPr>
          <w:rFonts w:ascii="Calibri" w:hAnsi="Calibri"/>
          <w:sz w:val="22"/>
          <w:szCs w:val="22"/>
        </w:rPr>
        <w:t>performance, the bigger the gap between the effective and the official age of retirement</w:t>
      </w:r>
      <w:r w:rsidR="00A00A7C">
        <w:rPr>
          <w:rFonts w:ascii="Calibri" w:hAnsi="Calibri"/>
          <w:sz w:val="22"/>
          <w:szCs w:val="22"/>
        </w:rPr>
        <w:t xml:space="preserve"> is</w:t>
      </w:r>
      <w:r w:rsidR="00A00A7C" w:rsidRPr="00A00A7C">
        <w:rPr>
          <w:rFonts w:ascii="Calibri" w:hAnsi="Calibri"/>
          <w:sz w:val="22"/>
          <w:szCs w:val="22"/>
        </w:rPr>
        <w:t>.</w:t>
      </w:r>
    </w:p>
    <w:p w14:paraId="5CBA589F" w14:textId="77777777" w:rsidR="00A00A7C" w:rsidRPr="00A00A7C" w:rsidRDefault="00A00A7C" w:rsidP="00404AF8">
      <w:pPr>
        <w:rPr>
          <w:rFonts w:ascii="Calibri" w:hAnsi="Calibri"/>
          <w:sz w:val="22"/>
          <w:szCs w:val="22"/>
        </w:rPr>
      </w:pPr>
    </w:p>
    <w:p w14:paraId="74434168" w14:textId="77777777" w:rsidR="00A00A7C" w:rsidRDefault="004C60B3" w:rsidP="00404AF8">
      <w:pPr>
        <w:rPr>
          <w:rFonts w:ascii="Calibri" w:hAnsi="Calibri"/>
          <w:sz w:val="22"/>
          <w:szCs w:val="22"/>
        </w:rPr>
      </w:pPr>
      <w:r w:rsidRPr="00A00A7C">
        <w:rPr>
          <w:rFonts w:ascii="Calibri" w:hAnsi="Calibri"/>
          <w:sz w:val="22"/>
          <w:szCs w:val="22"/>
        </w:rPr>
        <w:t>It may be seen tha</w:t>
      </w:r>
      <w:r w:rsidR="00A00A7C">
        <w:rPr>
          <w:rFonts w:ascii="Calibri" w:hAnsi="Calibri"/>
          <w:sz w:val="22"/>
          <w:szCs w:val="22"/>
        </w:rPr>
        <w:t>t for men, Australia ‘performs’:</w:t>
      </w:r>
    </w:p>
    <w:p w14:paraId="006FD457" w14:textId="77777777" w:rsidR="00A00A7C" w:rsidRPr="00A00A7C" w:rsidRDefault="004C60B3" w:rsidP="00A00A7C">
      <w:pPr>
        <w:pStyle w:val="ListParagraph"/>
        <w:numPr>
          <w:ilvl w:val="0"/>
          <w:numId w:val="24"/>
        </w:numPr>
        <w:rPr>
          <w:rFonts w:ascii="Calibri" w:hAnsi="Calibri"/>
          <w:sz w:val="22"/>
          <w:szCs w:val="22"/>
        </w:rPr>
      </w:pPr>
      <w:r w:rsidRPr="00A00A7C">
        <w:rPr>
          <w:rFonts w:ascii="Calibri" w:hAnsi="Calibri"/>
          <w:sz w:val="22"/>
          <w:szCs w:val="22"/>
        </w:rPr>
        <w:t>12 out of 34 countries</w:t>
      </w:r>
      <w:r w:rsidR="00A00A7C" w:rsidRPr="00A00A7C">
        <w:rPr>
          <w:rFonts w:ascii="Calibri" w:hAnsi="Calibri"/>
          <w:sz w:val="22"/>
          <w:szCs w:val="22"/>
        </w:rPr>
        <w:t xml:space="preserve"> for men’s effective age of retirement versus the official age</w:t>
      </w:r>
      <w:r w:rsidRPr="00A00A7C">
        <w:rPr>
          <w:rFonts w:ascii="Calibri" w:hAnsi="Calibri"/>
          <w:sz w:val="22"/>
          <w:szCs w:val="22"/>
        </w:rPr>
        <w:t xml:space="preserve">, and </w:t>
      </w:r>
    </w:p>
    <w:p w14:paraId="578CE287" w14:textId="07EDE9D4" w:rsidR="00A00A7C" w:rsidRPr="00301C34" w:rsidRDefault="00A00A7C" w:rsidP="00A00A7C">
      <w:pPr>
        <w:pStyle w:val="ListParagraph"/>
        <w:numPr>
          <w:ilvl w:val="0"/>
          <w:numId w:val="24"/>
        </w:numPr>
        <w:rPr>
          <w:rFonts w:ascii="Calibri" w:hAnsi="Calibri"/>
          <w:sz w:val="22"/>
          <w:szCs w:val="22"/>
        </w:rPr>
      </w:pPr>
      <w:r w:rsidRPr="00301C34">
        <w:rPr>
          <w:rFonts w:ascii="Calibri" w:hAnsi="Calibri"/>
          <w:sz w:val="22"/>
          <w:szCs w:val="22"/>
        </w:rPr>
        <w:t xml:space="preserve">For </w:t>
      </w:r>
      <w:r w:rsidR="004C60B3" w:rsidRPr="00301C34">
        <w:rPr>
          <w:rFonts w:ascii="Calibri" w:hAnsi="Calibri"/>
          <w:sz w:val="22"/>
          <w:szCs w:val="22"/>
        </w:rPr>
        <w:t>women</w:t>
      </w:r>
      <w:r w:rsidRPr="00301C34">
        <w:rPr>
          <w:rFonts w:ascii="Calibri" w:hAnsi="Calibri"/>
          <w:sz w:val="22"/>
          <w:szCs w:val="22"/>
        </w:rPr>
        <w:t>,</w:t>
      </w:r>
      <w:r w:rsidR="004C60B3" w:rsidRPr="00301C34">
        <w:rPr>
          <w:rFonts w:ascii="Calibri" w:hAnsi="Calibri"/>
          <w:sz w:val="22"/>
          <w:szCs w:val="22"/>
        </w:rPr>
        <w:t xml:space="preserve"> 16 out of 34 countries</w:t>
      </w:r>
      <w:r w:rsidRPr="00301C34">
        <w:rPr>
          <w:rFonts w:ascii="Calibri" w:hAnsi="Calibri"/>
          <w:sz w:val="22"/>
          <w:szCs w:val="22"/>
        </w:rPr>
        <w:t>.</w:t>
      </w:r>
    </w:p>
    <w:p w14:paraId="3E3ABEEB" w14:textId="77777777" w:rsidR="00A00A7C" w:rsidRDefault="00A00A7C" w:rsidP="00404AF8">
      <w:pPr>
        <w:rPr>
          <w:rFonts w:ascii="Calibri" w:hAnsi="Calibri"/>
          <w:sz w:val="22"/>
          <w:szCs w:val="22"/>
        </w:rPr>
      </w:pPr>
    </w:p>
    <w:p w14:paraId="4AB79C7C" w14:textId="77777777" w:rsidR="004C60B3" w:rsidRDefault="004C60B3" w:rsidP="004C60B3">
      <w:pPr>
        <w:ind w:hanging="284"/>
        <w:rPr>
          <w:rFonts w:asciiTheme="majorHAnsi" w:hAnsiTheme="majorHAnsi"/>
          <w:b/>
        </w:rPr>
      </w:pPr>
      <w:r>
        <w:rPr>
          <w:rFonts w:asciiTheme="majorHAnsi" w:hAnsiTheme="majorHAnsi"/>
          <w:b/>
          <w:noProof/>
          <w:lang w:eastAsia="en-AU"/>
        </w:rPr>
        <w:lastRenderedPageBreak/>
        <w:drawing>
          <wp:inline distT="0" distB="0" distL="0" distR="0" wp14:anchorId="00FB22D5" wp14:editId="53CC76B8">
            <wp:extent cx="6579023" cy="7082520"/>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2879" cy="7086671"/>
                    </a:xfrm>
                    <a:prstGeom prst="rect">
                      <a:avLst/>
                    </a:prstGeom>
                    <a:noFill/>
                    <a:ln>
                      <a:noFill/>
                    </a:ln>
                  </pic:spPr>
                </pic:pic>
              </a:graphicData>
            </a:graphic>
          </wp:inline>
        </w:drawing>
      </w:r>
    </w:p>
    <w:bookmarkEnd w:id="16"/>
    <w:bookmarkEnd w:id="17"/>
    <w:p w14:paraId="4D301FF7" w14:textId="4A47182D" w:rsidR="00A00A7C" w:rsidRDefault="00A00A7C">
      <w:pPr>
        <w:rPr>
          <w:rFonts w:ascii="Arial" w:eastAsia="Times New Roman" w:hAnsi="Arial" w:cs="Arial"/>
          <w:b/>
          <w:bCs/>
          <w:iCs/>
          <w:color w:val="1F497D" w:themeColor="text2"/>
          <w:sz w:val="28"/>
          <w:szCs w:val="28"/>
          <w:lang w:eastAsia="en-AU"/>
        </w:rPr>
      </w:pPr>
      <w:r>
        <w:br w:type="page"/>
      </w:r>
    </w:p>
    <w:p w14:paraId="18E90153" w14:textId="77777777" w:rsidR="000340A4" w:rsidRDefault="000340A4" w:rsidP="000340A4">
      <w:pPr>
        <w:pStyle w:val="Heading2"/>
        <w:numPr>
          <w:ilvl w:val="0"/>
          <w:numId w:val="0"/>
        </w:numPr>
        <w:ind w:left="578"/>
      </w:pPr>
    </w:p>
    <w:p w14:paraId="04385A5E" w14:textId="77777777" w:rsidR="000340A4" w:rsidRDefault="000340A4" w:rsidP="000340A4">
      <w:pPr>
        <w:pStyle w:val="Heading2"/>
        <w:numPr>
          <w:ilvl w:val="0"/>
          <w:numId w:val="0"/>
        </w:numPr>
      </w:pPr>
    </w:p>
    <w:p w14:paraId="538C2101" w14:textId="2FD8256F" w:rsidR="00750B02" w:rsidRDefault="00750B02" w:rsidP="00750B02">
      <w:pPr>
        <w:pStyle w:val="Heading2"/>
        <w:ind w:left="578" w:hanging="578"/>
      </w:pPr>
      <w:r>
        <w:rPr>
          <w:lang w:eastAsia="zh-CN"/>
        </w:rPr>
        <w:t>When Australians retire</w:t>
      </w:r>
    </w:p>
    <w:p w14:paraId="6E167975" w14:textId="24F565BF" w:rsidR="00750B02" w:rsidRPr="00750B02" w:rsidRDefault="00750B02" w:rsidP="00750B02">
      <w:pPr>
        <w:pStyle w:val="Heading2"/>
        <w:numPr>
          <w:ilvl w:val="0"/>
          <w:numId w:val="0"/>
        </w:numPr>
        <w:rPr>
          <w:rFonts w:ascii="Calibri" w:eastAsiaTheme="minorEastAsia" w:hAnsi="Calibri" w:cstheme="minorBidi"/>
          <w:b w:val="0"/>
          <w:bCs w:val="0"/>
          <w:iCs w:val="0"/>
          <w:color w:val="auto"/>
          <w:sz w:val="22"/>
          <w:szCs w:val="22"/>
        </w:rPr>
      </w:pPr>
      <w:r>
        <w:rPr>
          <w:rFonts w:ascii="Calibri" w:eastAsiaTheme="minorEastAsia" w:hAnsi="Calibri" w:cstheme="minorBidi"/>
          <w:b w:val="0"/>
          <w:bCs w:val="0"/>
          <w:iCs w:val="0"/>
          <w:color w:val="auto"/>
          <w:sz w:val="22"/>
          <w:szCs w:val="22"/>
        </w:rPr>
        <w:t xml:space="preserve">According </w:t>
      </w:r>
      <w:r w:rsidR="004C60B3" w:rsidRPr="00750B02">
        <w:rPr>
          <w:rFonts w:ascii="Calibri" w:eastAsiaTheme="minorEastAsia" w:hAnsi="Calibri" w:cstheme="minorBidi"/>
          <w:b w:val="0"/>
          <w:bCs w:val="0"/>
          <w:iCs w:val="0"/>
          <w:color w:val="auto"/>
          <w:sz w:val="22"/>
          <w:szCs w:val="22"/>
        </w:rPr>
        <w:t>to the 2010-2011 Australian Bureau of Statistics survey</w:t>
      </w:r>
      <w:r w:rsidR="004C60B3" w:rsidRPr="004F666E">
        <w:rPr>
          <w:rStyle w:val="FootnoteReference"/>
          <w:rFonts w:ascii="Times" w:eastAsiaTheme="minorEastAsia" w:hAnsi="Times"/>
          <w:sz w:val="20"/>
          <w:szCs w:val="20"/>
        </w:rPr>
        <w:footnoteReference w:id="11"/>
      </w:r>
      <w:r w:rsidR="004C60B3" w:rsidRPr="004F666E">
        <w:rPr>
          <w:rStyle w:val="FootnoteReference"/>
          <w:rFonts w:ascii="Times" w:eastAsiaTheme="minorEastAsia" w:hAnsi="Times"/>
          <w:sz w:val="20"/>
          <w:szCs w:val="20"/>
        </w:rPr>
        <w:t xml:space="preserve">, </w:t>
      </w:r>
      <w:r w:rsidRPr="00750B02">
        <w:rPr>
          <w:rFonts w:ascii="Calibri" w:eastAsiaTheme="minorEastAsia" w:hAnsi="Calibri" w:cstheme="minorBidi"/>
          <w:b w:val="0"/>
          <w:bCs w:val="0"/>
          <w:iCs w:val="0"/>
          <w:color w:val="auto"/>
          <w:sz w:val="22"/>
          <w:szCs w:val="22"/>
        </w:rPr>
        <w:t>the average age at retirement for people aged 45 years and over in 2010-2011 was 53.3 years (57.9 years for men and 49.6 years for women).</w:t>
      </w:r>
      <w:r w:rsidR="004C60B3" w:rsidRPr="00750B02">
        <w:rPr>
          <w:rFonts w:ascii="Calibri" w:eastAsiaTheme="minorEastAsia" w:hAnsi="Calibri" w:cstheme="minorBidi"/>
          <w:b w:val="0"/>
          <w:bCs w:val="0"/>
          <w:iCs w:val="0"/>
          <w:color w:val="auto"/>
          <w:sz w:val="22"/>
          <w:szCs w:val="22"/>
        </w:rPr>
        <w:t xml:space="preserve"> The ABS</w:t>
      </w:r>
      <w:r w:rsidR="004C60B3" w:rsidRPr="004C60B3">
        <w:rPr>
          <w:lang w:eastAsia="zh-CN"/>
        </w:rPr>
        <w:t xml:space="preserve"> </w:t>
      </w:r>
      <w:r w:rsidR="004C60B3" w:rsidRPr="00750B02">
        <w:rPr>
          <w:rFonts w:ascii="Calibri" w:eastAsiaTheme="minorEastAsia" w:hAnsi="Calibri" w:cstheme="minorBidi"/>
          <w:b w:val="0"/>
          <w:bCs w:val="0"/>
          <w:iCs w:val="0"/>
          <w:color w:val="auto"/>
          <w:sz w:val="22"/>
          <w:szCs w:val="22"/>
        </w:rPr>
        <w:t>notes that due to survivorship bias</w:t>
      </w:r>
      <w:r w:rsidR="004C60B3" w:rsidRPr="007F50CE">
        <w:rPr>
          <w:rStyle w:val="FootnoteReference"/>
          <w:rFonts w:eastAsia="Calibri" w:cs="Times New Roman"/>
          <w:sz w:val="16"/>
          <w:szCs w:val="20"/>
        </w:rPr>
        <w:footnoteReference w:id="12"/>
      </w:r>
      <w:r w:rsidR="004C60B3" w:rsidRPr="007F50CE">
        <w:rPr>
          <w:rStyle w:val="FootnoteReference"/>
          <w:rFonts w:eastAsia="Calibri" w:cs="Times New Roman"/>
          <w:sz w:val="16"/>
          <w:szCs w:val="20"/>
        </w:rPr>
        <w:t xml:space="preserve"> </w:t>
      </w:r>
      <w:r w:rsidR="004C60B3" w:rsidRPr="00750B02">
        <w:rPr>
          <w:rFonts w:ascii="Calibri" w:eastAsiaTheme="minorEastAsia" w:hAnsi="Calibri" w:cstheme="minorBidi"/>
          <w:b w:val="0"/>
          <w:bCs w:val="0"/>
          <w:iCs w:val="0"/>
          <w:color w:val="auto"/>
          <w:sz w:val="22"/>
          <w:szCs w:val="22"/>
        </w:rPr>
        <w:t>and because older Australians still in the work force are not surveyed, the actual proportion of all Australians that retire before these ages would be lower.</w:t>
      </w:r>
    </w:p>
    <w:p w14:paraId="3C4141F3" w14:textId="77777777" w:rsidR="004C60B3" w:rsidRDefault="004C60B3"/>
    <w:p w14:paraId="25A193FB" w14:textId="77777777" w:rsidR="00750B02" w:rsidRPr="00A00A7C" w:rsidRDefault="00750B02" w:rsidP="00750B0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b/>
          <w:sz w:val="22"/>
          <w:szCs w:val="22"/>
        </w:rPr>
      </w:pPr>
      <w:r w:rsidRPr="00A00A7C">
        <w:rPr>
          <w:rFonts w:ascii="Calibri" w:hAnsi="Calibri"/>
          <w:b/>
          <w:sz w:val="22"/>
          <w:szCs w:val="22"/>
        </w:rPr>
        <w:t>Recommendations</w:t>
      </w:r>
    </w:p>
    <w:p w14:paraId="66A9BC7A" w14:textId="77777777" w:rsidR="00A00A7C" w:rsidRDefault="00750B02" w:rsidP="00750B0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sz w:val="22"/>
          <w:szCs w:val="22"/>
        </w:rPr>
      </w:pPr>
      <w:r w:rsidRPr="00A00A7C">
        <w:rPr>
          <w:rFonts w:ascii="Calibri" w:hAnsi="Calibri"/>
          <w:sz w:val="22"/>
          <w:szCs w:val="22"/>
        </w:rPr>
        <w:t xml:space="preserve">Any changes to rules implemented as part of the taxation system, such as the preservation of superannuation, affect decisions of Australians to remain in the workforce.  </w:t>
      </w:r>
    </w:p>
    <w:p w14:paraId="44EBFC24" w14:textId="77777777" w:rsidR="00A00A7C" w:rsidRDefault="00A00A7C" w:rsidP="00750B0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sz w:val="22"/>
          <w:szCs w:val="22"/>
        </w:rPr>
      </w:pPr>
    </w:p>
    <w:p w14:paraId="42B6D22F" w14:textId="18B077AE" w:rsidR="00750B02" w:rsidRDefault="00750B02" w:rsidP="00750B0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sz w:val="22"/>
          <w:szCs w:val="22"/>
        </w:rPr>
      </w:pPr>
      <w:r w:rsidRPr="00A00A7C">
        <w:rPr>
          <w:rFonts w:ascii="Calibri" w:hAnsi="Calibri"/>
          <w:sz w:val="22"/>
          <w:szCs w:val="22"/>
        </w:rPr>
        <w:t xml:space="preserve">The tax </w:t>
      </w:r>
      <w:r w:rsidR="00A00A7C">
        <w:rPr>
          <w:rFonts w:ascii="Calibri" w:hAnsi="Calibri"/>
          <w:sz w:val="22"/>
          <w:szCs w:val="22"/>
        </w:rPr>
        <w:t>system</w:t>
      </w:r>
      <w:r w:rsidRPr="00A00A7C">
        <w:rPr>
          <w:rFonts w:ascii="Calibri" w:hAnsi="Calibri"/>
          <w:sz w:val="22"/>
          <w:szCs w:val="22"/>
        </w:rPr>
        <w:t xml:space="preserve"> also needs to recognise and treat fairly those individuals who are unable to work to ‘retirement age’.</w:t>
      </w:r>
    </w:p>
    <w:p w14:paraId="2C34D82E" w14:textId="77777777" w:rsidR="00A00A7C" w:rsidRPr="00A00A7C" w:rsidRDefault="00A00A7C" w:rsidP="00750B0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sz w:val="22"/>
          <w:szCs w:val="22"/>
        </w:rPr>
      </w:pPr>
    </w:p>
    <w:p w14:paraId="3C7F40FF" w14:textId="3F0CC1C1" w:rsidR="003F61EF" w:rsidRPr="00A00A7C" w:rsidRDefault="00750B02" w:rsidP="00750B02">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Calibri" w:hAnsi="Calibri"/>
          <w:sz w:val="22"/>
          <w:szCs w:val="22"/>
        </w:rPr>
      </w:pPr>
      <w:r w:rsidRPr="00A00A7C">
        <w:rPr>
          <w:rFonts w:ascii="Calibri" w:hAnsi="Calibri"/>
          <w:sz w:val="22"/>
          <w:szCs w:val="22"/>
        </w:rPr>
        <w:t>Superannuation including taxation of superannuation policies should be examined within the context of a framework which sets system objectives, KPIs, and a governance mechanism to assess progress.</w:t>
      </w:r>
      <w:r w:rsidR="003F61EF" w:rsidRPr="00A00A7C">
        <w:rPr>
          <w:rFonts w:ascii="Calibri" w:hAnsi="Calibri"/>
          <w:sz w:val="22"/>
          <w:szCs w:val="22"/>
        </w:rPr>
        <w:br w:type="page"/>
      </w:r>
    </w:p>
    <w:p w14:paraId="041DDE8A" w14:textId="77777777" w:rsidR="00301C34" w:rsidRDefault="00301C34" w:rsidP="004F666E">
      <w:pPr>
        <w:pStyle w:val="ListParagraph"/>
        <w:ind w:left="0"/>
        <w:rPr>
          <w:rFonts w:ascii="Calibri" w:hAnsi="Calibri"/>
          <w:sz w:val="22"/>
          <w:szCs w:val="22"/>
        </w:rPr>
      </w:pPr>
    </w:p>
    <w:p w14:paraId="7711D701" w14:textId="77777777" w:rsidR="00301C34" w:rsidRDefault="00301C34" w:rsidP="00301C34">
      <w:pPr>
        <w:pStyle w:val="Heading1"/>
        <w:ind w:left="431" w:hanging="431"/>
        <w:rPr>
          <w:rFonts w:eastAsiaTheme="minorHAnsi"/>
        </w:rPr>
      </w:pPr>
      <w:bookmarkStart w:id="18" w:name="_Toc433986872"/>
      <w:r>
        <w:rPr>
          <w:rFonts w:eastAsiaTheme="minorHAnsi"/>
        </w:rPr>
        <w:t>Research commissioned by AIST into the age of retirement and involuntary retirement</w:t>
      </w:r>
    </w:p>
    <w:bookmarkEnd w:id="18"/>
    <w:p w14:paraId="3DCCB519" w14:textId="77777777" w:rsidR="00301C34" w:rsidRDefault="00301C34" w:rsidP="00301C34">
      <w:pPr>
        <w:pStyle w:val="ListParagraph"/>
        <w:ind w:left="0"/>
        <w:rPr>
          <w:rFonts w:ascii="Calibri" w:hAnsi="Calibri"/>
          <w:sz w:val="22"/>
          <w:szCs w:val="22"/>
        </w:rPr>
      </w:pPr>
      <w:r w:rsidRPr="000340A4">
        <w:rPr>
          <w:rFonts w:ascii="Calibri" w:hAnsi="Calibri"/>
          <w:sz w:val="22"/>
          <w:szCs w:val="22"/>
        </w:rPr>
        <w:t>As part of its ongoing research program, AIST had commissioned two specific pieces of research into the age of retirement and causes of retirement.</w:t>
      </w:r>
    </w:p>
    <w:p w14:paraId="3702876B" w14:textId="77777777" w:rsidR="00301C34" w:rsidRPr="000340A4" w:rsidRDefault="00301C34" w:rsidP="004F666E">
      <w:pPr>
        <w:pStyle w:val="ListParagraph"/>
        <w:ind w:left="0"/>
        <w:rPr>
          <w:rFonts w:ascii="Calibri" w:hAnsi="Calibri"/>
          <w:sz w:val="22"/>
          <w:szCs w:val="22"/>
        </w:rPr>
      </w:pPr>
    </w:p>
    <w:p w14:paraId="3A739EE6" w14:textId="77777777" w:rsidR="00FF4EDD" w:rsidRPr="007F50CE" w:rsidRDefault="00FF4EDD" w:rsidP="00FF4EDD">
      <w:pPr>
        <w:pStyle w:val="Heading2"/>
        <w:ind w:left="578" w:hanging="578"/>
        <w:rPr>
          <w:lang w:eastAsia="zh-CN"/>
        </w:rPr>
      </w:pPr>
      <w:r>
        <w:rPr>
          <w:lang w:eastAsia="zh-CN"/>
        </w:rPr>
        <w:t>The Age of Retirement – Australian Centre for Financial Studies 2013</w:t>
      </w:r>
    </w:p>
    <w:p w14:paraId="20CEE20D" w14:textId="6808B6A8" w:rsidR="000B1320" w:rsidRPr="00301C34" w:rsidRDefault="00FF4EDD" w:rsidP="004F666E">
      <w:pPr>
        <w:pStyle w:val="ListParagraph"/>
        <w:ind w:left="0"/>
        <w:rPr>
          <w:rFonts w:ascii="Calibri" w:hAnsi="Calibri"/>
          <w:sz w:val="22"/>
          <w:szCs w:val="22"/>
        </w:rPr>
      </w:pPr>
      <w:r w:rsidRPr="00301C34">
        <w:rPr>
          <w:rFonts w:ascii="Calibri" w:hAnsi="Calibri"/>
          <w:sz w:val="22"/>
          <w:szCs w:val="22"/>
        </w:rPr>
        <w:t xml:space="preserve">This research examines </w:t>
      </w:r>
      <w:r w:rsidR="0059275A" w:rsidRPr="00301C34">
        <w:rPr>
          <w:rFonts w:ascii="Calibri" w:hAnsi="Calibri"/>
          <w:sz w:val="22"/>
          <w:szCs w:val="22"/>
        </w:rPr>
        <w:t>what is me</w:t>
      </w:r>
      <w:r w:rsidR="000B1320" w:rsidRPr="00301C34">
        <w:rPr>
          <w:rFonts w:ascii="Calibri" w:hAnsi="Calibri"/>
          <w:sz w:val="22"/>
          <w:szCs w:val="22"/>
        </w:rPr>
        <w:t>ant by the ‘age of retirement’</w:t>
      </w:r>
      <w:r w:rsidRPr="00301C34">
        <w:rPr>
          <w:rFonts w:ascii="Calibri" w:hAnsi="Calibri"/>
          <w:sz w:val="22"/>
          <w:szCs w:val="22"/>
        </w:rPr>
        <w:t xml:space="preserve"> and includes:</w:t>
      </w:r>
    </w:p>
    <w:p w14:paraId="09CB456C" w14:textId="435444E1" w:rsidR="00FF4EDD" w:rsidRPr="000340A4" w:rsidRDefault="00FF4EDD" w:rsidP="004F666E">
      <w:pPr>
        <w:pStyle w:val="ListParagraph"/>
        <w:numPr>
          <w:ilvl w:val="0"/>
          <w:numId w:val="3"/>
        </w:numPr>
        <w:rPr>
          <w:rFonts w:ascii="Calibri" w:hAnsi="Calibri"/>
          <w:sz w:val="22"/>
          <w:szCs w:val="22"/>
        </w:rPr>
      </w:pPr>
      <w:r w:rsidRPr="000340A4">
        <w:rPr>
          <w:rFonts w:ascii="Calibri" w:hAnsi="Calibri"/>
          <w:sz w:val="22"/>
          <w:szCs w:val="22"/>
        </w:rPr>
        <w:t>An examination as to whether Australians believe they will have sufficient retirement moneys.</w:t>
      </w:r>
    </w:p>
    <w:p w14:paraId="3B2631E0" w14:textId="03808F1D" w:rsidR="00FF4EDD" w:rsidRPr="000340A4" w:rsidRDefault="00FF4EDD" w:rsidP="004F666E">
      <w:pPr>
        <w:pStyle w:val="ListParagraph"/>
        <w:numPr>
          <w:ilvl w:val="0"/>
          <w:numId w:val="3"/>
        </w:numPr>
        <w:rPr>
          <w:rFonts w:ascii="Calibri" w:hAnsi="Calibri"/>
          <w:sz w:val="22"/>
          <w:szCs w:val="22"/>
        </w:rPr>
      </w:pPr>
      <w:r w:rsidRPr="000340A4">
        <w:rPr>
          <w:rFonts w:ascii="Calibri" w:hAnsi="Calibri"/>
          <w:sz w:val="22"/>
          <w:szCs w:val="22"/>
        </w:rPr>
        <w:t>A review of the gap between preservation age and age pension age.</w:t>
      </w:r>
    </w:p>
    <w:p w14:paraId="254281F6" w14:textId="68B4F5F7" w:rsidR="00FF4EDD" w:rsidRPr="000340A4" w:rsidRDefault="00FF4EDD" w:rsidP="004F666E">
      <w:pPr>
        <w:pStyle w:val="ListParagraph"/>
        <w:numPr>
          <w:ilvl w:val="0"/>
          <w:numId w:val="3"/>
        </w:numPr>
        <w:rPr>
          <w:rFonts w:ascii="Calibri" w:hAnsi="Calibri"/>
          <w:sz w:val="22"/>
          <w:szCs w:val="22"/>
        </w:rPr>
      </w:pPr>
      <w:r w:rsidRPr="000340A4">
        <w:rPr>
          <w:rFonts w:ascii="Calibri" w:hAnsi="Calibri"/>
          <w:sz w:val="22"/>
          <w:szCs w:val="22"/>
        </w:rPr>
        <w:t>How many people – both in Australia and overseas – go back to work after they have ‘retired’.</w:t>
      </w:r>
    </w:p>
    <w:p w14:paraId="40CBE24A" w14:textId="2EABE525" w:rsidR="00FF4EDD" w:rsidRPr="000340A4" w:rsidRDefault="00FF4EDD" w:rsidP="004F666E">
      <w:pPr>
        <w:pStyle w:val="ListParagraph"/>
        <w:numPr>
          <w:ilvl w:val="0"/>
          <w:numId w:val="3"/>
        </w:numPr>
        <w:rPr>
          <w:rFonts w:ascii="Calibri" w:hAnsi="Calibri"/>
          <w:sz w:val="22"/>
          <w:szCs w:val="22"/>
        </w:rPr>
      </w:pPr>
      <w:r w:rsidRPr="000340A4">
        <w:rPr>
          <w:rFonts w:ascii="Calibri" w:hAnsi="Calibri"/>
          <w:sz w:val="22"/>
          <w:szCs w:val="22"/>
        </w:rPr>
        <w:t>International trends on determinants of actual retirement decisions.</w:t>
      </w:r>
    </w:p>
    <w:p w14:paraId="53098122" w14:textId="13829695" w:rsidR="00FF4EDD" w:rsidRPr="000340A4" w:rsidRDefault="00FF4EDD" w:rsidP="004F666E">
      <w:pPr>
        <w:pStyle w:val="ListParagraph"/>
        <w:numPr>
          <w:ilvl w:val="0"/>
          <w:numId w:val="3"/>
        </w:numPr>
        <w:rPr>
          <w:rFonts w:ascii="Calibri" w:hAnsi="Calibri"/>
          <w:sz w:val="22"/>
          <w:szCs w:val="22"/>
        </w:rPr>
      </w:pPr>
      <w:r w:rsidRPr="000340A4">
        <w:rPr>
          <w:rFonts w:ascii="Calibri" w:hAnsi="Calibri"/>
          <w:sz w:val="22"/>
          <w:szCs w:val="22"/>
        </w:rPr>
        <w:t>Identifying issues within the Australian system.</w:t>
      </w:r>
    </w:p>
    <w:p w14:paraId="48B4E0D1" w14:textId="2DFE57CD" w:rsidR="000B1320" w:rsidRPr="000340A4" w:rsidRDefault="000B1320" w:rsidP="004F666E">
      <w:pPr>
        <w:pStyle w:val="ListParagraph"/>
        <w:numPr>
          <w:ilvl w:val="0"/>
          <w:numId w:val="3"/>
        </w:numPr>
        <w:rPr>
          <w:rFonts w:ascii="Calibri" w:hAnsi="Calibri"/>
          <w:sz w:val="22"/>
          <w:szCs w:val="22"/>
        </w:rPr>
      </w:pPr>
      <w:r w:rsidRPr="000340A4">
        <w:rPr>
          <w:rFonts w:ascii="Calibri" w:hAnsi="Calibri"/>
          <w:sz w:val="22"/>
          <w:szCs w:val="22"/>
        </w:rPr>
        <w:t>Which types of members retire involuntarily, as such cohorts would be adversely affected by any changes to preservation age and age pension age and would need policy recognition. These cohorts have their retirement plans abruptly interrupted, and don’t gain the benefits from compound interest further improving their savings over longer periods.</w:t>
      </w:r>
      <w:r w:rsidR="004F666E" w:rsidRPr="000340A4">
        <w:rPr>
          <w:rFonts w:ascii="Calibri" w:hAnsi="Calibri"/>
          <w:sz w:val="22"/>
          <w:szCs w:val="22"/>
        </w:rPr>
        <w:br/>
      </w:r>
    </w:p>
    <w:p w14:paraId="296D190F" w14:textId="6641ED35" w:rsidR="000B1320" w:rsidRPr="000340A4" w:rsidRDefault="004F666E" w:rsidP="004F666E">
      <w:pPr>
        <w:pStyle w:val="ListParagraph"/>
        <w:ind w:left="0"/>
        <w:rPr>
          <w:rFonts w:ascii="Calibri" w:hAnsi="Calibri"/>
          <w:sz w:val="22"/>
          <w:szCs w:val="22"/>
        </w:rPr>
      </w:pPr>
      <w:r w:rsidRPr="000340A4">
        <w:rPr>
          <w:rFonts w:ascii="Calibri" w:hAnsi="Calibri"/>
          <w:sz w:val="22"/>
          <w:szCs w:val="22"/>
        </w:rPr>
        <w:t xml:space="preserve">A copy of the research </w:t>
      </w:r>
      <w:r w:rsidR="00852584">
        <w:rPr>
          <w:rFonts w:ascii="Calibri" w:hAnsi="Calibri"/>
          <w:sz w:val="22"/>
          <w:szCs w:val="22"/>
        </w:rPr>
        <w:t>is annexed - see</w:t>
      </w:r>
      <w:r w:rsidRPr="000340A4">
        <w:rPr>
          <w:rFonts w:ascii="Calibri" w:hAnsi="Calibri"/>
          <w:sz w:val="22"/>
          <w:szCs w:val="22"/>
        </w:rPr>
        <w:t xml:space="preserve"> Annexure B.</w:t>
      </w:r>
    </w:p>
    <w:p w14:paraId="786E73A2" w14:textId="77777777" w:rsidR="004F666E" w:rsidRPr="004F666E" w:rsidRDefault="004F666E" w:rsidP="004F666E">
      <w:pPr>
        <w:pStyle w:val="ListParagraph"/>
        <w:ind w:left="0"/>
        <w:rPr>
          <w:sz w:val="16"/>
          <w:szCs w:val="16"/>
        </w:rPr>
      </w:pPr>
    </w:p>
    <w:p w14:paraId="06C71C23" w14:textId="6DA43827" w:rsidR="004F666E" w:rsidRPr="007F50CE" w:rsidRDefault="004F666E" w:rsidP="004F666E">
      <w:pPr>
        <w:pStyle w:val="Heading2"/>
        <w:ind w:left="578" w:hanging="578"/>
        <w:rPr>
          <w:lang w:eastAsia="zh-CN"/>
        </w:rPr>
      </w:pPr>
      <w:r>
        <w:rPr>
          <w:lang w:eastAsia="zh-CN"/>
        </w:rPr>
        <w:t>Involuntary Retirement, Characteristics and Implications – Australian Centre for Financial Studies 2014</w:t>
      </w:r>
    </w:p>
    <w:p w14:paraId="1F8F1AD2" w14:textId="53B8E424" w:rsidR="004F666E" w:rsidRPr="00301C34" w:rsidRDefault="004F666E" w:rsidP="004F666E">
      <w:pPr>
        <w:pStyle w:val="ListParagraph"/>
        <w:ind w:left="0"/>
        <w:rPr>
          <w:rFonts w:ascii="Calibri" w:hAnsi="Calibri"/>
          <w:sz w:val="22"/>
          <w:szCs w:val="22"/>
        </w:rPr>
      </w:pPr>
      <w:r w:rsidRPr="00301C34">
        <w:rPr>
          <w:rFonts w:ascii="Calibri" w:hAnsi="Calibri"/>
          <w:sz w:val="22"/>
          <w:szCs w:val="22"/>
        </w:rPr>
        <w:t>This research examines different approaches to retirement, and which cohorts retire involuntarily and the causes, and includes:</w:t>
      </w:r>
    </w:p>
    <w:p w14:paraId="6F46D3E9" w14:textId="77777777" w:rsidR="004F666E" w:rsidRPr="000340A4" w:rsidRDefault="004F666E" w:rsidP="004F666E">
      <w:pPr>
        <w:pStyle w:val="ListParagraph"/>
        <w:numPr>
          <w:ilvl w:val="0"/>
          <w:numId w:val="3"/>
        </w:numPr>
        <w:rPr>
          <w:rFonts w:ascii="Calibri" w:hAnsi="Calibri"/>
          <w:sz w:val="22"/>
          <w:szCs w:val="22"/>
        </w:rPr>
      </w:pPr>
      <w:r w:rsidRPr="000340A4">
        <w:rPr>
          <w:rFonts w:ascii="Calibri" w:hAnsi="Calibri"/>
          <w:sz w:val="22"/>
          <w:szCs w:val="22"/>
        </w:rPr>
        <w:t>How many retire involuntarily.</w:t>
      </w:r>
    </w:p>
    <w:p w14:paraId="29A93223" w14:textId="77777777" w:rsidR="004F666E" w:rsidRPr="000340A4" w:rsidRDefault="004F666E" w:rsidP="004F666E">
      <w:pPr>
        <w:pStyle w:val="ListParagraph"/>
        <w:numPr>
          <w:ilvl w:val="0"/>
          <w:numId w:val="3"/>
        </w:numPr>
        <w:rPr>
          <w:rFonts w:ascii="Calibri" w:hAnsi="Calibri"/>
          <w:sz w:val="22"/>
          <w:szCs w:val="22"/>
        </w:rPr>
      </w:pPr>
      <w:r w:rsidRPr="000340A4">
        <w:rPr>
          <w:rFonts w:ascii="Calibri" w:hAnsi="Calibri"/>
          <w:sz w:val="22"/>
          <w:szCs w:val="22"/>
        </w:rPr>
        <w:t>Who is at risk of involuntary retirement.</w:t>
      </w:r>
    </w:p>
    <w:p w14:paraId="30DB17F3" w14:textId="44A2BE48" w:rsidR="004F666E" w:rsidRPr="000340A4" w:rsidRDefault="004F666E" w:rsidP="004F666E">
      <w:pPr>
        <w:pStyle w:val="ListParagraph"/>
        <w:numPr>
          <w:ilvl w:val="0"/>
          <w:numId w:val="3"/>
        </w:numPr>
        <w:rPr>
          <w:rFonts w:ascii="Calibri" w:hAnsi="Calibri"/>
          <w:sz w:val="22"/>
          <w:szCs w:val="22"/>
        </w:rPr>
      </w:pPr>
      <w:r w:rsidRPr="000340A4">
        <w:rPr>
          <w:rFonts w:ascii="Calibri" w:hAnsi="Calibri"/>
          <w:sz w:val="22"/>
          <w:szCs w:val="22"/>
        </w:rPr>
        <w:t>The causes of involuntary retirement.</w:t>
      </w:r>
    </w:p>
    <w:p w14:paraId="326ABA1B" w14:textId="6C439137" w:rsidR="004F666E" w:rsidRPr="000340A4" w:rsidRDefault="004F666E" w:rsidP="004F666E">
      <w:pPr>
        <w:pStyle w:val="ListParagraph"/>
        <w:numPr>
          <w:ilvl w:val="0"/>
          <w:numId w:val="3"/>
        </w:numPr>
        <w:rPr>
          <w:rFonts w:ascii="Calibri" w:hAnsi="Calibri"/>
          <w:sz w:val="22"/>
          <w:szCs w:val="22"/>
        </w:rPr>
      </w:pPr>
      <w:r w:rsidRPr="000340A4">
        <w:rPr>
          <w:rFonts w:ascii="Calibri" w:hAnsi="Calibri"/>
          <w:sz w:val="22"/>
          <w:szCs w:val="22"/>
        </w:rPr>
        <w:t>The impact of involuntary retirement on financial wellbeing.</w:t>
      </w:r>
    </w:p>
    <w:p w14:paraId="22240415" w14:textId="762A8FD5" w:rsidR="004F666E" w:rsidRPr="000340A4" w:rsidRDefault="004F666E" w:rsidP="004F666E">
      <w:pPr>
        <w:pStyle w:val="ListParagraph"/>
        <w:numPr>
          <w:ilvl w:val="0"/>
          <w:numId w:val="3"/>
        </w:numPr>
        <w:rPr>
          <w:rFonts w:ascii="Calibri" w:hAnsi="Calibri"/>
          <w:sz w:val="22"/>
          <w:szCs w:val="22"/>
        </w:rPr>
      </w:pPr>
      <w:r w:rsidRPr="000340A4">
        <w:rPr>
          <w:rFonts w:ascii="Calibri" w:hAnsi="Calibri"/>
          <w:sz w:val="22"/>
          <w:szCs w:val="22"/>
        </w:rPr>
        <w:t>Examining the impact that any increase to the official retirement age would have upon Australians.</w:t>
      </w:r>
    </w:p>
    <w:p w14:paraId="59DCCED8" w14:textId="77777777" w:rsidR="004F666E" w:rsidRDefault="004F666E" w:rsidP="004F666E">
      <w:pPr>
        <w:pStyle w:val="ListParagraph"/>
        <w:ind w:left="0"/>
      </w:pPr>
    </w:p>
    <w:p w14:paraId="5ABD60E2" w14:textId="545BF1C6" w:rsidR="004F666E" w:rsidRPr="000340A4" w:rsidRDefault="004F666E" w:rsidP="004F666E">
      <w:pPr>
        <w:pStyle w:val="ListParagraph"/>
        <w:ind w:left="0"/>
        <w:rPr>
          <w:rFonts w:ascii="Calibri" w:hAnsi="Calibri"/>
          <w:sz w:val="22"/>
          <w:szCs w:val="22"/>
        </w:rPr>
      </w:pPr>
      <w:r w:rsidRPr="000340A4">
        <w:rPr>
          <w:rFonts w:ascii="Calibri" w:hAnsi="Calibri"/>
          <w:sz w:val="22"/>
          <w:szCs w:val="22"/>
        </w:rPr>
        <w:t xml:space="preserve">A copy of the research </w:t>
      </w:r>
      <w:r w:rsidR="00852584">
        <w:rPr>
          <w:rFonts w:ascii="Calibri" w:hAnsi="Calibri"/>
          <w:sz w:val="22"/>
          <w:szCs w:val="22"/>
        </w:rPr>
        <w:t>is annexed - see</w:t>
      </w:r>
      <w:r w:rsidRPr="000340A4">
        <w:rPr>
          <w:rFonts w:ascii="Calibri" w:hAnsi="Calibri"/>
          <w:sz w:val="22"/>
          <w:szCs w:val="22"/>
        </w:rPr>
        <w:t xml:space="preserve"> Annexure C.</w:t>
      </w:r>
    </w:p>
    <w:p w14:paraId="4056F913" w14:textId="77777777" w:rsidR="004F666E" w:rsidRDefault="004F666E" w:rsidP="004F666E">
      <w:pPr>
        <w:pStyle w:val="ListParagraph"/>
        <w:ind w:left="0"/>
      </w:pPr>
    </w:p>
    <w:p w14:paraId="639E250B" w14:textId="77777777" w:rsidR="004F666E" w:rsidRDefault="004F666E" w:rsidP="004F666E">
      <w:pPr>
        <w:pStyle w:val="ListParagraph"/>
        <w:ind w:left="0"/>
      </w:pPr>
    </w:p>
    <w:p w14:paraId="44FFFA5A" w14:textId="77777777" w:rsidR="004F666E" w:rsidRDefault="004F666E" w:rsidP="004F666E">
      <w:pPr>
        <w:pStyle w:val="ListParagraph"/>
        <w:ind w:left="0"/>
      </w:pPr>
    </w:p>
    <w:p w14:paraId="11D5F1D9" w14:textId="57ABC36F" w:rsidR="004F666E" w:rsidRDefault="004F666E">
      <w:pPr>
        <w:rPr>
          <w:rFonts w:ascii="Calibri" w:hAnsi="Calibri"/>
          <w:sz w:val="22"/>
          <w:szCs w:val="22"/>
          <w:lang w:eastAsia="en-AU"/>
        </w:rPr>
      </w:pPr>
      <w:r>
        <w:br w:type="page"/>
      </w:r>
    </w:p>
    <w:p w14:paraId="57DCE509" w14:textId="77777777" w:rsidR="000340A4" w:rsidRDefault="000340A4" w:rsidP="002D3278">
      <w:pPr>
        <w:pStyle w:val="ListParagraph"/>
        <w:ind w:left="0"/>
        <w:rPr>
          <w:rFonts w:ascii="Calibri" w:hAnsi="Calibri"/>
          <w:sz w:val="22"/>
          <w:szCs w:val="22"/>
        </w:rPr>
      </w:pPr>
    </w:p>
    <w:p w14:paraId="79796E0E" w14:textId="77777777" w:rsidR="008B2469" w:rsidRDefault="008B2469" w:rsidP="002D3278">
      <w:pPr>
        <w:pStyle w:val="ListParagraph"/>
        <w:ind w:left="0"/>
        <w:rPr>
          <w:rFonts w:ascii="Calibri" w:hAnsi="Calibri"/>
          <w:sz w:val="22"/>
          <w:szCs w:val="22"/>
        </w:rPr>
      </w:pPr>
    </w:p>
    <w:p w14:paraId="603A3BFB" w14:textId="77777777" w:rsidR="000340A4" w:rsidRPr="000340A4" w:rsidRDefault="000340A4" w:rsidP="000340A4">
      <w:pPr>
        <w:pStyle w:val="Heading1"/>
        <w:ind w:left="431" w:hanging="431"/>
        <w:rPr>
          <w:rFonts w:ascii="Calibri" w:eastAsiaTheme="minorHAnsi" w:hAnsi="Calibri"/>
        </w:rPr>
      </w:pPr>
      <w:r w:rsidRPr="000340A4">
        <w:rPr>
          <w:rFonts w:ascii="Calibri" w:eastAsiaTheme="minorHAnsi" w:hAnsi="Calibri"/>
        </w:rPr>
        <w:t>Superannuation policy affecting older workers workforce participation rates</w:t>
      </w:r>
    </w:p>
    <w:p w14:paraId="504B6874" w14:textId="77777777" w:rsidR="000340A4" w:rsidRDefault="000340A4" w:rsidP="002D3278">
      <w:pPr>
        <w:pStyle w:val="ListParagraph"/>
        <w:ind w:left="0"/>
        <w:rPr>
          <w:rFonts w:ascii="Calibri" w:hAnsi="Calibri"/>
          <w:sz w:val="22"/>
          <w:szCs w:val="22"/>
        </w:rPr>
      </w:pPr>
    </w:p>
    <w:p w14:paraId="3554E14F" w14:textId="77777777" w:rsidR="002D3278" w:rsidRPr="000340A4" w:rsidRDefault="002D3278" w:rsidP="002D3278">
      <w:pPr>
        <w:pStyle w:val="ListParagraph"/>
        <w:ind w:left="0"/>
        <w:rPr>
          <w:rFonts w:ascii="Calibri" w:hAnsi="Calibri"/>
          <w:sz w:val="22"/>
          <w:szCs w:val="22"/>
        </w:rPr>
      </w:pPr>
      <w:r w:rsidRPr="000340A4">
        <w:rPr>
          <w:rFonts w:ascii="Calibri" w:hAnsi="Calibri"/>
          <w:sz w:val="22"/>
          <w:szCs w:val="22"/>
        </w:rPr>
        <w:t xml:space="preserve">Superannuation policy is one driver of workforce participation.  </w:t>
      </w:r>
    </w:p>
    <w:p w14:paraId="4F027A6A" w14:textId="77777777" w:rsidR="002D3278" w:rsidRPr="000340A4" w:rsidRDefault="002D3278" w:rsidP="002D3278">
      <w:pPr>
        <w:pStyle w:val="ListParagraph"/>
        <w:ind w:left="0"/>
        <w:rPr>
          <w:rFonts w:ascii="Calibri" w:hAnsi="Calibri"/>
          <w:sz w:val="22"/>
          <w:szCs w:val="22"/>
        </w:rPr>
      </w:pPr>
    </w:p>
    <w:p w14:paraId="14547256" w14:textId="77777777" w:rsidR="002D3278" w:rsidRPr="000340A4" w:rsidRDefault="002D3278" w:rsidP="002D3278">
      <w:pPr>
        <w:pStyle w:val="ListParagraph"/>
        <w:ind w:left="0"/>
        <w:rPr>
          <w:rFonts w:ascii="Calibri" w:hAnsi="Calibri"/>
          <w:sz w:val="22"/>
          <w:szCs w:val="22"/>
        </w:rPr>
      </w:pPr>
      <w:r w:rsidRPr="000340A4">
        <w:rPr>
          <w:rFonts w:ascii="Calibri" w:hAnsi="Calibri"/>
          <w:sz w:val="22"/>
          <w:szCs w:val="22"/>
        </w:rPr>
        <w:t>AIST has noted the existence of a number of outstanding reviews and inquiries, and the need for a robust framework being in place before any changes to superannuation policy are made.  We also note our long-standing advocacy of the following policies, which would assist both the ability of members to save an adequate retirement as well as assisting Australia’s productivity:</w:t>
      </w:r>
    </w:p>
    <w:p w14:paraId="06B31088" w14:textId="7777777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Any changes to rules implemented as part of the taxation system, such as the preservation of superannuation, affect decisions of Australians to remain in the workforce.  The tax system also needs to recognise and treat fairly those individuals who are unable to work to ‘retirement age’.</w:t>
      </w:r>
    </w:p>
    <w:p w14:paraId="1E8DE93B" w14:textId="46DF23C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 xml:space="preserve">The choice of taxation benchmarks may also impact the decision whether to remain in the workforce.  The choice of benchmarks should be linked to </w:t>
      </w:r>
      <w:r w:rsidR="009C4D7D" w:rsidRPr="000340A4">
        <w:rPr>
          <w:rFonts w:ascii="Calibri" w:hAnsi="Calibri"/>
          <w:sz w:val="22"/>
          <w:szCs w:val="22"/>
        </w:rPr>
        <w:t>objectives that</w:t>
      </w:r>
      <w:r w:rsidRPr="000340A4">
        <w:rPr>
          <w:rFonts w:ascii="Calibri" w:hAnsi="Calibri"/>
          <w:sz w:val="22"/>
          <w:szCs w:val="22"/>
        </w:rPr>
        <w:t xml:space="preserve"> the government is seeking.  AIST believes that any review of the taxation of superannuation should examine the impacts of using various tax benchmarks.</w:t>
      </w:r>
    </w:p>
    <w:p w14:paraId="45393C46" w14:textId="7777777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Remove the restrictions on voluntary contributions for members aged 75 years and over, and to extend the work test to these members.</w:t>
      </w:r>
    </w:p>
    <w:p w14:paraId="3FCA19FA" w14:textId="7777777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Retain the work test, but review to ensure it is relevant to modern work practices.</w:t>
      </w:r>
    </w:p>
    <w:p w14:paraId="47536FC6" w14:textId="7777777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Enable members to claim deductions for concessional contributions made at age 75 years and over.</w:t>
      </w:r>
    </w:p>
    <w:p w14:paraId="66F3E49B" w14:textId="7777777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Review the unavailability of the bring-forward rule when making concessional superannuation contributions by those aged over 65.</w:t>
      </w:r>
    </w:p>
    <w:p w14:paraId="3595FACE" w14:textId="7777777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Enable a member of a superannuation fund to make contributions for a spouse aged 70 years or over when the spouse meets the work test (subject to reviewing the work test definition).</w:t>
      </w:r>
    </w:p>
    <w:p w14:paraId="55C38B46" w14:textId="7777777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Remove the age restriction from age 65 years when the spouse meets the work test, that is, being gainfully employed on at least a part-time basis during the financial year.</w:t>
      </w:r>
    </w:p>
    <w:p w14:paraId="49C2DF7C" w14:textId="7777777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Repeal the restriction on providing government co-contributions for persons aged over 71 years.</w:t>
      </w:r>
    </w:p>
    <w:p w14:paraId="540476D5" w14:textId="77777777" w:rsidR="002D3278" w:rsidRPr="000340A4" w:rsidRDefault="002D3278" w:rsidP="002D3278">
      <w:pPr>
        <w:pStyle w:val="ListParagraph"/>
        <w:numPr>
          <w:ilvl w:val="0"/>
          <w:numId w:val="8"/>
        </w:numPr>
        <w:rPr>
          <w:rFonts w:ascii="Calibri" w:hAnsi="Calibri"/>
          <w:sz w:val="22"/>
          <w:szCs w:val="22"/>
        </w:rPr>
      </w:pPr>
      <w:r w:rsidRPr="000340A4">
        <w:rPr>
          <w:rFonts w:ascii="Calibri" w:hAnsi="Calibri"/>
          <w:sz w:val="22"/>
          <w:szCs w:val="22"/>
        </w:rPr>
        <w:t>Remove the $450 monthly minimum earnings threshold for Superannuation Guarantee contributions.</w:t>
      </w:r>
    </w:p>
    <w:p w14:paraId="4BD237F4" w14:textId="77777777" w:rsidR="002D3278" w:rsidRPr="000340A4" w:rsidRDefault="002D3278">
      <w:pPr>
        <w:rPr>
          <w:rFonts w:ascii="Calibri" w:hAnsi="Calibri"/>
          <w:sz w:val="22"/>
          <w:szCs w:val="22"/>
        </w:rPr>
      </w:pPr>
    </w:p>
    <w:p w14:paraId="5AB978A9" w14:textId="77777777" w:rsidR="002D3278" w:rsidRPr="000340A4" w:rsidRDefault="002D3278">
      <w:pPr>
        <w:rPr>
          <w:rFonts w:ascii="Calibri" w:hAnsi="Calibri"/>
          <w:sz w:val="22"/>
          <w:szCs w:val="22"/>
        </w:rPr>
      </w:pPr>
    </w:p>
    <w:p w14:paraId="73755C9A" w14:textId="74C3A122" w:rsidR="004F666E" w:rsidRDefault="004F666E">
      <w:pPr>
        <w:rPr>
          <w:rFonts w:ascii="Calibri" w:hAnsi="Calibri"/>
          <w:sz w:val="22"/>
          <w:szCs w:val="22"/>
          <w:lang w:eastAsia="en-AU"/>
        </w:rPr>
      </w:pPr>
      <w:r>
        <w:br w:type="page"/>
      </w:r>
    </w:p>
    <w:p w14:paraId="79A710F3" w14:textId="77777777" w:rsidR="00301C34" w:rsidRDefault="00301C34" w:rsidP="008C5788">
      <w:pPr>
        <w:rPr>
          <w:rFonts w:ascii="Calibri" w:hAnsi="Calibri"/>
          <w:sz w:val="22"/>
          <w:szCs w:val="22"/>
        </w:rPr>
      </w:pPr>
    </w:p>
    <w:p w14:paraId="56A51C7B" w14:textId="77777777" w:rsidR="00301C34" w:rsidRDefault="00301C34" w:rsidP="00301C34">
      <w:pPr>
        <w:pStyle w:val="Heading1"/>
        <w:numPr>
          <w:ilvl w:val="0"/>
          <w:numId w:val="0"/>
        </w:numPr>
      </w:pPr>
      <w:bookmarkStart w:id="19" w:name="_Toc433986874"/>
      <w:r w:rsidRPr="005420B7">
        <w:t>Annexure A</w:t>
      </w:r>
      <w:r>
        <w:t xml:space="preserve">: </w:t>
      </w:r>
      <w:r w:rsidRPr="005420B7">
        <w:t>AIST-Mercer Super Tracker</w:t>
      </w:r>
      <w:r>
        <w:t>: The Tracker scores and r</w:t>
      </w:r>
      <w:r w:rsidRPr="005420B7">
        <w:t xml:space="preserve">esults of modelling </w:t>
      </w:r>
      <w:r>
        <w:t>21</w:t>
      </w:r>
      <w:r w:rsidRPr="005420B7">
        <w:t xml:space="preserve"> policies</w:t>
      </w:r>
      <w:bookmarkEnd w:id="19"/>
    </w:p>
    <w:p w14:paraId="1942420D" w14:textId="77777777" w:rsidR="00301C34" w:rsidRDefault="00301C34" w:rsidP="008C5788">
      <w:pPr>
        <w:rPr>
          <w:rFonts w:ascii="Calibri" w:hAnsi="Calibri"/>
          <w:sz w:val="22"/>
          <w:szCs w:val="22"/>
        </w:rPr>
      </w:pPr>
    </w:p>
    <w:p w14:paraId="52BBD123" w14:textId="50F280B1" w:rsidR="008C5788" w:rsidRPr="00A00A7C" w:rsidRDefault="00EA769D" w:rsidP="008C5788">
      <w:pPr>
        <w:rPr>
          <w:rFonts w:ascii="Calibri" w:hAnsi="Calibri"/>
          <w:sz w:val="22"/>
          <w:szCs w:val="22"/>
        </w:rPr>
      </w:pPr>
      <w:r w:rsidRPr="00A00A7C">
        <w:rPr>
          <w:rFonts w:ascii="Calibri" w:hAnsi="Calibri"/>
          <w:sz w:val="22"/>
          <w:szCs w:val="22"/>
        </w:rPr>
        <w:t xml:space="preserve">In the following tables, we have selected 3 (retirement income, fairness, and gender gap) of the 10 KPIs to </w:t>
      </w:r>
      <w:r w:rsidR="009C4D7D" w:rsidRPr="00A00A7C">
        <w:rPr>
          <w:rFonts w:ascii="Calibri" w:hAnsi="Calibri"/>
          <w:sz w:val="22"/>
          <w:szCs w:val="22"/>
        </w:rPr>
        <w:t>road test</w:t>
      </w:r>
      <w:r w:rsidRPr="00A00A7C">
        <w:rPr>
          <w:rFonts w:ascii="Calibri" w:hAnsi="Calibri"/>
          <w:sz w:val="22"/>
          <w:szCs w:val="22"/>
        </w:rPr>
        <w:t xml:space="preserve"> possible policies.  The outcomes are not in any priority order.  Possible policies could also be road-tested against other KPIs.</w:t>
      </w:r>
    </w:p>
    <w:p w14:paraId="2E569DC5" w14:textId="74CE8DD1" w:rsidR="005420B7" w:rsidRDefault="00EA769D" w:rsidP="005420B7">
      <w:pPr>
        <w:jc w:val="both"/>
      </w:pPr>
      <w:r>
        <w:rPr>
          <w:noProof/>
          <w:lang w:eastAsia="en-AU"/>
        </w:rPr>
        <w:drawing>
          <wp:inline distT="0" distB="0" distL="0" distR="0" wp14:anchorId="628DCF84" wp14:editId="0E764FB5">
            <wp:extent cx="6120031" cy="5813002"/>
            <wp:effectExtent l="0" t="0" r="1905" b="381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5813699"/>
                    </a:xfrm>
                    <a:prstGeom prst="rect">
                      <a:avLst/>
                    </a:prstGeom>
                    <a:noFill/>
                    <a:ln>
                      <a:noFill/>
                    </a:ln>
                  </pic:spPr>
                </pic:pic>
              </a:graphicData>
            </a:graphic>
          </wp:inline>
        </w:drawing>
      </w:r>
    </w:p>
    <w:p w14:paraId="4BEF62B6" w14:textId="77777777" w:rsidR="008C5788" w:rsidRDefault="008C5788">
      <w:r>
        <w:br w:type="page"/>
      </w:r>
    </w:p>
    <w:p w14:paraId="2CB40B85" w14:textId="77777777" w:rsidR="000340A4" w:rsidRDefault="000340A4"/>
    <w:p w14:paraId="122AAB23" w14:textId="77777777" w:rsidR="000340A4" w:rsidRDefault="000340A4"/>
    <w:p w14:paraId="09F40B93" w14:textId="77777777" w:rsidR="000340A4" w:rsidRDefault="000340A4"/>
    <w:p w14:paraId="1E66CEF6" w14:textId="77777777" w:rsidR="000340A4" w:rsidRDefault="000340A4" w:rsidP="000340A4">
      <w:pPr>
        <w:jc w:val="both"/>
      </w:pPr>
      <w:bookmarkStart w:id="20" w:name="_GoBack"/>
      <w:r>
        <w:rPr>
          <w:noProof/>
          <w:lang w:eastAsia="en-AU"/>
        </w:rPr>
        <w:drawing>
          <wp:inline distT="0" distB="0" distL="0" distR="0" wp14:anchorId="691E85B6" wp14:editId="52FC88DC">
            <wp:extent cx="6118684" cy="5942753"/>
            <wp:effectExtent l="0" t="0" r="3175" b="127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342" cy="5944363"/>
                    </a:xfrm>
                    <a:prstGeom prst="rect">
                      <a:avLst/>
                    </a:prstGeom>
                    <a:noFill/>
                    <a:ln>
                      <a:noFill/>
                    </a:ln>
                  </pic:spPr>
                </pic:pic>
              </a:graphicData>
            </a:graphic>
          </wp:inline>
        </w:drawing>
      </w:r>
      <w:bookmarkEnd w:id="20"/>
    </w:p>
    <w:p w14:paraId="726CC02B" w14:textId="77777777" w:rsidR="000340A4" w:rsidRDefault="000340A4"/>
    <w:p w14:paraId="5115338C" w14:textId="77777777" w:rsidR="000340A4" w:rsidRDefault="000340A4"/>
    <w:p w14:paraId="35675A80" w14:textId="77777777" w:rsidR="000340A4" w:rsidRDefault="000340A4"/>
    <w:p w14:paraId="5907B5C4" w14:textId="77777777" w:rsidR="000340A4" w:rsidRDefault="000340A4"/>
    <w:p w14:paraId="17D5152B" w14:textId="77777777" w:rsidR="000340A4" w:rsidRDefault="000340A4"/>
    <w:p w14:paraId="6499DADA" w14:textId="77777777" w:rsidR="000340A4" w:rsidRDefault="000340A4"/>
    <w:p w14:paraId="7D6DBAED" w14:textId="741F6A67" w:rsidR="000340A4" w:rsidRDefault="000340A4">
      <w:r>
        <w:br w:type="page"/>
      </w:r>
    </w:p>
    <w:p w14:paraId="7441E122" w14:textId="77777777" w:rsidR="000340A4" w:rsidRDefault="000340A4"/>
    <w:p w14:paraId="75A91F37" w14:textId="77777777" w:rsidR="000340A4" w:rsidRDefault="000340A4"/>
    <w:p w14:paraId="088EF464" w14:textId="2990DA8C" w:rsidR="00A00A7C" w:rsidRDefault="00A00A7C" w:rsidP="00A00A7C">
      <w:pPr>
        <w:pStyle w:val="Heading1"/>
        <w:numPr>
          <w:ilvl w:val="0"/>
          <w:numId w:val="0"/>
        </w:numPr>
      </w:pPr>
      <w:r w:rsidRPr="005420B7">
        <w:t xml:space="preserve">Annexure </w:t>
      </w:r>
      <w:r>
        <w:t xml:space="preserve">B: </w:t>
      </w:r>
      <w:r w:rsidR="005007B5">
        <w:t>AIST-ACFS research The Age of Retirement</w:t>
      </w:r>
      <w:r w:rsidR="00852584">
        <w:t xml:space="preserve"> 2013</w:t>
      </w:r>
    </w:p>
    <w:p w14:paraId="1EC917BA" w14:textId="77777777" w:rsidR="002D3278" w:rsidRDefault="002D3278" w:rsidP="00852584">
      <w:pPr>
        <w:rPr>
          <w:rFonts w:ascii="Calibri" w:hAnsi="Calibri"/>
          <w:sz w:val="22"/>
          <w:szCs w:val="22"/>
        </w:rPr>
      </w:pPr>
    </w:p>
    <w:p w14:paraId="0D9F0BB5" w14:textId="354C1610" w:rsidR="00852584" w:rsidRDefault="00852584" w:rsidP="00852584">
      <w:pPr>
        <w:rPr>
          <w:rFonts w:ascii="Calibri" w:hAnsi="Calibri"/>
          <w:sz w:val="22"/>
          <w:szCs w:val="22"/>
        </w:rPr>
      </w:pPr>
      <w:r>
        <w:rPr>
          <w:rFonts w:ascii="Calibri" w:hAnsi="Calibri"/>
          <w:sz w:val="22"/>
          <w:szCs w:val="22"/>
        </w:rPr>
        <w:t>A copy of this research report is enclosed.</w:t>
      </w:r>
    </w:p>
    <w:p w14:paraId="351D04C0" w14:textId="77777777" w:rsidR="00852584" w:rsidRDefault="00852584" w:rsidP="00852584">
      <w:pPr>
        <w:rPr>
          <w:rFonts w:ascii="Calibri" w:hAnsi="Calibri"/>
          <w:sz w:val="22"/>
          <w:szCs w:val="22"/>
        </w:rPr>
      </w:pPr>
    </w:p>
    <w:p w14:paraId="239FF564" w14:textId="3E08F9CD" w:rsidR="00A00A7C" w:rsidRDefault="00A00A7C">
      <w:r>
        <w:br w:type="page"/>
      </w:r>
    </w:p>
    <w:p w14:paraId="79640895" w14:textId="77777777" w:rsidR="002D3278" w:rsidRDefault="002D3278" w:rsidP="008C5788">
      <w:pPr>
        <w:jc w:val="center"/>
      </w:pPr>
    </w:p>
    <w:p w14:paraId="62DB6C98" w14:textId="77777777" w:rsidR="00852584" w:rsidRDefault="00852584" w:rsidP="00852584">
      <w:pPr>
        <w:rPr>
          <w:rFonts w:ascii="Calibri" w:hAnsi="Calibri"/>
          <w:sz w:val="22"/>
          <w:szCs w:val="22"/>
        </w:rPr>
      </w:pPr>
    </w:p>
    <w:p w14:paraId="4549923C" w14:textId="77777777" w:rsidR="00741886" w:rsidRDefault="00741886" w:rsidP="00852584">
      <w:pPr>
        <w:rPr>
          <w:rFonts w:ascii="Calibri" w:hAnsi="Calibri"/>
          <w:sz w:val="22"/>
          <w:szCs w:val="22"/>
        </w:rPr>
      </w:pPr>
    </w:p>
    <w:p w14:paraId="341E6448" w14:textId="2DDA16DC" w:rsidR="00852584" w:rsidRDefault="00852584" w:rsidP="00852584">
      <w:pPr>
        <w:pStyle w:val="Heading1"/>
        <w:numPr>
          <w:ilvl w:val="0"/>
          <w:numId w:val="0"/>
        </w:numPr>
      </w:pPr>
      <w:r w:rsidRPr="005420B7">
        <w:t xml:space="preserve">Annexure </w:t>
      </w:r>
      <w:r>
        <w:t xml:space="preserve">C: AIST – ACFS research Involuntary Retirement Characteristics and Implications 2014 </w:t>
      </w:r>
    </w:p>
    <w:p w14:paraId="16E1E9F3" w14:textId="77777777" w:rsidR="00852584" w:rsidRDefault="00852584" w:rsidP="00852584">
      <w:pPr>
        <w:rPr>
          <w:rFonts w:ascii="Calibri" w:hAnsi="Calibri"/>
          <w:sz w:val="22"/>
          <w:szCs w:val="22"/>
        </w:rPr>
      </w:pPr>
    </w:p>
    <w:p w14:paraId="4A95C75B" w14:textId="10ECE55A" w:rsidR="002D3278" w:rsidRPr="00852584" w:rsidRDefault="00852584" w:rsidP="00852584">
      <w:pPr>
        <w:rPr>
          <w:rFonts w:ascii="Calibri" w:hAnsi="Calibri"/>
          <w:sz w:val="22"/>
          <w:szCs w:val="22"/>
        </w:rPr>
      </w:pPr>
      <w:r w:rsidRPr="00852584">
        <w:rPr>
          <w:rFonts w:ascii="Calibri" w:hAnsi="Calibri"/>
          <w:sz w:val="22"/>
          <w:szCs w:val="22"/>
        </w:rPr>
        <w:t>A copy of this research report is enclosed.</w:t>
      </w:r>
    </w:p>
    <w:p w14:paraId="6F0DD994" w14:textId="77777777" w:rsidR="002D3278" w:rsidRDefault="002D3278" w:rsidP="008C5788">
      <w:pPr>
        <w:jc w:val="center"/>
      </w:pPr>
    </w:p>
    <w:p w14:paraId="0160F5B6" w14:textId="77777777" w:rsidR="002D3278" w:rsidRDefault="002D3278" w:rsidP="008C5788">
      <w:pPr>
        <w:jc w:val="center"/>
      </w:pPr>
    </w:p>
    <w:p w14:paraId="6592DED6" w14:textId="77777777" w:rsidR="008C5788" w:rsidRPr="00DA335E" w:rsidRDefault="008C5788" w:rsidP="008C5788">
      <w:pPr>
        <w:jc w:val="center"/>
      </w:pPr>
      <w:r>
        <w:t>* * *</w:t>
      </w:r>
    </w:p>
    <w:sectPr w:rsidR="008C5788" w:rsidRPr="00DA335E" w:rsidSect="008B2469">
      <w:headerReference w:type="default" r:id="rId16"/>
      <w:footerReference w:type="default" r:id="rId17"/>
      <w:pgSz w:w="11900" w:h="16840"/>
      <w:pgMar w:top="2381" w:right="1127" w:bottom="2269" w:left="1134" w:header="1135" w:footer="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FEBDC" w14:textId="77777777" w:rsidR="00B972ED" w:rsidRDefault="00B972ED" w:rsidP="00967C5A">
      <w:r>
        <w:separator/>
      </w:r>
    </w:p>
  </w:endnote>
  <w:endnote w:type="continuationSeparator" w:id="0">
    <w:p w14:paraId="58227B9A" w14:textId="77777777" w:rsidR="00B972ED" w:rsidRDefault="00B972ED" w:rsidP="00967C5A">
      <w:r>
        <w:continuationSeparator/>
      </w:r>
    </w:p>
  </w:endnote>
  <w:endnote w:type="continuationNotice" w:id="1">
    <w:p w14:paraId="3B1667DF" w14:textId="77777777" w:rsidR="00B972ED" w:rsidRDefault="00B972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YEKXG+SabonLTStd-Roman">
    <w:altName w:val="Sabon LT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1D7EC" w14:textId="77777777" w:rsidR="00B972ED" w:rsidRDefault="00B972ED" w:rsidP="0074188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319EC">
      <w:rPr>
        <w:rStyle w:val="PageNumber"/>
        <w:noProof/>
      </w:rPr>
      <w:t>18</w:t>
    </w:r>
    <w:r>
      <w:rPr>
        <w:rStyle w:val="PageNumber"/>
      </w:rPr>
      <w:fldChar w:fldCharType="end"/>
    </w:r>
  </w:p>
  <w:p w14:paraId="088C80FB" w14:textId="32794336" w:rsidR="00E303A9" w:rsidRPr="004A08BB" w:rsidRDefault="00E303A9" w:rsidP="00E303A9">
    <w:pPr>
      <w:spacing w:after="360"/>
      <w:ind w:right="360" w:firstLine="360"/>
      <w:jc w:val="right"/>
    </w:pPr>
  </w:p>
  <w:tbl>
    <w:tblPr>
      <w:tblW w:w="10031" w:type="dxa"/>
      <w:tblBorders>
        <w:top w:val="single" w:sz="4" w:space="0" w:color="003767"/>
      </w:tblBorders>
      <w:tblLook w:val="04A0" w:firstRow="1" w:lastRow="0" w:firstColumn="1" w:lastColumn="0" w:noHBand="0" w:noVBand="1"/>
    </w:tblPr>
    <w:tblGrid>
      <w:gridCol w:w="5070"/>
      <w:gridCol w:w="3402"/>
      <w:gridCol w:w="1559"/>
    </w:tblGrid>
    <w:tr w:rsidR="00E303A9" w14:paraId="4784D209" w14:textId="77777777" w:rsidTr="00A40E75">
      <w:trPr>
        <w:trHeight w:val="715"/>
      </w:trPr>
      <w:tc>
        <w:tcPr>
          <w:tcW w:w="5070" w:type="dxa"/>
          <w:tcBorders>
            <w:top w:val="nil"/>
          </w:tcBorders>
          <w:tcMar>
            <w:top w:w="0" w:type="dxa"/>
          </w:tcMar>
        </w:tcPr>
        <w:p w14:paraId="113CCEDD" w14:textId="77777777" w:rsidR="00E303A9" w:rsidRPr="00195BCC" w:rsidRDefault="00E303A9" w:rsidP="00A40E75">
          <w:pPr>
            <w:pStyle w:val="Footer"/>
            <w:rPr>
              <w:color w:val="1F497D" w:themeColor="text2"/>
              <w:sz w:val="16"/>
              <w:szCs w:val="16"/>
            </w:rPr>
          </w:pPr>
          <w:r w:rsidRPr="00270BE5">
            <w:rPr>
              <w:b/>
              <w:noProof/>
              <w:color w:val="1F497D" w:themeColor="text2"/>
              <w:sz w:val="16"/>
              <w:szCs w:val="16"/>
              <w:lang w:eastAsia="en-AU"/>
            </w:rPr>
            <mc:AlternateContent>
              <mc:Choice Requires="wps">
                <w:drawing>
                  <wp:anchor distT="4294967294" distB="4294967294" distL="114300" distR="114300" simplePos="0" relativeHeight="251675648" behindDoc="0" locked="0" layoutInCell="1" allowOverlap="1" wp14:anchorId="4D7A76D0" wp14:editId="6E2CF7B4">
                    <wp:simplePos x="0" y="0"/>
                    <wp:positionH relativeFrom="column">
                      <wp:posOffset>-120015</wp:posOffset>
                    </wp:positionH>
                    <wp:positionV relativeFrom="paragraph">
                      <wp:posOffset>-107951</wp:posOffset>
                    </wp:positionV>
                    <wp:extent cx="6381750" cy="0"/>
                    <wp:effectExtent l="0" t="0" r="19050" b="19050"/>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9525">
                              <a:solidFill>
                                <a:srgbClr val="00376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46CE76" id="_x0000_t32" coordsize="21600,21600" o:spt="32" o:oned="t" path="m,l21600,21600e" filled="f">
                    <v:path arrowok="t" fillok="f" o:connecttype="none"/>
                    <o:lock v:ext="edit" shapetype="t"/>
                  </v:shapetype>
                  <v:shape id="AutoShape 2" o:spid="_x0000_s1026" type="#_x0000_t32" style="position:absolute;margin-left:-9.45pt;margin-top:-8.5pt;width:502.5pt;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" strokecolor="#003767"/>
                </w:pict>
              </mc:Fallback>
            </mc:AlternateContent>
          </w:r>
          <w:r w:rsidRPr="00270BE5">
            <w:rPr>
              <w:b/>
              <w:noProof/>
              <w:color w:val="1F497D" w:themeColor="text2"/>
              <w:sz w:val="16"/>
              <w:szCs w:val="16"/>
              <w:lang w:eastAsia="en-AU"/>
            </w:rPr>
            <mc:AlternateContent>
              <mc:Choice Requires="wps">
                <w:drawing>
                  <wp:anchor distT="4294967294" distB="4294967294" distL="114300" distR="114300" simplePos="0" relativeHeight="251674624" behindDoc="0" locked="0" layoutInCell="1" allowOverlap="1" wp14:anchorId="4E27B50B" wp14:editId="64593C30">
                    <wp:simplePos x="0" y="0"/>
                    <wp:positionH relativeFrom="column">
                      <wp:posOffset>-120015</wp:posOffset>
                    </wp:positionH>
                    <wp:positionV relativeFrom="paragraph">
                      <wp:posOffset>-107951</wp:posOffset>
                    </wp:positionV>
                    <wp:extent cx="6381750" cy="0"/>
                    <wp:effectExtent l="0" t="0" r="19050" b="19050"/>
                    <wp:wrapNone/>
                    <wp:docPr id="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9525">
                              <a:solidFill>
                                <a:srgbClr val="00376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9EE4E" id="AutoShape 2" o:spid="_x0000_s1026" type="#_x0000_t32" style="position:absolute;margin-left:-9.45pt;margin-top:-8.5pt;width:502.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" strokecolor="#003767"/>
                </w:pict>
              </mc:Fallback>
            </mc:AlternateContent>
          </w:r>
          <w:r w:rsidRPr="00195BCC">
            <w:rPr>
              <w:bCs/>
              <w:color w:val="1F497D" w:themeColor="text2"/>
              <w:sz w:val="16"/>
              <w:szCs w:val="16"/>
            </w:rPr>
            <w:t>Copyright</w:t>
          </w:r>
          <w:r>
            <w:rPr>
              <w:bCs/>
              <w:color w:val="1F497D" w:themeColor="text2"/>
              <w:sz w:val="16"/>
              <w:szCs w:val="16"/>
            </w:rPr>
            <w:t xml:space="preserve"> </w:t>
          </w:r>
          <w:r w:rsidRPr="00195BCC">
            <w:rPr>
              <w:color w:val="1F497D" w:themeColor="text2"/>
              <w:sz w:val="16"/>
              <w:szCs w:val="16"/>
            </w:rPr>
            <w:t>©</w:t>
          </w:r>
          <w:r w:rsidRPr="00195BCC">
            <w:rPr>
              <w:bCs/>
              <w:color w:val="1F497D" w:themeColor="text2"/>
              <w:sz w:val="16"/>
              <w:szCs w:val="16"/>
            </w:rPr>
            <w:t xml:space="preserve"> 201</w:t>
          </w:r>
          <w:r>
            <w:rPr>
              <w:bCs/>
              <w:color w:val="1F497D" w:themeColor="text2"/>
              <w:sz w:val="16"/>
              <w:szCs w:val="16"/>
            </w:rPr>
            <w:t>6</w:t>
          </w:r>
          <w:r w:rsidRPr="00195BCC">
            <w:rPr>
              <w:bCs/>
              <w:color w:val="1F497D" w:themeColor="text2"/>
              <w:sz w:val="16"/>
              <w:szCs w:val="16"/>
            </w:rPr>
            <w:t xml:space="preserve"> Australian Instit</w:t>
          </w:r>
          <w:r>
            <w:rPr>
              <w:bCs/>
              <w:color w:val="1F497D" w:themeColor="text2"/>
              <w:sz w:val="16"/>
              <w:szCs w:val="16"/>
            </w:rPr>
            <w:t>ute of Superannuation Trustees</w:t>
          </w:r>
          <w:r>
            <w:rPr>
              <w:color w:val="1F497D" w:themeColor="text2"/>
              <w:sz w:val="16"/>
              <w:szCs w:val="16"/>
            </w:rPr>
            <w:br/>
          </w:r>
          <w:r w:rsidRPr="00195BCC">
            <w:rPr>
              <w:color w:val="1F497D" w:themeColor="text2"/>
              <w:sz w:val="16"/>
              <w:szCs w:val="16"/>
            </w:rPr>
            <w:t>ABN 19 123 284 275</w:t>
          </w:r>
        </w:p>
      </w:tc>
      <w:tc>
        <w:tcPr>
          <w:tcW w:w="3402" w:type="dxa"/>
          <w:tcBorders>
            <w:top w:val="nil"/>
            <w:right w:val="single" w:sz="4" w:space="0" w:color="003767"/>
          </w:tcBorders>
          <w:tcMar>
            <w:top w:w="0" w:type="dxa"/>
          </w:tcMar>
          <w:vAlign w:val="center"/>
        </w:tcPr>
        <w:p w14:paraId="64D8B82B" w14:textId="77777777" w:rsidR="00E303A9" w:rsidRPr="00195BCC" w:rsidRDefault="00E303A9" w:rsidP="00A40E75">
          <w:pPr>
            <w:jc w:val="right"/>
            <w:rPr>
              <w:b/>
              <w:color w:val="003767"/>
              <w:sz w:val="16"/>
              <w:szCs w:val="16"/>
            </w:rPr>
          </w:pPr>
          <w:r w:rsidRPr="00195BCC">
            <w:rPr>
              <w:b/>
              <w:color w:val="003767"/>
              <w:sz w:val="16"/>
              <w:szCs w:val="16"/>
            </w:rPr>
            <w:t>AIST</w:t>
          </w:r>
          <w:r w:rsidRPr="00195BCC">
            <w:rPr>
              <w:b/>
              <w:color w:val="003767"/>
              <w:sz w:val="16"/>
              <w:szCs w:val="16"/>
            </w:rPr>
            <w:br/>
          </w:r>
          <w:r w:rsidRPr="00195BCC">
            <w:rPr>
              <w:color w:val="003767"/>
              <w:sz w:val="16"/>
              <w:szCs w:val="16"/>
            </w:rPr>
            <w:t>Australian Institute of Superannuation Trustees</w:t>
          </w:r>
          <w:r w:rsidRPr="00195BCC">
            <w:rPr>
              <w:color w:val="003767"/>
              <w:sz w:val="16"/>
              <w:szCs w:val="16"/>
            </w:rPr>
            <w:br/>
            <w:t>Ground floor 215 Spring St</w:t>
          </w:r>
          <w:r w:rsidRPr="00195BCC">
            <w:rPr>
              <w:color w:val="003767"/>
              <w:sz w:val="16"/>
              <w:szCs w:val="16"/>
            </w:rPr>
            <w:br/>
            <w:t>Melbourne VIC 3000</w:t>
          </w:r>
        </w:p>
      </w:tc>
      <w:tc>
        <w:tcPr>
          <w:tcW w:w="1559" w:type="dxa"/>
          <w:tcBorders>
            <w:top w:val="nil"/>
            <w:left w:val="single" w:sz="4" w:space="0" w:color="003767"/>
          </w:tcBorders>
          <w:tcMar>
            <w:top w:w="0" w:type="dxa"/>
          </w:tcMar>
          <w:vAlign w:val="center"/>
        </w:tcPr>
        <w:p w14:paraId="691E3930" w14:textId="77777777" w:rsidR="00E303A9" w:rsidRPr="00195BCC" w:rsidRDefault="00E303A9" w:rsidP="00A40E75">
          <w:pPr>
            <w:rPr>
              <w:color w:val="003767"/>
              <w:sz w:val="16"/>
              <w:szCs w:val="16"/>
            </w:rPr>
          </w:pPr>
          <w:r>
            <w:rPr>
              <w:b/>
              <w:color w:val="003767"/>
              <w:sz w:val="16"/>
              <w:szCs w:val="16"/>
            </w:rPr>
            <w:t>P</w:t>
          </w:r>
          <w:r w:rsidRPr="00195BCC">
            <w:rPr>
              <w:color w:val="003767"/>
              <w:sz w:val="16"/>
              <w:szCs w:val="16"/>
            </w:rPr>
            <w:t xml:space="preserve"> 61 3 8677 3800</w:t>
          </w:r>
          <w:r w:rsidRPr="00195BCC">
            <w:rPr>
              <w:color w:val="003767"/>
              <w:sz w:val="16"/>
              <w:szCs w:val="16"/>
            </w:rPr>
            <w:br/>
          </w:r>
          <w:r w:rsidRPr="00195BCC">
            <w:rPr>
              <w:b/>
              <w:color w:val="003767"/>
              <w:sz w:val="16"/>
              <w:szCs w:val="16"/>
            </w:rPr>
            <w:t xml:space="preserve">F </w:t>
          </w:r>
          <w:r w:rsidRPr="00195BCC">
            <w:rPr>
              <w:color w:val="003767"/>
              <w:sz w:val="16"/>
              <w:szCs w:val="16"/>
            </w:rPr>
            <w:t>61 3 8677 3801</w:t>
          </w:r>
          <w:r>
            <w:rPr>
              <w:color w:val="003767"/>
              <w:sz w:val="16"/>
              <w:szCs w:val="16"/>
            </w:rPr>
            <w:br/>
          </w:r>
          <w:r w:rsidRPr="00F44FC0">
            <w:rPr>
              <w:b/>
              <w:color w:val="003767"/>
              <w:sz w:val="16"/>
              <w:szCs w:val="16"/>
            </w:rPr>
            <w:t>T</w:t>
          </w:r>
          <w:r>
            <w:rPr>
              <w:color w:val="003767"/>
              <w:sz w:val="16"/>
              <w:szCs w:val="16"/>
            </w:rPr>
            <w:t xml:space="preserve"> </w:t>
          </w:r>
          <w:hyperlink r:id="rId1" w:history="1">
            <w:r w:rsidRPr="00F44FC0">
              <w:rPr>
                <w:rStyle w:val="Hyperlink"/>
                <w:sz w:val="16"/>
                <w:szCs w:val="16"/>
              </w:rPr>
              <w:t>@aistbuzz</w:t>
            </w:r>
          </w:hyperlink>
          <w:r w:rsidRPr="00195BCC">
            <w:rPr>
              <w:color w:val="003767"/>
              <w:sz w:val="16"/>
              <w:szCs w:val="16"/>
            </w:rPr>
            <w:br/>
          </w:r>
          <w:r w:rsidRPr="00195BCC">
            <w:rPr>
              <w:b/>
              <w:color w:val="003767"/>
              <w:sz w:val="16"/>
              <w:szCs w:val="16"/>
            </w:rPr>
            <w:t xml:space="preserve">E </w:t>
          </w:r>
          <w:hyperlink r:id="rId2" w:history="1">
            <w:r w:rsidRPr="00195BCC">
              <w:rPr>
                <w:rStyle w:val="Hyperlink"/>
                <w:color w:val="003767"/>
                <w:sz w:val="16"/>
                <w:szCs w:val="16"/>
              </w:rPr>
              <w:t>info@aist.asn.au</w:t>
            </w:r>
          </w:hyperlink>
          <w:r w:rsidRPr="00195BCC">
            <w:rPr>
              <w:color w:val="003767"/>
              <w:sz w:val="16"/>
              <w:szCs w:val="16"/>
            </w:rPr>
            <w:br/>
          </w:r>
          <w:hyperlink r:id="rId3" w:history="1">
            <w:r w:rsidRPr="008B38C3">
              <w:rPr>
                <w:rStyle w:val="Hyperlink"/>
                <w:sz w:val="16"/>
                <w:szCs w:val="16"/>
              </w:rPr>
              <w:t>www.aist.asn.au</w:t>
            </w:r>
          </w:hyperlink>
        </w:p>
      </w:tc>
    </w:tr>
  </w:tbl>
  <w:p w14:paraId="79A42F91" w14:textId="77777777" w:rsidR="00B972ED" w:rsidRDefault="00B972ED" w:rsidP="00B972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B9CC1" w14:textId="77777777" w:rsidR="00B972ED" w:rsidRDefault="00B972ED" w:rsidP="00741886">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319EC">
      <w:rPr>
        <w:rStyle w:val="PageNumber"/>
        <w:noProof/>
      </w:rPr>
      <w:t>17</w:t>
    </w:r>
    <w:r>
      <w:rPr>
        <w:rStyle w:val="PageNumber"/>
      </w:rPr>
      <w:fldChar w:fldCharType="end"/>
    </w:r>
  </w:p>
  <w:p w14:paraId="167ACB07" w14:textId="69853127" w:rsidR="00B972ED" w:rsidRPr="004A08BB" w:rsidRDefault="00B972ED" w:rsidP="008B2469">
    <w:pPr>
      <w:spacing w:after="360"/>
      <w:ind w:right="360" w:firstLine="360"/>
      <w:jc w:val="right"/>
    </w:pPr>
    <w:r w:rsidRPr="004A08BB">
      <w:t xml:space="preserve">Page | </w:t>
    </w:r>
  </w:p>
  <w:tbl>
    <w:tblPr>
      <w:tblW w:w="10031" w:type="dxa"/>
      <w:tblBorders>
        <w:top w:val="single" w:sz="4" w:space="0" w:color="003767"/>
      </w:tblBorders>
      <w:tblLook w:val="04A0" w:firstRow="1" w:lastRow="0" w:firstColumn="1" w:lastColumn="0" w:noHBand="0" w:noVBand="1"/>
    </w:tblPr>
    <w:tblGrid>
      <w:gridCol w:w="5070"/>
      <w:gridCol w:w="3402"/>
      <w:gridCol w:w="1559"/>
    </w:tblGrid>
    <w:tr w:rsidR="00B972ED" w14:paraId="095FB33C" w14:textId="77777777" w:rsidTr="00270BE5">
      <w:trPr>
        <w:trHeight w:val="715"/>
      </w:trPr>
      <w:tc>
        <w:tcPr>
          <w:tcW w:w="5070" w:type="dxa"/>
          <w:tcBorders>
            <w:top w:val="nil"/>
          </w:tcBorders>
          <w:tcMar>
            <w:top w:w="0" w:type="dxa"/>
          </w:tcMar>
        </w:tcPr>
        <w:p w14:paraId="7FCB80BD" w14:textId="714560EE" w:rsidR="00B972ED" w:rsidRPr="00195BCC" w:rsidRDefault="00B972ED" w:rsidP="00180677">
          <w:pPr>
            <w:pStyle w:val="Footer"/>
            <w:rPr>
              <w:color w:val="1F497D" w:themeColor="text2"/>
              <w:sz w:val="16"/>
              <w:szCs w:val="16"/>
            </w:rPr>
          </w:pPr>
          <w:r w:rsidRPr="00270BE5">
            <w:rPr>
              <w:b/>
              <w:noProof/>
              <w:color w:val="1F497D" w:themeColor="text2"/>
              <w:sz w:val="16"/>
              <w:szCs w:val="16"/>
              <w:lang w:eastAsia="en-AU"/>
            </w:rPr>
            <mc:AlternateContent>
              <mc:Choice Requires="wps">
                <w:drawing>
                  <wp:anchor distT="4294967294" distB="4294967294" distL="114300" distR="114300" simplePos="0" relativeHeight="251662336" behindDoc="0" locked="0" layoutInCell="1" allowOverlap="1" wp14:anchorId="24955B37" wp14:editId="10D92121">
                    <wp:simplePos x="0" y="0"/>
                    <wp:positionH relativeFrom="column">
                      <wp:posOffset>-120015</wp:posOffset>
                    </wp:positionH>
                    <wp:positionV relativeFrom="paragraph">
                      <wp:posOffset>-107951</wp:posOffset>
                    </wp:positionV>
                    <wp:extent cx="6381750" cy="0"/>
                    <wp:effectExtent l="0" t="0" r="19050" b="1905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9525">
                              <a:solidFill>
                                <a:srgbClr val="00376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313AF3" id="_x0000_t32" coordsize="21600,21600" o:spt="32" o:oned="t" path="m,l21600,21600e" filled="f">
                    <v:path arrowok="t" fillok="f" o:connecttype="none"/>
                    <o:lock v:ext="edit" shapetype="t"/>
                  </v:shapetype>
                  <v:shape id="AutoShape 2" o:spid="_x0000_s1026" type="#_x0000_t32" style="position:absolute;margin-left:-9.45pt;margin-top:-8.5pt;width:502.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" strokecolor="#003767"/>
                </w:pict>
              </mc:Fallback>
            </mc:AlternateContent>
          </w:r>
          <w:r w:rsidRPr="00270BE5">
            <w:rPr>
              <w:b/>
              <w:noProof/>
              <w:color w:val="1F497D" w:themeColor="text2"/>
              <w:sz w:val="16"/>
              <w:szCs w:val="16"/>
              <w:lang w:eastAsia="en-AU"/>
            </w:rPr>
            <mc:AlternateContent>
              <mc:Choice Requires="wps">
                <w:drawing>
                  <wp:anchor distT="4294967294" distB="4294967294" distL="114300" distR="114300" simplePos="0" relativeHeight="251658240" behindDoc="0" locked="0" layoutInCell="1" allowOverlap="1" wp14:anchorId="74D8A1C9" wp14:editId="35C3A211">
                    <wp:simplePos x="0" y="0"/>
                    <wp:positionH relativeFrom="column">
                      <wp:posOffset>-120015</wp:posOffset>
                    </wp:positionH>
                    <wp:positionV relativeFrom="paragraph">
                      <wp:posOffset>-107951</wp:posOffset>
                    </wp:positionV>
                    <wp:extent cx="6381750" cy="0"/>
                    <wp:effectExtent l="0" t="0" r="1905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9525">
                              <a:solidFill>
                                <a:srgbClr val="003767"/>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C0C13" id="AutoShape 2" o:spid="_x0000_s1026" type="#_x0000_t32" style="position:absolute;margin-left:-9.45pt;margin-top:-8.5pt;width:502.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" strokecolor="#003767"/>
                </w:pict>
              </mc:Fallback>
            </mc:AlternateContent>
          </w:r>
          <w:r w:rsidRPr="00195BCC">
            <w:rPr>
              <w:bCs/>
              <w:color w:val="1F497D" w:themeColor="text2"/>
              <w:sz w:val="16"/>
              <w:szCs w:val="16"/>
            </w:rPr>
            <w:t>Copyright</w:t>
          </w:r>
          <w:r>
            <w:rPr>
              <w:bCs/>
              <w:color w:val="1F497D" w:themeColor="text2"/>
              <w:sz w:val="16"/>
              <w:szCs w:val="16"/>
            </w:rPr>
            <w:t xml:space="preserve"> </w:t>
          </w:r>
          <w:r w:rsidRPr="00195BCC">
            <w:rPr>
              <w:color w:val="1F497D" w:themeColor="text2"/>
              <w:sz w:val="16"/>
              <w:szCs w:val="16"/>
            </w:rPr>
            <w:t>©</w:t>
          </w:r>
          <w:r w:rsidRPr="00195BCC">
            <w:rPr>
              <w:bCs/>
              <w:color w:val="1F497D" w:themeColor="text2"/>
              <w:sz w:val="16"/>
              <w:szCs w:val="16"/>
            </w:rPr>
            <w:t xml:space="preserve"> 201</w:t>
          </w:r>
          <w:r>
            <w:rPr>
              <w:bCs/>
              <w:color w:val="1F497D" w:themeColor="text2"/>
              <w:sz w:val="16"/>
              <w:szCs w:val="16"/>
            </w:rPr>
            <w:t>6</w:t>
          </w:r>
          <w:r w:rsidRPr="00195BCC">
            <w:rPr>
              <w:bCs/>
              <w:color w:val="1F497D" w:themeColor="text2"/>
              <w:sz w:val="16"/>
              <w:szCs w:val="16"/>
            </w:rPr>
            <w:t xml:space="preserve"> Australian Instit</w:t>
          </w:r>
          <w:r>
            <w:rPr>
              <w:bCs/>
              <w:color w:val="1F497D" w:themeColor="text2"/>
              <w:sz w:val="16"/>
              <w:szCs w:val="16"/>
            </w:rPr>
            <w:t>ute of Superannuation Trustees</w:t>
          </w:r>
          <w:r>
            <w:rPr>
              <w:color w:val="1F497D" w:themeColor="text2"/>
              <w:sz w:val="16"/>
              <w:szCs w:val="16"/>
            </w:rPr>
            <w:br/>
          </w:r>
          <w:r w:rsidRPr="00195BCC">
            <w:rPr>
              <w:color w:val="1F497D" w:themeColor="text2"/>
              <w:sz w:val="16"/>
              <w:szCs w:val="16"/>
            </w:rPr>
            <w:t>ABN 19 123 284 275</w:t>
          </w:r>
        </w:p>
      </w:tc>
      <w:tc>
        <w:tcPr>
          <w:tcW w:w="3402" w:type="dxa"/>
          <w:tcBorders>
            <w:top w:val="nil"/>
            <w:right w:val="single" w:sz="4" w:space="0" w:color="003767"/>
          </w:tcBorders>
          <w:tcMar>
            <w:top w:w="0" w:type="dxa"/>
          </w:tcMar>
          <w:vAlign w:val="center"/>
        </w:tcPr>
        <w:p w14:paraId="3D16D184" w14:textId="77777777" w:rsidR="00B972ED" w:rsidRPr="00195BCC" w:rsidRDefault="00B972ED" w:rsidP="00195BCC">
          <w:pPr>
            <w:jc w:val="right"/>
            <w:rPr>
              <w:b/>
              <w:color w:val="003767"/>
              <w:sz w:val="16"/>
              <w:szCs w:val="16"/>
            </w:rPr>
          </w:pPr>
          <w:r w:rsidRPr="00195BCC">
            <w:rPr>
              <w:b/>
              <w:color w:val="003767"/>
              <w:sz w:val="16"/>
              <w:szCs w:val="16"/>
            </w:rPr>
            <w:t>AIST</w:t>
          </w:r>
          <w:r w:rsidRPr="00195BCC">
            <w:rPr>
              <w:b/>
              <w:color w:val="003767"/>
              <w:sz w:val="16"/>
              <w:szCs w:val="16"/>
            </w:rPr>
            <w:br/>
          </w:r>
          <w:r w:rsidRPr="00195BCC">
            <w:rPr>
              <w:color w:val="003767"/>
              <w:sz w:val="16"/>
              <w:szCs w:val="16"/>
            </w:rPr>
            <w:t>Australian Institute of Superannuation Trustees</w:t>
          </w:r>
          <w:r w:rsidRPr="00195BCC">
            <w:rPr>
              <w:color w:val="003767"/>
              <w:sz w:val="16"/>
              <w:szCs w:val="16"/>
            </w:rPr>
            <w:br/>
            <w:t>Ground floor 215 Spring St</w:t>
          </w:r>
          <w:r w:rsidRPr="00195BCC">
            <w:rPr>
              <w:color w:val="003767"/>
              <w:sz w:val="16"/>
              <w:szCs w:val="16"/>
            </w:rPr>
            <w:br/>
            <w:t>Melbourne VIC 3000</w:t>
          </w:r>
        </w:p>
      </w:tc>
      <w:tc>
        <w:tcPr>
          <w:tcW w:w="1559" w:type="dxa"/>
          <w:tcBorders>
            <w:top w:val="nil"/>
            <w:left w:val="single" w:sz="4" w:space="0" w:color="003767"/>
          </w:tcBorders>
          <w:tcMar>
            <w:top w:w="0" w:type="dxa"/>
          </w:tcMar>
          <w:vAlign w:val="center"/>
        </w:tcPr>
        <w:p w14:paraId="2F707C5C" w14:textId="77777777" w:rsidR="00B972ED" w:rsidRPr="00195BCC" w:rsidRDefault="00B972ED" w:rsidP="00195BCC">
          <w:pPr>
            <w:rPr>
              <w:color w:val="003767"/>
              <w:sz w:val="16"/>
              <w:szCs w:val="16"/>
            </w:rPr>
          </w:pPr>
          <w:r>
            <w:rPr>
              <w:b/>
              <w:color w:val="003767"/>
              <w:sz w:val="16"/>
              <w:szCs w:val="16"/>
            </w:rPr>
            <w:t>P</w:t>
          </w:r>
          <w:r w:rsidRPr="00195BCC">
            <w:rPr>
              <w:color w:val="003767"/>
              <w:sz w:val="16"/>
              <w:szCs w:val="16"/>
            </w:rPr>
            <w:t xml:space="preserve"> 61 3 8677 3800</w:t>
          </w:r>
          <w:r w:rsidRPr="00195BCC">
            <w:rPr>
              <w:color w:val="003767"/>
              <w:sz w:val="16"/>
              <w:szCs w:val="16"/>
            </w:rPr>
            <w:br/>
          </w:r>
          <w:r w:rsidRPr="00195BCC">
            <w:rPr>
              <w:b/>
              <w:color w:val="003767"/>
              <w:sz w:val="16"/>
              <w:szCs w:val="16"/>
            </w:rPr>
            <w:t xml:space="preserve">F </w:t>
          </w:r>
          <w:r w:rsidRPr="00195BCC">
            <w:rPr>
              <w:color w:val="003767"/>
              <w:sz w:val="16"/>
              <w:szCs w:val="16"/>
            </w:rPr>
            <w:t>61 3 8677 3801</w:t>
          </w:r>
          <w:r>
            <w:rPr>
              <w:color w:val="003767"/>
              <w:sz w:val="16"/>
              <w:szCs w:val="16"/>
            </w:rPr>
            <w:br/>
          </w:r>
          <w:r w:rsidRPr="00F44FC0">
            <w:rPr>
              <w:b/>
              <w:color w:val="003767"/>
              <w:sz w:val="16"/>
              <w:szCs w:val="16"/>
            </w:rPr>
            <w:t>T</w:t>
          </w:r>
          <w:r>
            <w:rPr>
              <w:color w:val="003767"/>
              <w:sz w:val="16"/>
              <w:szCs w:val="16"/>
            </w:rPr>
            <w:t xml:space="preserve"> </w:t>
          </w:r>
          <w:hyperlink r:id="rId1" w:history="1">
            <w:r w:rsidRPr="00F44FC0">
              <w:rPr>
                <w:rStyle w:val="Hyperlink"/>
                <w:sz w:val="16"/>
                <w:szCs w:val="16"/>
              </w:rPr>
              <w:t>@aistbuzz</w:t>
            </w:r>
          </w:hyperlink>
          <w:r w:rsidRPr="00195BCC">
            <w:rPr>
              <w:color w:val="003767"/>
              <w:sz w:val="16"/>
              <w:szCs w:val="16"/>
            </w:rPr>
            <w:br/>
          </w:r>
          <w:r w:rsidRPr="00195BCC">
            <w:rPr>
              <w:b/>
              <w:color w:val="003767"/>
              <w:sz w:val="16"/>
              <w:szCs w:val="16"/>
            </w:rPr>
            <w:t xml:space="preserve">E </w:t>
          </w:r>
          <w:hyperlink r:id="rId2" w:history="1">
            <w:r w:rsidRPr="00195BCC">
              <w:rPr>
                <w:rStyle w:val="Hyperlink"/>
                <w:color w:val="003767"/>
                <w:sz w:val="16"/>
                <w:szCs w:val="16"/>
              </w:rPr>
              <w:t>info@aist.asn.au</w:t>
            </w:r>
          </w:hyperlink>
          <w:r w:rsidRPr="00195BCC">
            <w:rPr>
              <w:color w:val="003767"/>
              <w:sz w:val="16"/>
              <w:szCs w:val="16"/>
            </w:rPr>
            <w:br/>
          </w:r>
          <w:hyperlink r:id="rId3" w:history="1">
            <w:r w:rsidRPr="008B38C3">
              <w:rPr>
                <w:rStyle w:val="Hyperlink"/>
                <w:sz w:val="16"/>
                <w:szCs w:val="16"/>
              </w:rPr>
              <w:t>www.aist.asn.au</w:t>
            </w:r>
          </w:hyperlink>
        </w:p>
      </w:tc>
    </w:tr>
  </w:tbl>
  <w:p w14:paraId="376BC829" w14:textId="77777777" w:rsidR="00B972ED" w:rsidRPr="00195BCC" w:rsidRDefault="00B972ED" w:rsidP="00195BCC">
    <w:pPr>
      <w:pStyle w:val="Footer"/>
      <w:rPr>
        <w:color w:val="1F497D" w:themeColor="text2"/>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03101" w14:textId="77777777" w:rsidR="00B972ED" w:rsidRDefault="00B972ED" w:rsidP="00967C5A">
      <w:r>
        <w:separator/>
      </w:r>
    </w:p>
  </w:footnote>
  <w:footnote w:type="continuationSeparator" w:id="0">
    <w:p w14:paraId="2194CD16" w14:textId="77777777" w:rsidR="00B972ED" w:rsidRDefault="00B972ED" w:rsidP="00967C5A">
      <w:r>
        <w:continuationSeparator/>
      </w:r>
    </w:p>
  </w:footnote>
  <w:footnote w:type="continuationNotice" w:id="1">
    <w:p w14:paraId="7E0FED14" w14:textId="77777777" w:rsidR="00B972ED" w:rsidRDefault="00B972ED"/>
  </w:footnote>
  <w:footnote w:id="2">
    <w:p w14:paraId="4B70DBF8" w14:textId="390F63BB" w:rsidR="00B972ED" w:rsidRPr="00BF0FD8" w:rsidRDefault="00B972ED" w:rsidP="00BF0FD8">
      <w:pPr>
        <w:rPr>
          <w:rFonts w:eastAsia="Times New Roman" w:cs="Times New Roman"/>
          <w:bCs/>
          <w:sz w:val="18"/>
          <w:szCs w:val="18"/>
          <w:shd w:val="clear" w:color="auto" w:fill="FFFFFF"/>
        </w:rPr>
      </w:pPr>
      <w:r>
        <w:rPr>
          <w:rStyle w:val="FootnoteReference"/>
        </w:rPr>
        <w:footnoteRef/>
      </w:r>
      <w:r>
        <w:t xml:space="preserve"> </w:t>
      </w:r>
      <w:r w:rsidRPr="00BF0FD8">
        <w:rPr>
          <w:sz w:val="18"/>
          <w:szCs w:val="18"/>
          <w:lang w:val="en-US"/>
        </w:rPr>
        <w:t xml:space="preserve">AIST, (2015), </w:t>
      </w:r>
      <w:r w:rsidRPr="00BF0FD8">
        <w:rPr>
          <w:i/>
          <w:sz w:val="18"/>
          <w:szCs w:val="18"/>
          <w:lang w:val="en-US"/>
        </w:rPr>
        <w:t>Response to Tax Discussion Paper Re:think</w:t>
      </w:r>
      <w:r w:rsidRPr="00BF0FD8">
        <w:rPr>
          <w:sz w:val="18"/>
          <w:szCs w:val="18"/>
          <w:lang w:val="en-US"/>
        </w:rPr>
        <w:t xml:space="preserve"> 1 June 2015 [online]. Australian Institute of Superannuation Trustees. Available at </w:t>
      </w:r>
      <w:hyperlink r:id="rId1" w:history="1">
        <w:r w:rsidRPr="00BF0FD8">
          <w:rPr>
            <w:rStyle w:val="Hyperlink"/>
            <w:rFonts w:eastAsia="Times New Roman" w:cs="Times New Roman"/>
            <w:bCs/>
            <w:color w:val="auto"/>
            <w:sz w:val="18"/>
            <w:szCs w:val="18"/>
            <w:shd w:val="clear" w:color="auto" w:fill="FFFFFF"/>
          </w:rPr>
          <w:t>http://tinyurl.com/nbyovqd</w:t>
        </w:r>
      </w:hyperlink>
      <w:r w:rsidRPr="00BF0FD8">
        <w:rPr>
          <w:rFonts w:eastAsia="Times New Roman" w:cs="Times New Roman"/>
          <w:bCs/>
          <w:sz w:val="18"/>
          <w:szCs w:val="18"/>
          <w:shd w:val="clear" w:color="auto" w:fill="FFFFFF"/>
        </w:rPr>
        <w:t xml:space="preserve"> Accessed 7.1.2016</w:t>
      </w:r>
    </w:p>
  </w:footnote>
  <w:footnote w:id="3">
    <w:p w14:paraId="012342BE" w14:textId="24523F9D" w:rsidR="00B972ED" w:rsidRPr="00BF0FD8" w:rsidRDefault="00B972ED" w:rsidP="00EA769D">
      <w:pPr>
        <w:rPr>
          <w:sz w:val="18"/>
          <w:szCs w:val="18"/>
          <w:lang w:val="en-US"/>
        </w:rPr>
      </w:pPr>
      <w:r w:rsidRPr="00BF0FD8">
        <w:rPr>
          <w:rStyle w:val="FootnoteReference"/>
          <w:sz w:val="18"/>
          <w:szCs w:val="18"/>
        </w:rPr>
        <w:footnoteRef/>
      </w:r>
      <w:r w:rsidRPr="00BF0FD8">
        <w:rPr>
          <w:sz w:val="18"/>
          <w:szCs w:val="18"/>
        </w:rPr>
        <w:t xml:space="preserve"> </w:t>
      </w:r>
      <w:r w:rsidRPr="00BF0FD8">
        <w:rPr>
          <w:sz w:val="18"/>
          <w:szCs w:val="18"/>
          <w:lang w:val="en-US"/>
        </w:rPr>
        <w:t xml:space="preserve">AIST, (2015), </w:t>
      </w:r>
      <w:r>
        <w:rPr>
          <w:i/>
          <w:sz w:val="18"/>
          <w:szCs w:val="18"/>
          <w:lang w:val="en-US"/>
        </w:rPr>
        <w:t xml:space="preserve">Senate Economics Reference Committee Economic security for women in retirement </w:t>
      </w:r>
      <w:r>
        <w:rPr>
          <w:sz w:val="18"/>
          <w:szCs w:val="18"/>
          <w:lang w:val="en-US"/>
        </w:rPr>
        <w:t xml:space="preserve">30 October 2015 [online]. Australian Institute of Superannuation Trustees. Available at </w:t>
      </w:r>
      <w:hyperlink r:id="rId2" w:history="1">
        <w:r w:rsidRPr="00B93422">
          <w:rPr>
            <w:rStyle w:val="Hyperlink"/>
            <w:sz w:val="18"/>
            <w:szCs w:val="18"/>
            <w:lang w:val="en-US"/>
          </w:rPr>
          <w:t>http://tinyurl.com/zl7aowl</w:t>
        </w:r>
      </w:hyperlink>
      <w:r>
        <w:rPr>
          <w:sz w:val="18"/>
          <w:szCs w:val="18"/>
          <w:lang w:val="en-US"/>
        </w:rPr>
        <w:t xml:space="preserve"> [Accessed 7.1.2016]</w:t>
      </w:r>
    </w:p>
  </w:footnote>
  <w:footnote w:id="4">
    <w:p w14:paraId="7855FB29" w14:textId="77777777" w:rsidR="00B972ED" w:rsidRPr="00F6584A" w:rsidRDefault="00B972ED" w:rsidP="00AC0F59">
      <w:pPr>
        <w:jc w:val="both"/>
      </w:pPr>
      <w:r w:rsidRPr="002E15B3">
        <w:rPr>
          <w:rStyle w:val="FootnoteReference"/>
          <w:sz w:val="16"/>
          <w:szCs w:val="16"/>
        </w:rPr>
        <w:footnoteRef/>
      </w:r>
      <w:r w:rsidRPr="002E15B3">
        <w:rPr>
          <w:sz w:val="16"/>
          <w:szCs w:val="16"/>
        </w:rPr>
        <w:t xml:space="preserve"> OECD, (2014). OECD Pensions Outlook 2014. [online] OECD. Available at: </w:t>
      </w:r>
      <w:hyperlink r:id="rId3" w:history="1">
        <w:r w:rsidRPr="002E15B3">
          <w:rPr>
            <w:rStyle w:val="Hyperlink"/>
            <w:sz w:val="16"/>
            <w:szCs w:val="16"/>
          </w:rPr>
          <w:t>http://tinyurl.com/ntrluq2</w:t>
        </w:r>
      </w:hyperlink>
      <w:r w:rsidRPr="002E15B3">
        <w:rPr>
          <w:sz w:val="16"/>
          <w:szCs w:val="16"/>
        </w:rPr>
        <w:t xml:space="preserve"> [Accessed 27 May 2015].</w:t>
      </w:r>
    </w:p>
  </w:footnote>
  <w:footnote w:id="5">
    <w:p w14:paraId="6EDADC2A" w14:textId="77777777" w:rsidR="00B972ED" w:rsidRPr="00192D54" w:rsidRDefault="00B972ED" w:rsidP="00F65E2E">
      <w:pPr>
        <w:pStyle w:val="FootnoteText"/>
        <w:jc w:val="left"/>
        <w:rPr>
          <w:rFonts w:ascii="Calibri" w:hAnsi="Calibri"/>
        </w:rPr>
      </w:pPr>
      <w:r w:rsidRPr="00192D54">
        <w:rPr>
          <w:rStyle w:val="FootnoteReference"/>
          <w:rFonts w:ascii="Calibri" w:hAnsi="Calibri"/>
        </w:rPr>
        <w:footnoteRef/>
      </w:r>
      <w:r w:rsidRPr="00192D54">
        <w:rPr>
          <w:rFonts w:ascii="Calibri" w:hAnsi="Calibri"/>
        </w:rPr>
        <w:t xml:space="preserve"> European Commission, (2012). </w:t>
      </w:r>
      <w:r w:rsidRPr="00192D54">
        <w:rPr>
          <w:rFonts w:ascii="Calibri" w:hAnsi="Calibri"/>
          <w:i/>
        </w:rPr>
        <w:t>White Paper: An Agenda for Adequate, Safe and Sustainable Pensions</w:t>
      </w:r>
      <w:r w:rsidRPr="00192D54">
        <w:rPr>
          <w:rFonts w:ascii="Calibri" w:hAnsi="Calibri"/>
        </w:rPr>
        <w:t xml:space="preserve">. Brussels: European Commission. Available at: </w:t>
      </w:r>
      <w:hyperlink r:id="rId4" w:history="1">
        <w:r w:rsidRPr="00192D54">
          <w:rPr>
            <w:rStyle w:val="Hyperlink"/>
            <w:rFonts w:ascii="Calibri" w:hAnsi="Calibri"/>
          </w:rPr>
          <w:t>http://tinyurl.com/mmvnk26</w:t>
        </w:r>
      </w:hyperlink>
      <w:r w:rsidRPr="00192D54">
        <w:rPr>
          <w:rFonts w:ascii="Calibri" w:hAnsi="Calibri"/>
          <w:b/>
          <w:bCs/>
          <w:color w:val="000000"/>
          <w:shd w:val="clear" w:color="auto" w:fill="FFFFFF"/>
        </w:rPr>
        <w:t xml:space="preserve"> </w:t>
      </w:r>
      <w:r w:rsidRPr="00192D54">
        <w:rPr>
          <w:rFonts w:ascii="Calibri" w:hAnsi="Calibri" w:cs="Arial"/>
          <w:shd w:val="clear" w:color="auto" w:fill="FFFFFF"/>
        </w:rPr>
        <w:t>[Accessed 25 May 2015</w:t>
      </w:r>
      <w:r>
        <w:rPr>
          <w:rFonts w:ascii="Calibri" w:hAnsi="Calibri" w:cs="Arial"/>
          <w:shd w:val="clear" w:color="auto" w:fill="FFFFFF"/>
        </w:rPr>
        <w:t>]</w:t>
      </w:r>
    </w:p>
  </w:footnote>
  <w:footnote w:id="6">
    <w:p w14:paraId="5D3D22DA" w14:textId="77777777" w:rsidR="00B972ED" w:rsidRPr="00ED0C79" w:rsidRDefault="00B972ED" w:rsidP="00F65E2E">
      <w:pPr>
        <w:pStyle w:val="FootnoteText"/>
        <w:jc w:val="left"/>
      </w:pPr>
      <w:r w:rsidRPr="00192D54">
        <w:rPr>
          <w:rStyle w:val="FootnoteReference"/>
          <w:rFonts w:ascii="Calibri" w:hAnsi="Calibri"/>
        </w:rPr>
        <w:footnoteRef/>
      </w:r>
      <w:r w:rsidRPr="00192D54">
        <w:rPr>
          <w:rFonts w:ascii="Calibri" w:hAnsi="Calibri"/>
        </w:rPr>
        <w:t xml:space="preserve"> European Commission, (2012). </w:t>
      </w:r>
      <w:r w:rsidRPr="00192D54">
        <w:rPr>
          <w:rFonts w:ascii="Calibri" w:hAnsi="Calibri"/>
          <w:i/>
        </w:rPr>
        <w:t>Pension Adequacy in the European Union 2010-2050</w:t>
      </w:r>
      <w:r w:rsidRPr="00192D54">
        <w:rPr>
          <w:rFonts w:ascii="Calibri" w:hAnsi="Calibri"/>
        </w:rPr>
        <w:t>. European Commission.</w:t>
      </w:r>
    </w:p>
  </w:footnote>
  <w:footnote w:id="7">
    <w:p w14:paraId="0D6EFF1B" w14:textId="77777777" w:rsidR="00B972ED" w:rsidRPr="00A00A7C" w:rsidRDefault="00B972ED" w:rsidP="00F65E2E">
      <w:pPr>
        <w:pStyle w:val="FootnoteText"/>
        <w:jc w:val="left"/>
        <w:rPr>
          <w:rFonts w:ascii="Calibri" w:hAnsi="Calibri"/>
          <w:sz w:val="16"/>
          <w:szCs w:val="16"/>
        </w:rPr>
      </w:pPr>
      <w:r w:rsidRPr="00425A11">
        <w:rPr>
          <w:rStyle w:val="FootnoteReference"/>
          <w:rFonts w:ascii="Calibri" w:hAnsi="Calibri"/>
          <w:sz w:val="16"/>
          <w:szCs w:val="16"/>
        </w:rPr>
        <w:footnoteRef/>
      </w:r>
      <w:r w:rsidRPr="00425A11">
        <w:rPr>
          <w:rFonts w:ascii="Calibri" w:hAnsi="Calibri"/>
          <w:sz w:val="16"/>
          <w:szCs w:val="16"/>
        </w:rPr>
        <w:t xml:space="preserve"> </w:t>
      </w:r>
      <w:r w:rsidRPr="00A00A7C">
        <w:rPr>
          <w:rFonts w:ascii="Calibri" w:hAnsi="Calibri"/>
          <w:sz w:val="16"/>
          <w:szCs w:val="16"/>
        </w:rPr>
        <w:t>European Commission, (2013). </w:t>
      </w:r>
      <w:r w:rsidRPr="00A00A7C">
        <w:rPr>
          <w:rFonts w:ascii="Calibri" w:hAnsi="Calibri"/>
          <w:i/>
          <w:sz w:val="16"/>
          <w:szCs w:val="16"/>
        </w:rPr>
        <w:t>Adequacy and Sustainability of Pensions</w:t>
      </w:r>
      <w:r w:rsidRPr="00A00A7C">
        <w:rPr>
          <w:rFonts w:ascii="Calibri" w:hAnsi="Calibri"/>
          <w:sz w:val="16"/>
          <w:szCs w:val="16"/>
        </w:rPr>
        <w:t xml:space="preserve">. [online] European Commission. Available at: </w:t>
      </w:r>
      <w:hyperlink r:id="rId5" w:history="1">
        <w:r w:rsidRPr="00A00A7C">
          <w:rPr>
            <w:rStyle w:val="Hyperlink"/>
            <w:rFonts w:ascii="Calibri" w:hAnsi="Calibri"/>
            <w:sz w:val="16"/>
            <w:szCs w:val="16"/>
          </w:rPr>
          <w:t>http://tinyurl.com/o9efgrl</w:t>
        </w:r>
      </w:hyperlink>
      <w:r w:rsidRPr="00A00A7C">
        <w:rPr>
          <w:rFonts w:ascii="Calibri" w:hAnsi="Calibri"/>
          <w:sz w:val="16"/>
          <w:szCs w:val="16"/>
        </w:rPr>
        <w:t xml:space="preserve"> [Accessed 26 May 2015].</w:t>
      </w:r>
    </w:p>
  </w:footnote>
  <w:footnote w:id="8">
    <w:p w14:paraId="763D7696" w14:textId="77777777" w:rsidR="00B972ED" w:rsidRPr="00A00A7C" w:rsidRDefault="00B972ED" w:rsidP="00F65E2E">
      <w:pPr>
        <w:rPr>
          <w:rFonts w:ascii="Calibri" w:hAnsi="Calibri"/>
          <w:sz w:val="16"/>
          <w:szCs w:val="16"/>
          <w:lang w:val="en-US"/>
        </w:rPr>
      </w:pPr>
      <w:r w:rsidRPr="00A00A7C">
        <w:rPr>
          <w:rStyle w:val="FootnoteReference"/>
          <w:rFonts w:ascii="Calibri" w:hAnsi="Calibri"/>
          <w:sz w:val="16"/>
          <w:szCs w:val="16"/>
        </w:rPr>
        <w:footnoteRef/>
      </w:r>
      <w:r w:rsidRPr="00A00A7C">
        <w:rPr>
          <w:rFonts w:ascii="Calibri" w:hAnsi="Calibri"/>
          <w:sz w:val="16"/>
          <w:szCs w:val="16"/>
        </w:rPr>
        <w:t xml:space="preserve"> </w:t>
      </w:r>
      <w:r w:rsidRPr="00A00A7C">
        <w:rPr>
          <w:rFonts w:ascii="Calibri" w:eastAsia="Times New Roman" w:hAnsi="Calibri" w:cs="Times New Roman"/>
          <w:sz w:val="16"/>
          <w:szCs w:val="16"/>
        </w:rPr>
        <w:t>European Commission, (2014).</w:t>
      </w:r>
      <w:r w:rsidRPr="00A00A7C">
        <w:rPr>
          <w:rFonts w:ascii="Calibri" w:hAnsi="Calibri"/>
          <w:sz w:val="16"/>
          <w:szCs w:val="16"/>
        </w:rPr>
        <w:t xml:space="preserve"> </w:t>
      </w:r>
      <w:r w:rsidRPr="00A00A7C">
        <w:rPr>
          <w:rFonts w:ascii="Calibri" w:eastAsia="Times New Roman" w:hAnsi="Calibri" w:cs="Times New Roman"/>
          <w:i/>
          <w:sz w:val="16"/>
          <w:szCs w:val="16"/>
        </w:rPr>
        <w:t>Implementation of the EU White Paper on Pensions</w:t>
      </w:r>
      <w:r w:rsidRPr="00A00A7C">
        <w:rPr>
          <w:rFonts w:ascii="Calibri" w:eastAsia="Times New Roman" w:hAnsi="Calibri" w:cs="Times New Roman"/>
          <w:sz w:val="16"/>
          <w:szCs w:val="16"/>
        </w:rPr>
        <w:t>. [online] European Commission Available at:</w:t>
      </w:r>
      <w:r w:rsidRPr="00A00A7C">
        <w:rPr>
          <w:rFonts w:ascii="Calibri" w:hAnsi="Calibri"/>
          <w:sz w:val="16"/>
          <w:szCs w:val="16"/>
        </w:rPr>
        <w:t xml:space="preserve"> </w:t>
      </w:r>
      <w:hyperlink r:id="rId6" w:history="1">
        <w:r w:rsidRPr="00A00A7C">
          <w:rPr>
            <w:rFonts w:ascii="Calibri" w:hAnsi="Calibri"/>
            <w:sz w:val="16"/>
            <w:szCs w:val="16"/>
          </w:rPr>
          <w:t>http://tinyurl.com/mmvnk26</w:t>
        </w:r>
      </w:hyperlink>
      <w:r w:rsidRPr="00A00A7C">
        <w:rPr>
          <w:rFonts w:ascii="Calibri" w:eastAsia="Times New Roman" w:hAnsi="Calibri" w:cs="Times New Roman"/>
          <w:b/>
          <w:bCs/>
          <w:color w:val="000000"/>
          <w:sz w:val="16"/>
          <w:szCs w:val="16"/>
          <w:shd w:val="clear" w:color="auto" w:fill="FFFFFF"/>
        </w:rPr>
        <w:t xml:space="preserve"> </w:t>
      </w:r>
      <w:r w:rsidRPr="00A00A7C">
        <w:rPr>
          <w:rFonts w:ascii="Calibri" w:eastAsia="Times New Roman" w:hAnsi="Calibri" w:cs="Times New Roman"/>
          <w:sz w:val="16"/>
          <w:szCs w:val="16"/>
        </w:rPr>
        <w:t>[Accessed 26 May 2015].</w:t>
      </w:r>
      <w:r w:rsidRPr="00A00A7C">
        <w:rPr>
          <w:rFonts w:ascii="Calibri" w:hAnsi="Calibri"/>
          <w:sz w:val="16"/>
          <w:szCs w:val="16"/>
          <w:lang w:val="en-US"/>
        </w:rPr>
        <w:t xml:space="preserve"> </w:t>
      </w:r>
    </w:p>
  </w:footnote>
  <w:footnote w:id="9">
    <w:p w14:paraId="55FBC85B" w14:textId="77777777" w:rsidR="00B972ED" w:rsidRPr="00FD556D" w:rsidRDefault="00B972ED" w:rsidP="00AC0F59">
      <w:pPr>
        <w:pStyle w:val="FootnoteText"/>
        <w:jc w:val="left"/>
        <w:rPr>
          <w:rFonts w:ascii="Calibri" w:hAnsi="Calibri"/>
          <w:sz w:val="16"/>
          <w:szCs w:val="16"/>
        </w:rPr>
      </w:pPr>
      <w:r w:rsidRPr="00A00A7C">
        <w:rPr>
          <w:rStyle w:val="FootnoteReference"/>
          <w:rFonts w:ascii="Calibri" w:hAnsi="Calibri"/>
          <w:sz w:val="16"/>
          <w:szCs w:val="16"/>
        </w:rPr>
        <w:footnoteRef/>
      </w:r>
      <w:r w:rsidRPr="00A00A7C">
        <w:rPr>
          <w:rFonts w:ascii="Calibri" w:hAnsi="Calibri"/>
          <w:sz w:val="16"/>
          <w:szCs w:val="16"/>
        </w:rPr>
        <w:t xml:space="preserve"> </w:t>
      </w:r>
      <w:r w:rsidRPr="00A00A7C">
        <w:rPr>
          <w:rFonts w:ascii="Calibri" w:hAnsi="Calibri" w:cs="Arial"/>
          <w:sz w:val="16"/>
          <w:szCs w:val="16"/>
          <w:shd w:val="clear" w:color="auto" w:fill="FFFFFF"/>
        </w:rPr>
        <w:t>AIST, (2014). </w:t>
      </w:r>
      <w:r w:rsidRPr="00A00A7C">
        <w:rPr>
          <w:rFonts w:ascii="Calibri" w:hAnsi="Calibri" w:cs="Arial"/>
          <w:i/>
          <w:iCs/>
          <w:sz w:val="16"/>
          <w:szCs w:val="16"/>
          <w:shd w:val="clear" w:color="auto" w:fill="FFFFFF"/>
        </w:rPr>
        <w:t>Response to the Financial System Inquiry Final Report 31 March 2015</w:t>
      </w:r>
      <w:r w:rsidRPr="00A00A7C">
        <w:rPr>
          <w:rFonts w:ascii="Calibri" w:hAnsi="Calibri" w:cs="Arial"/>
          <w:sz w:val="16"/>
          <w:szCs w:val="16"/>
          <w:shd w:val="clear" w:color="auto" w:fill="FFFFFF"/>
        </w:rPr>
        <w:t xml:space="preserve">. [online] Australian Institute of Superannuation Trustees. Available at: </w:t>
      </w:r>
      <w:hyperlink r:id="rId7" w:history="1">
        <w:r w:rsidRPr="00A00A7C">
          <w:rPr>
            <w:rStyle w:val="Hyperlink"/>
            <w:rFonts w:ascii="Calibri" w:hAnsi="Calibri" w:cs="Arial"/>
            <w:sz w:val="16"/>
            <w:szCs w:val="16"/>
            <w:shd w:val="clear" w:color="auto" w:fill="FFFFFF"/>
          </w:rPr>
          <w:t>http://tinyurl.com/n4ozc4l</w:t>
        </w:r>
      </w:hyperlink>
      <w:r w:rsidRPr="00A00A7C">
        <w:rPr>
          <w:rFonts w:ascii="Calibri" w:hAnsi="Calibri" w:cs="Arial"/>
          <w:sz w:val="16"/>
          <w:szCs w:val="16"/>
          <w:shd w:val="clear" w:color="auto" w:fill="FFFFFF"/>
        </w:rPr>
        <w:t xml:space="preserve"> [Accessed 25 May 2015].</w:t>
      </w:r>
    </w:p>
  </w:footnote>
  <w:footnote w:id="10">
    <w:p w14:paraId="11ED4934" w14:textId="26D3D360" w:rsidR="00B972ED" w:rsidRPr="006C17E2" w:rsidRDefault="00B972ED" w:rsidP="006C17E2">
      <w:pPr>
        <w:rPr>
          <w:sz w:val="18"/>
          <w:szCs w:val="18"/>
          <w:lang w:val="en-US"/>
        </w:rPr>
      </w:pPr>
      <w:r>
        <w:rPr>
          <w:rStyle w:val="FootnoteReference"/>
        </w:rPr>
        <w:footnoteRef/>
      </w:r>
      <w:r>
        <w:t xml:space="preserve"> </w:t>
      </w:r>
      <w:r w:rsidRPr="006C17E2">
        <w:rPr>
          <w:sz w:val="18"/>
          <w:szCs w:val="18"/>
        </w:rPr>
        <w:t xml:space="preserve">OECD, (2015) </w:t>
      </w:r>
      <w:r w:rsidRPr="006C17E2">
        <w:rPr>
          <w:i/>
          <w:sz w:val="18"/>
          <w:szCs w:val="18"/>
        </w:rPr>
        <w:t>OECD Pensions at a Glance</w:t>
      </w:r>
      <w:r w:rsidRPr="006C17E2">
        <w:rPr>
          <w:sz w:val="18"/>
          <w:szCs w:val="18"/>
        </w:rPr>
        <w:t xml:space="preserve">. OECD. Available at </w:t>
      </w:r>
      <w:r w:rsidRPr="006C17E2">
        <w:rPr>
          <w:rFonts w:eastAsia="Times New Roman" w:cs="Times New Roman"/>
          <w:bCs/>
          <w:color w:val="000000"/>
          <w:sz w:val="18"/>
          <w:szCs w:val="18"/>
          <w:shd w:val="clear" w:color="auto" w:fill="FFFFFF"/>
        </w:rPr>
        <w:t>http://tinyurl.com/jc8pftp</w:t>
      </w:r>
      <w:r w:rsidRPr="006C17E2">
        <w:rPr>
          <w:sz w:val="18"/>
          <w:szCs w:val="18"/>
        </w:rPr>
        <w:t xml:space="preserve">  [Accessed 8 January 2015]</w:t>
      </w:r>
    </w:p>
  </w:footnote>
  <w:footnote w:id="11">
    <w:p w14:paraId="2154244E" w14:textId="3667AE7C" w:rsidR="00B972ED" w:rsidRPr="004C60B3" w:rsidRDefault="00B972ED" w:rsidP="004C60B3">
      <w:pPr>
        <w:rPr>
          <w:sz w:val="18"/>
          <w:szCs w:val="18"/>
          <w:lang w:val="en-US"/>
        </w:rPr>
      </w:pPr>
      <w:r>
        <w:rPr>
          <w:rStyle w:val="FootnoteReference"/>
        </w:rPr>
        <w:footnoteRef/>
      </w:r>
      <w:r>
        <w:t xml:space="preserve"> </w:t>
      </w:r>
      <w:r w:rsidRPr="004C60B3">
        <w:rPr>
          <w:sz w:val="18"/>
          <w:szCs w:val="18"/>
          <w:lang w:val="en-US"/>
        </w:rPr>
        <w:t xml:space="preserve">Australian Bureau of Statistics, (2010-2011), 2010-2011 Multipurpose Household Survey: ABS. Available at: </w:t>
      </w:r>
      <w:r w:rsidRPr="004C60B3">
        <w:rPr>
          <w:rFonts w:eastAsia="Times New Roman" w:cs="Times New Roman"/>
          <w:bCs/>
          <w:color w:val="000000"/>
          <w:sz w:val="18"/>
          <w:szCs w:val="18"/>
          <w:shd w:val="clear" w:color="auto" w:fill="FFFFFF"/>
        </w:rPr>
        <w:t>http://tinyurl.com/zv3ebss</w:t>
      </w:r>
      <w:r>
        <w:rPr>
          <w:sz w:val="18"/>
          <w:szCs w:val="18"/>
          <w:lang w:val="en-US"/>
        </w:rPr>
        <w:t xml:space="preserve"> </w:t>
      </w:r>
      <w:r w:rsidRPr="004C60B3">
        <w:rPr>
          <w:sz w:val="18"/>
          <w:szCs w:val="18"/>
          <w:lang w:val="en-US"/>
        </w:rPr>
        <w:t>[Accessed 8.1.2016]</w:t>
      </w:r>
    </w:p>
  </w:footnote>
  <w:footnote w:id="12">
    <w:p w14:paraId="36205937" w14:textId="77777777" w:rsidR="00B972ED" w:rsidRDefault="00B972ED" w:rsidP="004C60B3">
      <w:pPr>
        <w:pStyle w:val="footnote"/>
      </w:pPr>
      <w:r>
        <w:rPr>
          <w:rStyle w:val="FootnoteReference"/>
        </w:rPr>
        <w:footnoteRef/>
      </w:r>
      <w:r>
        <w:t xml:space="preserve"> Assuming a life expectancy of 75, an individual that retires at 55 would be expected to participate in the survey for another 20 years, whereas one that retires at 65 would have an expected survey participation duration of 10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4C36C" w14:textId="77777777" w:rsidR="00B972ED" w:rsidRPr="00E37962" w:rsidRDefault="00B972ED" w:rsidP="000340A4">
    <w:pPr>
      <w:pStyle w:val="PlainText"/>
      <w:rPr>
        <w:b/>
        <w:color w:val="FFFFFF" w:themeColor="background1"/>
        <w:sz w:val="36"/>
        <w:szCs w:val="36"/>
      </w:rPr>
    </w:pPr>
    <w:r w:rsidRPr="00425A11">
      <w:rPr>
        <w:b/>
        <w:noProof/>
        <w:color w:val="FFFFFF" w:themeColor="background1"/>
        <w:sz w:val="36"/>
        <w:szCs w:val="36"/>
        <w:lang w:eastAsia="en-AU"/>
      </w:rPr>
      <mc:AlternateContent>
        <mc:Choice Requires="wps">
          <w:drawing>
            <wp:anchor distT="0" distB="0" distL="114300" distR="114300" simplePos="0" relativeHeight="251668480" behindDoc="1" locked="0" layoutInCell="1" allowOverlap="1" wp14:anchorId="51E9E82A" wp14:editId="157C7C9C">
              <wp:simplePos x="0" y="0"/>
              <wp:positionH relativeFrom="column">
                <wp:posOffset>-914400</wp:posOffset>
              </wp:positionH>
              <wp:positionV relativeFrom="paragraph">
                <wp:posOffset>-808990</wp:posOffset>
              </wp:positionV>
              <wp:extent cx="7762875" cy="1238250"/>
              <wp:effectExtent l="0" t="0" r="9525" b="6350"/>
              <wp:wrapNone/>
              <wp:docPr id="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238250"/>
                      </a:xfrm>
                      <a:prstGeom prst="rect">
                        <a:avLst/>
                      </a:prstGeom>
                      <a:solidFill>
                        <a:srgbClr val="00376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1B667" id="Rectangle 1" o:spid="_x0000_s1026" style="position:absolute;margin-left:-1in;margin-top:-63.7pt;width:611.25pt;height: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" fillcolor="#003767" stroked="f"/>
          </w:pict>
        </mc:Fallback>
      </mc:AlternateContent>
    </w:r>
    <w:r w:rsidRPr="00425A11">
      <w:rPr>
        <w:b/>
        <w:noProof/>
        <w:color w:val="FFFFFF" w:themeColor="background1"/>
        <w:sz w:val="36"/>
        <w:szCs w:val="36"/>
        <w:lang w:eastAsia="en-AU"/>
      </w:rPr>
      <mc:AlternateContent>
        <mc:Choice Requires="wps">
          <w:drawing>
            <wp:anchor distT="0" distB="0" distL="114300" distR="114300" simplePos="0" relativeHeight="251666432" behindDoc="1" locked="0" layoutInCell="1" allowOverlap="1" wp14:anchorId="63C52EFB" wp14:editId="1EA849DF">
              <wp:simplePos x="0" y="0"/>
              <wp:positionH relativeFrom="column">
                <wp:posOffset>-843915</wp:posOffset>
              </wp:positionH>
              <wp:positionV relativeFrom="paragraph">
                <wp:posOffset>-726440</wp:posOffset>
              </wp:positionV>
              <wp:extent cx="7762875" cy="1238250"/>
              <wp:effectExtent l="0" t="0" r="9525" b="0"/>
              <wp:wrapNone/>
              <wp:docPr id="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238250"/>
                      </a:xfrm>
                      <a:prstGeom prst="rect">
                        <a:avLst/>
                      </a:prstGeom>
                      <a:solidFill>
                        <a:srgbClr val="00376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95F3F" id="Rectangle 1" o:spid="_x0000_s1026" style="position:absolute;margin-left:-66.45pt;margin-top:-57.2pt;width:611.25pt;height: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" fillcolor="#003767" stroked="f"/>
          </w:pict>
        </mc:Fallback>
      </mc:AlternateContent>
    </w:r>
    <w:r>
      <w:rPr>
        <w:b/>
        <w:noProof/>
        <w:color w:val="FFFFFF" w:themeColor="background1"/>
        <w:sz w:val="36"/>
        <w:szCs w:val="36"/>
        <w:lang w:eastAsia="en-AU"/>
      </w:rPr>
      <w:drawing>
        <wp:anchor distT="0" distB="0" distL="114300" distR="114300" simplePos="0" relativeHeight="251667456" behindDoc="0" locked="0" layoutInCell="1" allowOverlap="1" wp14:anchorId="3926BF10" wp14:editId="1E7C947E">
          <wp:simplePos x="0" y="0"/>
          <wp:positionH relativeFrom="column">
            <wp:posOffset>5080635</wp:posOffset>
          </wp:positionH>
          <wp:positionV relativeFrom="paragraph">
            <wp:posOffset>-230505</wp:posOffset>
          </wp:positionV>
          <wp:extent cx="1057275" cy="495300"/>
          <wp:effectExtent l="19050" t="0" r="9525" b="0"/>
          <wp:wrapNone/>
          <wp:docPr id="36" name="Picture 5" descr="00_Logo_cmyk_forDarkBG_LightBlue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Logo_cmyk_forDarkBG_LightBlueArrow.gif"/>
                  <pic:cNvPicPr/>
                </pic:nvPicPr>
                <pic:blipFill>
                  <a:blip r:embed="rId1"/>
                  <a:stretch>
                    <a:fillRect/>
                  </a:stretch>
                </pic:blipFill>
                <pic:spPr>
                  <a:xfrm>
                    <a:off x="0" y="0"/>
                    <a:ext cx="1057275" cy="495300"/>
                  </a:xfrm>
                  <a:prstGeom prst="rect">
                    <a:avLst/>
                  </a:prstGeom>
                </pic:spPr>
              </pic:pic>
            </a:graphicData>
          </a:graphic>
        </wp:anchor>
      </w:drawing>
    </w:r>
    <w:r>
      <w:rPr>
        <w:b/>
        <w:color w:val="FFFFFF" w:themeColor="background1"/>
        <w:sz w:val="36"/>
        <w:szCs w:val="36"/>
      </w:rPr>
      <w:t xml:space="preserve">Willing to Work: National Inquiry </w:t>
    </w:r>
  </w:p>
  <w:p w14:paraId="77CB061E" w14:textId="26E1E9CB" w:rsidR="00B972ED" w:rsidRDefault="00B972ED">
    <w:pPr>
      <w:pStyle w:val="Header"/>
    </w:pPr>
    <w:r w:rsidRPr="00425A11">
      <w:rPr>
        <w:b/>
        <w:noProof/>
        <w:color w:val="FFFFFF" w:themeColor="background1"/>
        <w:sz w:val="36"/>
        <w:szCs w:val="36"/>
        <w:lang w:eastAsia="en-AU"/>
      </w:rPr>
      <mc:AlternateContent>
        <mc:Choice Requires="wps">
          <w:drawing>
            <wp:anchor distT="0" distB="0" distL="114300" distR="114300" simplePos="0" relativeHeight="251664384" behindDoc="1" locked="0" layoutInCell="1" allowOverlap="1" wp14:anchorId="43D2C75E" wp14:editId="5E5CC5BB">
              <wp:simplePos x="0" y="0"/>
              <wp:positionH relativeFrom="column">
                <wp:posOffset>-914400</wp:posOffset>
              </wp:positionH>
              <wp:positionV relativeFrom="paragraph">
                <wp:posOffset>-580390</wp:posOffset>
              </wp:positionV>
              <wp:extent cx="7762875" cy="1238250"/>
              <wp:effectExtent l="0" t="0" r="9525" b="6350"/>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238250"/>
                      </a:xfrm>
                      <a:prstGeom prst="rect">
                        <a:avLst/>
                      </a:prstGeom>
                      <a:solidFill>
                        <a:srgbClr val="00376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46C84" id="Rectangle 1" o:spid="_x0000_s1026" style="position:absolute;margin-left:-1in;margin-top:-45.7pt;width:611.25pt;height:9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" fillcolor="#003767"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F075A" w14:textId="68A69ADF" w:rsidR="00B972ED" w:rsidRDefault="00B972ED">
    <w:pPr>
      <w:pStyle w:val="Header"/>
    </w:pPr>
    <w:r>
      <w:rPr>
        <w:b/>
        <w:noProof/>
        <w:color w:val="FFFFFF" w:themeColor="background1"/>
        <w:sz w:val="36"/>
        <w:szCs w:val="36"/>
        <w:lang w:eastAsia="en-AU"/>
      </w:rPr>
      <w:drawing>
        <wp:anchor distT="0" distB="0" distL="114300" distR="114300" simplePos="0" relativeHeight="251672576" behindDoc="0" locked="0" layoutInCell="1" allowOverlap="1" wp14:anchorId="5A905D10" wp14:editId="6F4F18E9">
          <wp:simplePos x="0" y="0"/>
          <wp:positionH relativeFrom="column">
            <wp:posOffset>5233035</wp:posOffset>
          </wp:positionH>
          <wp:positionV relativeFrom="paragraph">
            <wp:posOffset>-78105</wp:posOffset>
          </wp:positionV>
          <wp:extent cx="1057275" cy="495300"/>
          <wp:effectExtent l="19050" t="0" r="9525" b="0"/>
          <wp:wrapNone/>
          <wp:docPr id="40" name="Picture 5" descr="00_Logo_cmyk_forDarkBG_LightBlue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Logo_cmyk_forDarkBG_LightBlueArrow.gif"/>
                  <pic:cNvPicPr/>
                </pic:nvPicPr>
                <pic:blipFill>
                  <a:blip r:embed="rId1"/>
                  <a:stretch>
                    <a:fillRect/>
                  </a:stretch>
                </pic:blipFill>
                <pic:spPr>
                  <a:xfrm>
                    <a:off x="0" y="0"/>
                    <a:ext cx="1057275" cy="495300"/>
                  </a:xfrm>
                  <a:prstGeom prst="rect">
                    <a:avLst/>
                  </a:prstGeom>
                </pic:spPr>
              </pic:pic>
            </a:graphicData>
          </a:graphic>
        </wp:anchor>
      </w:drawing>
    </w:r>
    <w:r w:rsidRPr="00425A11">
      <w:rPr>
        <w:b/>
        <w:noProof/>
        <w:color w:val="FFFFFF" w:themeColor="background1"/>
        <w:sz w:val="36"/>
        <w:szCs w:val="36"/>
        <w:lang w:eastAsia="en-AU"/>
      </w:rPr>
      <mc:AlternateContent>
        <mc:Choice Requires="wps">
          <w:drawing>
            <wp:anchor distT="0" distB="0" distL="114300" distR="114300" simplePos="0" relativeHeight="251670528" behindDoc="1" locked="0" layoutInCell="1" allowOverlap="1" wp14:anchorId="75B88F96" wp14:editId="232A426F">
              <wp:simplePos x="0" y="0"/>
              <wp:positionH relativeFrom="column">
                <wp:posOffset>-762000</wp:posOffset>
              </wp:positionH>
              <wp:positionV relativeFrom="paragraph">
                <wp:posOffset>-656590</wp:posOffset>
              </wp:positionV>
              <wp:extent cx="7762875" cy="1238250"/>
              <wp:effectExtent l="0" t="0" r="9525" b="6350"/>
              <wp:wrapNone/>
              <wp:docPr id="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238250"/>
                      </a:xfrm>
                      <a:prstGeom prst="rect">
                        <a:avLst/>
                      </a:prstGeom>
                      <a:solidFill>
                        <a:srgbClr val="00376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230465" w14:textId="77777777" w:rsidR="00B972ED" w:rsidRDefault="00B972ED" w:rsidP="00741886">
                          <w:pPr>
                            <w:rPr>
                              <w:b/>
                              <w:color w:val="FFFFFF" w:themeColor="background1"/>
                              <w:sz w:val="36"/>
                              <w:szCs w:val="36"/>
                            </w:rPr>
                          </w:pPr>
                        </w:p>
                        <w:p w14:paraId="3F6C5961" w14:textId="77777777" w:rsidR="00B972ED" w:rsidRDefault="00B972ED" w:rsidP="00741886">
                          <w:pPr>
                            <w:rPr>
                              <w:b/>
                              <w:color w:val="FFFFFF" w:themeColor="background1"/>
                              <w:sz w:val="36"/>
                              <w:szCs w:val="36"/>
                            </w:rPr>
                          </w:pPr>
                          <w:r>
                            <w:rPr>
                              <w:b/>
                              <w:color w:val="FFFFFF" w:themeColor="background1"/>
                              <w:sz w:val="36"/>
                              <w:szCs w:val="36"/>
                            </w:rPr>
                            <w:t xml:space="preserve">         </w:t>
                          </w:r>
                        </w:p>
                        <w:p w14:paraId="49998FB1" w14:textId="33877F71" w:rsidR="00B972ED" w:rsidRDefault="00B972ED" w:rsidP="00741886">
                          <w:r>
                            <w:rPr>
                              <w:b/>
                              <w:color w:val="FFFFFF" w:themeColor="background1"/>
                              <w:sz w:val="36"/>
                              <w:szCs w:val="36"/>
                            </w:rPr>
                            <w:t xml:space="preserve">          Willing to Work: National Inquiry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88F96" id="Rectangle 1" o:spid="_x0000_s1026" style="position:absolute;margin-left:-60pt;margin-top:-51.7pt;width:611.25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" fillcolor="#003767" stroked="f">
              <v:textbox>
                <w:txbxContent>
                  <w:p w14:paraId="29230465" w14:textId="77777777" w:rsidR="00B972ED" w:rsidRDefault="00B972ED" w:rsidP="00741886">
                    <w:pPr>
                      <w:rPr>
                        <w:b/>
                        <w:color w:val="FFFFFF" w:themeColor="background1"/>
                        <w:sz w:val="36"/>
                        <w:szCs w:val="36"/>
                      </w:rPr>
                    </w:pPr>
                  </w:p>
                  <w:p w14:paraId="3F6C5961" w14:textId="77777777" w:rsidR="00B972ED" w:rsidRDefault="00B972ED" w:rsidP="00741886">
                    <w:pPr>
                      <w:rPr>
                        <w:b/>
                        <w:color w:val="FFFFFF" w:themeColor="background1"/>
                        <w:sz w:val="36"/>
                        <w:szCs w:val="36"/>
                      </w:rPr>
                    </w:pPr>
                    <w:r>
                      <w:rPr>
                        <w:b/>
                        <w:color w:val="FFFFFF" w:themeColor="background1"/>
                        <w:sz w:val="36"/>
                        <w:szCs w:val="36"/>
                      </w:rPr>
                      <w:t xml:space="preserve">         </w:t>
                    </w:r>
                  </w:p>
                  <w:p w14:paraId="49998FB1" w14:textId="33877F71" w:rsidR="00B972ED" w:rsidRDefault="00B972ED" w:rsidP="00741886">
                    <w:r>
                      <w:rPr>
                        <w:b/>
                        <w:color w:val="FFFFFF" w:themeColor="background1"/>
                        <w:sz w:val="36"/>
                        <w:szCs w:val="36"/>
                      </w:rPr>
                      <w:t xml:space="preserve">          Willing to Work: National Inquiry</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F2C42C" w14:textId="65DE9EF8" w:rsidR="00B972ED" w:rsidRPr="00E37962" w:rsidRDefault="00B972ED" w:rsidP="00AF2913">
    <w:pPr>
      <w:pStyle w:val="PlainText"/>
      <w:rPr>
        <w:b/>
        <w:color w:val="FFFFFF" w:themeColor="background1"/>
        <w:sz w:val="36"/>
        <w:szCs w:val="36"/>
      </w:rPr>
    </w:pPr>
    <w:r w:rsidRPr="00425A11">
      <w:rPr>
        <w:b/>
        <w:noProof/>
        <w:color w:val="FFFFFF" w:themeColor="background1"/>
        <w:sz w:val="36"/>
        <w:szCs w:val="36"/>
        <w:lang w:eastAsia="en-AU"/>
      </w:rPr>
      <mc:AlternateContent>
        <mc:Choice Requires="wps">
          <w:drawing>
            <wp:anchor distT="0" distB="0" distL="114300" distR="114300" simplePos="0" relativeHeight="251660288" behindDoc="1" locked="0" layoutInCell="1" allowOverlap="1" wp14:anchorId="7822EFF3" wp14:editId="02DA3BDB">
              <wp:simplePos x="0" y="0"/>
              <wp:positionH relativeFrom="column">
                <wp:posOffset>-914400</wp:posOffset>
              </wp:positionH>
              <wp:positionV relativeFrom="paragraph">
                <wp:posOffset>-808990</wp:posOffset>
              </wp:positionV>
              <wp:extent cx="7762875" cy="1238250"/>
              <wp:effectExtent l="0" t="0" r="9525" b="635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238250"/>
                      </a:xfrm>
                      <a:prstGeom prst="rect">
                        <a:avLst/>
                      </a:prstGeom>
                      <a:solidFill>
                        <a:srgbClr val="00376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51E9F" id="Rectangle 1" o:spid="_x0000_s1026" style="position:absolute;margin-left:-1in;margin-top:-63.7pt;width:611.25pt;height: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" fillcolor="#003767" stroked="f"/>
          </w:pict>
        </mc:Fallback>
      </mc:AlternateContent>
    </w:r>
    <w:r w:rsidRPr="00425A11">
      <w:rPr>
        <w:b/>
        <w:noProof/>
        <w:color w:val="FFFFFF" w:themeColor="background1"/>
        <w:sz w:val="36"/>
        <w:szCs w:val="36"/>
        <w:lang w:eastAsia="en-AU"/>
      </w:rPr>
      <mc:AlternateContent>
        <mc:Choice Requires="wps">
          <w:drawing>
            <wp:anchor distT="0" distB="0" distL="114300" distR="114300" simplePos="0" relativeHeight="251656192" behindDoc="1" locked="0" layoutInCell="1" allowOverlap="1" wp14:anchorId="41AC5E0D" wp14:editId="0CA0E7C7">
              <wp:simplePos x="0" y="0"/>
              <wp:positionH relativeFrom="column">
                <wp:posOffset>-843915</wp:posOffset>
              </wp:positionH>
              <wp:positionV relativeFrom="paragraph">
                <wp:posOffset>-726440</wp:posOffset>
              </wp:positionV>
              <wp:extent cx="7762875" cy="1238250"/>
              <wp:effectExtent l="0" t="0" r="952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1238250"/>
                      </a:xfrm>
                      <a:prstGeom prst="rect">
                        <a:avLst/>
                      </a:prstGeom>
                      <a:solidFill>
                        <a:srgbClr val="003767"/>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24A7B" id="Rectangle 1" o:spid="_x0000_s1026" style="position:absolute;margin-left:-66.45pt;margin-top:-57.2pt;width:611.2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" fillcolor="#003767" stroked="f"/>
          </w:pict>
        </mc:Fallback>
      </mc:AlternateContent>
    </w:r>
    <w:r>
      <w:rPr>
        <w:b/>
        <w:noProof/>
        <w:color w:val="FFFFFF" w:themeColor="background1"/>
        <w:sz w:val="36"/>
        <w:szCs w:val="36"/>
        <w:lang w:eastAsia="en-AU"/>
      </w:rPr>
      <w:drawing>
        <wp:anchor distT="0" distB="0" distL="114300" distR="114300" simplePos="0" relativeHeight="251657216" behindDoc="0" locked="0" layoutInCell="1" allowOverlap="1" wp14:anchorId="13E8629C" wp14:editId="551BBFAE">
          <wp:simplePos x="0" y="0"/>
          <wp:positionH relativeFrom="column">
            <wp:posOffset>5080635</wp:posOffset>
          </wp:positionH>
          <wp:positionV relativeFrom="paragraph">
            <wp:posOffset>-230505</wp:posOffset>
          </wp:positionV>
          <wp:extent cx="1057275" cy="495300"/>
          <wp:effectExtent l="19050" t="0" r="9525" b="0"/>
          <wp:wrapNone/>
          <wp:docPr id="32" name="Picture 5" descr="00_Logo_cmyk_forDarkBG_LightBlue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Logo_cmyk_forDarkBG_LightBlueArrow.gif"/>
                  <pic:cNvPicPr/>
                </pic:nvPicPr>
                <pic:blipFill>
                  <a:blip r:embed="rId1"/>
                  <a:stretch>
                    <a:fillRect/>
                  </a:stretch>
                </pic:blipFill>
                <pic:spPr>
                  <a:xfrm>
                    <a:off x="0" y="0"/>
                    <a:ext cx="1057275" cy="495300"/>
                  </a:xfrm>
                  <a:prstGeom prst="rect">
                    <a:avLst/>
                  </a:prstGeom>
                </pic:spPr>
              </pic:pic>
            </a:graphicData>
          </a:graphic>
        </wp:anchor>
      </w:drawing>
    </w:r>
    <w:r>
      <w:rPr>
        <w:b/>
        <w:color w:val="FFFFFF" w:themeColor="background1"/>
        <w:sz w:val="36"/>
        <w:szCs w:val="36"/>
      </w:rPr>
      <w:t xml:space="preserve">Willing to Work: National Inquiry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30E6A"/>
    <w:multiLevelType w:val="hybridMultilevel"/>
    <w:tmpl w:val="B19C1E6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5C15401"/>
    <w:multiLevelType w:val="hybridMultilevel"/>
    <w:tmpl w:val="C7407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685E83"/>
    <w:multiLevelType w:val="hybridMultilevel"/>
    <w:tmpl w:val="645ECCE4"/>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3" w15:restartNumberingAfterBreak="0">
    <w:nsid w:val="20C31BC6"/>
    <w:multiLevelType w:val="hybridMultilevel"/>
    <w:tmpl w:val="602CD67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2B3B1F1B"/>
    <w:multiLevelType w:val="hybridMultilevel"/>
    <w:tmpl w:val="186A0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F5AB1"/>
    <w:multiLevelType w:val="hybridMultilevel"/>
    <w:tmpl w:val="09C07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A0648A"/>
    <w:multiLevelType w:val="hybridMultilevel"/>
    <w:tmpl w:val="AF26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F631F"/>
    <w:multiLevelType w:val="hybridMultilevel"/>
    <w:tmpl w:val="C036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14A52"/>
    <w:multiLevelType w:val="hybridMultilevel"/>
    <w:tmpl w:val="EF30A3C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370F0843"/>
    <w:multiLevelType w:val="hybridMultilevel"/>
    <w:tmpl w:val="50506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D32747"/>
    <w:multiLevelType w:val="hybridMultilevel"/>
    <w:tmpl w:val="EB84E4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81394F"/>
    <w:multiLevelType w:val="hybridMultilevel"/>
    <w:tmpl w:val="7FE63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747A6"/>
    <w:multiLevelType w:val="hybridMultilevel"/>
    <w:tmpl w:val="CD3E53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0668DB"/>
    <w:multiLevelType w:val="hybridMultilevel"/>
    <w:tmpl w:val="E588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5F2D37"/>
    <w:multiLevelType w:val="hybridMultilevel"/>
    <w:tmpl w:val="991AF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1508C6"/>
    <w:multiLevelType w:val="hybridMultilevel"/>
    <w:tmpl w:val="8CECC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600C46"/>
    <w:multiLevelType w:val="hybridMultilevel"/>
    <w:tmpl w:val="11D687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6710EC"/>
    <w:multiLevelType w:val="multilevel"/>
    <w:tmpl w:val="B8088B9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15:restartNumberingAfterBreak="0">
    <w:nsid w:val="5B0217C2"/>
    <w:multiLevelType w:val="hybridMultilevel"/>
    <w:tmpl w:val="3F168B5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9" w15:restartNumberingAfterBreak="0">
    <w:nsid w:val="62756465"/>
    <w:multiLevelType w:val="hybridMultilevel"/>
    <w:tmpl w:val="92D44B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78641A"/>
    <w:multiLevelType w:val="hybridMultilevel"/>
    <w:tmpl w:val="2B4A1D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C833D72"/>
    <w:multiLevelType w:val="hybridMultilevel"/>
    <w:tmpl w:val="DE0AC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9C2916"/>
    <w:multiLevelType w:val="hybridMultilevel"/>
    <w:tmpl w:val="F31E4B4C"/>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6EBA1C28"/>
    <w:multiLevelType w:val="hybridMultilevel"/>
    <w:tmpl w:val="A35C8A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3A59A1"/>
    <w:multiLevelType w:val="hybridMultilevel"/>
    <w:tmpl w:val="A0CE6C10"/>
    <w:lvl w:ilvl="0" w:tplc="9B34A7D6">
      <w:start w:val="1"/>
      <w:numFmt w:val="decimal"/>
      <w:pStyle w:val="Questiontext"/>
      <w:lvlText w:val="%1."/>
      <w:lvlJc w:val="left"/>
      <w:pPr>
        <w:ind w:left="720" w:hanging="360"/>
      </w:pPr>
      <w:rPr>
        <w:rFonts w:hint="default"/>
        <w:b w:val="0"/>
        <w:i w:val="0"/>
        <w:color w:val="C0504D"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3648CF"/>
    <w:multiLevelType w:val="hybridMultilevel"/>
    <w:tmpl w:val="45180E78"/>
    <w:lvl w:ilvl="0" w:tplc="DC122A26">
      <w:start w:val="1"/>
      <w:numFmt w:val="decimal"/>
      <w:lvlText w:val="%1."/>
      <w:lvlJc w:val="left"/>
      <w:pPr>
        <w:tabs>
          <w:tab w:val="num" w:pos="720"/>
        </w:tabs>
        <w:ind w:left="720" w:hanging="720"/>
      </w:pPr>
      <w:rPr>
        <w:rFonts w:cs="Times New Roman" w:hint="default"/>
        <w:i/>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7CDF5246"/>
    <w:multiLevelType w:val="hybridMultilevel"/>
    <w:tmpl w:val="FD6E25A6"/>
    <w:lvl w:ilvl="0" w:tplc="0C09000F">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7" w15:restartNumberingAfterBreak="0">
    <w:nsid w:val="7D157477"/>
    <w:multiLevelType w:val="hybridMultilevel"/>
    <w:tmpl w:val="A25C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694536"/>
    <w:multiLevelType w:val="hybridMultilevel"/>
    <w:tmpl w:val="C5FC03E0"/>
    <w:lvl w:ilvl="0" w:tplc="2B92D1B2">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7FD56CF2"/>
    <w:multiLevelType w:val="hybridMultilevel"/>
    <w:tmpl w:val="7C4A836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7"/>
  </w:num>
  <w:num w:numId="2">
    <w:abstractNumId w:val="24"/>
  </w:num>
  <w:num w:numId="3">
    <w:abstractNumId w:val="4"/>
  </w:num>
  <w:num w:numId="4">
    <w:abstractNumId w:val="20"/>
  </w:num>
  <w:num w:numId="5">
    <w:abstractNumId w:val="1"/>
  </w:num>
  <w:num w:numId="6">
    <w:abstractNumId w:val="9"/>
  </w:num>
  <w:num w:numId="7">
    <w:abstractNumId w:val="14"/>
  </w:num>
  <w:num w:numId="8">
    <w:abstractNumId w:val="6"/>
  </w:num>
  <w:num w:numId="9">
    <w:abstractNumId w:val="13"/>
  </w:num>
  <w:num w:numId="10">
    <w:abstractNumId w:val="17"/>
  </w:num>
  <w:num w:numId="11">
    <w:abstractNumId w:val="17"/>
  </w:num>
  <w:num w:numId="12">
    <w:abstractNumId w:val="17"/>
  </w:num>
  <w:num w:numId="13">
    <w:abstractNumId w:val="11"/>
  </w:num>
  <w:num w:numId="14">
    <w:abstractNumId w:val="17"/>
  </w:num>
  <w:num w:numId="15">
    <w:abstractNumId w:val="17"/>
  </w:num>
  <w:num w:numId="16">
    <w:abstractNumId w:val="17"/>
  </w:num>
  <w:num w:numId="17">
    <w:abstractNumId w:val="3"/>
  </w:num>
  <w:num w:numId="18">
    <w:abstractNumId w:val="17"/>
  </w:num>
  <w:num w:numId="19">
    <w:abstractNumId w:val="17"/>
  </w:num>
  <w:num w:numId="20">
    <w:abstractNumId w:val="29"/>
  </w:num>
  <w:num w:numId="21">
    <w:abstractNumId w:val="17"/>
  </w:num>
  <w:num w:numId="22">
    <w:abstractNumId w:val="17"/>
  </w:num>
  <w:num w:numId="23">
    <w:abstractNumId w:val="23"/>
  </w:num>
  <w:num w:numId="24">
    <w:abstractNumId w:val="7"/>
  </w:num>
  <w:num w:numId="25">
    <w:abstractNumId w:val="26"/>
  </w:num>
  <w:num w:numId="26">
    <w:abstractNumId w:val="21"/>
  </w:num>
  <w:num w:numId="27">
    <w:abstractNumId w:val="27"/>
  </w:num>
  <w:num w:numId="28">
    <w:abstractNumId w:val="18"/>
  </w:num>
  <w:num w:numId="29">
    <w:abstractNumId w:val="10"/>
  </w:num>
  <w:num w:numId="30">
    <w:abstractNumId w:val="15"/>
  </w:num>
  <w:num w:numId="31">
    <w:abstractNumId w:val="25"/>
  </w:num>
  <w:num w:numId="32">
    <w:abstractNumId w:val="12"/>
  </w:num>
  <w:num w:numId="33">
    <w:abstractNumId w:val="28"/>
  </w:num>
  <w:num w:numId="34">
    <w:abstractNumId w:val="22"/>
  </w:num>
  <w:num w:numId="35">
    <w:abstractNumId w:val="5"/>
  </w:num>
  <w:num w:numId="36">
    <w:abstractNumId w:val="8"/>
  </w:num>
  <w:num w:numId="37">
    <w:abstractNumId w:val="2"/>
  </w:num>
  <w:num w:numId="38">
    <w:abstractNumId w:val="0"/>
  </w:num>
  <w:num w:numId="39">
    <w:abstractNumId w:val="19"/>
  </w:num>
  <w:num w:numId="4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4097">
      <o:colormru v:ext="edit" colors="#003768,#00376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5DD"/>
    <w:rsid w:val="00011AFF"/>
    <w:rsid w:val="00013A84"/>
    <w:rsid w:val="0003105F"/>
    <w:rsid w:val="0003186D"/>
    <w:rsid w:val="000340A4"/>
    <w:rsid w:val="00036CBB"/>
    <w:rsid w:val="000415B6"/>
    <w:rsid w:val="000527C8"/>
    <w:rsid w:val="000562B4"/>
    <w:rsid w:val="00060D2C"/>
    <w:rsid w:val="00062165"/>
    <w:rsid w:val="00062527"/>
    <w:rsid w:val="000631F5"/>
    <w:rsid w:val="00065598"/>
    <w:rsid w:val="00073A49"/>
    <w:rsid w:val="00074B09"/>
    <w:rsid w:val="000764B9"/>
    <w:rsid w:val="00085387"/>
    <w:rsid w:val="000A1662"/>
    <w:rsid w:val="000A290F"/>
    <w:rsid w:val="000A570D"/>
    <w:rsid w:val="000A5E92"/>
    <w:rsid w:val="000B089F"/>
    <w:rsid w:val="000B0F6E"/>
    <w:rsid w:val="000B1320"/>
    <w:rsid w:val="000B1486"/>
    <w:rsid w:val="000B5BF6"/>
    <w:rsid w:val="000C3BB1"/>
    <w:rsid w:val="000C59E4"/>
    <w:rsid w:val="000C6C44"/>
    <w:rsid w:val="000D333E"/>
    <w:rsid w:val="000D4261"/>
    <w:rsid w:val="000D5BCC"/>
    <w:rsid w:val="000D650F"/>
    <w:rsid w:val="000D7169"/>
    <w:rsid w:val="000E7E94"/>
    <w:rsid w:val="000F04A0"/>
    <w:rsid w:val="000F422E"/>
    <w:rsid w:val="000F4FAF"/>
    <w:rsid w:val="000F5E7E"/>
    <w:rsid w:val="001053B6"/>
    <w:rsid w:val="00106C43"/>
    <w:rsid w:val="001079D5"/>
    <w:rsid w:val="0011174B"/>
    <w:rsid w:val="00116FC3"/>
    <w:rsid w:val="001170BD"/>
    <w:rsid w:val="00120404"/>
    <w:rsid w:val="0012056C"/>
    <w:rsid w:val="00126878"/>
    <w:rsid w:val="00127563"/>
    <w:rsid w:val="0013017A"/>
    <w:rsid w:val="00132A05"/>
    <w:rsid w:val="00136D7B"/>
    <w:rsid w:val="00142A2D"/>
    <w:rsid w:val="00144551"/>
    <w:rsid w:val="00154CF0"/>
    <w:rsid w:val="00157EB3"/>
    <w:rsid w:val="00161F17"/>
    <w:rsid w:val="00180677"/>
    <w:rsid w:val="00185986"/>
    <w:rsid w:val="00191357"/>
    <w:rsid w:val="00192D54"/>
    <w:rsid w:val="0019529F"/>
    <w:rsid w:val="00195BCC"/>
    <w:rsid w:val="001A006F"/>
    <w:rsid w:val="001A1BB7"/>
    <w:rsid w:val="001A273F"/>
    <w:rsid w:val="001A29FC"/>
    <w:rsid w:val="001A5133"/>
    <w:rsid w:val="001A7D6D"/>
    <w:rsid w:val="001B0836"/>
    <w:rsid w:val="001B0CBC"/>
    <w:rsid w:val="001B0F59"/>
    <w:rsid w:val="001C2799"/>
    <w:rsid w:val="001C28E6"/>
    <w:rsid w:val="001C70C1"/>
    <w:rsid w:val="001E4DC2"/>
    <w:rsid w:val="001E709A"/>
    <w:rsid w:val="001F1DCE"/>
    <w:rsid w:val="001F6EDD"/>
    <w:rsid w:val="0020285E"/>
    <w:rsid w:val="00203763"/>
    <w:rsid w:val="00204412"/>
    <w:rsid w:val="0021536A"/>
    <w:rsid w:val="002164D9"/>
    <w:rsid w:val="00217CEF"/>
    <w:rsid w:val="00220B68"/>
    <w:rsid w:val="00222D3C"/>
    <w:rsid w:val="00223B7D"/>
    <w:rsid w:val="00223FDF"/>
    <w:rsid w:val="00225092"/>
    <w:rsid w:val="002266DE"/>
    <w:rsid w:val="00226F96"/>
    <w:rsid w:val="002311AB"/>
    <w:rsid w:val="002329B5"/>
    <w:rsid w:val="002468AF"/>
    <w:rsid w:val="00252629"/>
    <w:rsid w:val="002610FD"/>
    <w:rsid w:val="00261AAF"/>
    <w:rsid w:val="002633FF"/>
    <w:rsid w:val="00263A1C"/>
    <w:rsid w:val="002663D9"/>
    <w:rsid w:val="00270BE5"/>
    <w:rsid w:val="00285E21"/>
    <w:rsid w:val="00296729"/>
    <w:rsid w:val="002A3480"/>
    <w:rsid w:val="002B6402"/>
    <w:rsid w:val="002C1ABD"/>
    <w:rsid w:val="002C316B"/>
    <w:rsid w:val="002C3DC3"/>
    <w:rsid w:val="002C3ED6"/>
    <w:rsid w:val="002C64A8"/>
    <w:rsid w:val="002D1D34"/>
    <w:rsid w:val="002D1DDE"/>
    <w:rsid w:val="002D3278"/>
    <w:rsid w:val="002E0B58"/>
    <w:rsid w:val="002E15B3"/>
    <w:rsid w:val="002E4657"/>
    <w:rsid w:val="002E55D4"/>
    <w:rsid w:val="002E78C8"/>
    <w:rsid w:val="002E7A96"/>
    <w:rsid w:val="002F0DE3"/>
    <w:rsid w:val="002F1015"/>
    <w:rsid w:val="002F3462"/>
    <w:rsid w:val="00301C34"/>
    <w:rsid w:val="003023F2"/>
    <w:rsid w:val="00305739"/>
    <w:rsid w:val="003071B9"/>
    <w:rsid w:val="003072B0"/>
    <w:rsid w:val="0031426E"/>
    <w:rsid w:val="00320151"/>
    <w:rsid w:val="0032254E"/>
    <w:rsid w:val="00326401"/>
    <w:rsid w:val="00326E87"/>
    <w:rsid w:val="00326ED4"/>
    <w:rsid w:val="00330558"/>
    <w:rsid w:val="00331259"/>
    <w:rsid w:val="003330C4"/>
    <w:rsid w:val="00340384"/>
    <w:rsid w:val="00340B47"/>
    <w:rsid w:val="00341B5C"/>
    <w:rsid w:val="00341E90"/>
    <w:rsid w:val="00342E8F"/>
    <w:rsid w:val="00346C11"/>
    <w:rsid w:val="00354C1F"/>
    <w:rsid w:val="00356EC8"/>
    <w:rsid w:val="00360EB4"/>
    <w:rsid w:val="0036204A"/>
    <w:rsid w:val="00370ABD"/>
    <w:rsid w:val="00370C40"/>
    <w:rsid w:val="0037160D"/>
    <w:rsid w:val="00371DE1"/>
    <w:rsid w:val="00372E13"/>
    <w:rsid w:val="00374618"/>
    <w:rsid w:val="003779F8"/>
    <w:rsid w:val="0038030F"/>
    <w:rsid w:val="00390106"/>
    <w:rsid w:val="003909FB"/>
    <w:rsid w:val="00392CC0"/>
    <w:rsid w:val="003A7E56"/>
    <w:rsid w:val="003B183E"/>
    <w:rsid w:val="003B6CEF"/>
    <w:rsid w:val="003B7848"/>
    <w:rsid w:val="003C1A51"/>
    <w:rsid w:val="003C5615"/>
    <w:rsid w:val="003E0E65"/>
    <w:rsid w:val="003E15D4"/>
    <w:rsid w:val="003E5077"/>
    <w:rsid w:val="003F04DF"/>
    <w:rsid w:val="003F61EF"/>
    <w:rsid w:val="004025EB"/>
    <w:rsid w:val="00404AF8"/>
    <w:rsid w:val="004101B4"/>
    <w:rsid w:val="00413804"/>
    <w:rsid w:val="004138A8"/>
    <w:rsid w:val="004140B4"/>
    <w:rsid w:val="0041457C"/>
    <w:rsid w:val="004149A9"/>
    <w:rsid w:val="00415BFC"/>
    <w:rsid w:val="00416BB4"/>
    <w:rsid w:val="0041794A"/>
    <w:rsid w:val="00425A11"/>
    <w:rsid w:val="00431B7E"/>
    <w:rsid w:val="00433260"/>
    <w:rsid w:val="00434124"/>
    <w:rsid w:val="0043565F"/>
    <w:rsid w:val="0043566B"/>
    <w:rsid w:val="0045480A"/>
    <w:rsid w:val="00464DD1"/>
    <w:rsid w:val="00473470"/>
    <w:rsid w:val="004804BC"/>
    <w:rsid w:val="004867B4"/>
    <w:rsid w:val="00496D9D"/>
    <w:rsid w:val="004A08BB"/>
    <w:rsid w:val="004A481E"/>
    <w:rsid w:val="004A6934"/>
    <w:rsid w:val="004A7E36"/>
    <w:rsid w:val="004B2FDE"/>
    <w:rsid w:val="004B68A5"/>
    <w:rsid w:val="004C445E"/>
    <w:rsid w:val="004C59E5"/>
    <w:rsid w:val="004C60B3"/>
    <w:rsid w:val="004D39C3"/>
    <w:rsid w:val="004E095B"/>
    <w:rsid w:val="004E163B"/>
    <w:rsid w:val="004E351D"/>
    <w:rsid w:val="004E5A1F"/>
    <w:rsid w:val="004E7814"/>
    <w:rsid w:val="004E7FDD"/>
    <w:rsid w:val="004F3528"/>
    <w:rsid w:val="004F6200"/>
    <w:rsid w:val="004F666E"/>
    <w:rsid w:val="005007B5"/>
    <w:rsid w:val="005035D7"/>
    <w:rsid w:val="00506416"/>
    <w:rsid w:val="00510B75"/>
    <w:rsid w:val="00513C84"/>
    <w:rsid w:val="00524135"/>
    <w:rsid w:val="00527AA1"/>
    <w:rsid w:val="00533934"/>
    <w:rsid w:val="00535D85"/>
    <w:rsid w:val="005420B7"/>
    <w:rsid w:val="0054417D"/>
    <w:rsid w:val="00550D9B"/>
    <w:rsid w:val="0055153E"/>
    <w:rsid w:val="0055461E"/>
    <w:rsid w:val="00557C3C"/>
    <w:rsid w:val="00563008"/>
    <w:rsid w:val="00563CC0"/>
    <w:rsid w:val="005717D8"/>
    <w:rsid w:val="00572F57"/>
    <w:rsid w:val="00573308"/>
    <w:rsid w:val="00575A30"/>
    <w:rsid w:val="005760AB"/>
    <w:rsid w:val="00577762"/>
    <w:rsid w:val="0058133A"/>
    <w:rsid w:val="005816CA"/>
    <w:rsid w:val="00583D70"/>
    <w:rsid w:val="0059275A"/>
    <w:rsid w:val="00595186"/>
    <w:rsid w:val="00596669"/>
    <w:rsid w:val="005A4224"/>
    <w:rsid w:val="005A524E"/>
    <w:rsid w:val="005A656A"/>
    <w:rsid w:val="005B533C"/>
    <w:rsid w:val="005C4DC2"/>
    <w:rsid w:val="005C74ED"/>
    <w:rsid w:val="005D1F6B"/>
    <w:rsid w:val="005D5025"/>
    <w:rsid w:val="005D62B9"/>
    <w:rsid w:val="005D6481"/>
    <w:rsid w:val="005E0B2C"/>
    <w:rsid w:val="005E2952"/>
    <w:rsid w:val="005E6058"/>
    <w:rsid w:val="005E6DA3"/>
    <w:rsid w:val="005E737F"/>
    <w:rsid w:val="005E7FF9"/>
    <w:rsid w:val="005F342F"/>
    <w:rsid w:val="005F50C3"/>
    <w:rsid w:val="005F6C23"/>
    <w:rsid w:val="006029DC"/>
    <w:rsid w:val="006032F1"/>
    <w:rsid w:val="0060433F"/>
    <w:rsid w:val="00604723"/>
    <w:rsid w:val="0060695A"/>
    <w:rsid w:val="00611E10"/>
    <w:rsid w:val="00614CBC"/>
    <w:rsid w:val="006161C1"/>
    <w:rsid w:val="006216B4"/>
    <w:rsid w:val="0062668D"/>
    <w:rsid w:val="00637965"/>
    <w:rsid w:val="00642FD4"/>
    <w:rsid w:val="00643721"/>
    <w:rsid w:val="0064670F"/>
    <w:rsid w:val="006553B9"/>
    <w:rsid w:val="00656525"/>
    <w:rsid w:val="006571A6"/>
    <w:rsid w:val="00667ECD"/>
    <w:rsid w:val="00667FB7"/>
    <w:rsid w:val="006818CC"/>
    <w:rsid w:val="00684709"/>
    <w:rsid w:val="00686181"/>
    <w:rsid w:val="006951C2"/>
    <w:rsid w:val="00695DBE"/>
    <w:rsid w:val="00696588"/>
    <w:rsid w:val="006A55B7"/>
    <w:rsid w:val="006B04AF"/>
    <w:rsid w:val="006B19BF"/>
    <w:rsid w:val="006C16D8"/>
    <w:rsid w:val="006C17E2"/>
    <w:rsid w:val="006C6E9F"/>
    <w:rsid w:val="006C7218"/>
    <w:rsid w:val="006D58C4"/>
    <w:rsid w:val="006D6178"/>
    <w:rsid w:val="006E75B5"/>
    <w:rsid w:val="006F2D4C"/>
    <w:rsid w:val="006F3279"/>
    <w:rsid w:val="00702B77"/>
    <w:rsid w:val="00704A4A"/>
    <w:rsid w:val="00704C0F"/>
    <w:rsid w:val="00716B5C"/>
    <w:rsid w:val="00726C6F"/>
    <w:rsid w:val="00733538"/>
    <w:rsid w:val="00736551"/>
    <w:rsid w:val="00740743"/>
    <w:rsid w:val="00741886"/>
    <w:rsid w:val="00741DE2"/>
    <w:rsid w:val="007454F3"/>
    <w:rsid w:val="007460D1"/>
    <w:rsid w:val="00750B02"/>
    <w:rsid w:val="00755AD7"/>
    <w:rsid w:val="00757841"/>
    <w:rsid w:val="007604FE"/>
    <w:rsid w:val="00763131"/>
    <w:rsid w:val="0077249D"/>
    <w:rsid w:val="00772F37"/>
    <w:rsid w:val="00772F97"/>
    <w:rsid w:val="00777C94"/>
    <w:rsid w:val="00782980"/>
    <w:rsid w:val="00783736"/>
    <w:rsid w:val="007849AF"/>
    <w:rsid w:val="0079000A"/>
    <w:rsid w:val="00792060"/>
    <w:rsid w:val="00795737"/>
    <w:rsid w:val="007961DD"/>
    <w:rsid w:val="0079634A"/>
    <w:rsid w:val="007A66D7"/>
    <w:rsid w:val="007B20D8"/>
    <w:rsid w:val="007B5614"/>
    <w:rsid w:val="007B702B"/>
    <w:rsid w:val="007C1B18"/>
    <w:rsid w:val="007C5F99"/>
    <w:rsid w:val="007D0C89"/>
    <w:rsid w:val="007D766E"/>
    <w:rsid w:val="007E149E"/>
    <w:rsid w:val="007E2BAA"/>
    <w:rsid w:val="007E4B63"/>
    <w:rsid w:val="007E6580"/>
    <w:rsid w:val="007E6DDD"/>
    <w:rsid w:val="007F0790"/>
    <w:rsid w:val="007F1298"/>
    <w:rsid w:val="007F2465"/>
    <w:rsid w:val="007F302E"/>
    <w:rsid w:val="007F50CE"/>
    <w:rsid w:val="007F700E"/>
    <w:rsid w:val="007F722A"/>
    <w:rsid w:val="007F7CC3"/>
    <w:rsid w:val="00807D36"/>
    <w:rsid w:val="00811B58"/>
    <w:rsid w:val="008147EC"/>
    <w:rsid w:val="00814926"/>
    <w:rsid w:val="00816BCB"/>
    <w:rsid w:val="008172AB"/>
    <w:rsid w:val="00817356"/>
    <w:rsid w:val="0082017D"/>
    <w:rsid w:val="0082243A"/>
    <w:rsid w:val="008238C8"/>
    <w:rsid w:val="008250D7"/>
    <w:rsid w:val="00826507"/>
    <w:rsid w:val="008318BE"/>
    <w:rsid w:val="00837273"/>
    <w:rsid w:val="00837BA7"/>
    <w:rsid w:val="008400AA"/>
    <w:rsid w:val="00841C47"/>
    <w:rsid w:val="00843A88"/>
    <w:rsid w:val="008468AA"/>
    <w:rsid w:val="00851FA8"/>
    <w:rsid w:val="00852584"/>
    <w:rsid w:val="00853B0E"/>
    <w:rsid w:val="00866ADF"/>
    <w:rsid w:val="008713C5"/>
    <w:rsid w:val="00874EEE"/>
    <w:rsid w:val="00875164"/>
    <w:rsid w:val="00875FA6"/>
    <w:rsid w:val="00885B7A"/>
    <w:rsid w:val="00887044"/>
    <w:rsid w:val="00891648"/>
    <w:rsid w:val="008A01D4"/>
    <w:rsid w:val="008A6487"/>
    <w:rsid w:val="008B2469"/>
    <w:rsid w:val="008B2A79"/>
    <w:rsid w:val="008B4FD5"/>
    <w:rsid w:val="008C5788"/>
    <w:rsid w:val="008D5A4D"/>
    <w:rsid w:val="008E081C"/>
    <w:rsid w:val="008E12BC"/>
    <w:rsid w:val="008E19BD"/>
    <w:rsid w:val="008E23D5"/>
    <w:rsid w:val="008E6415"/>
    <w:rsid w:val="008E7AA1"/>
    <w:rsid w:val="008F0F61"/>
    <w:rsid w:val="008F10F7"/>
    <w:rsid w:val="008F7BB0"/>
    <w:rsid w:val="0090490A"/>
    <w:rsid w:val="0091225C"/>
    <w:rsid w:val="00912865"/>
    <w:rsid w:val="0092567B"/>
    <w:rsid w:val="00927178"/>
    <w:rsid w:val="00932D10"/>
    <w:rsid w:val="00944EA1"/>
    <w:rsid w:val="00950D9A"/>
    <w:rsid w:val="00953271"/>
    <w:rsid w:val="009670B6"/>
    <w:rsid w:val="00967C5A"/>
    <w:rsid w:val="00973ECF"/>
    <w:rsid w:val="00985F4F"/>
    <w:rsid w:val="00990E39"/>
    <w:rsid w:val="00991D67"/>
    <w:rsid w:val="00996309"/>
    <w:rsid w:val="009A2131"/>
    <w:rsid w:val="009A2E3E"/>
    <w:rsid w:val="009A3430"/>
    <w:rsid w:val="009B151A"/>
    <w:rsid w:val="009B1B0D"/>
    <w:rsid w:val="009B50C4"/>
    <w:rsid w:val="009B74AA"/>
    <w:rsid w:val="009C2CD7"/>
    <w:rsid w:val="009C3BF4"/>
    <w:rsid w:val="009C4D7D"/>
    <w:rsid w:val="009D09CE"/>
    <w:rsid w:val="009D3777"/>
    <w:rsid w:val="009E00EA"/>
    <w:rsid w:val="009E5443"/>
    <w:rsid w:val="00A00A7C"/>
    <w:rsid w:val="00A07F57"/>
    <w:rsid w:val="00A10C06"/>
    <w:rsid w:val="00A1359D"/>
    <w:rsid w:val="00A26D50"/>
    <w:rsid w:val="00A27BAE"/>
    <w:rsid w:val="00A30FDC"/>
    <w:rsid w:val="00A319EC"/>
    <w:rsid w:val="00A3663D"/>
    <w:rsid w:val="00A4063C"/>
    <w:rsid w:val="00A45EEE"/>
    <w:rsid w:val="00A46FA1"/>
    <w:rsid w:val="00A4740D"/>
    <w:rsid w:val="00A50AA1"/>
    <w:rsid w:val="00A57E9B"/>
    <w:rsid w:val="00A60048"/>
    <w:rsid w:val="00A60F7D"/>
    <w:rsid w:val="00A6218C"/>
    <w:rsid w:val="00A627EC"/>
    <w:rsid w:val="00A63035"/>
    <w:rsid w:val="00A64B02"/>
    <w:rsid w:val="00A6731E"/>
    <w:rsid w:val="00A71E6B"/>
    <w:rsid w:val="00A740AE"/>
    <w:rsid w:val="00A7774F"/>
    <w:rsid w:val="00A92A4E"/>
    <w:rsid w:val="00A944BD"/>
    <w:rsid w:val="00A975F2"/>
    <w:rsid w:val="00AA60B9"/>
    <w:rsid w:val="00AB0497"/>
    <w:rsid w:val="00AB14BF"/>
    <w:rsid w:val="00AB4EE4"/>
    <w:rsid w:val="00AB6E92"/>
    <w:rsid w:val="00AC0CB8"/>
    <w:rsid w:val="00AC0F59"/>
    <w:rsid w:val="00AC2B2A"/>
    <w:rsid w:val="00AC5A48"/>
    <w:rsid w:val="00AD07C5"/>
    <w:rsid w:val="00AD33F4"/>
    <w:rsid w:val="00AD6056"/>
    <w:rsid w:val="00AE278C"/>
    <w:rsid w:val="00AE6570"/>
    <w:rsid w:val="00AE7F1D"/>
    <w:rsid w:val="00AF2913"/>
    <w:rsid w:val="00AF2C96"/>
    <w:rsid w:val="00AF676E"/>
    <w:rsid w:val="00B11575"/>
    <w:rsid w:val="00B14A16"/>
    <w:rsid w:val="00B15106"/>
    <w:rsid w:val="00B175F2"/>
    <w:rsid w:val="00B215DD"/>
    <w:rsid w:val="00B22E20"/>
    <w:rsid w:val="00B24D3A"/>
    <w:rsid w:val="00B25167"/>
    <w:rsid w:val="00B25513"/>
    <w:rsid w:val="00B2570A"/>
    <w:rsid w:val="00B25CFA"/>
    <w:rsid w:val="00B261C8"/>
    <w:rsid w:val="00B3003F"/>
    <w:rsid w:val="00B30D59"/>
    <w:rsid w:val="00B31943"/>
    <w:rsid w:val="00B32B5D"/>
    <w:rsid w:val="00B37607"/>
    <w:rsid w:val="00B37CEC"/>
    <w:rsid w:val="00B42A7E"/>
    <w:rsid w:val="00B433DD"/>
    <w:rsid w:val="00B534BE"/>
    <w:rsid w:val="00B62864"/>
    <w:rsid w:val="00B63ED7"/>
    <w:rsid w:val="00B6602A"/>
    <w:rsid w:val="00B6722A"/>
    <w:rsid w:val="00B672AE"/>
    <w:rsid w:val="00B6788D"/>
    <w:rsid w:val="00B67C86"/>
    <w:rsid w:val="00B708F9"/>
    <w:rsid w:val="00B83268"/>
    <w:rsid w:val="00B853E0"/>
    <w:rsid w:val="00B927DE"/>
    <w:rsid w:val="00B972ED"/>
    <w:rsid w:val="00BA49F0"/>
    <w:rsid w:val="00BA4F60"/>
    <w:rsid w:val="00BA53A5"/>
    <w:rsid w:val="00BA6C6D"/>
    <w:rsid w:val="00BB723C"/>
    <w:rsid w:val="00BC33C5"/>
    <w:rsid w:val="00BD208D"/>
    <w:rsid w:val="00BD49A4"/>
    <w:rsid w:val="00BD7757"/>
    <w:rsid w:val="00BE1701"/>
    <w:rsid w:val="00BF0FD8"/>
    <w:rsid w:val="00BF5EFB"/>
    <w:rsid w:val="00BF6C27"/>
    <w:rsid w:val="00C109FD"/>
    <w:rsid w:val="00C16AA7"/>
    <w:rsid w:val="00C172F1"/>
    <w:rsid w:val="00C2225B"/>
    <w:rsid w:val="00C236C2"/>
    <w:rsid w:val="00C258BF"/>
    <w:rsid w:val="00C36D89"/>
    <w:rsid w:val="00C45BB4"/>
    <w:rsid w:val="00C46829"/>
    <w:rsid w:val="00C54D4B"/>
    <w:rsid w:val="00C55668"/>
    <w:rsid w:val="00C55779"/>
    <w:rsid w:val="00C62023"/>
    <w:rsid w:val="00C72FDF"/>
    <w:rsid w:val="00C73718"/>
    <w:rsid w:val="00C75318"/>
    <w:rsid w:val="00C81980"/>
    <w:rsid w:val="00C8422E"/>
    <w:rsid w:val="00CA2344"/>
    <w:rsid w:val="00CA55FA"/>
    <w:rsid w:val="00CA7DCC"/>
    <w:rsid w:val="00CB644F"/>
    <w:rsid w:val="00CB7570"/>
    <w:rsid w:val="00CC40A6"/>
    <w:rsid w:val="00CC68CC"/>
    <w:rsid w:val="00CC6BC4"/>
    <w:rsid w:val="00CD1489"/>
    <w:rsid w:val="00CD7213"/>
    <w:rsid w:val="00CE601E"/>
    <w:rsid w:val="00CE72B7"/>
    <w:rsid w:val="00CF0623"/>
    <w:rsid w:val="00CF1EBD"/>
    <w:rsid w:val="00CF37E7"/>
    <w:rsid w:val="00D01CBB"/>
    <w:rsid w:val="00D0419E"/>
    <w:rsid w:val="00D04523"/>
    <w:rsid w:val="00D06410"/>
    <w:rsid w:val="00D135F5"/>
    <w:rsid w:val="00D17EBE"/>
    <w:rsid w:val="00D22966"/>
    <w:rsid w:val="00D22E1A"/>
    <w:rsid w:val="00D362E7"/>
    <w:rsid w:val="00D371F6"/>
    <w:rsid w:val="00D42D1D"/>
    <w:rsid w:val="00D724EF"/>
    <w:rsid w:val="00D726FF"/>
    <w:rsid w:val="00D7365C"/>
    <w:rsid w:val="00D75B3D"/>
    <w:rsid w:val="00D761B4"/>
    <w:rsid w:val="00D839E8"/>
    <w:rsid w:val="00D86A27"/>
    <w:rsid w:val="00D93EE7"/>
    <w:rsid w:val="00D97DB6"/>
    <w:rsid w:val="00DA2B49"/>
    <w:rsid w:val="00DA30E0"/>
    <w:rsid w:val="00DA335E"/>
    <w:rsid w:val="00DA49A3"/>
    <w:rsid w:val="00DA538D"/>
    <w:rsid w:val="00DA5E47"/>
    <w:rsid w:val="00DB0042"/>
    <w:rsid w:val="00DB5270"/>
    <w:rsid w:val="00DC5B56"/>
    <w:rsid w:val="00DC5D50"/>
    <w:rsid w:val="00DC7A75"/>
    <w:rsid w:val="00DE16D4"/>
    <w:rsid w:val="00DE1A95"/>
    <w:rsid w:val="00DE2667"/>
    <w:rsid w:val="00DE3D26"/>
    <w:rsid w:val="00DE4D06"/>
    <w:rsid w:val="00DE7F99"/>
    <w:rsid w:val="00DF1B85"/>
    <w:rsid w:val="00DF1E70"/>
    <w:rsid w:val="00E0179D"/>
    <w:rsid w:val="00E02BE0"/>
    <w:rsid w:val="00E07EFD"/>
    <w:rsid w:val="00E151E3"/>
    <w:rsid w:val="00E221A1"/>
    <w:rsid w:val="00E274F3"/>
    <w:rsid w:val="00E303A9"/>
    <w:rsid w:val="00E30F45"/>
    <w:rsid w:val="00E31CB7"/>
    <w:rsid w:val="00E343DD"/>
    <w:rsid w:val="00E37962"/>
    <w:rsid w:val="00E42431"/>
    <w:rsid w:val="00E426E6"/>
    <w:rsid w:val="00E540EF"/>
    <w:rsid w:val="00E5703B"/>
    <w:rsid w:val="00E63D76"/>
    <w:rsid w:val="00E674FD"/>
    <w:rsid w:val="00E75AB5"/>
    <w:rsid w:val="00E8191D"/>
    <w:rsid w:val="00E8476E"/>
    <w:rsid w:val="00E85F11"/>
    <w:rsid w:val="00E86835"/>
    <w:rsid w:val="00EA4EEF"/>
    <w:rsid w:val="00EA5186"/>
    <w:rsid w:val="00EA5F64"/>
    <w:rsid w:val="00EA62B1"/>
    <w:rsid w:val="00EA72A0"/>
    <w:rsid w:val="00EA769D"/>
    <w:rsid w:val="00EB260F"/>
    <w:rsid w:val="00EB2D17"/>
    <w:rsid w:val="00EB5088"/>
    <w:rsid w:val="00EC1313"/>
    <w:rsid w:val="00ED029B"/>
    <w:rsid w:val="00EE7300"/>
    <w:rsid w:val="00EF62BA"/>
    <w:rsid w:val="00F03152"/>
    <w:rsid w:val="00F10D73"/>
    <w:rsid w:val="00F11785"/>
    <w:rsid w:val="00F12E58"/>
    <w:rsid w:val="00F1411C"/>
    <w:rsid w:val="00F210F0"/>
    <w:rsid w:val="00F303E7"/>
    <w:rsid w:val="00F34194"/>
    <w:rsid w:val="00F36F03"/>
    <w:rsid w:val="00F44FC0"/>
    <w:rsid w:val="00F523F4"/>
    <w:rsid w:val="00F57177"/>
    <w:rsid w:val="00F63F52"/>
    <w:rsid w:val="00F6584A"/>
    <w:rsid w:val="00F65E2E"/>
    <w:rsid w:val="00F727F3"/>
    <w:rsid w:val="00F7496E"/>
    <w:rsid w:val="00F76B36"/>
    <w:rsid w:val="00F835B1"/>
    <w:rsid w:val="00F83A92"/>
    <w:rsid w:val="00F91D04"/>
    <w:rsid w:val="00F94067"/>
    <w:rsid w:val="00F9735B"/>
    <w:rsid w:val="00F9799D"/>
    <w:rsid w:val="00FA2331"/>
    <w:rsid w:val="00FA3A1B"/>
    <w:rsid w:val="00FA59AA"/>
    <w:rsid w:val="00FA5DC5"/>
    <w:rsid w:val="00FA7471"/>
    <w:rsid w:val="00FA7C1A"/>
    <w:rsid w:val="00FB3F35"/>
    <w:rsid w:val="00FC2189"/>
    <w:rsid w:val="00FC39A2"/>
    <w:rsid w:val="00FC5F77"/>
    <w:rsid w:val="00FC7506"/>
    <w:rsid w:val="00FD10D6"/>
    <w:rsid w:val="00FD4B1C"/>
    <w:rsid w:val="00FD556D"/>
    <w:rsid w:val="00FD584E"/>
    <w:rsid w:val="00FE12C0"/>
    <w:rsid w:val="00FE35E2"/>
    <w:rsid w:val="00FF462F"/>
    <w:rsid w:val="00FF4EDD"/>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003768,#003767"/>
    </o:shapedefaults>
    <o:shapelayout v:ext="edit">
      <o:idmap v:ext="edit" data="1"/>
    </o:shapelayout>
  </w:shapeDefaults>
  <w:decimalSymbol w:val="."/>
  <w:listSeparator w:val=","/>
  <w14:docId w14:val="21AB84E3"/>
  <w15:docId w15:val="{0CEAFD48-7CE9-49B6-9851-DCF01962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0AB"/>
    <w:rPr>
      <w:rFonts w:ascii="Times" w:eastAsiaTheme="minorEastAsia" w:hAnsi="Times"/>
      <w:lang w:val="en-AU"/>
    </w:rPr>
  </w:style>
  <w:style w:type="paragraph" w:styleId="Heading1">
    <w:name w:val="heading 1"/>
    <w:basedOn w:val="Normal"/>
    <w:next w:val="Normal"/>
    <w:link w:val="Heading1Char"/>
    <w:qFormat/>
    <w:rsid w:val="003E5077"/>
    <w:pPr>
      <w:keepNext/>
      <w:numPr>
        <w:numId w:val="1"/>
      </w:numPr>
      <w:pBdr>
        <w:top w:val="single" w:sz="4" w:space="1" w:color="auto"/>
        <w:bottom w:val="single" w:sz="4" w:space="1" w:color="auto"/>
      </w:pBdr>
      <w:spacing w:before="80" w:after="80" w:line="276" w:lineRule="auto"/>
      <w:outlineLvl w:val="0"/>
    </w:pPr>
    <w:rPr>
      <w:rFonts w:ascii="Arial" w:eastAsia="Times New Roman" w:hAnsi="Arial" w:cs="Times New Roman"/>
      <w:b/>
      <w:bCs/>
      <w:color w:val="1F497D" w:themeColor="text2"/>
      <w:sz w:val="32"/>
    </w:rPr>
  </w:style>
  <w:style w:type="paragraph" w:styleId="Heading2">
    <w:name w:val="heading 2"/>
    <w:basedOn w:val="Normal"/>
    <w:next w:val="Normal"/>
    <w:link w:val="Heading2Char"/>
    <w:uiPriority w:val="99"/>
    <w:qFormat/>
    <w:rsid w:val="00127563"/>
    <w:pPr>
      <w:keepNext/>
      <w:numPr>
        <w:ilvl w:val="1"/>
        <w:numId w:val="1"/>
      </w:numPr>
      <w:spacing w:before="80" w:after="80" w:line="276" w:lineRule="auto"/>
      <w:outlineLvl w:val="1"/>
    </w:pPr>
    <w:rPr>
      <w:rFonts w:ascii="Arial" w:eastAsia="Times New Roman" w:hAnsi="Arial" w:cs="Arial"/>
      <w:b/>
      <w:bCs/>
      <w:iCs/>
      <w:color w:val="1F497D" w:themeColor="text2"/>
      <w:sz w:val="28"/>
      <w:szCs w:val="28"/>
    </w:rPr>
  </w:style>
  <w:style w:type="paragraph" w:styleId="Heading3">
    <w:name w:val="heading 3"/>
    <w:basedOn w:val="Normal"/>
    <w:next w:val="Normal"/>
    <w:link w:val="Heading3Char"/>
    <w:qFormat/>
    <w:rsid w:val="00575A30"/>
    <w:pPr>
      <w:keepNext/>
      <w:numPr>
        <w:ilvl w:val="2"/>
        <w:numId w:val="1"/>
      </w:numPr>
      <w:spacing w:before="40" w:after="80"/>
      <w:jc w:val="both"/>
      <w:outlineLvl w:val="2"/>
    </w:pPr>
    <w:rPr>
      <w:rFonts w:ascii="Arial" w:eastAsia="Times New Roman" w:hAnsi="Arial" w:cs="Arial"/>
      <w:b/>
      <w:bCs/>
      <w:szCs w:val="26"/>
    </w:rPr>
  </w:style>
  <w:style w:type="paragraph" w:styleId="Heading4">
    <w:name w:val="heading 4"/>
    <w:basedOn w:val="Normal"/>
    <w:next w:val="Normal"/>
    <w:link w:val="Heading4Char"/>
    <w:qFormat/>
    <w:rsid w:val="00575A30"/>
    <w:pPr>
      <w:keepNext/>
      <w:numPr>
        <w:ilvl w:val="3"/>
        <w:numId w:val="1"/>
      </w:numPr>
      <w:spacing w:before="40" w:after="80"/>
      <w:ind w:left="862" w:hanging="862"/>
      <w:jc w:val="both"/>
      <w:outlineLvl w:val="3"/>
    </w:pPr>
    <w:rPr>
      <w:rFonts w:ascii="Arial" w:eastAsia="Times New Roman" w:hAnsi="Arial" w:cs="Times New Roman"/>
      <w:b/>
      <w:bCs/>
      <w:i/>
    </w:rPr>
  </w:style>
  <w:style w:type="paragraph" w:styleId="Heading5">
    <w:name w:val="heading 5"/>
    <w:basedOn w:val="Normal"/>
    <w:next w:val="Normal"/>
    <w:link w:val="Heading5Char"/>
    <w:qFormat/>
    <w:rsid w:val="00575A30"/>
    <w:pPr>
      <w:numPr>
        <w:ilvl w:val="4"/>
        <w:numId w:val="1"/>
      </w:numPr>
      <w:spacing w:before="240" w:after="60"/>
      <w:jc w:val="both"/>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575A30"/>
    <w:pPr>
      <w:numPr>
        <w:ilvl w:val="5"/>
        <w:numId w:val="1"/>
      </w:numPr>
      <w:spacing w:before="240" w:after="60"/>
      <w:jc w:val="both"/>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575A30"/>
    <w:pPr>
      <w:numPr>
        <w:ilvl w:val="6"/>
        <w:numId w:val="1"/>
      </w:numPr>
      <w:spacing w:before="240" w:after="60"/>
      <w:jc w:val="both"/>
      <w:outlineLvl w:val="6"/>
    </w:pPr>
    <w:rPr>
      <w:rFonts w:ascii="Times New Roman" w:eastAsia="Times New Roman" w:hAnsi="Times New Roman" w:cs="Times New Roman"/>
    </w:rPr>
  </w:style>
  <w:style w:type="paragraph" w:styleId="Heading8">
    <w:name w:val="heading 8"/>
    <w:basedOn w:val="Normal"/>
    <w:next w:val="Normal"/>
    <w:link w:val="Heading8Char"/>
    <w:qFormat/>
    <w:rsid w:val="00575A30"/>
    <w:pPr>
      <w:numPr>
        <w:ilvl w:val="7"/>
        <w:numId w:val="1"/>
      </w:numPr>
      <w:spacing w:before="240" w:after="60"/>
      <w:jc w:val="both"/>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575A30"/>
    <w:pPr>
      <w:keepNext/>
      <w:numPr>
        <w:ilvl w:val="8"/>
        <w:numId w:val="1"/>
      </w:numPr>
      <w:jc w:val="right"/>
      <w:outlineLvl w:val="8"/>
    </w:pPr>
    <w:rPr>
      <w:rFonts w:ascii="Arial" w:eastAsia="Times New Roman" w:hAnsi="Arial" w:cs="Arial"/>
      <w:b/>
      <w:bCs/>
      <w:color w:val="999999"/>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5077"/>
    <w:rPr>
      <w:rFonts w:ascii="Arial" w:eastAsia="Times New Roman" w:hAnsi="Arial" w:cs="Times New Roman"/>
      <w:b/>
      <w:bCs/>
      <w:color w:val="1F497D" w:themeColor="text2"/>
      <w:sz w:val="32"/>
      <w:szCs w:val="22"/>
      <w:lang w:val="en-AU" w:eastAsia="en-AU"/>
    </w:rPr>
  </w:style>
  <w:style w:type="character" w:customStyle="1" w:styleId="Heading2Char">
    <w:name w:val="Heading 2 Char"/>
    <w:basedOn w:val="DefaultParagraphFont"/>
    <w:link w:val="Heading2"/>
    <w:uiPriority w:val="99"/>
    <w:rsid w:val="00127563"/>
    <w:rPr>
      <w:rFonts w:ascii="Arial" w:eastAsia="Times New Roman" w:hAnsi="Arial" w:cs="Arial"/>
      <w:b/>
      <w:bCs/>
      <w:iCs/>
      <w:color w:val="1F497D" w:themeColor="text2"/>
      <w:sz w:val="28"/>
      <w:szCs w:val="28"/>
      <w:lang w:val="en-AU" w:eastAsia="en-AU"/>
    </w:rPr>
  </w:style>
  <w:style w:type="character" w:customStyle="1" w:styleId="Heading3Char">
    <w:name w:val="Heading 3 Char"/>
    <w:basedOn w:val="DefaultParagraphFont"/>
    <w:link w:val="Heading3"/>
    <w:rsid w:val="00575A30"/>
    <w:rPr>
      <w:rFonts w:ascii="Arial" w:eastAsia="Times New Roman" w:hAnsi="Arial" w:cs="Arial"/>
      <w:b/>
      <w:bCs/>
      <w:sz w:val="22"/>
      <w:szCs w:val="26"/>
      <w:lang w:val="en-AU" w:eastAsia="en-AU"/>
    </w:rPr>
  </w:style>
  <w:style w:type="character" w:customStyle="1" w:styleId="Heading4Char">
    <w:name w:val="Heading 4 Char"/>
    <w:basedOn w:val="DefaultParagraphFont"/>
    <w:link w:val="Heading4"/>
    <w:rsid w:val="00575A30"/>
    <w:rPr>
      <w:rFonts w:ascii="Arial" w:eastAsia="Times New Roman" w:hAnsi="Arial" w:cs="Times New Roman"/>
      <w:b/>
      <w:bCs/>
      <w:i/>
      <w:sz w:val="22"/>
      <w:szCs w:val="22"/>
      <w:lang w:val="en-AU" w:eastAsia="en-AU"/>
    </w:rPr>
  </w:style>
  <w:style w:type="character" w:customStyle="1" w:styleId="Heading5Char">
    <w:name w:val="Heading 5 Char"/>
    <w:basedOn w:val="DefaultParagraphFont"/>
    <w:link w:val="Heading5"/>
    <w:rsid w:val="00575A30"/>
    <w:rPr>
      <w:rFonts w:ascii="Arial" w:eastAsia="Times New Roman" w:hAnsi="Arial" w:cs="Times New Roman"/>
      <w:b/>
      <w:bCs/>
      <w:i/>
      <w:iCs/>
      <w:sz w:val="26"/>
      <w:szCs w:val="26"/>
      <w:lang w:val="en-AU" w:eastAsia="en-AU"/>
    </w:rPr>
  </w:style>
  <w:style w:type="character" w:customStyle="1" w:styleId="Heading6Char">
    <w:name w:val="Heading 6 Char"/>
    <w:basedOn w:val="DefaultParagraphFont"/>
    <w:link w:val="Heading6"/>
    <w:rsid w:val="00575A30"/>
    <w:rPr>
      <w:rFonts w:ascii="Times New Roman" w:eastAsia="Times New Roman" w:hAnsi="Times New Roman" w:cs="Times New Roman"/>
      <w:b/>
      <w:bCs/>
      <w:sz w:val="22"/>
      <w:szCs w:val="22"/>
      <w:lang w:val="en-AU" w:eastAsia="en-AU"/>
    </w:rPr>
  </w:style>
  <w:style w:type="character" w:customStyle="1" w:styleId="Heading7Char">
    <w:name w:val="Heading 7 Char"/>
    <w:basedOn w:val="DefaultParagraphFont"/>
    <w:link w:val="Heading7"/>
    <w:rsid w:val="00575A30"/>
    <w:rPr>
      <w:rFonts w:ascii="Times New Roman" w:eastAsia="Times New Roman" w:hAnsi="Times New Roman" w:cs="Times New Roman"/>
      <w:sz w:val="22"/>
      <w:szCs w:val="22"/>
      <w:lang w:val="en-AU" w:eastAsia="en-AU"/>
    </w:rPr>
  </w:style>
  <w:style w:type="character" w:customStyle="1" w:styleId="Heading8Char">
    <w:name w:val="Heading 8 Char"/>
    <w:basedOn w:val="DefaultParagraphFont"/>
    <w:link w:val="Heading8"/>
    <w:rsid w:val="00575A30"/>
    <w:rPr>
      <w:rFonts w:ascii="Times New Roman" w:eastAsia="Times New Roman" w:hAnsi="Times New Roman" w:cs="Times New Roman"/>
      <w:i/>
      <w:iCs/>
      <w:sz w:val="22"/>
      <w:szCs w:val="22"/>
      <w:lang w:val="en-AU" w:eastAsia="en-AU"/>
    </w:rPr>
  </w:style>
  <w:style w:type="character" w:customStyle="1" w:styleId="Heading9Char">
    <w:name w:val="Heading 9 Char"/>
    <w:basedOn w:val="DefaultParagraphFont"/>
    <w:link w:val="Heading9"/>
    <w:rsid w:val="00575A30"/>
    <w:rPr>
      <w:rFonts w:ascii="Arial" w:eastAsia="Times New Roman" w:hAnsi="Arial" w:cs="Arial"/>
      <w:b/>
      <w:bCs/>
      <w:color w:val="999999"/>
      <w:sz w:val="44"/>
      <w:szCs w:val="22"/>
      <w:lang w:val="en-AU" w:eastAsia="en-AU"/>
    </w:rPr>
  </w:style>
  <w:style w:type="paragraph" w:customStyle="1" w:styleId="BasicParagraph">
    <w:name w:val="[Basic Paragraph]"/>
    <w:basedOn w:val="Normal"/>
    <w:uiPriority w:val="99"/>
    <w:rsid w:val="00424E2A"/>
    <w:pPr>
      <w:widowControl w:val="0"/>
      <w:autoSpaceDE w:val="0"/>
      <w:autoSpaceDN w:val="0"/>
      <w:adjustRightInd w:val="0"/>
      <w:spacing w:line="288" w:lineRule="auto"/>
      <w:textAlignment w:val="center"/>
    </w:pPr>
    <w:rPr>
      <w:rFonts w:ascii="Times-Roman" w:hAnsi="Times-Roman" w:cs="Times-Roman"/>
      <w:color w:val="000000"/>
    </w:rPr>
  </w:style>
  <w:style w:type="paragraph" w:styleId="Header">
    <w:name w:val="header"/>
    <w:basedOn w:val="Normal"/>
    <w:link w:val="HeaderChar"/>
    <w:uiPriority w:val="99"/>
    <w:unhideWhenUsed/>
    <w:rsid w:val="00C61381"/>
    <w:pPr>
      <w:tabs>
        <w:tab w:val="center" w:pos="4320"/>
        <w:tab w:val="right" w:pos="8640"/>
      </w:tabs>
    </w:pPr>
  </w:style>
  <w:style w:type="character" w:customStyle="1" w:styleId="HeaderChar">
    <w:name w:val="Header Char"/>
    <w:basedOn w:val="DefaultParagraphFont"/>
    <w:link w:val="Header"/>
    <w:uiPriority w:val="99"/>
    <w:rsid w:val="00C61381"/>
    <w:rPr>
      <w:sz w:val="24"/>
      <w:szCs w:val="24"/>
    </w:rPr>
  </w:style>
  <w:style w:type="paragraph" w:styleId="Footer">
    <w:name w:val="footer"/>
    <w:basedOn w:val="Normal"/>
    <w:link w:val="FooterChar"/>
    <w:uiPriority w:val="99"/>
    <w:unhideWhenUsed/>
    <w:rsid w:val="00C61381"/>
    <w:pPr>
      <w:tabs>
        <w:tab w:val="center" w:pos="4320"/>
        <w:tab w:val="right" w:pos="8640"/>
      </w:tabs>
    </w:pPr>
  </w:style>
  <w:style w:type="character" w:customStyle="1" w:styleId="FooterChar">
    <w:name w:val="Footer Char"/>
    <w:basedOn w:val="DefaultParagraphFont"/>
    <w:link w:val="Footer"/>
    <w:uiPriority w:val="99"/>
    <w:rsid w:val="00C61381"/>
    <w:rPr>
      <w:sz w:val="24"/>
      <w:szCs w:val="24"/>
    </w:rPr>
  </w:style>
  <w:style w:type="character" w:styleId="Strong">
    <w:name w:val="Strong"/>
    <w:basedOn w:val="DefaultParagraphFont"/>
    <w:uiPriority w:val="99"/>
    <w:qFormat/>
    <w:rsid w:val="003909FB"/>
    <w:rPr>
      <w:b/>
      <w:bCs/>
    </w:rPr>
  </w:style>
  <w:style w:type="paragraph" w:styleId="ListParagraph">
    <w:name w:val="List Paragraph"/>
    <w:basedOn w:val="Normal"/>
    <w:link w:val="ListParagraphChar"/>
    <w:uiPriority w:val="99"/>
    <w:qFormat/>
    <w:rsid w:val="003909FB"/>
    <w:pPr>
      <w:ind w:left="720"/>
      <w:contextualSpacing/>
    </w:pPr>
  </w:style>
  <w:style w:type="character" w:customStyle="1" w:styleId="ListParagraphChar">
    <w:name w:val="List Paragraph Char"/>
    <w:basedOn w:val="DefaultParagraphFont"/>
    <w:link w:val="ListParagraph"/>
    <w:uiPriority w:val="34"/>
    <w:rsid w:val="00192D54"/>
    <w:rPr>
      <w:rFonts w:ascii="Calibri" w:eastAsiaTheme="minorEastAsia" w:hAnsi="Calibri"/>
      <w:sz w:val="22"/>
      <w:szCs w:val="22"/>
      <w:lang w:val="en-AU" w:eastAsia="en-AU"/>
    </w:rPr>
  </w:style>
  <w:style w:type="paragraph" w:styleId="NormalWeb">
    <w:name w:val="Normal (Web)"/>
    <w:basedOn w:val="Normal"/>
    <w:uiPriority w:val="99"/>
    <w:unhideWhenUsed/>
    <w:rsid w:val="003909FB"/>
    <w:pPr>
      <w:spacing w:before="142" w:after="95" w:line="360" w:lineRule="atLeast"/>
    </w:pPr>
    <w:rPr>
      <w:rFonts w:ascii="Times New Roman" w:eastAsia="Times New Roman" w:hAnsi="Times New Roman" w:cs="Times New Roman"/>
      <w:sz w:val="18"/>
      <w:szCs w:val="18"/>
    </w:rPr>
  </w:style>
  <w:style w:type="character" w:styleId="Hyperlink">
    <w:name w:val="Hyperlink"/>
    <w:basedOn w:val="DefaultParagraphFont"/>
    <w:uiPriority w:val="99"/>
    <w:unhideWhenUsed/>
    <w:rsid w:val="003909FB"/>
    <w:rPr>
      <w:strike w:val="0"/>
      <w:dstrike w:val="0"/>
      <w:color w:val="41A9FA"/>
      <w:u w:val="none"/>
      <w:effect w:val="none"/>
    </w:rPr>
  </w:style>
  <w:style w:type="paragraph" w:styleId="BalloonText">
    <w:name w:val="Balloon Text"/>
    <w:basedOn w:val="Normal"/>
    <w:link w:val="BalloonTextChar"/>
    <w:uiPriority w:val="99"/>
    <w:semiHidden/>
    <w:unhideWhenUsed/>
    <w:rsid w:val="00575A30"/>
    <w:rPr>
      <w:rFonts w:ascii="Tahoma" w:hAnsi="Tahoma" w:cs="Tahoma"/>
      <w:sz w:val="16"/>
      <w:szCs w:val="16"/>
    </w:rPr>
  </w:style>
  <w:style w:type="character" w:customStyle="1" w:styleId="BalloonTextChar">
    <w:name w:val="Balloon Text Char"/>
    <w:basedOn w:val="DefaultParagraphFont"/>
    <w:link w:val="BalloonText"/>
    <w:uiPriority w:val="99"/>
    <w:semiHidden/>
    <w:rsid w:val="00575A30"/>
    <w:rPr>
      <w:rFonts w:ascii="Tahoma" w:hAnsi="Tahoma" w:cs="Tahoma"/>
      <w:sz w:val="16"/>
      <w:szCs w:val="16"/>
    </w:rPr>
  </w:style>
  <w:style w:type="paragraph" w:customStyle="1" w:styleId="TableHeading">
    <w:name w:val="Table Heading"/>
    <w:basedOn w:val="Normal"/>
    <w:rsid w:val="00575A30"/>
    <w:pPr>
      <w:spacing w:before="80" w:after="80"/>
    </w:pPr>
    <w:rPr>
      <w:rFonts w:ascii="Arial" w:eastAsia="Times New Roman" w:hAnsi="Arial" w:cs="Times New Roman"/>
      <w:b/>
      <w:spacing w:val="-5"/>
      <w:sz w:val="18"/>
    </w:rPr>
  </w:style>
  <w:style w:type="paragraph" w:customStyle="1" w:styleId="TitlePage">
    <w:name w:val="Title Page"/>
    <w:basedOn w:val="Normal"/>
    <w:rsid w:val="00575A30"/>
    <w:pPr>
      <w:tabs>
        <w:tab w:val="left" w:pos="5184"/>
      </w:tabs>
      <w:jc w:val="center"/>
    </w:pPr>
    <w:rPr>
      <w:rFonts w:ascii="Arial" w:eastAsia="Times New Roman" w:hAnsi="Arial" w:cs="Arial"/>
      <w:b/>
      <w:bCs/>
      <w:color w:val="FF5900"/>
      <w:sz w:val="60"/>
    </w:rPr>
  </w:style>
  <w:style w:type="paragraph" w:customStyle="1" w:styleId="TitlePageDate">
    <w:name w:val="Title Page Date"/>
    <w:basedOn w:val="TitlePage"/>
    <w:rsid w:val="00575A30"/>
    <w:pPr>
      <w:jc w:val="right"/>
    </w:pPr>
    <w:rPr>
      <w:b w:val="0"/>
      <w:sz w:val="28"/>
    </w:rPr>
  </w:style>
  <w:style w:type="paragraph" w:customStyle="1" w:styleId="TableText">
    <w:name w:val="Table Text"/>
    <w:basedOn w:val="Normal"/>
    <w:rsid w:val="00575A30"/>
    <w:pPr>
      <w:spacing w:before="60" w:after="60"/>
      <w:jc w:val="both"/>
    </w:pPr>
    <w:rPr>
      <w:rFonts w:ascii="Arial" w:eastAsia="Times New Roman" w:hAnsi="Arial" w:cs="Times New Roman"/>
      <w:sz w:val="18"/>
    </w:rPr>
  </w:style>
  <w:style w:type="paragraph" w:styleId="TOC1">
    <w:name w:val="toc 1"/>
    <w:basedOn w:val="Heading1"/>
    <w:next w:val="Normal"/>
    <w:autoRedefine/>
    <w:uiPriority w:val="39"/>
    <w:qFormat/>
    <w:rsid w:val="00575A30"/>
    <w:pPr>
      <w:keepNext w:val="0"/>
      <w:numPr>
        <w:numId w:val="0"/>
      </w:numPr>
      <w:pBdr>
        <w:top w:val="none" w:sz="0" w:space="0" w:color="auto"/>
        <w:bottom w:val="none" w:sz="0" w:space="0" w:color="auto"/>
      </w:pBdr>
      <w:spacing w:before="120" w:after="0"/>
      <w:outlineLvl w:val="9"/>
    </w:pPr>
    <w:rPr>
      <w:rFonts w:asciiTheme="minorHAnsi" w:eastAsiaTheme="minorEastAsia" w:hAnsiTheme="minorHAnsi" w:cstheme="minorBidi"/>
      <w:i/>
      <w:iCs/>
      <w:color w:val="auto"/>
      <w:sz w:val="24"/>
      <w:szCs w:val="24"/>
    </w:rPr>
  </w:style>
  <w:style w:type="paragraph" w:styleId="TOC2">
    <w:name w:val="toc 2"/>
    <w:basedOn w:val="Heading2"/>
    <w:next w:val="Normal"/>
    <w:autoRedefine/>
    <w:uiPriority w:val="39"/>
    <w:qFormat/>
    <w:rsid w:val="00575A30"/>
    <w:pPr>
      <w:keepNext w:val="0"/>
      <w:numPr>
        <w:ilvl w:val="0"/>
        <w:numId w:val="0"/>
      </w:numPr>
      <w:spacing w:before="120" w:after="0"/>
      <w:ind w:left="220"/>
      <w:outlineLvl w:val="9"/>
    </w:pPr>
    <w:rPr>
      <w:rFonts w:asciiTheme="minorHAnsi" w:eastAsiaTheme="minorEastAsia" w:hAnsiTheme="minorHAnsi" w:cstheme="minorBidi"/>
      <w:iCs w:val="0"/>
      <w:color w:val="auto"/>
      <w:sz w:val="22"/>
      <w:szCs w:val="22"/>
    </w:rPr>
  </w:style>
  <w:style w:type="paragraph" w:customStyle="1" w:styleId="Bulletlist">
    <w:name w:val="Bullet list"/>
    <w:basedOn w:val="Normal"/>
    <w:rsid w:val="00575A30"/>
    <w:pPr>
      <w:tabs>
        <w:tab w:val="num" w:pos="360"/>
      </w:tabs>
      <w:ind w:left="340" w:hanging="340"/>
      <w:jc w:val="both"/>
    </w:pPr>
    <w:rPr>
      <w:rFonts w:ascii="Arial" w:eastAsia="Times New Roman" w:hAnsi="Arial" w:cs="Times New Roman"/>
    </w:rPr>
  </w:style>
  <w:style w:type="character" w:styleId="PageNumber">
    <w:name w:val="page number"/>
    <w:basedOn w:val="DefaultParagraphFont"/>
    <w:uiPriority w:val="99"/>
    <w:rsid w:val="00575A30"/>
  </w:style>
  <w:style w:type="character" w:customStyle="1" w:styleId="FootnoteTextChar">
    <w:name w:val="Footnote Text Char"/>
    <w:basedOn w:val="DefaultParagraphFont"/>
    <w:link w:val="FootnoteText"/>
    <w:uiPriority w:val="99"/>
    <w:rsid w:val="00575A30"/>
    <w:rPr>
      <w:rFonts w:ascii="Arial" w:eastAsia="Times New Roman" w:hAnsi="Arial" w:cs="Times New Roman"/>
      <w:lang w:val="en-AU"/>
    </w:rPr>
  </w:style>
  <w:style w:type="paragraph" w:styleId="FootnoteText">
    <w:name w:val="footnote text"/>
    <w:basedOn w:val="Normal"/>
    <w:link w:val="FootnoteTextChar"/>
    <w:uiPriority w:val="99"/>
    <w:rsid w:val="00575A30"/>
    <w:pPr>
      <w:jc w:val="both"/>
    </w:pPr>
    <w:rPr>
      <w:rFonts w:ascii="Arial" w:eastAsia="Times New Roman" w:hAnsi="Arial" w:cs="Times New Roman"/>
    </w:rPr>
  </w:style>
  <w:style w:type="character" w:styleId="FollowedHyperlink">
    <w:name w:val="FollowedHyperlink"/>
    <w:basedOn w:val="DefaultParagraphFont"/>
    <w:uiPriority w:val="99"/>
    <w:rsid w:val="00575A30"/>
    <w:rPr>
      <w:color w:val="606420"/>
      <w:u w:val="single"/>
    </w:rPr>
  </w:style>
  <w:style w:type="character" w:styleId="Emphasis">
    <w:name w:val="Emphasis"/>
    <w:basedOn w:val="DefaultParagraphFont"/>
    <w:uiPriority w:val="99"/>
    <w:qFormat/>
    <w:rsid w:val="00575A30"/>
    <w:rPr>
      <w:i/>
      <w:iCs/>
    </w:rPr>
  </w:style>
  <w:style w:type="character" w:customStyle="1" w:styleId="CommentTextChar">
    <w:name w:val="Comment Text Char"/>
    <w:basedOn w:val="DefaultParagraphFont"/>
    <w:link w:val="CommentText"/>
    <w:uiPriority w:val="99"/>
    <w:semiHidden/>
    <w:rsid w:val="00575A30"/>
    <w:rPr>
      <w:rFonts w:ascii="Arial" w:eastAsia="Times New Roman" w:hAnsi="Arial" w:cs="Times New Roman"/>
      <w:lang w:val="en-AU"/>
    </w:rPr>
  </w:style>
  <w:style w:type="paragraph" w:styleId="CommentText">
    <w:name w:val="annotation text"/>
    <w:basedOn w:val="Normal"/>
    <w:link w:val="CommentTextChar"/>
    <w:uiPriority w:val="99"/>
    <w:semiHidden/>
    <w:rsid w:val="00575A30"/>
    <w:pPr>
      <w:jc w:val="both"/>
    </w:pPr>
    <w:rPr>
      <w:rFonts w:ascii="Arial" w:eastAsia="Times New Roman" w:hAnsi="Arial" w:cs="Times New Roman"/>
    </w:rPr>
  </w:style>
  <w:style w:type="character" w:customStyle="1" w:styleId="CommentSubjectChar">
    <w:name w:val="Comment Subject Char"/>
    <w:basedOn w:val="CommentTextChar"/>
    <w:link w:val="CommentSubject"/>
    <w:uiPriority w:val="99"/>
    <w:semiHidden/>
    <w:rsid w:val="00575A30"/>
    <w:rPr>
      <w:rFonts w:ascii="Arial" w:eastAsia="Times New Roman" w:hAnsi="Arial" w:cs="Times New Roman"/>
      <w:b/>
      <w:bCs/>
      <w:lang w:val="en-AU"/>
    </w:rPr>
  </w:style>
  <w:style w:type="paragraph" w:styleId="CommentSubject">
    <w:name w:val="annotation subject"/>
    <w:basedOn w:val="CommentText"/>
    <w:next w:val="CommentText"/>
    <w:link w:val="CommentSubjectChar"/>
    <w:uiPriority w:val="99"/>
    <w:semiHidden/>
    <w:rsid w:val="00575A30"/>
    <w:rPr>
      <w:b/>
      <w:bCs/>
    </w:rPr>
  </w:style>
  <w:style w:type="character" w:styleId="CommentReference">
    <w:name w:val="annotation reference"/>
    <w:basedOn w:val="DefaultParagraphFont"/>
    <w:uiPriority w:val="99"/>
    <w:semiHidden/>
    <w:unhideWhenUsed/>
    <w:rsid w:val="00B14A16"/>
    <w:rPr>
      <w:sz w:val="16"/>
      <w:szCs w:val="16"/>
    </w:rPr>
  </w:style>
  <w:style w:type="character" w:styleId="FootnoteReference">
    <w:name w:val="footnote reference"/>
    <w:basedOn w:val="DefaultParagraphFont"/>
    <w:uiPriority w:val="99"/>
    <w:unhideWhenUsed/>
    <w:rsid w:val="00217CEF"/>
    <w:rPr>
      <w:vertAlign w:val="superscript"/>
    </w:rPr>
  </w:style>
  <w:style w:type="paragraph" w:customStyle="1" w:styleId="Default">
    <w:name w:val="Default"/>
    <w:rsid w:val="00AC0CB8"/>
    <w:pPr>
      <w:autoSpaceDE w:val="0"/>
      <w:autoSpaceDN w:val="0"/>
      <w:adjustRightInd w:val="0"/>
    </w:pPr>
    <w:rPr>
      <w:rFonts w:ascii="Calibri" w:hAnsi="Calibri" w:cs="Calibri"/>
      <w:color w:val="000000"/>
      <w:sz w:val="24"/>
      <w:szCs w:val="24"/>
      <w:lang w:val="en-AU"/>
    </w:rPr>
  </w:style>
  <w:style w:type="table" w:styleId="TableGrid">
    <w:name w:val="Table Grid"/>
    <w:basedOn w:val="TableNormal"/>
    <w:uiPriority w:val="99"/>
    <w:rsid w:val="00161F1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uiPriority w:val="99"/>
    <w:unhideWhenUsed/>
    <w:rsid w:val="001C28E6"/>
    <w:rPr>
      <w:szCs w:val="21"/>
    </w:rPr>
  </w:style>
  <w:style w:type="character" w:customStyle="1" w:styleId="PlainTextChar">
    <w:name w:val="Plain Text Char"/>
    <w:basedOn w:val="DefaultParagraphFont"/>
    <w:link w:val="PlainText"/>
    <w:uiPriority w:val="99"/>
    <w:rsid w:val="001C28E6"/>
    <w:rPr>
      <w:rFonts w:ascii="Calibri" w:eastAsiaTheme="minorEastAsia" w:hAnsi="Calibri"/>
      <w:sz w:val="22"/>
      <w:szCs w:val="21"/>
      <w:lang w:val="en-AU" w:eastAsia="en-AU"/>
    </w:rPr>
  </w:style>
  <w:style w:type="paragraph" w:styleId="TOCHeading">
    <w:name w:val="TOC Heading"/>
    <w:basedOn w:val="Heading1"/>
    <w:next w:val="Normal"/>
    <w:uiPriority w:val="39"/>
    <w:unhideWhenUsed/>
    <w:qFormat/>
    <w:rsid w:val="0060433F"/>
    <w:pPr>
      <w:keepLines/>
      <w:numPr>
        <w:numId w:val="0"/>
      </w:numPr>
      <w:pBdr>
        <w:top w:val="none" w:sz="0" w:space="0" w:color="auto"/>
        <w:bottom w:val="none" w:sz="0" w:space="0" w:color="auto"/>
      </w:pBdr>
      <w:spacing w:before="480" w:after="0"/>
      <w:outlineLvl w:val="9"/>
    </w:pPr>
    <w:rPr>
      <w:rFonts w:asciiTheme="majorHAnsi" w:eastAsiaTheme="majorEastAsia" w:hAnsiTheme="majorHAnsi" w:cstheme="majorBidi"/>
      <w:color w:val="365F91" w:themeColor="accent1" w:themeShade="BF"/>
      <w:sz w:val="28"/>
      <w:szCs w:val="28"/>
    </w:rPr>
  </w:style>
  <w:style w:type="paragraph" w:customStyle="1" w:styleId="Questiontext">
    <w:name w:val="Question text"/>
    <w:basedOn w:val="ListParagraph"/>
    <w:qFormat/>
    <w:rsid w:val="00192D54"/>
    <w:pPr>
      <w:numPr>
        <w:numId w:val="2"/>
      </w:numPr>
      <w:spacing w:after="180"/>
      <w:contextualSpacing w:val="0"/>
    </w:pPr>
    <w:rPr>
      <w:rFonts w:ascii="Arial" w:eastAsia="Times New Roman" w:hAnsi="Arial" w:cs="Times New Roman"/>
      <w:color w:val="000000" w:themeColor="text1"/>
    </w:rPr>
  </w:style>
  <w:style w:type="table" w:styleId="LightShading">
    <w:name w:val="Light Shading"/>
    <w:basedOn w:val="TableNormal"/>
    <w:uiPriority w:val="60"/>
    <w:rsid w:val="00F6584A"/>
    <w:rPr>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99"/>
    <w:unhideWhenUsed/>
    <w:qFormat/>
    <w:rsid w:val="00F6584A"/>
    <w:rPr>
      <w:rFonts w:asciiTheme="minorHAnsi" w:eastAsiaTheme="minorHAnsi" w:hAnsiTheme="minorHAnsi"/>
      <w:b/>
      <w:bCs/>
      <w:color w:val="4F81BD" w:themeColor="accent1"/>
      <w:sz w:val="18"/>
      <w:szCs w:val="18"/>
    </w:rPr>
  </w:style>
  <w:style w:type="character" w:customStyle="1" w:styleId="selectable">
    <w:name w:val="selectable"/>
    <w:basedOn w:val="DefaultParagraphFont"/>
    <w:rsid w:val="00782980"/>
  </w:style>
  <w:style w:type="paragraph" w:styleId="TOC3">
    <w:name w:val="toc 3"/>
    <w:basedOn w:val="Normal"/>
    <w:next w:val="Normal"/>
    <w:autoRedefine/>
    <w:uiPriority w:val="39"/>
    <w:unhideWhenUsed/>
    <w:qFormat/>
    <w:rsid w:val="005E6058"/>
    <w:pPr>
      <w:ind w:left="440"/>
    </w:pPr>
    <w:rPr>
      <w:rFonts w:asciiTheme="minorHAnsi" w:hAnsiTheme="minorHAnsi"/>
    </w:rPr>
  </w:style>
  <w:style w:type="paragraph" w:styleId="TOC4">
    <w:name w:val="toc 4"/>
    <w:basedOn w:val="Normal"/>
    <w:next w:val="Normal"/>
    <w:autoRedefine/>
    <w:unhideWhenUsed/>
    <w:rsid w:val="005E6058"/>
    <w:pPr>
      <w:ind w:left="660"/>
    </w:pPr>
    <w:rPr>
      <w:rFonts w:asciiTheme="minorHAnsi" w:hAnsiTheme="minorHAnsi"/>
    </w:rPr>
  </w:style>
  <w:style w:type="paragraph" w:styleId="TOC5">
    <w:name w:val="toc 5"/>
    <w:basedOn w:val="Normal"/>
    <w:next w:val="Normal"/>
    <w:autoRedefine/>
    <w:unhideWhenUsed/>
    <w:rsid w:val="005E6058"/>
    <w:pPr>
      <w:ind w:left="880"/>
    </w:pPr>
    <w:rPr>
      <w:rFonts w:asciiTheme="minorHAnsi" w:hAnsiTheme="minorHAnsi"/>
    </w:rPr>
  </w:style>
  <w:style w:type="paragraph" w:styleId="TOC6">
    <w:name w:val="toc 6"/>
    <w:basedOn w:val="Normal"/>
    <w:next w:val="Normal"/>
    <w:autoRedefine/>
    <w:unhideWhenUsed/>
    <w:rsid w:val="005E6058"/>
    <w:pPr>
      <w:ind w:left="1100"/>
    </w:pPr>
    <w:rPr>
      <w:rFonts w:asciiTheme="minorHAnsi" w:hAnsiTheme="minorHAnsi"/>
    </w:rPr>
  </w:style>
  <w:style w:type="paragraph" w:styleId="TOC7">
    <w:name w:val="toc 7"/>
    <w:basedOn w:val="Normal"/>
    <w:next w:val="Normal"/>
    <w:autoRedefine/>
    <w:unhideWhenUsed/>
    <w:rsid w:val="005E6058"/>
    <w:pPr>
      <w:ind w:left="1320"/>
    </w:pPr>
    <w:rPr>
      <w:rFonts w:asciiTheme="minorHAnsi" w:hAnsiTheme="minorHAnsi"/>
    </w:rPr>
  </w:style>
  <w:style w:type="paragraph" w:styleId="TOC8">
    <w:name w:val="toc 8"/>
    <w:basedOn w:val="Normal"/>
    <w:next w:val="Normal"/>
    <w:autoRedefine/>
    <w:unhideWhenUsed/>
    <w:rsid w:val="005E6058"/>
    <w:pPr>
      <w:ind w:left="1540"/>
    </w:pPr>
    <w:rPr>
      <w:rFonts w:asciiTheme="minorHAnsi" w:hAnsiTheme="minorHAnsi"/>
    </w:rPr>
  </w:style>
  <w:style w:type="paragraph" w:styleId="TOC9">
    <w:name w:val="toc 9"/>
    <w:basedOn w:val="Normal"/>
    <w:next w:val="Normal"/>
    <w:autoRedefine/>
    <w:unhideWhenUsed/>
    <w:rsid w:val="005E6058"/>
    <w:pPr>
      <w:ind w:left="1760"/>
    </w:pPr>
    <w:rPr>
      <w:rFonts w:asciiTheme="minorHAnsi" w:hAnsiTheme="minorHAnsi"/>
    </w:rPr>
  </w:style>
  <w:style w:type="character" w:customStyle="1" w:styleId="apple-converted-space">
    <w:name w:val="apple-converted-space"/>
    <w:basedOn w:val="DefaultParagraphFont"/>
    <w:rsid w:val="00E86835"/>
  </w:style>
  <w:style w:type="paragraph" w:styleId="Revision">
    <w:name w:val="Revision"/>
    <w:hidden/>
    <w:uiPriority w:val="99"/>
    <w:semiHidden/>
    <w:rsid w:val="00A4740D"/>
    <w:rPr>
      <w:rFonts w:ascii="Calibri" w:eastAsiaTheme="minorEastAsia" w:hAnsi="Calibri"/>
      <w:sz w:val="22"/>
      <w:szCs w:val="22"/>
      <w:lang w:val="en-AU" w:eastAsia="en-AU"/>
    </w:rPr>
  </w:style>
  <w:style w:type="paragraph" w:customStyle="1" w:styleId="footnote">
    <w:name w:val="footnote"/>
    <w:basedOn w:val="FootnoteText"/>
    <w:link w:val="footnoteChar"/>
    <w:qFormat/>
    <w:rsid w:val="004C60B3"/>
    <w:rPr>
      <w:rFonts w:ascii="Calibri" w:eastAsia="Calibri" w:hAnsi="Calibri"/>
      <w:sz w:val="16"/>
    </w:rPr>
  </w:style>
  <w:style w:type="character" w:customStyle="1" w:styleId="footnoteChar">
    <w:name w:val="footnote Char"/>
    <w:basedOn w:val="FootnoteTextChar"/>
    <w:link w:val="footnote"/>
    <w:rsid w:val="004C60B3"/>
    <w:rPr>
      <w:rFonts w:ascii="Calibri" w:eastAsia="Calibri" w:hAnsi="Calibri" w:cs="Times New Roman"/>
      <w:sz w:val="16"/>
      <w:lang w:val="en-AU"/>
    </w:rPr>
  </w:style>
  <w:style w:type="paragraph" w:customStyle="1" w:styleId="Pa9">
    <w:name w:val="Pa9"/>
    <w:basedOn w:val="Normal"/>
    <w:next w:val="Normal"/>
    <w:uiPriority w:val="99"/>
    <w:rsid w:val="005007B5"/>
    <w:pPr>
      <w:autoSpaceDE w:val="0"/>
      <w:autoSpaceDN w:val="0"/>
      <w:adjustRightInd w:val="0"/>
      <w:spacing w:line="181" w:lineRule="atLeast"/>
    </w:pPr>
    <w:rPr>
      <w:rFonts w:ascii="AYEKXG+SabonLTStd-Roman" w:eastAsia="Times New Roman" w:hAnsi="AYEKXG+SabonLTStd-Roman" w:cs="Times New Roman"/>
      <w:sz w:val="24"/>
      <w:szCs w:val="24"/>
      <w:lang w:eastAsia="en-AU"/>
    </w:rPr>
  </w:style>
  <w:style w:type="character" w:customStyle="1" w:styleId="EndnoteTextChar">
    <w:name w:val="Endnote Text Char"/>
    <w:basedOn w:val="DefaultParagraphFont"/>
    <w:link w:val="EndnoteText"/>
    <w:uiPriority w:val="99"/>
    <w:semiHidden/>
    <w:rsid w:val="005007B5"/>
    <w:rPr>
      <w:rFonts w:ascii="Calibri" w:eastAsia="Calibri" w:hAnsi="Calibri" w:cs="Times New Roman"/>
      <w:lang w:val="en-AU"/>
    </w:rPr>
  </w:style>
  <w:style w:type="paragraph" w:styleId="EndnoteText">
    <w:name w:val="endnote text"/>
    <w:basedOn w:val="Normal"/>
    <w:link w:val="EndnoteTextChar"/>
    <w:uiPriority w:val="99"/>
    <w:semiHidden/>
    <w:rsid w:val="005007B5"/>
    <w:rPr>
      <w:rFonts w:ascii="Calibri" w:eastAsia="Calibri" w:hAnsi="Calibri" w:cs="Times New Roman"/>
    </w:rPr>
  </w:style>
  <w:style w:type="character" w:customStyle="1" w:styleId="DocumentMapChar">
    <w:name w:val="Document Map Char"/>
    <w:basedOn w:val="DefaultParagraphFont"/>
    <w:link w:val="DocumentMap"/>
    <w:uiPriority w:val="99"/>
    <w:semiHidden/>
    <w:rsid w:val="005007B5"/>
    <w:rPr>
      <w:rFonts w:ascii="Tahoma" w:eastAsia="Calibri" w:hAnsi="Tahoma" w:cs="Tahoma"/>
      <w:shd w:val="clear" w:color="auto" w:fill="000080"/>
      <w:lang w:val="en-AU"/>
    </w:rPr>
  </w:style>
  <w:style w:type="paragraph" w:styleId="DocumentMap">
    <w:name w:val="Document Map"/>
    <w:basedOn w:val="Normal"/>
    <w:link w:val="DocumentMapChar"/>
    <w:uiPriority w:val="99"/>
    <w:semiHidden/>
    <w:rsid w:val="005007B5"/>
    <w:pPr>
      <w:shd w:val="clear" w:color="auto" w:fill="000080"/>
      <w:spacing w:after="200" w:line="276" w:lineRule="auto"/>
    </w:pPr>
    <w:rPr>
      <w:rFonts w:ascii="Tahoma" w:eastAsia="Calibri"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12625">
      <w:bodyDiv w:val="1"/>
      <w:marLeft w:val="0"/>
      <w:marRight w:val="0"/>
      <w:marTop w:val="0"/>
      <w:marBottom w:val="0"/>
      <w:divBdr>
        <w:top w:val="none" w:sz="0" w:space="0" w:color="auto"/>
        <w:left w:val="none" w:sz="0" w:space="0" w:color="auto"/>
        <w:bottom w:val="none" w:sz="0" w:space="0" w:color="auto"/>
        <w:right w:val="none" w:sz="0" w:space="0" w:color="auto"/>
      </w:divBdr>
    </w:div>
    <w:div w:id="154883300">
      <w:bodyDiv w:val="1"/>
      <w:marLeft w:val="0"/>
      <w:marRight w:val="0"/>
      <w:marTop w:val="0"/>
      <w:marBottom w:val="0"/>
      <w:divBdr>
        <w:top w:val="none" w:sz="0" w:space="0" w:color="auto"/>
        <w:left w:val="none" w:sz="0" w:space="0" w:color="auto"/>
        <w:bottom w:val="none" w:sz="0" w:space="0" w:color="auto"/>
        <w:right w:val="none" w:sz="0" w:space="0" w:color="auto"/>
      </w:divBdr>
    </w:div>
    <w:div w:id="190263015">
      <w:bodyDiv w:val="1"/>
      <w:marLeft w:val="0"/>
      <w:marRight w:val="0"/>
      <w:marTop w:val="0"/>
      <w:marBottom w:val="0"/>
      <w:divBdr>
        <w:top w:val="none" w:sz="0" w:space="0" w:color="auto"/>
        <w:left w:val="none" w:sz="0" w:space="0" w:color="auto"/>
        <w:bottom w:val="none" w:sz="0" w:space="0" w:color="auto"/>
        <w:right w:val="none" w:sz="0" w:space="0" w:color="auto"/>
      </w:divBdr>
    </w:div>
    <w:div w:id="214659608">
      <w:bodyDiv w:val="1"/>
      <w:marLeft w:val="0"/>
      <w:marRight w:val="0"/>
      <w:marTop w:val="0"/>
      <w:marBottom w:val="0"/>
      <w:divBdr>
        <w:top w:val="none" w:sz="0" w:space="0" w:color="auto"/>
        <w:left w:val="none" w:sz="0" w:space="0" w:color="auto"/>
        <w:bottom w:val="none" w:sz="0" w:space="0" w:color="auto"/>
        <w:right w:val="none" w:sz="0" w:space="0" w:color="auto"/>
      </w:divBdr>
    </w:div>
    <w:div w:id="219950902">
      <w:bodyDiv w:val="1"/>
      <w:marLeft w:val="0"/>
      <w:marRight w:val="0"/>
      <w:marTop w:val="0"/>
      <w:marBottom w:val="0"/>
      <w:divBdr>
        <w:top w:val="none" w:sz="0" w:space="0" w:color="auto"/>
        <w:left w:val="none" w:sz="0" w:space="0" w:color="auto"/>
        <w:bottom w:val="none" w:sz="0" w:space="0" w:color="auto"/>
        <w:right w:val="none" w:sz="0" w:space="0" w:color="auto"/>
      </w:divBdr>
    </w:div>
    <w:div w:id="373896284">
      <w:bodyDiv w:val="1"/>
      <w:marLeft w:val="0"/>
      <w:marRight w:val="0"/>
      <w:marTop w:val="0"/>
      <w:marBottom w:val="0"/>
      <w:divBdr>
        <w:top w:val="none" w:sz="0" w:space="0" w:color="auto"/>
        <w:left w:val="none" w:sz="0" w:space="0" w:color="auto"/>
        <w:bottom w:val="none" w:sz="0" w:space="0" w:color="auto"/>
        <w:right w:val="none" w:sz="0" w:space="0" w:color="auto"/>
      </w:divBdr>
    </w:div>
    <w:div w:id="484863132">
      <w:bodyDiv w:val="1"/>
      <w:marLeft w:val="0"/>
      <w:marRight w:val="0"/>
      <w:marTop w:val="0"/>
      <w:marBottom w:val="0"/>
      <w:divBdr>
        <w:top w:val="none" w:sz="0" w:space="0" w:color="auto"/>
        <w:left w:val="none" w:sz="0" w:space="0" w:color="auto"/>
        <w:bottom w:val="none" w:sz="0" w:space="0" w:color="auto"/>
        <w:right w:val="none" w:sz="0" w:space="0" w:color="auto"/>
      </w:divBdr>
    </w:div>
    <w:div w:id="572275389">
      <w:bodyDiv w:val="1"/>
      <w:marLeft w:val="0"/>
      <w:marRight w:val="0"/>
      <w:marTop w:val="0"/>
      <w:marBottom w:val="0"/>
      <w:divBdr>
        <w:top w:val="none" w:sz="0" w:space="0" w:color="auto"/>
        <w:left w:val="none" w:sz="0" w:space="0" w:color="auto"/>
        <w:bottom w:val="none" w:sz="0" w:space="0" w:color="auto"/>
        <w:right w:val="none" w:sz="0" w:space="0" w:color="auto"/>
      </w:divBdr>
    </w:div>
    <w:div w:id="593174121">
      <w:bodyDiv w:val="1"/>
      <w:marLeft w:val="0"/>
      <w:marRight w:val="0"/>
      <w:marTop w:val="0"/>
      <w:marBottom w:val="0"/>
      <w:divBdr>
        <w:top w:val="none" w:sz="0" w:space="0" w:color="auto"/>
        <w:left w:val="none" w:sz="0" w:space="0" w:color="auto"/>
        <w:bottom w:val="none" w:sz="0" w:space="0" w:color="auto"/>
        <w:right w:val="none" w:sz="0" w:space="0" w:color="auto"/>
      </w:divBdr>
    </w:div>
    <w:div w:id="731541003">
      <w:bodyDiv w:val="1"/>
      <w:marLeft w:val="0"/>
      <w:marRight w:val="0"/>
      <w:marTop w:val="0"/>
      <w:marBottom w:val="0"/>
      <w:divBdr>
        <w:top w:val="none" w:sz="0" w:space="0" w:color="auto"/>
        <w:left w:val="none" w:sz="0" w:space="0" w:color="auto"/>
        <w:bottom w:val="none" w:sz="0" w:space="0" w:color="auto"/>
        <w:right w:val="none" w:sz="0" w:space="0" w:color="auto"/>
      </w:divBdr>
    </w:div>
    <w:div w:id="938372337">
      <w:bodyDiv w:val="1"/>
      <w:marLeft w:val="0"/>
      <w:marRight w:val="0"/>
      <w:marTop w:val="0"/>
      <w:marBottom w:val="0"/>
      <w:divBdr>
        <w:top w:val="none" w:sz="0" w:space="0" w:color="auto"/>
        <w:left w:val="none" w:sz="0" w:space="0" w:color="auto"/>
        <w:bottom w:val="none" w:sz="0" w:space="0" w:color="auto"/>
        <w:right w:val="none" w:sz="0" w:space="0" w:color="auto"/>
      </w:divBdr>
    </w:div>
    <w:div w:id="1016536589">
      <w:bodyDiv w:val="1"/>
      <w:marLeft w:val="0"/>
      <w:marRight w:val="0"/>
      <w:marTop w:val="0"/>
      <w:marBottom w:val="0"/>
      <w:divBdr>
        <w:top w:val="none" w:sz="0" w:space="0" w:color="auto"/>
        <w:left w:val="none" w:sz="0" w:space="0" w:color="auto"/>
        <w:bottom w:val="none" w:sz="0" w:space="0" w:color="auto"/>
        <w:right w:val="none" w:sz="0" w:space="0" w:color="auto"/>
      </w:divBdr>
    </w:div>
    <w:div w:id="1150517196">
      <w:bodyDiv w:val="1"/>
      <w:marLeft w:val="0"/>
      <w:marRight w:val="0"/>
      <w:marTop w:val="0"/>
      <w:marBottom w:val="0"/>
      <w:divBdr>
        <w:top w:val="none" w:sz="0" w:space="0" w:color="auto"/>
        <w:left w:val="none" w:sz="0" w:space="0" w:color="auto"/>
        <w:bottom w:val="none" w:sz="0" w:space="0" w:color="auto"/>
        <w:right w:val="none" w:sz="0" w:space="0" w:color="auto"/>
      </w:divBdr>
    </w:div>
    <w:div w:id="1207260101">
      <w:bodyDiv w:val="1"/>
      <w:marLeft w:val="0"/>
      <w:marRight w:val="0"/>
      <w:marTop w:val="0"/>
      <w:marBottom w:val="0"/>
      <w:divBdr>
        <w:top w:val="none" w:sz="0" w:space="0" w:color="auto"/>
        <w:left w:val="none" w:sz="0" w:space="0" w:color="auto"/>
        <w:bottom w:val="none" w:sz="0" w:space="0" w:color="auto"/>
        <w:right w:val="none" w:sz="0" w:space="0" w:color="auto"/>
      </w:divBdr>
    </w:div>
    <w:div w:id="1217545982">
      <w:bodyDiv w:val="1"/>
      <w:marLeft w:val="0"/>
      <w:marRight w:val="0"/>
      <w:marTop w:val="0"/>
      <w:marBottom w:val="0"/>
      <w:divBdr>
        <w:top w:val="none" w:sz="0" w:space="0" w:color="auto"/>
        <w:left w:val="none" w:sz="0" w:space="0" w:color="auto"/>
        <w:bottom w:val="none" w:sz="0" w:space="0" w:color="auto"/>
        <w:right w:val="none" w:sz="0" w:space="0" w:color="auto"/>
      </w:divBdr>
    </w:div>
    <w:div w:id="1260412327">
      <w:bodyDiv w:val="1"/>
      <w:marLeft w:val="0"/>
      <w:marRight w:val="0"/>
      <w:marTop w:val="0"/>
      <w:marBottom w:val="0"/>
      <w:divBdr>
        <w:top w:val="none" w:sz="0" w:space="0" w:color="auto"/>
        <w:left w:val="none" w:sz="0" w:space="0" w:color="auto"/>
        <w:bottom w:val="none" w:sz="0" w:space="0" w:color="auto"/>
        <w:right w:val="none" w:sz="0" w:space="0" w:color="auto"/>
      </w:divBdr>
    </w:div>
    <w:div w:id="1303537867">
      <w:bodyDiv w:val="1"/>
      <w:marLeft w:val="0"/>
      <w:marRight w:val="0"/>
      <w:marTop w:val="0"/>
      <w:marBottom w:val="0"/>
      <w:divBdr>
        <w:top w:val="none" w:sz="0" w:space="0" w:color="auto"/>
        <w:left w:val="none" w:sz="0" w:space="0" w:color="auto"/>
        <w:bottom w:val="none" w:sz="0" w:space="0" w:color="auto"/>
        <w:right w:val="none" w:sz="0" w:space="0" w:color="auto"/>
      </w:divBdr>
    </w:div>
    <w:div w:id="1588613348">
      <w:bodyDiv w:val="1"/>
      <w:marLeft w:val="0"/>
      <w:marRight w:val="0"/>
      <w:marTop w:val="0"/>
      <w:marBottom w:val="0"/>
      <w:divBdr>
        <w:top w:val="none" w:sz="0" w:space="0" w:color="auto"/>
        <w:left w:val="none" w:sz="0" w:space="0" w:color="auto"/>
        <w:bottom w:val="none" w:sz="0" w:space="0" w:color="auto"/>
        <w:right w:val="none" w:sz="0" w:space="0" w:color="auto"/>
      </w:divBdr>
      <w:divsChild>
        <w:div w:id="1122650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732792">
              <w:marLeft w:val="0"/>
              <w:marRight w:val="0"/>
              <w:marTop w:val="0"/>
              <w:marBottom w:val="0"/>
              <w:divBdr>
                <w:top w:val="none" w:sz="0" w:space="0" w:color="auto"/>
                <w:left w:val="none" w:sz="0" w:space="0" w:color="auto"/>
                <w:bottom w:val="none" w:sz="0" w:space="0" w:color="auto"/>
                <w:right w:val="none" w:sz="0" w:space="0" w:color="auto"/>
              </w:divBdr>
              <w:divsChild>
                <w:div w:id="1003319586">
                  <w:marLeft w:val="0"/>
                  <w:marRight w:val="0"/>
                  <w:marTop w:val="0"/>
                  <w:marBottom w:val="0"/>
                  <w:divBdr>
                    <w:top w:val="none" w:sz="0" w:space="0" w:color="auto"/>
                    <w:left w:val="none" w:sz="0" w:space="0" w:color="auto"/>
                    <w:bottom w:val="none" w:sz="0" w:space="0" w:color="auto"/>
                    <w:right w:val="none" w:sz="0" w:space="0" w:color="auto"/>
                  </w:divBdr>
                </w:div>
                <w:div w:id="108352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97458">
      <w:bodyDiv w:val="1"/>
      <w:marLeft w:val="0"/>
      <w:marRight w:val="0"/>
      <w:marTop w:val="0"/>
      <w:marBottom w:val="0"/>
      <w:divBdr>
        <w:top w:val="none" w:sz="0" w:space="0" w:color="auto"/>
        <w:left w:val="none" w:sz="0" w:space="0" w:color="auto"/>
        <w:bottom w:val="none" w:sz="0" w:space="0" w:color="auto"/>
        <w:right w:val="none" w:sz="0" w:space="0" w:color="auto"/>
      </w:divBdr>
    </w:div>
    <w:div w:id="1867668004">
      <w:bodyDiv w:val="1"/>
      <w:marLeft w:val="0"/>
      <w:marRight w:val="0"/>
      <w:marTop w:val="0"/>
      <w:marBottom w:val="0"/>
      <w:divBdr>
        <w:top w:val="none" w:sz="0" w:space="0" w:color="auto"/>
        <w:left w:val="none" w:sz="0" w:space="0" w:color="auto"/>
        <w:bottom w:val="none" w:sz="0" w:space="0" w:color="auto"/>
        <w:right w:val="none" w:sz="0" w:space="0" w:color="auto"/>
      </w:divBdr>
    </w:div>
    <w:div w:id="1939562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www.aist.asn.au" TargetMode="External"/><Relationship Id="rId2" Type="http://schemas.openxmlformats.org/officeDocument/2006/relationships/hyperlink" Target="mailto:info@aist.asn.au" TargetMode="External"/><Relationship Id="rId1" Type="http://schemas.openxmlformats.org/officeDocument/2006/relationships/hyperlink" Target="https://twitter.com/aistbuzz"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ist.asn.au" TargetMode="External"/><Relationship Id="rId2" Type="http://schemas.openxmlformats.org/officeDocument/2006/relationships/hyperlink" Target="mailto:info@aist.asn.au" TargetMode="External"/><Relationship Id="rId1" Type="http://schemas.openxmlformats.org/officeDocument/2006/relationships/hyperlink" Target="https://twitter.com/aistbuzz"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tinyurl.com/ntrluq2" TargetMode="External"/><Relationship Id="rId7" Type="http://schemas.openxmlformats.org/officeDocument/2006/relationships/hyperlink" Target="http://tinyurl.com/n4ozc4l" TargetMode="External"/><Relationship Id="rId2" Type="http://schemas.openxmlformats.org/officeDocument/2006/relationships/hyperlink" Target="http://tinyurl.com/zl7aowl" TargetMode="External"/><Relationship Id="rId1" Type="http://schemas.openxmlformats.org/officeDocument/2006/relationships/hyperlink" Target="http://tinyurl.com/nbyovqd" TargetMode="External"/><Relationship Id="rId6" Type="http://schemas.openxmlformats.org/officeDocument/2006/relationships/hyperlink" Target="http://tinyurl.com/mmvnk26" TargetMode="External"/><Relationship Id="rId5" Type="http://schemas.openxmlformats.org/officeDocument/2006/relationships/hyperlink" Target="http://tinyurl.com/o9efgrl" TargetMode="External"/><Relationship Id="rId4" Type="http://schemas.openxmlformats.org/officeDocument/2006/relationships/hyperlink" Target="http://tinyurl.com/mmvnk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lobal Dialogue">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B452D-B8FF-4B26-B6C3-2F3A4BA7C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3155</Words>
  <Characters>17989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Superpartners Pty Ltd</Company>
  <LinksUpToDate>false</LinksUpToDate>
  <CharactersWithSpaces>21102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bt5</dc:creator>
  <cp:lastModifiedBy>Tony Davidson</cp:lastModifiedBy>
  <cp:revision>2</cp:revision>
  <cp:lastPrinted>2016-01-08T04:54:00Z</cp:lastPrinted>
  <dcterms:created xsi:type="dcterms:W3CDTF">2016-01-13T23:27:00Z</dcterms:created>
  <dcterms:modified xsi:type="dcterms:W3CDTF">2016-01-13T23:27:00Z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