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1F75" w14:textId="77777777" w:rsidR="006E52A4" w:rsidRPr="00B74297" w:rsidRDefault="006E52A4" w:rsidP="006E52A4">
      <w:pPr>
        <w:spacing w:after="0"/>
        <w:rPr>
          <w:rFonts w:cs="Open Sans"/>
          <w:color w:val="000000" w:themeColor="text1"/>
        </w:rPr>
      </w:pPr>
    </w:p>
    <w:tbl>
      <w:tblPr>
        <w:tblStyle w:val="Grigliatabella"/>
        <w:tblW w:w="0" w:type="auto"/>
        <w:tblCellMar>
          <w:left w:w="0" w:type="dxa"/>
          <w:right w:w="0" w:type="dxa"/>
        </w:tblCellMar>
        <w:tblLook w:val="04A0" w:firstRow="1" w:lastRow="0" w:firstColumn="1" w:lastColumn="0" w:noHBand="0" w:noVBand="1"/>
      </w:tblPr>
      <w:tblGrid>
        <w:gridCol w:w="2835"/>
        <w:gridCol w:w="3686"/>
        <w:gridCol w:w="3101"/>
      </w:tblGrid>
      <w:tr w:rsidR="006E52A4" w:rsidRPr="00B74297" w14:paraId="193A0F1C" w14:textId="77777777" w:rsidTr="00CA0F16">
        <w:tc>
          <w:tcPr>
            <w:tcW w:w="2835" w:type="dxa"/>
            <w:tcBorders>
              <w:top w:val="nil"/>
              <w:left w:val="nil"/>
              <w:bottom w:val="nil"/>
              <w:right w:val="nil"/>
            </w:tcBorders>
          </w:tcPr>
          <w:p w14:paraId="3EADFB6D" w14:textId="3C4DEAC4" w:rsidR="006E52A4" w:rsidRPr="00B74297" w:rsidRDefault="006E52A4" w:rsidP="00260EB7">
            <w:pPr>
              <w:rPr>
                <w:rFonts w:cs="Open Sans"/>
                <w:color w:val="000000" w:themeColor="text1"/>
              </w:rPr>
            </w:pPr>
            <w:r w:rsidRPr="006E52A4">
              <w:rPr>
                <w:rFonts w:cs="Open Sans"/>
                <w:noProof/>
                <w:color w:val="000000" w:themeColor="text1"/>
              </w:rPr>
              <w:drawing>
                <wp:inline distT="0" distB="0" distL="0" distR="0" wp14:anchorId="14343DF8" wp14:editId="333A01A0">
                  <wp:extent cx="1526491" cy="1511676"/>
                  <wp:effectExtent l="0" t="0" r="0" b="0"/>
                  <wp:docPr id="16" name="Picture 12" descr="A person sitting in front of a computer&#10;&#10;Description automatically generated">
                    <a:extLst xmlns:a="http://schemas.openxmlformats.org/drawingml/2006/main">
                      <a:ext uri="{FF2B5EF4-FFF2-40B4-BE49-F238E27FC236}">
                        <a16:creationId xmlns:a16="http://schemas.microsoft.com/office/drawing/2014/main" id="{9C8FFA67-308E-4FD4-BC37-5A1884E10D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 person sitting in front of a computer&#10;&#10;Description automatically generated">
                            <a:extLst>
                              <a:ext uri="{FF2B5EF4-FFF2-40B4-BE49-F238E27FC236}">
                                <a16:creationId xmlns:a16="http://schemas.microsoft.com/office/drawing/2014/main" id="{9C8FFA67-308E-4FD4-BC37-5A1884E10DE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6491" cy="1511676"/>
                          </a:xfrm>
                          <a:prstGeom prst="rect">
                            <a:avLst/>
                          </a:prstGeom>
                        </pic:spPr>
                      </pic:pic>
                    </a:graphicData>
                  </a:graphic>
                </wp:inline>
              </w:drawing>
            </w:r>
          </w:p>
        </w:tc>
        <w:tc>
          <w:tcPr>
            <w:tcW w:w="3686" w:type="dxa"/>
            <w:tcBorders>
              <w:top w:val="nil"/>
              <w:left w:val="nil"/>
              <w:bottom w:val="nil"/>
              <w:right w:val="nil"/>
            </w:tcBorders>
            <w:vAlign w:val="center"/>
          </w:tcPr>
          <w:p w14:paraId="2DFB97F4" w14:textId="7B1B9192" w:rsidR="006E52A4" w:rsidRPr="006E52A4" w:rsidRDefault="006E52A4" w:rsidP="00274553">
            <w:pPr>
              <w:pStyle w:val="NormaleWeb"/>
              <w:spacing w:before="0" w:beforeAutospacing="0" w:after="0" w:afterAutospacing="0"/>
              <w:rPr>
                <w:rStyle w:val="CondensedBold"/>
                <w:rFonts w:ascii="Open Sans" w:eastAsiaTheme="majorEastAsia" w:hAnsi="Open Sans" w:cs="Open Sans"/>
                <w:bCs w:val="0"/>
                <w:color w:val="000000" w:themeColor="text1"/>
                <w:sz w:val="32"/>
                <w:szCs w:val="32"/>
                <w:lang w:eastAsia="en-US"/>
              </w:rPr>
            </w:pPr>
            <w:r w:rsidRPr="006E52A4">
              <w:rPr>
                <w:rStyle w:val="CondensedBold"/>
                <w:rFonts w:ascii="Open Sans" w:eastAsiaTheme="majorEastAsia" w:hAnsi="Open Sans" w:cs="Open Sans"/>
                <w:bCs w:val="0"/>
                <w:color w:val="000000" w:themeColor="text1"/>
                <w:sz w:val="32"/>
                <w:szCs w:val="32"/>
                <w:lang w:eastAsia="en-US"/>
              </w:rPr>
              <w:t>Chin Tan</w:t>
            </w:r>
          </w:p>
          <w:p w14:paraId="103B30DA" w14:textId="5282AF46" w:rsidR="006E52A4" w:rsidRPr="00274553" w:rsidRDefault="006E52A4" w:rsidP="001F3609">
            <w:pPr>
              <w:pStyle w:val="Titolo1"/>
              <w:spacing w:after="360"/>
              <w:rPr>
                <w:rFonts w:ascii="Open Sans" w:hAnsi="Open Sans" w:cs="Open Sans"/>
                <w:b w:val="0"/>
                <w:color w:val="000000" w:themeColor="text1"/>
              </w:rPr>
            </w:pPr>
            <w:r w:rsidRPr="006E52A4">
              <w:rPr>
                <w:rFonts w:ascii="Open Sans" w:hAnsi="Open Sans" w:cs="Open Sans"/>
                <w:b w:val="0"/>
                <w:color w:val="000000" w:themeColor="text1"/>
              </w:rPr>
              <w:t>Race Discrimination Commis</w:t>
            </w:r>
            <w:bookmarkStart w:id="0" w:name="_GoBack"/>
            <w:bookmarkEnd w:id="0"/>
            <w:r w:rsidRPr="006E52A4">
              <w:rPr>
                <w:rFonts w:ascii="Open Sans" w:hAnsi="Open Sans" w:cs="Open Sans"/>
                <w:b w:val="0"/>
                <w:color w:val="000000" w:themeColor="text1"/>
              </w:rPr>
              <w:t>sioner</w:t>
            </w:r>
          </w:p>
          <w:p w14:paraId="118D3D02" w14:textId="046496B3" w:rsidR="00274553" w:rsidRDefault="006E52A4" w:rsidP="001F3609">
            <w:pPr>
              <w:pStyle w:val="Titolo3"/>
              <w:rPr>
                <w:rFonts w:cs="Open Sans"/>
                <w:color w:val="000000" w:themeColor="text1"/>
              </w:rPr>
            </w:pPr>
            <w:r>
              <w:rPr>
                <w:rFonts w:cs="Open Sans"/>
                <w:color w:val="000000" w:themeColor="text1"/>
              </w:rPr>
              <w:t xml:space="preserve">SECOND </w:t>
            </w:r>
            <w:r w:rsidRPr="00B74297">
              <w:rPr>
                <w:rFonts w:cs="Open Sans"/>
                <w:color w:val="000000" w:themeColor="text1"/>
              </w:rPr>
              <w:t>YEAR OF TERM</w:t>
            </w:r>
          </w:p>
          <w:p w14:paraId="21F5F96A" w14:textId="77777777" w:rsidR="001F3609" w:rsidRPr="001F3609" w:rsidRDefault="001F3609" w:rsidP="001F3609"/>
          <w:p w14:paraId="49CDC860" w14:textId="1F3550C9" w:rsidR="00274553" w:rsidRPr="00274553" w:rsidRDefault="00274553" w:rsidP="00274553"/>
        </w:tc>
        <w:tc>
          <w:tcPr>
            <w:tcW w:w="3101" w:type="dxa"/>
            <w:tcBorders>
              <w:top w:val="nil"/>
              <w:left w:val="nil"/>
              <w:bottom w:val="nil"/>
              <w:right w:val="nil"/>
            </w:tcBorders>
          </w:tcPr>
          <w:p w14:paraId="768CF904" w14:textId="6E148496" w:rsidR="006E52A4" w:rsidRPr="00B74297" w:rsidRDefault="006E52A4" w:rsidP="00260EB7">
            <w:pPr>
              <w:spacing w:line="276" w:lineRule="auto"/>
              <w:rPr>
                <w:rFonts w:cs="Open Sans"/>
                <w:i/>
                <w:color w:val="000000" w:themeColor="text1"/>
                <w:sz w:val="18"/>
                <w:szCs w:val="18"/>
              </w:rPr>
            </w:pPr>
            <w:r w:rsidRPr="00B74297">
              <w:rPr>
                <w:rFonts w:cs="Open Sans"/>
                <w:i/>
                <w:color w:val="000000" w:themeColor="text1"/>
                <w:sz w:val="18"/>
                <w:szCs w:val="18"/>
              </w:rPr>
              <w:t>‘</w:t>
            </w:r>
            <w:r w:rsidRPr="006E52A4">
              <w:rPr>
                <w:rFonts w:cs="Open Sans"/>
                <w:i/>
                <w:iCs/>
                <w:color w:val="000000" w:themeColor="text1"/>
                <w:sz w:val="18"/>
                <w:szCs w:val="18"/>
              </w:rPr>
              <w:t>Celebrating harmony and eliminating racial discrimination are two sides of the same coin. We cannot eradicate racism without fostering multiculturalism and social cohesion, and vice versa</w:t>
            </w:r>
            <w:r>
              <w:rPr>
                <w:rFonts w:cs="Open Sans"/>
                <w:i/>
                <w:iCs/>
                <w:color w:val="000000" w:themeColor="text1"/>
                <w:sz w:val="18"/>
                <w:szCs w:val="18"/>
              </w:rPr>
              <w:t>.</w:t>
            </w:r>
            <w:r w:rsidR="00B80A8B">
              <w:rPr>
                <w:rFonts w:cs="Open Sans"/>
                <w:i/>
                <w:iCs/>
                <w:color w:val="000000" w:themeColor="text1"/>
                <w:sz w:val="18"/>
                <w:szCs w:val="18"/>
              </w:rPr>
              <w:t>’</w:t>
            </w:r>
          </w:p>
        </w:tc>
      </w:tr>
    </w:tbl>
    <w:p w14:paraId="294AD57E" w14:textId="77777777" w:rsidR="00CA0F16" w:rsidRPr="00CA0F16" w:rsidRDefault="00CA0F16" w:rsidP="006E52A4">
      <w:pPr>
        <w:pStyle w:val="Titolo2"/>
        <w:spacing w:after="200"/>
        <w:rPr>
          <w:rFonts w:cs="Open Sans"/>
          <w:color w:val="000000" w:themeColor="text1"/>
          <w:sz w:val="16"/>
          <w:szCs w:val="16"/>
        </w:rPr>
      </w:pPr>
    </w:p>
    <w:p w14:paraId="4E3D71FF" w14:textId="2218B7AB" w:rsidR="006E52A4" w:rsidRPr="00226215" w:rsidRDefault="006E52A4" w:rsidP="006E52A4">
      <w:pPr>
        <w:pStyle w:val="Titolo2"/>
        <w:spacing w:after="200"/>
        <w:rPr>
          <w:rFonts w:cs="Open Sans"/>
          <w:color w:val="0C374D"/>
        </w:rPr>
      </w:pPr>
      <w:r w:rsidRPr="00226215">
        <w:rPr>
          <w:rFonts w:cs="Open Sans"/>
          <w:color w:val="0C374D"/>
        </w:rPr>
        <w:t>TERM GOALS</w:t>
      </w:r>
    </w:p>
    <w:tbl>
      <w:tblPr>
        <w:tblStyle w:val="TableGrid1"/>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07896"/>
        <w:tblCellMar>
          <w:top w:w="284" w:type="dxa"/>
          <w:left w:w="284" w:type="dxa"/>
          <w:bottom w:w="284" w:type="dxa"/>
          <w:right w:w="284" w:type="dxa"/>
        </w:tblCellMar>
        <w:tblLook w:val="04A0" w:firstRow="1" w:lastRow="0" w:firstColumn="1" w:lastColumn="0" w:noHBand="0" w:noVBand="1"/>
      </w:tblPr>
      <w:tblGrid>
        <w:gridCol w:w="2480"/>
        <w:gridCol w:w="2481"/>
        <w:gridCol w:w="2481"/>
        <w:gridCol w:w="2481"/>
      </w:tblGrid>
      <w:tr w:rsidR="00421150" w:rsidRPr="00421150" w14:paraId="3B22624B" w14:textId="77777777" w:rsidTr="00421150">
        <w:trPr>
          <w:trHeight w:val="588"/>
        </w:trPr>
        <w:tc>
          <w:tcPr>
            <w:tcW w:w="2480" w:type="dxa"/>
            <w:tcBorders>
              <w:right w:val="single" w:sz="8" w:space="0" w:color="FFFFFF"/>
            </w:tcBorders>
            <w:shd w:val="clear" w:color="auto" w:fill="107896"/>
          </w:tcPr>
          <w:p w14:paraId="4DCDF2EB" w14:textId="2E8B4D9D" w:rsidR="00BE58A2" w:rsidRPr="00421150" w:rsidRDefault="00B80A8B" w:rsidP="00260EB7">
            <w:pPr>
              <w:rPr>
                <w:rFonts w:eastAsia="Calibri" w:cs="Open Sans"/>
                <w:color w:val="FFFFFF" w:themeColor="background1"/>
              </w:rPr>
            </w:pPr>
            <w:r w:rsidRPr="00421150">
              <w:rPr>
                <w:rFonts w:eastAsia="Calibri" w:cs="Open Sans"/>
                <w:b/>
                <w:bCs/>
                <w:color w:val="FFFFFF" w:themeColor="background1"/>
              </w:rPr>
              <w:t>Improved</w:t>
            </w:r>
            <w:r w:rsidR="00BE58A2" w:rsidRPr="00421150">
              <w:rPr>
                <w:rFonts w:eastAsia="Calibri" w:cs="Open Sans"/>
                <w:b/>
                <w:bCs/>
                <w:color w:val="FFFFFF" w:themeColor="background1"/>
              </w:rPr>
              <w:t xml:space="preserve"> </w:t>
            </w:r>
            <w:r w:rsidR="00BE58A2" w:rsidRPr="00421150">
              <w:rPr>
                <w:rFonts w:eastAsia="Calibri" w:cs="Open Sans"/>
                <w:bCs/>
                <w:color w:val="FFFFFF" w:themeColor="background1"/>
              </w:rPr>
              <w:t>protections against racial discrimination</w:t>
            </w:r>
          </w:p>
        </w:tc>
        <w:tc>
          <w:tcPr>
            <w:tcW w:w="2481" w:type="dxa"/>
            <w:tcBorders>
              <w:left w:val="single" w:sz="8" w:space="0" w:color="FFFFFF"/>
              <w:right w:val="single" w:sz="8" w:space="0" w:color="FFFFFF"/>
            </w:tcBorders>
            <w:shd w:val="clear" w:color="auto" w:fill="107896"/>
          </w:tcPr>
          <w:p w14:paraId="70ED0C71" w14:textId="30044301" w:rsidR="00BE58A2" w:rsidRPr="00421150" w:rsidRDefault="00BE58A2" w:rsidP="00260EB7">
            <w:pPr>
              <w:rPr>
                <w:rFonts w:eastAsia="Calibri" w:cs="Open Sans"/>
                <w:color w:val="FFFFFF" w:themeColor="background1"/>
              </w:rPr>
            </w:pPr>
            <w:r w:rsidRPr="00421150">
              <w:rPr>
                <w:rFonts w:eastAsia="Calibri" w:cs="Open Sans"/>
                <w:b/>
                <w:bCs/>
                <w:color w:val="FFFFFF" w:themeColor="background1"/>
              </w:rPr>
              <w:t xml:space="preserve">Reduced </w:t>
            </w:r>
            <w:r w:rsidRPr="00421150">
              <w:rPr>
                <w:rFonts w:eastAsia="Calibri" w:cs="Open Sans"/>
                <w:bCs/>
                <w:color w:val="FFFFFF" w:themeColor="background1"/>
              </w:rPr>
              <w:t>institutional racism and systemic inequities</w:t>
            </w:r>
          </w:p>
        </w:tc>
        <w:tc>
          <w:tcPr>
            <w:tcW w:w="2481" w:type="dxa"/>
            <w:tcBorders>
              <w:left w:val="single" w:sz="8" w:space="0" w:color="FFFFFF"/>
              <w:right w:val="single" w:sz="8" w:space="0" w:color="FFFFFF"/>
            </w:tcBorders>
            <w:shd w:val="clear" w:color="auto" w:fill="107896"/>
          </w:tcPr>
          <w:p w14:paraId="51033A8B" w14:textId="43A594AF" w:rsidR="00BE58A2" w:rsidRPr="00421150" w:rsidRDefault="00B80A8B" w:rsidP="00260EB7">
            <w:pPr>
              <w:rPr>
                <w:rFonts w:eastAsia="Calibri" w:cs="Open Sans"/>
                <w:color w:val="FFFFFF" w:themeColor="background1"/>
              </w:rPr>
            </w:pPr>
            <w:r w:rsidRPr="00421150">
              <w:rPr>
                <w:rFonts w:eastAsia="Calibri" w:cs="Open Sans"/>
                <w:b/>
                <w:bCs/>
                <w:color w:val="FFFFFF" w:themeColor="background1"/>
              </w:rPr>
              <w:t>Increased</w:t>
            </w:r>
            <w:r w:rsidR="00BE58A2" w:rsidRPr="00421150">
              <w:rPr>
                <w:rFonts w:eastAsia="Calibri" w:cs="Open Sans"/>
                <w:b/>
                <w:bCs/>
                <w:color w:val="FFFFFF" w:themeColor="background1"/>
              </w:rPr>
              <w:t xml:space="preserve"> </w:t>
            </w:r>
            <w:r w:rsidR="00BE58A2" w:rsidRPr="00421150">
              <w:rPr>
                <w:rFonts w:eastAsia="Calibri" w:cs="Open Sans"/>
                <w:bCs/>
                <w:color w:val="FFFFFF" w:themeColor="background1"/>
              </w:rPr>
              <w:t>capacity for multicultural and racial minority communities to advocate for their rights</w:t>
            </w:r>
          </w:p>
        </w:tc>
        <w:tc>
          <w:tcPr>
            <w:tcW w:w="2481" w:type="dxa"/>
            <w:tcBorders>
              <w:left w:val="single" w:sz="8" w:space="0" w:color="FFFFFF"/>
              <w:right w:val="single" w:sz="8" w:space="0" w:color="FFFFFF"/>
            </w:tcBorders>
            <w:shd w:val="clear" w:color="auto" w:fill="107896"/>
          </w:tcPr>
          <w:p w14:paraId="03E9CB21" w14:textId="242F5419" w:rsidR="00BE58A2" w:rsidRPr="00FC4A67" w:rsidRDefault="00BE58A2" w:rsidP="00260EB7">
            <w:pPr>
              <w:rPr>
                <w:rFonts w:eastAsia="Calibri" w:cs="Open Sans"/>
                <w:b/>
                <w:color w:val="FFFFFF" w:themeColor="background1"/>
              </w:rPr>
            </w:pPr>
            <w:r w:rsidRPr="00421150">
              <w:rPr>
                <w:rFonts w:eastAsia="Calibri" w:cs="Open Sans"/>
                <w:b/>
                <w:bCs/>
                <w:color w:val="FFFFFF" w:themeColor="background1"/>
              </w:rPr>
              <w:t xml:space="preserve">Increased </w:t>
            </w:r>
            <w:r w:rsidRPr="00421150">
              <w:rPr>
                <w:rFonts w:eastAsia="Calibri" w:cs="Open Sans"/>
                <w:bCs/>
                <w:color w:val="FFFFFF" w:themeColor="background1"/>
              </w:rPr>
              <w:t>awareness of racism and racial discrimination</w:t>
            </w:r>
          </w:p>
        </w:tc>
      </w:tr>
    </w:tbl>
    <w:p w14:paraId="26EC842B" w14:textId="5A973485" w:rsidR="00B87E29" w:rsidRDefault="00B87E29" w:rsidP="006E52A4">
      <w:pPr>
        <w:rPr>
          <w:rFonts w:cs="Open Sans"/>
          <w:color w:val="000000" w:themeColor="text1"/>
        </w:rPr>
      </w:pPr>
    </w:p>
    <w:p w14:paraId="63511A7C" w14:textId="77777777" w:rsidR="00B87E29" w:rsidRDefault="00B87E29" w:rsidP="00B87E29">
      <w:pPr>
        <w:rPr>
          <w:rFonts w:cs="Open Sans"/>
          <w:color w:val="000000" w:themeColor="text1"/>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tblCellMar>
        <w:tblLook w:val="04A0" w:firstRow="1" w:lastRow="0" w:firstColumn="1" w:lastColumn="0" w:noHBand="0" w:noVBand="1"/>
      </w:tblPr>
      <w:tblGrid>
        <w:gridCol w:w="4736"/>
        <w:gridCol w:w="4896"/>
      </w:tblGrid>
      <w:tr w:rsidR="00B87E29" w14:paraId="0DC03E44" w14:textId="77777777" w:rsidTr="003E2B76">
        <w:tc>
          <w:tcPr>
            <w:tcW w:w="4736" w:type="dxa"/>
          </w:tcPr>
          <w:p w14:paraId="3971EB60" w14:textId="77777777" w:rsidR="00B87E29" w:rsidRPr="00226215" w:rsidRDefault="00B87E29" w:rsidP="003E2B76">
            <w:pPr>
              <w:pStyle w:val="Titolo2"/>
              <w:spacing w:after="200"/>
              <w:rPr>
                <w:rFonts w:cs="Open Sans"/>
                <w:color w:val="0C374D"/>
              </w:rPr>
            </w:pPr>
            <w:r w:rsidRPr="00226215">
              <w:rPr>
                <w:rFonts w:cs="Open Sans"/>
                <w:color w:val="0C374D"/>
              </w:rPr>
              <w:t>STRATEGIES</w:t>
            </w:r>
          </w:p>
          <w:p w14:paraId="03ABDC41" w14:textId="77777777" w:rsidR="00B87E29" w:rsidRPr="00015FDA" w:rsidRDefault="00B87E29" w:rsidP="00B87E29">
            <w:pPr>
              <w:pStyle w:val="Paragrafoelenco"/>
              <w:numPr>
                <w:ilvl w:val="0"/>
                <w:numId w:val="24"/>
              </w:numPr>
              <w:ind w:left="357" w:hanging="357"/>
              <w:contextualSpacing w:val="0"/>
              <w:rPr>
                <w:rFonts w:cs="Open Sans"/>
                <w:color w:val="000000" w:themeColor="text1"/>
              </w:rPr>
            </w:pPr>
            <w:r w:rsidRPr="00015FDA">
              <w:rPr>
                <w:rFonts w:cs="Open Sans"/>
                <w:color w:val="000000" w:themeColor="text1"/>
              </w:rPr>
              <w:t>Focusing on education and capacity building around racism and racial discrimination and to support strategies to address them and build social cohesion and inclusion.</w:t>
            </w:r>
          </w:p>
          <w:p w14:paraId="732D5837" w14:textId="77777777" w:rsidR="00B87E29" w:rsidRPr="00015FDA" w:rsidRDefault="00B87E29" w:rsidP="00B87E29">
            <w:pPr>
              <w:pStyle w:val="Paragrafoelenco"/>
              <w:numPr>
                <w:ilvl w:val="0"/>
                <w:numId w:val="24"/>
              </w:numPr>
              <w:ind w:left="357" w:hanging="357"/>
              <w:contextualSpacing w:val="0"/>
              <w:rPr>
                <w:rFonts w:cs="Open Sans"/>
                <w:color w:val="000000" w:themeColor="text1"/>
              </w:rPr>
            </w:pPr>
            <w:r w:rsidRPr="00015FDA">
              <w:rPr>
                <w:rFonts w:cs="Open Sans"/>
                <w:color w:val="000000" w:themeColor="text1"/>
              </w:rPr>
              <w:t>Empowering communities through participation and strengths-based engagement—consulting and amplifying community voices on key issues.</w:t>
            </w:r>
          </w:p>
          <w:p w14:paraId="2D9E356F" w14:textId="77777777" w:rsidR="00B87E29" w:rsidRPr="00015FDA" w:rsidRDefault="00B87E29" w:rsidP="00B87E29">
            <w:pPr>
              <w:pStyle w:val="Paragrafoelenco"/>
              <w:numPr>
                <w:ilvl w:val="0"/>
                <w:numId w:val="24"/>
              </w:numPr>
              <w:ind w:left="357" w:hanging="357"/>
              <w:contextualSpacing w:val="0"/>
              <w:rPr>
                <w:rFonts w:cs="Open Sans"/>
                <w:color w:val="000000" w:themeColor="text1"/>
              </w:rPr>
            </w:pPr>
            <w:r w:rsidRPr="00015FDA">
              <w:rPr>
                <w:rFonts w:cs="Open Sans"/>
                <w:color w:val="000000" w:themeColor="text1"/>
              </w:rPr>
              <w:t>Engaging, collaborating and partnering with key stakeholders to increase the reach and scope of work addressing racism and racial discrimination and promoting social cohesion, inclusion and diversity.</w:t>
            </w:r>
          </w:p>
          <w:p w14:paraId="4D9E04AE" w14:textId="6E1448B3" w:rsidR="00B87E29" w:rsidRPr="00B87E29" w:rsidRDefault="00B87E29" w:rsidP="00B87E29">
            <w:pPr>
              <w:pStyle w:val="Paragrafoelenco"/>
              <w:numPr>
                <w:ilvl w:val="0"/>
                <w:numId w:val="24"/>
              </w:numPr>
              <w:ind w:left="357" w:hanging="357"/>
              <w:contextualSpacing w:val="0"/>
              <w:rPr>
                <w:rFonts w:cs="Open Sans"/>
                <w:color w:val="000000" w:themeColor="text1"/>
              </w:rPr>
            </w:pPr>
            <w:r w:rsidRPr="00015FDA">
              <w:rPr>
                <w:rFonts w:cs="Open Sans"/>
                <w:color w:val="000000" w:themeColor="text1"/>
              </w:rPr>
              <w:t>Using an evidence-based approach to shape Australia’s conversation on racism, racial discrimination, social cohesion, inclusion and diversity.</w:t>
            </w:r>
          </w:p>
        </w:tc>
        <w:tc>
          <w:tcPr>
            <w:tcW w:w="4896" w:type="dxa"/>
          </w:tcPr>
          <w:p w14:paraId="4226720F" w14:textId="76BB92E7" w:rsidR="00B87E29" w:rsidRDefault="00B87E29" w:rsidP="003E2B76">
            <w:pPr>
              <w:rPr>
                <w:rFonts w:cs="Open Sans"/>
                <w:color w:val="000000" w:themeColor="text1"/>
              </w:rPr>
            </w:pPr>
            <w:r w:rsidRPr="00015FDA">
              <w:rPr>
                <w:rFonts w:cs="Open Sans"/>
                <w:noProof/>
                <w:color w:val="000000" w:themeColor="text1"/>
              </w:rPr>
              <w:drawing>
                <wp:inline distT="0" distB="0" distL="0" distR="0" wp14:anchorId="14FFA1C1" wp14:editId="378CA3C1">
                  <wp:extent cx="2703786" cy="2027840"/>
                  <wp:effectExtent l="0" t="0" r="1905" b="4445"/>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778" cy="2072084"/>
                          </a:xfrm>
                          <a:prstGeom prst="rect">
                            <a:avLst/>
                          </a:prstGeom>
                        </pic:spPr>
                      </pic:pic>
                    </a:graphicData>
                  </a:graphic>
                </wp:inline>
              </w:drawing>
            </w:r>
          </w:p>
          <w:p w14:paraId="57F28409" w14:textId="568B41B7" w:rsidR="00B87E29" w:rsidRPr="00B87E29" w:rsidRDefault="00B87E29" w:rsidP="00B87E29">
            <w:pPr>
              <w:pStyle w:val="Titolo2"/>
              <w:rPr>
                <w:rFonts w:eastAsiaTheme="minorHAnsi" w:cs="Open Sans"/>
                <w:i/>
                <w:iCs/>
                <w:color w:val="000000" w:themeColor="text1"/>
                <w:sz w:val="16"/>
                <w:szCs w:val="24"/>
              </w:rPr>
            </w:pPr>
            <w:r w:rsidRPr="00B87E29">
              <w:rPr>
                <w:rFonts w:eastAsiaTheme="minorHAnsi" w:cs="Open Sans"/>
                <w:i/>
                <w:iCs/>
                <w:color w:val="000000" w:themeColor="text1"/>
                <w:sz w:val="16"/>
                <w:szCs w:val="24"/>
              </w:rPr>
              <w:t>Commissioner Tan with Tasneem Chopra and Ahmed Hassan at the Multicultural Matters Forum, hosted by Victoria University and Melbourne City Council, May 2019.</w:t>
            </w:r>
          </w:p>
        </w:tc>
      </w:tr>
    </w:tbl>
    <w:p w14:paraId="232166E2" w14:textId="77777777" w:rsidR="00B87E29" w:rsidRDefault="00B87E29" w:rsidP="00B87E29">
      <w:pPr>
        <w:spacing w:after="0"/>
        <w:rPr>
          <w:rFonts w:cs="Open Sans"/>
          <w:color w:val="000000" w:themeColor="text1"/>
        </w:rPr>
      </w:pPr>
    </w:p>
    <w:p w14:paraId="649A2F4D" w14:textId="06C9E81D" w:rsidR="006E52A4" w:rsidRPr="00B74297" w:rsidRDefault="006E52A4" w:rsidP="006E52A4">
      <w:pPr>
        <w:rPr>
          <w:rFonts w:cs="Open Sans"/>
          <w:color w:val="000000" w:themeColor="text1"/>
        </w:rPr>
      </w:pPr>
    </w:p>
    <w:p w14:paraId="7655CE80" w14:textId="54E0084C" w:rsidR="00226215" w:rsidRDefault="00226215">
      <w:pPr>
        <w:spacing w:after="0"/>
      </w:pPr>
      <w:r>
        <w:br w:type="page"/>
      </w:r>
    </w:p>
    <w:p w14:paraId="79CB7E0F" w14:textId="4EB03C8C" w:rsidR="006E52A4" w:rsidRPr="00226215" w:rsidRDefault="002339CF" w:rsidP="006E52A4">
      <w:pPr>
        <w:pStyle w:val="Titolo2"/>
        <w:rPr>
          <w:rFonts w:cs="Open Sans"/>
          <w:color w:val="0C374D"/>
        </w:rPr>
      </w:pPr>
      <w:r w:rsidRPr="00226215">
        <w:rPr>
          <w:rFonts w:cs="Open Sans"/>
          <w:color w:val="0C374D"/>
        </w:rPr>
        <w:lastRenderedPageBreak/>
        <w:t>2019–20 PROGRAMS/</w:t>
      </w:r>
      <w:r w:rsidR="00235F40" w:rsidRPr="00E5596C">
        <w:rPr>
          <w:rFonts w:cs="Open Sans"/>
          <w:color w:val="0C374D"/>
        </w:rPr>
        <w:t>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6E52A4" w:rsidRPr="00B74297" w14:paraId="295A2619" w14:textId="77777777" w:rsidTr="00CA0F16">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0EB00C79" w14:textId="7EB33155" w:rsidR="006E52A4" w:rsidRPr="00CA0F16" w:rsidRDefault="00015FDA" w:rsidP="00260EB7">
            <w:pPr>
              <w:rPr>
                <w:rFonts w:cs="Open Sans"/>
                <w:b/>
                <w:bCs/>
                <w:color w:val="FFFFFF" w:themeColor="background1"/>
              </w:rPr>
            </w:pPr>
            <w:r w:rsidRPr="00CA0F16">
              <w:rPr>
                <w:rStyle w:val="CondensedBold"/>
                <w:rFonts w:ascii="Open Sans" w:hAnsi="Open Sans" w:cs="Open Sans"/>
                <w:bCs w:val="0"/>
                <w:color w:val="FFFFFF" w:themeColor="background1"/>
              </w:rPr>
              <w:t>Building community capacity</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7FDBABC8" w14:textId="7DC1E526" w:rsidR="006E52A4" w:rsidRPr="00015FDA" w:rsidRDefault="00015FDA" w:rsidP="00015FDA">
            <w:pPr>
              <w:pStyle w:val="Paragrafoelenco"/>
              <w:numPr>
                <w:ilvl w:val="0"/>
                <w:numId w:val="14"/>
              </w:numPr>
              <w:rPr>
                <w:rFonts w:cs="Open Sans"/>
                <w:color w:val="000000" w:themeColor="text1"/>
              </w:rPr>
            </w:pPr>
            <w:r w:rsidRPr="00015FDA">
              <w:rPr>
                <w:rFonts w:cs="Open Sans"/>
                <w:color w:val="000000" w:themeColor="text1"/>
              </w:rPr>
              <w:t xml:space="preserve">Building community capacity through a range of strategies working directly with community members and side by side with community partners. In the coming year </w:t>
            </w:r>
            <w:r w:rsidRPr="00826A6D">
              <w:rPr>
                <w:rFonts w:cs="Open Sans"/>
                <w:color w:val="000000" w:themeColor="text1"/>
                <w:szCs w:val="16"/>
              </w:rPr>
              <w:t xml:space="preserve">we will </w:t>
            </w:r>
            <w:r w:rsidR="00826A6D" w:rsidRPr="00826A6D">
              <w:rPr>
                <w:rFonts w:cs="Open Sans"/>
                <w:color w:val="000000"/>
                <w:szCs w:val="16"/>
                <w:lang w:val="en-US"/>
              </w:rPr>
              <w:t>develop last year's Youth Leadership initiative into an ongoing program</w:t>
            </w:r>
            <w:r w:rsidRPr="00826A6D">
              <w:rPr>
                <w:rFonts w:cs="Open Sans"/>
                <w:color w:val="000000" w:themeColor="text1"/>
                <w:szCs w:val="16"/>
              </w:rPr>
              <w:t>.</w:t>
            </w:r>
          </w:p>
        </w:tc>
      </w:tr>
      <w:tr w:rsidR="006E52A4" w:rsidRPr="00B74297" w14:paraId="62D18350"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02744C1A" w14:textId="5B4199B9" w:rsidR="006E52A4" w:rsidRPr="00CA0F16" w:rsidRDefault="00015FDA" w:rsidP="00260EB7">
            <w:pPr>
              <w:rPr>
                <w:rFonts w:cs="Open Sans"/>
                <w:b/>
                <w:color w:val="FFFFFF" w:themeColor="background1"/>
              </w:rPr>
            </w:pPr>
            <w:r w:rsidRPr="00CA0F16">
              <w:rPr>
                <w:rFonts w:cs="Open Sans"/>
                <w:b/>
                <w:bCs/>
                <w:color w:val="FFFFFF" w:themeColor="background1"/>
              </w:rPr>
              <w:t>Driving institutional and organisational change</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2982BB4" w14:textId="31B94876" w:rsidR="006E52A4" w:rsidRPr="00B74297" w:rsidRDefault="00015FDA" w:rsidP="00260EB7">
            <w:pPr>
              <w:pStyle w:val="Paragrafoelenco"/>
              <w:numPr>
                <w:ilvl w:val="0"/>
                <w:numId w:val="15"/>
              </w:numPr>
              <w:rPr>
                <w:rFonts w:cs="Open Sans"/>
                <w:color w:val="000000" w:themeColor="text1"/>
              </w:rPr>
            </w:pPr>
            <w:r w:rsidRPr="00015FDA">
              <w:rPr>
                <w:rFonts w:cs="Open Sans"/>
                <w:color w:val="000000" w:themeColor="text1"/>
              </w:rPr>
              <w:t>Driving change with a program of work to identify and address institutional racism including initiating an Institutional Racism Series focussed on the employment life cycle. Collaborations with key public institutions will seek to affect organisational change around racism and racial discrimination.</w:t>
            </w:r>
          </w:p>
        </w:tc>
      </w:tr>
      <w:tr w:rsidR="006E52A4" w:rsidRPr="00B74297" w14:paraId="7E8BF96A" w14:textId="77777777" w:rsidTr="00CA0F16">
        <w:trPr>
          <w:trHeight w:val="1010"/>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1AA78CA0" w14:textId="2D762EC0" w:rsidR="006E52A4" w:rsidRPr="00CA0F16" w:rsidRDefault="00015FDA" w:rsidP="00260EB7">
            <w:pPr>
              <w:rPr>
                <w:rFonts w:cs="Open Sans"/>
                <w:b/>
                <w:color w:val="FFFFFF" w:themeColor="background1"/>
              </w:rPr>
            </w:pPr>
            <w:r w:rsidRPr="00CA0F16">
              <w:rPr>
                <w:rFonts w:cs="Open Sans"/>
                <w:b/>
                <w:bCs/>
                <w:color w:val="FFFFFF" w:themeColor="background1"/>
              </w:rPr>
              <w:t>Delivering education and raising community awareness</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28CA9391" w14:textId="0775075A" w:rsidR="006E52A4" w:rsidRPr="00B74297" w:rsidRDefault="00015FDA" w:rsidP="00260EB7">
            <w:pPr>
              <w:pStyle w:val="Paragrafoelenco"/>
              <w:numPr>
                <w:ilvl w:val="0"/>
                <w:numId w:val="15"/>
              </w:numPr>
              <w:rPr>
                <w:rFonts w:cs="Open Sans"/>
                <w:color w:val="000000" w:themeColor="text1"/>
              </w:rPr>
            </w:pPr>
            <w:r w:rsidRPr="00015FDA">
              <w:rPr>
                <w:rFonts w:cs="Open Sans"/>
                <w:color w:val="000000" w:themeColor="text1"/>
              </w:rPr>
              <w:t xml:space="preserve">Raising community awareness about racism and racial discrimination by designing and delivering anti-racism training, tools and resources to the community. The </w:t>
            </w:r>
            <w:r w:rsidRPr="00B80A8B">
              <w:rPr>
                <w:rFonts w:cs="Open Sans"/>
                <w:i/>
                <w:iCs/>
                <w:color w:val="000000" w:themeColor="text1"/>
              </w:rPr>
              <w:t xml:space="preserve">Racism. It </w:t>
            </w:r>
            <w:r w:rsidR="00B25DAE">
              <w:rPr>
                <w:rFonts w:cs="Open Sans"/>
                <w:i/>
                <w:iCs/>
                <w:color w:val="000000" w:themeColor="text1"/>
              </w:rPr>
              <w:t>S</w:t>
            </w:r>
            <w:r w:rsidRPr="00B80A8B">
              <w:rPr>
                <w:rFonts w:cs="Open Sans"/>
                <w:i/>
                <w:iCs/>
                <w:color w:val="000000" w:themeColor="text1"/>
              </w:rPr>
              <w:t xml:space="preserve">tops </w:t>
            </w:r>
            <w:proofErr w:type="gramStart"/>
            <w:r w:rsidR="00B25DAE">
              <w:rPr>
                <w:rFonts w:cs="Open Sans"/>
                <w:i/>
                <w:iCs/>
                <w:color w:val="000000" w:themeColor="text1"/>
              </w:rPr>
              <w:t>W</w:t>
            </w:r>
            <w:r w:rsidRPr="00B80A8B">
              <w:rPr>
                <w:rFonts w:cs="Open Sans"/>
                <w:i/>
                <w:iCs/>
                <w:color w:val="000000" w:themeColor="text1"/>
              </w:rPr>
              <w:t>ith</w:t>
            </w:r>
            <w:proofErr w:type="gramEnd"/>
            <w:r w:rsidRPr="00B80A8B">
              <w:rPr>
                <w:rFonts w:cs="Open Sans"/>
                <w:i/>
                <w:iCs/>
                <w:color w:val="000000" w:themeColor="text1"/>
              </w:rPr>
              <w:t xml:space="preserve"> </w:t>
            </w:r>
            <w:r w:rsidR="00B25DAE">
              <w:rPr>
                <w:rFonts w:cs="Open Sans"/>
                <w:i/>
                <w:iCs/>
                <w:color w:val="000000" w:themeColor="text1"/>
              </w:rPr>
              <w:t>M</w:t>
            </w:r>
            <w:r w:rsidRPr="00B80A8B">
              <w:rPr>
                <w:rFonts w:cs="Open Sans"/>
                <w:i/>
                <w:iCs/>
                <w:color w:val="000000" w:themeColor="text1"/>
              </w:rPr>
              <w:t>e</w:t>
            </w:r>
            <w:r w:rsidRPr="00015FDA">
              <w:rPr>
                <w:rFonts w:cs="Open Sans"/>
                <w:color w:val="000000" w:themeColor="text1"/>
              </w:rPr>
              <w:t xml:space="preserve"> campaign will carry core anti-racism messages into the community and contribute to a national discussion about racism</w:t>
            </w:r>
            <w:r>
              <w:rPr>
                <w:rFonts w:cs="Open Sans"/>
                <w:color w:val="000000" w:themeColor="text1"/>
              </w:rPr>
              <w:t>.</w:t>
            </w:r>
          </w:p>
        </w:tc>
      </w:tr>
      <w:tr w:rsidR="006E52A4" w:rsidRPr="00B74297" w14:paraId="784406E9" w14:textId="77777777" w:rsidTr="00CA0F16">
        <w:trPr>
          <w:trHeight w:val="773"/>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5AEC4C3F" w14:textId="0BAD9BC1" w:rsidR="006E52A4" w:rsidRPr="00CA0F16" w:rsidRDefault="00015FDA" w:rsidP="00260EB7">
            <w:pPr>
              <w:rPr>
                <w:rFonts w:cs="Open Sans"/>
                <w:b/>
                <w:color w:val="FFFFFF" w:themeColor="background1"/>
              </w:rPr>
            </w:pPr>
            <w:r w:rsidRPr="00CA0F16">
              <w:rPr>
                <w:rFonts w:cs="Open Sans"/>
                <w:b/>
                <w:bCs/>
                <w:color w:val="FFFFFF" w:themeColor="background1"/>
              </w:rPr>
              <w:t>Building robust evidence for change</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4CE13F3E" w14:textId="06E13B39" w:rsidR="006E52A4" w:rsidRPr="00274553" w:rsidRDefault="00015FDA" w:rsidP="00274553">
            <w:pPr>
              <w:pStyle w:val="Paragrafoelenco"/>
              <w:numPr>
                <w:ilvl w:val="0"/>
                <w:numId w:val="15"/>
              </w:numPr>
              <w:rPr>
                <w:rFonts w:cs="Open Sans"/>
                <w:color w:val="000000" w:themeColor="text1"/>
              </w:rPr>
            </w:pPr>
            <w:r w:rsidRPr="00015FDA">
              <w:rPr>
                <w:rFonts w:cs="Open Sans"/>
                <w:color w:val="000000" w:themeColor="text1"/>
              </w:rPr>
              <w:t xml:space="preserve">Giving voice to the experiences of racism and racial discrimination in Australia and gathering evidence and intelligence to support Commission </w:t>
            </w:r>
            <w:r w:rsidRPr="00086E72">
              <w:rPr>
                <w:rFonts w:cs="Open Sans"/>
                <w:color w:val="000000" w:themeColor="text1"/>
                <w:szCs w:val="16"/>
              </w:rPr>
              <w:t xml:space="preserve">initiatives through a </w:t>
            </w:r>
            <w:r w:rsidR="00086E72" w:rsidRPr="00086E72">
              <w:rPr>
                <w:rFonts w:cs="Open Sans"/>
                <w:color w:val="000000"/>
                <w:szCs w:val="16"/>
                <w:lang w:val="en-US"/>
              </w:rPr>
              <w:t>national conversation project with Australian Muslims</w:t>
            </w:r>
            <w:r w:rsidRPr="00086E72">
              <w:rPr>
                <w:rFonts w:cs="Open Sans"/>
                <w:color w:val="000000" w:themeColor="text1"/>
                <w:szCs w:val="16"/>
              </w:rPr>
              <w:t xml:space="preserve"> on race</w:t>
            </w:r>
            <w:r w:rsidRPr="00015FDA">
              <w:rPr>
                <w:rFonts w:cs="Open Sans"/>
                <w:color w:val="000000" w:themeColor="text1"/>
              </w:rPr>
              <w:t>, racism, social cohesion, diversity and inclusion and a National Forum on Racial Tolerance. This program of work will also build the Commission’s capacity to counter racist extremism.</w:t>
            </w:r>
          </w:p>
        </w:tc>
      </w:tr>
      <w:tr w:rsidR="006E52A4" w:rsidRPr="00B74297" w14:paraId="2F1F2734" w14:textId="77777777" w:rsidTr="00CA0F16">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107896"/>
            <w:tcMar>
              <w:top w:w="227" w:type="dxa"/>
              <w:left w:w="227" w:type="dxa"/>
              <w:bottom w:w="227" w:type="dxa"/>
              <w:right w:w="227" w:type="dxa"/>
            </w:tcMar>
          </w:tcPr>
          <w:p w14:paraId="64CA0D3B" w14:textId="61DA1115" w:rsidR="006E52A4" w:rsidRPr="002D4632" w:rsidRDefault="002D4632" w:rsidP="00260EB7">
            <w:pPr>
              <w:rPr>
                <w:rFonts w:cs="Open Sans"/>
                <w:b/>
                <w:bCs/>
                <w:color w:val="FFFFFF" w:themeColor="background1"/>
                <w:szCs w:val="16"/>
              </w:rPr>
            </w:pPr>
            <w:r w:rsidRPr="002D4632">
              <w:rPr>
                <w:rFonts w:cs="Open Sans"/>
                <w:b/>
                <w:bCs/>
                <w:color w:val="FFFFFF" w:themeColor="background1"/>
                <w:szCs w:val="16"/>
                <w:lang w:val="it-IT"/>
              </w:rPr>
              <w:t>Progressing structural change</w:t>
            </w:r>
          </w:p>
        </w:tc>
        <w:tc>
          <w:tcPr>
            <w:tcW w:w="7745" w:type="dxa"/>
            <w:tcBorders>
              <w:top w:val="single" w:sz="4" w:space="0" w:color="FFFFFF"/>
              <w:left w:val="single" w:sz="4" w:space="0" w:color="FFFFFF"/>
              <w:bottom w:val="single" w:sz="4" w:space="0" w:color="FFFFFF"/>
              <w:right w:val="single" w:sz="4" w:space="0" w:color="FFFFFF"/>
            </w:tcBorders>
            <w:shd w:val="clear" w:color="auto" w:fill="D4EEF4"/>
            <w:tcMar>
              <w:top w:w="227" w:type="dxa"/>
              <w:left w:w="227" w:type="dxa"/>
              <w:bottom w:w="227" w:type="dxa"/>
              <w:right w:w="227" w:type="dxa"/>
            </w:tcMar>
          </w:tcPr>
          <w:p w14:paraId="366A828D" w14:textId="54A8DC8F" w:rsidR="006E52A4" w:rsidRPr="00274553" w:rsidRDefault="00015FDA" w:rsidP="00015FDA">
            <w:pPr>
              <w:pStyle w:val="Paragrafoelenco"/>
              <w:numPr>
                <w:ilvl w:val="0"/>
                <w:numId w:val="16"/>
              </w:numPr>
              <w:rPr>
                <w:rFonts w:cs="Open Sans"/>
                <w:color w:val="000000" w:themeColor="text1"/>
              </w:rPr>
            </w:pPr>
            <w:r w:rsidRPr="00015FDA">
              <w:rPr>
                <w:rFonts w:cs="Open Sans"/>
                <w:color w:val="000000" w:themeColor="text1"/>
              </w:rPr>
              <w:t>Working with experts and government and community partners to identify structural levers to affect change in racial discrimination laws and investigate opportunities for the development of a national reporting system for racism and equality measures</w:t>
            </w:r>
            <w:r>
              <w:rPr>
                <w:rFonts w:cs="Open Sans"/>
                <w:color w:val="000000" w:themeColor="text1"/>
              </w:rPr>
              <w:t>.</w:t>
            </w:r>
          </w:p>
        </w:tc>
      </w:tr>
    </w:tbl>
    <w:p w14:paraId="592FB069" w14:textId="77777777" w:rsidR="006E52A4" w:rsidRPr="00B74297" w:rsidRDefault="006E52A4" w:rsidP="006E52A4">
      <w:pPr>
        <w:rPr>
          <w:rFonts w:cs="Open Sans"/>
          <w:color w:val="000000" w:themeColor="text1"/>
        </w:rPr>
      </w:pPr>
    </w:p>
    <w:p w14:paraId="5264BDC2" w14:textId="77777777" w:rsidR="00B74297" w:rsidRPr="00616BE0" w:rsidRDefault="00B74297">
      <w:pPr>
        <w:rPr>
          <w:rFonts w:cs="Open Sans"/>
          <w:iCs/>
          <w:color w:val="000000" w:themeColor="text1"/>
        </w:rPr>
      </w:pPr>
    </w:p>
    <w:sectPr w:rsidR="00B74297" w:rsidRPr="00616BE0" w:rsidSect="008F7B64">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DDFD7" w14:textId="77777777" w:rsidR="00415ED3" w:rsidRDefault="00415ED3" w:rsidP="00FF348A">
      <w:pPr>
        <w:spacing w:after="0"/>
      </w:pPr>
      <w:r>
        <w:separator/>
      </w:r>
    </w:p>
  </w:endnote>
  <w:endnote w:type="continuationSeparator" w:id="0">
    <w:p w14:paraId="5AE5E464" w14:textId="77777777" w:rsidR="00415ED3" w:rsidRDefault="00415ED3"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0261" w14:textId="1B269D3F" w:rsidR="00FF348A" w:rsidRPr="00194B09" w:rsidRDefault="00FF348A" w:rsidP="00FF348A">
    <w:pPr>
      <w:keepLines/>
      <w:suppressAutoHyphens/>
      <w:autoSpaceDE w:val="0"/>
      <w:autoSpaceDN w:val="0"/>
      <w:adjustRightInd w:val="0"/>
      <w:spacing w:after="0" w:line="288" w:lineRule="auto"/>
      <w:jc w:val="center"/>
      <w:textAlignment w:val="center"/>
      <w:rPr>
        <w:rFonts w:cs="Open Sans"/>
        <w:color w:val="6D6E70"/>
        <w:spacing w:val="12"/>
        <w:szCs w:val="16"/>
        <w:lang w:val="en-US"/>
      </w:rPr>
    </w:pPr>
    <w:r w:rsidRPr="00194B09">
      <w:rPr>
        <w:rFonts w:cs="Open Sans"/>
        <w:color w:val="6D6E70"/>
        <w:spacing w:val="12"/>
        <w:szCs w:val="16"/>
        <w:lang w:val="en-US"/>
      </w:rPr>
      <w:t>THIS PROFILE SHOULD BE VIEWED IN THE CONTEXT OF THE COMMISSION’S 201</w:t>
    </w:r>
    <w:r w:rsidR="00194B09" w:rsidRPr="00194B09">
      <w:rPr>
        <w:rFonts w:cs="Open Sans"/>
        <w:color w:val="6D6E70"/>
        <w:spacing w:val="18"/>
        <w:szCs w:val="16"/>
        <w:lang w:val="en-US"/>
      </w:rPr>
      <w:t>9</w:t>
    </w:r>
    <w:r w:rsidRPr="00194B09">
      <w:rPr>
        <w:rFonts w:cs="Open Sans"/>
        <w:color w:val="6D6E70"/>
        <w:spacing w:val="12"/>
        <w:szCs w:val="16"/>
        <w:lang w:val="en-US"/>
      </w:rPr>
      <w:t>–</w:t>
    </w:r>
    <w:r w:rsidR="00194B09" w:rsidRPr="00194B09">
      <w:rPr>
        <w:rFonts w:cs="Open Sans"/>
        <w:color w:val="6D6E70"/>
        <w:spacing w:val="12"/>
        <w:szCs w:val="16"/>
        <w:lang w:val="en-US"/>
      </w:rPr>
      <w:t>20</w:t>
    </w:r>
    <w:r w:rsidRPr="00194B09">
      <w:rPr>
        <w:rFonts w:cs="Open Sans"/>
        <w:color w:val="6D6E70"/>
        <w:spacing w:val="12"/>
        <w:szCs w:val="16"/>
        <w:lang w:val="en-US"/>
      </w:rPr>
      <w:t xml:space="preserve">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339BE" w14:textId="77777777" w:rsidR="00415ED3" w:rsidRDefault="00415ED3" w:rsidP="00FF348A">
      <w:pPr>
        <w:spacing w:after="0"/>
      </w:pPr>
      <w:r>
        <w:separator/>
      </w:r>
    </w:p>
  </w:footnote>
  <w:footnote w:type="continuationSeparator" w:id="0">
    <w:p w14:paraId="6138A975" w14:textId="77777777" w:rsidR="00415ED3" w:rsidRDefault="00415ED3"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1F7B"/>
    <w:multiLevelType w:val="hybridMultilevel"/>
    <w:tmpl w:val="BA00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C343608"/>
    <w:multiLevelType w:val="hybridMultilevel"/>
    <w:tmpl w:val="6D0CF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3D188B"/>
    <w:multiLevelType w:val="hybridMultilevel"/>
    <w:tmpl w:val="B8AC3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33B14BA"/>
    <w:multiLevelType w:val="hybridMultilevel"/>
    <w:tmpl w:val="58960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4AE17DC"/>
    <w:multiLevelType w:val="hybridMultilevel"/>
    <w:tmpl w:val="335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D7C4A1C"/>
    <w:multiLevelType w:val="hybridMultilevel"/>
    <w:tmpl w:val="EF16A4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17A96"/>
    <w:multiLevelType w:val="hybridMultilevel"/>
    <w:tmpl w:val="056C53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FDE70AA"/>
    <w:multiLevelType w:val="hybridMultilevel"/>
    <w:tmpl w:val="D4729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3084215"/>
    <w:multiLevelType w:val="hybridMultilevel"/>
    <w:tmpl w:val="2AA8DA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C97741E"/>
    <w:multiLevelType w:val="hybridMultilevel"/>
    <w:tmpl w:val="FC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21"/>
  </w:num>
  <w:num w:numId="4">
    <w:abstractNumId w:val="17"/>
  </w:num>
  <w:num w:numId="5">
    <w:abstractNumId w:val="11"/>
  </w:num>
  <w:num w:numId="6">
    <w:abstractNumId w:val="6"/>
  </w:num>
  <w:num w:numId="7">
    <w:abstractNumId w:val="1"/>
  </w:num>
  <w:num w:numId="8">
    <w:abstractNumId w:val="22"/>
  </w:num>
  <w:num w:numId="9">
    <w:abstractNumId w:val="9"/>
  </w:num>
  <w:num w:numId="10">
    <w:abstractNumId w:val="18"/>
  </w:num>
  <w:num w:numId="11">
    <w:abstractNumId w:val="12"/>
  </w:num>
  <w:num w:numId="12">
    <w:abstractNumId w:val="2"/>
  </w:num>
  <w:num w:numId="13">
    <w:abstractNumId w:val="8"/>
  </w:num>
  <w:num w:numId="14">
    <w:abstractNumId w:val="0"/>
  </w:num>
  <w:num w:numId="15">
    <w:abstractNumId w:val="7"/>
  </w:num>
  <w:num w:numId="16">
    <w:abstractNumId w:val="4"/>
  </w:num>
  <w:num w:numId="17">
    <w:abstractNumId w:val="20"/>
  </w:num>
  <w:num w:numId="18">
    <w:abstractNumId w:val="13"/>
  </w:num>
  <w:num w:numId="19">
    <w:abstractNumId w:val="15"/>
  </w:num>
  <w:num w:numId="20">
    <w:abstractNumId w:val="15"/>
  </w:num>
  <w:num w:numId="21">
    <w:abstractNumId w:val="13"/>
  </w:num>
  <w:num w:numId="22">
    <w:abstractNumId w:val="4"/>
  </w:num>
  <w:num w:numId="23">
    <w:abstractNumId w:val="15"/>
  </w:num>
  <w:num w:numId="24">
    <w:abstractNumId w:val="14"/>
  </w:num>
  <w:num w:numId="25">
    <w:abstractNumId w:val="19"/>
  </w:num>
  <w:num w:numId="26">
    <w:abstractNumId w:val="5"/>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15FDA"/>
    <w:rsid w:val="00030F13"/>
    <w:rsid w:val="000321AD"/>
    <w:rsid w:val="000370A0"/>
    <w:rsid w:val="00041A78"/>
    <w:rsid w:val="0004514E"/>
    <w:rsid w:val="000516B1"/>
    <w:rsid w:val="00064FB1"/>
    <w:rsid w:val="00066081"/>
    <w:rsid w:val="000765D2"/>
    <w:rsid w:val="00076630"/>
    <w:rsid w:val="00086580"/>
    <w:rsid w:val="00086E72"/>
    <w:rsid w:val="00091CA3"/>
    <w:rsid w:val="000B2F20"/>
    <w:rsid w:val="000E0B8B"/>
    <w:rsid w:val="000F02F8"/>
    <w:rsid w:val="000F7602"/>
    <w:rsid w:val="0010691F"/>
    <w:rsid w:val="00112BEF"/>
    <w:rsid w:val="00115F34"/>
    <w:rsid w:val="00124F99"/>
    <w:rsid w:val="0012589F"/>
    <w:rsid w:val="00130DB5"/>
    <w:rsid w:val="001328E6"/>
    <w:rsid w:val="00132F3A"/>
    <w:rsid w:val="00141F9C"/>
    <w:rsid w:val="00143DA1"/>
    <w:rsid w:val="0015066C"/>
    <w:rsid w:val="00162833"/>
    <w:rsid w:val="001743C9"/>
    <w:rsid w:val="001745D5"/>
    <w:rsid w:val="00194B09"/>
    <w:rsid w:val="001A0870"/>
    <w:rsid w:val="001B1627"/>
    <w:rsid w:val="001C30E3"/>
    <w:rsid w:val="001C57A8"/>
    <w:rsid w:val="001C57D3"/>
    <w:rsid w:val="001D72A2"/>
    <w:rsid w:val="001E4ECD"/>
    <w:rsid w:val="001F3609"/>
    <w:rsid w:val="0020676E"/>
    <w:rsid w:val="00211435"/>
    <w:rsid w:val="00224F7E"/>
    <w:rsid w:val="00226215"/>
    <w:rsid w:val="002339CF"/>
    <w:rsid w:val="00235F40"/>
    <w:rsid w:val="00237468"/>
    <w:rsid w:val="00252645"/>
    <w:rsid w:val="00274553"/>
    <w:rsid w:val="002A4936"/>
    <w:rsid w:val="002C7DC3"/>
    <w:rsid w:val="002D4632"/>
    <w:rsid w:val="003109E0"/>
    <w:rsid w:val="003222D5"/>
    <w:rsid w:val="00330930"/>
    <w:rsid w:val="00334B89"/>
    <w:rsid w:val="0036631A"/>
    <w:rsid w:val="00374741"/>
    <w:rsid w:val="003918BE"/>
    <w:rsid w:val="00395382"/>
    <w:rsid w:val="003C33D8"/>
    <w:rsid w:val="003C7905"/>
    <w:rsid w:val="003E6B28"/>
    <w:rsid w:val="003F6EB9"/>
    <w:rsid w:val="00413294"/>
    <w:rsid w:val="00415ED3"/>
    <w:rsid w:val="00417FCB"/>
    <w:rsid w:val="00421150"/>
    <w:rsid w:val="0042167B"/>
    <w:rsid w:val="004265B5"/>
    <w:rsid w:val="004328F2"/>
    <w:rsid w:val="004402CA"/>
    <w:rsid w:val="00453DA8"/>
    <w:rsid w:val="00453ED0"/>
    <w:rsid w:val="004546BF"/>
    <w:rsid w:val="00472078"/>
    <w:rsid w:val="00484F23"/>
    <w:rsid w:val="00496CEB"/>
    <w:rsid w:val="004C1EEF"/>
    <w:rsid w:val="004C5260"/>
    <w:rsid w:val="004E1B72"/>
    <w:rsid w:val="004E4FDD"/>
    <w:rsid w:val="004F4AE9"/>
    <w:rsid w:val="00534180"/>
    <w:rsid w:val="005602FA"/>
    <w:rsid w:val="005626A5"/>
    <w:rsid w:val="00577608"/>
    <w:rsid w:val="005971CD"/>
    <w:rsid w:val="005B1883"/>
    <w:rsid w:val="005B52D6"/>
    <w:rsid w:val="005B6B7E"/>
    <w:rsid w:val="005E556A"/>
    <w:rsid w:val="005F5D86"/>
    <w:rsid w:val="005F6052"/>
    <w:rsid w:val="005F715A"/>
    <w:rsid w:val="006105C3"/>
    <w:rsid w:val="00616BE0"/>
    <w:rsid w:val="00617391"/>
    <w:rsid w:val="00644A80"/>
    <w:rsid w:val="00653D0E"/>
    <w:rsid w:val="0066244A"/>
    <w:rsid w:val="006635CA"/>
    <w:rsid w:val="00675A11"/>
    <w:rsid w:val="00687AEA"/>
    <w:rsid w:val="00692874"/>
    <w:rsid w:val="006A0B05"/>
    <w:rsid w:val="006A6135"/>
    <w:rsid w:val="006B5A60"/>
    <w:rsid w:val="006B78BA"/>
    <w:rsid w:val="006D398E"/>
    <w:rsid w:val="006E52A4"/>
    <w:rsid w:val="00707BF5"/>
    <w:rsid w:val="00721100"/>
    <w:rsid w:val="007552C2"/>
    <w:rsid w:val="00763ED2"/>
    <w:rsid w:val="007640CE"/>
    <w:rsid w:val="0076567C"/>
    <w:rsid w:val="00785865"/>
    <w:rsid w:val="007971B8"/>
    <w:rsid w:val="007B25BD"/>
    <w:rsid w:val="007D1D83"/>
    <w:rsid w:val="007D7CD1"/>
    <w:rsid w:val="007F18AC"/>
    <w:rsid w:val="00804DF4"/>
    <w:rsid w:val="00810869"/>
    <w:rsid w:val="0081334C"/>
    <w:rsid w:val="00826A6D"/>
    <w:rsid w:val="008326D4"/>
    <w:rsid w:val="0087416B"/>
    <w:rsid w:val="00884230"/>
    <w:rsid w:val="0088740E"/>
    <w:rsid w:val="008C3EBC"/>
    <w:rsid w:val="008F7B64"/>
    <w:rsid w:val="00914637"/>
    <w:rsid w:val="00923828"/>
    <w:rsid w:val="009327F4"/>
    <w:rsid w:val="00967EC0"/>
    <w:rsid w:val="00975B87"/>
    <w:rsid w:val="009B2A6C"/>
    <w:rsid w:val="009B32B9"/>
    <w:rsid w:val="009C392F"/>
    <w:rsid w:val="009E327D"/>
    <w:rsid w:val="00A14A81"/>
    <w:rsid w:val="00A4039A"/>
    <w:rsid w:val="00A50706"/>
    <w:rsid w:val="00A53A79"/>
    <w:rsid w:val="00A81CD4"/>
    <w:rsid w:val="00A81D65"/>
    <w:rsid w:val="00A90F92"/>
    <w:rsid w:val="00A95BDC"/>
    <w:rsid w:val="00AB1F9B"/>
    <w:rsid w:val="00AD5A31"/>
    <w:rsid w:val="00AE0476"/>
    <w:rsid w:val="00AE3CB7"/>
    <w:rsid w:val="00AE6CB6"/>
    <w:rsid w:val="00B07DB2"/>
    <w:rsid w:val="00B202DB"/>
    <w:rsid w:val="00B22386"/>
    <w:rsid w:val="00B25DAE"/>
    <w:rsid w:val="00B47E42"/>
    <w:rsid w:val="00B70A3E"/>
    <w:rsid w:val="00B74297"/>
    <w:rsid w:val="00B80A8B"/>
    <w:rsid w:val="00B870D2"/>
    <w:rsid w:val="00B87E29"/>
    <w:rsid w:val="00BA4021"/>
    <w:rsid w:val="00BE1BB3"/>
    <w:rsid w:val="00BE58A2"/>
    <w:rsid w:val="00BE5FBD"/>
    <w:rsid w:val="00BE7852"/>
    <w:rsid w:val="00BF6B35"/>
    <w:rsid w:val="00C00D47"/>
    <w:rsid w:val="00C175FF"/>
    <w:rsid w:val="00C4751F"/>
    <w:rsid w:val="00C66315"/>
    <w:rsid w:val="00C77BF5"/>
    <w:rsid w:val="00C82C61"/>
    <w:rsid w:val="00C85D34"/>
    <w:rsid w:val="00C869F8"/>
    <w:rsid w:val="00CA0F16"/>
    <w:rsid w:val="00CA3881"/>
    <w:rsid w:val="00CB06A0"/>
    <w:rsid w:val="00CB3568"/>
    <w:rsid w:val="00CC405B"/>
    <w:rsid w:val="00CC433E"/>
    <w:rsid w:val="00CD4BB6"/>
    <w:rsid w:val="00CE2D96"/>
    <w:rsid w:val="00CF0C4F"/>
    <w:rsid w:val="00CF1623"/>
    <w:rsid w:val="00D045E2"/>
    <w:rsid w:val="00D04C0A"/>
    <w:rsid w:val="00D129E7"/>
    <w:rsid w:val="00D12C23"/>
    <w:rsid w:val="00D13F5E"/>
    <w:rsid w:val="00D34681"/>
    <w:rsid w:val="00D37A39"/>
    <w:rsid w:val="00D46C35"/>
    <w:rsid w:val="00D70FF1"/>
    <w:rsid w:val="00D802F8"/>
    <w:rsid w:val="00D9655E"/>
    <w:rsid w:val="00DA3D59"/>
    <w:rsid w:val="00E056B7"/>
    <w:rsid w:val="00E36C73"/>
    <w:rsid w:val="00E5596C"/>
    <w:rsid w:val="00E64D0E"/>
    <w:rsid w:val="00E912F3"/>
    <w:rsid w:val="00E9323B"/>
    <w:rsid w:val="00E953EC"/>
    <w:rsid w:val="00EB22D1"/>
    <w:rsid w:val="00EC1F2F"/>
    <w:rsid w:val="00EC6511"/>
    <w:rsid w:val="00F02C64"/>
    <w:rsid w:val="00F30D06"/>
    <w:rsid w:val="00F53FC2"/>
    <w:rsid w:val="00F6211F"/>
    <w:rsid w:val="00F6719D"/>
    <w:rsid w:val="00F768D4"/>
    <w:rsid w:val="00F773A3"/>
    <w:rsid w:val="00FA31A6"/>
    <w:rsid w:val="00FC4A67"/>
    <w:rsid w:val="00FD1771"/>
    <w:rsid w:val="00FF07CE"/>
    <w:rsid w:val="00FF26A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B4DFD"/>
  <w14:defaultImageDpi w14:val="32767"/>
  <w15:docId w15:val="{F4CEB394-882A-4AF9-A89F-5BD87569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09E0"/>
    <w:pPr>
      <w:spacing w:after="120"/>
    </w:pPr>
    <w:rPr>
      <w:rFonts w:ascii="Open Sans" w:hAnsi="Open Sans"/>
      <w:sz w:val="16"/>
      <w:lang w:val="en-AU"/>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 w:type="paragraph" w:styleId="Testofumetto">
    <w:name w:val="Balloon Text"/>
    <w:basedOn w:val="Normale"/>
    <w:link w:val="TestofumettoCarattere"/>
    <w:uiPriority w:val="99"/>
    <w:semiHidden/>
    <w:unhideWhenUsed/>
    <w:rsid w:val="00E64D0E"/>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4D0E"/>
    <w:rPr>
      <w:rFonts w:ascii="Segoe UI" w:hAnsi="Segoe UI" w:cs="Segoe UI"/>
      <w:sz w:val="18"/>
      <w:szCs w:val="18"/>
    </w:rPr>
  </w:style>
  <w:style w:type="character" w:styleId="Rimandocommento">
    <w:name w:val="annotation reference"/>
    <w:basedOn w:val="Carpredefinitoparagrafo"/>
    <w:uiPriority w:val="99"/>
    <w:semiHidden/>
    <w:unhideWhenUsed/>
    <w:rsid w:val="00112BEF"/>
    <w:rPr>
      <w:sz w:val="16"/>
      <w:szCs w:val="16"/>
    </w:rPr>
  </w:style>
  <w:style w:type="paragraph" w:styleId="Testocommento">
    <w:name w:val="annotation text"/>
    <w:basedOn w:val="Normale"/>
    <w:link w:val="TestocommentoCarattere"/>
    <w:uiPriority w:val="99"/>
    <w:semiHidden/>
    <w:unhideWhenUsed/>
    <w:rsid w:val="00112BEF"/>
    <w:rPr>
      <w:sz w:val="20"/>
      <w:szCs w:val="20"/>
    </w:rPr>
  </w:style>
  <w:style w:type="character" w:customStyle="1" w:styleId="TestocommentoCarattere">
    <w:name w:val="Testo commento Carattere"/>
    <w:basedOn w:val="Carpredefinitoparagrafo"/>
    <w:link w:val="Testocommento"/>
    <w:uiPriority w:val="99"/>
    <w:semiHidden/>
    <w:rsid w:val="00112BEF"/>
    <w:rPr>
      <w:rFonts w:ascii="Arial" w:hAnsi="Arial"/>
      <w:sz w:val="20"/>
      <w:szCs w:val="20"/>
    </w:rPr>
  </w:style>
  <w:style w:type="paragraph" w:styleId="Titolosommario">
    <w:name w:val="TOC Heading"/>
    <w:basedOn w:val="Titolo1"/>
    <w:next w:val="Normale"/>
    <w:uiPriority w:val="39"/>
    <w:unhideWhenUsed/>
    <w:qFormat/>
    <w:rsid w:val="00A50706"/>
    <w:pPr>
      <w:spacing w:before="240" w:after="0" w:line="259" w:lineRule="auto"/>
      <w:outlineLvl w:val="9"/>
    </w:pPr>
    <w:rPr>
      <w:rFonts w:asciiTheme="majorHAnsi" w:hAnsiTheme="majorHAnsi"/>
      <w:b w:val="0"/>
      <w:color w:val="2F5496" w:themeColor="accent1" w:themeShade="BF"/>
      <w:lang w:val="en-US"/>
    </w:rPr>
  </w:style>
  <w:style w:type="paragraph" w:styleId="Sommario1">
    <w:name w:val="toc 1"/>
    <w:basedOn w:val="Normale"/>
    <w:next w:val="Normale"/>
    <w:autoRedefine/>
    <w:uiPriority w:val="39"/>
    <w:unhideWhenUsed/>
    <w:rsid w:val="00A50706"/>
    <w:pPr>
      <w:spacing w:after="100"/>
    </w:pPr>
  </w:style>
  <w:style w:type="paragraph" w:styleId="Sommario3">
    <w:name w:val="toc 3"/>
    <w:basedOn w:val="Normale"/>
    <w:next w:val="Normale"/>
    <w:autoRedefine/>
    <w:uiPriority w:val="39"/>
    <w:unhideWhenUsed/>
    <w:rsid w:val="00A50706"/>
    <w:pPr>
      <w:spacing w:after="100"/>
      <w:ind w:left="320"/>
    </w:pPr>
  </w:style>
  <w:style w:type="paragraph" w:styleId="Sommario2">
    <w:name w:val="toc 2"/>
    <w:basedOn w:val="Normale"/>
    <w:next w:val="Normale"/>
    <w:autoRedefine/>
    <w:uiPriority w:val="39"/>
    <w:unhideWhenUsed/>
    <w:rsid w:val="00A50706"/>
    <w:pPr>
      <w:spacing w:after="100"/>
      <w:ind w:left="160"/>
    </w:pPr>
  </w:style>
  <w:style w:type="character" w:styleId="Collegamentoipertestuale">
    <w:name w:val="Hyperlink"/>
    <w:basedOn w:val="Carpredefinitoparagrafo"/>
    <w:uiPriority w:val="99"/>
    <w:unhideWhenUsed/>
    <w:rsid w:val="00A50706"/>
    <w:rPr>
      <w:color w:val="0563C1" w:themeColor="hyperlink"/>
      <w:u w:val="single"/>
    </w:rPr>
  </w:style>
  <w:style w:type="paragraph" w:styleId="NormaleWeb">
    <w:name w:val="Normal (Web)"/>
    <w:basedOn w:val="Normale"/>
    <w:uiPriority w:val="99"/>
    <w:unhideWhenUsed/>
    <w:rsid w:val="006E52A4"/>
    <w:pPr>
      <w:spacing w:before="100" w:beforeAutospacing="1" w:after="100" w:afterAutospacing="1"/>
    </w:pPr>
    <w:rPr>
      <w:rFonts w:ascii="Times New Roman" w:eastAsia="Times New Roman" w:hAnsi="Times New Roman" w:cs="Times New Roman"/>
      <w:sz w:val="24"/>
      <w:lang w:eastAsia="en-AU"/>
    </w:rPr>
  </w:style>
  <w:style w:type="table" w:customStyle="1" w:styleId="TableGrid1">
    <w:name w:val="Table Grid1"/>
    <w:basedOn w:val="Tabellanormale"/>
    <w:next w:val="Grigliatabella"/>
    <w:uiPriority w:val="39"/>
    <w:rsid w:val="00BE5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E912F3"/>
    <w:rPr>
      <w:b/>
      <w:bCs/>
    </w:rPr>
  </w:style>
  <w:style w:type="character" w:customStyle="1" w:styleId="SoggettocommentoCarattere">
    <w:name w:val="Soggetto commento Carattere"/>
    <w:basedOn w:val="TestocommentoCarattere"/>
    <w:link w:val="Soggettocommento"/>
    <w:uiPriority w:val="99"/>
    <w:semiHidden/>
    <w:rsid w:val="00E912F3"/>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248">
      <w:bodyDiv w:val="1"/>
      <w:marLeft w:val="0"/>
      <w:marRight w:val="0"/>
      <w:marTop w:val="0"/>
      <w:marBottom w:val="0"/>
      <w:divBdr>
        <w:top w:val="none" w:sz="0" w:space="0" w:color="auto"/>
        <w:left w:val="none" w:sz="0" w:space="0" w:color="auto"/>
        <w:bottom w:val="none" w:sz="0" w:space="0" w:color="auto"/>
        <w:right w:val="none" w:sz="0" w:space="0" w:color="auto"/>
      </w:divBdr>
    </w:div>
    <w:div w:id="116607176">
      <w:bodyDiv w:val="1"/>
      <w:marLeft w:val="0"/>
      <w:marRight w:val="0"/>
      <w:marTop w:val="0"/>
      <w:marBottom w:val="0"/>
      <w:divBdr>
        <w:top w:val="none" w:sz="0" w:space="0" w:color="auto"/>
        <w:left w:val="none" w:sz="0" w:space="0" w:color="auto"/>
        <w:bottom w:val="none" w:sz="0" w:space="0" w:color="auto"/>
        <w:right w:val="none" w:sz="0" w:space="0" w:color="auto"/>
      </w:divBdr>
    </w:div>
    <w:div w:id="330987953">
      <w:bodyDiv w:val="1"/>
      <w:marLeft w:val="0"/>
      <w:marRight w:val="0"/>
      <w:marTop w:val="0"/>
      <w:marBottom w:val="0"/>
      <w:divBdr>
        <w:top w:val="none" w:sz="0" w:space="0" w:color="auto"/>
        <w:left w:val="none" w:sz="0" w:space="0" w:color="auto"/>
        <w:bottom w:val="none" w:sz="0" w:space="0" w:color="auto"/>
        <w:right w:val="none" w:sz="0" w:space="0" w:color="auto"/>
      </w:divBdr>
    </w:div>
    <w:div w:id="364986820">
      <w:bodyDiv w:val="1"/>
      <w:marLeft w:val="0"/>
      <w:marRight w:val="0"/>
      <w:marTop w:val="0"/>
      <w:marBottom w:val="0"/>
      <w:divBdr>
        <w:top w:val="none" w:sz="0" w:space="0" w:color="auto"/>
        <w:left w:val="none" w:sz="0" w:space="0" w:color="auto"/>
        <w:bottom w:val="none" w:sz="0" w:space="0" w:color="auto"/>
        <w:right w:val="none" w:sz="0" w:space="0" w:color="auto"/>
      </w:divBdr>
    </w:div>
    <w:div w:id="372846958">
      <w:bodyDiv w:val="1"/>
      <w:marLeft w:val="0"/>
      <w:marRight w:val="0"/>
      <w:marTop w:val="0"/>
      <w:marBottom w:val="0"/>
      <w:divBdr>
        <w:top w:val="none" w:sz="0" w:space="0" w:color="auto"/>
        <w:left w:val="none" w:sz="0" w:space="0" w:color="auto"/>
        <w:bottom w:val="none" w:sz="0" w:space="0" w:color="auto"/>
        <w:right w:val="none" w:sz="0" w:space="0" w:color="auto"/>
      </w:divBdr>
    </w:div>
    <w:div w:id="393630177">
      <w:bodyDiv w:val="1"/>
      <w:marLeft w:val="0"/>
      <w:marRight w:val="0"/>
      <w:marTop w:val="0"/>
      <w:marBottom w:val="0"/>
      <w:divBdr>
        <w:top w:val="none" w:sz="0" w:space="0" w:color="auto"/>
        <w:left w:val="none" w:sz="0" w:space="0" w:color="auto"/>
        <w:bottom w:val="none" w:sz="0" w:space="0" w:color="auto"/>
        <w:right w:val="none" w:sz="0" w:space="0" w:color="auto"/>
      </w:divBdr>
    </w:div>
    <w:div w:id="424766771">
      <w:bodyDiv w:val="1"/>
      <w:marLeft w:val="0"/>
      <w:marRight w:val="0"/>
      <w:marTop w:val="0"/>
      <w:marBottom w:val="0"/>
      <w:divBdr>
        <w:top w:val="none" w:sz="0" w:space="0" w:color="auto"/>
        <w:left w:val="none" w:sz="0" w:space="0" w:color="auto"/>
        <w:bottom w:val="none" w:sz="0" w:space="0" w:color="auto"/>
        <w:right w:val="none" w:sz="0" w:space="0" w:color="auto"/>
      </w:divBdr>
    </w:div>
    <w:div w:id="466703643">
      <w:bodyDiv w:val="1"/>
      <w:marLeft w:val="0"/>
      <w:marRight w:val="0"/>
      <w:marTop w:val="0"/>
      <w:marBottom w:val="0"/>
      <w:divBdr>
        <w:top w:val="none" w:sz="0" w:space="0" w:color="auto"/>
        <w:left w:val="none" w:sz="0" w:space="0" w:color="auto"/>
        <w:bottom w:val="none" w:sz="0" w:space="0" w:color="auto"/>
        <w:right w:val="none" w:sz="0" w:space="0" w:color="auto"/>
      </w:divBdr>
    </w:div>
    <w:div w:id="733436128">
      <w:bodyDiv w:val="1"/>
      <w:marLeft w:val="0"/>
      <w:marRight w:val="0"/>
      <w:marTop w:val="0"/>
      <w:marBottom w:val="0"/>
      <w:divBdr>
        <w:top w:val="none" w:sz="0" w:space="0" w:color="auto"/>
        <w:left w:val="none" w:sz="0" w:space="0" w:color="auto"/>
        <w:bottom w:val="none" w:sz="0" w:space="0" w:color="auto"/>
        <w:right w:val="none" w:sz="0" w:space="0" w:color="auto"/>
      </w:divBdr>
    </w:div>
    <w:div w:id="894773671">
      <w:bodyDiv w:val="1"/>
      <w:marLeft w:val="0"/>
      <w:marRight w:val="0"/>
      <w:marTop w:val="0"/>
      <w:marBottom w:val="0"/>
      <w:divBdr>
        <w:top w:val="none" w:sz="0" w:space="0" w:color="auto"/>
        <w:left w:val="none" w:sz="0" w:space="0" w:color="auto"/>
        <w:bottom w:val="none" w:sz="0" w:space="0" w:color="auto"/>
        <w:right w:val="none" w:sz="0" w:space="0" w:color="auto"/>
      </w:divBdr>
    </w:div>
    <w:div w:id="1045787037">
      <w:bodyDiv w:val="1"/>
      <w:marLeft w:val="0"/>
      <w:marRight w:val="0"/>
      <w:marTop w:val="0"/>
      <w:marBottom w:val="0"/>
      <w:divBdr>
        <w:top w:val="none" w:sz="0" w:space="0" w:color="auto"/>
        <w:left w:val="none" w:sz="0" w:space="0" w:color="auto"/>
        <w:bottom w:val="none" w:sz="0" w:space="0" w:color="auto"/>
        <w:right w:val="none" w:sz="0" w:space="0" w:color="auto"/>
      </w:divBdr>
    </w:div>
    <w:div w:id="1301225116">
      <w:bodyDiv w:val="1"/>
      <w:marLeft w:val="0"/>
      <w:marRight w:val="0"/>
      <w:marTop w:val="0"/>
      <w:marBottom w:val="0"/>
      <w:divBdr>
        <w:top w:val="none" w:sz="0" w:space="0" w:color="auto"/>
        <w:left w:val="none" w:sz="0" w:space="0" w:color="auto"/>
        <w:bottom w:val="none" w:sz="0" w:space="0" w:color="auto"/>
        <w:right w:val="none" w:sz="0" w:space="0" w:color="auto"/>
      </w:divBdr>
    </w:div>
    <w:div w:id="1429078876">
      <w:bodyDiv w:val="1"/>
      <w:marLeft w:val="0"/>
      <w:marRight w:val="0"/>
      <w:marTop w:val="0"/>
      <w:marBottom w:val="0"/>
      <w:divBdr>
        <w:top w:val="none" w:sz="0" w:space="0" w:color="auto"/>
        <w:left w:val="none" w:sz="0" w:space="0" w:color="auto"/>
        <w:bottom w:val="none" w:sz="0" w:space="0" w:color="auto"/>
        <w:right w:val="none" w:sz="0" w:space="0" w:color="auto"/>
      </w:divBdr>
    </w:div>
    <w:div w:id="1458061140">
      <w:bodyDiv w:val="1"/>
      <w:marLeft w:val="0"/>
      <w:marRight w:val="0"/>
      <w:marTop w:val="0"/>
      <w:marBottom w:val="0"/>
      <w:divBdr>
        <w:top w:val="none" w:sz="0" w:space="0" w:color="auto"/>
        <w:left w:val="none" w:sz="0" w:space="0" w:color="auto"/>
        <w:bottom w:val="none" w:sz="0" w:space="0" w:color="auto"/>
        <w:right w:val="none" w:sz="0" w:space="0" w:color="auto"/>
      </w:divBdr>
    </w:div>
    <w:div w:id="1524593325">
      <w:bodyDiv w:val="1"/>
      <w:marLeft w:val="0"/>
      <w:marRight w:val="0"/>
      <w:marTop w:val="0"/>
      <w:marBottom w:val="0"/>
      <w:divBdr>
        <w:top w:val="none" w:sz="0" w:space="0" w:color="auto"/>
        <w:left w:val="none" w:sz="0" w:space="0" w:color="auto"/>
        <w:bottom w:val="none" w:sz="0" w:space="0" w:color="auto"/>
        <w:right w:val="none" w:sz="0" w:space="0" w:color="auto"/>
      </w:divBdr>
    </w:div>
    <w:div w:id="1526946592">
      <w:bodyDiv w:val="1"/>
      <w:marLeft w:val="0"/>
      <w:marRight w:val="0"/>
      <w:marTop w:val="0"/>
      <w:marBottom w:val="0"/>
      <w:divBdr>
        <w:top w:val="none" w:sz="0" w:space="0" w:color="auto"/>
        <w:left w:val="none" w:sz="0" w:space="0" w:color="auto"/>
        <w:bottom w:val="none" w:sz="0" w:space="0" w:color="auto"/>
        <w:right w:val="none" w:sz="0" w:space="0" w:color="auto"/>
      </w:divBdr>
    </w:div>
    <w:div w:id="1589997563">
      <w:bodyDiv w:val="1"/>
      <w:marLeft w:val="0"/>
      <w:marRight w:val="0"/>
      <w:marTop w:val="0"/>
      <w:marBottom w:val="0"/>
      <w:divBdr>
        <w:top w:val="none" w:sz="0" w:space="0" w:color="auto"/>
        <w:left w:val="none" w:sz="0" w:space="0" w:color="auto"/>
        <w:bottom w:val="none" w:sz="0" w:space="0" w:color="auto"/>
        <w:right w:val="none" w:sz="0" w:space="0" w:color="auto"/>
      </w:divBdr>
    </w:div>
    <w:div w:id="1605991468">
      <w:bodyDiv w:val="1"/>
      <w:marLeft w:val="0"/>
      <w:marRight w:val="0"/>
      <w:marTop w:val="0"/>
      <w:marBottom w:val="0"/>
      <w:divBdr>
        <w:top w:val="none" w:sz="0" w:space="0" w:color="auto"/>
        <w:left w:val="none" w:sz="0" w:space="0" w:color="auto"/>
        <w:bottom w:val="none" w:sz="0" w:space="0" w:color="auto"/>
        <w:right w:val="none" w:sz="0" w:space="0" w:color="auto"/>
      </w:divBdr>
    </w:div>
    <w:div w:id="1634090744">
      <w:bodyDiv w:val="1"/>
      <w:marLeft w:val="0"/>
      <w:marRight w:val="0"/>
      <w:marTop w:val="0"/>
      <w:marBottom w:val="0"/>
      <w:divBdr>
        <w:top w:val="none" w:sz="0" w:space="0" w:color="auto"/>
        <w:left w:val="none" w:sz="0" w:space="0" w:color="auto"/>
        <w:bottom w:val="none" w:sz="0" w:space="0" w:color="auto"/>
        <w:right w:val="none" w:sz="0" w:space="0" w:color="auto"/>
      </w:divBdr>
    </w:div>
    <w:div w:id="1832603550">
      <w:bodyDiv w:val="1"/>
      <w:marLeft w:val="0"/>
      <w:marRight w:val="0"/>
      <w:marTop w:val="0"/>
      <w:marBottom w:val="0"/>
      <w:divBdr>
        <w:top w:val="none" w:sz="0" w:space="0" w:color="auto"/>
        <w:left w:val="none" w:sz="0" w:space="0" w:color="auto"/>
        <w:bottom w:val="none" w:sz="0" w:space="0" w:color="auto"/>
        <w:right w:val="none" w:sz="0" w:space="0" w:color="auto"/>
      </w:divBdr>
    </w:div>
    <w:div w:id="1986933761">
      <w:bodyDiv w:val="1"/>
      <w:marLeft w:val="0"/>
      <w:marRight w:val="0"/>
      <w:marTop w:val="0"/>
      <w:marBottom w:val="0"/>
      <w:divBdr>
        <w:top w:val="none" w:sz="0" w:space="0" w:color="auto"/>
        <w:left w:val="none" w:sz="0" w:space="0" w:color="auto"/>
        <w:bottom w:val="none" w:sz="0" w:space="0" w:color="auto"/>
        <w:right w:val="none" w:sz="0" w:space="0" w:color="auto"/>
      </w:divBdr>
    </w:div>
    <w:div w:id="1995641032">
      <w:bodyDiv w:val="1"/>
      <w:marLeft w:val="0"/>
      <w:marRight w:val="0"/>
      <w:marTop w:val="0"/>
      <w:marBottom w:val="0"/>
      <w:divBdr>
        <w:top w:val="none" w:sz="0" w:space="0" w:color="auto"/>
        <w:left w:val="none" w:sz="0" w:space="0" w:color="auto"/>
        <w:bottom w:val="none" w:sz="0" w:space="0" w:color="auto"/>
        <w:right w:val="none" w:sz="0" w:space="0" w:color="auto"/>
      </w:divBdr>
    </w:div>
    <w:div w:id="21460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87C5C-70EA-3449-9A1F-982BF219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Office Word</Application>
  <DocSecurity>0</DocSecurity>
  <Lines>21</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 Stocovaz</cp:lastModifiedBy>
  <cp:revision>6</cp:revision>
  <cp:lastPrinted>2019-06-26T05:49:00Z</cp:lastPrinted>
  <dcterms:created xsi:type="dcterms:W3CDTF">2019-08-06T08:52:00Z</dcterms:created>
  <dcterms:modified xsi:type="dcterms:W3CDTF">2019-08-06T09:09:00Z</dcterms:modified>
</cp:coreProperties>
</file>