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33F7" w14:textId="77777777" w:rsidR="00721100" w:rsidRPr="00B74297" w:rsidRDefault="00721100" w:rsidP="00721100">
      <w:pPr>
        <w:rPr>
          <w:rFonts w:cs="Open Sans"/>
          <w:color w:val="000000" w:themeColor="text1"/>
        </w:rPr>
      </w:pPr>
    </w:p>
    <w:tbl>
      <w:tblPr>
        <w:tblStyle w:val="Grigliatabella"/>
        <w:tblW w:w="0" w:type="auto"/>
        <w:tblCellMar>
          <w:left w:w="0" w:type="dxa"/>
          <w:right w:w="0" w:type="dxa"/>
        </w:tblCellMar>
        <w:tblLook w:val="04A0" w:firstRow="1" w:lastRow="0" w:firstColumn="1" w:lastColumn="0" w:noHBand="0" w:noVBand="1"/>
      </w:tblPr>
      <w:tblGrid>
        <w:gridCol w:w="2552"/>
        <w:gridCol w:w="3260"/>
        <w:gridCol w:w="3810"/>
      </w:tblGrid>
      <w:tr w:rsidR="00F02C64" w:rsidRPr="00B74297" w14:paraId="2FD6C206" w14:textId="77777777" w:rsidTr="00226215">
        <w:trPr>
          <w:trHeight w:val="2073"/>
        </w:trPr>
        <w:tc>
          <w:tcPr>
            <w:tcW w:w="2552" w:type="dxa"/>
            <w:tcBorders>
              <w:top w:val="nil"/>
              <w:left w:val="nil"/>
              <w:bottom w:val="nil"/>
              <w:right w:val="nil"/>
            </w:tcBorders>
          </w:tcPr>
          <w:p w14:paraId="65866A30" w14:textId="77777777" w:rsidR="00721100" w:rsidRPr="00B74297" w:rsidRDefault="00721100" w:rsidP="007D2E5F">
            <w:pPr>
              <w:rPr>
                <w:rFonts w:cs="Open Sans"/>
                <w:color w:val="000000" w:themeColor="text1"/>
              </w:rPr>
            </w:pPr>
            <w:r w:rsidRPr="00B74297">
              <w:rPr>
                <w:rFonts w:cs="Open Sans"/>
                <w:noProof/>
                <w:color w:val="000000" w:themeColor="text1"/>
                <w:lang w:eastAsia="en-AU"/>
              </w:rPr>
              <w:drawing>
                <wp:inline distT="0" distB="0" distL="0" distR="0" wp14:anchorId="4556CA3B" wp14:editId="2D9907E3">
                  <wp:extent cx="1460500" cy="13970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file_Pic_04_M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3260" w:type="dxa"/>
            <w:tcBorders>
              <w:top w:val="nil"/>
              <w:left w:val="nil"/>
              <w:bottom w:val="nil"/>
              <w:right w:val="nil"/>
            </w:tcBorders>
          </w:tcPr>
          <w:p w14:paraId="70A49D02" w14:textId="044A27A3" w:rsidR="00721100" w:rsidRPr="00B74297" w:rsidRDefault="00721100" w:rsidP="007D2E5F">
            <w:pPr>
              <w:pStyle w:val="Titolo1"/>
              <w:rPr>
                <w:rStyle w:val="CondensedBold"/>
                <w:rFonts w:ascii="Open Sans" w:hAnsi="Open Sans" w:cs="Open Sans"/>
                <w:b/>
                <w:bCs w:val="0"/>
                <w:color w:val="000000" w:themeColor="text1"/>
              </w:rPr>
            </w:pPr>
            <w:r w:rsidRPr="00B74297">
              <w:rPr>
                <w:rStyle w:val="CondensedBold"/>
                <w:rFonts w:ascii="Open Sans" w:hAnsi="Open Sans" w:cs="Open Sans"/>
                <w:b/>
                <w:bCs w:val="0"/>
                <w:color w:val="000000" w:themeColor="text1"/>
              </w:rPr>
              <w:t>Megan Mitchell</w:t>
            </w:r>
          </w:p>
          <w:p w14:paraId="7628534E" w14:textId="77777777" w:rsidR="00721100" w:rsidRPr="00B74297" w:rsidRDefault="00721100" w:rsidP="00663D70">
            <w:pPr>
              <w:pStyle w:val="Titolo1"/>
              <w:spacing w:after="360"/>
              <w:rPr>
                <w:rFonts w:ascii="Open Sans" w:hAnsi="Open Sans" w:cs="Open Sans"/>
                <w:b w:val="0"/>
                <w:color w:val="000000" w:themeColor="text1"/>
              </w:rPr>
            </w:pPr>
            <w:r w:rsidRPr="00B74297">
              <w:rPr>
                <w:rFonts w:ascii="Open Sans" w:hAnsi="Open Sans" w:cs="Open Sans"/>
                <w:b w:val="0"/>
                <w:color w:val="000000" w:themeColor="text1"/>
              </w:rPr>
              <w:t>National Children’s Commissioner</w:t>
            </w:r>
          </w:p>
          <w:p w14:paraId="0410C1AA" w14:textId="77777777" w:rsidR="00721100" w:rsidRPr="00B74297" w:rsidRDefault="00721100" w:rsidP="007D2E5F">
            <w:pPr>
              <w:pStyle w:val="Titolo3"/>
              <w:rPr>
                <w:rFonts w:cs="Open Sans"/>
                <w:color w:val="000000" w:themeColor="text1"/>
              </w:rPr>
            </w:pPr>
            <w:r w:rsidRPr="00B74297">
              <w:rPr>
                <w:rFonts w:cs="Open Sans"/>
                <w:color w:val="000000" w:themeColor="text1"/>
              </w:rPr>
              <w:t>SEVENTH YEAR OF TERM</w:t>
            </w:r>
          </w:p>
        </w:tc>
        <w:tc>
          <w:tcPr>
            <w:tcW w:w="3810" w:type="dxa"/>
            <w:tcBorders>
              <w:top w:val="nil"/>
              <w:left w:val="nil"/>
              <w:bottom w:val="nil"/>
              <w:right w:val="nil"/>
            </w:tcBorders>
          </w:tcPr>
          <w:p w14:paraId="11E240A5" w14:textId="312D481E" w:rsidR="00721100" w:rsidRPr="00663D70" w:rsidRDefault="00721100" w:rsidP="007D2E5F">
            <w:pPr>
              <w:spacing w:line="276" w:lineRule="auto"/>
              <w:rPr>
                <w:rFonts w:cs="Open Sans"/>
                <w:i/>
                <w:color w:val="000000" w:themeColor="text1"/>
                <w:sz w:val="18"/>
                <w:szCs w:val="18"/>
              </w:rPr>
            </w:pPr>
            <w:r w:rsidRPr="00663D70">
              <w:rPr>
                <w:rFonts w:cs="Open Sans"/>
                <w:i/>
                <w:color w:val="000000" w:themeColor="text1"/>
                <w:spacing w:val="5"/>
                <w:sz w:val="18"/>
                <w:szCs w:val="18"/>
              </w:rPr>
              <w:t>‘</w:t>
            </w:r>
            <w:r w:rsidRPr="00663D70">
              <w:rPr>
                <w:rFonts w:cs="Open Sans"/>
                <w:i/>
                <w:color w:val="000000" w:themeColor="text1"/>
                <w:sz w:val="18"/>
                <w:szCs w:val="18"/>
              </w:rPr>
              <w:t>We need to be promoting and strengthening the rights of children as a fundamental preventive measure. Every child deserves the opportunity to thrive in this country, regardless of the circumstances they we</w:t>
            </w:r>
            <w:bookmarkStart w:id="0" w:name="_GoBack"/>
            <w:bookmarkEnd w:id="0"/>
            <w:r w:rsidRPr="00663D70">
              <w:rPr>
                <w:rFonts w:cs="Open Sans"/>
                <w:i/>
                <w:color w:val="000000" w:themeColor="text1"/>
                <w:sz w:val="18"/>
                <w:szCs w:val="18"/>
              </w:rPr>
              <w:t>re born into.’</w:t>
            </w:r>
          </w:p>
        </w:tc>
      </w:tr>
    </w:tbl>
    <w:p w14:paraId="5EF1DFF1" w14:textId="77777777" w:rsidR="00421150" w:rsidRPr="00421150" w:rsidRDefault="00421150" w:rsidP="00721100">
      <w:pPr>
        <w:pStyle w:val="Titolo2"/>
        <w:spacing w:after="200"/>
        <w:rPr>
          <w:rFonts w:cs="Open Sans"/>
          <w:color w:val="0C374D"/>
          <w:sz w:val="16"/>
          <w:szCs w:val="16"/>
        </w:rPr>
      </w:pPr>
    </w:p>
    <w:p w14:paraId="5CDE2FFA" w14:textId="61719F1C" w:rsidR="00721100" w:rsidRPr="00421150" w:rsidRDefault="00721100" w:rsidP="00721100">
      <w:pPr>
        <w:pStyle w:val="Titolo2"/>
        <w:spacing w:after="200"/>
        <w:rPr>
          <w:rFonts w:cs="Open Sans"/>
          <w:color w:val="0C374D"/>
        </w:rPr>
      </w:pPr>
      <w:r w:rsidRPr="00421150">
        <w:rPr>
          <w:rFonts w:cs="Open Sans"/>
          <w:color w:val="0C374D"/>
        </w:rPr>
        <w:t>TERM GOALS</w:t>
      </w: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170" w:type="dxa"/>
          <w:left w:w="170" w:type="dxa"/>
          <w:bottom w:w="170" w:type="dxa"/>
          <w:right w:w="170" w:type="dxa"/>
        </w:tblCellMar>
        <w:tblLook w:val="04A0" w:firstRow="1" w:lastRow="0" w:firstColumn="1" w:lastColumn="0" w:noHBand="0" w:noVBand="1"/>
      </w:tblPr>
      <w:tblGrid>
        <w:gridCol w:w="1814"/>
        <w:gridCol w:w="1814"/>
        <w:gridCol w:w="1815"/>
        <w:gridCol w:w="1814"/>
        <w:gridCol w:w="1815"/>
      </w:tblGrid>
      <w:tr w:rsidR="00421150" w:rsidRPr="00421150" w14:paraId="5CF401D1" w14:textId="5D428CE1" w:rsidTr="00421150">
        <w:trPr>
          <w:trHeight w:val="1547"/>
        </w:trPr>
        <w:tc>
          <w:tcPr>
            <w:tcW w:w="1814" w:type="dxa"/>
            <w:tcBorders>
              <w:left w:val="single" w:sz="8" w:space="0" w:color="FFFFFF" w:themeColor="background1"/>
              <w:right w:val="single" w:sz="8" w:space="0" w:color="FFFFFF" w:themeColor="background1"/>
            </w:tcBorders>
            <w:shd w:val="clear" w:color="auto" w:fill="107896"/>
          </w:tcPr>
          <w:p w14:paraId="7B055E73" w14:textId="4869C830" w:rsidR="00CE2D96" w:rsidRPr="00421150" w:rsidRDefault="00CE2D96" w:rsidP="007D2E5F">
            <w:pPr>
              <w:rPr>
                <w:rFonts w:cs="Open Sans"/>
                <w:b/>
                <w:color w:val="FFFFFF" w:themeColor="background1"/>
              </w:rPr>
            </w:pPr>
            <w:r w:rsidRPr="00421150">
              <w:rPr>
                <w:rFonts w:cs="Open Sans"/>
                <w:b/>
                <w:color w:val="FFFFFF" w:themeColor="background1"/>
              </w:rPr>
              <w:t xml:space="preserve">Safer </w:t>
            </w:r>
            <w:r w:rsidRPr="00421150">
              <w:rPr>
                <w:rFonts w:cs="Open Sans"/>
                <w:color w:val="FFFFFF" w:themeColor="background1"/>
              </w:rPr>
              <w:t>environments and greater respect for the dignity of the child</w:t>
            </w:r>
          </w:p>
        </w:tc>
        <w:tc>
          <w:tcPr>
            <w:tcW w:w="1814" w:type="dxa"/>
            <w:tcBorders>
              <w:left w:val="single" w:sz="8" w:space="0" w:color="FFFFFF" w:themeColor="background1"/>
              <w:right w:val="single" w:sz="8" w:space="0" w:color="FFFFFF" w:themeColor="background1"/>
            </w:tcBorders>
            <w:shd w:val="clear" w:color="auto" w:fill="107896"/>
          </w:tcPr>
          <w:p w14:paraId="18054A88" w14:textId="7F1AEDE1" w:rsidR="00CE2D96" w:rsidRPr="00421150" w:rsidRDefault="00CE2D96" w:rsidP="007D2E5F">
            <w:pPr>
              <w:rPr>
                <w:rFonts w:cs="Open Sans"/>
                <w:color w:val="FFFFFF" w:themeColor="background1"/>
                <w:sz w:val="18"/>
                <w:szCs w:val="18"/>
              </w:rPr>
            </w:pPr>
            <w:r w:rsidRPr="00421150">
              <w:rPr>
                <w:rFonts w:cs="Open Sans"/>
                <w:b/>
                <w:color w:val="FFFFFF" w:themeColor="background1"/>
              </w:rPr>
              <w:t>Increased</w:t>
            </w:r>
            <w:r w:rsidRPr="00421150">
              <w:rPr>
                <w:rFonts w:cs="Open Sans"/>
                <w:color w:val="FFFFFF" w:themeColor="background1"/>
              </w:rPr>
              <w:t xml:space="preserve"> safeguards to health and wellbeing of all children in Australia, particularly those who are most vulnerable</w:t>
            </w:r>
          </w:p>
        </w:tc>
        <w:tc>
          <w:tcPr>
            <w:tcW w:w="1815" w:type="dxa"/>
            <w:tcBorders>
              <w:left w:val="single" w:sz="8" w:space="0" w:color="FFFFFF" w:themeColor="background1"/>
              <w:right w:val="single" w:sz="8" w:space="0" w:color="FFFFFF" w:themeColor="background1"/>
            </w:tcBorders>
            <w:shd w:val="clear" w:color="auto" w:fill="107896"/>
          </w:tcPr>
          <w:p w14:paraId="1E08F47D" w14:textId="4724D62F" w:rsidR="00CE2D96" w:rsidRPr="00421150" w:rsidRDefault="00CE2D96" w:rsidP="007D2E5F">
            <w:pPr>
              <w:rPr>
                <w:rFonts w:cs="Open Sans"/>
                <w:color w:val="FFFFFF" w:themeColor="background1"/>
                <w:sz w:val="18"/>
                <w:szCs w:val="18"/>
              </w:rPr>
            </w:pPr>
            <w:r w:rsidRPr="00421150">
              <w:rPr>
                <w:rFonts w:cs="Open Sans"/>
                <w:b/>
                <w:color w:val="FFFFFF" w:themeColor="background1"/>
              </w:rPr>
              <w:t>Increased</w:t>
            </w:r>
            <w:r w:rsidRPr="00421150">
              <w:rPr>
                <w:rFonts w:cs="Open Sans"/>
                <w:color w:val="FFFFFF" w:themeColor="background1"/>
              </w:rPr>
              <w:t xml:space="preserve"> children’s civic engagement and active citizenship through education and awareness-raising</w:t>
            </w:r>
          </w:p>
        </w:tc>
        <w:tc>
          <w:tcPr>
            <w:tcW w:w="1814" w:type="dxa"/>
            <w:tcBorders>
              <w:left w:val="single" w:sz="8" w:space="0" w:color="FFFFFF" w:themeColor="background1"/>
            </w:tcBorders>
            <w:shd w:val="clear" w:color="auto" w:fill="107896"/>
          </w:tcPr>
          <w:p w14:paraId="589811E9" w14:textId="1D31BCCB" w:rsidR="00CE2D96" w:rsidRPr="00421150" w:rsidRDefault="00CE2D96" w:rsidP="007D2E5F">
            <w:pPr>
              <w:rPr>
                <w:rFonts w:cs="Open Sans"/>
                <w:b/>
                <w:color w:val="FFFFFF" w:themeColor="background1"/>
              </w:rPr>
            </w:pPr>
            <w:r w:rsidRPr="00421150">
              <w:rPr>
                <w:rFonts w:cs="Open Sans"/>
                <w:b/>
                <w:color w:val="FFFFFF" w:themeColor="background1"/>
              </w:rPr>
              <w:t xml:space="preserve">Increased </w:t>
            </w:r>
            <w:r w:rsidRPr="00421150">
              <w:rPr>
                <w:rFonts w:cs="Open Sans"/>
                <w:color w:val="FFFFFF" w:themeColor="background1"/>
              </w:rPr>
              <w:t>Australian commitment to protect the wellbeing and rights of children</w:t>
            </w:r>
          </w:p>
        </w:tc>
        <w:tc>
          <w:tcPr>
            <w:tcW w:w="1815" w:type="dxa"/>
            <w:tcBorders>
              <w:left w:val="single" w:sz="8" w:space="0" w:color="FFFFFF" w:themeColor="background1"/>
            </w:tcBorders>
            <w:shd w:val="clear" w:color="auto" w:fill="107896"/>
          </w:tcPr>
          <w:p w14:paraId="5D236C61" w14:textId="620B9C08" w:rsidR="00CE2D96" w:rsidRPr="00421150" w:rsidRDefault="00CE2D96" w:rsidP="00B202DB">
            <w:pPr>
              <w:rPr>
                <w:rFonts w:cs="Open Sans"/>
                <w:b/>
                <w:color w:val="FFFFFF" w:themeColor="background1"/>
              </w:rPr>
            </w:pPr>
            <w:r w:rsidRPr="00421150">
              <w:rPr>
                <w:rFonts w:cs="Open Sans"/>
                <w:b/>
                <w:color w:val="FFFFFF" w:themeColor="background1"/>
              </w:rPr>
              <w:t>Elevate</w:t>
            </w:r>
            <w:r w:rsidR="006635CA" w:rsidRPr="00421150">
              <w:rPr>
                <w:rFonts w:cs="Open Sans"/>
                <w:b/>
                <w:color w:val="FFFFFF" w:themeColor="background1"/>
              </w:rPr>
              <w:t>d</w:t>
            </w:r>
            <w:r w:rsidRPr="00421150">
              <w:rPr>
                <w:rFonts w:cs="Open Sans"/>
                <w:color w:val="FFFFFF" w:themeColor="background1"/>
              </w:rPr>
              <w:t xml:space="preserve"> children’s voices and participation</w:t>
            </w:r>
          </w:p>
        </w:tc>
      </w:tr>
    </w:tbl>
    <w:p w14:paraId="17F69787" w14:textId="4557F0CC" w:rsidR="00721100" w:rsidRDefault="00721100" w:rsidP="00721100">
      <w:pPr>
        <w:rPr>
          <w:rFonts w:cs="Open Sans"/>
          <w:color w:val="000000" w:themeColor="text1"/>
        </w:rPr>
      </w:pPr>
    </w:p>
    <w:p w14:paraId="2977A837" w14:textId="77777777" w:rsidR="00B87E29" w:rsidRDefault="00B87E29" w:rsidP="00B87E29">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36"/>
        <w:gridCol w:w="4896"/>
      </w:tblGrid>
      <w:tr w:rsidR="00B87E29" w14:paraId="0FC840D4" w14:textId="77777777" w:rsidTr="003E2B76">
        <w:tc>
          <w:tcPr>
            <w:tcW w:w="4736" w:type="dxa"/>
          </w:tcPr>
          <w:p w14:paraId="6E7D06DE" w14:textId="77777777" w:rsidR="00B87E29" w:rsidRPr="00226215" w:rsidRDefault="00B87E29" w:rsidP="003E2B76">
            <w:pPr>
              <w:pStyle w:val="Titolo2"/>
              <w:spacing w:after="200"/>
              <w:rPr>
                <w:rFonts w:cs="Open Sans"/>
                <w:color w:val="0C374D"/>
              </w:rPr>
            </w:pPr>
            <w:r w:rsidRPr="00226215">
              <w:rPr>
                <w:rFonts w:cs="Open Sans"/>
                <w:color w:val="0C374D"/>
              </w:rPr>
              <w:t>STRATEGIES</w:t>
            </w:r>
          </w:p>
          <w:p w14:paraId="3D3F58F4" w14:textId="77777777" w:rsidR="00B87E29" w:rsidRPr="00B74297" w:rsidRDefault="00B87E29"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Promoting discussion and awareness of matters relating to the human rights of children in Australia.</w:t>
            </w:r>
          </w:p>
          <w:p w14:paraId="42444C73" w14:textId="77777777" w:rsidR="00B87E29" w:rsidRPr="00B74297" w:rsidRDefault="00B87E29"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Undertaking research, or educational or other programs, for the purpose of promoting respect for children’s rights in Australia and promoting the enjoyment and exercise of human rights by children in Australia.</w:t>
            </w:r>
          </w:p>
          <w:p w14:paraId="5135C060" w14:textId="77777777" w:rsidR="00B87E29" w:rsidRPr="00B74297" w:rsidRDefault="00B87E29"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Examining existing and proposed Commonwealth enactments to assess whether they recognise and protect the human rights of children in Australia, and to report to the Minister the results of any such examination.</w:t>
            </w:r>
          </w:p>
          <w:p w14:paraId="6CA2A7B0" w14:textId="440A6A02" w:rsidR="00B87E29" w:rsidRPr="00B87E29" w:rsidRDefault="00B87E29" w:rsidP="00B87E29">
            <w:pPr>
              <w:pStyle w:val="Paragrafoelenco"/>
              <w:numPr>
                <w:ilvl w:val="0"/>
                <w:numId w:val="24"/>
              </w:numPr>
              <w:spacing w:after="100"/>
              <w:ind w:left="357" w:hanging="357"/>
              <w:contextualSpacing w:val="0"/>
              <w:rPr>
                <w:rFonts w:cs="Open Sans"/>
                <w:color w:val="000000" w:themeColor="text1"/>
              </w:rPr>
            </w:pPr>
            <w:r w:rsidRPr="00B74297">
              <w:rPr>
                <w:rFonts w:cs="Open Sans"/>
                <w:color w:val="000000" w:themeColor="text1"/>
              </w:rPr>
              <w:t xml:space="preserve">Giving particular attention to children who are at risk or </w:t>
            </w:r>
            <w:proofErr w:type="gramStart"/>
            <w:r w:rsidRPr="00B74297">
              <w:rPr>
                <w:rFonts w:cs="Open Sans"/>
                <w:color w:val="000000" w:themeColor="text1"/>
              </w:rPr>
              <w:t>vulnerable, and</w:t>
            </w:r>
            <w:proofErr w:type="gramEnd"/>
            <w:r w:rsidRPr="00B74297">
              <w:rPr>
                <w:rFonts w:cs="Open Sans"/>
                <w:color w:val="000000" w:themeColor="text1"/>
              </w:rPr>
              <w:t xml:space="preserve"> consult with children where appropriate.</w:t>
            </w:r>
          </w:p>
        </w:tc>
        <w:tc>
          <w:tcPr>
            <w:tcW w:w="4896" w:type="dxa"/>
          </w:tcPr>
          <w:p w14:paraId="3707EB25" w14:textId="115D741A" w:rsidR="00B87E29" w:rsidRDefault="00B87E29" w:rsidP="003E2B76">
            <w:pPr>
              <w:rPr>
                <w:rFonts w:cs="Open Sans"/>
                <w:color w:val="000000" w:themeColor="text1"/>
              </w:rPr>
            </w:pPr>
            <w:r w:rsidRPr="00B74297">
              <w:rPr>
                <w:noProof/>
                <w:lang w:eastAsia="en-AU"/>
              </w:rPr>
              <w:drawing>
                <wp:inline distT="0" distB="0" distL="0" distR="0" wp14:anchorId="493BBF05" wp14:editId="4A5A0020">
                  <wp:extent cx="2672255" cy="16013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927" cy="1616136"/>
                          </a:xfrm>
                          <a:prstGeom prst="rect">
                            <a:avLst/>
                          </a:prstGeom>
                          <a:noFill/>
                          <a:ln>
                            <a:noFill/>
                          </a:ln>
                        </pic:spPr>
                      </pic:pic>
                    </a:graphicData>
                  </a:graphic>
                </wp:inline>
              </w:drawing>
            </w:r>
          </w:p>
          <w:p w14:paraId="45D4CCF9" w14:textId="79C39739" w:rsidR="00B87E29" w:rsidRPr="00B87E29" w:rsidRDefault="00B87E29" w:rsidP="00B87E29">
            <w:pPr>
              <w:spacing w:after="0"/>
              <w:rPr>
                <w:rFonts w:eastAsia="Calibri" w:cs="Times New Roman"/>
                <w:i/>
                <w:iCs/>
                <w:szCs w:val="16"/>
              </w:rPr>
            </w:pPr>
            <w:r w:rsidRPr="00B87E29">
              <w:rPr>
                <w:rFonts w:eastAsia="Calibri" w:cs="Times New Roman"/>
                <w:i/>
                <w:iCs/>
                <w:szCs w:val="16"/>
              </w:rPr>
              <w:t xml:space="preserve">Commissioner Mitchell talking with children, while attending </w:t>
            </w:r>
            <w:r>
              <w:rPr>
                <w:rFonts w:eastAsia="Calibri" w:cs="Times New Roman"/>
                <w:i/>
                <w:iCs/>
                <w:szCs w:val="16"/>
              </w:rPr>
              <w:br/>
            </w:r>
            <w:r w:rsidRPr="00B87E29">
              <w:rPr>
                <w:rFonts w:eastAsia="Calibri" w:cs="Times New Roman"/>
                <w:i/>
                <w:iCs/>
                <w:szCs w:val="16"/>
              </w:rPr>
              <w:t>the</w:t>
            </w:r>
            <w:r w:rsidRPr="00B87E29">
              <w:rPr>
                <w:rFonts w:eastAsia="Calibri" w:cs="Times New Roman"/>
                <w:b/>
                <w:bCs/>
                <w:i/>
                <w:iCs/>
                <w:szCs w:val="16"/>
              </w:rPr>
              <w:t xml:space="preserve"> </w:t>
            </w:r>
            <w:r w:rsidRPr="00B87E29">
              <w:rPr>
                <w:rFonts w:eastAsia="Calibri" w:cs="Times New Roman"/>
                <w:i/>
                <w:iCs/>
                <w:szCs w:val="16"/>
              </w:rPr>
              <w:t>British and Irish Network of Ombudsman and Children’s Commissioners meeting in Belfast, February 2019</w:t>
            </w:r>
            <w:r w:rsidRPr="00B87E29">
              <w:rPr>
                <w:rFonts w:cs="Open Sans"/>
                <w:i/>
                <w:iCs/>
                <w:color w:val="000000" w:themeColor="text1"/>
                <w:szCs w:val="16"/>
              </w:rPr>
              <w:t>.</w:t>
            </w:r>
          </w:p>
        </w:tc>
      </w:tr>
    </w:tbl>
    <w:p w14:paraId="773B22A4" w14:textId="77777777" w:rsidR="00395382" w:rsidRDefault="00395382" w:rsidP="00395382">
      <w:pPr>
        <w:spacing w:after="0"/>
        <w:rPr>
          <w:rFonts w:cs="Open Sans"/>
          <w:color w:val="000000" w:themeColor="text1"/>
        </w:rPr>
      </w:pPr>
    </w:p>
    <w:p w14:paraId="3701BABF" w14:textId="5C6DB164" w:rsidR="00721100" w:rsidRPr="00B74297" w:rsidRDefault="00395382" w:rsidP="00395382">
      <w:pPr>
        <w:spacing w:after="0"/>
        <w:rPr>
          <w:rFonts w:cs="Open Sans"/>
          <w:color w:val="000000" w:themeColor="text1"/>
        </w:rPr>
      </w:pPr>
      <w:r>
        <w:rPr>
          <w:rFonts w:cs="Open Sans"/>
          <w:color w:val="000000" w:themeColor="text1"/>
        </w:rPr>
        <w:br w:type="page"/>
      </w:r>
    </w:p>
    <w:p w14:paraId="6E6DF355" w14:textId="75CA468A" w:rsidR="00721100" w:rsidRDefault="002339CF" w:rsidP="00721100">
      <w:pPr>
        <w:pStyle w:val="Titolo2"/>
        <w:rPr>
          <w:rFonts w:cs="Open Sans"/>
          <w:color w:val="000000" w:themeColor="text1"/>
        </w:rPr>
      </w:pPr>
      <w:r w:rsidRPr="00226215">
        <w:rPr>
          <w:rFonts w:cs="Open Sans"/>
          <w:color w:val="0C374D"/>
        </w:rPr>
        <w:lastRenderedPageBreak/>
        <w:t>2019–20 PROGRAMS/</w:t>
      </w:r>
      <w:r w:rsidR="00235F40" w:rsidRPr="00E5596C">
        <w:rPr>
          <w:rFonts w:cs="Open Sans"/>
          <w:color w:val="0C374D"/>
        </w:rPr>
        <w:t>PROJECTS</w:t>
      </w:r>
    </w:p>
    <w:tbl>
      <w:tblPr>
        <w:tblW w:w="9498" w:type="dxa"/>
        <w:tblInd w:w="-5" w:type="dxa"/>
        <w:tblLayout w:type="fixed"/>
        <w:tblCellMar>
          <w:left w:w="0" w:type="dxa"/>
          <w:right w:w="0" w:type="dxa"/>
        </w:tblCellMar>
        <w:tblLook w:val="0000" w:firstRow="0" w:lastRow="0" w:firstColumn="0" w:lastColumn="0" w:noHBand="0" w:noVBand="0"/>
      </w:tblPr>
      <w:tblGrid>
        <w:gridCol w:w="1701"/>
        <w:gridCol w:w="7797"/>
      </w:tblGrid>
      <w:tr w:rsidR="00143DA1" w:rsidRPr="00317CA9" w14:paraId="66294F7D" w14:textId="77777777" w:rsidTr="00CA0F16">
        <w:trPr>
          <w:trHeight w:val="1841"/>
        </w:trPr>
        <w:tc>
          <w:tcPr>
            <w:tcW w:w="1701"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448B0F07" w14:textId="2E6DADBC" w:rsidR="00143DA1" w:rsidRPr="00226215" w:rsidRDefault="00143DA1" w:rsidP="00461D79">
            <w:pPr>
              <w:pStyle w:val="WorkplanParagrafo"/>
              <w:rPr>
                <w:rFonts w:ascii="Open Sans" w:hAnsi="Open Sans" w:cs="Open Sans"/>
                <w:b/>
                <w:bCs/>
                <w:color w:val="FFFFFF" w:themeColor="background1"/>
                <w:sz w:val="16"/>
                <w:szCs w:val="16"/>
                <w:lang w:val="en-AU"/>
              </w:rPr>
            </w:pPr>
            <w:r w:rsidRPr="00226215">
              <w:rPr>
                <w:rStyle w:val="CondensedBold"/>
                <w:rFonts w:ascii="Open Sans" w:hAnsi="Open Sans" w:cs="Open Sans"/>
                <w:color w:val="FFFFFF" w:themeColor="background1"/>
                <w:sz w:val="16"/>
                <w:szCs w:val="16"/>
                <w:lang w:val="en-AU"/>
              </w:rPr>
              <w:t>Monitoring children’s rights</w:t>
            </w:r>
            <w:r w:rsidR="00252645" w:rsidRPr="00226215">
              <w:rPr>
                <w:rStyle w:val="CondensedBold"/>
                <w:rFonts w:ascii="Open Sans" w:hAnsi="Open Sans" w:cs="Open Sans"/>
                <w:color w:val="FFFFFF" w:themeColor="background1"/>
                <w:sz w:val="16"/>
                <w:szCs w:val="16"/>
                <w:lang w:val="en-AU"/>
              </w:rPr>
              <w:t xml:space="preserve"> program</w:t>
            </w:r>
            <w:r w:rsidRPr="00226215">
              <w:rPr>
                <w:rStyle w:val="CondensedBold"/>
                <w:rFonts w:ascii="Open Sans" w:hAnsi="Open Sans" w:cs="Open Sans"/>
                <w:color w:val="FFFFFF" w:themeColor="background1"/>
                <w:sz w:val="16"/>
                <w:szCs w:val="16"/>
                <w:lang w:val="en-AU"/>
              </w:rPr>
              <w:t>: Children’s Rights Report 2019</w:t>
            </w:r>
          </w:p>
        </w:tc>
        <w:tc>
          <w:tcPr>
            <w:tcW w:w="7797"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2C2ECF08" w14:textId="09CBFF4E" w:rsidR="00143DA1" w:rsidRPr="00143DA1" w:rsidRDefault="00143DA1" w:rsidP="00143DA1">
            <w:pPr>
              <w:pStyle w:val="Paragrafoelenco"/>
              <w:numPr>
                <w:ilvl w:val="0"/>
                <w:numId w:val="22"/>
              </w:numPr>
              <w:rPr>
                <w:rFonts w:cs="Open Sans"/>
                <w:color w:val="000000" w:themeColor="text1"/>
              </w:rPr>
            </w:pPr>
            <w:r w:rsidRPr="00143DA1">
              <w:rPr>
                <w:rFonts w:cs="Open Sans"/>
                <w:color w:val="000000" w:themeColor="text1"/>
              </w:rPr>
              <w:t>This year’s statutory report will focus on Australia’s progress in meeting its child rights obligations as described in the United Nations Convention on the Rights of the Child. The Committee on the Rights of the Child should provide its Concluding Observations on Australia’s performance in September 2019 and these will be included in the statutory report with recommendations for possible ways to move forward.</w:t>
            </w:r>
          </w:p>
          <w:p w14:paraId="357715DF" w14:textId="27AA4BCD" w:rsidR="00143DA1" w:rsidRPr="00143DA1" w:rsidRDefault="00143DA1" w:rsidP="00143DA1">
            <w:pPr>
              <w:pStyle w:val="Paragrafoelenco"/>
              <w:numPr>
                <w:ilvl w:val="0"/>
                <w:numId w:val="22"/>
              </w:numPr>
              <w:rPr>
                <w:rFonts w:cs="Open Sans"/>
                <w:color w:val="000000" w:themeColor="text1"/>
              </w:rPr>
            </w:pPr>
            <w:r w:rsidRPr="00143DA1">
              <w:rPr>
                <w:rFonts w:cs="Open Sans"/>
                <w:color w:val="000000" w:themeColor="text1"/>
              </w:rPr>
              <w:t>The report will provide a baseline from which to measure progress when Australia reports to the Committee on the Rights of the Child in 2024.</w:t>
            </w:r>
          </w:p>
          <w:p w14:paraId="348ED25F" w14:textId="05483D12" w:rsidR="00143DA1" w:rsidRPr="00143DA1" w:rsidRDefault="00143DA1" w:rsidP="00143DA1">
            <w:pPr>
              <w:pStyle w:val="Paragrafoelenco"/>
              <w:numPr>
                <w:ilvl w:val="0"/>
                <w:numId w:val="22"/>
              </w:numPr>
              <w:rPr>
                <w:rFonts w:cs="Open Sans"/>
                <w:color w:val="000000" w:themeColor="text1"/>
              </w:rPr>
            </w:pPr>
            <w:r w:rsidRPr="00143DA1">
              <w:rPr>
                <w:rFonts w:cs="Open Sans"/>
                <w:color w:val="000000" w:themeColor="text1"/>
              </w:rPr>
              <w:t xml:space="preserve">The Commissioner will also prepare a report for Australia’s appearance before the Committee on the Rights of the Child in September 2019. This will be based on the many voices of children that the Commissioner has heard over her </w:t>
            </w:r>
            <w:proofErr w:type="gramStart"/>
            <w:r w:rsidRPr="00143DA1">
              <w:rPr>
                <w:rFonts w:cs="Open Sans"/>
                <w:color w:val="000000" w:themeColor="text1"/>
              </w:rPr>
              <w:t>seven year</w:t>
            </w:r>
            <w:proofErr w:type="gramEnd"/>
            <w:r w:rsidRPr="00143DA1">
              <w:rPr>
                <w:rFonts w:cs="Open Sans"/>
                <w:color w:val="000000" w:themeColor="text1"/>
              </w:rPr>
              <w:t xml:space="preserve"> term.</w:t>
            </w:r>
          </w:p>
        </w:tc>
      </w:tr>
      <w:tr w:rsidR="00143DA1" w:rsidRPr="00317CA9" w14:paraId="02C2E428" w14:textId="77777777" w:rsidTr="00CA0F16">
        <w:trPr>
          <w:trHeight w:val="1190"/>
        </w:trPr>
        <w:tc>
          <w:tcPr>
            <w:tcW w:w="1701"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9DB6B77" w14:textId="77777777" w:rsidR="00143DA1" w:rsidRPr="00226215" w:rsidRDefault="00143DA1" w:rsidP="00143DA1">
            <w:pPr>
              <w:pStyle w:val="WorkplanParagrafo"/>
              <w:rPr>
                <w:rFonts w:ascii="Open Sans" w:hAnsi="Open Sans" w:cs="Open Sans"/>
                <w:b/>
                <w:bCs/>
                <w:color w:val="FFFFFF" w:themeColor="background1"/>
                <w:sz w:val="16"/>
                <w:szCs w:val="16"/>
                <w:lang w:val="en-AU"/>
              </w:rPr>
            </w:pPr>
            <w:r w:rsidRPr="00226215">
              <w:rPr>
                <w:rFonts w:ascii="Open Sans" w:hAnsi="Open Sans" w:cs="Open Sans"/>
                <w:b/>
                <w:bCs/>
                <w:color w:val="FFFFFF" w:themeColor="background1"/>
                <w:sz w:val="16"/>
                <w:szCs w:val="16"/>
                <w:lang w:val="en-AU"/>
              </w:rPr>
              <w:t>My Health Record system Project</w:t>
            </w:r>
          </w:p>
        </w:tc>
        <w:tc>
          <w:tcPr>
            <w:tcW w:w="7797"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51B69423" w14:textId="77777777" w:rsidR="00143DA1" w:rsidRPr="00143DA1" w:rsidRDefault="00143DA1" w:rsidP="00143DA1">
            <w:pPr>
              <w:pStyle w:val="Paragrafoelenco"/>
              <w:numPr>
                <w:ilvl w:val="0"/>
                <w:numId w:val="23"/>
              </w:numPr>
              <w:rPr>
                <w:rFonts w:cs="Open Sans"/>
                <w:color w:val="000000" w:themeColor="text1"/>
              </w:rPr>
            </w:pPr>
            <w:r w:rsidRPr="00143DA1">
              <w:rPr>
                <w:rFonts w:cs="Open Sans"/>
                <w:color w:val="000000" w:themeColor="text1"/>
              </w:rPr>
              <w:t>The My Health Record system offers an unprecedented opportunity to engage Australian children in an important conversation about their health rights.</w:t>
            </w:r>
          </w:p>
          <w:p w14:paraId="645DEFBC" w14:textId="3652F890" w:rsidR="00143DA1" w:rsidRPr="00143DA1" w:rsidRDefault="00143DA1" w:rsidP="00143DA1">
            <w:pPr>
              <w:pStyle w:val="Paragrafoelenco"/>
              <w:numPr>
                <w:ilvl w:val="0"/>
                <w:numId w:val="23"/>
              </w:numPr>
              <w:rPr>
                <w:rFonts w:cs="Open Sans"/>
                <w:color w:val="000000" w:themeColor="text1"/>
              </w:rPr>
            </w:pPr>
            <w:r w:rsidRPr="00143DA1">
              <w:rPr>
                <w:rFonts w:cs="Open Sans"/>
                <w:color w:val="000000" w:themeColor="text1"/>
              </w:rPr>
              <w:t>Commissioned by the Australian Digital Health Agency, this project will develop a set of resources to guide and support children using the My Health Record system. These resources will primarily be targeted at 14</w:t>
            </w:r>
            <w:r w:rsidR="00EC1F2F">
              <w:rPr>
                <w:rFonts w:cs="Open Sans"/>
                <w:color w:val="000000" w:themeColor="text1"/>
              </w:rPr>
              <w:t>–</w:t>
            </w:r>
            <w:proofErr w:type="gramStart"/>
            <w:r w:rsidRPr="00143DA1">
              <w:rPr>
                <w:rFonts w:cs="Open Sans"/>
                <w:color w:val="000000" w:themeColor="text1"/>
              </w:rPr>
              <w:t>17 year</w:t>
            </w:r>
            <w:proofErr w:type="gramEnd"/>
            <w:r w:rsidRPr="00143DA1">
              <w:rPr>
                <w:rFonts w:cs="Open Sans"/>
                <w:color w:val="000000" w:themeColor="text1"/>
              </w:rPr>
              <w:t xml:space="preserve"> </w:t>
            </w:r>
            <w:proofErr w:type="spellStart"/>
            <w:r w:rsidRPr="00143DA1">
              <w:rPr>
                <w:rFonts w:cs="Open Sans"/>
                <w:color w:val="000000" w:themeColor="text1"/>
              </w:rPr>
              <w:t>olds</w:t>
            </w:r>
            <w:proofErr w:type="spellEnd"/>
            <w:r w:rsidRPr="00143DA1">
              <w:rPr>
                <w:rFonts w:cs="Open Sans"/>
                <w:color w:val="000000" w:themeColor="text1"/>
              </w:rPr>
              <w:t xml:space="preserve"> given children in this age range have control of their own health records. Some of the resources will also aim to educate younger children about their health rights and what to expect when they turn 14.</w:t>
            </w:r>
          </w:p>
        </w:tc>
      </w:tr>
      <w:tr w:rsidR="00143DA1" w:rsidRPr="00317CA9" w14:paraId="167270CD" w14:textId="77777777" w:rsidTr="00CA0F16">
        <w:trPr>
          <w:trHeight w:val="1057"/>
        </w:trPr>
        <w:tc>
          <w:tcPr>
            <w:tcW w:w="1701"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09B77261" w14:textId="77777777" w:rsidR="00143DA1" w:rsidRPr="00226215" w:rsidRDefault="00143DA1" w:rsidP="00143DA1">
            <w:pPr>
              <w:pStyle w:val="WorkplanParagrafo"/>
              <w:rPr>
                <w:rStyle w:val="CondensedBold"/>
                <w:rFonts w:ascii="Open Sans" w:hAnsi="Open Sans" w:cs="Open Sans"/>
                <w:color w:val="FFFFFF" w:themeColor="background1"/>
                <w:sz w:val="16"/>
                <w:szCs w:val="16"/>
                <w:lang w:val="en-AU"/>
              </w:rPr>
            </w:pPr>
            <w:r w:rsidRPr="00226215">
              <w:rPr>
                <w:rStyle w:val="CondensedBold"/>
                <w:rFonts w:ascii="Open Sans" w:hAnsi="Open Sans" w:cs="Open Sans"/>
                <w:color w:val="FFFFFF" w:themeColor="background1"/>
                <w:sz w:val="16"/>
                <w:szCs w:val="16"/>
                <w:lang w:val="en-AU"/>
              </w:rPr>
              <w:t>Child Safe Organisations Project</w:t>
            </w:r>
          </w:p>
        </w:tc>
        <w:tc>
          <w:tcPr>
            <w:tcW w:w="7797"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5DABAE48" w14:textId="7695FDBC" w:rsidR="00143DA1" w:rsidRPr="00143DA1" w:rsidRDefault="00143DA1" w:rsidP="00143DA1">
            <w:pPr>
              <w:pStyle w:val="Paragrafoelenco"/>
              <w:numPr>
                <w:ilvl w:val="0"/>
                <w:numId w:val="23"/>
              </w:numPr>
              <w:rPr>
                <w:rFonts w:cs="Open Sans"/>
                <w:color w:val="000000" w:themeColor="text1"/>
              </w:rPr>
            </w:pPr>
            <w:r w:rsidRPr="00143DA1">
              <w:rPr>
                <w:rFonts w:cs="Open Sans"/>
                <w:color w:val="000000" w:themeColor="text1"/>
              </w:rPr>
              <w:t>This project developed the National Principles for Child Safe Organisations which were endorsed by the Council of Australian Governments in February 2019. The project was carried out in close consultation with stakeholders.</w:t>
            </w:r>
          </w:p>
          <w:p w14:paraId="1E49F616" w14:textId="73341486" w:rsidR="00143DA1" w:rsidRPr="00143DA1" w:rsidRDefault="00143DA1" w:rsidP="00143DA1">
            <w:pPr>
              <w:pStyle w:val="Paragrafoelenco"/>
              <w:numPr>
                <w:ilvl w:val="0"/>
                <w:numId w:val="23"/>
              </w:numPr>
              <w:rPr>
                <w:rFonts w:cs="Open Sans"/>
                <w:color w:val="000000" w:themeColor="text1"/>
              </w:rPr>
            </w:pPr>
            <w:r w:rsidRPr="00143DA1">
              <w:rPr>
                <w:rFonts w:cs="Open Sans"/>
                <w:color w:val="000000" w:themeColor="text1"/>
              </w:rPr>
              <w:t>Practical tools and resources to support the implementation of the principles by organisations across Australia are being developed. This year will see the completion of the implementation resources including the release 11 e-learning modules. These are available free of charge on our website.</w:t>
            </w:r>
          </w:p>
        </w:tc>
      </w:tr>
    </w:tbl>
    <w:p w14:paraId="13AB0456" w14:textId="77777777" w:rsidR="00226215" w:rsidRDefault="00226215" w:rsidP="00721100">
      <w:pPr>
        <w:rPr>
          <w:rFonts w:cs="Open Sans"/>
          <w:color w:val="000000" w:themeColor="text1"/>
        </w:rPr>
      </w:pPr>
    </w:p>
    <w:sectPr w:rsidR="00226215"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B49D" w14:textId="77777777" w:rsidR="000A03FA" w:rsidRDefault="000A03FA" w:rsidP="00FF348A">
      <w:pPr>
        <w:spacing w:after="0"/>
      </w:pPr>
      <w:r>
        <w:separator/>
      </w:r>
    </w:p>
  </w:endnote>
  <w:endnote w:type="continuationSeparator" w:id="0">
    <w:p w14:paraId="7A8DD645" w14:textId="77777777" w:rsidR="000A03FA" w:rsidRDefault="000A03FA"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4894" w14:textId="77777777" w:rsidR="000A03FA" w:rsidRDefault="000A03FA" w:rsidP="00FF348A">
      <w:pPr>
        <w:spacing w:after="0"/>
      </w:pPr>
      <w:r>
        <w:separator/>
      </w:r>
    </w:p>
  </w:footnote>
  <w:footnote w:type="continuationSeparator" w:id="0">
    <w:p w14:paraId="22D4FBB1" w14:textId="77777777" w:rsidR="000A03FA" w:rsidRDefault="000A03FA"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17ED"/>
    <w:rsid w:val="000321AD"/>
    <w:rsid w:val="000370A0"/>
    <w:rsid w:val="00041A78"/>
    <w:rsid w:val="0004514E"/>
    <w:rsid w:val="000516B1"/>
    <w:rsid w:val="00064FB1"/>
    <w:rsid w:val="00066081"/>
    <w:rsid w:val="000765D2"/>
    <w:rsid w:val="00076630"/>
    <w:rsid w:val="00086580"/>
    <w:rsid w:val="00086E72"/>
    <w:rsid w:val="00091CA3"/>
    <w:rsid w:val="000A03FA"/>
    <w:rsid w:val="000B2F20"/>
    <w:rsid w:val="000E0B8B"/>
    <w:rsid w:val="000F02F8"/>
    <w:rsid w:val="000F7602"/>
    <w:rsid w:val="0010691F"/>
    <w:rsid w:val="00112BEF"/>
    <w:rsid w:val="00115F34"/>
    <w:rsid w:val="00124F99"/>
    <w:rsid w:val="0012589F"/>
    <w:rsid w:val="00130DB5"/>
    <w:rsid w:val="001328E6"/>
    <w:rsid w:val="00132F3A"/>
    <w:rsid w:val="00143DA1"/>
    <w:rsid w:val="0015066C"/>
    <w:rsid w:val="00160363"/>
    <w:rsid w:val="00162833"/>
    <w:rsid w:val="001743C9"/>
    <w:rsid w:val="001745D5"/>
    <w:rsid w:val="00190DF0"/>
    <w:rsid w:val="00194B09"/>
    <w:rsid w:val="001A0870"/>
    <w:rsid w:val="001B1627"/>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C7DC3"/>
    <w:rsid w:val="002D4109"/>
    <w:rsid w:val="002D4632"/>
    <w:rsid w:val="003222D5"/>
    <w:rsid w:val="00330930"/>
    <w:rsid w:val="00334B89"/>
    <w:rsid w:val="0036631A"/>
    <w:rsid w:val="00374741"/>
    <w:rsid w:val="003918BE"/>
    <w:rsid w:val="00395382"/>
    <w:rsid w:val="003C33D8"/>
    <w:rsid w:val="003C7905"/>
    <w:rsid w:val="003E6B28"/>
    <w:rsid w:val="003F6EB9"/>
    <w:rsid w:val="00413294"/>
    <w:rsid w:val="00417FCB"/>
    <w:rsid w:val="00421150"/>
    <w:rsid w:val="0042167B"/>
    <w:rsid w:val="004328F2"/>
    <w:rsid w:val="004402CA"/>
    <w:rsid w:val="00453DA8"/>
    <w:rsid w:val="00453ED0"/>
    <w:rsid w:val="004546BF"/>
    <w:rsid w:val="00472078"/>
    <w:rsid w:val="00484F23"/>
    <w:rsid w:val="00496CEB"/>
    <w:rsid w:val="004C1EEF"/>
    <w:rsid w:val="004C5260"/>
    <w:rsid w:val="004E1B72"/>
    <w:rsid w:val="004E4FDD"/>
    <w:rsid w:val="004F4AE9"/>
    <w:rsid w:val="00534180"/>
    <w:rsid w:val="005602FA"/>
    <w:rsid w:val="005626A5"/>
    <w:rsid w:val="00577608"/>
    <w:rsid w:val="005971CD"/>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63D70"/>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B32B9"/>
    <w:rsid w:val="009C392F"/>
    <w:rsid w:val="009E327D"/>
    <w:rsid w:val="00A14A81"/>
    <w:rsid w:val="00A4039A"/>
    <w:rsid w:val="00A50706"/>
    <w:rsid w:val="00A53A79"/>
    <w:rsid w:val="00A81CD4"/>
    <w:rsid w:val="00A81D65"/>
    <w:rsid w:val="00A90F92"/>
    <w:rsid w:val="00A95BDC"/>
    <w:rsid w:val="00AB1F9B"/>
    <w:rsid w:val="00AD5A31"/>
    <w:rsid w:val="00AE0476"/>
    <w:rsid w:val="00AE3CB7"/>
    <w:rsid w:val="00AE6CB6"/>
    <w:rsid w:val="00B07DB2"/>
    <w:rsid w:val="00B202DB"/>
    <w:rsid w:val="00B22386"/>
    <w:rsid w:val="00B25DAE"/>
    <w:rsid w:val="00B47E42"/>
    <w:rsid w:val="00B70A3E"/>
    <w:rsid w:val="00B74297"/>
    <w:rsid w:val="00B80A8B"/>
    <w:rsid w:val="00B87E29"/>
    <w:rsid w:val="00BA4021"/>
    <w:rsid w:val="00BE1BB3"/>
    <w:rsid w:val="00BE58A2"/>
    <w:rsid w:val="00BE5FBD"/>
    <w:rsid w:val="00BE7852"/>
    <w:rsid w:val="00BF6B35"/>
    <w:rsid w:val="00C00D47"/>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E056B7"/>
    <w:rsid w:val="00E36C73"/>
    <w:rsid w:val="00E5596C"/>
    <w:rsid w:val="00E64D0E"/>
    <w:rsid w:val="00E912F3"/>
    <w:rsid w:val="00E9323B"/>
    <w:rsid w:val="00E953EC"/>
    <w:rsid w:val="00EB22D1"/>
    <w:rsid w:val="00EC1F2F"/>
    <w:rsid w:val="00EC6511"/>
    <w:rsid w:val="00F02C64"/>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3D70"/>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0BAB-3F35-9F42-AD58-9A2B2645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5</cp:revision>
  <cp:lastPrinted>2019-06-26T05:49:00Z</cp:lastPrinted>
  <dcterms:created xsi:type="dcterms:W3CDTF">2019-08-06T08:52:00Z</dcterms:created>
  <dcterms:modified xsi:type="dcterms:W3CDTF">2019-08-06T09:11:00Z</dcterms:modified>
</cp:coreProperties>
</file>