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2803"/>
        <w:gridCol w:w="3325"/>
        <w:gridCol w:w="2892"/>
      </w:tblGrid>
      <w:tr w:rsidR="007B762F" w:rsidRPr="009A4583" w14:paraId="25719FED" w14:textId="77777777" w:rsidTr="00EA317B">
        <w:tc>
          <w:tcPr>
            <w:tcW w:w="2835" w:type="dxa"/>
            <w:tcBorders>
              <w:top w:val="nil"/>
              <w:left w:val="nil"/>
              <w:bottom w:val="nil"/>
              <w:right w:val="nil"/>
            </w:tcBorders>
            <w:vAlign w:val="center"/>
          </w:tcPr>
          <w:p w14:paraId="441E04C6" w14:textId="77777777" w:rsidR="007B762F" w:rsidRPr="009A4583" w:rsidRDefault="007B762F" w:rsidP="00EA317B">
            <w:r>
              <w:rPr>
                <w:noProof/>
              </w:rPr>
              <w:drawing>
                <wp:inline distT="0" distB="0" distL="0" distR="0" wp14:anchorId="1D35E05B" wp14:editId="36ECB8C8">
                  <wp:extent cx="1524000" cy="1400175"/>
                  <wp:effectExtent l="0" t="0" r="0" b="0"/>
                  <wp:docPr id="173398533" name="Picture 17339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24000" cy="1400175"/>
                          </a:xfrm>
                          <a:prstGeom prst="rect">
                            <a:avLst/>
                          </a:prstGeom>
                        </pic:spPr>
                      </pic:pic>
                    </a:graphicData>
                  </a:graphic>
                </wp:inline>
              </w:drawing>
            </w:r>
          </w:p>
        </w:tc>
        <w:tc>
          <w:tcPr>
            <w:tcW w:w="3544" w:type="dxa"/>
            <w:tcBorders>
              <w:top w:val="nil"/>
              <w:left w:val="nil"/>
              <w:bottom w:val="nil"/>
              <w:right w:val="nil"/>
            </w:tcBorders>
            <w:vAlign w:val="center"/>
          </w:tcPr>
          <w:p w14:paraId="4EA9F665" w14:textId="77777777" w:rsidR="007B762F" w:rsidRPr="009A4583" w:rsidRDefault="007B762F" w:rsidP="00EA317B">
            <w:pPr>
              <w:pStyle w:val="Heading1"/>
              <w:outlineLvl w:val="0"/>
              <w:rPr>
                <w:rStyle w:val="CondensedBold"/>
                <w:rFonts w:cs="Open Sans"/>
                <w:b/>
                <w:bCs w:val="0"/>
                <w:color w:val="000000" w:themeColor="text1"/>
              </w:rPr>
            </w:pPr>
            <w:bookmarkStart w:id="0" w:name="_Toc39840680"/>
            <w:bookmarkStart w:id="1" w:name="_Toc40696574"/>
            <w:r w:rsidRPr="009A4583">
              <w:rPr>
                <w:rStyle w:val="CondensedBold"/>
                <w:rFonts w:cs="Open Sans"/>
                <w:color w:val="000000" w:themeColor="text1"/>
              </w:rPr>
              <w:t>Kate Jenkins</w:t>
            </w:r>
            <w:bookmarkEnd w:id="0"/>
            <w:bookmarkEnd w:id="1"/>
          </w:p>
          <w:p w14:paraId="695E720E" w14:textId="77777777" w:rsidR="007B762F" w:rsidRPr="009A4583" w:rsidRDefault="007B762F" w:rsidP="00EA317B">
            <w:pPr>
              <w:pStyle w:val="Heading1"/>
              <w:spacing w:after="360"/>
              <w:outlineLvl w:val="0"/>
              <w:rPr>
                <w:rFonts w:ascii="Open Sans" w:hAnsi="Open Sans" w:cs="Open Sans"/>
                <w:b w:val="0"/>
                <w:color w:val="000000" w:themeColor="text1"/>
              </w:rPr>
            </w:pPr>
            <w:bookmarkStart w:id="2" w:name="_Toc39840681"/>
            <w:bookmarkStart w:id="3" w:name="_Toc40696575"/>
            <w:r w:rsidRPr="009A4583">
              <w:rPr>
                <w:rFonts w:ascii="Open Sans" w:hAnsi="Open Sans" w:cs="Open Sans"/>
                <w:b w:val="0"/>
                <w:color w:val="000000" w:themeColor="text1"/>
              </w:rPr>
              <w:t>Sex Discrimination Commissioner</w:t>
            </w:r>
            <w:bookmarkEnd w:id="2"/>
            <w:bookmarkEnd w:id="3"/>
          </w:p>
          <w:p w14:paraId="674A7C78" w14:textId="77777777" w:rsidR="007B762F" w:rsidRPr="009A4583" w:rsidRDefault="007B762F" w:rsidP="00EA317B">
            <w:pPr>
              <w:pStyle w:val="Heading3"/>
              <w:outlineLvl w:val="2"/>
              <w:rPr>
                <w:rFonts w:cs="Open Sans"/>
                <w:color w:val="000000" w:themeColor="text1"/>
              </w:rPr>
            </w:pPr>
            <w:bookmarkStart w:id="4" w:name="_Toc39840682"/>
            <w:r w:rsidRPr="009A4583">
              <w:rPr>
                <w:rFonts w:cs="Open Sans"/>
                <w:color w:val="000000" w:themeColor="text1"/>
              </w:rPr>
              <w:t>FIFTH YEAR OF TERM</w:t>
            </w:r>
            <w:bookmarkEnd w:id="4"/>
          </w:p>
        </w:tc>
        <w:tc>
          <w:tcPr>
            <w:tcW w:w="3243" w:type="dxa"/>
            <w:tcBorders>
              <w:top w:val="nil"/>
              <w:left w:val="nil"/>
              <w:bottom w:val="nil"/>
              <w:right w:val="nil"/>
            </w:tcBorders>
            <w:vAlign w:val="center"/>
          </w:tcPr>
          <w:p w14:paraId="2F95EB53" w14:textId="77777777" w:rsidR="007B762F" w:rsidRPr="009A4583" w:rsidRDefault="007B762F" w:rsidP="00EA317B">
            <w:pPr>
              <w:spacing w:line="276" w:lineRule="auto"/>
              <w:rPr>
                <w:rFonts w:cs="Open Sans"/>
                <w:i/>
                <w:color w:val="000000" w:themeColor="text1"/>
                <w:sz w:val="18"/>
                <w:szCs w:val="18"/>
              </w:rPr>
            </w:pPr>
            <w:r w:rsidRPr="009A4583">
              <w:rPr>
                <w:rFonts w:cs="Open Sans"/>
                <w:i/>
                <w:color w:val="000000" w:themeColor="text1"/>
                <w:sz w:val="18"/>
                <w:szCs w:val="18"/>
              </w:rPr>
              <w:t>‘I look forward to a day when men and women are accepted into all walks of life and work—from parenting to rocket science—on the basis of who they are and what they do, and not their gender.’</w:t>
            </w:r>
          </w:p>
        </w:tc>
      </w:tr>
    </w:tbl>
    <w:p w14:paraId="13111999" w14:textId="77777777" w:rsidR="007B762F" w:rsidRPr="00280387" w:rsidRDefault="007B762F" w:rsidP="007B762F">
      <w:pPr>
        <w:pStyle w:val="Heading2"/>
        <w:spacing w:before="240"/>
        <w:rPr>
          <w:rFonts w:cs="Open Sans"/>
          <w:color w:val="643996"/>
        </w:rPr>
      </w:pPr>
      <w:bookmarkStart w:id="5" w:name="_Toc39840683"/>
      <w:r w:rsidRPr="00280387">
        <w:rPr>
          <w:rFonts w:cs="Open Sans"/>
          <w:color w:val="643996"/>
        </w:rPr>
        <w:t>TERM GOALS</w:t>
      </w:r>
      <w:bookmarkEnd w:id="5"/>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9E21"/>
        <w:tblCellMar>
          <w:top w:w="284" w:type="dxa"/>
          <w:left w:w="284" w:type="dxa"/>
          <w:bottom w:w="284" w:type="dxa"/>
          <w:right w:w="284" w:type="dxa"/>
        </w:tblCellMar>
        <w:tblLook w:val="04A0" w:firstRow="1" w:lastRow="0" w:firstColumn="1" w:lastColumn="0" w:noHBand="0" w:noVBand="1"/>
      </w:tblPr>
      <w:tblGrid>
        <w:gridCol w:w="3213"/>
        <w:gridCol w:w="3213"/>
        <w:gridCol w:w="3213"/>
      </w:tblGrid>
      <w:tr w:rsidR="007B762F" w:rsidRPr="009A4583" w14:paraId="21FE50A0" w14:textId="77777777" w:rsidTr="00EA317B">
        <w:tc>
          <w:tcPr>
            <w:tcW w:w="3213" w:type="dxa"/>
            <w:tcBorders>
              <w:right w:val="single" w:sz="8" w:space="0" w:color="FFFFFF" w:themeColor="background1"/>
            </w:tcBorders>
            <w:shd w:val="clear" w:color="auto" w:fill="F59E21"/>
          </w:tcPr>
          <w:p w14:paraId="120FB589" w14:textId="77777777" w:rsidR="007B762F" w:rsidRPr="009A4583" w:rsidRDefault="007B762F" w:rsidP="00EA317B">
            <w:pPr>
              <w:rPr>
                <w:rFonts w:cs="Open Sans"/>
                <w:color w:val="FFFFFF" w:themeColor="background1"/>
              </w:rPr>
            </w:pPr>
            <w:r w:rsidRPr="009A4583">
              <w:rPr>
                <w:rFonts w:cs="Open Sans"/>
                <w:b/>
                <w:color w:val="FFFFFF" w:themeColor="background1"/>
              </w:rPr>
              <w:t>Reduced</w:t>
            </w:r>
            <w:r w:rsidRPr="009A4583">
              <w:rPr>
                <w:rFonts w:cs="Open Sans"/>
                <w:color w:val="FFFFFF" w:themeColor="background1"/>
              </w:rPr>
              <w:t xml:space="preserve"> violence against women</w:t>
            </w:r>
          </w:p>
        </w:tc>
        <w:tc>
          <w:tcPr>
            <w:tcW w:w="3213" w:type="dxa"/>
            <w:tcBorders>
              <w:left w:val="single" w:sz="8" w:space="0" w:color="FFFFFF" w:themeColor="background1"/>
              <w:right w:val="single" w:sz="8" w:space="0" w:color="FFFFFF" w:themeColor="background1"/>
            </w:tcBorders>
            <w:shd w:val="clear" w:color="auto" w:fill="F59E21"/>
          </w:tcPr>
          <w:p w14:paraId="7FB41006" w14:textId="77777777" w:rsidR="007B762F" w:rsidRPr="009A4583" w:rsidRDefault="007B762F" w:rsidP="00EA317B">
            <w:pPr>
              <w:rPr>
                <w:rFonts w:cs="Open Sans"/>
                <w:color w:val="FFFFFF" w:themeColor="background1"/>
              </w:rPr>
            </w:pPr>
            <w:r w:rsidRPr="009A4583">
              <w:rPr>
                <w:rFonts w:cs="Open Sans"/>
                <w:b/>
                <w:color w:val="FFFFFF" w:themeColor="background1"/>
              </w:rPr>
              <w:t>Improved</w:t>
            </w:r>
            <w:r w:rsidRPr="009A4583">
              <w:rPr>
                <w:rFonts w:cs="Open Sans"/>
                <w:color w:val="FFFFFF" w:themeColor="background1"/>
              </w:rPr>
              <w:t xml:space="preserve"> women’s economic security and empowerment</w:t>
            </w:r>
          </w:p>
        </w:tc>
        <w:tc>
          <w:tcPr>
            <w:tcW w:w="3213" w:type="dxa"/>
            <w:tcBorders>
              <w:left w:val="single" w:sz="8" w:space="0" w:color="FFFFFF" w:themeColor="background1"/>
              <w:right w:val="single" w:sz="8" w:space="0" w:color="FFFFFF" w:themeColor="background1"/>
            </w:tcBorders>
            <w:shd w:val="clear" w:color="auto" w:fill="F59E21"/>
          </w:tcPr>
          <w:p w14:paraId="39D7AC6B" w14:textId="77777777" w:rsidR="007B762F" w:rsidRPr="009A4583" w:rsidRDefault="007B762F" w:rsidP="00EA317B">
            <w:pPr>
              <w:rPr>
                <w:rFonts w:cs="Open Sans"/>
                <w:color w:val="FFFFFF" w:themeColor="background1"/>
              </w:rPr>
            </w:pPr>
            <w:r w:rsidRPr="009A4583">
              <w:rPr>
                <w:rFonts w:cs="Open Sans"/>
                <w:b/>
                <w:color w:val="FFFFFF" w:themeColor="background1"/>
              </w:rPr>
              <w:t>Increased</w:t>
            </w:r>
            <w:r w:rsidRPr="009A4583">
              <w:rPr>
                <w:rFonts w:cs="Open Sans"/>
                <w:color w:val="FFFFFF" w:themeColor="background1"/>
              </w:rPr>
              <w:t xml:space="preserve"> diversity in leadership</w:t>
            </w:r>
          </w:p>
        </w:tc>
      </w:tr>
    </w:tbl>
    <w:p w14:paraId="3467D61A" w14:textId="77777777" w:rsidR="007B762F" w:rsidRPr="009A4583" w:rsidRDefault="007B762F" w:rsidP="007B762F">
      <w:pPr>
        <w:rPr>
          <w:rFont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4750"/>
        <w:gridCol w:w="4270"/>
      </w:tblGrid>
      <w:tr w:rsidR="007B762F" w:rsidRPr="009A4583" w14:paraId="4CF42228" w14:textId="77777777" w:rsidTr="00EA317B">
        <w:tc>
          <w:tcPr>
            <w:tcW w:w="5490" w:type="dxa"/>
          </w:tcPr>
          <w:p w14:paraId="0E8D8455" w14:textId="77777777" w:rsidR="007B762F" w:rsidRPr="00280387" w:rsidRDefault="007B762F" w:rsidP="00EA317B">
            <w:pPr>
              <w:pStyle w:val="Heading2"/>
              <w:spacing w:after="200"/>
              <w:outlineLvl w:val="1"/>
              <w:rPr>
                <w:rFonts w:cs="Open Sans"/>
                <w:color w:val="643996"/>
              </w:rPr>
            </w:pPr>
            <w:bookmarkStart w:id="6" w:name="_Toc39840684"/>
            <w:r w:rsidRPr="00280387">
              <w:rPr>
                <w:rFonts w:cs="Open Sans"/>
                <w:color w:val="643996"/>
              </w:rPr>
              <w:t>STRATEGIES</w:t>
            </w:r>
            <w:bookmarkEnd w:id="6"/>
          </w:p>
          <w:p w14:paraId="661A5F08" w14:textId="77777777" w:rsidR="007B762F" w:rsidRPr="009A4583" w:rsidRDefault="007B762F" w:rsidP="007B762F">
            <w:pPr>
              <w:pStyle w:val="ListParagraph"/>
              <w:numPr>
                <w:ilvl w:val="0"/>
                <w:numId w:val="4"/>
              </w:numPr>
              <w:ind w:left="357" w:hanging="357"/>
              <w:contextualSpacing w:val="0"/>
              <w:rPr>
                <w:rFonts w:cs="Open Sans"/>
                <w:color w:val="000000" w:themeColor="text1"/>
              </w:rPr>
            </w:pPr>
            <w:r w:rsidRPr="009A4583">
              <w:rPr>
                <w:rFonts w:cs="Open Sans"/>
                <w:color w:val="000000" w:themeColor="text1"/>
              </w:rPr>
              <w:t>Challenging everyday sexism and sexual harassment where we live, work, learn and play.</w:t>
            </w:r>
          </w:p>
          <w:p w14:paraId="1CBCB1EA" w14:textId="77777777" w:rsidR="007B762F" w:rsidRPr="009A4583" w:rsidRDefault="007B762F" w:rsidP="007B762F">
            <w:pPr>
              <w:pStyle w:val="ListParagraph"/>
              <w:numPr>
                <w:ilvl w:val="0"/>
                <w:numId w:val="4"/>
              </w:numPr>
              <w:ind w:left="357" w:hanging="357"/>
              <w:contextualSpacing w:val="0"/>
              <w:rPr>
                <w:rFonts w:cs="Open Sans"/>
                <w:color w:val="000000" w:themeColor="text1"/>
              </w:rPr>
            </w:pPr>
            <w:r w:rsidRPr="009A4583">
              <w:rPr>
                <w:rFonts w:cs="Open Sans"/>
                <w:color w:val="000000" w:themeColor="text1"/>
              </w:rPr>
              <w:t>Promoting broader social equality and addressing structural discrimination and intersectional disadvantage.</w:t>
            </w:r>
          </w:p>
          <w:p w14:paraId="0E022917" w14:textId="77777777" w:rsidR="007B762F" w:rsidRPr="009A4583" w:rsidRDefault="007B762F" w:rsidP="007B762F">
            <w:pPr>
              <w:pStyle w:val="ListParagraph"/>
              <w:numPr>
                <w:ilvl w:val="0"/>
                <w:numId w:val="4"/>
              </w:numPr>
              <w:ind w:left="357" w:hanging="357"/>
              <w:contextualSpacing w:val="0"/>
              <w:rPr>
                <w:rFonts w:cs="Open Sans"/>
                <w:color w:val="000000" w:themeColor="text1"/>
              </w:rPr>
            </w:pPr>
            <w:r w:rsidRPr="009A4583">
              <w:rPr>
                <w:rFonts w:cs="Open Sans"/>
                <w:color w:val="000000" w:themeColor="text1"/>
              </w:rPr>
              <w:t>Challenging the structural and attitudinal barriers affecting working parents, including parental leave, superannuation, flexible work, childcare, and sharing of unpaid work.</w:t>
            </w:r>
          </w:p>
          <w:p w14:paraId="03EF0AFC" w14:textId="77777777" w:rsidR="007B762F" w:rsidRPr="009A4583" w:rsidRDefault="007B762F" w:rsidP="007B762F">
            <w:pPr>
              <w:pStyle w:val="ListParagraph"/>
              <w:numPr>
                <w:ilvl w:val="0"/>
                <w:numId w:val="4"/>
              </w:numPr>
              <w:ind w:left="357" w:hanging="357"/>
              <w:contextualSpacing w:val="0"/>
              <w:rPr>
                <w:rFonts w:cs="Open Sans"/>
                <w:color w:val="000000" w:themeColor="text1"/>
              </w:rPr>
            </w:pPr>
            <w:r w:rsidRPr="009A4583">
              <w:rPr>
                <w:rFonts w:cs="Open Sans"/>
                <w:color w:val="000000" w:themeColor="text1"/>
              </w:rPr>
              <w:t>Promoting the benefits of reducing gender-segregated workforces.</w:t>
            </w:r>
          </w:p>
          <w:p w14:paraId="04851ECC" w14:textId="77777777" w:rsidR="007B762F" w:rsidRPr="009A4583" w:rsidRDefault="007B762F" w:rsidP="007B762F">
            <w:pPr>
              <w:pStyle w:val="ListParagraph"/>
              <w:numPr>
                <w:ilvl w:val="0"/>
                <w:numId w:val="4"/>
              </w:numPr>
              <w:ind w:left="357" w:hanging="357"/>
              <w:contextualSpacing w:val="0"/>
              <w:rPr>
                <w:rFonts w:cs="Open Sans"/>
                <w:color w:val="000000" w:themeColor="text1"/>
              </w:rPr>
            </w:pPr>
            <w:r w:rsidRPr="009A4583">
              <w:rPr>
                <w:rFonts w:cs="Open Sans"/>
                <w:color w:val="000000" w:themeColor="text1"/>
              </w:rPr>
              <w:t>Advocating for improved representation of women and girls in political, corporate, sporting and organisational leadership roles and promoting and facilitating opportunities for women and girls to have their voices heard at a local, national and international level.</w:t>
            </w:r>
          </w:p>
          <w:p w14:paraId="01FB22E6" w14:textId="77777777" w:rsidR="007B762F" w:rsidRPr="009A4583" w:rsidRDefault="007B762F" w:rsidP="007B762F">
            <w:pPr>
              <w:pStyle w:val="ListParagraph"/>
              <w:numPr>
                <w:ilvl w:val="0"/>
                <w:numId w:val="4"/>
              </w:numPr>
              <w:ind w:left="357" w:hanging="357"/>
              <w:contextualSpacing w:val="0"/>
              <w:rPr>
                <w:rFonts w:cs="Open Sans"/>
                <w:color w:val="000000" w:themeColor="text1"/>
              </w:rPr>
            </w:pPr>
            <w:r w:rsidRPr="009A4583">
              <w:rPr>
                <w:rFonts w:cs="Open Sans"/>
                <w:color w:val="000000" w:themeColor="text1"/>
              </w:rPr>
              <w:t>Taking a settings-based approach, focusing on the workplace, education and sport.</w:t>
            </w:r>
          </w:p>
        </w:tc>
        <w:tc>
          <w:tcPr>
            <w:tcW w:w="4142" w:type="dxa"/>
          </w:tcPr>
          <w:p w14:paraId="1A767A2B" w14:textId="77777777" w:rsidR="007B762F" w:rsidRPr="009A4583" w:rsidRDefault="007B762F" w:rsidP="00EA317B">
            <w:pPr>
              <w:rPr>
                <w:rFonts w:cs="Open Sans"/>
                <w:noProof/>
              </w:rPr>
            </w:pPr>
          </w:p>
          <w:p w14:paraId="4E398855" w14:textId="77777777" w:rsidR="007B762F" w:rsidRPr="009A4583" w:rsidRDefault="007B762F" w:rsidP="00EA317B">
            <w:pPr>
              <w:rPr>
                <w:rFonts w:cs="Open Sans"/>
                <w:noProof/>
                <w:color w:val="000000" w:themeColor="text1"/>
              </w:rPr>
            </w:pPr>
          </w:p>
          <w:p w14:paraId="10300504" w14:textId="77777777" w:rsidR="007B762F" w:rsidRPr="009A4583" w:rsidRDefault="007B762F" w:rsidP="00EA317B">
            <w:pPr>
              <w:rPr>
                <w:rFonts w:cs="Open Sans"/>
                <w:color w:val="000000" w:themeColor="text1"/>
              </w:rPr>
            </w:pPr>
            <w:r>
              <w:rPr>
                <w:noProof/>
              </w:rPr>
              <w:drawing>
                <wp:inline distT="0" distB="0" distL="0" distR="0" wp14:anchorId="3279B390" wp14:editId="01EA6C2A">
                  <wp:extent cx="2543175" cy="1695450"/>
                  <wp:effectExtent l="0" t="0" r="9525" b="0"/>
                  <wp:docPr id="893312226" name="Picture 1446946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946267"/>
                          <pic:cNvPicPr/>
                        </pic:nvPicPr>
                        <pic:blipFill>
                          <a:blip r:embed="rId6">
                            <a:extLst>
                              <a:ext uri="{28A0092B-C50C-407E-A947-70E740481C1C}">
                                <a14:useLocalDpi xmlns:a14="http://schemas.microsoft.com/office/drawing/2010/main" val="0"/>
                              </a:ext>
                            </a:extLst>
                          </a:blip>
                          <a:stretch>
                            <a:fillRect/>
                          </a:stretch>
                        </pic:blipFill>
                        <pic:spPr>
                          <a:xfrm>
                            <a:off x="0" y="0"/>
                            <a:ext cx="2543175" cy="1695450"/>
                          </a:xfrm>
                          <a:prstGeom prst="rect">
                            <a:avLst/>
                          </a:prstGeom>
                        </pic:spPr>
                      </pic:pic>
                    </a:graphicData>
                  </a:graphic>
                </wp:inline>
              </w:drawing>
            </w:r>
          </w:p>
          <w:p w14:paraId="1D3D1FA8" w14:textId="77777777" w:rsidR="007B762F" w:rsidRPr="009A4583" w:rsidRDefault="007B762F" w:rsidP="00EA317B">
            <w:pPr>
              <w:rPr>
                <w:rFonts w:cs="Open Sans"/>
                <w:i/>
                <w:iCs/>
                <w:color w:val="000000" w:themeColor="text1"/>
              </w:rPr>
            </w:pPr>
            <w:r w:rsidRPr="009A4583">
              <w:rPr>
                <w:rFonts w:cs="Open Sans"/>
                <w:i/>
                <w:iCs/>
                <w:color w:val="000000" w:themeColor="text1"/>
              </w:rPr>
              <w:t>Commissioner Jenkins</w:t>
            </w:r>
            <w:r w:rsidRPr="009A4583">
              <w:rPr>
                <w:rFonts w:cs="Open Sans"/>
                <w:i/>
                <w:color w:val="000000" w:themeColor="text1"/>
              </w:rPr>
              <w:t xml:space="preserve"> with Senator the Hon </w:t>
            </w:r>
            <w:proofErr w:type="spellStart"/>
            <w:r w:rsidRPr="009A4583">
              <w:rPr>
                <w:rFonts w:cs="Open Sans"/>
                <w:i/>
                <w:color w:val="000000" w:themeColor="text1"/>
              </w:rPr>
              <w:t>Marise</w:t>
            </w:r>
            <w:proofErr w:type="spellEnd"/>
            <w:r w:rsidRPr="009A4583">
              <w:rPr>
                <w:rFonts w:cs="Open Sans"/>
                <w:i/>
                <w:color w:val="000000" w:themeColor="text1"/>
              </w:rPr>
              <w:t xml:space="preserve"> Payne, Minister for Women</w:t>
            </w:r>
            <w:r>
              <w:rPr>
                <w:rFonts w:cs="Open Sans"/>
                <w:i/>
                <w:color w:val="000000" w:themeColor="text1"/>
              </w:rPr>
              <w:t>,</w:t>
            </w:r>
            <w:r w:rsidRPr="009A4583">
              <w:rPr>
                <w:rFonts w:cs="Open Sans"/>
                <w:i/>
                <w:color w:val="000000" w:themeColor="text1"/>
              </w:rPr>
              <w:t xml:space="preserve"> </w:t>
            </w:r>
            <w:r w:rsidRPr="009A4583">
              <w:rPr>
                <w:rFonts w:cs="Open Sans"/>
                <w:i/>
                <w:iCs/>
                <w:color w:val="000000" w:themeColor="text1"/>
              </w:rPr>
              <w:t>at</w:t>
            </w:r>
            <w:r w:rsidRPr="009A4583">
              <w:rPr>
                <w:rFonts w:cs="Open Sans"/>
                <w:i/>
                <w:color w:val="000000" w:themeColor="text1"/>
              </w:rPr>
              <w:t xml:space="preserve"> the launch of the </w:t>
            </w:r>
            <w:proofErr w:type="spellStart"/>
            <w:r w:rsidRPr="009A4583">
              <w:rPr>
                <w:rFonts w:cs="Open Sans"/>
                <w:i/>
                <w:color w:val="000000" w:themeColor="text1"/>
              </w:rPr>
              <w:t>Respect@Work</w:t>
            </w:r>
            <w:proofErr w:type="spellEnd"/>
            <w:r w:rsidRPr="009A4583">
              <w:rPr>
                <w:rFonts w:cs="Open Sans"/>
                <w:i/>
                <w:color w:val="000000" w:themeColor="text1"/>
              </w:rPr>
              <w:t xml:space="preserve"> report </w:t>
            </w:r>
            <w:r w:rsidRPr="009A4583">
              <w:rPr>
                <w:rFonts w:cs="Open Sans"/>
                <w:i/>
                <w:iCs/>
                <w:color w:val="000000" w:themeColor="text1"/>
              </w:rPr>
              <w:t>Sydney, March 2020.</w:t>
            </w:r>
          </w:p>
        </w:tc>
      </w:tr>
    </w:tbl>
    <w:p w14:paraId="4CCF463A" w14:textId="77777777" w:rsidR="007B762F" w:rsidRPr="00B3572D" w:rsidRDefault="007B762F" w:rsidP="007B762F"/>
    <w:p w14:paraId="46C5F5EA" w14:textId="77777777" w:rsidR="007B762F" w:rsidRPr="00B3572D" w:rsidRDefault="007B762F" w:rsidP="007B762F">
      <w:r w:rsidRPr="00B3572D">
        <w:br w:type="page"/>
      </w:r>
    </w:p>
    <w:p w14:paraId="3377D97E" w14:textId="77777777" w:rsidR="007B762F" w:rsidRPr="00280387" w:rsidRDefault="007B762F" w:rsidP="007B762F">
      <w:pPr>
        <w:pStyle w:val="Heading2"/>
        <w:spacing w:before="240"/>
        <w:rPr>
          <w:rFonts w:cs="Open Sans"/>
          <w:color w:val="643996"/>
        </w:rPr>
      </w:pPr>
      <w:r w:rsidRPr="00280387">
        <w:rPr>
          <w:rFonts w:cs="Open Sans"/>
          <w:color w:val="643996"/>
        </w:rPr>
        <w:lastRenderedPageBreak/>
        <w:t>KEY ACTVITITES/ 2020–21 WORKPLAN</w:t>
      </w:r>
    </w:p>
    <w:tbl>
      <w:tblPr>
        <w:tblW w:w="9990" w:type="dxa"/>
        <w:tblInd w:w="-5" w:type="dxa"/>
        <w:tblLayout w:type="fixed"/>
        <w:tblCellMar>
          <w:left w:w="0" w:type="dxa"/>
          <w:right w:w="0" w:type="dxa"/>
        </w:tblCellMar>
        <w:tblLook w:val="0000" w:firstRow="0" w:lastRow="0" w:firstColumn="0" w:lastColumn="0" w:noHBand="0" w:noVBand="0"/>
      </w:tblPr>
      <w:tblGrid>
        <w:gridCol w:w="1894"/>
        <w:gridCol w:w="8096"/>
      </w:tblGrid>
      <w:tr w:rsidR="007B762F" w:rsidRPr="009A4583" w14:paraId="3090AEEF" w14:textId="77777777" w:rsidTr="00EA317B">
        <w:trPr>
          <w:trHeight w:val="834"/>
        </w:trPr>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17DF7531" w14:textId="77777777" w:rsidR="007B762F" w:rsidRPr="009A4583" w:rsidRDefault="007B762F" w:rsidP="00EA317B">
            <w:pPr>
              <w:rPr>
                <w:rFonts w:cs="Open Sans"/>
                <w:b/>
                <w:color w:val="FFFFFF" w:themeColor="background1"/>
              </w:rPr>
            </w:pPr>
            <w:r w:rsidRPr="009A4583">
              <w:rPr>
                <w:rFonts w:cs="Open Sans"/>
                <w:b/>
                <w:color w:val="FFFFFF" w:themeColor="background1"/>
              </w:rPr>
              <w:t>Violence against women projects</w:t>
            </w:r>
          </w:p>
        </w:tc>
        <w:tc>
          <w:tcPr>
            <w:tcW w:w="8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729F980A" w14:textId="77777777" w:rsidR="007B762F" w:rsidRPr="009A4583" w:rsidRDefault="007B762F" w:rsidP="007B762F">
            <w:pPr>
              <w:pStyle w:val="ListParagraph"/>
              <w:numPr>
                <w:ilvl w:val="0"/>
                <w:numId w:val="1"/>
              </w:numPr>
              <w:rPr>
                <w:rFonts w:cs="Open Sans"/>
                <w:color w:val="000000" w:themeColor="text1"/>
              </w:rPr>
            </w:pPr>
            <w:r w:rsidRPr="009A4583">
              <w:rPr>
                <w:rFonts w:cs="Open Sans"/>
                <w:color w:val="000000" w:themeColor="text1"/>
              </w:rPr>
              <w:t xml:space="preserve">This work includes advocating and promoting </w:t>
            </w:r>
            <w:proofErr w:type="spellStart"/>
            <w:r w:rsidRPr="009A4583">
              <w:rPr>
                <w:rFonts w:cs="Open Sans"/>
                <w:i/>
                <w:iCs/>
                <w:color w:val="000000" w:themeColor="text1"/>
              </w:rPr>
              <w:t>Respect@Work</w:t>
            </w:r>
            <w:proofErr w:type="spellEnd"/>
            <w:r w:rsidRPr="009A4583">
              <w:rPr>
                <w:rFonts w:cs="Open Sans"/>
                <w:color w:val="000000" w:themeColor="text1"/>
              </w:rPr>
              <w:t>, Australia’s first National Inquiry into sexual harassment in Australian workplaces. The Inquiry builds on data from the fourth national sexual harassment in the workplace survey.</w:t>
            </w:r>
          </w:p>
          <w:p w14:paraId="6F989D28" w14:textId="77777777" w:rsidR="007B762F" w:rsidRPr="009A4583" w:rsidRDefault="007B762F" w:rsidP="007B762F">
            <w:pPr>
              <w:pStyle w:val="ListParagraph"/>
              <w:numPr>
                <w:ilvl w:val="0"/>
                <w:numId w:val="1"/>
              </w:numPr>
              <w:rPr>
                <w:rFonts w:cs="Open Sans"/>
                <w:color w:val="000000" w:themeColor="text1"/>
              </w:rPr>
            </w:pPr>
            <w:r w:rsidRPr="009A4583">
              <w:rPr>
                <w:rFonts w:cs="Open Sans"/>
                <w:color w:val="000000" w:themeColor="text1"/>
              </w:rPr>
              <w:t xml:space="preserve">This work also includes implementing specific recommendations from </w:t>
            </w:r>
            <w:proofErr w:type="spellStart"/>
            <w:r w:rsidRPr="009A4583">
              <w:rPr>
                <w:rFonts w:cs="Open Sans"/>
                <w:i/>
                <w:iCs/>
                <w:color w:val="000000" w:themeColor="text1"/>
              </w:rPr>
              <w:t>Respect@Work</w:t>
            </w:r>
            <w:proofErr w:type="spellEnd"/>
            <w:r w:rsidRPr="009A4583">
              <w:rPr>
                <w:rFonts w:cs="Open Sans"/>
                <w:color w:val="000000" w:themeColor="text1"/>
              </w:rPr>
              <w:t>, including developing:</w:t>
            </w:r>
          </w:p>
          <w:p w14:paraId="4CD20C87" w14:textId="77777777" w:rsidR="007B762F" w:rsidRPr="009A4583" w:rsidRDefault="007B762F" w:rsidP="007B762F">
            <w:pPr>
              <w:pStyle w:val="ListParagraph"/>
              <w:numPr>
                <w:ilvl w:val="0"/>
                <w:numId w:val="5"/>
              </w:numPr>
              <w:rPr>
                <w:rFonts w:cs="Open Sans"/>
                <w:color w:val="000000" w:themeColor="text1"/>
                <w:szCs w:val="16"/>
              </w:rPr>
            </w:pPr>
            <w:r w:rsidRPr="009A4583">
              <w:rPr>
                <w:rFonts w:cs="Open Sans"/>
                <w:color w:val="000000" w:themeColor="text1"/>
              </w:rPr>
              <w:t xml:space="preserve">Workplace Rights education for young people (recommendation 9) </w:t>
            </w:r>
          </w:p>
          <w:p w14:paraId="313780C5" w14:textId="77777777" w:rsidR="007B762F" w:rsidRPr="009A4583" w:rsidRDefault="007B762F" w:rsidP="007B762F">
            <w:pPr>
              <w:pStyle w:val="ListParagraph"/>
              <w:numPr>
                <w:ilvl w:val="0"/>
                <w:numId w:val="5"/>
              </w:numPr>
              <w:rPr>
                <w:rFonts w:cs="Open Sans"/>
                <w:color w:val="000000" w:themeColor="text1"/>
                <w:szCs w:val="16"/>
              </w:rPr>
            </w:pPr>
            <w:r w:rsidRPr="009A4583">
              <w:rPr>
                <w:rFonts w:cs="Open Sans"/>
                <w:color w:val="000000" w:themeColor="text1"/>
              </w:rPr>
              <w:t xml:space="preserve">Training and education for the Fair Work Ombudsman and Fair Work Commission (Rec 34). </w:t>
            </w:r>
          </w:p>
          <w:p w14:paraId="3953C45B" w14:textId="77777777" w:rsidR="007B762F" w:rsidRPr="009A4583" w:rsidRDefault="007B762F" w:rsidP="007B762F">
            <w:pPr>
              <w:pStyle w:val="ListParagraph"/>
              <w:numPr>
                <w:ilvl w:val="0"/>
                <w:numId w:val="5"/>
              </w:numPr>
              <w:rPr>
                <w:rFonts w:cs="Open Sans"/>
                <w:color w:val="000000" w:themeColor="text1"/>
              </w:rPr>
            </w:pPr>
            <w:r w:rsidRPr="009A4583">
              <w:rPr>
                <w:rFonts w:cs="Open Sans"/>
                <w:color w:val="000000" w:themeColor="text1"/>
              </w:rPr>
              <w:t xml:space="preserve">a Code of Practice for Work Health and Safety authorities on sexual harassment (Recommendation 35), </w:t>
            </w:r>
          </w:p>
          <w:p w14:paraId="5DA0B923" w14:textId="77777777" w:rsidR="007B762F" w:rsidRPr="009A4583" w:rsidRDefault="007B762F" w:rsidP="007B762F">
            <w:pPr>
              <w:pStyle w:val="ListParagraph"/>
              <w:numPr>
                <w:ilvl w:val="0"/>
                <w:numId w:val="5"/>
              </w:numPr>
              <w:rPr>
                <w:rFonts w:cs="Open Sans"/>
                <w:color w:val="000000" w:themeColor="text1"/>
                <w:szCs w:val="16"/>
              </w:rPr>
            </w:pPr>
            <w:r w:rsidRPr="009A4583">
              <w:rPr>
                <w:rFonts w:cs="Open Sans"/>
                <w:color w:val="000000" w:themeColor="text1"/>
              </w:rPr>
              <w:t xml:space="preserve">Guidelines on non-disclosure agreements (Recommendation 38), </w:t>
            </w:r>
          </w:p>
          <w:p w14:paraId="79EB6AFF" w14:textId="77777777" w:rsidR="007B762F" w:rsidRPr="009A4583" w:rsidRDefault="007B762F" w:rsidP="007B762F">
            <w:pPr>
              <w:pStyle w:val="ListParagraph"/>
              <w:numPr>
                <w:ilvl w:val="0"/>
                <w:numId w:val="5"/>
              </w:numPr>
              <w:rPr>
                <w:rFonts w:cs="Open Sans"/>
                <w:color w:val="000000" w:themeColor="text1"/>
              </w:rPr>
            </w:pPr>
            <w:proofErr w:type="spellStart"/>
            <w:r w:rsidRPr="009A4583">
              <w:rPr>
                <w:rFonts w:cs="Open Sans"/>
                <w:color w:val="000000" w:themeColor="text1"/>
              </w:rPr>
              <w:t>Respect@Work</w:t>
            </w:r>
            <w:proofErr w:type="spellEnd"/>
            <w:r w:rsidRPr="009A4583">
              <w:rPr>
                <w:rFonts w:cs="Open Sans"/>
                <w:color w:val="000000" w:themeColor="text1"/>
              </w:rPr>
              <w:t xml:space="preserve"> portal (Recommendation 48)</w:t>
            </w:r>
          </w:p>
          <w:p w14:paraId="5774BF6E" w14:textId="77777777" w:rsidR="007B762F" w:rsidRPr="009A4583" w:rsidRDefault="007B762F" w:rsidP="00EA317B">
            <w:pPr>
              <w:pStyle w:val="ListParagraph"/>
              <w:ind w:left="1080"/>
              <w:rPr>
                <w:rFonts w:cs="Open Sans"/>
                <w:color w:val="000000" w:themeColor="text1"/>
              </w:rPr>
            </w:pPr>
          </w:p>
          <w:p w14:paraId="34E0D679" w14:textId="77777777" w:rsidR="007B762F" w:rsidRPr="009A4583" w:rsidRDefault="007B762F" w:rsidP="007B762F">
            <w:pPr>
              <w:pStyle w:val="ListParagraph"/>
              <w:numPr>
                <w:ilvl w:val="0"/>
                <w:numId w:val="1"/>
              </w:numPr>
              <w:rPr>
                <w:rFonts w:cs="Open Sans"/>
                <w:color w:val="000000" w:themeColor="text1"/>
              </w:rPr>
            </w:pPr>
            <w:r w:rsidRPr="009A4583">
              <w:rPr>
                <w:rFonts w:cs="Open Sans"/>
                <w:color w:val="000000" w:themeColor="text1"/>
              </w:rPr>
              <w:t xml:space="preserve">Other projects include continued monitoring of the implementation of the Change the course report recommendations by Australian universities </w:t>
            </w:r>
          </w:p>
        </w:tc>
      </w:tr>
      <w:tr w:rsidR="007B762F" w:rsidRPr="009A4583" w14:paraId="2F12CF2F" w14:textId="77777777" w:rsidTr="00EA317B">
        <w:trPr>
          <w:trHeight w:val="520"/>
        </w:trPr>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3993CB89" w14:textId="77777777" w:rsidR="007B762F" w:rsidRPr="009A4583" w:rsidRDefault="007B762F" w:rsidP="00EA317B">
            <w:pPr>
              <w:rPr>
                <w:rFonts w:cs="Open Sans"/>
                <w:b/>
                <w:color w:val="FFFFFF" w:themeColor="background1"/>
              </w:rPr>
            </w:pPr>
            <w:r w:rsidRPr="009A4583">
              <w:rPr>
                <w:rFonts w:cs="Open Sans"/>
                <w:b/>
                <w:color w:val="FFFFFF" w:themeColor="background1"/>
              </w:rPr>
              <w:t>Inclusion and sport</w:t>
            </w:r>
          </w:p>
        </w:tc>
        <w:tc>
          <w:tcPr>
            <w:tcW w:w="8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75F40FE6" w14:textId="77777777" w:rsidR="007B762F" w:rsidRPr="009A4583" w:rsidRDefault="007B762F" w:rsidP="007B762F">
            <w:pPr>
              <w:pStyle w:val="ListParagraph"/>
              <w:numPr>
                <w:ilvl w:val="0"/>
                <w:numId w:val="2"/>
              </w:numPr>
              <w:rPr>
                <w:rFonts w:cs="Open Sans"/>
                <w:color w:val="000000" w:themeColor="text1"/>
              </w:rPr>
            </w:pPr>
            <w:r w:rsidRPr="009A4583">
              <w:rPr>
                <w:rFonts w:cs="Open Sans"/>
                <w:color w:val="000000" w:themeColor="text1"/>
              </w:rPr>
              <w:t>Projects in this setting include supporting the work of Play by the Rules, a national collaboration to promote child safety, and promoting equal opportunity, anti-discrimination and inclusion in sport, especially in regard to women and girls.</w:t>
            </w:r>
          </w:p>
        </w:tc>
      </w:tr>
      <w:tr w:rsidR="007B762F" w:rsidRPr="009A4583" w14:paraId="4F6C80D0" w14:textId="77777777" w:rsidTr="00EA317B">
        <w:trPr>
          <w:trHeight w:val="218"/>
        </w:trPr>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7FA315D0" w14:textId="77777777" w:rsidR="007B762F" w:rsidRPr="009A4583" w:rsidRDefault="007B762F" w:rsidP="00EA317B">
            <w:pPr>
              <w:rPr>
                <w:rFonts w:cs="Open Sans"/>
                <w:b/>
                <w:color w:val="FFFFFF" w:themeColor="background1"/>
              </w:rPr>
            </w:pPr>
            <w:r w:rsidRPr="009A4583">
              <w:rPr>
                <w:rFonts w:cs="Open Sans"/>
                <w:b/>
                <w:color w:val="FFFFFF" w:themeColor="background1"/>
              </w:rPr>
              <w:t>Women’s economic security projects</w:t>
            </w:r>
          </w:p>
        </w:tc>
        <w:tc>
          <w:tcPr>
            <w:tcW w:w="8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2E88C14D" w14:textId="77777777" w:rsidR="007B762F" w:rsidRPr="009A4583" w:rsidRDefault="007B762F" w:rsidP="007B762F">
            <w:pPr>
              <w:pStyle w:val="ListParagraph"/>
              <w:numPr>
                <w:ilvl w:val="0"/>
                <w:numId w:val="2"/>
              </w:numPr>
              <w:rPr>
                <w:rFonts w:cs="Open Sans"/>
                <w:color w:val="000000" w:themeColor="text1"/>
              </w:rPr>
            </w:pPr>
            <w:r w:rsidRPr="009A4583">
              <w:rPr>
                <w:rFonts w:cs="Open Sans"/>
                <w:color w:val="000000" w:themeColor="text1"/>
              </w:rPr>
              <w:t xml:space="preserve">Projects include developing a Gender Framework, ensuring that the Australian Government considers gender issues in their decision making on COVID-19 recovery, including the identification of policy areas and actions to prioritise, implementation plans and communication strategies. </w:t>
            </w:r>
          </w:p>
        </w:tc>
      </w:tr>
      <w:tr w:rsidR="007B762F" w:rsidRPr="009A4583" w14:paraId="21BD2883" w14:textId="77777777" w:rsidTr="00EA317B">
        <w:trPr>
          <w:trHeight w:val="218"/>
        </w:trPr>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10967D3D" w14:textId="77777777" w:rsidR="007B762F" w:rsidRPr="009A4583" w:rsidRDefault="007B762F" w:rsidP="00EA317B">
            <w:pPr>
              <w:rPr>
                <w:rFonts w:cs="Open Sans"/>
                <w:b/>
                <w:color w:val="FFFFFF" w:themeColor="background1"/>
              </w:rPr>
            </w:pPr>
            <w:proofErr w:type="spellStart"/>
            <w:r w:rsidRPr="009A4583">
              <w:rPr>
                <w:rFonts w:cs="Open Sans"/>
                <w:b/>
                <w:color w:val="FFFFFF" w:themeColor="background1"/>
                <w:lang w:val="it-IT"/>
              </w:rPr>
              <w:t>Defence</w:t>
            </w:r>
            <w:proofErr w:type="spellEnd"/>
            <w:r w:rsidRPr="009A4583">
              <w:rPr>
                <w:rFonts w:cs="Open Sans"/>
                <w:b/>
                <w:color w:val="FFFFFF" w:themeColor="background1"/>
                <w:lang w:val="it-IT"/>
              </w:rPr>
              <w:t xml:space="preserve"> Cultural </w:t>
            </w:r>
            <w:proofErr w:type="spellStart"/>
            <w:r w:rsidRPr="009A4583">
              <w:rPr>
                <w:rFonts w:cs="Open Sans"/>
                <w:b/>
                <w:color w:val="FFFFFF" w:themeColor="background1"/>
                <w:lang w:val="it-IT"/>
              </w:rPr>
              <w:t>Reform</w:t>
            </w:r>
            <w:proofErr w:type="spellEnd"/>
            <w:r w:rsidRPr="009A4583">
              <w:rPr>
                <w:rFonts w:cs="Open Sans"/>
                <w:b/>
                <w:color w:val="FFFFFF" w:themeColor="background1"/>
                <w:lang w:val="it-IT"/>
              </w:rPr>
              <w:t xml:space="preserve"> Collaboration </w:t>
            </w:r>
          </w:p>
        </w:tc>
        <w:tc>
          <w:tcPr>
            <w:tcW w:w="8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784F402F" w14:textId="77777777" w:rsidR="007B762F" w:rsidRPr="009A4583" w:rsidRDefault="007B762F" w:rsidP="007B762F">
            <w:pPr>
              <w:pStyle w:val="ListParagraph"/>
              <w:numPr>
                <w:ilvl w:val="0"/>
                <w:numId w:val="2"/>
              </w:numPr>
              <w:rPr>
                <w:rFonts w:cs="Open Sans"/>
                <w:color w:val="000000" w:themeColor="text1"/>
              </w:rPr>
            </w:pPr>
            <w:r w:rsidRPr="009A4583">
              <w:rPr>
                <w:rFonts w:cs="Open Sans"/>
                <w:color w:val="000000" w:themeColor="text1"/>
              </w:rPr>
              <w:t>This Collaboration engages the three Services and the Department of Defence to support and improve Defence cultural reform priorities.</w:t>
            </w:r>
          </w:p>
          <w:p w14:paraId="135E3FAA" w14:textId="77777777" w:rsidR="007B762F" w:rsidRPr="009A4583" w:rsidRDefault="007B762F" w:rsidP="007B762F">
            <w:pPr>
              <w:pStyle w:val="ListParagraph"/>
              <w:numPr>
                <w:ilvl w:val="0"/>
                <w:numId w:val="2"/>
              </w:numPr>
              <w:rPr>
                <w:rFonts w:cs="Open Sans"/>
                <w:color w:val="000000" w:themeColor="text1"/>
              </w:rPr>
            </w:pPr>
            <w:r w:rsidRPr="009A4583">
              <w:rPr>
                <w:rFonts w:cs="Open Sans"/>
                <w:color w:val="000000" w:themeColor="text1"/>
              </w:rPr>
              <w:t>Projects include: Indigenous attraction, recruitment and retention across Defence; an Inclusive Leadership Network for senior leaders; supporting the development of a reliable reporting framework for workplace behaviour as well as a Navy-specific</w:t>
            </w:r>
            <w:r w:rsidRPr="009A4583">
              <w:rPr>
                <w:rFonts w:cs="Open Sans"/>
                <w:strike/>
                <w:color w:val="000000" w:themeColor="text1"/>
              </w:rPr>
              <w:t xml:space="preserve"> </w:t>
            </w:r>
            <w:r w:rsidRPr="009A4583">
              <w:rPr>
                <w:rFonts w:cs="Open Sans"/>
                <w:color w:val="000000" w:themeColor="text1"/>
              </w:rPr>
              <w:t>project with Clearance Divers</w:t>
            </w:r>
          </w:p>
        </w:tc>
      </w:tr>
      <w:tr w:rsidR="007B762F" w:rsidRPr="009A4583" w14:paraId="1196EE8C" w14:textId="77777777" w:rsidTr="00EA317B">
        <w:trPr>
          <w:trHeight w:val="218"/>
        </w:trPr>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70C7F591" w14:textId="77777777" w:rsidR="007B762F" w:rsidRPr="009A4583" w:rsidRDefault="007B762F" w:rsidP="00EA317B">
            <w:pPr>
              <w:rPr>
                <w:rFonts w:cs="Open Sans"/>
                <w:b/>
                <w:color w:val="FFFFFF" w:themeColor="background1"/>
              </w:rPr>
            </w:pPr>
            <w:bookmarkStart w:id="7" w:name="_Hlk10454562"/>
            <w:r w:rsidRPr="009A4583">
              <w:rPr>
                <w:rFonts w:cs="Open Sans"/>
                <w:b/>
                <w:color w:val="FFFFFF" w:themeColor="background1"/>
              </w:rPr>
              <w:t xml:space="preserve">Increased diversity in leadership  </w:t>
            </w:r>
          </w:p>
        </w:tc>
        <w:tc>
          <w:tcPr>
            <w:tcW w:w="8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42249C8F" w14:textId="77777777" w:rsidR="007B762F" w:rsidRPr="009A4583" w:rsidRDefault="007B762F" w:rsidP="007B762F">
            <w:pPr>
              <w:pStyle w:val="ListParagraph"/>
              <w:numPr>
                <w:ilvl w:val="0"/>
                <w:numId w:val="3"/>
              </w:numPr>
              <w:rPr>
                <w:rFonts w:cs="Open Sans"/>
                <w:color w:val="000000" w:themeColor="text1"/>
              </w:rPr>
            </w:pPr>
            <w:r w:rsidRPr="009A4583">
              <w:rPr>
                <w:rFonts w:cs="Open Sans"/>
                <w:color w:val="000000" w:themeColor="text1"/>
              </w:rPr>
              <w:t>Projects include a discussion paper on Women in Politics, which will identify barriers to achieving gender balance in political representation across local, state and federal levels of Government, as well as strategies to improve gender balance in the political sphere.</w:t>
            </w:r>
          </w:p>
        </w:tc>
      </w:tr>
      <w:bookmarkEnd w:id="7"/>
    </w:tbl>
    <w:p w14:paraId="664A271B" w14:textId="77777777" w:rsidR="007B762F" w:rsidRPr="009A4583" w:rsidRDefault="007B762F" w:rsidP="007B762F">
      <w:pPr>
        <w:rPr>
          <w:rFonts w:cs="Open Sans"/>
          <w:color w:val="000000" w:themeColor="text1"/>
        </w:rPr>
      </w:pPr>
    </w:p>
    <w:p w14:paraId="45CB2421" w14:textId="77777777" w:rsidR="007B762F" w:rsidRPr="009A4583" w:rsidRDefault="007B762F" w:rsidP="007B762F">
      <w:pPr>
        <w:spacing w:after="0"/>
        <w:rPr>
          <w:rFonts w:cs="Open Sans"/>
          <w:color w:val="000000" w:themeColor="text1"/>
        </w:rPr>
      </w:pPr>
      <w:r w:rsidRPr="009A4583">
        <w:rPr>
          <w:rFonts w:cs="Open Sans"/>
          <w:color w:val="000000" w:themeColor="text1"/>
        </w:rPr>
        <w:br w:type="page"/>
      </w:r>
    </w:p>
    <w:p w14:paraId="38FC077B" w14:textId="77777777" w:rsidR="003B4E16" w:rsidRDefault="007B762F">
      <w:bookmarkStart w:id="8" w:name="_GoBack"/>
      <w:bookmarkEnd w:id="8"/>
    </w:p>
    <w:sectPr w:rsidR="003B4E16" w:rsidSect="002109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HelveticaNeueLT Pro 57 Cn">
    <w:altName w:val="Arial"/>
    <w:panose1 w:val="020B060402020202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1F7B"/>
    <w:multiLevelType w:val="hybridMultilevel"/>
    <w:tmpl w:val="BA004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343608"/>
    <w:multiLevelType w:val="hybridMultilevel"/>
    <w:tmpl w:val="6D0CF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33B14BA"/>
    <w:multiLevelType w:val="hybridMultilevel"/>
    <w:tmpl w:val="58960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C83384B"/>
    <w:multiLevelType w:val="hybridMultilevel"/>
    <w:tmpl w:val="9B78CD24"/>
    <w:lvl w:ilvl="0" w:tplc="6A802D0A">
      <w:start w:val="20"/>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71D4221"/>
    <w:multiLevelType w:val="hybridMultilevel"/>
    <w:tmpl w:val="1E4C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2F"/>
    <w:rsid w:val="001060D5"/>
    <w:rsid w:val="00210904"/>
    <w:rsid w:val="00682B4D"/>
    <w:rsid w:val="007B762F"/>
    <w:rsid w:val="00A25AC1"/>
    <w:rsid w:val="00B9781F"/>
    <w:rsid w:val="00BE00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0726B4"/>
  <w14:defaultImageDpi w14:val="32767"/>
  <w15:chartTrackingRefBased/>
  <w15:docId w15:val="{3F3CEE17-3959-8244-ABF7-82E85CB2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62F"/>
    <w:pPr>
      <w:spacing w:after="120"/>
    </w:pPr>
    <w:rPr>
      <w:rFonts w:ascii="Open Sans" w:eastAsiaTheme="minorHAnsi" w:hAnsi="Open Sans"/>
      <w:sz w:val="16"/>
      <w:lang w:val="en-AU" w:eastAsia="en-US"/>
    </w:rPr>
  </w:style>
  <w:style w:type="paragraph" w:styleId="Heading1">
    <w:name w:val="heading 1"/>
    <w:basedOn w:val="Normal"/>
    <w:next w:val="Normal"/>
    <w:link w:val="Heading1Char"/>
    <w:uiPriority w:val="9"/>
    <w:qFormat/>
    <w:rsid w:val="007B762F"/>
    <w:pPr>
      <w:keepNext/>
      <w:keepLines/>
      <w:outlineLvl w:val="0"/>
    </w:pPr>
    <w:rPr>
      <w:rFonts w:ascii="Arial Narrow" w:eastAsiaTheme="majorEastAsia" w:hAnsi="Arial Narrow" w:cstheme="majorBidi"/>
      <w:b/>
      <w:sz w:val="32"/>
      <w:szCs w:val="32"/>
    </w:rPr>
  </w:style>
  <w:style w:type="paragraph" w:styleId="Heading2">
    <w:name w:val="heading 2"/>
    <w:basedOn w:val="Normal"/>
    <w:next w:val="Normal"/>
    <w:link w:val="Heading2Char"/>
    <w:uiPriority w:val="9"/>
    <w:unhideWhenUsed/>
    <w:qFormat/>
    <w:rsid w:val="007B762F"/>
    <w:pPr>
      <w:keepNext/>
      <w:keepLines/>
      <w:spacing w:after="240"/>
      <w:outlineLvl w:val="1"/>
    </w:pPr>
    <w:rPr>
      <w:rFonts w:eastAsiaTheme="majorEastAsia" w:cstheme="majorBidi"/>
      <w:color w:val="ED7D31" w:themeColor="accent2"/>
      <w:sz w:val="28"/>
      <w:szCs w:val="26"/>
    </w:rPr>
  </w:style>
  <w:style w:type="paragraph" w:styleId="Heading3">
    <w:name w:val="heading 3"/>
    <w:basedOn w:val="Normal"/>
    <w:next w:val="Normal"/>
    <w:link w:val="Heading3Char"/>
    <w:uiPriority w:val="9"/>
    <w:unhideWhenUsed/>
    <w:qFormat/>
    <w:rsid w:val="007B762F"/>
    <w:pPr>
      <w:keepNext/>
      <w:keepLines/>
      <w:spacing w:before="40" w:after="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2F"/>
    <w:rPr>
      <w:rFonts w:ascii="Arial Narrow" w:eastAsiaTheme="majorEastAsia" w:hAnsi="Arial Narrow" w:cstheme="majorBidi"/>
      <w:b/>
      <w:sz w:val="32"/>
      <w:szCs w:val="32"/>
      <w:lang w:val="en-AU" w:eastAsia="en-US"/>
    </w:rPr>
  </w:style>
  <w:style w:type="character" w:customStyle="1" w:styleId="Heading2Char">
    <w:name w:val="Heading 2 Char"/>
    <w:basedOn w:val="DefaultParagraphFont"/>
    <w:link w:val="Heading2"/>
    <w:uiPriority w:val="9"/>
    <w:rsid w:val="007B762F"/>
    <w:rPr>
      <w:rFonts w:ascii="Open Sans" w:eastAsiaTheme="majorEastAsia" w:hAnsi="Open Sans" w:cstheme="majorBidi"/>
      <w:color w:val="ED7D31" w:themeColor="accent2"/>
      <w:sz w:val="28"/>
      <w:szCs w:val="26"/>
      <w:lang w:val="en-AU" w:eastAsia="en-US"/>
    </w:rPr>
  </w:style>
  <w:style w:type="character" w:customStyle="1" w:styleId="Heading3Char">
    <w:name w:val="Heading 3 Char"/>
    <w:basedOn w:val="DefaultParagraphFont"/>
    <w:link w:val="Heading3"/>
    <w:uiPriority w:val="9"/>
    <w:rsid w:val="007B762F"/>
    <w:rPr>
      <w:rFonts w:ascii="Open Sans" w:eastAsiaTheme="majorEastAsia" w:hAnsi="Open Sans" w:cstheme="majorBidi"/>
      <w:sz w:val="16"/>
      <w:lang w:val="en-AU" w:eastAsia="en-US"/>
    </w:rPr>
  </w:style>
  <w:style w:type="table" w:styleId="TableGrid">
    <w:name w:val="Table Grid"/>
    <w:basedOn w:val="TableNormal"/>
    <w:uiPriority w:val="39"/>
    <w:rsid w:val="007B762F"/>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densedBold">
    <w:name w:val="Condensed Bold"/>
    <w:uiPriority w:val="99"/>
    <w:rsid w:val="007B762F"/>
    <w:rPr>
      <w:rFonts w:ascii="HelveticaNeueLT Pro 57 Cn" w:hAnsi="HelveticaNeueLT Pro 57 Cn" w:cs="HelveticaNeueLT Pro 57 Cn"/>
      <w:b/>
      <w:bCs/>
      <w:u w:val="none"/>
    </w:rPr>
  </w:style>
  <w:style w:type="paragraph" w:styleId="ListParagraph">
    <w:name w:val="List Paragraph"/>
    <w:basedOn w:val="Normal"/>
    <w:uiPriority w:val="34"/>
    <w:qFormat/>
    <w:rsid w:val="007B7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Kwan</dc:creator>
  <cp:keywords/>
  <dc:description/>
  <cp:lastModifiedBy>Connie Kwan</cp:lastModifiedBy>
  <cp:revision>1</cp:revision>
  <dcterms:created xsi:type="dcterms:W3CDTF">2020-09-01T01:12:00Z</dcterms:created>
  <dcterms:modified xsi:type="dcterms:W3CDTF">2020-09-01T01:13:00Z</dcterms:modified>
</cp:coreProperties>
</file>