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5D81D" w14:textId="4267C0E0" w:rsidR="00A355F9" w:rsidRDefault="00826D59" w:rsidP="00A355F9">
      <w:pPr>
        <w:pStyle w:val="MainTitle"/>
      </w:pPr>
      <w:r>
        <w:t>Migration Amendment (Removals and Other Measures) Bill 2024</w:t>
      </w:r>
    </w:p>
    <w:p w14:paraId="6310B40A" w14:textId="77777777" w:rsidR="00817C73" w:rsidRDefault="00817C73" w:rsidP="00817C73">
      <w:pPr>
        <w:pStyle w:val="Subtitle"/>
      </w:pPr>
      <w:bookmarkStart w:id="0" w:name="_Toc515873204"/>
      <w:bookmarkStart w:id="1" w:name="_Toc136615675"/>
      <w:bookmarkStart w:id="2" w:name="_Toc136856493"/>
      <w:bookmarkStart w:id="3" w:name="_Toc136871715"/>
      <w:bookmarkStart w:id="4" w:name="_Toc137644298"/>
      <w:bookmarkStart w:id="5" w:name="_Toc138152257"/>
      <w:bookmarkStart w:id="6" w:name="_Toc162968813"/>
      <w:bookmarkStart w:id="7" w:name="_Toc163125297"/>
      <w:bookmarkStart w:id="8" w:name="_Toc163125369"/>
      <w:bookmarkStart w:id="9" w:name="_Toc163488866"/>
      <w:bookmarkStart w:id="10" w:name="_Toc163501882"/>
      <w:r>
        <w:t>Australian Human Rights Commission</w:t>
      </w:r>
      <w:bookmarkEnd w:id="0"/>
      <w:bookmarkEnd w:id="1"/>
      <w:bookmarkEnd w:id="2"/>
      <w:bookmarkEnd w:id="3"/>
      <w:bookmarkEnd w:id="4"/>
      <w:bookmarkEnd w:id="5"/>
      <w:bookmarkEnd w:id="6"/>
      <w:bookmarkEnd w:id="7"/>
      <w:bookmarkEnd w:id="8"/>
      <w:bookmarkEnd w:id="9"/>
      <w:bookmarkEnd w:id="10"/>
    </w:p>
    <w:p w14:paraId="12D7C5DE" w14:textId="0D849A45" w:rsidR="00817C73" w:rsidRDefault="00817C73" w:rsidP="00817C73">
      <w:pPr>
        <w:pStyle w:val="Subtitle"/>
      </w:pPr>
      <w:bookmarkStart w:id="11" w:name="_Toc515873205"/>
      <w:bookmarkStart w:id="12" w:name="_Toc136615676"/>
      <w:bookmarkStart w:id="13" w:name="_Toc136856494"/>
      <w:bookmarkStart w:id="14" w:name="_Toc136871716"/>
      <w:bookmarkStart w:id="15" w:name="_Toc137644299"/>
      <w:bookmarkStart w:id="16" w:name="_Toc138152258"/>
      <w:bookmarkStart w:id="17" w:name="_Toc162968814"/>
      <w:bookmarkStart w:id="18" w:name="_Toc163125298"/>
      <w:bookmarkStart w:id="19" w:name="_Toc163125370"/>
      <w:bookmarkStart w:id="20" w:name="_Toc163488867"/>
      <w:bookmarkStart w:id="21" w:name="_Toc163501883"/>
      <w:r>
        <w:t xml:space="preserve">Submission to the </w:t>
      </w:r>
      <w:bookmarkEnd w:id="11"/>
      <w:bookmarkEnd w:id="12"/>
      <w:bookmarkEnd w:id="13"/>
      <w:bookmarkEnd w:id="14"/>
      <w:bookmarkEnd w:id="15"/>
      <w:bookmarkEnd w:id="16"/>
      <w:r w:rsidR="00826D59">
        <w:t>Senate Standing Committee on Legal and Constitutional Affairs</w:t>
      </w:r>
      <w:bookmarkEnd w:id="17"/>
      <w:bookmarkEnd w:id="18"/>
      <w:bookmarkEnd w:id="19"/>
      <w:bookmarkEnd w:id="20"/>
      <w:bookmarkEnd w:id="21"/>
    </w:p>
    <w:p w14:paraId="7ACE8E24" w14:textId="278C3987" w:rsidR="00F220A5" w:rsidRPr="00817C73" w:rsidRDefault="00C7501C" w:rsidP="00F220A5">
      <w:pPr>
        <w:pStyle w:val="Date"/>
      </w:pPr>
      <w:r>
        <w:t xml:space="preserve">12 </w:t>
      </w:r>
      <w:r w:rsidR="00826D59">
        <w:t>April 2024</w:t>
      </w:r>
    </w:p>
    <w:p w14:paraId="612FF9A1" w14:textId="77777777" w:rsidR="00AC636D" w:rsidRDefault="00AC636D" w:rsidP="00AC636D"/>
    <w:p w14:paraId="08888DC0" w14:textId="77777777" w:rsidR="009E4BD0" w:rsidRPr="00AC636D" w:rsidRDefault="009E4BD0" w:rsidP="00AC636D">
      <w:pPr>
        <w:sectPr w:rsidR="009E4BD0" w:rsidRPr="00AC636D" w:rsidSect="000F23CF">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1FA06E5F" w14:textId="77777777" w:rsidR="00957396" w:rsidRDefault="00957396" w:rsidP="00957396">
      <w:pPr>
        <w:pStyle w:val="TOC2"/>
      </w:pPr>
    </w:p>
    <w:p w14:paraId="35604F15" w14:textId="4D430840" w:rsidR="00957396" w:rsidRPr="0068436E" w:rsidRDefault="000B5B68" w:rsidP="00957396">
      <w:pPr>
        <w:pStyle w:val="TOC2"/>
        <w:rPr>
          <w:rFonts w:asciiTheme="minorHAnsi" w:eastAsiaTheme="minorEastAsia" w:hAnsiTheme="minorHAnsi" w:cstheme="minorBidi"/>
          <w:b w:val="0"/>
          <w:i w:val="0"/>
          <w:iCs/>
          <w:kern w:val="2"/>
          <w14:ligatures w14:val="standardContextual"/>
        </w:rPr>
      </w:pPr>
      <w:r w:rsidRPr="0068436E">
        <w:rPr>
          <w:i w:val="0"/>
          <w:iCs/>
        </w:rPr>
        <w:t>Contents</w:t>
      </w:r>
      <w:r w:rsidRPr="000465F1">
        <w:rPr>
          <w:i w:val="0"/>
          <w:iCs/>
        </w:rPr>
        <w:fldChar w:fldCharType="begin"/>
      </w:r>
      <w:r w:rsidRPr="0068436E">
        <w:rPr>
          <w:i w:val="0"/>
          <w:iCs/>
        </w:rPr>
        <w:instrText xml:space="preserve"> TOC \o "1-3" \h \z \u </w:instrText>
      </w:r>
      <w:r w:rsidRPr="000465F1">
        <w:rPr>
          <w:i w:val="0"/>
          <w:iCs/>
        </w:rPr>
        <w:fldChar w:fldCharType="separate"/>
      </w:r>
    </w:p>
    <w:p w14:paraId="4AC6AB59" w14:textId="759E0F04" w:rsidR="00957396" w:rsidRDefault="00086502">
      <w:pPr>
        <w:pStyle w:val="TOC1"/>
        <w:rPr>
          <w:rFonts w:asciiTheme="minorHAnsi" w:eastAsiaTheme="minorEastAsia" w:hAnsiTheme="minorHAnsi" w:cstheme="minorBidi"/>
          <w:b w:val="0"/>
          <w:kern w:val="2"/>
          <w14:ligatures w14:val="standardContextual"/>
        </w:rPr>
      </w:pPr>
      <w:hyperlink w:anchor="_Toc163501884" w:history="1">
        <w:r w:rsidR="00957396" w:rsidRPr="008C5793">
          <w:rPr>
            <w:rStyle w:val="Hyperlink"/>
          </w:rPr>
          <w:t>1</w:t>
        </w:r>
        <w:r w:rsidR="00957396">
          <w:rPr>
            <w:rFonts w:asciiTheme="minorHAnsi" w:eastAsiaTheme="minorEastAsia" w:hAnsiTheme="minorHAnsi" w:cstheme="minorBidi"/>
            <w:b w:val="0"/>
            <w:kern w:val="2"/>
            <w14:ligatures w14:val="standardContextual"/>
          </w:rPr>
          <w:tab/>
        </w:r>
        <w:r w:rsidR="00957396" w:rsidRPr="008C5793">
          <w:rPr>
            <w:rStyle w:val="Hyperlink"/>
          </w:rPr>
          <w:t>Introduction</w:t>
        </w:r>
        <w:r w:rsidR="00957396">
          <w:rPr>
            <w:webHidden/>
          </w:rPr>
          <w:tab/>
        </w:r>
        <w:r w:rsidR="00957396">
          <w:rPr>
            <w:webHidden/>
          </w:rPr>
          <w:fldChar w:fldCharType="begin"/>
        </w:r>
        <w:r w:rsidR="00957396">
          <w:rPr>
            <w:webHidden/>
          </w:rPr>
          <w:instrText xml:space="preserve"> PAGEREF _Toc163501884 \h </w:instrText>
        </w:r>
        <w:r w:rsidR="00957396">
          <w:rPr>
            <w:webHidden/>
          </w:rPr>
        </w:r>
        <w:r w:rsidR="00957396">
          <w:rPr>
            <w:webHidden/>
          </w:rPr>
          <w:fldChar w:fldCharType="separate"/>
        </w:r>
        <w:r w:rsidR="002A1F14">
          <w:rPr>
            <w:webHidden/>
          </w:rPr>
          <w:t>3</w:t>
        </w:r>
        <w:r w:rsidR="00957396">
          <w:rPr>
            <w:webHidden/>
          </w:rPr>
          <w:fldChar w:fldCharType="end"/>
        </w:r>
      </w:hyperlink>
    </w:p>
    <w:p w14:paraId="42A8638D" w14:textId="1F660C7B" w:rsidR="00957396" w:rsidRDefault="00086502">
      <w:pPr>
        <w:pStyle w:val="TOC1"/>
        <w:rPr>
          <w:rFonts w:asciiTheme="minorHAnsi" w:eastAsiaTheme="minorEastAsia" w:hAnsiTheme="minorHAnsi" w:cstheme="minorBidi"/>
          <w:b w:val="0"/>
          <w:kern w:val="2"/>
          <w14:ligatures w14:val="standardContextual"/>
        </w:rPr>
      </w:pPr>
      <w:hyperlink w:anchor="_Toc163501885" w:history="1">
        <w:r w:rsidR="00957396" w:rsidRPr="008C5793">
          <w:rPr>
            <w:rStyle w:val="Hyperlink"/>
          </w:rPr>
          <w:t>2</w:t>
        </w:r>
        <w:r w:rsidR="00957396">
          <w:rPr>
            <w:rFonts w:asciiTheme="minorHAnsi" w:eastAsiaTheme="minorEastAsia" w:hAnsiTheme="minorHAnsi" w:cstheme="minorBidi"/>
            <w:b w:val="0"/>
            <w:kern w:val="2"/>
            <w14:ligatures w14:val="standardContextual"/>
          </w:rPr>
          <w:tab/>
        </w:r>
        <w:r w:rsidR="00957396" w:rsidRPr="008C5793">
          <w:rPr>
            <w:rStyle w:val="Hyperlink"/>
          </w:rPr>
          <w:t>Summary</w:t>
        </w:r>
        <w:r w:rsidR="00957396">
          <w:rPr>
            <w:webHidden/>
          </w:rPr>
          <w:tab/>
        </w:r>
        <w:r w:rsidR="00957396">
          <w:rPr>
            <w:webHidden/>
          </w:rPr>
          <w:fldChar w:fldCharType="begin"/>
        </w:r>
        <w:r w:rsidR="00957396">
          <w:rPr>
            <w:webHidden/>
          </w:rPr>
          <w:instrText xml:space="preserve"> PAGEREF _Toc163501885 \h </w:instrText>
        </w:r>
        <w:r w:rsidR="00957396">
          <w:rPr>
            <w:webHidden/>
          </w:rPr>
        </w:r>
        <w:r w:rsidR="00957396">
          <w:rPr>
            <w:webHidden/>
          </w:rPr>
          <w:fldChar w:fldCharType="separate"/>
        </w:r>
        <w:r w:rsidR="002A1F14">
          <w:rPr>
            <w:webHidden/>
          </w:rPr>
          <w:t>3</w:t>
        </w:r>
        <w:r w:rsidR="00957396">
          <w:rPr>
            <w:webHidden/>
          </w:rPr>
          <w:fldChar w:fldCharType="end"/>
        </w:r>
      </w:hyperlink>
    </w:p>
    <w:p w14:paraId="50FFF97B" w14:textId="0929FCE3" w:rsidR="00957396" w:rsidRDefault="00086502">
      <w:pPr>
        <w:pStyle w:val="TOC1"/>
        <w:rPr>
          <w:rFonts w:asciiTheme="minorHAnsi" w:eastAsiaTheme="minorEastAsia" w:hAnsiTheme="minorHAnsi" w:cstheme="minorBidi"/>
          <w:b w:val="0"/>
          <w:kern w:val="2"/>
          <w14:ligatures w14:val="standardContextual"/>
        </w:rPr>
      </w:pPr>
      <w:hyperlink w:anchor="_Toc163501886" w:history="1">
        <w:r w:rsidR="00957396" w:rsidRPr="008C5793">
          <w:rPr>
            <w:rStyle w:val="Hyperlink"/>
          </w:rPr>
          <w:t>3</w:t>
        </w:r>
        <w:r w:rsidR="00957396">
          <w:rPr>
            <w:rFonts w:asciiTheme="minorHAnsi" w:eastAsiaTheme="minorEastAsia" w:hAnsiTheme="minorHAnsi" w:cstheme="minorBidi"/>
            <w:b w:val="0"/>
            <w:kern w:val="2"/>
            <w14:ligatures w14:val="standardContextual"/>
          </w:rPr>
          <w:tab/>
        </w:r>
        <w:r w:rsidR="00957396" w:rsidRPr="008C5793">
          <w:rPr>
            <w:rStyle w:val="Hyperlink"/>
          </w:rPr>
          <w:t>Recommendations</w:t>
        </w:r>
        <w:r w:rsidR="00957396">
          <w:rPr>
            <w:webHidden/>
          </w:rPr>
          <w:tab/>
        </w:r>
        <w:r w:rsidR="00957396">
          <w:rPr>
            <w:webHidden/>
          </w:rPr>
          <w:fldChar w:fldCharType="begin"/>
        </w:r>
        <w:r w:rsidR="00957396">
          <w:rPr>
            <w:webHidden/>
          </w:rPr>
          <w:instrText xml:space="preserve"> PAGEREF _Toc163501886 \h </w:instrText>
        </w:r>
        <w:r w:rsidR="00957396">
          <w:rPr>
            <w:webHidden/>
          </w:rPr>
        </w:r>
        <w:r w:rsidR="00957396">
          <w:rPr>
            <w:webHidden/>
          </w:rPr>
          <w:fldChar w:fldCharType="separate"/>
        </w:r>
        <w:r w:rsidR="002A1F14">
          <w:rPr>
            <w:webHidden/>
          </w:rPr>
          <w:t>4</w:t>
        </w:r>
        <w:r w:rsidR="00957396">
          <w:rPr>
            <w:webHidden/>
          </w:rPr>
          <w:fldChar w:fldCharType="end"/>
        </w:r>
      </w:hyperlink>
    </w:p>
    <w:p w14:paraId="0712B4AF" w14:textId="1D707C15" w:rsidR="00957396" w:rsidRDefault="00086502">
      <w:pPr>
        <w:pStyle w:val="TOC1"/>
        <w:rPr>
          <w:rFonts w:asciiTheme="minorHAnsi" w:eastAsiaTheme="minorEastAsia" w:hAnsiTheme="minorHAnsi" w:cstheme="minorBidi"/>
          <w:b w:val="0"/>
          <w:kern w:val="2"/>
          <w14:ligatures w14:val="standardContextual"/>
        </w:rPr>
      </w:pPr>
      <w:hyperlink w:anchor="_Toc163501887" w:history="1">
        <w:r w:rsidR="00957396" w:rsidRPr="008C5793">
          <w:rPr>
            <w:rStyle w:val="Hyperlink"/>
          </w:rPr>
          <w:t>4</w:t>
        </w:r>
        <w:r w:rsidR="00957396">
          <w:rPr>
            <w:rFonts w:asciiTheme="minorHAnsi" w:eastAsiaTheme="minorEastAsia" w:hAnsiTheme="minorHAnsi" w:cstheme="minorBidi"/>
            <w:b w:val="0"/>
            <w:kern w:val="2"/>
            <w14:ligatures w14:val="standardContextual"/>
          </w:rPr>
          <w:tab/>
        </w:r>
        <w:r w:rsidR="00957396" w:rsidRPr="008C5793">
          <w:rPr>
            <w:rStyle w:val="Hyperlink"/>
          </w:rPr>
          <w:t>Background</w:t>
        </w:r>
        <w:r w:rsidR="00957396">
          <w:rPr>
            <w:webHidden/>
          </w:rPr>
          <w:tab/>
        </w:r>
        <w:r w:rsidR="00957396">
          <w:rPr>
            <w:webHidden/>
          </w:rPr>
          <w:fldChar w:fldCharType="begin"/>
        </w:r>
        <w:r w:rsidR="00957396">
          <w:rPr>
            <w:webHidden/>
          </w:rPr>
          <w:instrText xml:space="preserve"> PAGEREF _Toc163501887 \h </w:instrText>
        </w:r>
        <w:r w:rsidR="00957396">
          <w:rPr>
            <w:webHidden/>
          </w:rPr>
        </w:r>
        <w:r w:rsidR="00957396">
          <w:rPr>
            <w:webHidden/>
          </w:rPr>
          <w:fldChar w:fldCharType="separate"/>
        </w:r>
        <w:r w:rsidR="002A1F14">
          <w:rPr>
            <w:webHidden/>
          </w:rPr>
          <w:t>6</w:t>
        </w:r>
        <w:r w:rsidR="00957396">
          <w:rPr>
            <w:webHidden/>
          </w:rPr>
          <w:fldChar w:fldCharType="end"/>
        </w:r>
      </w:hyperlink>
    </w:p>
    <w:p w14:paraId="73AA5E9C" w14:textId="77B7E509" w:rsidR="00957396" w:rsidRDefault="00086502">
      <w:pPr>
        <w:pStyle w:val="TOC1"/>
        <w:rPr>
          <w:rFonts w:asciiTheme="minorHAnsi" w:eastAsiaTheme="minorEastAsia" w:hAnsiTheme="minorHAnsi" w:cstheme="minorBidi"/>
          <w:b w:val="0"/>
          <w:kern w:val="2"/>
          <w14:ligatures w14:val="standardContextual"/>
        </w:rPr>
      </w:pPr>
      <w:hyperlink w:anchor="_Toc163501888" w:history="1">
        <w:r w:rsidR="00957396" w:rsidRPr="008C5793">
          <w:rPr>
            <w:rStyle w:val="Hyperlink"/>
          </w:rPr>
          <w:t>5</w:t>
        </w:r>
        <w:r w:rsidR="00957396">
          <w:rPr>
            <w:rFonts w:asciiTheme="minorHAnsi" w:eastAsiaTheme="minorEastAsia" w:hAnsiTheme="minorHAnsi" w:cstheme="minorBidi"/>
            <w:b w:val="0"/>
            <w:kern w:val="2"/>
            <w14:ligatures w14:val="standardContextual"/>
          </w:rPr>
          <w:tab/>
        </w:r>
        <w:r w:rsidR="00957396" w:rsidRPr="008C5793">
          <w:rPr>
            <w:rStyle w:val="Hyperlink"/>
          </w:rPr>
          <w:t>Removal pathway directions</w:t>
        </w:r>
        <w:r w:rsidR="00957396">
          <w:rPr>
            <w:webHidden/>
          </w:rPr>
          <w:tab/>
        </w:r>
        <w:r w:rsidR="00957396">
          <w:rPr>
            <w:webHidden/>
          </w:rPr>
          <w:fldChar w:fldCharType="begin"/>
        </w:r>
        <w:r w:rsidR="00957396">
          <w:rPr>
            <w:webHidden/>
          </w:rPr>
          <w:instrText xml:space="preserve"> PAGEREF _Toc163501888 \h </w:instrText>
        </w:r>
        <w:r w:rsidR="00957396">
          <w:rPr>
            <w:webHidden/>
          </w:rPr>
        </w:r>
        <w:r w:rsidR="00957396">
          <w:rPr>
            <w:webHidden/>
          </w:rPr>
          <w:fldChar w:fldCharType="separate"/>
        </w:r>
        <w:r w:rsidR="002A1F14">
          <w:rPr>
            <w:webHidden/>
          </w:rPr>
          <w:t>8</w:t>
        </w:r>
        <w:r w:rsidR="00957396">
          <w:rPr>
            <w:webHidden/>
          </w:rPr>
          <w:fldChar w:fldCharType="end"/>
        </w:r>
      </w:hyperlink>
    </w:p>
    <w:p w14:paraId="69FC79FC" w14:textId="2FD98BE0" w:rsidR="00957396" w:rsidRDefault="00086502">
      <w:pPr>
        <w:pStyle w:val="TOC2"/>
        <w:rPr>
          <w:rFonts w:asciiTheme="minorHAnsi" w:eastAsiaTheme="minorEastAsia" w:hAnsiTheme="minorHAnsi" w:cstheme="minorBidi"/>
          <w:b w:val="0"/>
          <w:i w:val="0"/>
          <w:kern w:val="2"/>
          <w14:ligatures w14:val="standardContextual"/>
        </w:rPr>
      </w:pPr>
      <w:hyperlink w:anchor="_Toc163501889" w:history="1">
        <w:r w:rsidR="00957396" w:rsidRPr="008C5793">
          <w:rPr>
            <w:rStyle w:val="Hyperlink"/>
          </w:rPr>
          <w:t>5.1</w:t>
        </w:r>
        <w:r w:rsidR="00957396">
          <w:rPr>
            <w:rFonts w:asciiTheme="minorHAnsi" w:eastAsiaTheme="minorEastAsia" w:hAnsiTheme="minorHAnsi" w:cstheme="minorBidi"/>
            <w:b w:val="0"/>
            <w:i w:val="0"/>
            <w:kern w:val="2"/>
            <w14:ligatures w14:val="standardContextual"/>
          </w:rPr>
          <w:tab/>
        </w:r>
        <w:r w:rsidR="00957396" w:rsidRPr="008C5793">
          <w:rPr>
            <w:rStyle w:val="Hyperlink"/>
          </w:rPr>
          <w:t>Potential human rights breaches</w:t>
        </w:r>
        <w:r w:rsidR="00957396">
          <w:rPr>
            <w:webHidden/>
          </w:rPr>
          <w:tab/>
        </w:r>
        <w:r w:rsidR="00957396">
          <w:rPr>
            <w:webHidden/>
          </w:rPr>
          <w:fldChar w:fldCharType="begin"/>
        </w:r>
        <w:r w:rsidR="00957396">
          <w:rPr>
            <w:webHidden/>
          </w:rPr>
          <w:instrText xml:space="preserve"> PAGEREF _Toc163501889 \h </w:instrText>
        </w:r>
        <w:r w:rsidR="00957396">
          <w:rPr>
            <w:webHidden/>
          </w:rPr>
        </w:r>
        <w:r w:rsidR="00957396">
          <w:rPr>
            <w:webHidden/>
          </w:rPr>
          <w:fldChar w:fldCharType="separate"/>
        </w:r>
        <w:r w:rsidR="002A1F14">
          <w:rPr>
            <w:webHidden/>
          </w:rPr>
          <w:t>9</w:t>
        </w:r>
        <w:r w:rsidR="00957396">
          <w:rPr>
            <w:webHidden/>
          </w:rPr>
          <w:fldChar w:fldCharType="end"/>
        </w:r>
      </w:hyperlink>
    </w:p>
    <w:p w14:paraId="15E0A75E" w14:textId="4149B144" w:rsidR="00957396" w:rsidRDefault="00086502">
      <w:pPr>
        <w:pStyle w:val="TOC2"/>
        <w:rPr>
          <w:rFonts w:asciiTheme="minorHAnsi" w:eastAsiaTheme="minorEastAsia" w:hAnsiTheme="minorHAnsi" w:cstheme="minorBidi"/>
          <w:b w:val="0"/>
          <w:i w:val="0"/>
          <w:kern w:val="2"/>
          <w14:ligatures w14:val="standardContextual"/>
        </w:rPr>
      </w:pPr>
      <w:hyperlink w:anchor="_Toc163501890" w:history="1">
        <w:r w:rsidR="00957396" w:rsidRPr="008C5793">
          <w:rPr>
            <w:rStyle w:val="Hyperlink"/>
          </w:rPr>
          <w:t>5.2</w:t>
        </w:r>
        <w:r w:rsidR="00957396">
          <w:rPr>
            <w:rFonts w:asciiTheme="minorHAnsi" w:eastAsiaTheme="minorEastAsia" w:hAnsiTheme="minorHAnsi" w:cstheme="minorBidi"/>
            <w:b w:val="0"/>
            <w:i w:val="0"/>
            <w:kern w:val="2"/>
            <w14:ligatures w14:val="standardContextual"/>
          </w:rPr>
          <w:tab/>
        </w:r>
        <w:r w:rsidR="00957396" w:rsidRPr="008C5793">
          <w:rPr>
            <w:rStyle w:val="Hyperlink"/>
          </w:rPr>
          <w:t>Prescription of additional classes of visas</w:t>
        </w:r>
        <w:r w:rsidR="00957396">
          <w:rPr>
            <w:webHidden/>
          </w:rPr>
          <w:tab/>
        </w:r>
        <w:r w:rsidR="00957396">
          <w:rPr>
            <w:webHidden/>
          </w:rPr>
          <w:fldChar w:fldCharType="begin"/>
        </w:r>
        <w:r w:rsidR="00957396">
          <w:rPr>
            <w:webHidden/>
          </w:rPr>
          <w:instrText xml:space="preserve"> PAGEREF _Toc163501890 \h </w:instrText>
        </w:r>
        <w:r w:rsidR="00957396">
          <w:rPr>
            <w:webHidden/>
          </w:rPr>
        </w:r>
        <w:r w:rsidR="00957396">
          <w:rPr>
            <w:webHidden/>
          </w:rPr>
          <w:fldChar w:fldCharType="separate"/>
        </w:r>
        <w:r w:rsidR="002A1F14">
          <w:rPr>
            <w:webHidden/>
          </w:rPr>
          <w:t>10</w:t>
        </w:r>
        <w:r w:rsidR="00957396">
          <w:rPr>
            <w:webHidden/>
          </w:rPr>
          <w:fldChar w:fldCharType="end"/>
        </w:r>
      </w:hyperlink>
    </w:p>
    <w:p w14:paraId="66818D6C" w14:textId="1599B749" w:rsidR="00957396" w:rsidRDefault="00086502">
      <w:pPr>
        <w:pStyle w:val="TOC2"/>
        <w:rPr>
          <w:rFonts w:asciiTheme="minorHAnsi" w:eastAsiaTheme="minorEastAsia" w:hAnsiTheme="minorHAnsi" w:cstheme="minorBidi"/>
          <w:b w:val="0"/>
          <w:i w:val="0"/>
          <w:kern w:val="2"/>
          <w14:ligatures w14:val="standardContextual"/>
        </w:rPr>
      </w:pPr>
      <w:hyperlink w:anchor="_Toc163501891" w:history="1">
        <w:r w:rsidR="00957396" w:rsidRPr="008C5793">
          <w:rPr>
            <w:rStyle w:val="Hyperlink"/>
          </w:rPr>
          <w:t>5.3</w:t>
        </w:r>
        <w:r w:rsidR="00957396">
          <w:rPr>
            <w:rFonts w:asciiTheme="minorHAnsi" w:eastAsiaTheme="minorEastAsia" w:hAnsiTheme="minorHAnsi" w:cstheme="minorBidi"/>
            <w:b w:val="0"/>
            <w:i w:val="0"/>
            <w:kern w:val="2"/>
            <w14:ligatures w14:val="standardContextual"/>
          </w:rPr>
          <w:tab/>
        </w:r>
        <w:r w:rsidR="00957396" w:rsidRPr="008C5793">
          <w:rPr>
            <w:rStyle w:val="Hyperlink"/>
          </w:rPr>
          <w:t>Implications for the rights of children</w:t>
        </w:r>
        <w:r w:rsidR="00957396">
          <w:rPr>
            <w:webHidden/>
          </w:rPr>
          <w:tab/>
        </w:r>
        <w:r w:rsidR="00957396">
          <w:rPr>
            <w:webHidden/>
          </w:rPr>
          <w:fldChar w:fldCharType="begin"/>
        </w:r>
        <w:r w:rsidR="00957396">
          <w:rPr>
            <w:webHidden/>
          </w:rPr>
          <w:instrText xml:space="preserve"> PAGEREF _Toc163501891 \h </w:instrText>
        </w:r>
        <w:r w:rsidR="00957396">
          <w:rPr>
            <w:webHidden/>
          </w:rPr>
        </w:r>
        <w:r w:rsidR="00957396">
          <w:rPr>
            <w:webHidden/>
          </w:rPr>
          <w:fldChar w:fldCharType="separate"/>
        </w:r>
        <w:r w:rsidR="002A1F14">
          <w:rPr>
            <w:webHidden/>
          </w:rPr>
          <w:t>11</w:t>
        </w:r>
        <w:r w:rsidR="00957396">
          <w:rPr>
            <w:webHidden/>
          </w:rPr>
          <w:fldChar w:fldCharType="end"/>
        </w:r>
      </w:hyperlink>
    </w:p>
    <w:p w14:paraId="131B64FE" w14:textId="71D4F6A4" w:rsidR="00957396" w:rsidRDefault="00086502">
      <w:pPr>
        <w:pStyle w:val="TOC3"/>
        <w:rPr>
          <w:rFonts w:asciiTheme="minorHAnsi" w:eastAsiaTheme="minorEastAsia" w:hAnsiTheme="minorHAnsi" w:cstheme="minorBidi"/>
          <w:i w:val="0"/>
          <w:kern w:val="2"/>
          <w14:ligatures w14:val="standardContextual"/>
        </w:rPr>
      </w:pPr>
      <w:hyperlink w:anchor="_Toc163501892" w:history="1">
        <w:r w:rsidR="00957396" w:rsidRPr="008C5793">
          <w:rPr>
            <w:rStyle w:val="Hyperlink"/>
          </w:rPr>
          <w:t>(a)</w:t>
        </w:r>
        <w:r w:rsidR="00957396">
          <w:rPr>
            <w:rFonts w:asciiTheme="minorHAnsi" w:eastAsiaTheme="minorEastAsia" w:hAnsiTheme="minorHAnsi" w:cstheme="minorBidi"/>
            <w:i w:val="0"/>
            <w:kern w:val="2"/>
            <w14:ligatures w14:val="standardContextual"/>
          </w:rPr>
          <w:tab/>
        </w:r>
        <w:r w:rsidR="00957396" w:rsidRPr="008C5793">
          <w:rPr>
            <w:rStyle w:val="Hyperlink"/>
          </w:rPr>
          <w:t>Best interests of the child</w:t>
        </w:r>
        <w:r w:rsidR="00957396">
          <w:rPr>
            <w:webHidden/>
          </w:rPr>
          <w:tab/>
        </w:r>
        <w:r w:rsidR="00957396">
          <w:rPr>
            <w:webHidden/>
          </w:rPr>
          <w:fldChar w:fldCharType="begin"/>
        </w:r>
        <w:r w:rsidR="00957396">
          <w:rPr>
            <w:webHidden/>
          </w:rPr>
          <w:instrText xml:space="preserve"> PAGEREF _Toc163501892 \h </w:instrText>
        </w:r>
        <w:r w:rsidR="00957396">
          <w:rPr>
            <w:webHidden/>
          </w:rPr>
        </w:r>
        <w:r w:rsidR="00957396">
          <w:rPr>
            <w:webHidden/>
          </w:rPr>
          <w:fldChar w:fldCharType="separate"/>
        </w:r>
        <w:r w:rsidR="002A1F14">
          <w:rPr>
            <w:webHidden/>
          </w:rPr>
          <w:t>11</w:t>
        </w:r>
        <w:r w:rsidR="00957396">
          <w:rPr>
            <w:webHidden/>
          </w:rPr>
          <w:fldChar w:fldCharType="end"/>
        </w:r>
      </w:hyperlink>
    </w:p>
    <w:p w14:paraId="1CFE2850" w14:textId="2B9C63B0" w:rsidR="00957396" w:rsidRDefault="00086502">
      <w:pPr>
        <w:pStyle w:val="TOC3"/>
        <w:rPr>
          <w:rFonts w:asciiTheme="minorHAnsi" w:eastAsiaTheme="minorEastAsia" w:hAnsiTheme="minorHAnsi" w:cstheme="minorBidi"/>
          <w:i w:val="0"/>
          <w:kern w:val="2"/>
          <w14:ligatures w14:val="standardContextual"/>
        </w:rPr>
      </w:pPr>
      <w:hyperlink w:anchor="_Toc163501893" w:history="1">
        <w:r w:rsidR="00957396" w:rsidRPr="008C5793">
          <w:rPr>
            <w:rStyle w:val="Hyperlink"/>
          </w:rPr>
          <w:t>(b)</w:t>
        </w:r>
        <w:r w:rsidR="00957396">
          <w:rPr>
            <w:rFonts w:asciiTheme="minorHAnsi" w:eastAsiaTheme="minorEastAsia" w:hAnsiTheme="minorHAnsi" w:cstheme="minorBidi"/>
            <w:i w:val="0"/>
            <w:kern w:val="2"/>
            <w14:ligatures w14:val="standardContextual"/>
          </w:rPr>
          <w:tab/>
        </w:r>
        <w:r w:rsidR="00957396" w:rsidRPr="008C5793">
          <w:rPr>
            <w:rStyle w:val="Hyperlink"/>
          </w:rPr>
          <w:t>Separation from parents</w:t>
        </w:r>
        <w:r w:rsidR="00957396">
          <w:rPr>
            <w:webHidden/>
          </w:rPr>
          <w:tab/>
        </w:r>
        <w:r w:rsidR="00957396">
          <w:rPr>
            <w:webHidden/>
          </w:rPr>
          <w:fldChar w:fldCharType="begin"/>
        </w:r>
        <w:r w:rsidR="00957396">
          <w:rPr>
            <w:webHidden/>
          </w:rPr>
          <w:instrText xml:space="preserve"> PAGEREF _Toc163501893 \h </w:instrText>
        </w:r>
        <w:r w:rsidR="00957396">
          <w:rPr>
            <w:webHidden/>
          </w:rPr>
        </w:r>
        <w:r w:rsidR="00957396">
          <w:rPr>
            <w:webHidden/>
          </w:rPr>
          <w:fldChar w:fldCharType="separate"/>
        </w:r>
        <w:r w:rsidR="002A1F14">
          <w:rPr>
            <w:webHidden/>
          </w:rPr>
          <w:t>12</w:t>
        </w:r>
        <w:r w:rsidR="00957396">
          <w:rPr>
            <w:webHidden/>
          </w:rPr>
          <w:fldChar w:fldCharType="end"/>
        </w:r>
      </w:hyperlink>
    </w:p>
    <w:p w14:paraId="5D5D35D7" w14:textId="59CCBEF5" w:rsidR="00957396" w:rsidRDefault="00086502">
      <w:pPr>
        <w:pStyle w:val="TOC3"/>
        <w:rPr>
          <w:rFonts w:asciiTheme="minorHAnsi" w:eastAsiaTheme="minorEastAsia" w:hAnsiTheme="minorHAnsi" w:cstheme="minorBidi"/>
          <w:i w:val="0"/>
          <w:kern w:val="2"/>
          <w14:ligatures w14:val="standardContextual"/>
        </w:rPr>
      </w:pPr>
      <w:hyperlink w:anchor="_Toc163501894" w:history="1">
        <w:r w:rsidR="00957396" w:rsidRPr="008C5793">
          <w:rPr>
            <w:rStyle w:val="Hyperlink"/>
          </w:rPr>
          <w:t>(c)</w:t>
        </w:r>
        <w:r w:rsidR="00957396">
          <w:rPr>
            <w:rFonts w:asciiTheme="minorHAnsi" w:eastAsiaTheme="minorEastAsia" w:hAnsiTheme="minorHAnsi" w:cstheme="minorBidi"/>
            <w:i w:val="0"/>
            <w:kern w:val="2"/>
            <w14:ligatures w14:val="standardContextual"/>
          </w:rPr>
          <w:tab/>
        </w:r>
        <w:r w:rsidR="00957396" w:rsidRPr="008C5793">
          <w:rPr>
            <w:rStyle w:val="Hyperlink"/>
          </w:rPr>
          <w:t>Views of the child</w:t>
        </w:r>
        <w:r w:rsidR="00957396">
          <w:rPr>
            <w:webHidden/>
          </w:rPr>
          <w:tab/>
        </w:r>
        <w:r w:rsidR="00957396">
          <w:rPr>
            <w:webHidden/>
          </w:rPr>
          <w:fldChar w:fldCharType="begin"/>
        </w:r>
        <w:r w:rsidR="00957396">
          <w:rPr>
            <w:webHidden/>
          </w:rPr>
          <w:instrText xml:space="preserve"> PAGEREF _Toc163501894 \h </w:instrText>
        </w:r>
        <w:r w:rsidR="00957396">
          <w:rPr>
            <w:webHidden/>
          </w:rPr>
        </w:r>
        <w:r w:rsidR="00957396">
          <w:rPr>
            <w:webHidden/>
          </w:rPr>
          <w:fldChar w:fldCharType="separate"/>
        </w:r>
        <w:r w:rsidR="002A1F14">
          <w:rPr>
            <w:webHidden/>
          </w:rPr>
          <w:t>13</w:t>
        </w:r>
        <w:r w:rsidR="00957396">
          <w:rPr>
            <w:webHidden/>
          </w:rPr>
          <w:fldChar w:fldCharType="end"/>
        </w:r>
      </w:hyperlink>
    </w:p>
    <w:p w14:paraId="5BE75C76" w14:textId="44450640" w:rsidR="00957396" w:rsidRDefault="00086502">
      <w:pPr>
        <w:pStyle w:val="TOC3"/>
        <w:rPr>
          <w:rFonts w:asciiTheme="minorHAnsi" w:eastAsiaTheme="minorEastAsia" w:hAnsiTheme="minorHAnsi" w:cstheme="minorBidi"/>
          <w:i w:val="0"/>
          <w:kern w:val="2"/>
          <w14:ligatures w14:val="standardContextual"/>
        </w:rPr>
      </w:pPr>
      <w:hyperlink w:anchor="_Toc163501895" w:history="1">
        <w:r w:rsidR="00957396" w:rsidRPr="008C5793">
          <w:rPr>
            <w:rStyle w:val="Hyperlink"/>
          </w:rPr>
          <w:t>(d)</w:t>
        </w:r>
        <w:r w:rsidR="00957396">
          <w:rPr>
            <w:rFonts w:asciiTheme="minorHAnsi" w:eastAsiaTheme="minorEastAsia" w:hAnsiTheme="minorHAnsi" w:cstheme="minorBidi"/>
            <w:i w:val="0"/>
            <w:kern w:val="2"/>
            <w14:ligatures w14:val="standardContextual"/>
          </w:rPr>
          <w:tab/>
        </w:r>
        <w:r w:rsidR="00957396" w:rsidRPr="008C5793">
          <w:rPr>
            <w:rStyle w:val="Hyperlink"/>
          </w:rPr>
          <w:t>Child statelessness</w:t>
        </w:r>
        <w:r w:rsidR="00957396">
          <w:rPr>
            <w:webHidden/>
          </w:rPr>
          <w:tab/>
        </w:r>
        <w:r w:rsidR="00957396">
          <w:rPr>
            <w:webHidden/>
          </w:rPr>
          <w:fldChar w:fldCharType="begin"/>
        </w:r>
        <w:r w:rsidR="00957396">
          <w:rPr>
            <w:webHidden/>
          </w:rPr>
          <w:instrText xml:space="preserve"> PAGEREF _Toc163501895 \h </w:instrText>
        </w:r>
        <w:r w:rsidR="00957396">
          <w:rPr>
            <w:webHidden/>
          </w:rPr>
        </w:r>
        <w:r w:rsidR="00957396">
          <w:rPr>
            <w:webHidden/>
          </w:rPr>
          <w:fldChar w:fldCharType="separate"/>
        </w:r>
        <w:r w:rsidR="002A1F14">
          <w:rPr>
            <w:webHidden/>
          </w:rPr>
          <w:t>13</w:t>
        </w:r>
        <w:r w:rsidR="00957396">
          <w:rPr>
            <w:webHidden/>
          </w:rPr>
          <w:fldChar w:fldCharType="end"/>
        </w:r>
      </w:hyperlink>
    </w:p>
    <w:p w14:paraId="55D2EF29" w14:textId="531E0A30" w:rsidR="00957396" w:rsidRDefault="00086502">
      <w:pPr>
        <w:pStyle w:val="TOC2"/>
        <w:rPr>
          <w:rFonts w:asciiTheme="minorHAnsi" w:eastAsiaTheme="minorEastAsia" w:hAnsiTheme="minorHAnsi" w:cstheme="minorBidi"/>
          <w:b w:val="0"/>
          <w:i w:val="0"/>
          <w:kern w:val="2"/>
          <w14:ligatures w14:val="standardContextual"/>
        </w:rPr>
      </w:pPr>
      <w:hyperlink w:anchor="_Toc163501896" w:history="1">
        <w:r w:rsidR="00957396" w:rsidRPr="008C5793">
          <w:rPr>
            <w:rStyle w:val="Hyperlink"/>
          </w:rPr>
          <w:t>5.4</w:t>
        </w:r>
        <w:r w:rsidR="00957396">
          <w:rPr>
            <w:rFonts w:asciiTheme="minorHAnsi" w:eastAsiaTheme="minorEastAsia" w:hAnsiTheme="minorHAnsi" w:cstheme="minorBidi"/>
            <w:b w:val="0"/>
            <w:i w:val="0"/>
            <w:kern w:val="2"/>
            <w14:ligatures w14:val="standardContextual"/>
          </w:rPr>
          <w:tab/>
        </w:r>
        <w:r w:rsidR="00957396" w:rsidRPr="008C5793">
          <w:rPr>
            <w:rStyle w:val="Hyperlink"/>
          </w:rPr>
          <w:t>Criminal penalties</w:t>
        </w:r>
        <w:r w:rsidR="00957396">
          <w:rPr>
            <w:webHidden/>
          </w:rPr>
          <w:tab/>
        </w:r>
        <w:r w:rsidR="00957396">
          <w:rPr>
            <w:webHidden/>
          </w:rPr>
          <w:fldChar w:fldCharType="begin"/>
        </w:r>
        <w:r w:rsidR="00957396">
          <w:rPr>
            <w:webHidden/>
          </w:rPr>
          <w:instrText xml:space="preserve"> PAGEREF _Toc163501896 \h </w:instrText>
        </w:r>
        <w:r w:rsidR="00957396">
          <w:rPr>
            <w:webHidden/>
          </w:rPr>
        </w:r>
        <w:r w:rsidR="00957396">
          <w:rPr>
            <w:webHidden/>
          </w:rPr>
          <w:fldChar w:fldCharType="separate"/>
        </w:r>
        <w:r w:rsidR="002A1F14">
          <w:rPr>
            <w:webHidden/>
          </w:rPr>
          <w:t>14</w:t>
        </w:r>
        <w:r w:rsidR="00957396">
          <w:rPr>
            <w:webHidden/>
          </w:rPr>
          <w:fldChar w:fldCharType="end"/>
        </w:r>
      </w:hyperlink>
    </w:p>
    <w:p w14:paraId="182DDF00" w14:textId="512A2C44" w:rsidR="00957396" w:rsidRDefault="00086502">
      <w:pPr>
        <w:pStyle w:val="TOC3"/>
        <w:rPr>
          <w:rFonts w:asciiTheme="minorHAnsi" w:eastAsiaTheme="minorEastAsia" w:hAnsiTheme="minorHAnsi" w:cstheme="minorBidi"/>
          <w:i w:val="0"/>
          <w:kern w:val="2"/>
          <w14:ligatures w14:val="standardContextual"/>
        </w:rPr>
      </w:pPr>
      <w:hyperlink w:anchor="_Toc163501897" w:history="1">
        <w:r w:rsidR="00957396" w:rsidRPr="008C5793">
          <w:rPr>
            <w:rStyle w:val="Hyperlink"/>
          </w:rPr>
          <w:t>(a)</w:t>
        </w:r>
        <w:r w:rsidR="00957396">
          <w:rPr>
            <w:rFonts w:asciiTheme="minorHAnsi" w:eastAsiaTheme="minorEastAsia" w:hAnsiTheme="minorHAnsi" w:cstheme="minorBidi"/>
            <w:i w:val="0"/>
            <w:kern w:val="2"/>
            <w14:ligatures w14:val="standardContextual"/>
          </w:rPr>
          <w:tab/>
        </w:r>
        <w:r w:rsidR="00957396" w:rsidRPr="008C5793">
          <w:rPr>
            <w:rStyle w:val="Hyperlink"/>
          </w:rPr>
          <w:t>Mandatory minimum sentencing</w:t>
        </w:r>
        <w:r w:rsidR="00957396">
          <w:rPr>
            <w:webHidden/>
          </w:rPr>
          <w:tab/>
        </w:r>
        <w:r w:rsidR="00957396">
          <w:rPr>
            <w:webHidden/>
          </w:rPr>
          <w:fldChar w:fldCharType="begin"/>
        </w:r>
        <w:r w:rsidR="00957396">
          <w:rPr>
            <w:webHidden/>
          </w:rPr>
          <w:instrText xml:space="preserve"> PAGEREF _Toc163501897 \h </w:instrText>
        </w:r>
        <w:r w:rsidR="00957396">
          <w:rPr>
            <w:webHidden/>
          </w:rPr>
        </w:r>
        <w:r w:rsidR="00957396">
          <w:rPr>
            <w:webHidden/>
          </w:rPr>
          <w:fldChar w:fldCharType="separate"/>
        </w:r>
        <w:r w:rsidR="002A1F14">
          <w:rPr>
            <w:webHidden/>
          </w:rPr>
          <w:t>15</w:t>
        </w:r>
        <w:r w:rsidR="00957396">
          <w:rPr>
            <w:webHidden/>
          </w:rPr>
          <w:fldChar w:fldCharType="end"/>
        </w:r>
      </w:hyperlink>
    </w:p>
    <w:p w14:paraId="32D0B414" w14:textId="0F836970" w:rsidR="00957396" w:rsidRDefault="00086502">
      <w:pPr>
        <w:pStyle w:val="TOC2"/>
        <w:rPr>
          <w:rFonts w:asciiTheme="minorHAnsi" w:eastAsiaTheme="minorEastAsia" w:hAnsiTheme="minorHAnsi" w:cstheme="minorBidi"/>
          <w:b w:val="0"/>
          <w:i w:val="0"/>
          <w:kern w:val="2"/>
          <w14:ligatures w14:val="standardContextual"/>
        </w:rPr>
      </w:pPr>
      <w:hyperlink w:anchor="_Toc163501898" w:history="1">
        <w:r w:rsidR="00957396" w:rsidRPr="008C5793">
          <w:rPr>
            <w:rStyle w:val="Hyperlink"/>
          </w:rPr>
          <w:t>5.5</w:t>
        </w:r>
        <w:r w:rsidR="00957396">
          <w:rPr>
            <w:rFonts w:asciiTheme="minorHAnsi" w:eastAsiaTheme="minorEastAsia" w:hAnsiTheme="minorHAnsi" w:cstheme="minorBidi"/>
            <w:b w:val="0"/>
            <w:i w:val="0"/>
            <w:kern w:val="2"/>
            <w14:ligatures w14:val="standardContextual"/>
          </w:rPr>
          <w:tab/>
        </w:r>
        <w:r w:rsidR="00957396" w:rsidRPr="008C5793">
          <w:rPr>
            <w:rStyle w:val="Hyperlink"/>
          </w:rPr>
          <w:t>Lack of review process</w:t>
        </w:r>
        <w:r w:rsidR="00957396">
          <w:rPr>
            <w:webHidden/>
          </w:rPr>
          <w:tab/>
        </w:r>
        <w:r w:rsidR="00957396">
          <w:rPr>
            <w:webHidden/>
          </w:rPr>
          <w:fldChar w:fldCharType="begin"/>
        </w:r>
        <w:r w:rsidR="00957396">
          <w:rPr>
            <w:webHidden/>
          </w:rPr>
          <w:instrText xml:space="preserve"> PAGEREF _Toc163501898 \h </w:instrText>
        </w:r>
        <w:r w:rsidR="00957396">
          <w:rPr>
            <w:webHidden/>
          </w:rPr>
        </w:r>
        <w:r w:rsidR="00957396">
          <w:rPr>
            <w:webHidden/>
          </w:rPr>
          <w:fldChar w:fldCharType="separate"/>
        </w:r>
        <w:r w:rsidR="002A1F14">
          <w:rPr>
            <w:webHidden/>
          </w:rPr>
          <w:t>18</w:t>
        </w:r>
        <w:r w:rsidR="00957396">
          <w:rPr>
            <w:webHidden/>
          </w:rPr>
          <w:fldChar w:fldCharType="end"/>
        </w:r>
      </w:hyperlink>
    </w:p>
    <w:p w14:paraId="0B993C22" w14:textId="5F4DF525" w:rsidR="00957396" w:rsidRDefault="00086502">
      <w:pPr>
        <w:pStyle w:val="TOC1"/>
        <w:rPr>
          <w:rFonts w:asciiTheme="minorHAnsi" w:eastAsiaTheme="minorEastAsia" w:hAnsiTheme="minorHAnsi" w:cstheme="minorBidi"/>
          <w:b w:val="0"/>
          <w:kern w:val="2"/>
          <w14:ligatures w14:val="standardContextual"/>
        </w:rPr>
      </w:pPr>
      <w:hyperlink w:anchor="_Toc163501899" w:history="1">
        <w:r w:rsidR="00957396" w:rsidRPr="008C5793">
          <w:rPr>
            <w:rStyle w:val="Hyperlink"/>
          </w:rPr>
          <w:t>6</w:t>
        </w:r>
        <w:r w:rsidR="00957396">
          <w:rPr>
            <w:rFonts w:asciiTheme="minorHAnsi" w:eastAsiaTheme="minorEastAsia" w:hAnsiTheme="minorHAnsi" w:cstheme="minorBidi"/>
            <w:b w:val="0"/>
            <w:kern w:val="2"/>
            <w14:ligatures w14:val="standardContextual"/>
          </w:rPr>
          <w:tab/>
        </w:r>
        <w:r w:rsidR="00957396" w:rsidRPr="008C5793">
          <w:rPr>
            <w:rStyle w:val="Hyperlink"/>
          </w:rPr>
          <w:t>Removal concern countries</w:t>
        </w:r>
        <w:r w:rsidR="00957396">
          <w:rPr>
            <w:webHidden/>
          </w:rPr>
          <w:tab/>
        </w:r>
        <w:r w:rsidR="00957396">
          <w:rPr>
            <w:webHidden/>
          </w:rPr>
          <w:fldChar w:fldCharType="begin"/>
        </w:r>
        <w:r w:rsidR="00957396">
          <w:rPr>
            <w:webHidden/>
          </w:rPr>
          <w:instrText xml:space="preserve"> PAGEREF _Toc163501899 \h </w:instrText>
        </w:r>
        <w:r w:rsidR="00957396">
          <w:rPr>
            <w:webHidden/>
          </w:rPr>
        </w:r>
        <w:r w:rsidR="00957396">
          <w:rPr>
            <w:webHidden/>
          </w:rPr>
          <w:fldChar w:fldCharType="separate"/>
        </w:r>
        <w:r w:rsidR="002A1F14">
          <w:rPr>
            <w:webHidden/>
          </w:rPr>
          <w:t>19</w:t>
        </w:r>
        <w:r w:rsidR="00957396">
          <w:rPr>
            <w:webHidden/>
          </w:rPr>
          <w:fldChar w:fldCharType="end"/>
        </w:r>
      </w:hyperlink>
    </w:p>
    <w:p w14:paraId="10A4A82A" w14:textId="58EEC8EC" w:rsidR="00957396" w:rsidRDefault="00086502">
      <w:pPr>
        <w:pStyle w:val="TOC1"/>
        <w:rPr>
          <w:rFonts w:asciiTheme="minorHAnsi" w:eastAsiaTheme="minorEastAsia" w:hAnsiTheme="minorHAnsi" w:cstheme="minorBidi"/>
          <w:b w:val="0"/>
          <w:kern w:val="2"/>
          <w14:ligatures w14:val="standardContextual"/>
        </w:rPr>
      </w:pPr>
      <w:hyperlink w:anchor="_Toc163501900" w:history="1">
        <w:r w:rsidR="00957396" w:rsidRPr="008C5793">
          <w:rPr>
            <w:rStyle w:val="Hyperlink"/>
          </w:rPr>
          <w:t>7</w:t>
        </w:r>
        <w:r w:rsidR="00957396">
          <w:rPr>
            <w:rFonts w:asciiTheme="minorHAnsi" w:eastAsiaTheme="minorEastAsia" w:hAnsiTheme="minorHAnsi" w:cstheme="minorBidi"/>
            <w:b w:val="0"/>
            <w:kern w:val="2"/>
            <w14:ligatures w14:val="standardContextual"/>
          </w:rPr>
          <w:tab/>
        </w:r>
        <w:r w:rsidR="00957396" w:rsidRPr="008C5793">
          <w:rPr>
            <w:rStyle w:val="Hyperlink"/>
          </w:rPr>
          <w:t>Expansion of section 197D</w:t>
        </w:r>
        <w:r w:rsidR="00957396">
          <w:rPr>
            <w:webHidden/>
          </w:rPr>
          <w:tab/>
        </w:r>
        <w:r w:rsidR="00957396">
          <w:rPr>
            <w:webHidden/>
          </w:rPr>
          <w:fldChar w:fldCharType="begin"/>
        </w:r>
        <w:r w:rsidR="00957396">
          <w:rPr>
            <w:webHidden/>
          </w:rPr>
          <w:instrText xml:space="preserve"> PAGEREF _Toc163501900 \h </w:instrText>
        </w:r>
        <w:r w:rsidR="00957396">
          <w:rPr>
            <w:webHidden/>
          </w:rPr>
        </w:r>
        <w:r w:rsidR="00957396">
          <w:rPr>
            <w:webHidden/>
          </w:rPr>
          <w:fldChar w:fldCharType="separate"/>
        </w:r>
        <w:r w:rsidR="002A1F14">
          <w:rPr>
            <w:webHidden/>
          </w:rPr>
          <w:t>21</w:t>
        </w:r>
        <w:r w:rsidR="00957396">
          <w:rPr>
            <w:webHidden/>
          </w:rPr>
          <w:fldChar w:fldCharType="end"/>
        </w:r>
      </w:hyperlink>
    </w:p>
    <w:p w14:paraId="17D4157F" w14:textId="7A4FAC6C" w:rsidR="00957396" w:rsidRDefault="00086502">
      <w:pPr>
        <w:pStyle w:val="TOC1"/>
        <w:rPr>
          <w:rFonts w:asciiTheme="minorHAnsi" w:eastAsiaTheme="minorEastAsia" w:hAnsiTheme="minorHAnsi" w:cstheme="minorBidi"/>
          <w:b w:val="0"/>
          <w:kern w:val="2"/>
          <w14:ligatures w14:val="standardContextual"/>
        </w:rPr>
      </w:pPr>
      <w:hyperlink w:anchor="_Toc163501901" w:history="1">
        <w:r w:rsidR="00957396" w:rsidRPr="008C5793">
          <w:rPr>
            <w:rStyle w:val="Hyperlink"/>
          </w:rPr>
          <w:t>8</w:t>
        </w:r>
        <w:r w:rsidR="00957396">
          <w:rPr>
            <w:rFonts w:asciiTheme="minorHAnsi" w:eastAsiaTheme="minorEastAsia" w:hAnsiTheme="minorHAnsi" w:cstheme="minorBidi"/>
            <w:b w:val="0"/>
            <w:kern w:val="2"/>
            <w14:ligatures w14:val="standardContextual"/>
          </w:rPr>
          <w:tab/>
        </w:r>
        <w:r w:rsidR="00957396" w:rsidRPr="008C5793">
          <w:rPr>
            <w:rStyle w:val="Hyperlink"/>
          </w:rPr>
          <w:t>Conclusion</w:t>
        </w:r>
        <w:r w:rsidR="00957396">
          <w:rPr>
            <w:webHidden/>
          </w:rPr>
          <w:tab/>
        </w:r>
        <w:r w:rsidR="00957396">
          <w:rPr>
            <w:webHidden/>
          </w:rPr>
          <w:fldChar w:fldCharType="begin"/>
        </w:r>
        <w:r w:rsidR="00957396">
          <w:rPr>
            <w:webHidden/>
          </w:rPr>
          <w:instrText xml:space="preserve"> PAGEREF _Toc163501901 \h </w:instrText>
        </w:r>
        <w:r w:rsidR="00957396">
          <w:rPr>
            <w:webHidden/>
          </w:rPr>
        </w:r>
        <w:r w:rsidR="00957396">
          <w:rPr>
            <w:webHidden/>
          </w:rPr>
          <w:fldChar w:fldCharType="separate"/>
        </w:r>
        <w:r w:rsidR="002A1F14">
          <w:rPr>
            <w:webHidden/>
          </w:rPr>
          <w:t>23</w:t>
        </w:r>
        <w:r w:rsidR="00957396">
          <w:rPr>
            <w:webHidden/>
          </w:rPr>
          <w:fldChar w:fldCharType="end"/>
        </w:r>
      </w:hyperlink>
    </w:p>
    <w:p w14:paraId="6DB75F5B" w14:textId="0C18A66B" w:rsidR="0039437F" w:rsidRDefault="000B5B68" w:rsidP="00E31A7A">
      <w:pPr>
        <w:pStyle w:val="Heading1"/>
        <w:numPr>
          <w:ilvl w:val="0"/>
          <w:numId w:val="0"/>
        </w:numPr>
        <w:ind w:left="851" w:hanging="851"/>
        <w:rPr>
          <w:b w:val="0"/>
          <w:bCs w:val="0"/>
        </w:rPr>
      </w:pPr>
      <w:r w:rsidRPr="000465F1">
        <w:fldChar w:fldCharType="end"/>
      </w:r>
      <w:bookmarkStart w:id="22" w:name="_Toc209316062"/>
      <w:bookmarkStart w:id="23" w:name="_Toc207761830"/>
      <w:bookmarkStart w:id="24" w:name="_Toc209578266"/>
      <w:bookmarkStart w:id="25" w:name="_Toc209941766"/>
      <w:bookmarkEnd w:id="22"/>
      <w:r w:rsidR="0039437F">
        <w:br w:type="page"/>
      </w:r>
    </w:p>
    <w:p w14:paraId="56FC3151" w14:textId="39182104" w:rsidR="00510390" w:rsidRDefault="009F2764" w:rsidP="00E31A7A">
      <w:pPr>
        <w:pStyle w:val="Heading1"/>
      </w:pPr>
      <w:bookmarkStart w:id="26" w:name="_Toc163501884"/>
      <w:r w:rsidRPr="00E31A7A">
        <w:lastRenderedPageBreak/>
        <w:t>Introduction</w:t>
      </w:r>
      <w:bookmarkEnd w:id="23"/>
      <w:bookmarkEnd w:id="24"/>
      <w:bookmarkEnd w:id="25"/>
      <w:bookmarkEnd w:id="26"/>
    </w:p>
    <w:p w14:paraId="04CE7D85" w14:textId="4D4FB877" w:rsidR="001D22FE" w:rsidRPr="001D22FE" w:rsidRDefault="001D22FE" w:rsidP="001D22FE">
      <w:pPr>
        <w:pStyle w:val="ListNumber"/>
      </w:pPr>
      <w:r>
        <w:t xml:space="preserve">The Australian Human Rights Commission (Commission) makes this submission to the </w:t>
      </w:r>
      <w:r w:rsidR="00446719">
        <w:t>Senate Standing Committee on Legal and Constitutional Affairs</w:t>
      </w:r>
      <w:r w:rsidR="000F7F79">
        <w:t xml:space="preserve"> (Committee)</w:t>
      </w:r>
      <w:r w:rsidR="00296AFC">
        <w:t xml:space="preserve"> in relation to its inquiry into the Migration Amendment (Removals and Other Measures) Bill 2024</w:t>
      </w:r>
      <w:r w:rsidR="00F5487E">
        <w:t xml:space="preserve"> (</w:t>
      </w:r>
      <w:proofErr w:type="spellStart"/>
      <w:r w:rsidR="00F5487E">
        <w:t>Cth</w:t>
      </w:r>
      <w:proofErr w:type="spellEnd"/>
      <w:r w:rsidR="00F5487E">
        <w:t>) (</w:t>
      </w:r>
      <w:r w:rsidR="00875705">
        <w:t xml:space="preserve">the </w:t>
      </w:r>
      <w:r w:rsidR="00F5487E">
        <w:t>Bill).</w:t>
      </w:r>
    </w:p>
    <w:p w14:paraId="23FCC6F8" w14:textId="77777777" w:rsidR="009F2764" w:rsidRDefault="003423F4" w:rsidP="00410FEB">
      <w:pPr>
        <w:pStyle w:val="Heading1"/>
        <w:tabs>
          <w:tab w:val="clear" w:pos="851"/>
          <w:tab w:val="num" w:pos="891"/>
        </w:tabs>
      </w:pPr>
      <w:bookmarkStart w:id="27" w:name="_Toc163501885"/>
      <w:r>
        <w:t>Summary</w:t>
      </w:r>
      <w:bookmarkEnd w:id="27"/>
    </w:p>
    <w:p w14:paraId="0C053BF7" w14:textId="3B8EA543" w:rsidR="00377E08" w:rsidRDefault="00377E08" w:rsidP="00517E03">
      <w:pPr>
        <w:pStyle w:val="ListNumber"/>
      </w:pPr>
      <w:r>
        <w:t xml:space="preserve">The </w:t>
      </w:r>
      <w:r w:rsidR="00C94609">
        <w:t>Bill is the latest in a series of measures</w:t>
      </w:r>
      <w:r w:rsidR="006B7939">
        <w:t xml:space="preserve"> taken by the Australian Government in response to the High Court’s decision in </w:t>
      </w:r>
      <w:r w:rsidR="006B7939">
        <w:rPr>
          <w:i/>
          <w:iCs/>
        </w:rPr>
        <w:t>NZYQ v Minister</w:t>
      </w:r>
      <w:r w:rsidR="005B6EE8">
        <w:rPr>
          <w:i/>
          <w:iCs/>
        </w:rPr>
        <w:t xml:space="preserve"> for Immigration, Citizenship and Multicultural Affairs </w:t>
      </w:r>
      <w:r w:rsidR="005B6EE8">
        <w:t>[2023]</w:t>
      </w:r>
      <w:r w:rsidR="00F4020B">
        <w:t xml:space="preserve"> HCA 37 (</w:t>
      </w:r>
      <w:r w:rsidR="00F4020B">
        <w:rPr>
          <w:i/>
          <w:iCs/>
        </w:rPr>
        <w:t>NZYQ</w:t>
      </w:r>
      <w:r w:rsidR="00F4020B">
        <w:t>)</w:t>
      </w:r>
      <w:r w:rsidR="00C03590">
        <w:t xml:space="preserve"> to address</w:t>
      </w:r>
      <w:r w:rsidR="00794869">
        <w:t xml:space="preserve"> the fact that indefinite detention for administrative purposes</w:t>
      </w:r>
      <w:r w:rsidR="00A51412">
        <w:t xml:space="preserve"> </w:t>
      </w:r>
      <w:r w:rsidR="001C4086">
        <w:t>is unlawful</w:t>
      </w:r>
      <w:r w:rsidR="00411CE0">
        <w:t xml:space="preserve"> where there is no real prospect of a person’s removal from Australia becoming practicable in the reasonably foreseeable future.</w:t>
      </w:r>
    </w:p>
    <w:p w14:paraId="35B14E7B" w14:textId="442765D8" w:rsidR="00561DE5" w:rsidRDefault="00561DE5" w:rsidP="00517E03">
      <w:pPr>
        <w:pStyle w:val="ListNumber"/>
      </w:pPr>
      <w:r>
        <w:t xml:space="preserve">Since </w:t>
      </w:r>
      <w:r>
        <w:rPr>
          <w:i/>
          <w:iCs/>
        </w:rPr>
        <w:t>NZYQ</w:t>
      </w:r>
      <w:r>
        <w:t xml:space="preserve">, </w:t>
      </w:r>
      <w:r w:rsidR="006001DD">
        <w:t xml:space="preserve">attempts have been made </w:t>
      </w:r>
      <w:r w:rsidR="009076D8">
        <w:t xml:space="preserve">in </w:t>
      </w:r>
      <w:proofErr w:type="gramStart"/>
      <w:r w:rsidR="009076D8">
        <w:t>a number of</w:t>
      </w:r>
      <w:proofErr w:type="gramEnd"/>
      <w:r w:rsidR="009076D8">
        <w:t xml:space="preserve"> legal proceedings</w:t>
      </w:r>
      <w:r w:rsidR="006001DD">
        <w:t xml:space="preserve"> to extend</w:t>
      </w:r>
      <w:r w:rsidR="00FD677C">
        <w:t xml:space="preserve"> the Court’s reasoning to include situations where a detainee</w:t>
      </w:r>
      <w:r w:rsidR="00B46421">
        <w:t xml:space="preserve"> could be removed from Australia</w:t>
      </w:r>
      <w:r w:rsidR="005F5B43">
        <w:t xml:space="preserve"> in the reasonably foreseeable future</w:t>
      </w:r>
      <w:r w:rsidR="00B46421">
        <w:t>, but where</w:t>
      </w:r>
      <w:r w:rsidR="005F5B43">
        <w:t xml:space="preserve"> the inaction of the detainee is preventing</w:t>
      </w:r>
      <w:r w:rsidR="00900790">
        <w:t xml:space="preserve"> that from occurring.</w:t>
      </w:r>
    </w:p>
    <w:p w14:paraId="46D3270D" w14:textId="4F3BD7A2" w:rsidR="00C72CDC" w:rsidRDefault="00C72CDC" w:rsidP="00517E03">
      <w:pPr>
        <w:pStyle w:val="ListNumber"/>
      </w:pPr>
      <w:r>
        <w:t>There is currently no obligation on a</w:t>
      </w:r>
      <w:r w:rsidR="00754986">
        <w:t xml:space="preserve"> </w:t>
      </w:r>
      <w:r>
        <w:t>non-citizen to assist with efforts to give effect to their removal.</w:t>
      </w:r>
      <w:r w:rsidR="008C429A">
        <w:rPr>
          <w:rStyle w:val="EndnoteReference"/>
        </w:rPr>
        <w:endnoteReference w:id="2"/>
      </w:r>
      <w:r w:rsidR="00546D9D">
        <w:t xml:space="preserve"> The Bill</w:t>
      </w:r>
      <w:r w:rsidR="00150711">
        <w:t xml:space="preserve"> </w:t>
      </w:r>
      <w:r w:rsidR="00BE0210">
        <w:t>seeks to change this, by enabling the Minister to issue a d</w:t>
      </w:r>
      <w:r w:rsidR="00754986">
        <w:t xml:space="preserve">irection to </w:t>
      </w:r>
      <w:r w:rsidR="0063267D">
        <w:t xml:space="preserve">a </w:t>
      </w:r>
      <w:r w:rsidR="00754986">
        <w:t>non-citizen</w:t>
      </w:r>
      <w:r w:rsidR="0063267D">
        <w:t xml:space="preserve"> who has no </w:t>
      </w:r>
      <w:r w:rsidR="001B5595">
        <w:t>legal basis</w:t>
      </w:r>
      <w:r w:rsidR="0063267D">
        <w:t xml:space="preserve"> to remain in Australia</w:t>
      </w:r>
      <w:r w:rsidR="001B5595">
        <w:t>, requiring them to take steps as directed</w:t>
      </w:r>
      <w:r w:rsidR="00711010">
        <w:t>, which will assist the Department in its removal efforts. Failure to comply with the direction without a reasonable excuse, will result in criminal sanctions.</w:t>
      </w:r>
    </w:p>
    <w:p w14:paraId="45BEF69F" w14:textId="49C5EF3D" w:rsidR="00711010" w:rsidRDefault="00711010" w:rsidP="00517E03">
      <w:pPr>
        <w:pStyle w:val="ListNumber"/>
      </w:pPr>
      <w:r>
        <w:t>The Bill also addresses the issue of countries re</w:t>
      </w:r>
      <w:r w:rsidR="00573B89">
        <w:t>fusing to facilitate the return of its own citizens, by enabling the Minister, acting in their personal capacity,</w:t>
      </w:r>
      <w:r w:rsidR="0089566E">
        <w:t xml:space="preserve"> to designate</w:t>
      </w:r>
      <w:r w:rsidR="0089566E" w:rsidRPr="0089566E">
        <w:t xml:space="preserve"> </w:t>
      </w:r>
      <w:r w:rsidR="0089566E">
        <w:t>a country as a ‘removal concern country’. Such designation will</w:t>
      </w:r>
      <w:r w:rsidR="00281615">
        <w:t xml:space="preserve"> make it </w:t>
      </w:r>
      <w:r w:rsidR="00C16EAE">
        <w:t>difficult for other citizens of that country to migrate to Australia.</w:t>
      </w:r>
    </w:p>
    <w:p w14:paraId="1477403A" w14:textId="0A8094F4" w:rsidR="00C16EAE" w:rsidRDefault="00C16EAE" w:rsidP="00517E03">
      <w:pPr>
        <w:pStyle w:val="ListNumber"/>
      </w:pPr>
      <w:r>
        <w:t>The Commission</w:t>
      </w:r>
      <w:r w:rsidR="00D10AB7">
        <w:t xml:space="preserve"> is concerned about the implications of the Bill</w:t>
      </w:r>
      <w:r w:rsidR="00714E50">
        <w:t>, and the very real prospect that non-citizens will be subject to disproportionate</w:t>
      </w:r>
      <w:r w:rsidR="005D3CF8">
        <w:t xml:space="preserve">ly high sentences of imprisonment </w:t>
      </w:r>
      <w:proofErr w:type="gramStart"/>
      <w:r w:rsidR="005D3CF8">
        <w:t>as a result of</w:t>
      </w:r>
      <w:proofErr w:type="gramEnd"/>
      <w:r w:rsidR="005D3CF8">
        <w:t xml:space="preserve"> their refusal to participate in efforts to be removed from Australia</w:t>
      </w:r>
      <w:r w:rsidR="00D70891">
        <w:t>.</w:t>
      </w:r>
      <w:r w:rsidR="00D52A7D">
        <w:t xml:space="preserve"> We recognise that Australia has the sovereign right to secure its national borders, govern migration within its jurisdiction, and distinguish between regular and irregular migration status. However, this must not be done in a way that compromises Australia’s human rights obligations.</w:t>
      </w:r>
    </w:p>
    <w:p w14:paraId="420B3976" w14:textId="2544FC3B" w:rsidR="008F65D7" w:rsidRDefault="00DB3017" w:rsidP="00517E03">
      <w:pPr>
        <w:pStyle w:val="ListNumber"/>
      </w:pPr>
      <w:r>
        <w:t xml:space="preserve">International norms </w:t>
      </w:r>
      <w:r w:rsidR="003F7565">
        <w:t>require</w:t>
      </w:r>
      <w:r w:rsidR="00412AC3">
        <w:t xml:space="preserve"> </w:t>
      </w:r>
      <w:r w:rsidR="00E13C10">
        <w:t>State parties to work collaboratively with one another</w:t>
      </w:r>
      <w:r w:rsidR="001F52AA">
        <w:t xml:space="preserve"> to facilitate the dignified return of migrants to their country of </w:t>
      </w:r>
      <w:r w:rsidR="001F52AA">
        <w:lastRenderedPageBreak/>
        <w:t>citizenship.</w:t>
      </w:r>
      <w:r w:rsidR="001F52AA">
        <w:rPr>
          <w:rStyle w:val="EndnoteReference"/>
        </w:rPr>
        <w:endnoteReference w:id="3"/>
      </w:r>
      <w:r w:rsidR="00563B3E">
        <w:t xml:space="preserve"> Rather than </w:t>
      </w:r>
      <w:r w:rsidR="00E07A84">
        <w:t>us</w:t>
      </w:r>
      <w:r w:rsidR="00B54793">
        <w:t>ing</w:t>
      </w:r>
      <w:r w:rsidR="00151204">
        <w:t xml:space="preserve"> ministerial declaration</w:t>
      </w:r>
      <w:r w:rsidR="00F74220">
        <w:t xml:space="preserve"> in an attempt to enforce participation of non-participating countries, Australia should consider the reasons behind the unwillingness or inability of countries to </w:t>
      </w:r>
      <w:r w:rsidR="00BB3F36">
        <w:t>facilitate the return of their own citizens in a timely manner, and focus diplomatic efforts on achieving</w:t>
      </w:r>
      <w:r w:rsidR="00692046">
        <w:t xml:space="preserve"> its goal </w:t>
      </w:r>
      <w:r w:rsidR="00FC24BE">
        <w:t>using</w:t>
      </w:r>
      <w:r w:rsidR="00692046">
        <w:t xml:space="preserve"> a human rights</w:t>
      </w:r>
      <w:r w:rsidR="00B54793">
        <w:t>-</w:t>
      </w:r>
      <w:r w:rsidR="00692046">
        <w:t>based approach.</w:t>
      </w:r>
    </w:p>
    <w:p w14:paraId="3AFFF812" w14:textId="4EA74836" w:rsidR="00E83179" w:rsidRDefault="004F3B56" w:rsidP="00517E03">
      <w:pPr>
        <w:pStyle w:val="ListNumber"/>
      </w:pPr>
      <w:r>
        <w:t>The Commission</w:t>
      </w:r>
      <w:r w:rsidR="0081597B">
        <w:t xml:space="preserve"> considers that the human rights implications of the Bill are</w:t>
      </w:r>
      <w:r w:rsidR="001B5961">
        <w:t xml:space="preserve"> </w:t>
      </w:r>
      <w:r w:rsidR="00F95E66">
        <w:t>considerable</w:t>
      </w:r>
      <w:r w:rsidR="001B5961">
        <w:t>, and that the Bill should not be passed</w:t>
      </w:r>
      <w:r w:rsidR="00454771">
        <w:t xml:space="preserve"> (recommendation</w:t>
      </w:r>
      <w:r w:rsidR="00F95E66">
        <w:t> </w:t>
      </w:r>
      <w:r w:rsidR="00454771">
        <w:t>1)</w:t>
      </w:r>
      <w:r w:rsidR="001B5961">
        <w:t>. However, if the Committee</w:t>
      </w:r>
      <w:r w:rsidR="000F7F79">
        <w:t xml:space="preserve"> does recommend the passage of the Bill, then</w:t>
      </w:r>
      <w:r w:rsidR="00454771">
        <w:t xml:space="preserve"> a series of other recommendations have been made (recommendations </w:t>
      </w:r>
      <w:r w:rsidR="00454771" w:rsidRPr="00957396">
        <w:t xml:space="preserve">2 – </w:t>
      </w:r>
      <w:r w:rsidR="00C552A7" w:rsidRPr="00957396">
        <w:t>1</w:t>
      </w:r>
      <w:r w:rsidR="002D409E" w:rsidRPr="00957396">
        <w:t>1</w:t>
      </w:r>
      <w:r w:rsidR="00454771">
        <w:t>)</w:t>
      </w:r>
      <w:r w:rsidR="00953D32">
        <w:t xml:space="preserve"> which address some of the most serious issues identified by the Commission. However, it is stressed that these consequential recommendations, if adopted, w</w:t>
      </w:r>
      <w:r w:rsidR="00F5172D">
        <w:t xml:space="preserve">ill not alleviate the Commission’s concerns. </w:t>
      </w:r>
    </w:p>
    <w:p w14:paraId="3369EA11" w14:textId="77777777" w:rsidR="00D03307" w:rsidRDefault="00D03307" w:rsidP="00410FEB">
      <w:pPr>
        <w:pStyle w:val="Heading1"/>
        <w:tabs>
          <w:tab w:val="clear" w:pos="851"/>
          <w:tab w:val="num" w:pos="891"/>
        </w:tabs>
      </w:pPr>
      <w:bookmarkStart w:id="28" w:name="_Toc163501886"/>
      <w:r>
        <w:t>Recommendations</w:t>
      </w:r>
      <w:bookmarkEnd w:id="28"/>
    </w:p>
    <w:p w14:paraId="01455D14" w14:textId="03FFD158" w:rsidR="003423F4" w:rsidRDefault="003423F4" w:rsidP="00517E03">
      <w:pPr>
        <w:pStyle w:val="ListNumber"/>
      </w:pPr>
      <w:r>
        <w:t xml:space="preserve">The </w:t>
      </w:r>
      <w:r w:rsidR="00D83383">
        <w:t>Commission makes the following recommendations</w:t>
      </w:r>
      <w:r w:rsidR="00517E03">
        <w:t>:</w:t>
      </w:r>
    </w:p>
    <w:p w14:paraId="592F840B" w14:textId="1B36588F" w:rsidR="00284A1A" w:rsidRPr="00284A1A" w:rsidRDefault="00284A1A" w:rsidP="00642FF2">
      <w:pPr>
        <w:pStyle w:val="ListNumber"/>
        <w:keepNext/>
        <w:numPr>
          <w:ilvl w:val="0"/>
          <w:numId w:val="0"/>
        </w:numPr>
        <w:ind w:left="1094"/>
        <w:rPr>
          <w:b/>
          <w:bCs/>
        </w:rPr>
      </w:pPr>
      <w:r w:rsidRPr="00284A1A">
        <w:rPr>
          <w:b/>
          <w:bCs/>
        </w:rPr>
        <w:t>Recommendation 1</w:t>
      </w:r>
    </w:p>
    <w:p w14:paraId="2D6AEC7E" w14:textId="49A8F134" w:rsidR="00284A1A" w:rsidRDefault="00284A1A" w:rsidP="00284A1A">
      <w:pPr>
        <w:pStyle w:val="ListNumber"/>
        <w:numPr>
          <w:ilvl w:val="0"/>
          <w:numId w:val="0"/>
        </w:numPr>
        <w:ind w:left="1094"/>
      </w:pPr>
      <w:r>
        <w:t>The Commission recommends that the Bill not be passed.</w:t>
      </w:r>
    </w:p>
    <w:p w14:paraId="32BC4ADE" w14:textId="77777777" w:rsidR="00266E0B" w:rsidRPr="00266E0B" w:rsidRDefault="00266E0B" w:rsidP="00642FF2">
      <w:pPr>
        <w:pStyle w:val="ListNumber"/>
        <w:keepNext/>
        <w:numPr>
          <w:ilvl w:val="0"/>
          <w:numId w:val="0"/>
        </w:numPr>
        <w:ind w:left="1094"/>
        <w:rPr>
          <w:b/>
          <w:bCs/>
        </w:rPr>
      </w:pPr>
      <w:r w:rsidRPr="00266E0B">
        <w:rPr>
          <w:b/>
          <w:bCs/>
        </w:rPr>
        <w:t>Recommendation 2</w:t>
      </w:r>
    </w:p>
    <w:p w14:paraId="7C90E2BD" w14:textId="06B01E8C" w:rsidR="00266E0B" w:rsidRPr="00015B86" w:rsidRDefault="00266E0B" w:rsidP="00266E0B">
      <w:pPr>
        <w:pStyle w:val="ListNumber"/>
        <w:numPr>
          <w:ilvl w:val="0"/>
          <w:numId w:val="0"/>
        </w:numPr>
        <w:ind w:left="1094"/>
      </w:pPr>
      <w:r>
        <w:t xml:space="preserve">The Commission recommends that section 199B(1)(d) </w:t>
      </w:r>
      <w:r w:rsidR="00950636">
        <w:t xml:space="preserve">in </w:t>
      </w:r>
      <w:r w:rsidR="00CF3C76">
        <w:t>Schedule </w:t>
      </w:r>
      <w:r w:rsidR="00950636">
        <w:t>1</w:t>
      </w:r>
      <w:r w:rsidR="00F63560">
        <w:t xml:space="preserve">, clause 3 </w:t>
      </w:r>
      <w:r>
        <w:t>be removed from the Bill.</w:t>
      </w:r>
    </w:p>
    <w:p w14:paraId="0CE05EE9" w14:textId="77777777" w:rsidR="00DA704A" w:rsidRPr="00DA704A" w:rsidRDefault="00DA704A" w:rsidP="00642FF2">
      <w:pPr>
        <w:pStyle w:val="ListNumber"/>
        <w:keepNext/>
        <w:numPr>
          <w:ilvl w:val="0"/>
          <w:numId w:val="0"/>
        </w:numPr>
        <w:ind w:left="1094"/>
        <w:rPr>
          <w:b/>
          <w:bCs/>
        </w:rPr>
      </w:pPr>
      <w:r w:rsidRPr="00DA704A">
        <w:rPr>
          <w:b/>
          <w:bCs/>
        </w:rPr>
        <w:t>Recommendation 3</w:t>
      </w:r>
    </w:p>
    <w:p w14:paraId="16A5C82B" w14:textId="365C2F00" w:rsidR="00DA704A" w:rsidRDefault="00DA704A" w:rsidP="00DA704A">
      <w:pPr>
        <w:pStyle w:val="ListNumber"/>
        <w:numPr>
          <w:ilvl w:val="0"/>
          <w:numId w:val="0"/>
        </w:numPr>
        <w:ind w:left="1094"/>
      </w:pPr>
      <w:r>
        <w:t>The Commission recommends that section 199</w:t>
      </w:r>
      <w:proofErr w:type="gramStart"/>
      <w:r>
        <w:t>D(</w:t>
      </w:r>
      <w:proofErr w:type="gramEnd"/>
      <w:r>
        <w:t>5) of Schedule 1, clause 3 of the Bill be deleted.</w:t>
      </w:r>
    </w:p>
    <w:p w14:paraId="59EBBB8C" w14:textId="3F7E262A" w:rsidR="003A1075" w:rsidRPr="00B336C2" w:rsidRDefault="003A1075" w:rsidP="00642FF2">
      <w:pPr>
        <w:pStyle w:val="ListNumber"/>
        <w:keepNext/>
        <w:numPr>
          <w:ilvl w:val="0"/>
          <w:numId w:val="0"/>
        </w:numPr>
        <w:ind w:left="1094"/>
        <w:rPr>
          <w:b/>
          <w:bCs/>
        </w:rPr>
      </w:pPr>
      <w:r w:rsidRPr="00B336C2">
        <w:rPr>
          <w:b/>
          <w:bCs/>
        </w:rPr>
        <w:t xml:space="preserve">Recommendation </w:t>
      </w:r>
      <w:r w:rsidR="00DA704A">
        <w:rPr>
          <w:b/>
          <w:bCs/>
        </w:rPr>
        <w:t>4</w:t>
      </w:r>
    </w:p>
    <w:p w14:paraId="4386D1DC" w14:textId="299C7801" w:rsidR="003A1075" w:rsidRPr="00DF4E25" w:rsidRDefault="002D409E" w:rsidP="003A1075">
      <w:pPr>
        <w:pStyle w:val="ListNumber"/>
        <w:numPr>
          <w:ilvl w:val="0"/>
          <w:numId w:val="0"/>
        </w:numPr>
        <w:ind w:left="1094"/>
      </w:pPr>
      <w:r>
        <w:t>In the alternative to recommendation 3, t</w:t>
      </w:r>
      <w:r w:rsidR="003A1075">
        <w:t>he Commission recommends that the Bill be amended to insert a requirement after section</w:t>
      </w:r>
      <w:r w:rsidR="00CF3C76">
        <w:t> </w:t>
      </w:r>
      <w:r w:rsidR="003A1075">
        <w:t>199</w:t>
      </w:r>
      <w:proofErr w:type="gramStart"/>
      <w:r w:rsidR="003A1075">
        <w:t>D(</w:t>
      </w:r>
      <w:proofErr w:type="gramEnd"/>
      <w:r w:rsidR="003A1075">
        <w:t>5) that, prior to giving a removal pathway direction in relation to any child, the Minister must conduct an assessment of whether the direction is in the best interests of the child.</w:t>
      </w:r>
    </w:p>
    <w:p w14:paraId="54C0A772" w14:textId="77777777" w:rsidR="00EB2BAD" w:rsidRPr="00F87954" w:rsidRDefault="00EB2BAD" w:rsidP="00642FF2">
      <w:pPr>
        <w:pStyle w:val="ListNumber"/>
        <w:keepNext/>
        <w:numPr>
          <w:ilvl w:val="0"/>
          <w:numId w:val="0"/>
        </w:numPr>
        <w:ind w:left="1094"/>
        <w:rPr>
          <w:b/>
          <w:bCs/>
        </w:rPr>
      </w:pPr>
      <w:r w:rsidRPr="00F87954">
        <w:rPr>
          <w:b/>
          <w:bCs/>
        </w:rPr>
        <w:t>Recommendation 5</w:t>
      </w:r>
    </w:p>
    <w:p w14:paraId="7DE4AD35" w14:textId="15A26016" w:rsidR="00EB2BAD" w:rsidRDefault="00EB2BAD" w:rsidP="00EB2BAD">
      <w:pPr>
        <w:pStyle w:val="ListNumber"/>
        <w:numPr>
          <w:ilvl w:val="0"/>
          <w:numId w:val="0"/>
        </w:numPr>
        <w:ind w:left="1094"/>
      </w:pPr>
      <w:r>
        <w:t>The Commission recommends that Schedule 1 of the Bill be amended to delete section 199</w:t>
      </w:r>
      <w:proofErr w:type="gramStart"/>
      <w:r>
        <w:t>E(</w:t>
      </w:r>
      <w:proofErr w:type="gramEnd"/>
      <w:r>
        <w:t>2), and reduce the penalty provision contained within section 199E(1).</w:t>
      </w:r>
    </w:p>
    <w:p w14:paraId="28415168" w14:textId="39AF0C31" w:rsidR="00904E41" w:rsidRPr="00904E41" w:rsidRDefault="00904E41" w:rsidP="00642FF2">
      <w:pPr>
        <w:pStyle w:val="ListNumber"/>
        <w:keepNext/>
        <w:numPr>
          <w:ilvl w:val="0"/>
          <w:numId w:val="0"/>
        </w:numPr>
        <w:ind w:left="1094"/>
        <w:rPr>
          <w:b/>
          <w:bCs/>
        </w:rPr>
      </w:pPr>
      <w:r w:rsidRPr="00904E41">
        <w:rPr>
          <w:b/>
          <w:bCs/>
        </w:rPr>
        <w:t xml:space="preserve">Recommendation </w:t>
      </w:r>
      <w:r w:rsidR="00EB2BAD">
        <w:rPr>
          <w:b/>
          <w:bCs/>
        </w:rPr>
        <w:t>6</w:t>
      </w:r>
    </w:p>
    <w:p w14:paraId="6CDCBC8C" w14:textId="41597BC9" w:rsidR="00904E41" w:rsidRPr="00A44F2B" w:rsidRDefault="00904E41" w:rsidP="00904E41">
      <w:pPr>
        <w:pStyle w:val="ListNumber"/>
        <w:numPr>
          <w:ilvl w:val="0"/>
          <w:numId w:val="0"/>
        </w:numPr>
        <w:ind w:left="1094"/>
      </w:pPr>
      <w:r>
        <w:t xml:space="preserve">The Commission recommends that Schedule 1 of the Bill be amended to include access to merits review by the Administrative Appeals (or </w:t>
      </w:r>
      <w:r>
        <w:lastRenderedPageBreak/>
        <w:t>Administrative Review) Tribunal of the Minister’s decision to issue a removal pathway direction.</w:t>
      </w:r>
    </w:p>
    <w:p w14:paraId="06D9783C" w14:textId="77777777" w:rsidR="00081842" w:rsidRDefault="00081842" w:rsidP="00642FF2">
      <w:pPr>
        <w:pStyle w:val="ListNumber"/>
        <w:keepNext/>
        <w:numPr>
          <w:ilvl w:val="0"/>
          <w:numId w:val="0"/>
        </w:numPr>
        <w:ind w:left="1094"/>
        <w:rPr>
          <w:b/>
          <w:bCs/>
        </w:rPr>
      </w:pPr>
      <w:r w:rsidRPr="00C6179E">
        <w:rPr>
          <w:b/>
          <w:bCs/>
        </w:rPr>
        <w:t>Recommendation 7</w:t>
      </w:r>
    </w:p>
    <w:p w14:paraId="5FE64D8B" w14:textId="77777777" w:rsidR="00081842" w:rsidRPr="00C6179E" w:rsidRDefault="00081842" w:rsidP="00081842">
      <w:pPr>
        <w:pStyle w:val="ListNumber"/>
        <w:numPr>
          <w:ilvl w:val="0"/>
          <w:numId w:val="0"/>
        </w:numPr>
        <w:ind w:left="1094"/>
      </w:pPr>
      <w:r>
        <w:t>The Commission recommends that sections 199F and 199G be deleted from Schedule 1 of the Bill.</w:t>
      </w:r>
    </w:p>
    <w:p w14:paraId="2139ACBB" w14:textId="77777777" w:rsidR="00081842" w:rsidRPr="00D045FD" w:rsidRDefault="00081842" w:rsidP="00642FF2">
      <w:pPr>
        <w:pStyle w:val="ListNumber"/>
        <w:keepNext/>
        <w:numPr>
          <w:ilvl w:val="0"/>
          <w:numId w:val="0"/>
        </w:numPr>
        <w:ind w:left="1094"/>
        <w:rPr>
          <w:b/>
          <w:bCs/>
        </w:rPr>
      </w:pPr>
      <w:r w:rsidRPr="00D045FD">
        <w:rPr>
          <w:b/>
          <w:bCs/>
        </w:rPr>
        <w:t xml:space="preserve">Recommendation </w:t>
      </w:r>
      <w:r>
        <w:rPr>
          <w:b/>
          <w:bCs/>
        </w:rPr>
        <w:t>8</w:t>
      </w:r>
    </w:p>
    <w:p w14:paraId="3CA4569A" w14:textId="6A467375" w:rsidR="00081842" w:rsidRDefault="00081842" w:rsidP="00081842">
      <w:pPr>
        <w:pStyle w:val="ListNumber"/>
        <w:numPr>
          <w:ilvl w:val="0"/>
          <w:numId w:val="0"/>
        </w:numPr>
        <w:ind w:left="1094"/>
      </w:pPr>
      <w:r>
        <w:t xml:space="preserve">In the alternative to recommendation 7, </w:t>
      </w:r>
      <w:r w:rsidR="002D409E">
        <w:t>t</w:t>
      </w:r>
      <w:r>
        <w:t>he Commission recommends that the Bill be redrafted to include within section 199F of Schedule 1, a set of factors that must be considered prior to the Minister exercising their discretion to designate a removal concern country. The Bill should also include a mandatory review period of all designations to ensure their ongoing necessity.</w:t>
      </w:r>
    </w:p>
    <w:p w14:paraId="6D135FEC" w14:textId="59E3ED35" w:rsidR="00EF7BC0" w:rsidRPr="00B41942" w:rsidRDefault="00EF7BC0" w:rsidP="00EF7BC0">
      <w:pPr>
        <w:pStyle w:val="ListNumber"/>
        <w:keepNext/>
        <w:numPr>
          <w:ilvl w:val="0"/>
          <w:numId w:val="0"/>
        </w:numPr>
        <w:ind w:left="1094"/>
        <w:rPr>
          <w:b/>
          <w:bCs/>
        </w:rPr>
      </w:pPr>
      <w:r w:rsidRPr="00B41942">
        <w:rPr>
          <w:b/>
          <w:bCs/>
        </w:rPr>
        <w:t xml:space="preserve">Recommendation </w:t>
      </w:r>
      <w:r w:rsidR="00BD2B77">
        <w:rPr>
          <w:b/>
          <w:bCs/>
        </w:rPr>
        <w:t>9</w:t>
      </w:r>
    </w:p>
    <w:p w14:paraId="1B53DF5E" w14:textId="352FDEDB" w:rsidR="00EF7BC0" w:rsidRDefault="00EF7BC0" w:rsidP="00EF7BC0">
      <w:pPr>
        <w:pStyle w:val="ListNumber"/>
        <w:numPr>
          <w:ilvl w:val="0"/>
          <w:numId w:val="0"/>
        </w:numPr>
        <w:ind w:left="1094"/>
      </w:pPr>
      <w:r>
        <w:t>The Commission recommends that clauses 4</w:t>
      </w:r>
      <w:r w:rsidR="00806621">
        <w:t>–</w:t>
      </w:r>
      <w:r>
        <w:t>9 of Schedule 2 of the Bill be deleted.</w:t>
      </w:r>
    </w:p>
    <w:p w14:paraId="7BACCBB9" w14:textId="34524288" w:rsidR="00EF7BC0" w:rsidRDefault="00EF7BC0" w:rsidP="00EF7BC0">
      <w:pPr>
        <w:pStyle w:val="ListNumber"/>
        <w:keepNext/>
        <w:numPr>
          <w:ilvl w:val="0"/>
          <w:numId w:val="0"/>
        </w:numPr>
        <w:ind w:left="1094"/>
        <w:rPr>
          <w:b/>
          <w:bCs/>
        </w:rPr>
      </w:pPr>
      <w:r>
        <w:rPr>
          <w:b/>
          <w:bCs/>
        </w:rPr>
        <w:t xml:space="preserve">Recommendation </w:t>
      </w:r>
      <w:r w:rsidR="00081842">
        <w:rPr>
          <w:b/>
          <w:bCs/>
        </w:rPr>
        <w:t>1</w:t>
      </w:r>
      <w:r w:rsidR="00BD2B77">
        <w:rPr>
          <w:b/>
          <w:bCs/>
        </w:rPr>
        <w:t>0</w:t>
      </w:r>
    </w:p>
    <w:p w14:paraId="2F10695A" w14:textId="0DE1600A" w:rsidR="00EF7BC0" w:rsidRDefault="00EF7BC0" w:rsidP="00642FF2">
      <w:pPr>
        <w:pStyle w:val="ListNumber"/>
        <w:numPr>
          <w:ilvl w:val="0"/>
          <w:numId w:val="0"/>
        </w:numPr>
        <w:ind w:left="1094"/>
      </w:pPr>
      <w:r>
        <w:t xml:space="preserve">In the alternative to Recommendation </w:t>
      </w:r>
      <w:r w:rsidR="00BD2B77">
        <w:t>9</w:t>
      </w:r>
      <w:r>
        <w:t>, the Commission recommends that the proposed amendments to s</w:t>
      </w:r>
      <w:r w:rsidR="00806621">
        <w:t>ection</w:t>
      </w:r>
      <w:r>
        <w:t xml:space="preserve"> 197D be amended to insert objective criteria for the exercise of the power to make a finding that an unlawful non-citizen is no longer a person in respect of whom any protection finding would be made. Suggested wording of the amendment may include:</w:t>
      </w:r>
    </w:p>
    <w:p w14:paraId="23A65FF6" w14:textId="77777777" w:rsidR="00EF7BC0" w:rsidRPr="00B854EE" w:rsidRDefault="00EF7BC0" w:rsidP="00EF7BC0">
      <w:pPr>
        <w:pStyle w:val="ListParagraph"/>
        <w:numPr>
          <w:ilvl w:val="0"/>
          <w:numId w:val="32"/>
        </w:numPr>
        <w:spacing w:before="0" w:after="160" w:line="259" w:lineRule="auto"/>
        <w:contextualSpacing/>
        <w:rPr>
          <w:rFonts w:cs="Open Sans"/>
        </w:rPr>
      </w:pPr>
      <w:r w:rsidRPr="00B854EE">
        <w:rPr>
          <w:rFonts w:cs="Open Sans"/>
        </w:rPr>
        <w:t xml:space="preserve">For the purposes of subsection (2), the grounds on which the Minister may </w:t>
      </w:r>
      <w:proofErr w:type="gramStart"/>
      <w:r w:rsidRPr="00B854EE">
        <w:rPr>
          <w:rFonts w:cs="Open Sans"/>
        </w:rPr>
        <w:t>make a decision</w:t>
      </w:r>
      <w:proofErr w:type="gramEnd"/>
      <w:r w:rsidRPr="00B854EE">
        <w:rPr>
          <w:rFonts w:cs="Open Sans"/>
        </w:rPr>
        <w:t xml:space="preserve"> that </w:t>
      </w:r>
      <w:r>
        <w:rPr>
          <w:rFonts w:cs="Open Sans"/>
        </w:rPr>
        <w:t>the</w:t>
      </w:r>
      <w:r w:rsidRPr="00B854EE">
        <w:rPr>
          <w:rFonts w:cs="Open Sans"/>
        </w:rPr>
        <w:t xml:space="preserve"> non-citizen is no longer a person in respect of whom a protection finding would be made are:</w:t>
      </w:r>
    </w:p>
    <w:p w14:paraId="40BC3809" w14:textId="77777777" w:rsidR="00EF7BC0" w:rsidRPr="00B854EE" w:rsidRDefault="00EF7BC0" w:rsidP="00EF7BC0">
      <w:pPr>
        <w:pStyle w:val="ListParagraph"/>
        <w:numPr>
          <w:ilvl w:val="1"/>
          <w:numId w:val="32"/>
        </w:numPr>
        <w:spacing w:before="0" w:after="160" w:line="259" w:lineRule="auto"/>
        <w:contextualSpacing/>
        <w:rPr>
          <w:rFonts w:cs="Open Sans"/>
        </w:rPr>
      </w:pPr>
      <w:r w:rsidRPr="00B854EE">
        <w:rPr>
          <w:rFonts w:cs="Open Sans"/>
        </w:rPr>
        <w:t xml:space="preserve">in the case </w:t>
      </w:r>
      <w:r>
        <w:rPr>
          <w:rFonts w:cs="Open Sans"/>
        </w:rPr>
        <w:t xml:space="preserve">of </w:t>
      </w:r>
      <w:r w:rsidRPr="00B854EE">
        <w:rPr>
          <w:rFonts w:cs="Open Sans"/>
        </w:rPr>
        <w:t>a person about whom there has been a protection finding made under section 36(a):</w:t>
      </w:r>
    </w:p>
    <w:p w14:paraId="0FBE78AE" w14:textId="77777777" w:rsidR="00EF7BC0" w:rsidRPr="00B854EE" w:rsidRDefault="00EF7BC0" w:rsidP="00EF7BC0">
      <w:pPr>
        <w:pStyle w:val="ListParagraph"/>
        <w:numPr>
          <w:ilvl w:val="2"/>
          <w:numId w:val="32"/>
        </w:numPr>
        <w:spacing w:before="0" w:after="160" w:line="259" w:lineRule="auto"/>
        <w:contextualSpacing/>
        <w:rPr>
          <w:rFonts w:cs="Open Sans"/>
        </w:rPr>
      </w:pPr>
      <w:r w:rsidRPr="00B854EE">
        <w:rPr>
          <w:rFonts w:cs="Open Sans"/>
        </w:rPr>
        <w:t xml:space="preserve">the person can no longer continue to refuse </w:t>
      </w:r>
      <w:r>
        <w:rPr>
          <w:rFonts w:cs="Open Sans"/>
        </w:rPr>
        <w:t xml:space="preserve">to avail themselves </w:t>
      </w:r>
      <w:r w:rsidRPr="00B854EE">
        <w:rPr>
          <w:rFonts w:cs="Open Sans"/>
        </w:rPr>
        <w:t xml:space="preserve">of the protection of the country of </w:t>
      </w:r>
      <w:r>
        <w:rPr>
          <w:rFonts w:cs="Open Sans"/>
        </w:rPr>
        <w:t xml:space="preserve">their </w:t>
      </w:r>
      <w:r w:rsidRPr="00B854EE">
        <w:rPr>
          <w:rFonts w:cs="Open Sans"/>
        </w:rPr>
        <w:t>nationality; or</w:t>
      </w:r>
    </w:p>
    <w:p w14:paraId="192862A9" w14:textId="77777777" w:rsidR="00EF7BC0" w:rsidRDefault="00EF7BC0" w:rsidP="00EF7BC0">
      <w:pPr>
        <w:pStyle w:val="ListParagraph"/>
        <w:numPr>
          <w:ilvl w:val="2"/>
          <w:numId w:val="32"/>
        </w:numPr>
        <w:spacing w:before="0" w:after="160" w:line="259" w:lineRule="auto"/>
        <w:contextualSpacing/>
        <w:rPr>
          <w:rFonts w:cs="Open Sans"/>
        </w:rPr>
      </w:pPr>
      <w:r w:rsidRPr="00B854EE">
        <w:rPr>
          <w:rFonts w:cs="Open Sans"/>
        </w:rPr>
        <w:t xml:space="preserve">being a person who has no nationality, </w:t>
      </w:r>
      <w:r>
        <w:rPr>
          <w:rFonts w:cs="Open Sans"/>
        </w:rPr>
        <w:t xml:space="preserve">the person </w:t>
      </w:r>
      <w:proofErr w:type="gramStart"/>
      <w:r>
        <w:rPr>
          <w:rFonts w:cs="Open Sans"/>
        </w:rPr>
        <w:t xml:space="preserve">is </w:t>
      </w:r>
      <w:r w:rsidRPr="00B854EE">
        <w:rPr>
          <w:rFonts w:cs="Open Sans"/>
        </w:rPr>
        <w:t>able to</w:t>
      </w:r>
      <w:proofErr w:type="gramEnd"/>
      <w:r w:rsidRPr="00B854EE">
        <w:rPr>
          <w:rFonts w:cs="Open Sans"/>
        </w:rPr>
        <w:t xml:space="preserve"> return to the country of </w:t>
      </w:r>
      <w:r>
        <w:rPr>
          <w:rFonts w:cs="Open Sans"/>
        </w:rPr>
        <w:t xml:space="preserve">their </w:t>
      </w:r>
      <w:r w:rsidRPr="00B854EE">
        <w:rPr>
          <w:rFonts w:cs="Open Sans"/>
        </w:rPr>
        <w:t>former habitual residence</w:t>
      </w:r>
      <w:r>
        <w:rPr>
          <w:rFonts w:cs="Open Sans"/>
        </w:rPr>
        <w:t>,</w:t>
      </w:r>
    </w:p>
    <w:p w14:paraId="3D5DB0C1" w14:textId="77777777" w:rsidR="00EF7BC0" w:rsidRPr="00B854EE" w:rsidRDefault="00EF7BC0" w:rsidP="00EF7BC0">
      <w:pPr>
        <w:pStyle w:val="ListParagraph"/>
        <w:spacing w:before="0" w:after="160" w:line="259" w:lineRule="auto"/>
        <w:ind w:left="1800"/>
        <w:contextualSpacing/>
        <w:rPr>
          <w:rFonts w:cs="Open Sans"/>
        </w:rPr>
      </w:pPr>
      <w:r w:rsidRPr="00B854EE">
        <w:rPr>
          <w:rFonts w:cs="Open Sans"/>
        </w:rPr>
        <w:t xml:space="preserve">because the circumstances in connection with which </w:t>
      </w:r>
      <w:r>
        <w:rPr>
          <w:rFonts w:cs="Open Sans"/>
        </w:rPr>
        <w:t xml:space="preserve">they have </w:t>
      </w:r>
      <w:r w:rsidRPr="00B854EE">
        <w:rPr>
          <w:rFonts w:cs="Open Sans"/>
        </w:rPr>
        <w:t>been recognised as a refugee have ceased to exist.</w:t>
      </w:r>
    </w:p>
    <w:p w14:paraId="4E52C144" w14:textId="77777777" w:rsidR="00EF7BC0" w:rsidRPr="00B854EE" w:rsidRDefault="00EF7BC0" w:rsidP="00EF7BC0">
      <w:pPr>
        <w:pStyle w:val="ListParagraph"/>
        <w:numPr>
          <w:ilvl w:val="1"/>
          <w:numId w:val="32"/>
        </w:numPr>
        <w:spacing w:before="0" w:after="160" w:line="259" w:lineRule="auto"/>
        <w:contextualSpacing/>
        <w:rPr>
          <w:rFonts w:cs="Open Sans"/>
        </w:rPr>
      </w:pPr>
      <w:r>
        <w:rPr>
          <w:rFonts w:cs="Open Sans"/>
        </w:rPr>
        <w:t>i</w:t>
      </w:r>
      <w:r w:rsidRPr="00B854EE">
        <w:rPr>
          <w:rFonts w:cs="Open Sans"/>
        </w:rPr>
        <w:t>n the case of a person about whom there has been a protection finding made under section 36(aa), the grounds for believing that the person would suffer significant harm no longer exist.</w:t>
      </w:r>
    </w:p>
    <w:p w14:paraId="57CD2FC8" w14:textId="77777777" w:rsidR="00EF7BC0" w:rsidRPr="00B854EE" w:rsidRDefault="00EF7BC0" w:rsidP="00EF7BC0">
      <w:pPr>
        <w:pStyle w:val="ListParagraph"/>
        <w:numPr>
          <w:ilvl w:val="0"/>
          <w:numId w:val="32"/>
        </w:numPr>
        <w:spacing w:before="0" w:after="160" w:line="259" w:lineRule="auto"/>
        <w:contextualSpacing/>
        <w:rPr>
          <w:rFonts w:cs="Open Sans"/>
        </w:rPr>
      </w:pPr>
      <w:r w:rsidRPr="00B854EE">
        <w:rPr>
          <w:rFonts w:cs="Open Sans"/>
        </w:rPr>
        <w:lastRenderedPageBreak/>
        <w:t>It shall be an exception to subsection (</w:t>
      </w:r>
      <w:r>
        <w:rPr>
          <w:rFonts w:cs="Open Sans"/>
        </w:rPr>
        <w:t>3</w:t>
      </w:r>
      <w:r w:rsidRPr="00B854EE">
        <w:rPr>
          <w:rFonts w:cs="Open Sans"/>
        </w:rPr>
        <w:t xml:space="preserve">) if the person is able to invoke compelling reasons for refusing to avail </w:t>
      </w:r>
      <w:r>
        <w:rPr>
          <w:rFonts w:cs="Open Sans"/>
        </w:rPr>
        <w:t>themselves</w:t>
      </w:r>
      <w:r w:rsidRPr="00B854EE">
        <w:rPr>
          <w:rFonts w:cs="Open Sans"/>
        </w:rPr>
        <w:t xml:space="preserve"> of the protection of the country of </w:t>
      </w:r>
      <w:r>
        <w:rPr>
          <w:rFonts w:cs="Open Sans"/>
        </w:rPr>
        <w:t xml:space="preserve">their </w:t>
      </w:r>
      <w:r w:rsidRPr="00B854EE">
        <w:rPr>
          <w:rFonts w:cs="Open Sans"/>
        </w:rPr>
        <w:t xml:space="preserve">nationality, or the country of </w:t>
      </w:r>
      <w:r>
        <w:rPr>
          <w:rFonts w:cs="Open Sans"/>
        </w:rPr>
        <w:t xml:space="preserve">their </w:t>
      </w:r>
      <w:r w:rsidRPr="00B854EE">
        <w:rPr>
          <w:rFonts w:cs="Open Sans"/>
        </w:rPr>
        <w:t>former habitual residence.</w:t>
      </w:r>
    </w:p>
    <w:p w14:paraId="75AF02F0" w14:textId="77777777" w:rsidR="00EF7BC0" w:rsidRPr="00B854EE" w:rsidRDefault="00EF7BC0" w:rsidP="00EF7BC0">
      <w:pPr>
        <w:pStyle w:val="ListParagraph"/>
        <w:numPr>
          <w:ilvl w:val="0"/>
          <w:numId w:val="32"/>
        </w:numPr>
        <w:spacing w:before="0" w:after="160" w:line="259" w:lineRule="auto"/>
        <w:contextualSpacing/>
        <w:rPr>
          <w:rFonts w:cs="Open Sans"/>
        </w:rPr>
      </w:pPr>
      <w:r w:rsidRPr="00B854EE">
        <w:rPr>
          <w:rFonts w:cs="Open Sans"/>
        </w:rPr>
        <w:t>Without limiting subsection (</w:t>
      </w:r>
      <w:r>
        <w:rPr>
          <w:rFonts w:cs="Open Sans"/>
        </w:rPr>
        <w:t>4</w:t>
      </w:r>
      <w:r w:rsidRPr="00B854EE">
        <w:rPr>
          <w:rFonts w:cs="Open Sans"/>
        </w:rPr>
        <w:t>), compelling reasons may include:</w:t>
      </w:r>
    </w:p>
    <w:p w14:paraId="5610B7FC" w14:textId="77777777" w:rsidR="00EF7BC0" w:rsidRPr="00B854EE" w:rsidRDefault="00EF7BC0" w:rsidP="00EF7BC0">
      <w:pPr>
        <w:pStyle w:val="ListParagraph"/>
        <w:numPr>
          <w:ilvl w:val="1"/>
          <w:numId w:val="32"/>
        </w:numPr>
        <w:spacing w:before="0" w:after="160" w:line="259" w:lineRule="auto"/>
        <w:contextualSpacing/>
        <w:rPr>
          <w:rFonts w:cs="Open Sans"/>
        </w:rPr>
      </w:pPr>
      <w:r w:rsidRPr="00B854EE">
        <w:rPr>
          <w:rFonts w:cs="Open Sans"/>
        </w:rPr>
        <w:t xml:space="preserve">those arising out of previous persecution or significant </w:t>
      </w:r>
      <w:proofErr w:type="gramStart"/>
      <w:r w:rsidRPr="00B854EE">
        <w:rPr>
          <w:rFonts w:cs="Open Sans"/>
        </w:rPr>
        <w:t>harm;</w:t>
      </w:r>
      <w:proofErr w:type="gramEnd"/>
    </w:p>
    <w:p w14:paraId="5A6F0FB1" w14:textId="77777777" w:rsidR="00EF7BC0" w:rsidRPr="00B854EE" w:rsidRDefault="00EF7BC0" w:rsidP="00EF7BC0">
      <w:pPr>
        <w:pStyle w:val="ListParagraph"/>
        <w:numPr>
          <w:ilvl w:val="1"/>
          <w:numId w:val="32"/>
        </w:numPr>
        <w:spacing w:before="0" w:after="160" w:line="259" w:lineRule="auto"/>
        <w:contextualSpacing/>
        <w:rPr>
          <w:rFonts w:cs="Open Sans"/>
        </w:rPr>
      </w:pPr>
      <w:r w:rsidRPr="00B854EE">
        <w:rPr>
          <w:rFonts w:cs="Open Sans"/>
        </w:rPr>
        <w:t xml:space="preserve">the person is a </w:t>
      </w:r>
      <w:proofErr w:type="gramStart"/>
      <w:r w:rsidRPr="00B854EE">
        <w:rPr>
          <w:rFonts w:cs="Open Sans"/>
        </w:rPr>
        <w:t>child;</w:t>
      </w:r>
      <w:proofErr w:type="gramEnd"/>
    </w:p>
    <w:p w14:paraId="71B9EEA3" w14:textId="77777777" w:rsidR="00EF7BC0" w:rsidRPr="00B854EE" w:rsidRDefault="00EF7BC0" w:rsidP="00EF7BC0">
      <w:pPr>
        <w:pStyle w:val="ListParagraph"/>
        <w:numPr>
          <w:ilvl w:val="1"/>
          <w:numId w:val="32"/>
        </w:numPr>
        <w:spacing w:before="0" w:after="160" w:line="259" w:lineRule="auto"/>
        <w:contextualSpacing/>
        <w:rPr>
          <w:rFonts w:cs="Open Sans"/>
        </w:rPr>
      </w:pPr>
      <w:r w:rsidRPr="00B854EE">
        <w:rPr>
          <w:rFonts w:cs="Open Sans"/>
        </w:rPr>
        <w:t>the person has strong family, social and/or economic ties to Australia</w:t>
      </w:r>
      <w:r>
        <w:rPr>
          <w:rFonts w:cs="Open Sans"/>
        </w:rPr>
        <w:t>.</w:t>
      </w:r>
    </w:p>
    <w:p w14:paraId="0504CE4B" w14:textId="2C96A985" w:rsidR="00EF7BC0" w:rsidRPr="00B41942" w:rsidRDefault="00EF7BC0" w:rsidP="00EF7BC0">
      <w:pPr>
        <w:pStyle w:val="ListNumber"/>
        <w:keepNext/>
        <w:numPr>
          <w:ilvl w:val="0"/>
          <w:numId w:val="0"/>
        </w:numPr>
        <w:ind w:left="1094"/>
        <w:rPr>
          <w:b/>
          <w:bCs/>
        </w:rPr>
      </w:pPr>
      <w:r w:rsidRPr="00B41942">
        <w:rPr>
          <w:b/>
          <w:bCs/>
        </w:rPr>
        <w:t xml:space="preserve">Recommendation </w:t>
      </w:r>
      <w:r w:rsidR="00897C89">
        <w:rPr>
          <w:b/>
          <w:bCs/>
        </w:rPr>
        <w:t>1</w:t>
      </w:r>
      <w:r w:rsidR="00BD2B77">
        <w:rPr>
          <w:b/>
          <w:bCs/>
        </w:rPr>
        <w:t>1</w:t>
      </w:r>
    </w:p>
    <w:p w14:paraId="3E072251" w14:textId="3185A8D3" w:rsidR="00266E0B" w:rsidRPr="00897C89" w:rsidRDefault="00EF7BC0" w:rsidP="00897C89">
      <w:pPr>
        <w:pStyle w:val="ListNumber"/>
        <w:numPr>
          <w:ilvl w:val="0"/>
          <w:numId w:val="0"/>
        </w:numPr>
        <w:ind w:left="1094"/>
      </w:pPr>
      <w:r>
        <w:t xml:space="preserve">In the alternative to </w:t>
      </w:r>
      <w:r w:rsidR="00BD2B77">
        <w:t>r</w:t>
      </w:r>
      <w:r>
        <w:t xml:space="preserve">ecommendation </w:t>
      </w:r>
      <w:r w:rsidR="00BD2B77">
        <w:t>9</w:t>
      </w:r>
      <w:r>
        <w:t>, the Commission recommends that the proposed amendments to s 197D be amended to provide for procedural fairness to be given to a person whose protection finding is under review by the Minister.</w:t>
      </w:r>
    </w:p>
    <w:p w14:paraId="44C19C64" w14:textId="419ADDF5" w:rsidR="006A6B32" w:rsidRDefault="006A6B32" w:rsidP="00410FEB">
      <w:pPr>
        <w:pStyle w:val="Heading1"/>
        <w:tabs>
          <w:tab w:val="clear" w:pos="851"/>
          <w:tab w:val="num" w:pos="891"/>
        </w:tabs>
      </w:pPr>
      <w:bookmarkStart w:id="29" w:name="_Toc163501887"/>
      <w:r>
        <w:t>Background</w:t>
      </w:r>
      <w:bookmarkEnd w:id="29"/>
    </w:p>
    <w:p w14:paraId="3911A4A4" w14:textId="776B8BFA" w:rsidR="00F708D8" w:rsidRDefault="00FF201A" w:rsidP="00C65132">
      <w:pPr>
        <w:pStyle w:val="ListNumber"/>
      </w:pPr>
      <w:r>
        <w:t>Following</w:t>
      </w:r>
      <w:r w:rsidR="00436E1C">
        <w:t xml:space="preserve"> </w:t>
      </w:r>
      <w:r w:rsidR="00436E1C">
        <w:rPr>
          <w:i/>
          <w:iCs/>
        </w:rPr>
        <w:t>NZYQ</w:t>
      </w:r>
      <w:r w:rsidR="00436E1C">
        <w:t xml:space="preserve">, the </w:t>
      </w:r>
      <w:r w:rsidR="0036796E">
        <w:t>Government</w:t>
      </w:r>
      <w:r w:rsidR="00436E1C">
        <w:t xml:space="preserve"> introduced the </w:t>
      </w:r>
      <w:r w:rsidR="003742A4" w:rsidRPr="003742A4">
        <w:rPr>
          <w:i/>
          <w:iCs/>
        </w:rPr>
        <w:t xml:space="preserve">Migration Amendment (Bridging Visa Conditions) </w:t>
      </w:r>
      <w:r w:rsidR="0077557D">
        <w:rPr>
          <w:i/>
          <w:iCs/>
        </w:rPr>
        <w:t>Bill</w:t>
      </w:r>
      <w:r w:rsidR="003742A4" w:rsidRPr="003742A4">
        <w:rPr>
          <w:i/>
          <w:iCs/>
        </w:rPr>
        <w:t xml:space="preserve"> 2023</w:t>
      </w:r>
      <w:r w:rsidR="00BE51C9">
        <w:t xml:space="preserve"> (</w:t>
      </w:r>
      <w:proofErr w:type="spellStart"/>
      <w:r w:rsidR="00BE51C9">
        <w:t>Cth</w:t>
      </w:r>
      <w:proofErr w:type="spellEnd"/>
      <w:r w:rsidR="00BE51C9">
        <w:t>)</w:t>
      </w:r>
      <w:r w:rsidR="005A160E">
        <w:t>.</w:t>
      </w:r>
      <w:r w:rsidR="0077557D">
        <w:t xml:space="preserve"> </w:t>
      </w:r>
      <w:r w:rsidR="00782615">
        <w:t xml:space="preserve">The Bill </w:t>
      </w:r>
      <w:r w:rsidR="0077557D">
        <w:t>was passed by the Parliament</w:t>
      </w:r>
      <w:r w:rsidR="009B4E74">
        <w:t xml:space="preserve"> </w:t>
      </w:r>
      <w:r w:rsidR="00782615">
        <w:t xml:space="preserve">as a matter of urgency and </w:t>
      </w:r>
      <w:r w:rsidR="009B4E74">
        <w:t>without referral to a scrutiny Committee</w:t>
      </w:r>
      <w:r w:rsidR="00784EBA">
        <w:t xml:space="preserve">. </w:t>
      </w:r>
      <w:r w:rsidR="00FF2410">
        <w:t xml:space="preserve">If there had been an opportunity to make a submission on the Bill, the Commission </w:t>
      </w:r>
      <w:r w:rsidR="009E1DD5">
        <w:t xml:space="preserve">would have drawn attention to its </w:t>
      </w:r>
      <w:r w:rsidR="0097144E">
        <w:t>punitive nature</w:t>
      </w:r>
      <w:r w:rsidR="009E1DD5">
        <w:t>, with</w:t>
      </w:r>
      <w:r w:rsidR="00106EB1">
        <w:t xml:space="preserve"> mandatory minimum sentences of at least one year imprisonment imposed for breaches of </w:t>
      </w:r>
      <w:r w:rsidR="00F66967">
        <w:t>visa conditions.</w:t>
      </w:r>
    </w:p>
    <w:p w14:paraId="7ADF69BB" w14:textId="0E7B61A9" w:rsidR="008E4E85" w:rsidRDefault="008E4E85" w:rsidP="00C65132">
      <w:pPr>
        <w:pStyle w:val="ListNumber"/>
      </w:pPr>
      <w:r>
        <w:t>The Bill</w:t>
      </w:r>
      <w:r w:rsidR="008D207C">
        <w:t xml:space="preserve"> now under consideration</w:t>
      </w:r>
      <w:r w:rsidR="00B57B60">
        <w:t xml:space="preserve"> is aimed at</w:t>
      </w:r>
      <w:r w:rsidR="007F26D5">
        <w:t xml:space="preserve"> requiring ‘non-citizens who are on a removal pathway and have exhausted all avenues to remain in Australia to cooperate in efforts to ensure their prompt</w:t>
      </w:r>
      <w:r w:rsidR="00360975">
        <w:t xml:space="preserve"> and lawful removal’.</w:t>
      </w:r>
      <w:r w:rsidR="00360975">
        <w:rPr>
          <w:rStyle w:val="EndnoteReference"/>
        </w:rPr>
        <w:endnoteReference w:id="4"/>
      </w:r>
      <w:r w:rsidR="00E26EEB">
        <w:t xml:space="preserve"> This </w:t>
      </w:r>
      <w:r w:rsidR="002B3F01">
        <w:t>is to be achieved through two primary measures</w:t>
      </w:r>
      <w:r w:rsidR="00972B60">
        <w:t xml:space="preserve">, vesting in the Minister </w:t>
      </w:r>
      <w:r w:rsidR="00E17B01">
        <w:t>the power to</w:t>
      </w:r>
      <w:r w:rsidR="002B3F01">
        <w:t>:</w:t>
      </w:r>
    </w:p>
    <w:p w14:paraId="6EAB0EA6" w14:textId="6506C181" w:rsidR="002B3F01" w:rsidRDefault="00A32853" w:rsidP="002B3F01">
      <w:pPr>
        <w:pStyle w:val="ListBullet"/>
      </w:pPr>
      <w:r>
        <w:t>direct certain non-citizens to cooperate with removal efforts</w:t>
      </w:r>
      <w:r w:rsidR="00E17B01">
        <w:t xml:space="preserve"> (whe</w:t>
      </w:r>
      <w:r w:rsidR="00AA206F">
        <w:t>re the failure to comply will result in a mandatory minimum sentence of 12 months imprisonment</w:t>
      </w:r>
      <w:r w:rsidR="00371AAC">
        <w:t xml:space="preserve"> and a maximum available sentence of five years imprisonment</w:t>
      </w:r>
      <w:r w:rsidR="00CE0D5D">
        <w:t xml:space="preserve"> or 300 penalty units, or both</w:t>
      </w:r>
      <w:r w:rsidR="00371AAC">
        <w:t>)</w:t>
      </w:r>
    </w:p>
    <w:p w14:paraId="01B1FB5C" w14:textId="49E99BCD" w:rsidR="0022150E" w:rsidRDefault="00CE0D5D" w:rsidP="002B3F01">
      <w:pPr>
        <w:pStyle w:val="ListBullet"/>
      </w:pPr>
      <w:r>
        <w:t>designate a country as a ‘removal concern country’</w:t>
      </w:r>
      <w:r w:rsidR="00B97D39">
        <w:t>, with the effect that visa applicants outside Australia of that nationality will be unable to make a valid visa application (with exceptions applying)</w:t>
      </w:r>
      <w:r w:rsidR="002B16D6">
        <w:t>.</w:t>
      </w:r>
    </w:p>
    <w:p w14:paraId="71401799" w14:textId="73E1A2EC" w:rsidR="00D91A0E" w:rsidRDefault="00D91A0E" w:rsidP="00C65132">
      <w:pPr>
        <w:pStyle w:val="ListNumber"/>
      </w:pPr>
      <w:r>
        <w:t xml:space="preserve">The first of these powers may be delegated, however the second </w:t>
      </w:r>
      <w:r w:rsidR="00B91C00">
        <w:t>may only be exercised by the Minister personally.</w:t>
      </w:r>
    </w:p>
    <w:p w14:paraId="45086D1D" w14:textId="3A372981" w:rsidR="0010475F" w:rsidRDefault="00EE4729" w:rsidP="00C65132">
      <w:pPr>
        <w:pStyle w:val="ListNumber"/>
      </w:pPr>
      <w:r>
        <w:lastRenderedPageBreak/>
        <w:t xml:space="preserve">The Bill comes at a time when there is uncertainty about whether the principle of </w:t>
      </w:r>
      <w:r>
        <w:rPr>
          <w:i/>
          <w:iCs/>
        </w:rPr>
        <w:t>NZYQ</w:t>
      </w:r>
      <w:r>
        <w:t xml:space="preserve"> will apply</w:t>
      </w:r>
      <w:r w:rsidR="00723F2B">
        <w:t xml:space="preserve"> to those non-citizens who refuse to cooperate with efforts to </w:t>
      </w:r>
      <w:r w:rsidR="00693CE3">
        <w:t>facilitate their removal.</w:t>
      </w:r>
    </w:p>
    <w:p w14:paraId="3EB6E696" w14:textId="09FD760F" w:rsidR="00C65132" w:rsidRDefault="00C65132" w:rsidP="00C65132">
      <w:pPr>
        <w:pStyle w:val="ListNumber"/>
      </w:pPr>
      <w:r>
        <w:t xml:space="preserve">Specifically, in the case of </w:t>
      </w:r>
      <w:r w:rsidRPr="00C65132">
        <w:rPr>
          <w:i/>
          <w:iCs/>
        </w:rPr>
        <w:t xml:space="preserve">AZC20 v Secretary, Department of Home Affairs (No 2) </w:t>
      </w:r>
      <w:r>
        <w:t>[2023] FCA 1497 (</w:t>
      </w:r>
      <w:r w:rsidRPr="00C65132">
        <w:rPr>
          <w:i/>
          <w:iCs/>
        </w:rPr>
        <w:t>AZC20</w:t>
      </w:r>
      <w:r>
        <w:t>), Justice Kennett ordered the release from detention of an Iranian man who could not be returned to Iran unless he consented and cooperated with Iranian authorities to facilitate the issuance of a travel document.</w:t>
      </w:r>
      <w:r>
        <w:rPr>
          <w:rStyle w:val="EndnoteReference"/>
        </w:rPr>
        <w:endnoteReference w:id="5"/>
      </w:r>
      <w:r w:rsidR="00967062">
        <w:t xml:space="preserve"> Justice Kennett stated</w:t>
      </w:r>
      <w:r w:rsidR="00D17720">
        <w:t>:</w:t>
      </w:r>
    </w:p>
    <w:p w14:paraId="122853F4" w14:textId="4A078BEB" w:rsidR="004B2C59" w:rsidRDefault="004B2C59" w:rsidP="004B2C59">
      <w:pPr>
        <w:pStyle w:val="Quote"/>
      </w:pPr>
      <w:r>
        <w:t>People in immigration detention may seek to delay or frustrate their removal from Australia for a variety of reasons and are not under any general obligation to cooperate in the process.</w:t>
      </w:r>
      <w:r>
        <w:rPr>
          <w:rStyle w:val="EndnoteReference"/>
        </w:rPr>
        <w:endnoteReference w:id="6"/>
      </w:r>
    </w:p>
    <w:p w14:paraId="0570FD23" w14:textId="45FA3213" w:rsidR="00BD7459" w:rsidRDefault="00BD7459" w:rsidP="00C65132">
      <w:pPr>
        <w:pStyle w:val="ListNumber"/>
      </w:pPr>
      <w:r>
        <w:t xml:space="preserve">Ultimately, Justice Kennett found that the circumstances of the applicant in </w:t>
      </w:r>
      <w:r>
        <w:rPr>
          <w:i/>
          <w:iCs/>
        </w:rPr>
        <w:t>AZC20</w:t>
      </w:r>
      <w:r>
        <w:t xml:space="preserve"> meant that he </w:t>
      </w:r>
      <w:r w:rsidR="009756CB">
        <w:t xml:space="preserve">was unable to </w:t>
      </w:r>
      <w:r w:rsidR="00797898">
        <w:t xml:space="preserve">cooperate with efforts to </w:t>
      </w:r>
      <w:proofErr w:type="gramStart"/>
      <w:r w:rsidR="00797898">
        <w:t>effect</w:t>
      </w:r>
      <w:proofErr w:type="gramEnd"/>
      <w:r w:rsidR="00797898">
        <w:t xml:space="preserve"> his removal to Iran, predominantly due to </w:t>
      </w:r>
      <w:r w:rsidR="00377D97">
        <w:t>his subjective fear of persecution there, and his mental health preventing him from</w:t>
      </w:r>
      <w:r w:rsidR="00764243">
        <w:t xml:space="preserve"> changing his approach. He was, however, willing to be removed to any other country.</w:t>
      </w:r>
      <w:r w:rsidR="00764243">
        <w:rPr>
          <w:rStyle w:val="EndnoteReference"/>
        </w:rPr>
        <w:endnoteReference w:id="7"/>
      </w:r>
    </w:p>
    <w:p w14:paraId="1877A3C2" w14:textId="026842C8" w:rsidR="00C252BE" w:rsidRDefault="00C252BE" w:rsidP="00C65132">
      <w:pPr>
        <w:pStyle w:val="ListNumber"/>
      </w:pPr>
      <w:r>
        <w:t xml:space="preserve">Writs of </w:t>
      </w:r>
      <w:r w:rsidRPr="00C252BE">
        <w:rPr>
          <w:i/>
          <w:iCs/>
        </w:rPr>
        <w:t>habeas corpus</w:t>
      </w:r>
      <w:r>
        <w:t xml:space="preserve"> have also been issued</w:t>
      </w:r>
      <w:r w:rsidR="00F04E60">
        <w:t xml:space="preserve"> in</w:t>
      </w:r>
      <w:r w:rsidR="009417A4" w:rsidRPr="009417A4">
        <w:rPr>
          <w:i/>
          <w:iCs/>
        </w:rPr>
        <w:t xml:space="preserve"> </w:t>
      </w:r>
      <w:r w:rsidR="009417A4">
        <w:rPr>
          <w:i/>
          <w:iCs/>
        </w:rPr>
        <w:t xml:space="preserve">David v Secretary of Department of Home Affairs </w:t>
      </w:r>
      <w:r w:rsidR="009417A4">
        <w:t>[2024] FedCFamC2G 178 and</w:t>
      </w:r>
      <w:r w:rsidR="00F04E60">
        <w:t xml:space="preserve"> </w:t>
      </w:r>
      <w:r w:rsidR="00F04E60">
        <w:rPr>
          <w:i/>
          <w:iCs/>
        </w:rPr>
        <w:t xml:space="preserve">Adam v Secretary of </w:t>
      </w:r>
      <w:r w:rsidR="009417A4">
        <w:rPr>
          <w:i/>
          <w:iCs/>
        </w:rPr>
        <w:t>Department</w:t>
      </w:r>
      <w:r w:rsidR="00F04E60">
        <w:rPr>
          <w:i/>
          <w:iCs/>
        </w:rPr>
        <w:t xml:space="preserve"> of Home Affairs </w:t>
      </w:r>
      <w:r w:rsidR="00F04E60">
        <w:t>[2024] FedCFacC2G 179</w:t>
      </w:r>
      <w:r w:rsidR="009417A4">
        <w:t xml:space="preserve"> ordering the release of two more Iranian men.</w:t>
      </w:r>
    </w:p>
    <w:p w14:paraId="09B8CCFB" w14:textId="5311DFF1" w:rsidR="00C65132" w:rsidRDefault="00C65132" w:rsidP="00C65132">
      <w:pPr>
        <w:pStyle w:val="ListNumber"/>
      </w:pPr>
      <w:r>
        <w:t xml:space="preserve">In contrast, Justice Colvin dismissed a </w:t>
      </w:r>
      <w:r w:rsidR="00E746BA">
        <w:t xml:space="preserve">similar </w:t>
      </w:r>
      <w:r>
        <w:t xml:space="preserve">application by another Iranian man in </w:t>
      </w:r>
      <w:r>
        <w:rPr>
          <w:i/>
          <w:iCs/>
        </w:rPr>
        <w:t xml:space="preserve">ASF17 v Commonwealth of Australia </w:t>
      </w:r>
      <w:r>
        <w:t>[2024] FCA 7 (</w:t>
      </w:r>
      <w:r>
        <w:rPr>
          <w:i/>
          <w:iCs/>
        </w:rPr>
        <w:t>ASF17</w:t>
      </w:r>
      <w:r>
        <w:t xml:space="preserve">). The applicant in </w:t>
      </w:r>
      <w:r>
        <w:rPr>
          <w:i/>
          <w:iCs/>
        </w:rPr>
        <w:t>ASF17</w:t>
      </w:r>
      <w:r>
        <w:t xml:space="preserve"> filed an appeal of the decision, which was removed from the Full Court of the Federal Court to the High </w:t>
      </w:r>
      <w:proofErr w:type="gramStart"/>
      <w:r>
        <w:t>Court, and</w:t>
      </w:r>
      <w:proofErr w:type="gramEnd"/>
      <w:r>
        <w:t xml:space="preserve"> </w:t>
      </w:r>
      <w:r w:rsidR="000D6EC2">
        <w:t>is</w:t>
      </w:r>
      <w:r>
        <w:t xml:space="preserve"> due to be heard on 17 April 2024.</w:t>
      </w:r>
    </w:p>
    <w:p w14:paraId="2B6421B1" w14:textId="45EA7657" w:rsidR="001B6F2B" w:rsidRDefault="007679FA" w:rsidP="001B6F2B">
      <w:pPr>
        <w:pStyle w:val="ListNumber"/>
      </w:pPr>
      <w:r>
        <w:t>Each case has considered</w:t>
      </w:r>
      <w:r w:rsidR="00D65B4C">
        <w:t xml:space="preserve"> the </w:t>
      </w:r>
      <w:r>
        <w:t>implication</w:t>
      </w:r>
      <w:r w:rsidR="00AA264E">
        <w:t>s</w:t>
      </w:r>
      <w:r w:rsidR="00D65B4C">
        <w:t xml:space="preserve"> of </w:t>
      </w:r>
      <w:r w:rsidR="00D65B4C">
        <w:rPr>
          <w:i/>
          <w:iCs/>
        </w:rPr>
        <w:t xml:space="preserve">Plaintiff M47/2018 v Minister for Home Affairs </w:t>
      </w:r>
      <w:r w:rsidR="00D65B4C">
        <w:t>[2019] HCA 17 (</w:t>
      </w:r>
      <w:r w:rsidR="00D65B4C">
        <w:rPr>
          <w:i/>
          <w:iCs/>
        </w:rPr>
        <w:t>Plaintiff M47</w:t>
      </w:r>
      <w:r w:rsidR="00D65B4C">
        <w:t>)</w:t>
      </w:r>
      <w:r w:rsidR="00134935">
        <w:t xml:space="preserve">, and whether </w:t>
      </w:r>
      <w:r w:rsidR="00462AD2">
        <w:t xml:space="preserve">it had been overturned by </w:t>
      </w:r>
      <w:r w:rsidR="00462AD2">
        <w:rPr>
          <w:i/>
          <w:iCs/>
        </w:rPr>
        <w:t>NZYQ</w:t>
      </w:r>
      <w:r w:rsidR="00462AD2">
        <w:t xml:space="preserve">. </w:t>
      </w:r>
      <w:r w:rsidR="002104EC">
        <w:t xml:space="preserve">Both </w:t>
      </w:r>
      <w:r w:rsidR="00462AD2">
        <w:t>Justice</w:t>
      </w:r>
      <w:r w:rsidR="002104EC">
        <w:t>s Kenne</w:t>
      </w:r>
      <w:r w:rsidR="00CC71EA">
        <w:t>t</w:t>
      </w:r>
      <w:r w:rsidR="002104EC">
        <w:t>t and</w:t>
      </w:r>
      <w:r w:rsidR="00462AD2">
        <w:t xml:space="preserve"> Colvin determined that it had not</w:t>
      </w:r>
      <w:r w:rsidR="007F192F">
        <w:t>.</w:t>
      </w:r>
    </w:p>
    <w:p w14:paraId="1F36FBE6" w14:textId="3E1CE9A1" w:rsidR="001E4CFB" w:rsidRDefault="001E4CFB" w:rsidP="001B6F2B">
      <w:pPr>
        <w:pStyle w:val="ListNumber"/>
      </w:pPr>
      <w:r>
        <w:t>If this is correct, then it remains open to the Government to keep unlawful non-citizens in prolonged or indefinite immigration detention, where they</w:t>
      </w:r>
      <w:r w:rsidR="002F18A9">
        <w:t xml:space="preserve"> are failing to cooperate in efforts towards their own removal</w:t>
      </w:r>
      <w:r w:rsidR="001F6183">
        <w:t xml:space="preserve"> (at least if that refusal is voluntary</w:t>
      </w:r>
      <w:r w:rsidR="00874FF5">
        <w:t>)</w:t>
      </w:r>
      <w:r w:rsidR="002F18A9">
        <w:t>.</w:t>
      </w:r>
    </w:p>
    <w:p w14:paraId="4875EAEE" w14:textId="2698951D" w:rsidR="00813CBA" w:rsidRDefault="00813CBA" w:rsidP="001B6F2B">
      <w:pPr>
        <w:pStyle w:val="ListNumber"/>
      </w:pPr>
      <w:r>
        <w:t xml:space="preserve">Despite these developments, the Department of Home Affairs informed </w:t>
      </w:r>
      <w:r w:rsidR="00874FF5">
        <w:t>this Committee</w:t>
      </w:r>
      <w:r>
        <w:t xml:space="preserve"> that</w:t>
      </w:r>
      <w:r w:rsidR="00E15EBC">
        <w:t xml:space="preserve"> the Bill has not been drafted with a view to rectify the issue raised in </w:t>
      </w:r>
      <w:r w:rsidR="00E15EBC">
        <w:rPr>
          <w:i/>
          <w:iCs/>
        </w:rPr>
        <w:t xml:space="preserve">ASF17 </w:t>
      </w:r>
      <w:r w:rsidR="00E15EBC">
        <w:t>prior to the High Court’s determination.</w:t>
      </w:r>
      <w:r w:rsidR="009D663C">
        <w:rPr>
          <w:rStyle w:val="EndnoteReference"/>
        </w:rPr>
        <w:endnoteReference w:id="8"/>
      </w:r>
    </w:p>
    <w:p w14:paraId="5C167010" w14:textId="709FEAD2" w:rsidR="0017113A" w:rsidRDefault="00874FF5" w:rsidP="001B6F2B">
      <w:pPr>
        <w:pStyle w:val="ListNumber"/>
      </w:pPr>
      <w:r>
        <w:lastRenderedPageBreak/>
        <w:t>T</w:t>
      </w:r>
      <w:r w:rsidR="0017113A">
        <w:t xml:space="preserve">he Department informed </w:t>
      </w:r>
      <w:r>
        <w:t>this Committee</w:t>
      </w:r>
      <w:r w:rsidR="0017113A">
        <w:t xml:space="preserve"> that three groups of people will fall within the scope of </w:t>
      </w:r>
      <w:r w:rsidR="00BA2FA0">
        <w:t>the power vested in the Minister to direct a non-citizen to cooperate with removal efforts. These are:</w:t>
      </w:r>
    </w:p>
    <w:p w14:paraId="318F80AD" w14:textId="43B5A3A6" w:rsidR="00BA2FA0" w:rsidRDefault="009B6D8A" w:rsidP="00BA2FA0">
      <w:pPr>
        <w:pStyle w:val="ListBullet"/>
      </w:pPr>
      <w:r>
        <w:t>detainees</w:t>
      </w:r>
    </w:p>
    <w:p w14:paraId="26D605D3" w14:textId="4FE941EA" w:rsidR="009B6D8A" w:rsidRDefault="009B6D8A" w:rsidP="00BA2FA0">
      <w:pPr>
        <w:pStyle w:val="ListBullet"/>
      </w:pPr>
      <w:r>
        <w:t xml:space="preserve">holders of a Bridging </w:t>
      </w:r>
      <w:r w:rsidR="00D23003">
        <w:t xml:space="preserve">R </w:t>
      </w:r>
      <w:r>
        <w:t>visa</w:t>
      </w:r>
    </w:p>
    <w:p w14:paraId="3420DC17" w14:textId="1DAFA466" w:rsidR="009B6D8A" w:rsidRDefault="009B6D8A" w:rsidP="00BA2FA0">
      <w:pPr>
        <w:pStyle w:val="ListBullet"/>
      </w:pPr>
      <w:r>
        <w:t xml:space="preserve">holders of a Bridging </w:t>
      </w:r>
      <w:r w:rsidR="00D23003">
        <w:t xml:space="preserve">E </w:t>
      </w:r>
      <w:r>
        <w:t>visa</w:t>
      </w:r>
      <w:r w:rsidR="008404FA">
        <w:t xml:space="preserve"> (whose visa</w:t>
      </w:r>
      <w:r w:rsidR="00185878">
        <w:t>s</w:t>
      </w:r>
      <w:r w:rsidR="008404FA">
        <w:t xml:space="preserve"> w</w:t>
      </w:r>
      <w:r w:rsidR="00185878">
        <w:t>ere</w:t>
      </w:r>
      <w:r w:rsidR="008404FA">
        <w:t xml:space="preserve"> granted on the basis that they</w:t>
      </w:r>
      <w:r w:rsidR="00C56C58">
        <w:t xml:space="preserve"> were mak</w:t>
      </w:r>
      <w:r w:rsidR="001D49A1">
        <w:t>ing acceptable arrangements to depart Australia)</w:t>
      </w:r>
      <w:r>
        <w:t>.</w:t>
      </w:r>
    </w:p>
    <w:p w14:paraId="3559EACD" w14:textId="03B0B9FC" w:rsidR="00864FEA" w:rsidRDefault="00864FEA" w:rsidP="001B4E9E">
      <w:pPr>
        <w:pStyle w:val="ListNumber"/>
      </w:pPr>
      <w:r>
        <w:t>There is also the ability for the Minister</w:t>
      </w:r>
      <w:r w:rsidR="00127517">
        <w:t xml:space="preserve"> to add other classes of non-citizens to this list, through</w:t>
      </w:r>
      <w:r w:rsidR="007F2F2D">
        <w:t xml:space="preserve"> amendments to the </w:t>
      </w:r>
      <w:r w:rsidR="007F2F2D" w:rsidRPr="00B9589F">
        <w:t>Migration Regulations 1994</w:t>
      </w:r>
      <w:r w:rsidR="007F2F2D">
        <w:t xml:space="preserve"> (</w:t>
      </w:r>
      <w:proofErr w:type="spellStart"/>
      <w:r w:rsidR="00885AB6">
        <w:t>Cth</w:t>
      </w:r>
      <w:proofErr w:type="spellEnd"/>
      <w:r w:rsidR="00885AB6">
        <w:t xml:space="preserve">) </w:t>
      </w:r>
      <w:r w:rsidR="007F2F2D">
        <w:t>(Migration Regulations).</w:t>
      </w:r>
    </w:p>
    <w:p w14:paraId="25B261E6" w14:textId="004A7026" w:rsidR="001B4E9E" w:rsidRDefault="001B4E9E" w:rsidP="001B4E9E">
      <w:pPr>
        <w:pStyle w:val="ListNumber"/>
      </w:pPr>
      <w:r>
        <w:t xml:space="preserve">Only detainees may potentially be affected by the outcome of </w:t>
      </w:r>
      <w:r>
        <w:rPr>
          <w:i/>
          <w:iCs/>
        </w:rPr>
        <w:t>ASF17</w:t>
      </w:r>
      <w:r w:rsidR="00F80493">
        <w:t>, which considers the lawfulness of detention.</w:t>
      </w:r>
    </w:p>
    <w:p w14:paraId="00305C45" w14:textId="6A44EA49" w:rsidR="0022012E" w:rsidRDefault="00E54B7A" w:rsidP="00163950">
      <w:pPr>
        <w:pStyle w:val="Heading1"/>
      </w:pPr>
      <w:bookmarkStart w:id="30" w:name="_Toc163501888"/>
      <w:r>
        <w:t>Removal pathway directions</w:t>
      </w:r>
      <w:bookmarkEnd w:id="30"/>
    </w:p>
    <w:p w14:paraId="68015816" w14:textId="14FAF58B" w:rsidR="00015B86" w:rsidRDefault="00421CE6" w:rsidP="00015B86">
      <w:pPr>
        <w:pStyle w:val="ListNumber"/>
      </w:pPr>
      <w:r>
        <w:t>Pursuant to the Bill, a</w:t>
      </w:r>
      <w:r w:rsidR="00C020E8">
        <w:t xml:space="preserve"> removal pathway direction</w:t>
      </w:r>
      <w:r w:rsidR="00007A6A">
        <w:t xml:space="preserve"> may be issued to a person, requiring them to take certain actions to facilitate their removal from Australia, including but not limited to:</w:t>
      </w:r>
    </w:p>
    <w:p w14:paraId="4C1DDA82" w14:textId="14452B42" w:rsidR="00007A6A" w:rsidRDefault="004974FE" w:rsidP="00007A6A">
      <w:pPr>
        <w:pStyle w:val="ListBullet"/>
      </w:pPr>
      <w:r>
        <w:t>completing and signing an application for a travel document</w:t>
      </w:r>
    </w:p>
    <w:p w14:paraId="5FC76F69" w14:textId="63BAB19D" w:rsidR="004974FE" w:rsidRDefault="004974FE" w:rsidP="00007A6A">
      <w:pPr>
        <w:pStyle w:val="ListBullet"/>
      </w:pPr>
      <w:r>
        <w:t>providing documentation</w:t>
      </w:r>
    </w:p>
    <w:p w14:paraId="52041A2B" w14:textId="346B3B2D" w:rsidR="00681F82" w:rsidRDefault="00681F82" w:rsidP="00007A6A">
      <w:pPr>
        <w:pStyle w:val="ListBullet"/>
      </w:pPr>
      <w:r>
        <w:t>attending an interview</w:t>
      </w:r>
    </w:p>
    <w:p w14:paraId="31F868CF" w14:textId="3AF8D468" w:rsidR="00681F82" w:rsidRDefault="00681F82" w:rsidP="00007A6A">
      <w:pPr>
        <w:pStyle w:val="ListBullet"/>
      </w:pPr>
      <w:r>
        <w:t>reporting to an officer or person.</w:t>
      </w:r>
      <w:r w:rsidR="009F568E">
        <w:rPr>
          <w:rStyle w:val="EndnoteReference"/>
        </w:rPr>
        <w:endnoteReference w:id="9"/>
      </w:r>
    </w:p>
    <w:p w14:paraId="487B00B0" w14:textId="1351E290" w:rsidR="00821281" w:rsidRDefault="00821281" w:rsidP="008E3550">
      <w:pPr>
        <w:pStyle w:val="ListNumber"/>
      </w:pPr>
      <w:r>
        <w:t>The Minister must be satisfied that</w:t>
      </w:r>
      <w:r w:rsidR="002831CE">
        <w:t xml:space="preserve"> the action required in the direction is reasonably necessary</w:t>
      </w:r>
      <w:r w:rsidR="008E3550">
        <w:t>, either to determine whether there is a real prospect of the person’s removal</w:t>
      </w:r>
      <w:r w:rsidR="00ED0E3E">
        <w:t xml:space="preserve"> becoming practicable in the reasonably foreseeable future, or reasonably necessary to facilitate their removal from Australia.</w:t>
      </w:r>
      <w:r w:rsidR="009A69BC">
        <w:rPr>
          <w:rStyle w:val="EndnoteReference"/>
        </w:rPr>
        <w:endnoteReference w:id="10"/>
      </w:r>
    </w:p>
    <w:p w14:paraId="722F59DD" w14:textId="7B538FEB" w:rsidR="00110915" w:rsidRDefault="00110915" w:rsidP="008E3550">
      <w:pPr>
        <w:pStyle w:val="ListNumber"/>
      </w:pPr>
      <w:r>
        <w:t>The direction must</w:t>
      </w:r>
      <w:r w:rsidR="008C6A34">
        <w:t xml:space="preserve"> specify a timeframe for compliance,</w:t>
      </w:r>
      <w:r w:rsidR="008C6A34">
        <w:rPr>
          <w:rStyle w:val="EndnoteReference"/>
        </w:rPr>
        <w:endnoteReference w:id="11"/>
      </w:r>
      <w:r w:rsidR="008C6A34">
        <w:t xml:space="preserve"> and </w:t>
      </w:r>
      <w:r w:rsidR="00EC2ADF">
        <w:t>state that a failure to comply may result in the commission of an offence.</w:t>
      </w:r>
      <w:r w:rsidR="00EC2ADF">
        <w:rPr>
          <w:rStyle w:val="EndnoteReference"/>
        </w:rPr>
        <w:endnoteReference w:id="12"/>
      </w:r>
    </w:p>
    <w:p w14:paraId="0570DAD1" w14:textId="47E45E79" w:rsidR="00003ED2" w:rsidRDefault="00003ED2" w:rsidP="008E3550">
      <w:pPr>
        <w:pStyle w:val="ListNumber"/>
      </w:pPr>
      <w:r>
        <w:t>A direction cannot be given</w:t>
      </w:r>
      <w:r w:rsidR="004A2E86">
        <w:t xml:space="preserve"> to a non-citizen who is subject to a protection finding within the meaning of section 197C of the </w:t>
      </w:r>
      <w:r w:rsidR="004A2E86">
        <w:rPr>
          <w:i/>
          <w:iCs/>
        </w:rPr>
        <w:t>Migration Act 1958</w:t>
      </w:r>
      <w:r w:rsidR="004A2E86">
        <w:t xml:space="preserve"> (</w:t>
      </w:r>
      <w:proofErr w:type="spellStart"/>
      <w:r w:rsidR="00804BB9">
        <w:t>Cth</w:t>
      </w:r>
      <w:proofErr w:type="spellEnd"/>
      <w:r w:rsidR="00804BB9">
        <w:t xml:space="preserve">) </w:t>
      </w:r>
      <w:r w:rsidR="004A2E86">
        <w:t>(Migration Act)</w:t>
      </w:r>
      <w:r w:rsidR="00CD37E8">
        <w:t>,</w:t>
      </w:r>
      <w:r w:rsidR="00AE7344">
        <w:rPr>
          <w:rStyle w:val="EndnoteReference"/>
        </w:rPr>
        <w:endnoteReference w:id="13"/>
      </w:r>
      <w:r w:rsidR="00CD37E8">
        <w:t xml:space="preserve"> or where the person has a protection visa under consideration.</w:t>
      </w:r>
      <w:r w:rsidR="00CD37E8">
        <w:rPr>
          <w:rStyle w:val="EndnoteReference"/>
        </w:rPr>
        <w:endnoteReference w:id="14"/>
      </w:r>
    </w:p>
    <w:p w14:paraId="300F1D1B" w14:textId="318B4390" w:rsidR="00A0443E" w:rsidRDefault="00A0443E" w:rsidP="008E3550">
      <w:pPr>
        <w:pStyle w:val="ListNumber"/>
      </w:pPr>
      <w:r>
        <w:t>A direction also cannot be given to a child</w:t>
      </w:r>
      <w:r w:rsidR="00BD02F8">
        <w:t>,</w:t>
      </w:r>
      <w:r w:rsidR="00BD02F8">
        <w:rPr>
          <w:rStyle w:val="EndnoteReference"/>
        </w:rPr>
        <w:endnoteReference w:id="15"/>
      </w:r>
      <w:r w:rsidR="00BD02F8">
        <w:t xml:space="preserve"> but can be given to a parent or guardian of a child</w:t>
      </w:r>
      <w:r w:rsidR="00C81D21">
        <w:t xml:space="preserve"> where the direction also covers the child.</w:t>
      </w:r>
      <w:r w:rsidR="00C81D21">
        <w:rPr>
          <w:rStyle w:val="EndnoteReference"/>
        </w:rPr>
        <w:endnoteReference w:id="16"/>
      </w:r>
    </w:p>
    <w:p w14:paraId="4698908B" w14:textId="7F809A16" w:rsidR="00C81D21" w:rsidRDefault="00C81D21" w:rsidP="008E3550">
      <w:pPr>
        <w:pStyle w:val="ListNumber"/>
      </w:pPr>
      <w:r>
        <w:lastRenderedPageBreak/>
        <w:t>There are certain acts which may not be the subject of a direction</w:t>
      </w:r>
      <w:r w:rsidR="0063088A">
        <w:t>, namely actions with respect to the commencement</w:t>
      </w:r>
      <w:r w:rsidR="00D16E60">
        <w:t xml:space="preserve"> or</w:t>
      </w:r>
      <w:r w:rsidR="005C40B9">
        <w:t xml:space="preserve"> continuance </w:t>
      </w:r>
      <w:r w:rsidR="00D16E60">
        <w:t>of legal proceedings or the lodgement or withdrawal of a visa application.</w:t>
      </w:r>
      <w:r w:rsidR="00D16E60">
        <w:rPr>
          <w:rStyle w:val="EndnoteReference"/>
        </w:rPr>
        <w:endnoteReference w:id="17"/>
      </w:r>
    </w:p>
    <w:p w14:paraId="05B04132" w14:textId="02A223DB" w:rsidR="00AB6006" w:rsidRDefault="009A777F" w:rsidP="008E3550">
      <w:pPr>
        <w:pStyle w:val="ListNumber"/>
      </w:pPr>
      <w:r>
        <w:t xml:space="preserve">The </w:t>
      </w:r>
      <w:r w:rsidR="006F4F3B">
        <w:t>maximum</w:t>
      </w:r>
      <w:r>
        <w:t xml:space="preserve"> penalty for refusing </w:t>
      </w:r>
      <w:r w:rsidR="006B78B9">
        <w:t>or failing to comply with a removal pathway direction is 5 years imprisonment or 300 penalty units</w:t>
      </w:r>
      <w:r w:rsidR="00207F27">
        <w:t xml:space="preserve"> (over $90,000)</w:t>
      </w:r>
      <w:r w:rsidR="006B78B9">
        <w:t>, or both.</w:t>
      </w:r>
      <w:r w:rsidR="006B78B9">
        <w:rPr>
          <w:rStyle w:val="EndnoteReference"/>
        </w:rPr>
        <w:endnoteReference w:id="18"/>
      </w:r>
      <w:r w:rsidR="00573F8A">
        <w:t xml:space="preserve"> </w:t>
      </w:r>
      <w:r w:rsidR="00AF5616">
        <w:t>On conviction, a</w:t>
      </w:r>
      <w:r w:rsidR="00573F8A">
        <w:t xml:space="preserve"> court must impose a sentence of imprisonment of at least 12 months.</w:t>
      </w:r>
      <w:r w:rsidR="00573F8A">
        <w:rPr>
          <w:rStyle w:val="EndnoteReference"/>
        </w:rPr>
        <w:endnoteReference w:id="19"/>
      </w:r>
      <w:r w:rsidR="00EA7CC7">
        <w:t xml:space="preserve"> </w:t>
      </w:r>
      <w:r w:rsidR="009A0938">
        <w:t>A</w:t>
      </w:r>
      <w:r w:rsidR="00EA7CC7">
        <w:t xml:space="preserve"> defence of ‘reasonable excuse’</w:t>
      </w:r>
      <w:r w:rsidR="009A0938">
        <w:t xml:space="preserve"> exists,</w:t>
      </w:r>
      <w:r w:rsidR="009A0938">
        <w:rPr>
          <w:rStyle w:val="EndnoteReference"/>
        </w:rPr>
        <w:endnoteReference w:id="20"/>
      </w:r>
      <w:r w:rsidR="009A0938">
        <w:t xml:space="preserve"> but a reasonable excuse</w:t>
      </w:r>
      <w:r w:rsidR="00571065">
        <w:t xml:space="preserve"> excludes:</w:t>
      </w:r>
    </w:p>
    <w:p w14:paraId="41C43FE8" w14:textId="517E4E8F" w:rsidR="00571065" w:rsidRDefault="00020184" w:rsidP="00571065">
      <w:pPr>
        <w:pStyle w:val="ListBullet"/>
      </w:pPr>
      <w:r>
        <w:t>a genuine fe</w:t>
      </w:r>
      <w:r w:rsidR="00B17018">
        <w:t>ar of persecution or significant harm</w:t>
      </w:r>
    </w:p>
    <w:p w14:paraId="69D0685D" w14:textId="411A57DA" w:rsidR="00B17018" w:rsidRDefault="00B17018" w:rsidP="00571065">
      <w:pPr>
        <w:pStyle w:val="ListBullet"/>
      </w:pPr>
      <w:r>
        <w:t>a claim to non-refoulement</w:t>
      </w:r>
    </w:p>
    <w:p w14:paraId="0D6C18A2" w14:textId="5BBD4F8C" w:rsidR="00824F1D" w:rsidRDefault="00335B26" w:rsidP="00571065">
      <w:pPr>
        <w:pStyle w:val="ListBullet"/>
      </w:pPr>
      <w:r>
        <w:t>a belief that the</w:t>
      </w:r>
      <w:r w:rsidR="00870F04">
        <w:t xml:space="preserve"> person</w:t>
      </w:r>
      <w:r>
        <w:t xml:space="preserve"> will suffer other adverse consequences.</w:t>
      </w:r>
      <w:r>
        <w:rPr>
          <w:rStyle w:val="EndnoteReference"/>
        </w:rPr>
        <w:endnoteReference w:id="21"/>
      </w:r>
    </w:p>
    <w:p w14:paraId="7BCB4118" w14:textId="5604E57F" w:rsidR="002E205F" w:rsidRDefault="00CD5DC3" w:rsidP="00A93BC3">
      <w:pPr>
        <w:pStyle w:val="Heading2"/>
      </w:pPr>
      <w:bookmarkStart w:id="31" w:name="_Toc163501889"/>
      <w:r>
        <w:t>Potential human rights breaches</w:t>
      </w:r>
      <w:bookmarkEnd w:id="31"/>
    </w:p>
    <w:p w14:paraId="09CE0B65" w14:textId="6933EB56" w:rsidR="00CE7749" w:rsidRDefault="00824C4A" w:rsidP="00335B26">
      <w:pPr>
        <w:pStyle w:val="ListNumber"/>
      </w:pPr>
      <w:r>
        <w:t>The Commission is concerned about the br</w:t>
      </w:r>
      <w:r w:rsidR="004649AD">
        <w:t>oad language used in the Bill, allowing for the types of removal pathway directions which are permitted to be made.</w:t>
      </w:r>
      <w:r w:rsidR="00E150F5">
        <w:t xml:space="preserve"> As identified by the </w:t>
      </w:r>
      <w:r w:rsidR="002A627E">
        <w:t>Senate Standing Committee for the Scrutiny of Bills:</w:t>
      </w:r>
    </w:p>
    <w:p w14:paraId="7D97CD6F" w14:textId="73F1CE2B" w:rsidR="002A627E" w:rsidRDefault="002A627E" w:rsidP="002C673B">
      <w:pPr>
        <w:pStyle w:val="Blockquote"/>
      </w:pPr>
      <w:r>
        <w:t xml:space="preserve">For example, </w:t>
      </w:r>
      <w:r w:rsidR="00B76D46">
        <w:t xml:space="preserve">the provision could specify that the minister may only give directions with which it is possible to comply, cannot give a direction to produce a document the non-citizen does not </w:t>
      </w:r>
      <w:proofErr w:type="gramStart"/>
      <w:r w:rsidR="00B76D46">
        <w:t>have</w:t>
      </w:r>
      <w:proofErr w:type="gramEnd"/>
      <w:r w:rsidR="00B76D46">
        <w:t xml:space="preserve"> or which has been destroyed, or must not give directions that do not relate to a purpose which is to enable removal.</w:t>
      </w:r>
      <w:r w:rsidR="00B76D46">
        <w:rPr>
          <w:rStyle w:val="EndnoteReference"/>
        </w:rPr>
        <w:endnoteReference w:id="22"/>
      </w:r>
    </w:p>
    <w:p w14:paraId="2B1C8CAA" w14:textId="3C7FB033" w:rsidR="006F69E6" w:rsidRDefault="006F69E6" w:rsidP="00335B26">
      <w:pPr>
        <w:pStyle w:val="ListNumber"/>
      </w:pPr>
      <w:r>
        <w:t xml:space="preserve">Similarly, </w:t>
      </w:r>
      <w:r w:rsidR="00793E80">
        <w:t>the exclusions</w:t>
      </w:r>
      <w:r w:rsidR="00DC3200">
        <w:t xml:space="preserve"> to the ‘reasonable excuse’ defence</w:t>
      </w:r>
      <w:r w:rsidR="002C673B">
        <w:t xml:space="preserve"> cover a wide range of situations that do not consider the individual circumstances of those on a removal pathway.</w:t>
      </w:r>
    </w:p>
    <w:p w14:paraId="3AF4E7F0" w14:textId="15E91D7A" w:rsidR="00335B26" w:rsidRDefault="00DB66A4" w:rsidP="00335B26">
      <w:pPr>
        <w:pStyle w:val="ListNumber"/>
      </w:pPr>
      <w:r>
        <w:t>Despite the exemption from</w:t>
      </w:r>
      <w:r w:rsidR="00DC3684">
        <w:t xml:space="preserve"> receiving a direction when subject to a protection finding, the Commission is concerned that </w:t>
      </w:r>
      <w:r w:rsidR="009A569F">
        <w:t>people with genuine claims for protection, including those</w:t>
      </w:r>
      <w:r w:rsidR="00DC3684">
        <w:t xml:space="preserve"> who were subject to the ‘fast-track’</w:t>
      </w:r>
      <w:r w:rsidR="007E10AF">
        <w:t xml:space="preserve"> </w:t>
      </w:r>
      <w:r w:rsidR="00867F72">
        <w:t>process, may become subject to a removal pathway direction without having their claims reassessed.</w:t>
      </w:r>
    </w:p>
    <w:p w14:paraId="3A73CF76" w14:textId="0899BF51" w:rsidR="00AA6AC9" w:rsidRDefault="00AA6AC9" w:rsidP="00335B26">
      <w:pPr>
        <w:pStyle w:val="ListNumber"/>
      </w:pPr>
      <w:r>
        <w:t>This would potentially breach Australia’s obligations under the Refugee</w:t>
      </w:r>
      <w:r w:rsidR="007837D5">
        <w:t xml:space="preserve"> Convention</w:t>
      </w:r>
      <w:r w:rsidR="00306EB8">
        <w:t>,</w:t>
      </w:r>
      <w:r w:rsidR="007837D5">
        <w:t xml:space="preserve"> articles 6 or 7 of the </w:t>
      </w:r>
      <w:r w:rsidR="007837D5">
        <w:rPr>
          <w:i/>
          <w:iCs/>
        </w:rPr>
        <w:t xml:space="preserve">International Covenant on Civil and Political Rights </w:t>
      </w:r>
      <w:r w:rsidR="007837D5">
        <w:t>(ICCPR)</w:t>
      </w:r>
      <w:r w:rsidR="00306EB8">
        <w:t xml:space="preserve"> and/or </w:t>
      </w:r>
      <w:r w:rsidR="009E1176">
        <w:t xml:space="preserve">article 3 of the </w:t>
      </w:r>
      <w:r w:rsidR="009E1176" w:rsidRPr="009E1176">
        <w:rPr>
          <w:i/>
          <w:iCs/>
        </w:rPr>
        <w:t>Convention against Torture and Other Cruel, Inhuman or Degrading Treatment or Punishment</w:t>
      </w:r>
      <w:r w:rsidR="007837D5">
        <w:t>.</w:t>
      </w:r>
    </w:p>
    <w:p w14:paraId="1AED1178" w14:textId="1B7540E6" w:rsidR="00867F72" w:rsidRDefault="00867F72" w:rsidP="00335B26">
      <w:pPr>
        <w:pStyle w:val="ListNumber"/>
      </w:pPr>
      <w:r>
        <w:t>Such applicants</w:t>
      </w:r>
      <w:r w:rsidR="00E07463">
        <w:t xml:space="preserve"> </w:t>
      </w:r>
      <w:r w:rsidR="003157AD">
        <w:t>may</w:t>
      </w:r>
      <w:r w:rsidR="00E07463">
        <w:t xml:space="preserve"> have had their claims for protection considered by the Immigration Assessment Authority (IAA) – a body which</w:t>
      </w:r>
      <w:r w:rsidR="00CB2902">
        <w:t xml:space="preserve"> has previously been </w:t>
      </w:r>
      <w:r w:rsidR="00CB2902">
        <w:lastRenderedPageBreak/>
        <w:t>subject to criticism by the Commission,</w:t>
      </w:r>
      <w:r w:rsidR="00C420A5">
        <w:rPr>
          <w:rStyle w:val="EndnoteReference"/>
        </w:rPr>
        <w:endnoteReference w:id="23"/>
      </w:r>
      <w:r w:rsidR="00CB2902">
        <w:t xml:space="preserve"> and which is due to be abolished by the intended passage of the </w:t>
      </w:r>
      <w:r w:rsidR="00CB2902" w:rsidRPr="006804E3">
        <w:t>Administrative Review Tribunal</w:t>
      </w:r>
      <w:r w:rsidR="006804E3">
        <w:t xml:space="preserve"> Bill 2024</w:t>
      </w:r>
      <w:r w:rsidR="00CC08FB">
        <w:t xml:space="preserve"> (</w:t>
      </w:r>
      <w:proofErr w:type="spellStart"/>
      <w:r w:rsidR="00CC08FB">
        <w:t>Cth</w:t>
      </w:r>
      <w:proofErr w:type="spellEnd"/>
      <w:r w:rsidR="00CC08FB">
        <w:t>)</w:t>
      </w:r>
      <w:r w:rsidR="00BD2E03">
        <w:t>.</w:t>
      </w:r>
    </w:p>
    <w:p w14:paraId="1FE1CF2E" w14:textId="5D440607" w:rsidR="002F6BED" w:rsidRDefault="00EB355B" w:rsidP="00EB355B">
      <w:pPr>
        <w:pStyle w:val="ListNumber"/>
      </w:pPr>
      <w:bookmarkStart w:id="32" w:name="_Ref163480455"/>
      <w:r>
        <w:t xml:space="preserve">Many Bridging E visa holders who are finally determined as part of the ‘legacy caseload’ have been in Australia for upwards of 10 years. They are likely to have </w:t>
      </w:r>
      <w:r w:rsidR="00225856">
        <w:t xml:space="preserve">established </w:t>
      </w:r>
      <w:r>
        <w:t xml:space="preserve">strong ties in </w:t>
      </w:r>
      <w:proofErr w:type="gramStart"/>
      <w:r>
        <w:t>Australia, and</w:t>
      </w:r>
      <w:proofErr w:type="gramEnd"/>
      <w:r>
        <w:t xml:space="preserve"> may even have partners and children here.</w:t>
      </w:r>
      <w:bookmarkEnd w:id="32"/>
      <w:r>
        <w:t xml:space="preserve"> </w:t>
      </w:r>
    </w:p>
    <w:p w14:paraId="159D34EA" w14:textId="535F0BE1" w:rsidR="00EB355B" w:rsidRDefault="00CA45BB" w:rsidP="00EB355B">
      <w:pPr>
        <w:pStyle w:val="ListNumber"/>
      </w:pPr>
      <w:bookmarkStart w:id="33" w:name="_Ref163480458"/>
      <w:r>
        <w:t>M</w:t>
      </w:r>
      <w:r w:rsidR="00EB355B">
        <w:t xml:space="preserve">any of the legacy caseload had their protection claims refused under the ‘fast-track’ processing system, and do not feel that their claims have been properly addressed. </w:t>
      </w:r>
      <w:r w:rsidR="002F6BED">
        <w:t xml:space="preserve">Others, due to having been in Australia for a lengthy period, may have experienced changes in their country of origin that have impacted the nature of their claims for protection. </w:t>
      </w:r>
      <w:r w:rsidR="00965CB7">
        <w:t xml:space="preserve">This could be the case for </w:t>
      </w:r>
      <w:r w:rsidR="00214650">
        <w:t>applicants not a part of the ‘fast-track’ process, but who have experienced excessive delays at the visa processing stage</w:t>
      </w:r>
      <w:r w:rsidR="004378AD">
        <w:t xml:space="preserve">, the </w:t>
      </w:r>
      <w:r w:rsidR="00214650">
        <w:t>Administrative Appeals Tribunal</w:t>
      </w:r>
      <w:r w:rsidR="004378AD">
        <w:t xml:space="preserve"> and/or the courts</w:t>
      </w:r>
      <w:r w:rsidR="00214650">
        <w:t xml:space="preserve">. </w:t>
      </w:r>
      <w:r w:rsidR="00EB355B">
        <w:t>Their fear of persecution in their country of nationality will not be sufficient to establish a ‘reasonable excuse’ under section 199</w:t>
      </w:r>
      <w:proofErr w:type="gramStart"/>
      <w:r w:rsidR="00EB355B">
        <w:t>E(</w:t>
      </w:r>
      <w:proofErr w:type="gramEnd"/>
      <w:r w:rsidR="00EB355B">
        <w:t>3) of the Bill.</w:t>
      </w:r>
      <w:bookmarkEnd w:id="33"/>
    </w:p>
    <w:p w14:paraId="4B03B333" w14:textId="7F534F7B" w:rsidR="00EB355B" w:rsidRDefault="00EB355B" w:rsidP="00EB355B">
      <w:pPr>
        <w:pStyle w:val="ListNumber"/>
      </w:pPr>
      <w:r>
        <w:t>For most of those falling within these examples, the only recourse which may allow them to remain in Australia, or have their protection claims reassessed, is by requesting the Minister to exercise the discretionary powers that exist within the Migration Act, for example in sections 46A, 48B, 195A, 351 or 417. With no obligation on the Minister to intervene, there is a risk that a direction might be issued for a non-citizen to take steps to facilitate their removal from Australia while they have an outstanding request before the Minister.</w:t>
      </w:r>
    </w:p>
    <w:p w14:paraId="76437A84" w14:textId="0D053E04" w:rsidR="00E929A7" w:rsidRDefault="00E929A7" w:rsidP="00EB355B">
      <w:pPr>
        <w:pStyle w:val="ListNumber"/>
      </w:pPr>
      <w:r>
        <w:t>The Commission considers that this discretionary</w:t>
      </w:r>
      <w:r w:rsidR="00D94226">
        <w:t xml:space="preserve"> power is an insufficient safeguard </w:t>
      </w:r>
      <w:r w:rsidR="00183876">
        <w:t xml:space="preserve">to protect </w:t>
      </w:r>
      <w:r w:rsidR="00D94226">
        <w:t xml:space="preserve">members of the </w:t>
      </w:r>
      <w:r w:rsidR="000C6B46">
        <w:t xml:space="preserve">legacy caseload </w:t>
      </w:r>
      <w:r w:rsidR="002F6BED">
        <w:t xml:space="preserve">and other people who have sought asylum from </w:t>
      </w:r>
      <w:r w:rsidR="000C6B46">
        <w:t>being returned to countries where they</w:t>
      </w:r>
      <w:r w:rsidR="00503381">
        <w:t xml:space="preserve"> may still have a genuine fear of harm.</w:t>
      </w:r>
    </w:p>
    <w:p w14:paraId="7B16B97B" w14:textId="655F309C" w:rsidR="00037B93" w:rsidRDefault="00037B93" w:rsidP="00EB355B">
      <w:pPr>
        <w:pStyle w:val="ListNumber"/>
      </w:pPr>
      <w:r>
        <w:t>For this, and other reasons set out below, the Commission recommends against the passage of the Bill.</w:t>
      </w:r>
    </w:p>
    <w:p w14:paraId="061DB4C0" w14:textId="600E8291" w:rsidR="00037B93" w:rsidRPr="00037B93" w:rsidRDefault="00037B93" w:rsidP="000F770B">
      <w:pPr>
        <w:pStyle w:val="ListNumber"/>
        <w:keepNext/>
        <w:numPr>
          <w:ilvl w:val="0"/>
          <w:numId w:val="0"/>
        </w:numPr>
        <w:ind w:left="1094"/>
        <w:rPr>
          <w:b/>
          <w:bCs/>
        </w:rPr>
      </w:pPr>
      <w:r w:rsidRPr="00037B93">
        <w:rPr>
          <w:b/>
          <w:bCs/>
        </w:rPr>
        <w:t>Recommendation 1</w:t>
      </w:r>
    </w:p>
    <w:p w14:paraId="38CFA693" w14:textId="7C857844" w:rsidR="00037B93" w:rsidRPr="00104227" w:rsidRDefault="00037B93" w:rsidP="00037B93">
      <w:pPr>
        <w:pStyle w:val="ListNumber"/>
        <w:numPr>
          <w:ilvl w:val="0"/>
          <w:numId w:val="0"/>
        </w:numPr>
        <w:ind w:left="1094"/>
      </w:pPr>
      <w:r>
        <w:t>The Commission recommends that the Bill not be passed.</w:t>
      </w:r>
    </w:p>
    <w:p w14:paraId="7B30028A" w14:textId="398320E1" w:rsidR="006330AD" w:rsidRDefault="006330AD" w:rsidP="00A93BC3">
      <w:pPr>
        <w:pStyle w:val="Heading2"/>
      </w:pPr>
      <w:bookmarkStart w:id="34" w:name="_Toc163501890"/>
      <w:r>
        <w:t>Prescription of</w:t>
      </w:r>
      <w:r w:rsidR="00B36B50">
        <w:t xml:space="preserve"> additional classes of visas</w:t>
      </w:r>
      <w:bookmarkEnd w:id="34"/>
    </w:p>
    <w:p w14:paraId="46488817" w14:textId="37E5CE38" w:rsidR="00F12CC5" w:rsidRDefault="00D375EB" w:rsidP="00F12CC5">
      <w:pPr>
        <w:pStyle w:val="ListNumber"/>
      </w:pPr>
      <w:r>
        <w:t>Proposed section 199</w:t>
      </w:r>
      <w:proofErr w:type="gramStart"/>
      <w:r>
        <w:t>B(</w:t>
      </w:r>
      <w:proofErr w:type="gramEnd"/>
      <w:r>
        <w:t xml:space="preserve">1) defines </w:t>
      </w:r>
      <w:r w:rsidR="00D06281">
        <w:t xml:space="preserve">three </w:t>
      </w:r>
      <w:r>
        <w:t>classes of non-citizens who will be known as a ‘removal pathway non-citizen’.</w:t>
      </w:r>
    </w:p>
    <w:p w14:paraId="4D691DD9" w14:textId="1EB16D96" w:rsidR="00D20CC4" w:rsidRDefault="00B5326A" w:rsidP="00D20CC4">
      <w:pPr>
        <w:pStyle w:val="ListNumber"/>
      </w:pPr>
      <w:r>
        <w:t>The</w:t>
      </w:r>
      <w:r w:rsidR="00D20CC4">
        <w:t>se are:</w:t>
      </w:r>
    </w:p>
    <w:p w14:paraId="54AAFB27" w14:textId="77777777" w:rsidR="00D20CC4" w:rsidRDefault="00D20CC4" w:rsidP="00D20CC4">
      <w:pPr>
        <w:pStyle w:val="ListBullet"/>
      </w:pPr>
      <w:r>
        <w:t>detainees</w:t>
      </w:r>
    </w:p>
    <w:p w14:paraId="3E71E188" w14:textId="77777777" w:rsidR="00D20CC4" w:rsidRDefault="00D20CC4" w:rsidP="00D20CC4">
      <w:pPr>
        <w:pStyle w:val="ListBullet"/>
      </w:pPr>
      <w:r>
        <w:lastRenderedPageBreak/>
        <w:t>holders of a Bridging R visa</w:t>
      </w:r>
    </w:p>
    <w:p w14:paraId="31E5FA7F" w14:textId="4F716D27" w:rsidR="00D20CC4" w:rsidRDefault="00D20CC4" w:rsidP="00D20CC4">
      <w:pPr>
        <w:pStyle w:val="ListBullet"/>
      </w:pPr>
      <w:r>
        <w:t>holders of a Bridging E visa</w:t>
      </w:r>
      <w:r w:rsidR="00FC5677">
        <w:t xml:space="preserve"> (whose visa</w:t>
      </w:r>
      <w:r w:rsidR="005451F4">
        <w:t>s</w:t>
      </w:r>
      <w:r w:rsidR="00FC5677">
        <w:t xml:space="preserve"> w</w:t>
      </w:r>
      <w:r w:rsidR="005451F4">
        <w:t>ere</w:t>
      </w:r>
      <w:r w:rsidR="00FC5677">
        <w:t xml:space="preserve"> granted on the basis that they were making acceptable arrangements to depart Australia)</w:t>
      </w:r>
      <w:r>
        <w:t>.</w:t>
      </w:r>
    </w:p>
    <w:p w14:paraId="1EA2D0F5" w14:textId="7607C669" w:rsidR="00AF5EB8" w:rsidRDefault="00AF5EB8" w:rsidP="00AF5EB8">
      <w:pPr>
        <w:pStyle w:val="ListNumber"/>
      </w:pPr>
      <w:r>
        <w:t xml:space="preserve">There is also the ability for the Minister </w:t>
      </w:r>
      <w:r w:rsidR="00625823">
        <w:t xml:space="preserve">in section 199B(1)(d) </w:t>
      </w:r>
      <w:r>
        <w:t xml:space="preserve">to add other classes of </w:t>
      </w:r>
      <w:r w:rsidR="00625823">
        <w:t xml:space="preserve">lawful </w:t>
      </w:r>
      <w:r>
        <w:t>non-citizens to this list, through amendments to the Migration Regulations.</w:t>
      </w:r>
    </w:p>
    <w:p w14:paraId="74391860" w14:textId="58D9ECED" w:rsidR="00D20CC4" w:rsidRDefault="00625823" w:rsidP="00F12CC5">
      <w:pPr>
        <w:pStyle w:val="ListNumber"/>
      </w:pPr>
      <w:r>
        <w:t xml:space="preserve">The Commission considers that the </w:t>
      </w:r>
      <w:r w:rsidR="0087106F">
        <w:t xml:space="preserve">nomination of </w:t>
      </w:r>
      <w:r>
        <w:t>a</w:t>
      </w:r>
      <w:r w:rsidR="0087106F">
        <w:t>ny further</w:t>
      </w:r>
      <w:r>
        <w:t xml:space="preserve"> class</w:t>
      </w:r>
      <w:r w:rsidR="0087106F">
        <w:t xml:space="preserve"> or classes</w:t>
      </w:r>
      <w:r>
        <w:t xml:space="preserve"> of non-citizens who will be</w:t>
      </w:r>
      <w:r w:rsidR="00F258D8">
        <w:t>come</w:t>
      </w:r>
      <w:r>
        <w:t xml:space="preserve"> subject to </w:t>
      </w:r>
      <w:r w:rsidR="00FC51E9">
        <w:t>the potential for harsh penalties for non-compliance with a removal pathway direction</w:t>
      </w:r>
      <w:r w:rsidR="00F258D8">
        <w:t>, should not be possible</w:t>
      </w:r>
      <w:r w:rsidR="0087106F">
        <w:t xml:space="preserve"> through</w:t>
      </w:r>
      <w:r w:rsidR="005E4E6D">
        <w:t xml:space="preserve"> delegated legislation</w:t>
      </w:r>
      <w:r w:rsidR="008404FF">
        <w:t>. If the Minister considers it necessary to insert further classes to the list, th</w:t>
      </w:r>
      <w:r w:rsidR="00F00475">
        <w:t>ey should be required to have the full scrutiny of the Parliament before doing so.</w:t>
      </w:r>
      <w:r w:rsidR="00DB75EE">
        <w:t xml:space="preserve"> </w:t>
      </w:r>
      <w:r w:rsidR="00F02C56">
        <w:t xml:space="preserve">The Committee for the Scrutiny of Bills </w:t>
      </w:r>
      <w:r w:rsidR="007D15AE">
        <w:t xml:space="preserve">also </w:t>
      </w:r>
      <w:r w:rsidR="00F02C56">
        <w:t>expressed this view.</w:t>
      </w:r>
      <w:r w:rsidR="00F02C56">
        <w:rPr>
          <w:rStyle w:val="EndnoteReference"/>
        </w:rPr>
        <w:endnoteReference w:id="24"/>
      </w:r>
    </w:p>
    <w:p w14:paraId="34E5E17B" w14:textId="2B6E6C96" w:rsidR="00FD5917" w:rsidRPr="00266E0B" w:rsidRDefault="00FD5917" w:rsidP="00D06281">
      <w:pPr>
        <w:pStyle w:val="ListNumber"/>
        <w:keepNext/>
        <w:numPr>
          <w:ilvl w:val="0"/>
          <w:numId w:val="0"/>
        </w:numPr>
        <w:ind w:left="1094"/>
        <w:rPr>
          <w:b/>
          <w:bCs/>
        </w:rPr>
      </w:pPr>
      <w:r w:rsidRPr="00266E0B">
        <w:rPr>
          <w:b/>
          <w:bCs/>
        </w:rPr>
        <w:t>Recommendation 2</w:t>
      </w:r>
    </w:p>
    <w:p w14:paraId="3FD55D31" w14:textId="5BBF97B6" w:rsidR="00FD5917" w:rsidRDefault="00FD5917" w:rsidP="00266E0B">
      <w:pPr>
        <w:pStyle w:val="ListNumber"/>
        <w:numPr>
          <w:ilvl w:val="0"/>
          <w:numId w:val="0"/>
        </w:numPr>
        <w:ind w:left="1094"/>
      </w:pPr>
      <w:r>
        <w:t>The Commission recommends that</w:t>
      </w:r>
      <w:r w:rsidR="00266E0B">
        <w:t xml:space="preserve"> subsection 199B(1)(d) </w:t>
      </w:r>
      <w:r w:rsidR="00F63560">
        <w:t xml:space="preserve">in </w:t>
      </w:r>
      <w:r w:rsidR="007D15AE">
        <w:t>Schedule </w:t>
      </w:r>
      <w:r w:rsidR="00F63560">
        <w:t xml:space="preserve">1, clause 3 </w:t>
      </w:r>
      <w:r w:rsidR="00266E0B">
        <w:t>be removed from the Bill.</w:t>
      </w:r>
    </w:p>
    <w:p w14:paraId="49807865" w14:textId="5F23B249" w:rsidR="00896DBA" w:rsidRDefault="001939E0" w:rsidP="00A93BC3">
      <w:pPr>
        <w:pStyle w:val="Heading2"/>
      </w:pPr>
      <w:bookmarkStart w:id="35" w:name="_Toc163501891"/>
      <w:r>
        <w:t>Implications for the rights of children</w:t>
      </w:r>
      <w:bookmarkEnd w:id="35"/>
    </w:p>
    <w:p w14:paraId="49D8A44C" w14:textId="07198CB9" w:rsidR="007C73FD" w:rsidRDefault="00C903F0" w:rsidP="007C73FD">
      <w:pPr>
        <w:pStyle w:val="ListNumber"/>
      </w:pPr>
      <w:r>
        <w:t>The Commission is concerned that the Bill seeks to allow for a removal pathway direction to be provided to the parent or guardian of a child</w:t>
      </w:r>
      <w:r w:rsidR="00A73E65">
        <w:t>.</w:t>
      </w:r>
      <w:r w:rsidR="00B67EDF">
        <w:t xml:space="preserve"> The Bill, as drafted, does not include sufficient detail as to what factors must be considered prior to such an extreme measure being taken. In light of this, the Commission</w:t>
      </w:r>
      <w:r w:rsidR="00DD4ECA">
        <w:t>,</w:t>
      </w:r>
      <w:r w:rsidR="00B67EDF">
        <w:t xml:space="preserve"> in the first instance, recommends that </w:t>
      </w:r>
      <w:r w:rsidR="00834E96">
        <w:t>section 199</w:t>
      </w:r>
      <w:proofErr w:type="gramStart"/>
      <w:r w:rsidR="00834E96">
        <w:t>D(</w:t>
      </w:r>
      <w:proofErr w:type="gramEnd"/>
      <w:r w:rsidR="00834E96">
        <w:t xml:space="preserve">5) be </w:t>
      </w:r>
      <w:r w:rsidR="00DA704A">
        <w:t>deleted from the Bill</w:t>
      </w:r>
      <w:r w:rsidR="00834E96">
        <w:t>.</w:t>
      </w:r>
    </w:p>
    <w:p w14:paraId="23DD4AD8" w14:textId="14EA7CE9" w:rsidR="00834E96" w:rsidRPr="00DA704A" w:rsidRDefault="00834E96" w:rsidP="00D06281">
      <w:pPr>
        <w:pStyle w:val="ListNumber"/>
        <w:keepNext/>
        <w:numPr>
          <w:ilvl w:val="0"/>
          <w:numId w:val="0"/>
        </w:numPr>
        <w:ind w:left="1094"/>
        <w:rPr>
          <w:b/>
          <w:bCs/>
        </w:rPr>
      </w:pPr>
      <w:r w:rsidRPr="00DA704A">
        <w:rPr>
          <w:b/>
          <w:bCs/>
        </w:rPr>
        <w:t>Recommendation 3</w:t>
      </w:r>
    </w:p>
    <w:p w14:paraId="1B762D8E" w14:textId="7E19C7D6" w:rsidR="00834E96" w:rsidRDefault="00834E96" w:rsidP="00DA704A">
      <w:pPr>
        <w:pStyle w:val="ListNumber"/>
        <w:numPr>
          <w:ilvl w:val="0"/>
          <w:numId w:val="0"/>
        </w:numPr>
        <w:ind w:left="1094"/>
      </w:pPr>
      <w:r>
        <w:t>The Commission recommends that</w:t>
      </w:r>
      <w:r w:rsidR="00DA704A">
        <w:t xml:space="preserve"> section 199</w:t>
      </w:r>
      <w:proofErr w:type="gramStart"/>
      <w:r w:rsidR="00DA704A">
        <w:t>D(</w:t>
      </w:r>
      <w:proofErr w:type="gramEnd"/>
      <w:r w:rsidR="00DA704A">
        <w:t>5) of Schedule 1, clause 3 of the Bill be deleted.</w:t>
      </w:r>
    </w:p>
    <w:p w14:paraId="618F1790" w14:textId="18BEC9D4" w:rsidR="00DA704A" w:rsidRDefault="009E2379" w:rsidP="007C73FD">
      <w:pPr>
        <w:pStyle w:val="ListNumber"/>
      </w:pPr>
      <w:r>
        <w:t>In the alternative, the Commission considers that additional safeguards</w:t>
      </w:r>
      <w:r w:rsidR="00C96829">
        <w:t>,</w:t>
      </w:r>
      <w:r>
        <w:t xml:space="preserve"> </w:t>
      </w:r>
      <w:r w:rsidR="00BA23BC">
        <w:t xml:space="preserve">by way of </w:t>
      </w:r>
      <w:r>
        <w:t xml:space="preserve">factors to be </w:t>
      </w:r>
      <w:proofErr w:type="gramStart"/>
      <w:r>
        <w:t>taken into account</w:t>
      </w:r>
      <w:proofErr w:type="gramEnd"/>
      <w:r>
        <w:t xml:space="preserve"> prior to</w:t>
      </w:r>
      <w:r w:rsidR="00BA23BC">
        <w:t xml:space="preserve"> issuing a direction</w:t>
      </w:r>
      <w:r w:rsidR="00C96829">
        <w:t>.</w:t>
      </w:r>
      <w:r w:rsidR="00BA23BC">
        <w:t xml:space="preserve"> would be required for the Bill to</w:t>
      </w:r>
      <w:r w:rsidR="00462053">
        <w:t xml:space="preserve"> be </w:t>
      </w:r>
      <w:r w:rsidR="00A66D6C">
        <w:t>potentially</w:t>
      </w:r>
      <w:r w:rsidR="00462053">
        <w:t xml:space="preserve"> compliant with the </w:t>
      </w:r>
      <w:r w:rsidR="00462053">
        <w:rPr>
          <w:i/>
          <w:iCs/>
        </w:rPr>
        <w:t>Convention on the Rights of the Child</w:t>
      </w:r>
      <w:r w:rsidR="008C7A11">
        <w:t xml:space="preserve"> (CRC).</w:t>
      </w:r>
    </w:p>
    <w:p w14:paraId="0EE05AF2" w14:textId="111F2899" w:rsidR="005643B6" w:rsidRDefault="00F352DD" w:rsidP="00F352DD">
      <w:pPr>
        <w:pStyle w:val="Heading3"/>
      </w:pPr>
      <w:bookmarkStart w:id="36" w:name="_Toc163501892"/>
      <w:r>
        <w:t>Best interests of the child</w:t>
      </w:r>
      <w:bookmarkEnd w:id="36"/>
    </w:p>
    <w:p w14:paraId="4B1A1A46" w14:textId="2A456773" w:rsidR="00FC0983" w:rsidRDefault="00FC0983" w:rsidP="00F352DD">
      <w:pPr>
        <w:pStyle w:val="ListNumber"/>
      </w:pPr>
      <w:r>
        <w:t>Article 3</w:t>
      </w:r>
      <w:r w:rsidR="00F352DD">
        <w:t xml:space="preserve"> of the CRC states:</w:t>
      </w:r>
    </w:p>
    <w:p w14:paraId="780043FF" w14:textId="4556E81C" w:rsidR="00C0611D" w:rsidRDefault="00C0611D" w:rsidP="00C0611D">
      <w:pPr>
        <w:pStyle w:val="Quote"/>
        <w:numPr>
          <w:ilvl w:val="0"/>
          <w:numId w:val="44"/>
        </w:numPr>
      </w:pPr>
      <w:r>
        <w:lastRenderedPageBreak/>
        <w:t>In all actions concerning children, whether undertaken by public or private social welfare institutions, courts of law, administrative authorities or legislative bodies, the best interests of the child shall be a primary consideration.</w:t>
      </w:r>
    </w:p>
    <w:p w14:paraId="615FAA59" w14:textId="4C471100" w:rsidR="00646350" w:rsidRDefault="00646350" w:rsidP="00646350">
      <w:pPr>
        <w:pStyle w:val="Quote"/>
        <w:numPr>
          <w:ilvl w:val="0"/>
          <w:numId w:val="44"/>
        </w:numPr>
      </w:pPr>
      <w:r>
        <w:t xml:space="preserve">States Parties undertake to ensure the child such protection and care as is necessary for his or her well-being, </w:t>
      </w:r>
      <w:proofErr w:type="gramStart"/>
      <w:r>
        <w:t>taking into account</w:t>
      </w:r>
      <w:proofErr w:type="gramEnd"/>
      <w:r>
        <w:t xml:space="preserve"> the rights and duties of his or her parents, legal guardians, or other individuals legally responsible for him or her, and, to this end, shall take all appropriate legislative and administrative measures.</w:t>
      </w:r>
    </w:p>
    <w:p w14:paraId="30157D77" w14:textId="729E93AA" w:rsidR="00F352DD" w:rsidRDefault="00CA3781" w:rsidP="00F352DD">
      <w:pPr>
        <w:pStyle w:val="ListNumber"/>
      </w:pPr>
      <w:r>
        <w:t>The Commission is aware that the Department has a child safeguarding policy statement, entitled the Child Safeguarding Framework (CSF)</w:t>
      </w:r>
      <w:r w:rsidR="0015643D">
        <w:t>, which is informed by Australia’s international obligation</w:t>
      </w:r>
      <w:r w:rsidR="00890852">
        <w:t>s</w:t>
      </w:r>
      <w:r w:rsidR="0015643D">
        <w:t xml:space="preserve">. This is supported by policy and procedural documents, including the </w:t>
      </w:r>
      <w:r w:rsidR="0015643D">
        <w:rPr>
          <w:i/>
          <w:iCs/>
        </w:rPr>
        <w:t>Best Interest of the Child – Policy Statement (DM-5721)</w:t>
      </w:r>
      <w:r w:rsidR="00CE5B41">
        <w:t xml:space="preserve">. The Commission has not been </w:t>
      </w:r>
      <w:proofErr w:type="gramStart"/>
      <w:r w:rsidR="00CE5B41">
        <w:t>in a position</w:t>
      </w:r>
      <w:proofErr w:type="gramEnd"/>
      <w:r w:rsidR="00CE5B41">
        <w:t xml:space="preserve"> to view these documents prior to drafting this submission. These however are policy statements, and subject to amendment at any time.</w:t>
      </w:r>
    </w:p>
    <w:p w14:paraId="2E667D22" w14:textId="70A65F86" w:rsidR="00385AA2" w:rsidRDefault="00434B82" w:rsidP="00F352DD">
      <w:pPr>
        <w:pStyle w:val="ListNumber"/>
      </w:pPr>
      <w:r>
        <w:t xml:space="preserve">The Commission </w:t>
      </w:r>
      <w:r w:rsidR="00C12D63">
        <w:t xml:space="preserve">considers that, prior to issuing a direction with respect to a child, </w:t>
      </w:r>
      <w:r>
        <w:t xml:space="preserve">an assessment </w:t>
      </w:r>
      <w:r w:rsidR="00C12D63">
        <w:t xml:space="preserve">should </w:t>
      </w:r>
      <w:r>
        <w:t>be made of what the child’s best interests are.</w:t>
      </w:r>
      <w:r w:rsidR="00252723">
        <w:t xml:space="preserve"> </w:t>
      </w:r>
      <w:r w:rsidR="00271963">
        <w:t>For guidance on</w:t>
      </w:r>
      <w:r w:rsidR="008E34B5">
        <w:t xml:space="preserve"> preparing such assessments, the Commission refers to its report</w:t>
      </w:r>
      <w:r w:rsidR="00C12D63">
        <w:t>,</w:t>
      </w:r>
      <w:r w:rsidR="008E34B5">
        <w:t xml:space="preserve"> </w:t>
      </w:r>
      <w:r w:rsidR="00385AA2" w:rsidRPr="001D0699">
        <w:rPr>
          <w:rStyle w:val="normaltextrun"/>
          <w:i/>
          <w:iCs/>
        </w:rPr>
        <w:t xml:space="preserve">Safeguarding Children: Using a </w:t>
      </w:r>
      <w:r w:rsidR="00385AA2" w:rsidRPr="001D0699">
        <w:rPr>
          <w:rStyle w:val="findhit"/>
          <w:i/>
        </w:rPr>
        <w:t>child ri</w:t>
      </w:r>
      <w:r w:rsidR="00385AA2" w:rsidRPr="001D0699">
        <w:rPr>
          <w:rStyle w:val="normaltextrun"/>
          <w:i/>
          <w:iCs/>
        </w:rPr>
        <w:t>ghts impact assessment to improve our laws and policies</w:t>
      </w:r>
      <w:r w:rsidR="00C12D63">
        <w:rPr>
          <w:rStyle w:val="normaltextrun"/>
        </w:rPr>
        <w:t>,</w:t>
      </w:r>
      <w:r w:rsidR="00385AA2" w:rsidRPr="001D0699">
        <w:rPr>
          <w:rStyle w:val="normaltextrun"/>
        </w:rPr>
        <w:t xml:space="preserve"> which highlights the importance of developing </w:t>
      </w:r>
      <w:r w:rsidR="00385AA2" w:rsidRPr="001D0699">
        <w:rPr>
          <w:rStyle w:val="findhit"/>
        </w:rPr>
        <w:t>child ri</w:t>
      </w:r>
      <w:r w:rsidR="00385AA2" w:rsidRPr="001D0699">
        <w:rPr>
          <w:rStyle w:val="normaltextrun"/>
        </w:rPr>
        <w:t>ghts impact assessments measuring the ‘anticipated impacts’ that administrative decisions may have on children</w:t>
      </w:r>
      <w:r w:rsidR="00C12D63">
        <w:rPr>
          <w:rStyle w:val="normaltextrun"/>
        </w:rPr>
        <w:t>’</w:t>
      </w:r>
      <w:r w:rsidR="00385AA2" w:rsidRPr="001D0699">
        <w:rPr>
          <w:rStyle w:val="normaltextrun"/>
        </w:rPr>
        <w:t>s rights and interests.</w:t>
      </w:r>
      <w:r w:rsidR="00385AA2" w:rsidRPr="009C3A95">
        <w:rPr>
          <w:rStyle w:val="EndnoteReference"/>
          <w:szCs w:val="16"/>
        </w:rPr>
        <w:endnoteReference w:id="25"/>
      </w:r>
    </w:p>
    <w:p w14:paraId="5C51259C" w14:textId="6C07D347" w:rsidR="00CE5B41" w:rsidRPr="00F352DD" w:rsidRDefault="00A97F0A" w:rsidP="00F352DD">
      <w:pPr>
        <w:pStyle w:val="ListNumber"/>
      </w:pPr>
      <w:r>
        <w:t xml:space="preserve">The best interests of the child should be </w:t>
      </w:r>
      <w:r w:rsidR="00E50265">
        <w:t xml:space="preserve">a </w:t>
      </w:r>
      <w:r>
        <w:t>primary consideration given to the decision by the Minister</w:t>
      </w:r>
      <w:r w:rsidR="00B910C9">
        <w:t xml:space="preserve"> to issue a removal pathway direction</w:t>
      </w:r>
      <w:r w:rsidR="00E7660D">
        <w:t xml:space="preserve"> with respect to a child</w:t>
      </w:r>
      <w:r>
        <w:t>.</w:t>
      </w:r>
      <w:r w:rsidR="00EB448F">
        <w:t xml:space="preserve"> Drafters of the amendment may like to consider</w:t>
      </w:r>
      <w:r w:rsidR="002742DF">
        <w:t xml:space="preserve"> outlining specific factors to be considered.</w:t>
      </w:r>
    </w:p>
    <w:p w14:paraId="60979C19" w14:textId="208861A4" w:rsidR="00896DBA" w:rsidRPr="00B336C2" w:rsidRDefault="00896DBA" w:rsidP="00673582">
      <w:pPr>
        <w:pStyle w:val="ListNumber"/>
        <w:keepNext/>
        <w:numPr>
          <w:ilvl w:val="0"/>
          <w:numId w:val="0"/>
        </w:numPr>
        <w:ind w:left="1094"/>
        <w:rPr>
          <w:b/>
          <w:bCs/>
        </w:rPr>
      </w:pPr>
      <w:r w:rsidRPr="00B336C2">
        <w:rPr>
          <w:b/>
          <w:bCs/>
        </w:rPr>
        <w:t xml:space="preserve">Recommendation </w:t>
      </w:r>
      <w:r w:rsidR="00DA704A">
        <w:rPr>
          <w:b/>
          <w:bCs/>
        </w:rPr>
        <w:t>4</w:t>
      </w:r>
    </w:p>
    <w:p w14:paraId="334C6105" w14:textId="64ABF449" w:rsidR="00896DBA" w:rsidRDefault="00CE4D88" w:rsidP="00B336C2">
      <w:pPr>
        <w:pStyle w:val="ListNumber"/>
        <w:numPr>
          <w:ilvl w:val="0"/>
          <w:numId w:val="0"/>
        </w:numPr>
        <w:ind w:left="1094"/>
      </w:pPr>
      <w:r>
        <w:t>In the alternative to recommendation 3, t</w:t>
      </w:r>
      <w:r w:rsidR="00896DBA">
        <w:t xml:space="preserve">he Commission recommends that </w:t>
      </w:r>
      <w:r w:rsidR="004008B9">
        <w:t>the Bill be amended to insert a requirement</w:t>
      </w:r>
      <w:r w:rsidR="00B75001">
        <w:t xml:space="preserve"> </w:t>
      </w:r>
      <w:r w:rsidR="008C2BDA">
        <w:t>after section 199</w:t>
      </w:r>
      <w:proofErr w:type="gramStart"/>
      <w:r w:rsidR="008C2BDA">
        <w:t>D(</w:t>
      </w:r>
      <w:proofErr w:type="gramEnd"/>
      <w:r w:rsidR="008C2BDA">
        <w:t>5)</w:t>
      </w:r>
      <w:r w:rsidR="00BB7894">
        <w:t xml:space="preserve"> </w:t>
      </w:r>
      <w:r w:rsidR="00B75001">
        <w:t xml:space="preserve">that, prior to giving a removal pathway direction in relation to any child, </w:t>
      </w:r>
      <w:r w:rsidR="00BB7894">
        <w:t xml:space="preserve">the Minister must conduct an assessment of whether the direction is in the best interests of the </w:t>
      </w:r>
      <w:r w:rsidR="00B336C2">
        <w:t>child.</w:t>
      </w:r>
    </w:p>
    <w:p w14:paraId="01BCF7F1" w14:textId="76B1A20A" w:rsidR="00896DBA" w:rsidRDefault="00C86EE7" w:rsidP="002742DF">
      <w:pPr>
        <w:pStyle w:val="Heading3"/>
      </w:pPr>
      <w:bookmarkStart w:id="37" w:name="_Toc163501893"/>
      <w:r>
        <w:t>Separation from</w:t>
      </w:r>
      <w:r w:rsidR="002228F2">
        <w:t xml:space="preserve"> parents</w:t>
      </w:r>
      <w:bookmarkEnd w:id="37"/>
    </w:p>
    <w:p w14:paraId="496323AA" w14:textId="340A129D" w:rsidR="002228F2" w:rsidRDefault="002228F2" w:rsidP="002228F2">
      <w:pPr>
        <w:pStyle w:val="ListNumber"/>
      </w:pPr>
      <w:r>
        <w:t xml:space="preserve">The Bill </w:t>
      </w:r>
      <w:r w:rsidR="00A00AF9">
        <w:t xml:space="preserve">does not clearly address </w:t>
      </w:r>
      <w:r w:rsidR="001C695D">
        <w:t xml:space="preserve">the issue of whether, </w:t>
      </w:r>
      <w:r w:rsidR="00B865AC">
        <w:t xml:space="preserve">by issuing a direction with respect to a child, that child </w:t>
      </w:r>
      <w:r w:rsidR="001C695D">
        <w:t xml:space="preserve">may </w:t>
      </w:r>
      <w:r w:rsidR="00B865AC">
        <w:t>become separated from one or both of its parents.</w:t>
      </w:r>
    </w:p>
    <w:p w14:paraId="797B9F67" w14:textId="529E1F4E" w:rsidR="00B865AC" w:rsidRDefault="00B865AC" w:rsidP="002228F2">
      <w:pPr>
        <w:pStyle w:val="ListNumber"/>
      </w:pPr>
      <w:r>
        <w:t>Article 9</w:t>
      </w:r>
      <w:r w:rsidR="008910A3">
        <w:t>(1)</w:t>
      </w:r>
      <w:r>
        <w:t xml:space="preserve"> of the CRC </w:t>
      </w:r>
      <w:r w:rsidR="008910A3">
        <w:t xml:space="preserve">relevantly </w:t>
      </w:r>
      <w:r>
        <w:t>states:</w:t>
      </w:r>
    </w:p>
    <w:p w14:paraId="02A07DDB" w14:textId="28F4EB52" w:rsidR="00B865AC" w:rsidRDefault="00B724BB" w:rsidP="00B865AC">
      <w:pPr>
        <w:pStyle w:val="Quote"/>
      </w:pPr>
      <w:r>
        <w:lastRenderedPageBreak/>
        <w:t>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w:t>
      </w:r>
      <w:r w:rsidR="008910A3">
        <w:t xml:space="preserve">. </w:t>
      </w:r>
    </w:p>
    <w:p w14:paraId="0D93B135" w14:textId="064D0E5C" w:rsidR="00761DB2" w:rsidRDefault="00761DB2" w:rsidP="00761DB2">
      <w:pPr>
        <w:pStyle w:val="ListNumber"/>
      </w:pPr>
      <w:r>
        <w:t>Article 1</w:t>
      </w:r>
      <w:r w:rsidR="00F53AC8">
        <w:t>6 of the CRC states:</w:t>
      </w:r>
    </w:p>
    <w:p w14:paraId="74EA4B40" w14:textId="58216530" w:rsidR="00F53AC8" w:rsidRPr="00761DB2" w:rsidRDefault="00F53AC8" w:rsidP="00F53AC8">
      <w:pPr>
        <w:pStyle w:val="Quote"/>
      </w:pPr>
      <w:r>
        <w:t>No child shall be subjected to arbitrary or unlawful interference with his or her privacy, family, home or correspondence</w:t>
      </w:r>
      <w:r w:rsidR="00831D74">
        <w:t xml:space="preserve"> </w:t>
      </w:r>
      <w:proofErr w:type="gramStart"/>
      <w:r>
        <w:t>…</w:t>
      </w:r>
      <w:r w:rsidR="00831D74">
        <w:t xml:space="preserve"> .</w:t>
      </w:r>
      <w:proofErr w:type="gramEnd"/>
    </w:p>
    <w:p w14:paraId="464D5E1E" w14:textId="0C2E3CA4" w:rsidR="00933320" w:rsidRDefault="00933320" w:rsidP="00933320">
      <w:pPr>
        <w:pStyle w:val="ListNumber"/>
      </w:pPr>
      <w:r>
        <w:t>Separation could occur by a child being removed from Australia</w:t>
      </w:r>
      <w:r w:rsidR="003936DB">
        <w:t xml:space="preserve"> away from a parent remaining in Australia</w:t>
      </w:r>
      <w:r w:rsidR="00C66CCE">
        <w:t xml:space="preserve">, or through a parent being removed from a child who </w:t>
      </w:r>
      <w:r w:rsidR="003936DB">
        <w:t>will remain in Australia.</w:t>
      </w:r>
    </w:p>
    <w:p w14:paraId="7F1CD34E" w14:textId="49FC5CC9" w:rsidR="00C138B2" w:rsidRDefault="00C138B2" w:rsidP="00933320">
      <w:pPr>
        <w:pStyle w:val="ListNumber"/>
      </w:pPr>
      <w:r>
        <w:t>The potential for separation from family should be included as a mandatory factor to be considered when</w:t>
      </w:r>
      <w:r w:rsidR="00A90096">
        <w:t xml:space="preserve"> assessing the best interests of the child.</w:t>
      </w:r>
    </w:p>
    <w:p w14:paraId="28635AE7" w14:textId="178A8791" w:rsidR="001C1495" w:rsidRDefault="001C1495" w:rsidP="001C1495">
      <w:pPr>
        <w:pStyle w:val="Heading3"/>
      </w:pPr>
      <w:bookmarkStart w:id="38" w:name="_Toc163501894"/>
      <w:r>
        <w:t>Views of the child</w:t>
      </w:r>
      <w:bookmarkEnd w:id="38"/>
    </w:p>
    <w:p w14:paraId="0FFB2074" w14:textId="04377F06" w:rsidR="001C1495" w:rsidRDefault="00282BD0" w:rsidP="001C1495">
      <w:pPr>
        <w:pStyle w:val="ListNumber"/>
      </w:pPr>
      <w:r>
        <w:t>Article 12 of the CRC states:</w:t>
      </w:r>
    </w:p>
    <w:p w14:paraId="7C6D32D9" w14:textId="064274B2" w:rsidR="00282BD0" w:rsidRDefault="00282BD0" w:rsidP="00876071">
      <w:pPr>
        <w:pStyle w:val="Quote"/>
        <w:numPr>
          <w:ilvl w:val="0"/>
          <w:numId w:val="45"/>
        </w:numPr>
      </w:pPr>
      <w:r>
        <w:t xml:space="preserve">States Parties shall assure to the child who </w:t>
      </w:r>
      <w:proofErr w:type="gramStart"/>
      <w:r>
        <w:t>is capable of forming</w:t>
      </w:r>
      <w:proofErr w:type="gramEnd"/>
      <w:r>
        <w:t xml:space="preserve"> his or her own views the right to express those views freely in all matters affecting the child, the views of the child being given due weight in accordance with the age and maturity of the child.</w:t>
      </w:r>
    </w:p>
    <w:p w14:paraId="1563D19E" w14:textId="61DA5E27" w:rsidR="00876071" w:rsidRDefault="00876071" w:rsidP="00876071">
      <w:pPr>
        <w:pStyle w:val="Quote"/>
        <w:numPr>
          <w:ilvl w:val="0"/>
          <w:numId w:val="45"/>
        </w:numPr>
      </w:pPr>
      <w:r>
        <w:t xml:space="preserve">For this purpose, the child shall </w:t>
      </w:r>
      <w:proofErr w:type="gramStart"/>
      <w:r>
        <w:t>in particular be</w:t>
      </w:r>
      <w:proofErr w:type="gramEnd"/>
      <w:r>
        <w:t xml:space="preserve"> provided the opportunity to be heard in any judicial and administrative proceedings affecting the child, either directly, or through a representative or an appropriate body, in a manner consistent with the procedural rules of national law.</w:t>
      </w:r>
    </w:p>
    <w:p w14:paraId="0A41080B" w14:textId="27DFD22C" w:rsidR="000D5B05" w:rsidRDefault="000D5B05" w:rsidP="00402789">
      <w:pPr>
        <w:pStyle w:val="ListNumber"/>
      </w:pPr>
      <w:r>
        <w:t>The Bill</w:t>
      </w:r>
      <w:r w:rsidR="004E6239">
        <w:t>,</w:t>
      </w:r>
      <w:r>
        <w:t xml:space="preserve"> as currently drafted, does not allow for the child </w:t>
      </w:r>
      <w:r w:rsidR="004E6239">
        <w:t xml:space="preserve">the </w:t>
      </w:r>
      <w:r>
        <w:t>subject of the removal pathway direction</w:t>
      </w:r>
      <w:r w:rsidR="00D97389">
        <w:t xml:space="preserve"> to be heard by the Minister prior to issuing the direction.</w:t>
      </w:r>
    </w:p>
    <w:p w14:paraId="052E0AFD" w14:textId="4F60326E" w:rsidR="00402789" w:rsidRPr="00402789" w:rsidRDefault="00402789" w:rsidP="00402789">
      <w:pPr>
        <w:pStyle w:val="ListNumber"/>
      </w:pPr>
      <w:r>
        <w:t>This topic is developed in more detail</w:t>
      </w:r>
      <w:r w:rsidR="00A74DA6">
        <w:t xml:space="preserve"> below at section </w:t>
      </w:r>
      <w:r w:rsidR="00B83AE7">
        <w:fldChar w:fldCharType="begin"/>
      </w:r>
      <w:r w:rsidR="00B83AE7">
        <w:instrText xml:space="preserve"> REF _Ref163479104 \r \h </w:instrText>
      </w:r>
      <w:r w:rsidR="00B83AE7">
        <w:fldChar w:fldCharType="separate"/>
      </w:r>
      <w:r w:rsidR="002A1F14">
        <w:t>5.5</w:t>
      </w:r>
      <w:r w:rsidR="00B83AE7">
        <w:fldChar w:fldCharType="end"/>
      </w:r>
      <w:r w:rsidR="00B83AE7">
        <w:t>.</w:t>
      </w:r>
    </w:p>
    <w:p w14:paraId="4DD3432F" w14:textId="4A79B9BD" w:rsidR="00CE08FA" w:rsidRDefault="00FC6D6C" w:rsidP="00B17DF5">
      <w:pPr>
        <w:pStyle w:val="Heading3"/>
      </w:pPr>
      <w:bookmarkStart w:id="39" w:name="_Toc163501895"/>
      <w:r>
        <w:t>Child statelessness</w:t>
      </w:r>
      <w:bookmarkEnd w:id="39"/>
    </w:p>
    <w:p w14:paraId="734E6279" w14:textId="19B507AE" w:rsidR="00FC6D6C" w:rsidRDefault="00FC6D6C" w:rsidP="00FC6D6C">
      <w:pPr>
        <w:pStyle w:val="ListNumber"/>
      </w:pPr>
      <w:r>
        <w:t xml:space="preserve">The Commission is concerned that the Bill also does not </w:t>
      </w:r>
      <w:r w:rsidR="00DE4F73">
        <w:t xml:space="preserve">address </w:t>
      </w:r>
      <w:r>
        <w:t xml:space="preserve">the risk of </w:t>
      </w:r>
      <w:r w:rsidR="001B2BF8">
        <w:t>child statelessness o</w:t>
      </w:r>
      <w:r w:rsidR="00D9741C">
        <w:t>r</w:t>
      </w:r>
      <w:r w:rsidR="001B2BF8">
        <w:t xml:space="preserve"> the feasibility of a parent or guardian being able to comply with a removal pathway direction issued with respect to that child.</w:t>
      </w:r>
    </w:p>
    <w:p w14:paraId="0179D2F9" w14:textId="27D1D19B" w:rsidR="001B2BF8" w:rsidRDefault="00F70DEA" w:rsidP="00FC6D6C">
      <w:pPr>
        <w:pStyle w:val="ListNumber"/>
      </w:pPr>
      <w:r>
        <w:t>Gender discrimination</w:t>
      </w:r>
      <w:r w:rsidR="007A13C5">
        <w:t xml:space="preserve"> in nationality laws remains a real issue in many countries around the world.</w:t>
      </w:r>
      <w:r w:rsidR="00E44FB9">
        <w:rPr>
          <w:rStyle w:val="EndnoteReference"/>
        </w:rPr>
        <w:endnoteReference w:id="26"/>
      </w:r>
      <w:r w:rsidR="00175E80">
        <w:t xml:space="preserve"> For example, </w:t>
      </w:r>
      <w:r w:rsidR="00FC52B5">
        <w:t xml:space="preserve">a </w:t>
      </w:r>
      <w:r w:rsidR="00175E80">
        <w:t>wom</w:t>
      </w:r>
      <w:r w:rsidR="00FC52B5">
        <w:t>a</w:t>
      </w:r>
      <w:r w:rsidR="00175E80">
        <w:t>n from Somalia</w:t>
      </w:r>
      <w:r w:rsidR="00D43007">
        <w:t>, Lebanon</w:t>
      </w:r>
      <w:r w:rsidR="00FC52B5">
        <w:t xml:space="preserve"> </w:t>
      </w:r>
      <w:r w:rsidR="00FC52B5">
        <w:lastRenderedPageBreak/>
        <w:t>or Iraq</w:t>
      </w:r>
      <w:r w:rsidR="00175E80">
        <w:t xml:space="preserve"> who</w:t>
      </w:r>
      <w:r w:rsidR="00681FF4">
        <w:t xml:space="preserve"> h</w:t>
      </w:r>
      <w:r w:rsidR="00FC52B5">
        <w:t>as</w:t>
      </w:r>
      <w:r w:rsidR="00681FF4">
        <w:t xml:space="preserve"> a child in Australia will be unable</w:t>
      </w:r>
      <w:r w:rsidR="00C70289">
        <w:t xml:space="preserve"> to confer nationality on her child</w:t>
      </w:r>
      <w:r w:rsidR="000A001C">
        <w:t xml:space="preserve"> under the laws of those countries</w:t>
      </w:r>
      <w:r w:rsidR="00C70289">
        <w:t>.</w:t>
      </w:r>
      <w:r w:rsidR="00FC52B5">
        <w:rPr>
          <w:rStyle w:val="EndnoteReference"/>
        </w:rPr>
        <w:endnoteReference w:id="27"/>
      </w:r>
    </w:p>
    <w:p w14:paraId="095B07C4" w14:textId="4B0F4C3C" w:rsidR="00435257" w:rsidRPr="00FC6D6C" w:rsidRDefault="00435257" w:rsidP="00FC6D6C">
      <w:pPr>
        <w:pStyle w:val="ListNumber"/>
      </w:pPr>
      <w:r>
        <w:t>This issue should be required to be considered prior to the issuing of a direction, rather than allowing it to be a ‘reasonable excuse’</w:t>
      </w:r>
      <w:r w:rsidR="00CA1392">
        <w:t xml:space="preserve"> to be determined by a criminal court</w:t>
      </w:r>
      <w:r w:rsidR="00AE2EEC">
        <w:t xml:space="preserve"> and where the onus is on the person </w:t>
      </w:r>
      <w:r w:rsidR="002012A7">
        <w:t>relying on the excuse to establish it</w:t>
      </w:r>
      <w:r w:rsidR="00CA1392">
        <w:t>.</w:t>
      </w:r>
    </w:p>
    <w:p w14:paraId="4408AB72" w14:textId="2C5D8729" w:rsidR="00BD01D0" w:rsidRDefault="00AB1648" w:rsidP="007D15F6">
      <w:pPr>
        <w:pStyle w:val="Heading2"/>
      </w:pPr>
      <w:bookmarkStart w:id="40" w:name="_Toc163501896"/>
      <w:r>
        <w:t>Criminal</w:t>
      </w:r>
      <w:r w:rsidR="00016B7F">
        <w:t xml:space="preserve"> penalties</w:t>
      </w:r>
      <w:bookmarkEnd w:id="40"/>
    </w:p>
    <w:p w14:paraId="3CB05E4C" w14:textId="2B4F4D0E" w:rsidR="00E00032" w:rsidRDefault="00D650B5" w:rsidP="00E00032">
      <w:pPr>
        <w:pStyle w:val="ListNumber"/>
      </w:pPr>
      <w:r>
        <w:t>The Commission considers that</w:t>
      </w:r>
      <w:r w:rsidR="00D53853">
        <w:t xml:space="preserve"> punishing individuals who do not cooperate with removal efforts is disproportionate</w:t>
      </w:r>
      <w:r w:rsidR="00972618">
        <w:t xml:space="preserve"> and unjust</w:t>
      </w:r>
      <w:r w:rsidR="001C020B">
        <w:t xml:space="preserve">. The burden of facilitating </w:t>
      </w:r>
      <w:r w:rsidR="00F1437A">
        <w:t>return</w:t>
      </w:r>
      <w:r w:rsidR="00F37440">
        <w:t xml:space="preserve"> should properly</w:t>
      </w:r>
      <w:r w:rsidR="00F1437A">
        <w:t xml:space="preserve"> lie on the country of the person’s nationality, not on the individual</w:t>
      </w:r>
      <w:r w:rsidR="0082222C">
        <w:t>s</w:t>
      </w:r>
      <w:r w:rsidR="00F1437A">
        <w:t xml:space="preserve"> themselves.</w:t>
      </w:r>
    </w:p>
    <w:p w14:paraId="10072671" w14:textId="0D77F691" w:rsidR="00E5104B" w:rsidRDefault="001A3474" w:rsidP="00632AF3">
      <w:pPr>
        <w:pStyle w:val="ListNumber"/>
      </w:pPr>
      <w:bookmarkStart w:id="41" w:name="_Ref163485404"/>
      <w:r>
        <w:t>By resolution</w:t>
      </w:r>
      <w:r w:rsidR="003B1883">
        <w:t xml:space="preserve"> 73/195, the General Assembly of the United Nations</w:t>
      </w:r>
      <w:r w:rsidR="00D343EE">
        <w:t xml:space="preserve"> adopted the Global Compact for Safe, Orderly and Regular Migration</w:t>
      </w:r>
      <w:r w:rsidR="007279F5">
        <w:t xml:space="preserve"> (Global Compact)</w:t>
      </w:r>
      <w:r w:rsidR="0065240C">
        <w:t>.</w:t>
      </w:r>
      <w:r w:rsidR="007279F5">
        <w:rPr>
          <w:rStyle w:val="EndnoteReference"/>
        </w:rPr>
        <w:endnoteReference w:id="28"/>
      </w:r>
      <w:r w:rsidR="0065240C">
        <w:t xml:space="preserve"> Objective 21 o</w:t>
      </w:r>
      <w:r w:rsidR="007279F5">
        <w:t>f the Global Compact</w:t>
      </w:r>
      <w:r w:rsidR="00E5104B">
        <w:t xml:space="preserve"> is to</w:t>
      </w:r>
      <w:r w:rsidR="00F41C74">
        <w:t xml:space="preserve"> ‘c</w:t>
      </w:r>
      <w:r w:rsidR="00E5104B">
        <w:t>ooperate in facilitating safe and dignified return and readmission, as well as sustainable reintegration</w:t>
      </w:r>
      <w:r w:rsidR="00F41C74">
        <w:t>’</w:t>
      </w:r>
      <w:r w:rsidR="00FC221F">
        <w:t>. Member States</w:t>
      </w:r>
      <w:bookmarkEnd w:id="41"/>
    </w:p>
    <w:p w14:paraId="0A7C2E06" w14:textId="7DA16508" w:rsidR="00FC221F" w:rsidRDefault="00FC221F" w:rsidP="00FC221F">
      <w:pPr>
        <w:pStyle w:val="Quote"/>
      </w:pPr>
      <w:r>
        <w:t xml:space="preserve">commit to facilitate and cooperate for safe and dignified return and to guarantee due process, individual </w:t>
      </w:r>
      <w:proofErr w:type="gramStart"/>
      <w:r>
        <w:t>assessment</w:t>
      </w:r>
      <w:proofErr w:type="gramEnd"/>
      <w:r>
        <w:t xml:space="preserve"> and effective r</w:t>
      </w:r>
      <w:r w:rsidR="00216A3B">
        <w:t>emedy</w:t>
      </w:r>
      <w:r w:rsidR="00C82DCB">
        <w:t>.</w:t>
      </w:r>
      <w:r w:rsidR="00754647">
        <w:rPr>
          <w:rStyle w:val="EndnoteReference"/>
        </w:rPr>
        <w:endnoteReference w:id="29"/>
      </w:r>
    </w:p>
    <w:p w14:paraId="26D4260C" w14:textId="1814EE62" w:rsidR="0065790A" w:rsidRDefault="0065790A" w:rsidP="00A44F2B">
      <w:pPr>
        <w:pStyle w:val="ListNumber"/>
      </w:pPr>
      <w:r>
        <w:t>Australia</w:t>
      </w:r>
      <w:r w:rsidR="009E3ECC">
        <w:t xml:space="preserve"> abstained</w:t>
      </w:r>
      <w:r w:rsidR="0000229D">
        <w:t xml:space="preserve"> from voting on the resolution</w:t>
      </w:r>
      <w:r w:rsidR="009137FE">
        <w:t xml:space="preserve"> on 19 </w:t>
      </w:r>
      <w:r w:rsidR="00AF0013">
        <w:t xml:space="preserve">December </w:t>
      </w:r>
      <w:r w:rsidR="009137FE">
        <w:t>2018</w:t>
      </w:r>
      <w:r w:rsidR="00B8768D">
        <w:t>.</w:t>
      </w:r>
      <w:r w:rsidR="009137FE">
        <w:rPr>
          <w:rStyle w:val="EndnoteReference"/>
        </w:rPr>
        <w:endnoteReference w:id="30"/>
      </w:r>
      <w:r w:rsidR="00B8768D">
        <w:t xml:space="preserve"> </w:t>
      </w:r>
      <w:r w:rsidR="00D16018">
        <w:t>However, the UN General Assembly adopted the resolution with 152 votes in favour to 5 against, with 12 abstentions.</w:t>
      </w:r>
      <w:r w:rsidR="00D16018">
        <w:rPr>
          <w:rStyle w:val="EndnoteReference"/>
        </w:rPr>
        <w:endnoteReference w:id="31"/>
      </w:r>
    </w:p>
    <w:p w14:paraId="34408A0D" w14:textId="16A610F8" w:rsidR="00A44F2B" w:rsidRDefault="00917F76" w:rsidP="00A44F2B">
      <w:pPr>
        <w:pStyle w:val="ListNumber"/>
      </w:pPr>
      <w:r>
        <w:t>I</w:t>
      </w:r>
      <w:r w:rsidR="00136806">
        <w:t>t is not in the spirit of Global Compact</w:t>
      </w:r>
      <w:r w:rsidR="009D6A89">
        <w:t>,</w:t>
      </w:r>
      <w:r w:rsidR="00295363">
        <w:t xml:space="preserve"> nor recommendations by the United Nations High Commissioner on Refugees</w:t>
      </w:r>
      <w:r w:rsidR="009D6A89">
        <w:t>,</w:t>
      </w:r>
      <w:r w:rsidR="009173D4">
        <w:rPr>
          <w:rStyle w:val="EndnoteReference"/>
        </w:rPr>
        <w:endnoteReference w:id="32"/>
      </w:r>
      <w:r w:rsidR="00136806">
        <w:t xml:space="preserve"> to penal</w:t>
      </w:r>
      <w:r w:rsidR="007247C3">
        <w:t>is</w:t>
      </w:r>
      <w:r w:rsidR="00136806">
        <w:t>e</w:t>
      </w:r>
      <w:r>
        <w:t xml:space="preserve"> individuals who have arrived in Australia from State parties who are failing</w:t>
      </w:r>
      <w:r w:rsidR="00136806">
        <w:t xml:space="preserve"> to uphold their obligations under </w:t>
      </w:r>
      <w:r w:rsidR="00C70EA7">
        <w:t>international norms.</w:t>
      </w:r>
    </w:p>
    <w:p w14:paraId="5C8FFB49" w14:textId="4687CBBC" w:rsidR="004B19DE" w:rsidRDefault="009D6A89" w:rsidP="00A44F2B">
      <w:pPr>
        <w:pStyle w:val="ListNumber"/>
      </w:pPr>
      <w:r>
        <w:t>C</w:t>
      </w:r>
      <w:r w:rsidR="00BF2295">
        <w:t xml:space="preserve">riminalising the failure to act </w:t>
      </w:r>
      <w:r w:rsidR="00BD3BE3">
        <w:t>i</w:t>
      </w:r>
      <w:r w:rsidR="00BF2295">
        <w:t>n this context is unprecedented</w:t>
      </w:r>
      <w:r>
        <w:t>.</w:t>
      </w:r>
      <w:r w:rsidR="00925563">
        <w:t xml:space="preserve"> </w:t>
      </w:r>
      <w:r>
        <w:t>T</w:t>
      </w:r>
      <w:r w:rsidR="00BD3BE3">
        <w:t xml:space="preserve">he Commission </w:t>
      </w:r>
      <w:r w:rsidR="00925563">
        <w:t>has been unable to find any similar provisions in the laws of comparable jurisdictions within the limited time available to provide this submission.</w:t>
      </w:r>
    </w:p>
    <w:p w14:paraId="43878081" w14:textId="27899A29" w:rsidR="00925563" w:rsidRDefault="00925563" w:rsidP="00A44F2B">
      <w:pPr>
        <w:pStyle w:val="ListNumber"/>
      </w:pPr>
      <w:r>
        <w:t xml:space="preserve">Generally, </w:t>
      </w:r>
      <w:r w:rsidR="000764A8">
        <w:t>failures to comply with statutory duties in the criminal law exist in contexts</w:t>
      </w:r>
      <w:r w:rsidR="003B2884">
        <w:t xml:space="preserve"> involving the provision of certain information to police, or </w:t>
      </w:r>
      <w:r w:rsidR="00CD681F">
        <w:t>lodging information (for example, tax returns).</w:t>
      </w:r>
      <w:r w:rsidR="00686784">
        <w:t xml:space="preserve"> </w:t>
      </w:r>
      <w:r w:rsidR="00630FED">
        <w:t>However, s</w:t>
      </w:r>
      <w:r w:rsidR="00686784">
        <w:t>uch examples are rare</w:t>
      </w:r>
      <w:r w:rsidR="00630FED">
        <w:t>,</w:t>
      </w:r>
      <w:r w:rsidR="00686784">
        <w:t xml:space="preserve"> </w:t>
      </w:r>
      <w:r w:rsidR="00DE11C9">
        <w:t>and</w:t>
      </w:r>
      <w:r w:rsidR="00630FED">
        <w:t>,</w:t>
      </w:r>
      <w:r w:rsidR="00DE11C9">
        <w:t xml:space="preserve"> to the best of the Commission’s knowledge,</w:t>
      </w:r>
      <w:r w:rsidR="00C05CF7">
        <w:t xml:space="preserve"> do not come with mandatory minimum sentences attached.</w:t>
      </w:r>
    </w:p>
    <w:p w14:paraId="7B171EA3" w14:textId="022A232A" w:rsidR="00164E2B" w:rsidRDefault="00164E2B" w:rsidP="00164E2B">
      <w:pPr>
        <w:pStyle w:val="ListNumber"/>
      </w:pPr>
      <w:r>
        <w:t xml:space="preserve">The Australian Government in the explanatory memorandum accompanying the Bill claims </w:t>
      </w:r>
      <w:proofErr w:type="gramStart"/>
      <w:r>
        <w:t>that</w:t>
      </w:r>
      <w:proofErr w:type="gramEnd"/>
    </w:p>
    <w:p w14:paraId="40FF5AD6" w14:textId="77777777" w:rsidR="00164E2B" w:rsidRDefault="00164E2B" w:rsidP="00164E2B">
      <w:pPr>
        <w:pStyle w:val="Quote"/>
      </w:pPr>
      <w:r>
        <w:lastRenderedPageBreak/>
        <w:t xml:space="preserve">The proposed offence and associated penalty are intended to ensure that non-citizens remain appropriately engaged and cooperate with arrangements to facilitate their removal from Australia. Non-cooperation with removal processes demonstrates a disregard for Australian laws. This behaviour is contrary to the Australian community’s expectations that a non-citizen should engage with the process to resolve their migration status and to </w:t>
      </w:r>
      <w:proofErr w:type="spellStart"/>
      <w:proofErr w:type="gramStart"/>
      <w:r>
        <w:t>effect</w:t>
      </w:r>
      <w:proofErr w:type="spellEnd"/>
      <w:proofErr w:type="gramEnd"/>
      <w:r>
        <w:t xml:space="preserve"> their removal from Australia where required by law.</w:t>
      </w:r>
      <w:r>
        <w:rPr>
          <w:rStyle w:val="EndnoteReference"/>
        </w:rPr>
        <w:endnoteReference w:id="33"/>
      </w:r>
    </w:p>
    <w:p w14:paraId="1F4C94E4" w14:textId="4F660744" w:rsidR="00164E2B" w:rsidRDefault="00164E2B" w:rsidP="00164E2B">
      <w:pPr>
        <w:pStyle w:val="ListNumber"/>
      </w:pPr>
      <w:r>
        <w:t xml:space="preserve">The Commission </w:t>
      </w:r>
      <w:r w:rsidR="00600AC5">
        <w:t>challenges</w:t>
      </w:r>
      <w:r>
        <w:t xml:space="preserve"> the contentions made in this statement in two respects.</w:t>
      </w:r>
    </w:p>
    <w:p w14:paraId="57F8BDCD" w14:textId="5BBD8700" w:rsidR="00164E2B" w:rsidRDefault="00164E2B" w:rsidP="00164E2B">
      <w:pPr>
        <w:pStyle w:val="ListNumber"/>
      </w:pPr>
      <w:bookmarkStart w:id="42" w:name="_Ref163480564"/>
      <w:r>
        <w:t xml:space="preserve">First, it </w:t>
      </w:r>
      <w:r w:rsidR="009F6939">
        <w:t>is</w:t>
      </w:r>
      <w:r>
        <w:t xml:space="preserve"> unlikely that the criminalisation of a failure to cooperate with efforts towards removal will have the desired effect. Australia has had legislation mandating immigration detention since 1992. Until November 2023 and the </w:t>
      </w:r>
      <w:r>
        <w:rPr>
          <w:i/>
          <w:iCs/>
        </w:rPr>
        <w:t xml:space="preserve">NZYQ </w:t>
      </w:r>
      <w:r>
        <w:t xml:space="preserve">decision, this included the potential for indefinite administrative detention for those whose removal was not practicable in the reasonably foreseeable future. Despite this, </w:t>
      </w:r>
      <w:r w:rsidR="00656C55">
        <w:t>significant</w:t>
      </w:r>
      <w:r>
        <w:t xml:space="preserve"> numbers of detainees elected not to be removed to their country of nationality. Similarly, large numbers of transitory persons have chosen to remain under Australia’s offshore processing regime. </w:t>
      </w:r>
      <w:r w:rsidR="00932BBB">
        <w:t>Being f</w:t>
      </w:r>
      <w:r>
        <w:t>aced with the prospect of detention in a criminal setting is, in the Commission’s view, unlikely to be viewed as a more effective motivator than either of these prospects.</w:t>
      </w:r>
      <w:bookmarkEnd w:id="42"/>
    </w:p>
    <w:p w14:paraId="542C0FFC" w14:textId="4B3C3972" w:rsidR="00DB7C10" w:rsidRDefault="00164E2B" w:rsidP="00164E2B">
      <w:pPr>
        <w:pStyle w:val="ListNumber"/>
      </w:pPr>
      <w:r>
        <w:t>Second</w:t>
      </w:r>
      <w:r w:rsidR="00086DF8">
        <w:t>ly</w:t>
      </w:r>
      <w:r>
        <w:t xml:space="preserve">, a failure to cooperate with removal efforts </w:t>
      </w:r>
      <w:r w:rsidR="00086DF8">
        <w:t xml:space="preserve">does not necessarily </w:t>
      </w:r>
      <w:r>
        <w:t xml:space="preserve">equate </w:t>
      </w:r>
      <w:r w:rsidR="00086DF8">
        <w:t xml:space="preserve">with </w:t>
      </w:r>
      <w:r>
        <w:t xml:space="preserve">a person disregarding Australia’s legal system. </w:t>
      </w:r>
      <w:r w:rsidR="00D00BE6">
        <w:t>L</w:t>
      </w:r>
      <w:r>
        <w:t>arge numbers of visa holders (particularly holders of Bridging E visas) regard Australia’s laws highly, but have reasons particular to their own situation that deter them from being removed</w:t>
      </w:r>
      <w:r w:rsidR="00DB7C10">
        <w:t xml:space="preserve"> (such as those outlined</w:t>
      </w:r>
      <w:r w:rsidR="00794F9C">
        <w:t xml:space="preserve"> at paragraphs </w:t>
      </w:r>
      <w:r w:rsidR="00794F9C">
        <w:fldChar w:fldCharType="begin"/>
      </w:r>
      <w:r w:rsidR="00794F9C">
        <w:instrText xml:space="preserve"> REF _Ref163480455 \r \h </w:instrText>
      </w:r>
      <w:r w:rsidR="00794F9C">
        <w:fldChar w:fldCharType="separate"/>
      </w:r>
      <w:r w:rsidR="002A1F14">
        <w:t>36</w:t>
      </w:r>
      <w:r w:rsidR="00794F9C">
        <w:fldChar w:fldCharType="end"/>
      </w:r>
      <w:r w:rsidR="00794F9C">
        <w:t xml:space="preserve"> and </w:t>
      </w:r>
      <w:r w:rsidR="00794F9C">
        <w:fldChar w:fldCharType="begin"/>
      </w:r>
      <w:r w:rsidR="00794F9C">
        <w:instrText xml:space="preserve"> REF _Ref163480458 \r \h </w:instrText>
      </w:r>
      <w:r w:rsidR="00794F9C">
        <w:fldChar w:fldCharType="separate"/>
      </w:r>
      <w:r w:rsidR="002A1F14">
        <w:t>37</w:t>
      </w:r>
      <w:r w:rsidR="00794F9C">
        <w:fldChar w:fldCharType="end"/>
      </w:r>
      <w:r w:rsidR="00794F9C">
        <w:t>)</w:t>
      </w:r>
      <w:r>
        <w:t>.</w:t>
      </w:r>
      <w:r w:rsidR="00DB5852">
        <w:t xml:space="preserve"> </w:t>
      </w:r>
    </w:p>
    <w:p w14:paraId="4879935C" w14:textId="384573E5" w:rsidR="00164E2B" w:rsidRDefault="00DB7C10" w:rsidP="00164E2B">
      <w:pPr>
        <w:pStyle w:val="ListNumber"/>
      </w:pPr>
      <w:r>
        <w:t>For those with families in Australia, t</w:t>
      </w:r>
      <w:r w:rsidR="00DB5852">
        <w:t>heir unwillingness to depart</w:t>
      </w:r>
      <w:r w:rsidR="006C78D2">
        <w:t xml:space="preserve"> –</w:t>
      </w:r>
      <w:r w:rsidR="00DB5852">
        <w:t xml:space="preserve"> with no certainty of being able to return to their families</w:t>
      </w:r>
      <w:r w:rsidR="006C78D2">
        <w:t xml:space="preserve"> –</w:t>
      </w:r>
      <w:r w:rsidR="00DB5852">
        <w:t xml:space="preserve"> should not somehow be equated with bad character.</w:t>
      </w:r>
    </w:p>
    <w:p w14:paraId="5D8EB901" w14:textId="77777777" w:rsidR="00555F46" w:rsidRDefault="00555F46" w:rsidP="00555F46">
      <w:pPr>
        <w:pStyle w:val="Heading3"/>
      </w:pPr>
      <w:bookmarkStart w:id="43" w:name="_Toc163501897"/>
      <w:r>
        <w:t>Mandatory minimum sentencing</w:t>
      </w:r>
      <w:bookmarkEnd w:id="43"/>
    </w:p>
    <w:p w14:paraId="475C4157" w14:textId="77777777" w:rsidR="00555F46" w:rsidRDefault="00555F46" w:rsidP="00555F46">
      <w:pPr>
        <w:pStyle w:val="ListNumber"/>
      </w:pPr>
      <w:r>
        <w:t>The Commission has raised concerns about mandatory minimum sentencing in Commonwealth and State legislation on numerous occasions.</w:t>
      </w:r>
    </w:p>
    <w:p w14:paraId="7C30BE25" w14:textId="787779FE" w:rsidR="000B7B5A" w:rsidRDefault="000B7B5A" w:rsidP="00555F46">
      <w:pPr>
        <w:pStyle w:val="ListNumber"/>
      </w:pPr>
      <w:r>
        <w:t xml:space="preserve">The </w:t>
      </w:r>
      <w:r w:rsidR="0091422E">
        <w:t xml:space="preserve">Senate Standing Committee for the </w:t>
      </w:r>
      <w:r>
        <w:t>Scrutiny of Bills</w:t>
      </w:r>
      <w:r w:rsidR="0091422E">
        <w:t xml:space="preserve"> also expressed its ‘longstanding view that the use of mandatory minimum sentences impedes judicial discretion</w:t>
      </w:r>
      <w:r w:rsidR="00344342">
        <w:t>’</w:t>
      </w:r>
      <w:r w:rsidR="0091422E">
        <w:t>.</w:t>
      </w:r>
      <w:r w:rsidR="00344342">
        <w:rPr>
          <w:rStyle w:val="EndnoteReference"/>
        </w:rPr>
        <w:endnoteReference w:id="34"/>
      </w:r>
    </w:p>
    <w:p w14:paraId="6A680A39" w14:textId="75A0255A" w:rsidR="001B6BF7" w:rsidRDefault="001B6BF7" w:rsidP="00555F46">
      <w:pPr>
        <w:pStyle w:val="ListNumber"/>
      </w:pPr>
      <w:r>
        <w:t xml:space="preserve">The harshness of the sentence is unlikely to act as any deterrent, </w:t>
      </w:r>
      <w:proofErr w:type="gramStart"/>
      <w:r>
        <w:t>in light of</w:t>
      </w:r>
      <w:proofErr w:type="gramEnd"/>
      <w:r>
        <w:t xml:space="preserve"> the reasons outlined above at paragraph </w:t>
      </w:r>
      <w:r w:rsidR="00B57E07">
        <w:fldChar w:fldCharType="begin"/>
      </w:r>
      <w:r w:rsidR="00B57E07">
        <w:instrText xml:space="preserve"> REF _Ref163480564 \r \h </w:instrText>
      </w:r>
      <w:r w:rsidR="00B57E07">
        <w:fldChar w:fldCharType="separate"/>
      </w:r>
      <w:r w:rsidR="002A1F14">
        <w:t>70</w:t>
      </w:r>
      <w:r w:rsidR="00B57E07">
        <w:fldChar w:fldCharType="end"/>
      </w:r>
      <w:r w:rsidR="00B57E07">
        <w:t>.</w:t>
      </w:r>
    </w:p>
    <w:p w14:paraId="6EDCB8FD" w14:textId="4DEA6AEA" w:rsidR="00555F46" w:rsidRDefault="00B57E07" w:rsidP="00555F46">
      <w:pPr>
        <w:pStyle w:val="ListNumber"/>
      </w:pPr>
      <w:r>
        <w:t>Furthermore, m</w:t>
      </w:r>
      <w:r w:rsidR="00555F46">
        <w:t>andatory sentencing provisions have the potential to engage articles 7, 9 and 14 of the</w:t>
      </w:r>
      <w:r w:rsidR="007837D5">
        <w:t xml:space="preserve"> ICCPR.</w:t>
      </w:r>
    </w:p>
    <w:p w14:paraId="24B1A677" w14:textId="77777777" w:rsidR="00555F46" w:rsidRDefault="00555F46" w:rsidP="00555F46">
      <w:pPr>
        <w:pStyle w:val="Heading4"/>
      </w:pPr>
      <w:r>
        <w:lastRenderedPageBreak/>
        <w:t>Arbitrary detention</w:t>
      </w:r>
    </w:p>
    <w:p w14:paraId="4E4BF414" w14:textId="77777777" w:rsidR="00555F46" w:rsidRDefault="00555F46" w:rsidP="00555F46">
      <w:pPr>
        <w:pStyle w:val="ListNumber"/>
      </w:pPr>
      <w:r>
        <w:t>Article 9(1) of the ICCPR prohibits the arbitrary deprivation of liberty. It provides that:</w:t>
      </w:r>
    </w:p>
    <w:p w14:paraId="52DF7CBB" w14:textId="77777777" w:rsidR="00555F46" w:rsidRDefault="00555F46" w:rsidP="00555F46">
      <w:pPr>
        <w:pStyle w:val="Quote"/>
      </w:pPr>
      <w:r>
        <w:t>Everyone has the right to liberty and security of person. No one shall be subjected to arbitrary arrest or detention. No one shall be deprived of his liberty except on such grounds and in accordance with such procedure as are established by law.</w:t>
      </w:r>
    </w:p>
    <w:p w14:paraId="62C0E720" w14:textId="77777777" w:rsidR="00555F46" w:rsidRDefault="00555F46" w:rsidP="00555F46">
      <w:pPr>
        <w:pStyle w:val="ListNumber"/>
      </w:pPr>
      <w:r>
        <w:t xml:space="preserve">The United Nations Human Rights Committee has held that ‘arbitrariness’ is not to be equated with ‘against the law’; it must be interpreted more broadly to include such elements as inappropriateness, </w:t>
      </w:r>
      <w:proofErr w:type="gramStart"/>
      <w:r>
        <w:t>injustice</w:t>
      </w:r>
      <w:proofErr w:type="gramEnd"/>
      <w:r>
        <w:t xml:space="preserve"> and lack of predictability.</w:t>
      </w:r>
      <w:r>
        <w:rPr>
          <w:rStyle w:val="EndnoteReference"/>
        </w:rPr>
        <w:endnoteReference w:id="35"/>
      </w:r>
      <w:r>
        <w:t xml:space="preserve"> This interpretation has been affirmed by the High Court of Australia.</w:t>
      </w:r>
      <w:r>
        <w:rPr>
          <w:rStyle w:val="EndnoteReference"/>
        </w:rPr>
        <w:endnoteReference w:id="36"/>
      </w:r>
    </w:p>
    <w:p w14:paraId="1D6FA49F" w14:textId="4362886A" w:rsidR="00555F46" w:rsidRDefault="00555F46" w:rsidP="00555F46">
      <w:pPr>
        <w:pStyle w:val="ListNumber"/>
      </w:pPr>
      <w:r>
        <w:t>If a sentence is fixed in advance</w:t>
      </w:r>
      <w:r w:rsidR="00107730">
        <w:t>,</w:t>
      </w:r>
      <w:r>
        <w:t xml:space="preserve"> without regard to the circumstances of the offence and the offender, and the court is not permitted to </w:t>
      </w:r>
      <w:proofErr w:type="gramStart"/>
      <w:r>
        <w:t>make an assessment of</w:t>
      </w:r>
      <w:proofErr w:type="gramEnd"/>
      <w:r>
        <w:t xml:space="preserve"> whether such a sentence is appropriate, then the sentence is bound to be arbitrary. There will be no rational or proportionate correlation between the deprivation of liberty and the </w:t>
      </w:r>
      <w:proofErr w:type="gramStart"/>
      <w:r>
        <w:t>particular circumstances</w:t>
      </w:r>
      <w:proofErr w:type="gramEnd"/>
      <w:r>
        <w:t xml:space="preserve"> of the case, and </w:t>
      </w:r>
      <w:r w:rsidR="006249AD">
        <w:t>it</w:t>
      </w:r>
      <w:r>
        <w:t xml:space="preserve"> is likely to cause injustice.</w:t>
      </w:r>
    </w:p>
    <w:p w14:paraId="5F0B341D" w14:textId="77777777" w:rsidR="00555F46" w:rsidRDefault="00555F46" w:rsidP="00555F46">
      <w:pPr>
        <w:pStyle w:val="Heading4"/>
      </w:pPr>
      <w:r>
        <w:t>Inhuman or degrading treatment or punishment</w:t>
      </w:r>
    </w:p>
    <w:p w14:paraId="4BDB19E5" w14:textId="1BD4E327" w:rsidR="00555F46" w:rsidRDefault="00555F46" w:rsidP="00555F46">
      <w:pPr>
        <w:pStyle w:val="ListNumber"/>
      </w:pPr>
      <w:r>
        <w:t xml:space="preserve">Article 7 of the ICCPR prohibits inhuman or degrading treatment or punishment. </w:t>
      </w:r>
      <w:r w:rsidR="00CF5563">
        <w:t>Both</w:t>
      </w:r>
      <w:r>
        <w:t xml:space="preserve"> the United States</w:t>
      </w:r>
      <w:r>
        <w:rPr>
          <w:rStyle w:val="EndnoteReference"/>
        </w:rPr>
        <w:endnoteReference w:id="37"/>
      </w:r>
      <w:r>
        <w:t xml:space="preserve"> and Canada</w:t>
      </w:r>
      <w:r>
        <w:rPr>
          <w:rStyle w:val="EndnoteReference"/>
        </w:rPr>
        <w:endnoteReference w:id="38"/>
      </w:r>
      <w:r>
        <w:t xml:space="preserve"> </w:t>
      </w:r>
      <w:r w:rsidR="00CF5563">
        <w:t>have</w:t>
      </w:r>
      <w:r>
        <w:t xml:space="preserve"> constitutional Bills of Rights, </w:t>
      </w:r>
      <w:r w:rsidR="00E4027E">
        <w:t xml:space="preserve">and </w:t>
      </w:r>
      <w:r>
        <w:t xml:space="preserve">their highest courts have struck down mandatory sentencing provisions as unconstitutional where they were ‘grossly disproportionate’ to the gravity of the </w:t>
      </w:r>
      <w:proofErr w:type="gramStart"/>
      <w:r>
        <w:t>particular offence</w:t>
      </w:r>
      <w:proofErr w:type="gramEnd"/>
      <w:r>
        <w:t xml:space="preserve"> on the basis that such sentences amounted to inhuman or degrading punishment.</w:t>
      </w:r>
    </w:p>
    <w:p w14:paraId="2F7D4C78" w14:textId="6A04D8AD" w:rsidR="00555F46" w:rsidRDefault="00555F46" w:rsidP="00555F46">
      <w:pPr>
        <w:pStyle w:val="ListNumber"/>
      </w:pPr>
      <w:r>
        <w:t xml:space="preserve">Australia does not have a constitutional </w:t>
      </w:r>
      <w:r w:rsidR="00E4027E">
        <w:t>or statutory</w:t>
      </w:r>
      <w:r>
        <w:t xml:space="preserve"> Bill of Rights </w:t>
      </w:r>
      <w:r w:rsidR="00E4027E">
        <w:t>or Human Rights Act</w:t>
      </w:r>
      <w:r>
        <w:t xml:space="preserve"> and the High Court has held that mandatory minimum sentences are not unconstitutional.</w:t>
      </w:r>
      <w:r>
        <w:rPr>
          <w:rStyle w:val="EndnoteReference"/>
        </w:rPr>
        <w:endnoteReference w:id="39"/>
      </w:r>
      <w:r>
        <w:t xml:space="preserve"> However, that does not mean that such provisions are good public policy. As former Chief Justice of the High Court, Barwick CJ</w:t>
      </w:r>
      <w:r w:rsidR="00E4027E">
        <w:t>,</w:t>
      </w:r>
      <w:r>
        <w:t xml:space="preserve"> said in </w:t>
      </w:r>
      <w:r>
        <w:rPr>
          <w:i/>
          <w:iCs/>
        </w:rPr>
        <w:t>Palling v Corfield</w:t>
      </w:r>
      <w:r>
        <w:t>:</w:t>
      </w:r>
    </w:p>
    <w:p w14:paraId="74EB6F1B" w14:textId="77777777" w:rsidR="00555F46" w:rsidRDefault="00555F46" w:rsidP="00555F46">
      <w:pPr>
        <w:pStyle w:val="Quote"/>
      </w:pPr>
      <w:r>
        <w:t>It is both unusual and in general, in my opinion, undesirable that the court should not have a discretion in the imposition of penalties and sentences, for circumstances alter cases and it is a traditional function of a court of justice to endeavour to make the punishment appropriate to the circumstances as well as to the nature of the crime.</w:t>
      </w:r>
      <w:r>
        <w:rPr>
          <w:rStyle w:val="EndnoteReference"/>
        </w:rPr>
        <w:endnoteReference w:id="40"/>
      </w:r>
    </w:p>
    <w:p w14:paraId="07126502" w14:textId="6A0EDEFE" w:rsidR="00555F46" w:rsidRDefault="00555F46" w:rsidP="00555F46">
      <w:pPr>
        <w:pStyle w:val="ListNumber"/>
      </w:pPr>
      <w:r>
        <w:t xml:space="preserve">The key concept of proportionality was clearly explained by the Constitutional Court of South Africa in </w:t>
      </w:r>
      <w:r>
        <w:rPr>
          <w:i/>
          <w:iCs/>
        </w:rPr>
        <w:t>S v Dodo</w:t>
      </w:r>
      <w:r>
        <w:t>.</w:t>
      </w:r>
      <w:r w:rsidR="000D041D">
        <w:rPr>
          <w:rStyle w:val="EndnoteReference"/>
        </w:rPr>
        <w:endnoteReference w:id="41"/>
      </w:r>
      <w:r>
        <w:t xml:space="preserve"> In that case, the Court considered the </w:t>
      </w:r>
      <w:r>
        <w:lastRenderedPageBreak/>
        <w:t xml:space="preserve">validity of a law that provided for imprisonment for life for </w:t>
      </w:r>
      <w:proofErr w:type="gramStart"/>
      <w:r>
        <w:t>particular offences</w:t>
      </w:r>
      <w:proofErr w:type="gramEnd"/>
      <w:r>
        <w:t xml:space="preserve"> unless the court was satisfied that ‘substantial and compelling circumstances’ existed. The Court said:</w:t>
      </w:r>
    </w:p>
    <w:p w14:paraId="67B9BD7D" w14:textId="77777777" w:rsidR="00555F46" w:rsidRDefault="00555F46" w:rsidP="00555F46">
      <w:pPr>
        <w:pStyle w:val="Quote"/>
      </w:pPr>
      <w:r>
        <w:t>In the field of sentencing, however, it can be stated as a matter of principle, that the legislature ought not to oblige the judiciary to impose a punishment which is wholly lacking in proportionality to the crime. This would be inimical to the rule of law and the constitutional state.</w:t>
      </w:r>
      <w:r>
        <w:rPr>
          <w:rStyle w:val="EndnoteReference"/>
        </w:rPr>
        <w:endnoteReference w:id="42"/>
      </w:r>
    </w:p>
    <w:p w14:paraId="5BA7545A" w14:textId="77777777" w:rsidR="00555F46" w:rsidRDefault="00555F46" w:rsidP="00555F46">
      <w:pPr>
        <w:pStyle w:val="ListNumber"/>
      </w:pPr>
      <w:r>
        <w:t>The Court held that ‘the concept of proportionality goes to the heart of the inquiry as to whether punishment is cruel, inhuman or degrading’.</w:t>
      </w:r>
      <w:r>
        <w:rPr>
          <w:rStyle w:val="EndnoteReference"/>
        </w:rPr>
        <w:endnoteReference w:id="43"/>
      </w:r>
      <w:r>
        <w:t xml:space="preserve"> Further:</w:t>
      </w:r>
    </w:p>
    <w:p w14:paraId="3D5BE8C5" w14:textId="403715DD" w:rsidR="00555F46" w:rsidRDefault="00555F46" w:rsidP="00555F46">
      <w:pPr>
        <w:pStyle w:val="Quote"/>
      </w:pPr>
      <w:r>
        <w:t xml:space="preserve">To attempt to justify any period of penal incarceration, let alone imprisonment for life as in the present case, without inquiring into the proportionality between the offence and the period of imprisonment, is to ignore, if not to deny, that which lies at the very heart of human dignity. Human beings are not commodities to which a price can be attached; they are creatures with inherent and infinite worth; they ought to be treated as ends in themselves, never merely as means to an end. Where the length of a sentence, which has been imposed because of its general deterrent effect on others, bears no relation to the gravity of the offence … the offender is being used essentially </w:t>
      </w:r>
      <w:proofErr w:type="gramStart"/>
      <w:r>
        <w:t>as a means to</w:t>
      </w:r>
      <w:proofErr w:type="gramEnd"/>
      <w:r>
        <w:t xml:space="preserve"> another end and the offender’s dignity assailed.</w:t>
      </w:r>
      <w:r>
        <w:rPr>
          <w:rStyle w:val="EndnoteReference"/>
        </w:rPr>
        <w:endnoteReference w:id="44"/>
      </w:r>
    </w:p>
    <w:p w14:paraId="6F7C9963" w14:textId="74B625CD" w:rsidR="00BC4FC2" w:rsidRDefault="00BC4FC2" w:rsidP="00BC4FC2">
      <w:pPr>
        <w:pStyle w:val="ListNumber"/>
      </w:pPr>
      <w:r>
        <w:t xml:space="preserve">The Victorian Supreme Court in </w:t>
      </w:r>
      <w:r>
        <w:rPr>
          <w:i/>
          <w:iCs/>
        </w:rPr>
        <w:t>Buckley v The Quee</w:t>
      </w:r>
      <w:r w:rsidR="0043490C">
        <w:rPr>
          <w:i/>
          <w:iCs/>
        </w:rPr>
        <w:t xml:space="preserve">n </w:t>
      </w:r>
      <w:r w:rsidR="0043490C">
        <w:t>stated:</w:t>
      </w:r>
    </w:p>
    <w:p w14:paraId="209ADAA4" w14:textId="70D8065F" w:rsidR="0043490C" w:rsidRPr="00BC4FC2" w:rsidRDefault="0043490C" w:rsidP="0043490C">
      <w:pPr>
        <w:pStyle w:val="Quote"/>
      </w:pPr>
      <w:r>
        <w:t>Mandatory minimum sentences are wrong in principle. They require judges to be instruments of injustice: to inflict more severe punishment than a proper application of sentencing principle could justify, to imprison when imprisonment is not warranted and may well be harmful, and to treat as identical offenders whose circumstances and culpability may be very different.</w:t>
      </w:r>
      <w:r w:rsidR="00171CF4">
        <w:rPr>
          <w:rStyle w:val="EndnoteReference"/>
        </w:rPr>
        <w:endnoteReference w:id="45"/>
      </w:r>
    </w:p>
    <w:p w14:paraId="09FDB2E0" w14:textId="77777777" w:rsidR="00555F46" w:rsidRDefault="00555F46" w:rsidP="000B7B5A">
      <w:pPr>
        <w:pStyle w:val="Heading4"/>
      </w:pPr>
      <w:r>
        <w:t>Right to appeal against sentence</w:t>
      </w:r>
    </w:p>
    <w:p w14:paraId="64C3DEAA" w14:textId="77777777" w:rsidR="00555F46" w:rsidRDefault="00555F46" w:rsidP="00555F46">
      <w:pPr>
        <w:pStyle w:val="ListNumber"/>
      </w:pPr>
      <w:r>
        <w:t>Article 14 of the ICCPR establishes certain procedural guarantees in civil and criminal trials. Relevantly, article 14(5) of the ICCPR provides that:</w:t>
      </w:r>
    </w:p>
    <w:p w14:paraId="49420ECD" w14:textId="77777777" w:rsidR="00555F46" w:rsidRDefault="00555F46" w:rsidP="00555F46">
      <w:pPr>
        <w:pStyle w:val="Quote"/>
      </w:pPr>
      <w:r>
        <w:t>Everyone convicted of a crime shall have a right to his conviction and sentence being reviewed by a higher tribunal according to law.</w:t>
      </w:r>
    </w:p>
    <w:p w14:paraId="063EAFA9" w14:textId="6E895258" w:rsidR="00555F46" w:rsidRDefault="00555F46" w:rsidP="0893AB0F">
      <w:pPr>
        <w:pStyle w:val="ListNumber"/>
        <w:numPr>
          <w:ilvl w:val="0"/>
          <w:numId w:val="0"/>
        </w:numPr>
      </w:pPr>
      <w:r>
        <w:t>A mandatory minimum sentence infringes this right by restricting the review of a sentence on appeal to higher court.</w:t>
      </w:r>
      <w:r w:rsidR="00C84F89">
        <w:t xml:space="preserve">, in that </w:t>
      </w:r>
      <w:r w:rsidR="00C86F7E">
        <w:t>the appeal court</w:t>
      </w:r>
      <w:r w:rsidR="0034145D">
        <w:t xml:space="preserve"> would be prevented from</w:t>
      </w:r>
      <w:r w:rsidR="00E0020E">
        <w:t xml:space="preserve"> reviewing the severity or corr</w:t>
      </w:r>
      <w:r w:rsidR="00632AF3">
        <w:t>ectness of a minimum sentence.</w:t>
      </w:r>
    </w:p>
    <w:p w14:paraId="46BAA635" w14:textId="660E35A0" w:rsidR="00F67321" w:rsidRDefault="00B127EA" w:rsidP="00555F46">
      <w:pPr>
        <w:pStyle w:val="ListNumber"/>
      </w:pPr>
      <w:r>
        <w:lastRenderedPageBreak/>
        <w:t xml:space="preserve">Given the criminalisation of a failure to comply with a removal pathway direction is a pivotal part of the Bill, the Commission </w:t>
      </w:r>
      <w:r w:rsidR="0056758A">
        <w:t>recommends</w:t>
      </w:r>
      <w:r>
        <w:t xml:space="preserve"> that the Bill not be passed.</w:t>
      </w:r>
    </w:p>
    <w:p w14:paraId="28ADE4AB" w14:textId="4C132F24" w:rsidR="00B127EA" w:rsidRDefault="00B127EA" w:rsidP="00555F46">
      <w:pPr>
        <w:pStyle w:val="ListNumber"/>
      </w:pPr>
      <w:r>
        <w:t xml:space="preserve">However, if the Committee is minded </w:t>
      </w:r>
      <w:proofErr w:type="gramStart"/>
      <w:r>
        <w:t xml:space="preserve">to </w:t>
      </w:r>
      <w:r w:rsidR="0056758A">
        <w:t>support</w:t>
      </w:r>
      <w:proofErr w:type="gramEnd"/>
      <w:r w:rsidR="0056758A">
        <w:t xml:space="preserve"> </w:t>
      </w:r>
      <w:r>
        <w:t>its passage, then the Commission recommends</w:t>
      </w:r>
      <w:r w:rsidR="0056758A">
        <w:t>,</w:t>
      </w:r>
      <w:r>
        <w:t xml:space="preserve"> </w:t>
      </w:r>
      <w:r w:rsidR="0056758A">
        <w:t>in the alternative,</w:t>
      </w:r>
      <w:r>
        <w:t xml:space="preserve"> tha</w:t>
      </w:r>
      <w:r w:rsidR="00F66B89">
        <w:t xml:space="preserve">t the </w:t>
      </w:r>
      <w:r w:rsidR="007D4FC5">
        <w:t>mandatory minimum sentence of 12 months be removed, and that the maximum sentence imposed be reduced.</w:t>
      </w:r>
    </w:p>
    <w:p w14:paraId="098C33BD" w14:textId="513F3273" w:rsidR="007D4FC5" w:rsidRPr="00F87954" w:rsidRDefault="007D4FC5" w:rsidP="008F5599">
      <w:pPr>
        <w:pStyle w:val="ListNumber"/>
        <w:keepNext/>
        <w:numPr>
          <w:ilvl w:val="0"/>
          <w:numId w:val="0"/>
        </w:numPr>
        <w:ind w:left="1094"/>
        <w:rPr>
          <w:b/>
          <w:bCs/>
        </w:rPr>
      </w:pPr>
      <w:r w:rsidRPr="00F87954">
        <w:rPr>
          <w:b/>
          <w:bCs/>
        </w:rPr>
        <w:t xml:space="preserve">Recommendation </w:t>
      </w:r>
      <w:r w:rsidR="00F87954" w:rsidRPr="00F87954">
        <w:rPr>
          <w:b/>
          <w:bCs/>
        </w:rPr>
        <w:t>5</w:t>
      </w:r>
    </w:p>
    <w:p w14:paraId="2EA10C16" w14:textId="41C3211F" w:rsidR="00F87954" w:rsidRDefault="00F87954" w:rsidP="00F87954">
      <w:pPr>
        <w:pStyle w:val="ListNumber"/>
        <w:numPr>
          <w:ilvl w:val="0"/>
          <w:numId w:val="0"/>
        </w:numPr>
        <w:ind w:left="1094"/>
      </w:pPr>
      <w:r>
        <w:t xml:space="preserve">The Commission recommends that Schedule 1 of the Bill be amended to </w:t>
      </w:r>
      <w:r w:rsidR="00DC11AA">
        <w:t>delete section 199</w:t>
      </w:r>
      <w:proofErr w:type="gramStart"/>
      <w:r w:rsidR="00DC11AA">
        <w:t>E(</w:t>
      </w:r>
      <w:proofErr w:type="gramEnd"/>
      <w:r w:rsidR="00DC11AA">
        <w:t>2), and reduce the penalty provision contained within subsection 199E(1).</w:t>
      </w:r>
    </w:p>
    <w:p w14:paraId="161CA481" w14:textId="77777777" w:rsidR="00CC7726" w:rsidRDefault="00CC7726" w:rsidP="00CC7726">
      <w:pPr>
        <w:pStyle w:val="Heading2"/>
      </w:pPr>
      <w:bookmarkStart w:id="44" w:name="_Ref163479104"/>
      <w:bookmarkStart w:id="45" w:name="_Toc163501898"/>
      <w:r>
        <w:t>Lack of review process</w:t>
      </w:r>
      <w:bookmarkEnd w:id="44"/>
      <w:bookmarkEnd w:id="45"/>
    </w:p>
    <w:p w14:paraId="63DFB4EA" w14:textId="5F1E8204" w:rsidR="00CC7726" w:rsidRPr="000E2BAC" w:rsidRDefault="0056758A" w:rsidP="00CC7726">
      <w:pPr>
        <w:pStyle w:val="ListNumber"/>
      </w:pPr>
      <w:r>
        <w:t>There is</w:t>
      </w:r>
      <w:r w:rsidR="00CC7726">
        <w:t xml:space="preserve"> no mechanism for review of the issuing of a removal pathway direction in the Bill. Instead, it falls on a criminal court to determine, following the laying of criminal charges, </w:t>
      </w:r>
      <w:r w:rsidR="00DB3344">
        <w:t>whether the</w:t>
      </w:r>
      <w:r w:rsidR="00695402">
        <w:t xml:space="preserve"> removal pathway non-citizen’s reasons for not complying with the direction are reasonable.</w:t>
      </w:r>
    </w:p>
    <w:p w14:paraId="583220AE" w14:textId="6CB0B1E5" w:rsidR="00CC7726" w:rsidRDefault="0056758A" w:rsidP="00164E2B">
      <w:pPr>
        <w:pStyle w:val="ListNumber"/>
      </w:pPr>
      <w:r>
        <w:t>The</w:t>
      </w:r>
      <w:r w:rsidR="00B83AE7">
        <w:t xml:space="preserve"> Commission recommends that</w:t>
      </w:r>
      <w:r w:rsidR="00F55B2D">
        <w:t xml:space="preserve"> Schedule 1 of the Bill be amended to include</w:t>
      </w:r>
      <w:r w:rsidR="00E076F8">
        <w:t xml:space="preserve"> access to merits</w:t>
      </w:r>
      <w:r w:rsidR="00271F2B">
        <w:t xml:space="preserve"> review by the Administrative Appeals (or Administrative Review) Tribunal</w:t>
      </w:r>
      <w:r w:rsidR="007C72C3">
        <w:t xml:space="preserve"> of the Minister’s decision to issue a removal pathway direction</w:t>
      </w:r>
      <w:r w:rsidR="00CE16EC">
        <w:t>.</w:t>
      </w:r>
    </w:p>
    <w:p w14:paraId="30079FE1" w14:textId="4AC35584" w:rsidR="00CE16EC" w:rsidRDefault="00CE16EC" w:rsidP="00164E2B">
      <w:pPr>
        <w:pStyle w:val="ListNumber"/>
      </w:pPr>
      <w:r>
        <w:t>The removal pathway non-citizen should not be required to comply with the direction while undergoing merits and/or judicial review</w:t>
      </w:r>
      <w:r w:rsidR="005657DA">
        <w:t xml:space="preserve"> of the Minister’s decision.</w:t>
      </w:r>
    </w:p>
    <w:p w14:paraId="1FE29040" w14:textId="6B6614A4" w:rsidR="005657DA" w:rsidRDefault="005657DA" w:rsidP="00164E2B">
      <w:pPr>
        <w:pStyle w:val="ListNumber"/>
      </w:pPr>
      <w:r>
        <w:t>Where the removal pathway direction has been issued with respect to a child, then</w:t>
      </w:r>
      <w:r w:rsidR="00D97389">
        <w:t xml:space="preserve"> the Tribunal must, where appropriate, allow for the views of the child to be heard prior to </w:t>
      </w:r>
      <w:proofErr w:type="gramStart"/>
      <w:r w:rsidR="00D97389">
        <w:t>making a decision</w:t>
      </w:r>
      <w:proofErr w:type="gramEnd"/>
      <w:r w:rsidR="00904E41">
        <w:t>.</w:t>
      </w:r>
    </w:p>
    <w:p w14:paraId="26CF2DF1" w14:textId="3E338501" w:rsidR="00904E41" w:rsidRPr="00904E41" w:rsidRDefault="00904E41" w:rsidP="008F5599">
      <w:pPr>
        <w:pStyle w:val="ListNumber"/>
        <w:keepNext/>
        <w:numPr>
          <w:ilvl w:val="0"/>
          <w:numId w:val="0"/>
        </w:numPr>
        <w:ind w:left="1094"/>
        <w:rPr>
          <w:b/>
          <w:bCs/>
        </w:rPr>
      </w:pPr>
      <w:r w:rsidRPr="00904E41">
        <w:rPr>
          <w:b/>
          <w:bCs/>
        </w:rPr>
        <w:t xml:space="preserve">Recommendation </w:t>
      </w:r>
      <w:r w:rsidR="00F87954">
        <w:rPr>
          <w:b/>
          <w:bCs/>
        </w:rPr>
        <w:t>6</w:t>
      </w:r>
    </w:p>
    <w:p w14:paraId="490D2613" w14:textId="26E46420" w:rsidR="00904E41" w:rsidRPr="00A44F2B" w:rsidRDefault="00904E41" w:rsidP="00904E41">
      <w:pPr>
        <w:pStyle w:val="ListNumber"/>
        <w:numPr>
          <w:ilvl w:val="0"/>
          <w:numId w:val="0"/>
        </w:numPr>
        <w:ind w:left="1094"/>
      </w:pPr>
      <w:r>
        <w:t>The Commission recommends that, Schedule 1 of the Bill be amended to include access to merits review by the Administrative Appeals (or Administrative Review) Tribunal of the Minister’s decision to issue a removal pathway direction.</w:t>
      </w:r>
    </w:p>
    <w:p w14:paraId="6FBD7471" w14:textId="6081363A" w:rsidR="008428FB" w:rsidRDefault="009C488F" w:rsidP="008428FB">
      <w:pPr>
        <w:pStyle w:val="Heading1"/>
      </w:pPr>
      <w:bookmarkStart w:id="46" w:name="_Toc163501899"/>
      <w:r>
        <w:lastRenderedPageBreak/>
        <w:t>Removal concern countries</w:t>
      </w:r>
      <w:bookmarkEnd w:id="46"/>
    </w:p>
    <w:p w14:paraId="31F963A7" w14:textId="3E809CFE" w:rsidR="003423F4" w:rsidRDefault="002D726E" w:rsidP="001B3A1D">
      <w:pPr>
        <w:pStyle w:val="ListNumber"/>
      </w:pPr>
      <w:r>
        <w:t xml:space="preserve">The Minister, exercising the power personally, may designate </w:t>
      </w:r>
      <w:r w:rsidR="00D00611">
        <w:t xml:space="preserve">a </w:t>
      </w:r>
      <w:r>
        <w:t>certain countr</w:t>
      </w:r>
      <w:r w:rsidR="00D00611">
        <w:t>y</w:t>
      </w:r>
      <w:r>
        <w:t xml:space="preserve"> as a ‘removal concern country’</w:t>
      </w:r>
      <w:r w:rsidR="00EF1048">
        <w:t xml:space="preserve"> if it is in the national interest to do so.</w:t>
      </w:r>
      <w:r w:rsidR="00EF1048">
        <w:rPr>
          <w:rStyle w:val="EndnoteReference"/>
        </w:rPr>
        <w:endnoteReference w:id="46"/>
      </w:r>
      <w:r w:rsidR="00553708">
        <w:t xml:space="preserve"> </w:t>
      </w:r>
      <w:r w:rsidR="00BE0B58">
        <w:t xml:space="preserve">The </w:t>
      </w:r>
      <w:r w:rsidR="00553708">
        <w:t xml:space="preserve">rules of natural justice </w:t>
      </w:r>
      <w:r w:rsidR="00BE0B58">
        <w:t xml:space="preserve">do not </w:t>
      </w:r>
      <w:r w:rsidR="00553708">
        <w:t>apply to the designation.</w:t>
      </w:r>
      <w:r w:rsidR="00553708">
        <w:rPr>
          <w:rStyle w:val="EndnoteReference"/>
        </w:rPr>
        <w:endnoteReference w:id="47"/>
      </w:r>
    </w:p>
    <w:p w14:paraId="2860DB73" w14:textId="12E27EFD" w:rsidR="004C174A" w:rsidRDefault="004C174A" w:rsidP="001B3A1D">
      <w:pPr>
        <w:pStyle w:val="ListNumber"/>
      </w:pPr>
      <w:r>
        <w:t>The effect of such designation is that non-citizens</w:t>
      </w:r>
      <w:r w:rsidR="00FA2768">
        <w:t xml:space="preserve"> outside of Australia will be unable to make a valid application for a visa, if they are a national of the </w:t>
      </w:r>
      <w:r w:rsidR="00971CA0">
        <w:t xml:space="preserve">designated </w:t>
      </w:r>
      <w:r w:rsidR="00FA2768">
        <w:t>country.</w:t>
      </w:r>
      <w:r w:rsidR="00FA2768">
        <w:rPr>
          <w:rStyle w:val="EndnoteReference"/>
        </w:rPr>
        <w:endnoteReference w:id="48"/>
      </w:r>
    </w:p>
    <w:p w14:paraId="5AA8D435" w14:textId="77777777" w:rsidR="00493CCF" w:rsidRDefault="00DF7B67" w:rsidP="001B3A1D">
      <w:pPr>
        <w:pStyle w:val="ListNumber"/>
      </w:pPr>
      <w:r>
        <w:t>Exceptions will apply to non-citizens</w:t>
      </w:r>
      <w:r w:rsidR="00D04FE6">
        <w:t xml:space="preserve"> who are</w:t>
      </w:r>
      <w:r w:rsidR="00493CCF">
        <w:t>:</w:t>
      </w:r>
    </w:p>
    <w:p w14:paraId="04371C93" w14:textId="7FE053CE" w:rsidR="00DB1713" w:rsidRDefault="00D04FE6" w:rsidP="00493CCF">
      <w:pPr>
        <w:pStyle w:val="ListBullet"/>
      </w:pPr>
      <w:proofErr w:type="gramStart"/>
      <w:r>
        <w:t>also</w:t>
      </w:r>
      <w:proofErr w:type="gramEnd"/>
      <w:r>
        <w:t xml:space="preserve"> citizens of another country (dual citizens) for which they hold a valid passport</w:t>
      </w:r>
      <w:r w:rsidR="00493CCF">
        <w:rPr>
          <w:rStyle w:val="EndnoteReference"/>
        </w:rPr>
        <w:endnoteReference w:id="49"/>
      </w:r>
    </w:p>
    <w:p w14:paraId="7B513A65" w14:textId="6F621C71" w:rsidR="00F61A56" w:rsidRDefault="00F61A56" w:rsidP="00493CCF">
      <w:pPr>
        <w:pStyle w:val="ListBullet"/>
      </w:pPr>
      <w:r>
        <w:t>the spouse, de facto partner</w:t>
      </w:r>
      <w:r w:rsidR="0004435B">
        <w:t xml:space="preserve"> or dependent child of an Australian citizen, permanent </w:t>
      </w:r>
      <w:proofErr w:type="gramStart"/>
      <w:r w:rsidR="0004435B">
        <w:t>resident</w:t>
      </w:r>
      <w:proofErr w:type="gramEnd"/>
      <w:r w:rsidR="0004435B">
        <w:t xml:space="preserve"> or person </w:t>
      </w:r>
      <w:r w:rsidR="00371A51">
        <w:t>‘</w:t>
      </w:r>
      <w:r w:rsidR="0004435B">
        <w:t>usually resident</w:t>
      </w:r>
      <w:r w:rsidR="00371A51">
        <w:t xml:space="preserve"> in Australia and whose continued presence in Australia is not subject to a limitation as to time imposed by law</w:t>
      </w:r>
      <w:r w:rsidR="00A144AB">
        <w:t>’</w:t>
      </w:r>
      <w:r w:rsidR="00A144AB">
        <w:rPr>
          <w:rStyle w:val="EndnoteReference"/>
        </w:rPr>
        <w:endnoteReference w:id="50"/>
      </w:r>
    </w:p>
    <w:p w14:paraId="4D0A0718" w14:textId="0DCEF389" w:rsidR="00A144AB" w:rsidRDefault="00A144AB" w:rsidP="00493CCF">
      <w:pPr>
        <w:pStyle w:val="ListBullet"/>
      </w:pPr>
      <w:r>
        <w:t>the parent of a child under 18 in Australia</w:t>
      </w:r>
      <w:r>
        <w:rPr>
          <w:rStyle w:val="EndnoteReference"/>
        </w:rPr>
        <w:endnoteReference w:id="51"/>
      </w:r>
    </w:p>
    <w:p w14:paraId="075F6EFC" w14:textId="3FC82AA5" w:rsidR="002941FE" w:rsidRDefault="002941FE" w:rsidP="00493CCF">
      <w:pPr>
        <w:pStyle w:val="ListBullet"/>
      </w:pPr>
      <w:r>
        <w:t>applying for a Refugee and Humanitarian (Class XB) visa</w:t>
      </w:r>
      <w:r>
        <w:rPr>
          <w:rStyle w:val="EndnoteReference"/>
        </w:rPr>
        <w:endnoteReference w:id="52"/>
      </w:r>
    </w:p>
    <w:p w14:paraId="51C8696E" w14:textId="42E3AA8E" w:rsidR="00C35B63" w:rsidRDefault="006B3911" w:rsidP="00493CCF">
      <w:pPr>
        <w:pStyle w:val="ListBullet"/>
      </w:pPr>
      <w:r>
        <w:t xml:space="preserve">in </w:t>
      </w:r>
      <w:r w:rsidR="00C35B63">
        <w:t>a class of person</w:t>
      </w:r>
      <w:r w:rsidR="005542DA">
        <w:t>s,</w:t>
      </w:r>
      <w:r w:rsidR="00C35B63">
        <w:t xml:space="preserve"> or an applicant for a visa</w:t>
      </w:r>
      <w:r w:rsidR="005542DA">
        <w:t>,</w:t>
      </w:r>
      <w:r w:rsidR="00C35B63">
        <w:t xml:space="preserve"> prescribed by regulations.</w:t>
      </w:r>
      <w:r w:rsidR="00C35B63">
        <w:rPr>
          <w:rStyle w:val="EndnoteReference"/>
        </w:rPr>
        <w:endnoteReference w:id="53"/>
      </w:r>
    </w:p>
    <w:p w14:paraId="2F3EE297" w14:textId="46B955C7" w:rsidR="000D724F" w:rsidRDefault="00973113" w:rsidP="000D724F">
      <w:pPr>
        <w:pStyle w:val="ListNumber"/>
      </w:pPr>
      <w:r>
        <w:t>The Minister may also, in their personal</w:t>
      </w:r>
      <w:r w:rsidR="001D27B1">
        <w:t xml:space="preserve"> and</w:t>
      </w:r>
      <w:r w:rsidR="003F4E56">
        <w:t xml:space="preserve"> non-compellable</w:t>
      </w:r>
      <w:r>
        <w:t xml:space="preserve"> discretion, </w:t>
      </w:r>
      <w:r w:rsidR="00A063F4">
        <w:t>determine that the bar on making a visa application does not apply to a particular non-citizen</w:t>
      </w:r>
      <w:r w:rsidR="00AA5B3A">
        <w:t>.</w:t>
      </w:r>
      <w:r w:rsidR="00AA5B3A">
        <w:rPr>
          <w:rStyle w:val="EndnoteReference"/>
        </w:rPr>
        <w:endnoteReference w:id="54"/>
      </w:r>
    </w:p>
    <w:p w14:paraId="76ED5C6D" w14:textId="44415D21" w:rsidR="00257B52" w:rsidRDefault="00257B52" w:rsidP="000D724F">
      <w:pPr>
        <w:pStyle w:val="ListNumber"/>
      </w:pPr>
      <w:r>
        <w:t xml:space="preserve">The Minister’s decisions will be </w:t>
      </w:r>
      <w:r w:rsidR="002F3DF1">
        <w:t>‘</w:t>
      </w:r>
      <w:r>
        <w:t>privative clause</w:t>
      </w:r>
      <w:r w:rsidR="002F3DF1">
        <w:t>’</w:t>
      </w:r>
      <w:r w:rsidR="00115FAA">
        <w:t xml:space="preserve"> decisions within the meaning of section 474(2) of the Migration Act</w:t>
      </w:r>
      <w:r w:rsidR="00337A3F">
        <w:t>, meaning that judicial review of the decisions will be limited, unless subject to jurisdictional error.</w:t>
      </w:r>
      <w:r w:rsidR="00C26F80">
        <w:t xml:space="preserve"> </w:t>
      </w:r>
    </w:p>
    <w:p w14:paraId="018D9D5F" w14:textId="30F389CE" w:rsidR="00843915" w:rsidRDefault="00CA1D2D" w:rsidP="000D724F">
      <w:pPr>
        <w:pStyle w:val="ListNumber"/>
      </w:pPr>
      <w:r>
        <w:t>Since 1952, t</w:t>
      </w:r>
      <w:r w:rsidR="00843915">
        <w:t>he United States has</w:t>
      </w:r>
      <w:r w:rsidR="00E34209">
        <w:t xml:space="preserve"> legislated an ability for the Secretary of State to order officers to ceas</w:t>
      </w:r>
      <w:r w:rsidR="008E2B03">
        <w:t xml:space="preserve">e granting visas to citizens of ‘recalcitrant </w:t>
      </w:r>
      <w:proofErr w:type="gramStart"/>
      <w:r w:rsidR="008E2B03">
        <w:t>countries’</w:t>
      </w:r>
      <w:proofErr w:type="gramEnd"/>
      <w:r w:rsidR="008E2B03">
        <w:t>.</w:t>
      </w:r>
      <w:r w:rsidR="0060359C">
        <w:rPr>
          <w:rStyle w:val="EndnoteReference"/>
        </w:rPr>
        <w:endnoteReference w:id="55"/>
      </w:r>
      <w:r w:rsidR="00896D8E">
        <w:t xml:space="preserve"> The power was rarely used until</w:t>
      </w:r>
      <w:r w:rsidR="003D6605">
        <w:t xml:space="preserve"> President Trump issued Executive Order 13768</w:t>
      </w:r>
      <w:r>
        <w:t>,</w:t>
      </w:r>
      <w:r w:rsidR="003D6605">
        <w:t xml:space="preserve"> ‘Enhancing Public Safety in the Interior of the United States</w:t>
      </w:r>
      <w:r w:rsidR="00E85FC5">
        <w:t>’, directing relevant officials to implement the sanctions.</w:t>
      </w:r>
      <w:r w:rsidR="00E85FC5">
        <w:rPr>
          <w:rStyle w:val="EndnoteReference"/>
        </w:rPr>
        <w:endnoteReference w:id="56"/>
      </w:r>
      <w:r w:rsidR="009211ED">
        <w:t xml:space="preserve"> Executive Order 13768 was revoked</w:t>
      </w:r>
      <w:r w:rsidR="009D1DF3">
        <w:t xml:space="preserve"> on 25 January 2021</w:t>
      </w:r>
      <w:r w:rsidR="00FF5D9B">
        <w:t xml:space="preserve"> by Executive Order 13993.</w:t>
      </w:r>
      <w:r w:rsidR="00501BEA">
        <w:rPr>
          <w:rStyle w:val="EndnoteReference"/>
        </w:rPr>
        <w:endnoteReference w:id="57"/>
      </w:r>
    </w:p>
    <w:p w14:paraId="3BBF228E" w14:textId="05CE2D21" w:rsidR="00577C97" w:rsidRDefault="00577C97" w:rsidP="000D724F">
      <w:pPr>
        <w:pStyle w:val="ListNumber"/>
      </w:pPr>
      <w:r>
        <w:t>Immigration</w:t>
      </w:r>
      <w:r w:rsidR="00FE3CBD">
        <w:t xml:space="preserve"> and Customs Enforcement (ICE) must </w:t>
      </w:r>
      <w:proofErr w:type="gramStart"/>
      <w:r w:rsidR="00FE3CBD">
        <w:t>tak</w:t>
      </w:r>
      <w:r w:rsidR="00CD0E03">
        <w:t>e</w:t>
      </w:r>
      <w:r w:rsidR="00FE3CBD">
        <w:t xml:space="preserve"> into account</w:t>
      </w:r>
      <w:proofErr w:type="gramEnd"/>
      <w:r w:rsidR="00FE3CBD">
        <w:t xml:space="preserve"> factors which might be inhibiting the country’s ability</w:t>
      </w:r>
      <w:r w:rsidR="00BA0CF4">
        <w:t xml:space="preserve"> to cooperate, such as natural disasters</w:t>
      </w:r>
      <w:r w:rsidR="00EE4140">
        <w:t xml:space="preserve"> or their own</w:t>
      </w:r>
      <w:r w:rsidR="00BA0CF4">
        <w:t xml:space="preserve"> limited capacity</w:t>
      </w:r>
      <w:r w:rsidR="00EE4140">
        <w:t>.</w:t>
      </w:r>
      <w:r w:rsidR="00EE4140">
        <w:rPr>
          <w:rStyle w:val="EndnoteReference"/>
        </w:rPr>
        <w:endnoteReference w:id="58"/>
      </w:r>
    </w:p>
    <w:p w14:paraId="1D4783D4" w14:textId="55E789A6" w:rsidR="0082200E" w:rsidRDefault="0082200E" w:rsidP="000D724F">
      <w:pPr>
        <w:pStyle w:val="ListNumber"/>
      </w:pPr>
      <w:r>
        <w:t>The US Congressional Research Service reported in 2020 that</w:t>
      </w:r>
      <w:r w:rsidR="006724E2">
        <w:t xml:space="preserve"> there can be negative impacts on foreign policy interests </w:t>
      </w:r>
      <w:proofErr w:type="gramStart"/>
      <w:r w:rsidR="006724E2">
        <w:t>as a result of</w:t>
      </w:r>
      <w:proofErr w:type="gramEnd"/>
      <w:r w:rsidR="006724E2">
        <w:t xml:space="preserve"> sanctioning a </w:t>
      </w:r>
      <w:r w:rsidR="006724E2">
        <w:lastRenderedPageBreak/>
        <w:t>country, and that these are used only when alternatives to sanctions have not succeeded</w:t>
      </w:r>
      <w:r>
        <w:t>:</w:t>
      </w:r>
    </w:p>
    <w:p w14:paraId="6C92C4A2" w14:textId="515BA1FB" w:rsidR="0082200E" w:rsidRDefault="001A69F2" w:rsidP="0082200E">
      <w:pPr>
        <w:pStyle w:val="Quote"/>
      </w:pPr>
      <w:r>
        <w:t>Some countries sharply restrict the foreign travel of their citizens and may be unmoved by visa sanctions</w:t>
      </w:r>
      <w:r w:rsidR="0027665C">
        <w:t>; others may retaliate in ways detrimental to bilateral trade, tourism, law enforcement, or other forms of cooperation. In cases</w:t>
      </w:r>
      <w:r w:rsidR="002F0779">
        <w:t xml:space="preserve"> in which identity documents are not readily available and the foreign country questions the nationality of individuals with removal orders, a </w:t>
      </w:r>
      <w:r w:rsidR="0035432B">
        <w:t>‘</w:t>
      </w:r>
      <w:r w:rsidR="002F0779">
        <w:t>recalcitrant</w:t>
      </w:r>
      <w:r w:rsidR="0035432B">
        <w:t>’</w:t>
      </w:r>
      <w:r w:rsidR="002F0779">
        <w:t xml:space="preserve"> classification or visa sanctions may impede friendly bilateral relations.</w:t>
      </w:r>
    </w:p>
    <w:p w14:paraId="3C59D71E" w14:textId="6D0CF6DD" w:rsidR="002F0779" w:rsidRPr="002F0779" w:rsidRDefault="002F0779" w:rsidP="002F0779">
      <w:pPr>
        <w:pStyle w:val="Quote"/>
      </w:pPr>
      <w:r>
        <w:t>DHS and DOS report success in achieving cooperation without resorting to visa sanctions, resulting in countries being removed from the recalcitrant or ARON [</w:t>
      </w:r>
      <w:r w:rsidR="006E418D">
        <w:t>At Risk of Non-compliance] lists.</w:t>
      </w:r>
      <w:r w:rsidR="007468DE">
        <w:t xml:space="preserve"> In July 2016, there were 23 recalcitrant and 62 ARON countries; as of May 2019, those numbers had dropped to 10 recalcitrant and 23 ARON countries, a reduction that DHS and DOS attribute to pressure and diplomacy.</w:t>
      </w:r>
      <w:r w:rsidR="007468DE">
        <w:rPr>
          <w:rStyle w:val="EndnoteReference"/>
        </w:rPr>
        <w:endnoteReference w:id="59"/>
      </w:r>
    </w:p>
    <w:p w14:paraId="41B1B899" w14:textId="5ADB9026" w:rsidR="00BD6C76" w:rsidRDefault="00BD6C76" w:rsidP="000D724F">
      <w:pPr>
        <w:pStyle w:val="ListNumber"/>
      </w:pPr>
      <w:r>
        <w:t xml:space="preserve">Similarly, the United Kingdom introduced the ability to </w:t>
      </w:r>
      <w:r w:rsidR="007B2268">
        <w:t>suspend</w:t>
      </w:r>
      <w:r w:rsidR="008913D6">
        <w:t>, delay, make invalid, or impose additional financial requirements</w:t>
      </w:r>
      <w:r w:rsidR="00645610">
        <w:t xml:space="preserve"> on, the visa applications for nationals of countries which do not cooperate with the United Kingdom</w:t>
      </w:r>
      <w:r w:rsidR="00176AEE">
        <w:t xml:space="preserve"> on removal of its citizens.</w:t>
      </w:r>
      <w:r w:rsidR="00176AEE">
        <w:rPr>
          <w:rStyle w:val="EndnoteReference"/>
        </w:rPr>
        <w:endnoteReference w:id="60"/>
      </w:r>
      <w:r w:rsidR="00516754">
        <w:t xml:space="preserve"> According to the Secretary of the Department of Home Affairs, the United Kingdom has not yet used the power to m</w:t>
      </w:r>
      <w:r w:rsidR="0034249C">
        <w:t>ake such specifications.</w:t>
      </w:r>
      <w:r w:rsidR="0034249C">
        <w:rPr>
          <w:rStyle w:val="EndnoteReference"/>
        </w:rPr>
        <w:endnoteReference w:id="61"/>
      </w:r>
    </w:p>
    <w:p w14:paraId="4C8152D8" w14:textId="7B3B0EBF" w:rsidR="00D81068" w:rsidRDefault="001107BB" w:rsidP="000D724F">
      <w:pPr>
        <w:pStyle w:val="ListNumber"/>
      </w:pPr>
      <w:r>
        <w:t>The UK legislation however</w:t>
      </w:r>
      <w:r w:rsidR="006943AB">
        <w:t xml:space="preserve"> requires the Secretary of State to review the necessity of any visa penalty provision in force in relation to a country</w:t>
      </w:r>
      <w:r w:rsidR="00945D26">
        <w:t xml:space="preserve"> every two months.</w:t>
      </w:r>
      <w:r w:rsidR="00945D26">
        <w:rPr>
          <w:rStyle w:val="EndnoteReference"/>
        </w:rPr>
        <w:endnoteReference w:id="62"/>
      </w:r>
    </w:p>
    <w:p w14:paraId="71A98230" w14:textId="07687028" w:rsidR="008A2B21" w:rsidRDefault="0002084F" w:rsidP="000D724F">
      <w:pPr>
        <w:pStyle w:val="ListNumber"/>
      </w:pPr>
      <w:r>
        <w:t xml:space="preserve">Like the US, the UK Secretary of State must </w:t>
      </w:r>
      <w:proofErr w:type="gramStart"/>
      <w:r>
        <w:t>tak</w:t>
      </w:r>
      <w:r w:rsidR="00435C16">
        <w:t>e</w:t>
      </w:r>
      <w:r>
        <w:t xml:space="preserve"> into account</w:t>
      </w:r>
      <w:proofErr w:type="gramEnd"/>
      <w:r>
        <w:t xml:space="preserve"> other factors, such as:</w:t>
      </w:r>
    </w:p>
    <w:p w14:paraId="01DBD3C2" w14:textId="77A05BB5" w:rsidR="0002084F" w:rsidRDefault="0002084F" w:rsidP="0002084F">
      <w:pPr>
        <w:pStyle w:val="ListBullet"/>
      </w:pPr>
      <w:r>
        <w:t xml:space="preserve">the length of time for which the government of the country has not been cooperating in relation to </w:t>
      </w:r>
      <w:proofErr w:type="gramStart"/>
      <w:r>
        <w:t>returns</w:t>
      </w:r>
      <w:proofErr w:type="gramEnd"/>
    </w:p>
    <w:p w14:paraId="236F5394" w14:textId="4003A243" w:rsidR="0002084F" w:rsidRDefault="00F91B24" w:rsidP="0002084F">
      <w:pPr>
        <w:pStyle w:val="ListBullet"/>
      </w:pPr>
      <w:r>
        <w:t>the extent of the lack of cooperation</w:t>
      </w:r>
    </w:p>
    <w:p w14:paraId="2557F76A" w14:textId="21C0B54E" w:rsidR="00F91B24" w:rsidRDefault="00F91B24" w:rsidP="0002084F">
      <w:pPr>
        <w:pStyle w:val="ListBullet"/>
      </w:pPr>
      <w:r>
        <w:t>the reasons for the lack of cooperation</w:t>
      </w:r>
    </w:p>
    <w:p w14:paraId="678B78FA" w14:textId="6B1A4FB9" w:rsidR="00F91B24" w:rsidRDefault="00F91B24" w:rsidP="0002084F">
      <w:pPr>
        <w:pStyle w:val="ListBullet"/>
      </w:pPr>
      <w:r>
        <w:t>such other matters as the Secretary of State considers appropriate.</w:t>
      </w:r>
      <w:r w:rsidR="00201F88">
        <w:rPr>
          <w:rStyle w:val="EndnoteReference"/>
        </w:rPr>
        <w:endnoteReference w:id="63"/>
      </w:r>
    </w:p>
    <w:p w14:paraId="46AFF6B8" w14:textId="7A614176" w:rsidR="00F91B24" w:rsidRDefault="00F91B24" w:rsidP="00F91B24">
      <w:pPr>
        <w:pStyle w:val="ListNumber"/>
      </w:pPr>
      <w:r>
        <w:t>Unlike the UK and the US, the Bill includes no mandatory factors for the Minister to consider, when they decide to exercise their discretion in the national interest.</w:t>
      </w:r>
    </w:p>
    <w:p w14:paraId="572F980B" w14:textId="4A5AAF50" w:rsidR="00D61C4D" w:rsidRDefault="00D61C4D" w:rsidP="00F91B24">
      <w:pPr>
        <w:pStyle w:val="ListNumber"/>
      </w:pPr>
      <w:r>
        <w:t>Given the broadness of that term</w:t>
      </w:r>
      <w:r w:rsidR="00B76F35">
        <w:t>, the Commission</w:t>
      </w:r>
      <w:r w:rsidR="00E02D1A">
        <w:t xml:space="preserve"> considers that the Bill should include a set of factors that the Minister must also consider prior to designating a removal concern country.</w:t>
      </w:r>
    </w:p>
    <w:p w14:paraId="114EC2C8" w14:textId="461613A8" w:rsidR="008D26B1" w:rsidRDefault="008D26B1" w:rsidP="00F91B24">
      <w:pPr>
        <w:pStyle w:val="ListNumber"/>
      </w:pPr>
      <w:r>
        <w:lastRenderedPageBreak/>
        <w:t xml:space="preserve">However, </w:t>
      </w:r>
      <w:r w:rsidR="005B587E">
        <w:t xml:space="preserve">the Commission repeats that its primary recommendation is </w:t>
      </w:r>
      <w:r w:rsidR="00C6179E">
        <w:t xml:space="preserve">not </w:t>
      </w:r>
      <w:r w:rsidR="005B587E">
        <w:t xml:space="preserve">to </w:t>
      </w:r>
      <w:r w:rsidR="00C6179E">
        <w:t>pass the Bill.</w:t>
      </w:r>
    </w:p>
    <w:p w14:paraId="1B5B6B6A" w14:textId="08964372" w:rsidR="00C6179E" w:rsidRDefault="00C6179E" w:rsidP="005F79DB">
      <w:pPr>
        <w:pStyle w:val="ListNumber"/>
        <w:keepNext/>
        <w:numPr>
          <w:ilvl w:val="0"/>
          <w:numId w:val="0"/>
        </w:numPr>
        <w:ind w:left="1094"/>
        <w:rPr>
          <w:b/>
          <w:bCs/>
        </w:rPr>
      </w:pPr>
      <w:r w:rsidRPr="00C6179E">
        <w:rPr>
          <w:b/>
          <w:bCs/>
        </w:rPr>
        <w:t>Recommendation 7</w:t>
      </w:r>
    </w:p>
    <w:p w14:paraId="0C055549" w14:textId="30B36268" w:rsidR="00C6179E" w:rsidRPr="00C6179E" w:rsidRDefault="00944718" w:rsidP="00C6179E">
      <w:pPr>
        <w:pStyle w:val="ListNumber"/>
        <w:numPr>
          <w:ilvl w:val="0"/>
          <w:numId w:val="0"/>
        </w:numPr>
        <w:ind w:left="1094"/>
      </w:pPr>
      <w:r>
        <w:t>The Commission recommends that section</w:t>
      </w:r>
      <w:r w:rsidR="00B122F1">
        <w:t>s</w:t>
      </w:r>
      <w:r>
        <w:t xml:space="preserve"> 199F</w:t>
      </w:r>
      <w:r w:rsidR="00B122F1">
        <w:t xml:space="preserve"> and 199G</w:t>
      </w:r>
      <w:r>
        <w:t xml:space="preserve"> be deleted from Schedule 1 of the Bill.</w:t>
      </w:r>
    </w:p>
    <w:p w14:paraId="6C40A94B" w14:textId="5BA09D23" w:rsidR="00A16753" w:rsidRPr="00D045FD" w:rsidRDefault="00E83DF2" w:rsidP="005F79DB">
      <w:pPr>
        <w:pStyle w:val="ListNumber"/>
        <w:keepNext/>
        <w:numPr>
          <w:ilvl w:val="0"/>
          <w:numId w:val="0"/>
        </w:numPr>
        <w:ind w:left="1094"/>
        <w:rPr>
          <w:b/>
          <w:bCs/>
        </w:rPr>
      </w:pPr>
      <w:r w:rsidRPr="00D045FD">
        <w:rPr>
          <w:b/>
          <w:bCs/>
        </w:rPr>
        <w:t xml:space="preserve">Recommendation </w:t>
      </w:r>
      <w:r w:rsidR="00B122F1">
        <w:rPr>
          <w:b/>
          <w:bCs/>
        </w:rPr>
        <w:t>8</w:t>
      </w:r>
    </w:p>
    <w:p w14:paraId="0ACD5906" w14:textId="101BED9D" w:rsidR="00E83DF2" w:rsidRDefault="00B122F1" w:rsidP="00E83DF2">
      <w:pPr>
        <w:pStyle w:val="ListNumber"/>
        <w:numPr>
          <w:ilvl w:val="0"/>
          <w:numId w:val="0"/>
        </w:numPr>
        <w:ind w:left="1094"/>
      </w:pPr>
      <w:r>
        <w:t xml:space="preserve">In the alternative to recommendation 7, </w:t>
      </w:r>
      <w:r w:rsidR="00702CB3">
        <w:t>t</w:t>
      </w:r>
      <w:r w:rsidR="00E83DF2">
        <w:t xml:space="preserve">he Commission recommends that the Bill be redrafted to include </w:t>
      </w:r>
      <w:r w:rsidR="000B6DEA">
        <w:t xml:space="preserve">within </w:t>
      </w:r>
      <w:r w:rsidR="00E83DF2">
        <w:t>section</w:t>
      </w:r>
      <w:r w:rsidR="000B6DEA">
        <w:t xml:space="preserve"> 199F of Schedule 1</w:t>
      </w:r>
      <w:r w:rsidR="00D045FD">
        <w:t>, a set of factors that must be considered prior to the Minister exercising their discretion to designate a removal concern country. The</w:t>
      </w:r>
      <w:r w:rsidR="00897C89">
        <w:t xml:space="preserve"> Bill should also include a mandatory review period of all designations to ensure their ongoing necessity.</w:t>
      </w:r>
    </w:p>
    <w:p w14:paraId="0DFD419D" w14:textId="0B300F88" w:rsidR="003E719D" w:rsidRDefault="003E719D" w:rsidP="003E719D">
      <w:pPr>
        <w:pStyle w:val="Heading1"/>
      </w:pPr>
      <w:bookmarkStart w:id="47" w:name="_Toc163501900"/>
      <w:r>
        <w:t xml:space="preserve">Expansion of </w:t>
      </w:r>
      <w:r w:rsidR="00BA3313">
        <w:t>section 197D</w:t>
      </w:r>
      <w:bookmarkEnd w:id="47"/>
    </w:p>
    <w:p w14:paraId="124C4F63" w14:textId="45C95FE1" w:rsidR="00F16F8F" w:rsidRDefault="00F16F8F" w:rsidP="00F16F8F">
      <w:pPr>
        <w:pStyle w:val="ListNumber"/>
      </w:pPr>
      <w:r>
        <w:t xml:space="preserve">The Senate Standing Committee on Scrutiny of Bills also expressed concerns about the expansion of section 197D of the Migration Act, which allows for the Minister to revisit </w:t>
      </w:r>
      <w:r w:rsidR="00D935A6">
        <w:t>and potentially overturn, previously made protection findings of non-citizens.</w:t>
      </w:r>
      <w:r w:rsidR="0037577E">
        <w:rPr>
          <w:rStyle w:val="EndnoteReference"/>
        </w:rPr>
        <w:endnoteReference w:id="64"/>
      </w:r>
      <w:r w:rsidR="003D27E2">
        <w:t xml:space="preserve"> Section 197D as presently drafted, allows this only to occur with respect to unlawful non-citizens.</w:t>
      </w:r>
    </w:p>
    <w:p w14:paraId="26C0098E" w14:textId="61A8F5ED" w:rsidR="001F3F0C" w:rsidRDefault="001F3F0C" w:rsidP="00F16F8F">
      <w:pPr>
        <w:pStyle w:val="ListNumber"/>
      </w:pPr>
      <w:r>
        <w:t>The Explanatory Memorandum to the Bill provides:</w:t>
      </w:r>
    </w:p>
    <w:p w14:paraId="3E6E88CA" w14:textId="2B57F501" w:rsidR="009D30FF" w:rsidRDefault="009D30FF" w:rsidP="009D30FF">
      <w:pPr>
        <w:pStyle w:val="Quote"/>
      </w:pPr>
      <w:r>
        <w:t xml:space="preserve">Section 197D has been amended by items 4-7 of this Schedule </w:t>
      </w:r>
      <w:proofErr w:type="gramStart"/>
      <w:r>
        <w:t>so as to</w:t>
      </w:r>
      <w:proofErr w:type="gramEnd"/>
      <w:r>
        <w:t xml:space="preserve"> enable the revisitation of a protection finding in relation to a broader range of non-citizens. As well as unlawful non-citizens to whom section 198 applies, amended section 197D now applies to removal pathway non-citizens, including holders of Subclass 070 (Bridging (Removal Pending)) visas and Subclass 050 (Bridging (General)) visas granted on ‘final departure’ grounds. Where the circumstances of the person or the country in relation to which a protection finding has been made have changed, it may be necessary to revisit the protection finding. If under subsection 197</w:t>
      </w:r>
      <w:proofErr w:type="gramStart"/>
      <w:r>
        <w:t>D(</w:t>
      </w:r>
      <w:proofErr w:type="gramEnd"/>
      <w:r>
        <w:t>2) a decision is made to set aside the protection finding, the removal of the non-citizen will, or would, no longer be prevented by subsection 197C(3).</w:t>
      </w:r>
      <w:r>
        <w:rPr>
          <w:rStyle w:val="EndnoteReference"/>
        </w:rPr>
        <w:endnoteReference w:id="65"/>
      </w:r>
    </w:p>
    <w:p w14:paraId="613096CE" w14:textId="31BD0367" w:rsidR="001F3F0C" w:rsidRDefault="001F3F0C" w:rsidP="001F3F0C">
      <w:pPr>
        <w:pStyle w:val="ListNumber"/>
      </w:pPr>
      <w:r>
        <w:t>The Commission</w:t>
      </w:r>
      <w:r w:rsidR="00494B99">
        <w:t xml:space="preserve">, in its </w:t>
      </w:r>
      <w:r w:rsidR="00D666C6">
        <w:t xml:space="preserve">June 2023 </w:t>
      </w:r>
      <w:r w:rsidR="00494B99">
        <w:t xml:space="preserve">submission to the </w:t>
      </w:r>
      <w:r w:rsidR="00D666C6">
        <w:t xml:space="preserve">Review of the </w:t>
      </w:r>
      <w:r w:rsidR="00D664F8">
        <w:rPr>
          <w:i/>
          <w:iCs/>
        </w:rPr>
        <w:t xml:space="preserve">Migration Amendment (Clarifying International Obligations for Removal) Act 2021 </w:t>
      </w:r>
      <w:r w:rsidR="00D664F8">
        <w:t xml:space="preserve">conducted by the </w:t>
      </w:r>
      <w:r w:rsidR="00494B99">
        <w:t xml:space="preserve">Parliamentary Joint Committee </w:t>
      </w:r>
      <w:r w:rsidR="001C788F">
        <w:t>on Intelligence and Security</w:t>
      </w:r>
      <w:r w:rsidR="00542C7C">
        <w:t>,</w:t>
      </w:r>
      <w:r w:rsidR="00E923F2">
        <w:t xml:space="preserve"> recommended that section 197D of the Migration Act be repealed.</w:t>
      </w:r>
      <w:r w:rsidR="002A2AB0">
        <w:t xml:space="preserve"> In the alternative, the Commission recommended that it be amended to insert objective criteria for the exercise of the power to make a finding that an </w:t>
      </w:r>
      <w:r w:rsidR="002A2AB0">
        <w:lastRenderedPageBreak/>
        <w:t>unlawful non-citizen</w:t>
      </w:r>
      <w:r w:rsidR="00067E72">
        <w:t xml:space="preserve"> is no longer a person in respect of whom any protection finding would be made, and to provide for procedural fairness to be given to a person whose protection finding is under review by the Minister.</w:t>
      </w:r>
      <w:r w:rsidR="00067E72">
        <w:rPr>
          <w:rStyle w:val="EndnoteReference"/>
        </w:rPr>
        <w:endnoteReference w:id="66"/>
      </w:r>
    </w:p>
    <w:p w14:paraId="45B1DBBB" w14:textId="06F4BDC4" w:rsidR="00FC0219" w:rsidRDefault="00FC0219" w:rsidP="001F3F0C">
      <w:pPr>
        <w:pStyle w:val="ListNumber"/>
      </w:pPr>
      <w:r>
        <w:t>For t</w:t>
      </w:r>
      <w:r w:rsidR="00396492">
        <w:t>he reasons outlined in the Commission’s previous submission, s</w:t>
      </w:r>
      <w:r w:rsidR="00CB11F4">
        <w:t>ection</w:t>
      </w:r>
      <w:r w:rsidR="00FA504B">
        <w:t> </w:t>
      </w:r>
      <w:r w:rsidR="00396492">
        <w:t xml:space="preserve">197D should not be expanded to include other classes of non-citizens as proposed in the Bill. However, </w:t>
      </w:r>
      <w:r w:rsidR="00FD5BCF">
        <w:t>in the alternative, the Commission would like to see the Committee</w:t>
      </w:r>
      <w:r w:rsidR="00251BFB">
        <w:t xml:space="preserve"> consider those same recommendations to be adopted in the Bill.</w:t>
      </w:r>
    </w:p>
    <w:p w14:paraId="651BD60E" w14:textId="7602E28B" w:rsidR="00682123" w:rsidRPr="00B41942" w:rsidRDefault="00682123" w:rsidP="00682123">
      <w:pPr>
        <w:pStyle w:val="ListNumber"/>
        <w:keepNext/>
        <w:numPr>
          <w:ilvl w:val="0"/>
          <w:numId w:val="0"/>
        </w:numPr>
        <w:ind w:left="1094"/>
        <w:rPr>
          <w:b/>
          <w:bCs/>
        </w:rPr>
      </w:pPr>
      <w:r w:rsidRPr="00B41942">
        <w:rPr>
          <w:b/>
          <w:bCs/>
        </w:rPr>
        <w:t xml:space="preserve">Recommendation </w:t>
      </w:r>
      <w:r w:rsidR="009E23A2">
        <w:rPr>
          <w:b/>
          <w:bCs/>
        </w:rPr>
        <w:t>9</w:t>
      </w:r>
    </w:p>
    <w:p w14:paraId="77EFCED1" w14:textId="61CA772C" w:rsidR="00682123" w:rsidRDefault="00682123" w:rsidP="00682123">
      <w:pPr>
        <w:pStyle w:val="ListNumber"/>
        <w:numPr>
          <w:ilvl w:val="0"/>
          <w:numId w:val="0"/>
        </w:numPr>
        <w:ind w:left="1094"/>
      </w:pPr>
      <w:r>
        <w:t xml:space="preserve">The Commission recommends that </w:t>
      </w:r>
      <w:r w:rsidR="007952FC">
        <w:t>claus</w:t>
      </w:r>
      <w:r w:rsidR="00A0278A">
        <w:t>es 4</w:t>
      </w:r>
      <w:r w:rsidR="00903CA3">
        <w:t>-9 of Schedule 2 of the Bill be deleted</w:t>
      </w:r>
      <w:r>
        <w:t>.</w:t>
      </w:r>
    </w:p>
    <w:p w14:paraId="45DE322B" w14:textId="0F8D8689" w:rsidR="00682123" w:rsidRDefault="00682123" w:rsidP="00682123">
      <w:pPr>
        <w:pStyle w:val="ListNumber"/>
        <w:keepNext/>
        <w:numPr>
          <w:ilvl w:val="0"/>
          <w:numId w:val="0"/>
        </w:numPr>
        <w:ind w:left="1094"/>
        <w:rPr>
          <w:b/>
          <w:bCs/>
        </w:rPr>
      </w:pPr>
      <w:r>
        <w:rPr>
          <w:b/>
          <w:bCs/>
        </w:rPr>
        <w:t xml:space="preserve">Recommendation </w:t>
      </w:r>
      <w:r w:rsidR="00081842">
        <w:rPr>
          <w:b/>
          <w:bCs/>
        </w:rPr>
        <w:t>1</w:t>
      </w:r>
      <w:r w:rsidR="005E2263">
        <w:rPr>
          <w:b/>
          <w:bCs/>
        </w:rPr>
        <w:t>0</w:t>
      </w:r>
    </w:p>
    <w:p w14:paraId="78377A67" w14:textId="233F50DA" w:rsidR="00682123" w:rsidRDefault="00682123" w:rsidP="005F79DB">
      <w:pPr>
        <w:pStyle w:val="ListNumber"/>
        <w:numPr>
          <w:ilvl w:val="0"/>
          <w:numId w:val="0"/>
        </w:numPr>
        <w:ind w:left="1094"/>
      </w:pPr>
      <w:r>
        <w:t xml:space="preserve">In the alternative to </w:t>
      </w:r>
      <w:r w:rsidR="00BD2B77">
        <w:t>r</w:t>
      </w:r>
      <w:r>
        <w:t xml:space="preserve">ecommendation </w:t>
      </w:r>
      <w:r w:rsidR="005E2263">
        <w:t>9</w:t>
      </w:r>
      <w:r>
        <w:t xml:space="preserve">, the Commission recommends that </w:t>
      </w:r>
      <w:r w:rsidR="00903CA3">
        <w:t>the</w:t>
      </w:r>
      <w:r w:rsidR="008E3C33">
        <w:t xml:space="preserve"> proposed amendments to </w:t>
      </w:r>
      <w:r>
        <w:t>s</w:t>
      </w:r>
      <w:r w:rsidR="00CB11F4">
        <w:t>ection</w:t>
      </w:r>
      <w:r>
        <w:t xml:space="preserve"> 197D be amended to insert objective criteria for the exercise of the power to make a finding that an unlawful non-citizen is no longer a person in respect of whom any protection finding would be made. Suggested wording of the amendment may include:</w:t>
      </w:r>
    </w:p>
    <w:p w14:paraId="035FB902" w14:textId="6716AA26" w:rsidR="00682123" w:rsidRPr="00B854EE" w:rsidRDefault="00682123" w:rsidP="00682123">
      <w:pPr>
        <w:pStyle w:val="ListParagraph"/>
        <w:numPr>
          <w:ilvl w:val="0"/>
          <w:numId w:val="32"/>
        </w:numPr>
        <w:spacing w:before="0" w:after="160" w:line="259" w:lineRule="auto"/>
        <w:contextualSpacing/>
        <w:rPr>
          <w:rFonts w:cs="Open Sans"/>
        </w:rPr>
      </w:pPr>
      <w:r w:rsidRPr="00B854EE">
        <w:rPr>
          <w:rFonts w:cs="Open Sans"/>
        </w:rPr>
        <w:t xml:space="preserve">For the purposes of subsection (2), the grounds on which the Minister may </w:t>
      </w:r>
      <w:proofErr w:type="gramStart"/>
      <w:r w:rsidRPr="00B854EE">
        <w:rPr>
          <w:rFonts w:cs="Open Sans"/>
        </w:rPr>
        <w:t>make a decision</w:t>
      </w:r>
      <w:proofErr w:type="gramEnd"/>
      <w:r w:rsidRPr="00B854EE">
        <w:rPr>
          <w:rFonts w:cs="Open Sans"/>
        </w:rPr>
        <w:t xml:space="preserve"> that </w:t>
      </w:r>
      <w:r w:rsidR="008E3C33">
        <w:rPr>
          <w:rFonts w:cs="Open Sans"/>
        </w:rPr>
        <w:t>the</w:t>
      </w:r>
      <w:r w:rsidRPr="00B854EE">
        <w:rPr>
          <w:rFonts w:cs="Open Sans"/>
        </w:rPr>
        <w:t xml:space="preserve"> non-citizen is no longer a person in respect of whom a protection finding would be made are:</w:t>
      </w:r>
    </w:p>
    <w:p w14:paraId="0A49314F" w14:textId="77777777" w:rsidR="00682123" w:rsidRPr="00B854EE" w:rsidRDefault="00682123" w:rsidP="00682123">
      <w:pPr>
        <w:pStyle w:val="ListParagraph"/>
        <w:numPr>
          <w:ilvl w:val="1"/>
          <w:numId w:val="32"/>
        </w:numPr>
        <w:spacing w:before="0" w:after="160" w:line="259" w:lineRule="auto"/>
        <w:contextualSpacing/>
        <w:rPr>
          <w:rFonts w:cs="Open Sans"/>
        </w:rPr>
      </w:pPr>
      <w:r w:rsidRPr="00B854EE">
        <w:rPr>
          <w:rFonts w:cs="Open Sans"/>
        </w:rPr>
        <w:t xml:space="preserve">in the case </w:t>
      </w:r>
      <w:r>
        <w:rPr>
          <w:rFonts w:cs="Open Sans"/>
        </w:rPr>
        <w:t xml:space="preserve">of </w:t>
      </w:r>
      <w:r w:rsidRPr="00B854EE">
        <w:rPr>
          <w:rFonts w:cs="Open Sans"/>
        </w:rPr>
        <w:t>a person about whom there has been a protection finding made under section 36(a):</w:t>
      </w:r>
    </w:p>
    <w:p w14:paraId="34F5644A" w14:textId="77777777" w:rsidR="00682123" w:rsidRPr="00B854EE" w:rsidRDefault="00682123" w:rsidP="00682123">
      <w:pPr>
        <w:pStyle w:val="ListParagraph"/>
        <w:numPr>
          <w:ilvl w:val="2"/>
          <w:numId w:val="32"/>
        </w:numPr>
        <w:spacing w:before="0" w:after="160" w:line="259" w:lineRule="auto"/>
        <w:contextualSpacing/>
        <w:rPr>
          <w:rFonts w:cs="Open Sans"/>
        </w:rPr>
      </w:pPr>
      <w:r w:rsidRPr="00B854EE">
        <w:rPr>
          <w:rFonts w:cs="Open Sans"/>
        </w:rPr>
        <w:t xml:space="preserve">the person can no longer continue to refuse </w:t>
      </w:r>
      <w:r>
        <w:rPr>
          <w:rFonts w:cs="Open Sans"/>
        </w:rPr>
        <w:t xml:space="preserve">to avail themselves </w:t>
      </w:r>
      <w:r w:rsidRPr="00B854EE">
        <w:rPr>
          <w:rFonts w:cs="Open Sans"/>
        </w:rPr>
        <w:t xml:space="preserve">of the protection of the country of </w:t>
      </w:r>
      <w:r>
        <w:rPr>
          <w:rFonts w:cs="Open Sans"/>
        </w:rPr>
        <w:t xml:space="preserve">their </w:t>
      </w:r>
      <w:r w:rsidRPr="00B854EE">
        <w:rPr>
          <w:rFonts w:cs="Open Sans"/>
        </w:rPr>
        <w:t>nationality; or</w:t>
      </w:r>
    </w:p>
    <w:p w14:paraId="45153463" w14:textId="77777777" w:rsidR="00682123" w:rsidRDefault="00682123" w:rsidP="00682123">
      <w:pPr>
        <w:pStyle w:val="ListParagraph"/>
        <w:numPr>
          <w:ilvl w:val="2"/>
          <w:numId w:val="32"/>
        </w:numPr>
        <w:spacing w:before="0" w:after="160" w:line="259" w:lineRule="auto"/>
        <w:contextualSpacing/>
        <w:rPr>
          <w:rFonts w:cs="Open Sans"/>
        </w:rPr>
      </w:pPr>
      <w:r w:rsidRPr="00B854EE">
        <w:rPr>
          <w:rFonts w:cs="Open Sans"/>
        </w:rPr>
        <w:t xml:space="preserve">being a person who has no nationality, </w:t>
      </w:r>
      <w:r>
        <w:rPr>
          <w:rFonts w:cs="Open Sans"/>
        </w:rPr>
        <w:t xml:space="preserve">the person </w:t>
      </w:r>
      <w:proofErr w:type="gramStart"/>
      <w:r>
        <w:rPr>
          <w:rFonts w:cs="Open Sans"/>
        </w:rPr>
        <w:t xml:space="preserve">is </w:t>
      </w:r>
      <w:r w:rsidRPr="00B854EE">
        <w:rPr>
          <w:rFonts w:cs="Open Sans"/>
        </w:rPr>
        <w:t>able to</w:t>
      </w:r>
      <w:proofErr w:type="gramEnd"/>
      <w:r w:rsidRPr="00B854EE">
        <w:rPr>
          <w:rFonts w:cs="Open Sans"/>
        </w:rPr>
        <w:t xml:space="preserve"> return to the country of </w:t>
      </w:r>
      <w:r>
        <w:rPr>
          <w:rFonts w:cs="Open Sans"/>
        </w:rPr>
        <w:t xml:space="preserve">their </w:t>
      </w:r>
      <w:r w:rsidRPr="00B854EE">
        <w:rPr>
          <w:rFonts w:cs="Open Sans"/>
        </w:rPr>
        <w:t>former habitual residence</w:t>
      </w:r>
      <w:r>
        <w:rPr>
          <w:rFonts w:cs="Open Sans"/>
        </w:rPr>
        <w:t>,</w:t>
      </w:r>
    </w:p>
    <w:p w14:paraId="59879B12" w14:textId="77777777" w:rsidR="00682123" w:rsidRPr="00B854EE" w:rsidRDefault="00682123" w:rsidP="00682123">
      <w:pPr>
        <w:pStyle w:val="ListParagraph"/>
        <w:spacing w:before="0" w:after="160" w:line="259" w:lineRule="auto"/>
        <w:ind w:left="1800"/>
        <w:contextualSpacing/>
        <w:rPr>
          <w:rFonts w:cs="Open Sans"/>
        </w:rPr>
      </w:pPr>
      <w:r w:rsidRPr="00B854EE">
        <w:rPr>
          <w:rFonts w:cs="Open Sans"/>
        </w:rPr>
        <w:t xml:space="preserve">because the circumstances in connection with which </w:t>
      </w:r>
      <w:r>
        <w:rPr>
          <w:rFonts w:cs="Open Sans"/>
        </w:rPr>
        <w:t xml:space="preserve">they have </w:t>
      </w:r>
      <w:r w:rsidRPr="00B854EE">
        <w:rPr>
          <w:rFonts w:cs="Open Sans"/>
        </w:rPr>
        <w:t>been recognised as a refugee have ceased to exist.</w:t>
      </w:r>
    </w:p>
    <w:p w14:paraId="4254EAF7" w14:textId="77777777" w:rsidR="00682123" w:rsidRPr="00B854EE" w:rsidRDefault="00682123" w:rsidP="00682123">
      <w:pPr>
        <w:pStyle w:val="ListParagraph"/>
        <w:numPr>
          <w:ilvl w:val="1"/>
          <w:numId w:val="32"/>
        </w:numPr>
        <w:spacing w:before="0" w:after="160" w:line="259" w:lineRule="auto"/>
        <w:contextualSpacing/>
        <w:rPr>
          <w:rFonts w:cs="Open Sans"/>
        </w:rPr>
      </w:pPr>
      <w:r>
        <w:rPr>
          <w:rFonts w:cs="Open Sans"/>
        </w:rPr>
        <w:t>i</w:t>
      </w:r>
      <w:r w:rsidRPr="00B854EE">
        <w:rPr>
          <w:rFonts w:cs="Open Sans"/>
        </w:rPr>
        <w:t>n the case of a person about whom there has been a protection finding made under section 36(aa), the grounds for believing that the person would suffer significant harm no longer exist.</w:t>
      </w:r>
    </w:p>
    <w:p w14:paraId="4EC6CF02" w14:textId="77777777" w:rsidR="00682123" w:rsidRPr="00B854EE" w:rsidRDefault="00682123" w:rsidP="00682123">
      <w:pPr>
        <w:pStyle w:val="ListParagraph"/>
        <w:numPr>
          <w:ilvl w:val="0"/>
          <w:numId w:val="32"/>
        </w:numPr>
        <w:spacing w:before="0" w:after="160" w:line="259" w:lineRule="auto"/>
        <w:contextualSpacing/>
        <w:rPr>
          <w:rFonts w:cs="Open Sans"/>
        </w:rPr>
      </w:pPr>
      <w:r w:rsidRPr="00B854EE">
        <w:rPr>
          <w:rFonts w:cs="Open Sans"/>
        </w:rPr>
        <w:t>It shall be an exception to subsection (</w:t>
      </w:r>
      <w:r>
        <w:rPr>
          <w:rFonts w:cs="Open Sans"/>
        </w:rPr>
        <w:t>3</w:t>
      </w:r>
      <w:r w:rsidRPr="00B854EE">
        <w:rPr>
          <w:rFonts w:cs="Open Sans"/>
        </w:rPr>
        <w:t xml:space="preserve">) if the person is able to invoke compelling reasons for refusing to avail </w:t>
      </w:r>
      <w:r>
        <w:rPr>
          <w:rFonts w:cs="Open Sans"/>
        </w:rPr>
        <w:t>themselves</w:t>
      </w:r>
      <w:r w:rsidRPr="00B854EE">
        <w:rPr>
          <w:rFonts w:cs="Open Sans"/>
        </w:rPr>
        <w:t xml:space="preserve"> of the protection of the country of </w:t>
      </w:r>
      <w:r>
        <w:rPr>
          <w:rFonts w:cs="Open Sans"/>
        </w:rPr>
        <w:t xml:space="preserve">their </w:t>
      </w:r>
      <w:r w:rsidRPr="00B854EE">
        <w:rPr>
          <w:rFonts w:cs="Open Sans"/>
        </w:rPr>
        <w:t xml:space="preserve">nationality, or the country of </w:t>
      </w:r>
      <w:r>
        <w:rPr>
          <w:rFonts w:cs="Open Sans"/>
        </w:rPr>
        <w:t xml:space="preserve">their </w:t>
      </w:r>
      <w:r w:rsidRPr="00B854EE">
        <w:rPr>
          <w:rFonts w:cs="Open Sans"/>
        </w:rPr>
        <w:t>former habitual residence.</w:t>
      </w:r>
    </w:p>
    <w:p w14:paraId="3C00724B" w14:textId="77777777" w:rsidR="00682123" w:rsidRPr="00B854EE" w:rsidRDefault="00682123" w:rsidP="00682123">
      <w:pPr>
        <w:pStyle w:val="ListParagraph"/>
        <w:numPr>
          <w:ilvl w:val="0"/>
          <w:numId w:val="32"/>
        </w:numPr>
        <w:spacing w:before="0" w:after="160" w:line="259" w:lineRule="auto"/>
        <w:contextualSpacing/>
        <w:rPr>
          <w:rFonts w:cs="Open Sans"/>
        </w:rPr>
      </w:pPr>
      <w:r w:rsidRPr="00B854EE">
        <w:rPr>
          <w:rFonts w:cs="Open Sans"/>
        </w:rPr>
        <w:t>Without limiting subsection (</w:t>
      </w:r>
      <w:r>
        <w:rPr>
          <w:rFonts w:cs="Open Sans"/>
        </w:rPr>
        <w:t>4</w:t>
      </w:r>
      <w:r w:rsidRPr="00B854EE">
        <w:rPr>
          <w:rFonts w:cs="Open Sans"/>
        </w:rPr>
        <w:t>), compelling reasons may include:</w:t>
      </w:r>
    </w:p>
    <w:p w14:paraId="782D76AB" w14:textId="77777777" w:rsidR="00682123" w:rsidRPr="00B854EE" w:rsidRDefault="00682123" w:rsidP="00682123">
      <w:pPr>
        <w:pStyle w:val="ListParagraph"/>
        <w:numPr>
          <w:ilvl w:val="1"/>
          <w:numId w:val="32"/>
        </w:numPr>
        <w:spacing w:before="0" w:after="160" w:line="259" w:lineRule="auto"/>
        <w:contextualSpacing/>
        <w:rPr>
          <w:rFonts w:cs="Open Sans"/>
        </w:rPr>
      </w:pPr>
      <w:r w:rsidRPr="00B854EE">
        <w:rPr>
          <w:rFonts w:cs="Open Sans"/>
        </w:rPr>
        <w:lastRenderedPageBreak/>
        <w:t xml:space="preserve">those arising out of previous persecution or significant </w:t>
      </w:r>
      <w:proofErr w:type="gramStart"/>
      <w:r w:rsidRPr="00B854EE">
        <w:rPr>
          <w:rFonts w:cs="Open Sans"/>
        </w:rPr>
        <w:t>harm;</w:t>
      </w:r>
      <w:proofErr w:type="gramEnd"/>
    </w:p>
    <w:p w14:paraId="032E6CA5" w14:textId="77777777" w:rsidR="00682123" w:rsidRPr="00B854EE" w:rsidRDefault="00682123" w:rsidP="00682123">
      <w:pPr>
        <w:pStyle w:val="ListParagraph"/>
        <w:numPr>
          <w:ilvl w:val="1"/>
          <w:numId w:val="32"/>
        </w:numPr>
        <w:spacing w:before="0" w:after="160" w:line="259" w:lineRule="auto"/>
        <w:contextualSpacing/>
        <w:rPr>
          <w:rFonts w:cs="Open Sans"/>
        </w:rPr>
      </w:pPr>
      <w:r w:rsidRPr="00B854EE">
        <w:rPr>
          <w:rFonts w:cs="Open Sans"/>
        </w:rPr>
        <w:t xml:space="preserve">the person is a </w:t>
      </w:r>
      <w:proofErr w:type="gramStart"/>
      <w:r w:rsidRPr="00B854EE">
        <w:rPr>
          <w:rFonts w:cs="Open Sans"/>
        </w:rPr>
        <w:t>child;</w:t>
      </w:r>
      <w:proofErr w:type="gramEnd"/>
    </w:p>
    <w:p w14:paraId="270AA66C" w14:textId="77777777" w:rsidR="00682123" w:rsidRPr="00B854EE" w:rsidRDefault="00682123" w:rsidP="00682123">
      <w:pPr>
        <w:pStyle w:val="ListParagraph"/>
        <w:numPr>
          <w:ilvl w:val="1"/>
          <w:numId w:val="32"/>
        </w:numPr>
        <w:spacing w:before="0" w:after="160" w:line="259" w:lineRule="auto"/>
        <w:contextualSpacing/>
        <w:rPr>
          <w:rFonts w:cs="Open Sans"/>
        </w:rPr>
      </w:pPr>
      <w:r w:rsidRPr="00B854EE">
        <w:rPr>
          <w:rFonts w:cs="Open Sans"/>
        </w:rPr>
        <w:t>the person has strong family, social and/or economic ties to Australia</w:t>
      </w:r>
      <w:r>
        <w:rPr>
          <w:rFonts w:cs="Open Sans"/>
        </w:rPr>
        <w:t>.</w:t>
      </w:r>
    </w:p>
    <w:p w14:paraId="5E9F44B7" w14:textId="5F57457B" w:rsidR="00682123" w:rsidRPr="00B41942" w:rsidRDefault="00682123" w:rsidP="00682123">
      <w:pPr>
        <w:pStyle w:val="ListNumber"/>
        <w:keepNext/>
        <w:numPr>
          <w:ilvl w:val="0"/>
          <w:numId w:val="0"/>
        </w:numPr>
        <w:ind w:left="1094"/>
        <w:rPr>
          <w:b/>
          <w:bCs/>
        </w:rPr>
      </w:pPr>
      <w:r w:rsidRPr="00B41942">
        <w:rPr>
          <w:b/>
          <w:bCs/>
        </w:rPr>
        <w:t xml:space="preserve">Recommendation </w:t>
      </w:r>
      <w:r w:rsidR="00081842">
        <w:rPr>
          <w:b/>
          <w:bCs/>
        </w:rPr>
        <w:t>1</w:t>
      </w:r>
      <w:r w:rsidR="005E2263">
        <w:rPr>
          <w:b/>
          <w:bCs/>
        </w:rPr>
        <w:t>1</w:t>
      </w:r>
    </w:p>
    <w:p w14:paraId="423D7C07" w14:textId="216F292A" w:rsidR="00682123" w:rsidRDefault="00682123" w:rsidP="002642FC">
      <w:pPr>
        <w:pStyle w:val="ListNumber"/>
        <w:numPr>
          <w:ilvl w:val="0"/>
          <w:numId w:val="0"/>
        </w:numPr>
        <w:ind w:left="1094"/>
      </w:pPr>
      <w:r>
        <w:t xml:space="preserve">In the alternative to </w:t>
      </w:r>
      <w:r w:rsidR="00BD2B77">
        <w:t>r</w:t>
      </w:r>
      <w:r>
        <w:t xml:space="preserve">ecommendation </w:t>
      </w:r>
      <w:r w:rsidR="005E2263">
        <w:t>9</w:t>
      </w:r>
      <w:r>
        <w:t xml:space="preserve">, the Commission recommends that </w:t>
      </w:r>
      <w:r w:rsidR="0035258F">
        <w:t xml:space="preserve">the proposed amendments to </w:t>
      </w:r>
      <w:r>
        <w:t>s</w:t>
      </w:r>
      <w:r w:rsidR="00C905AC">
        <w:t>ection</w:t>
      </w:r>
      <w:r>
        <w:t xml:space="preserve"> 197D be amended to provide for procedural fairness to be given to a person whose protection finding is under review by the Minister.</w:t>
      </w:r>
    </w:p>
    <w:p w14:paraId="5A6D275B" w14:textId="119535B4" w:rsidR="00CF49A3" w:rsidRDefault="00CF49A3" w:rsidP="00CF49A3">
      <w:pPr>
        <w:pStyle w:val="ListNumber"/>
      </w:pPr>
      <w:r>
        <w:t xml:space="preserve">As outlined above at paragraph </w:t>
      </w:r>
      <w:r>
        <w:fldChar w:fldCharType="begin"/>
      </w:r>
      <w:r>
        <w:instrText xml:space="preserve"> REF _Ref163485404 \r \h </w:instrText>
      </w:r>
      <w:r>
        <w:fldChar w:fldCharType="separate"/>
      </w:r>
      <w:r w:rsidR="002A1F14">
        <w:t>63</w:t>
      </w:r>
      <w:r>
        <w:fldChar w:fldCharType="end"/>
      </w:r>
      <w:r>
        <w:t xml:space="preserve">, </w:t>
      </w:r>
      <w:r w:rsidR="0001790A">
        <w:t>Australia should</w:t>
      </w:r>
      <w:r w:rsidR="00183B38">
        <w:t xml:space="preserve"> adopt and</w:t>
      </w:r>
      <w:r w:rsidR="0001790A">
        <w:t xml:space="preserve"> comply with the General Assembly’s Global </w:t>
      </w:r>
      <w:proofErr w:type="gramStart"/>
      <w:r w:rsidR="0001790A">
        <w:t>Compact, and</w:t>
      </w:r>
      <w:proofErr w:type="gramEnd"/>
      <w:r w:rsidR="0001790A">
        <w:t xml:space="preserve"> focus its attention on enhancing diplomatic efforts to facilitate the dignified removal of unlawful non-citizens, and non-citizens on a </w:t>
      </w:r>
      <w:r w:rsidR="003D4248">
        <w:t>removal pathway.</w:t>
      </w:r>
    </w:p>
    <w:p w14:paraId="354D118E" w14:textId="57F6E855" w:rsidR="00875F0E" w:rsidRDefault="00875F0E" w:rsidP="00875F0E">
      <w:pPr>
        <w:pStyle w:val="Heading1"/>
      </w:pPr>
      <w:bookmarkStart w:id="48" w:name="_Toc163501901"/>
      <w:r>
        <w:t>Conclusion</w:t>
      </w:r>
      <w:bookmarkEnd w:id="48"/>
    </w:p>
    <w:p w14:paraId="6FFD9296" w14:textId="6DC6102F" w:rsidR="00442A12" w:rsidRDefault="00442A12" w:rsidP="00CF49A3">
      <w:pPr>
        <w:pStyle w:val="ListNumber"/>
      </w:pPr>
      <w:r>
        <w:t xml:space="preserve">It is consistent with Australia’s international obligations to seek to remove </w:t>
      </w:r>
      <w:r w:rsidR="00215CC9">
        <w:t xml:space="preserve">non-citizens </w:t>
      </w:r>
      <w:r>
        <w:t xml:space="preserve">who have been found not to </w:t>
      </w:r>
      <w:proofErr w:type="gramStart"/>
      <w:r>
        <w:t>be in need of</w:t>
      </w:r>
      <w:proofErr w:type="gramEnd"/>
      <w:r>
        <w:t xml:space="preserve"> protection.</w:t>
      </w:r>
      <w:r w:rsidR="001C3922">
        <w:t xml:space="preserve"> However, returns must be conducted in a way that respects </w:t>
      </w:r>
      <w:proofErr w:type="gramStart"/>
      <w:r w:rsidR="001C3922">
        <w:t>each individual’s</w:t>
      </w:r>
      <w:proofErr w:type="gramEnd"/>
      <w:r w:rsidR="001C3922">
        <w:t xml:space="preserve"> human rights, and the rights of their families</w:t>
      </w:r>
      <w:r w:rsidR="00875F0E">
        <w:t>, particularly where children are involved.</w:t>
      </w:r>
    </w:p>
    <w:p w14:paraId="077BE945" w14:textId="17A9339E" w:rsidR="00D4135F" w:rsidRDefault="00C27D5E" w:rsidP="00CF49A3">
      <w:pPr>
        <w:pStyle w:val="ListNumber"/>
      </w:pPr>
      <w:r>
        <w:t>Issues involving delay and incomplete assessments of protection claims have resulted in many people in Australia who should not be removed without proper</w:t>
      </w:r>
      <w:r w:rsidR="00392E1A">
        <w:t xml:space="preserve"> oversight. </w:t>
      </w:r>
    </w:p>
    <w:p w14:paraId="4712C2D0" w14:textId="6A08DC25" w:rsidR="002E32EC" w:rsidRDefault="002E32EC" w:rsidP="0005842A">
      <w:pPr>
        <w:pStyle w:val="ListNumber"/>
        <w:numPr>
          <w:ilvl w:val="0"/>
          <w:numId w:val="0"/>
        </w:numPr>
      </w:pPr>
      <w:r>
        <w:t xml:space="preserve">Once </w:t>
      </w:r>
      <w:r w:rsidR="00EF6E83">
        <w:t>people seeking asylum have been lawfully assessed</w:t>
      </w:r>
      <w:r w:rsidR="00D13968">
        <w:t xml:space="preserve"> as in</w:t>
      </w:r>
      <w:r w:rsidR="00F04A42">
        <w:t>dividuals towards whom Australia</w:t>
      </w:r>
      <w:r w:rsidR="005164CD">
        <w:t xml:space="preserve"> does not owe protection obligations</w:t>
      </w:r>
      <w:r w:rsidR="00EF6E83">
        <w:t xml:space="preserve">, </w:t>
      </w:r>
      <w:r w:rsidR="000A4264">
        <w:t xml:space="preserve">with that assessment having occurred </w:t>
      </w:r>
      <w:r w:rsidR="00EF6E83">
        <w:t>in a fair and expeditious manner</w:t>
      </w:r>
      <w:r>
        <w:t xml:space="preserve">, then it is appropriate that the Government </w:t>
      </w:r>
      <w:r w:rsidR="00452C3B">
        <w:t xml:space="preserve">work with countries to facilitate the removal of </w:t>
      </w:r>
      <w:r w:rsidR="00703CE9">
        <w:t>individuals.</w:t>
      </w:r>
      <w:r w:rsidR="008E70A2">
        <w:t xml:space="preserve"> The Commission consider</w:t>
      </w:r>
      <w:r w:rsidR="00F52F69">
        <w:t>s that</w:t>
      </w:r>
      <w:r w:rsidR="008E70A2">
        <w:t xml:space="preserve"> the</w:t>
      </w:r>
      <w:r w:rsidR="00CA53AF">
        <w:t xml:space="preserve"> methods proposed by the</w:t>
      </w:r>
      <w:r w:rsidR="008E70A2">
        <w:t xml:space="preserve"> Bill </w:t>
      </w:r>
      <w:r w:rsidR="00FA691F">
        <w:t xml:space="preserve">do not </w:t>
      </w:r>
      <w:r w:rsidR="00CA53AF">
        <w:t xml:space="preserve">achieve this in a way consistent with human </w:t>
      </w:r>
      <w:proofErr w:type="gramStart"/>
      <w:r w:rsidR="00CA53AF">
        <w:t>rights,</w:t>
      </w:r>
      <w:r w:rsidR="00D42E49">
        <w:t xml:space="preserve"> and</w:t>
      </w:r>
      <w:proofErr w:type="gramEnd"/>
      <w:r w:rsidR="00D42E49">
        <w:t xml:space="preserve"> recommends that it not be passed.</w:t>
      </w:r>
    </w:p>
    <w:p w14:paraId="74E5A4C9" w14:textId="0AEEB3EC" w:rsidR="002F59AD" w:rsidRDefault="002F59AD">
      <w:pPr>
        <w:spacing w:before="0" w:after="0"/>
      </w:pPr>
      <w:r>
        <w:br w:type="page"/>
      </w:r>
    </w:p>
    <w:p w14:paraId="02792567" w14:textId="77777777" w:rsidR="001D27B1" w:rsidRPr="003423F4" w:rsidRDefault="001D27B1" w:rsidP="002F59AD">
      <w:pPr>
        <w:pStyle w:val="ListNumber"/>
        <w:numPr>
          <w:ilvl w:val="0"/>
          <w:numId w:val="0"/>
        </w:numPr>
        <w:ind w:left="1094"/>
      </w:pPr>
    </w:p>
    <w:sectPr w:rsidR="001D27B1" w:rsidRPr="003423F4" w:rsidSect="000F23CF">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0A47E" w14:textId="77777777" w:rsidR="000F23CF" w:rsidRDefault="000F23CF" w:rsidP="00F14C6D">
      <w:r>
        <w:separator/>
      </w:r>
    </w:p>
  </w:endnote>
  <w:endnote w:type="continuationSeparator" w:id="0">
    <w:p w14:paraId="72A01A30" w14:textId="77777777" w:rsidR="000F23CF" w:rsidRDefault="000F23CF" w:rsidP="00F14C6D">
      <w:r>
        <w:continuationSeparator/>
      </w:r>
    </w:p>
  </w:endnote>
  <w:endnote w:type="continuationNotice" w:id="1">
    <w:p w14:paraId="09C45B09" w14:textId="77777777" w:rsidR="000F23CF" w:rsidRDefault="000F23CF">
      <w:pPr>
        <w:spacing w:before="0" w:after="0"/>
      </w:pPr>
    </w:p>
  </w:endnote>
  <w:endnote w:id="2">
    <w:p w14:paraId="457BEB87" w14:textId="542AD287" w:rsidR="008C429A" w:rsidRPr="00E96445" w:rsidRDefault="008C429A">
      <w:pPr>
        <w:pStyle w:val="EndnoteText"/>
      </w:pPr>
      <w:r>
        <w:rPr>
          <w:rStyle w:val="EndnoteReference"/>
        </w:rPr>
        <w:endnoteRef/>
      </w:r>
      <w:r>
        <w:t xml:space="preserve"> </w:t>
      </w:r>
      <w:r w:rsidR="008F0D25">
        <w:rPr>
          <w:i/>
          <w:iCs/>
        </w:rPr>
        <w:t>AZC20</w:t>
      </w:r>
      <w:r w:rsidR="00E96445">
        <w:rPr>
          <w:i/>
          <w:iCs/>
        </w:rPr>
        <w:t xml:space="preserve"> v Secretary, Department of Home Affairs (No 2) </w:t>
      </w:r>
      <w:r w:rsidR="00E96445">
        <w:t>[2023] FCA 1497 at [64] (Kennett J).</w:t>
      </w:r>
    </w:p>
  </w:endnote>
  <w:endnote w:id="3">
    <w:p w14:paraId="6A49B8E6" w14:textId="4DF7EAC3" w:rsidR="001F52AA" w:rsidRDefault="001F52AA">
      <w:pPr>
        <w:pStyle w:val="EndnoteText"/>
      </w:pPr>
      <w:r>
        <w:rPr>
          <w:rStyle w:val="EndnoteReference"/>
        </w:rPr>
        <w:endnoteRef/>
      </w:r>
      <w:r>
        <w:t xml:space="preserve"> United Nations General Assembly, </w:t>
      </w:r>
      <w:r>
        <w:rPr>
          <w:i/>
          <w:iCs/>
        </w:rPr>
        <w:t>Global Compact for Safe, Orderly and Regular Migration</w:t>
      </w:r>
      <w:r>
        <w:t>, UN Doc A/Res/73/195 (2019).</w:t>
      </w:r>
    </w:p>
  </w:endnote>
  <w:endnote w:id="4">
    <w:p w14:paraId="74025533" w14:textId="7F776F61" w:rsidR="00360975" w:rsidRPr="002258B1" w:rsidRDefault="00360975">
      <w:pPr>
        <w:pStyle w:val="EndnoteText"/>
        <w:rPr>
          <w:i/>
          <w:iCs/>
        </w:rPr>
      </w:pPr>
      <w:r>
        <w:rPr>
          <w:rStyle w:val="EndnoteReference"/>
        </w:rPr>
        <w:endnoteRef/>
      </w:r>
      <w:r>
        <w:t xml:space="preserve"> </w:t>
      </w:r>
      <w:r w:rsidR="002258B1">
        <w:t xml:space="preserve">Explanatory Memorandum, </w:t>
      </w:r>
      <w:r w:rsidR="002258B1" w:rsidRPr="00E26EEB">
        <w:t>Migration Amendment (Removals and Other Measures</w:t>
      </w:r>
      <w:r w:rsidR="00E26EEB" w:rsidRPr="00E26EEB">
        <w:t>)</w:t>
      </w:r>
      <w:r w:rsidR="00E26EEB">
        <w:t xml:space="preserve"> Bill 2024 (</w:t>
      </w:r>
      <w:r w:rsidR="00E26EEB">
        <w:t>Cth).</w:t>
      </w:r>
    </w:p>
  </w:endnote>
  <w:endnote w:id="5">
    <w:p w14:paraId="119C6D69" w14:textId="403AEA4C" w:rsidR="00C65132" w:rsidRDefault="00C65132" w:rsidP="00C65132">
      <w:pPr>
        <w:pStyle w:val="EndnoteText"/>
      </w:pPr>
      <w:r>
        <w:rPr>
          <w:rStyle w:val="EndnoteReference"/>
        </w:rPr>
        <w:endnoteRef/>
      </w:r>
      <w:r>
        <w:t xml:space="preserve"> </w:t>
      </w:r>
      <w:r>
        <w:rPr>
          <w:i/>
          <w:iCs/>
        </w:rPr>
        <w:t xml:space="preserve">AZC20 v Secretary, Department of Home Affairs (No 2) </w:t>
      </w:r>
      <w:r>
        <w:t>[2023] FCA 1497</w:t>
      </w:r>
      <w:r w:rsidR="002D09B0">
        <w:t xml:space="preserve"> at</w:t>
      </w:r>
      <w:r>
        <w:t xml:space="preserve"> [53], [102].</w:t>
      </w:r>
    </w:p>
  </w:endnote>
  <w:endnote w:id="6">
    <w:p w14:paraId="1E8F8952" w14:textId="046A6DF9" w:rsidR="004B2C59" w:rsidRDefault="004B2C59">
      <w:pPr>
        <w:pStyle w:val="EndnoteText"/>
      </w:pPr>
      <w:r>
        <w:rPr>
          <w:rStyle w:val="EndnoteReference"/>
        </w:rPr>
        <w:endnoteRef/>
      </w:r>
      <w:r>
        <w:t xml:space="preserve"> </w:t>
      </w:r>
      <w:r>
        <w:rPr>
          <w:i/>
          <w:iCs/>
        </w:rPr>
        <w:t xml:space="preserve">AZC20 v Secretary, Department of Home Affairs (No 2) </w:t>
      </w:r>
      <w:r>
        <w:t>[2023] FCA 1497</w:t>
      </w:r>
      <w:r w:rsidR="002D09B0">
        <w:t xml:space="preserve"> at</w:t>
      </w:r>
      <w:r>
        <w:t xml:space="preserve"> [64].</w:t>
      </w:r>
    </w:p>
  </w:endnote>
  <w:endnote w:id="7">
    <w:p w14:paraId="2A5FCD62" w14:textId="3858C712" w:rsidR="00764243" w:rsidRDefault="00764243">
      <w:pPr>
        <w:pStyle w:val="EndnoteText"/>
      </w:pPr>
      <w:r>
        <w:rPr>
          <w:rStyle w:val="EndnoteReference"/>
        </w:rPr>
        <w:endnoteRef/>
      </w:r>
      <w:r>
        <w:t xml:space="preserve"> </w:t>
      </w:r>
      <w:r>
        <w:rPr>
          <w:i/>
          <w:iCs/>
        </w:rPr>
        <w:t xml:space="preserve">AZC20 v Secretary, Department of Home Affairs (No 2) </w:t>
      </w:r>
      <w:r>
        <w:t>[2023] FCA 1497</w:t>
      </w:r>
      <w:r w:rsidR="002D09B0">
        <w:t xml:space="preserve"> at</w:t>
      </w:r>
      <w:r>
        <w:t xml:space="preserve"> [65].</w:t>
      </w:r>
    </w:p>
  </w:endnote>
  <w:endnote w:id="8">
    <w:p w14:paraId="05A7BD89" w14:textId="661F7911" w:rsidR="009D663C" w:rsidRPr="00A54F1C" w:rsidRDefault="009D663C">
      <w:pPr>
        <w:pStyle w:val="EndnoteText"/>
      </w:pPr>
      <w:r w:rsidRPr="00957396">
        <w:rPr>
          <w:rStyle w:val="EndnoteReference"/>
        </w:rPr>
        <w:endnoteRef/>
      </w:r>
      <w:r w:rsidRPr="00957396">
        <w:t xml:space="preserve"> Commonwealth, </w:t>
      </w:r>
      <w:r w:rsidR="00551C0D" w:rsidRPr="00957396">
        <w:rPr>
          <w:i/>
          <w:iCs/>
        </w:rPr>
        <w:t>Proof Committee Hansard</w:t>
      </w:r>
      <w:r w:rsidR="00A54F1C" w:rsidRPr="00957396">
        <w:t>, Senate</w:t>
      </w:r>
      <w:r w:rsidR="00551C0D" w:rsidRPr="00957396">
        <w:t xml:space="preserve"> Legal and Constitutional Affairs Legislation Committe</w:t>
      </w:r>
      <w:r w:rsidR="00EC3CC7" w:rsidRPr="00957396">
        <w:t>e</w:t>
      </w:r>
      <w:r w:rsidR="001D5BBB" w:rsidRPr="00957396">
        <w:t xml:space="preserve">, 26 March 2024, </w:t>
      </w:r>
      <w:r w:rsidR="00BA07F3" w:rsidRPr="00957396">
        <w:t>9 (</w:t>
      </w:r>
      <w:r w:rsidR="006F2122" w:rsidRPr="00957396">
        <w:t>Clare Sharp, Department of Home Affairs)</w:t>
      </w:r>
      <w:r w:rsidR="000E604C" w:rsidRPr="00957396">
        <w:t>.</w:t>
      </w:r>
    </w:p>
  </w:endnote>
  <w:endnote w:id="9">
    <w:p w14:paraId="76F95F16" w14:textId="67BE871A" w:rsidR="009F568E" w:rsidRDefault="009F568E">
      <w:pPr>
        <w:pStyle w:val="EndnoteText"/>
      </w:pPr>
      <w:r>
        <w:rPr>
          <w:rStyle w:val="EndnoteReference"/>
        </w:rPr>
        <w:endnoteRef/>
      </w:r>
      <w:r>
        <w:t xml:space="preserve"> </w:t>
      </w:r>
      <w:r w:rsidRPr="00E26EEB">
        <w:t>Migration Amendment (Removals and Other Measures)</w:t>
      </w:r>
      <w:r>
        <w:t xml:space="preserve"> Bill 2024 (</w:t>
      </w:r>
      <w:r>
        <w:t xml:space="preserve">Cth), </w:t>
      </w:r>
      <w:r w:rsidR="009A69BC">
        <w:t>s 199</w:t>
      </w:r>
      <w:r w:rsidR="009A69BC">
        <w:t>C(1).</w:t>
      </w:r>
    </w:p>
  </w:endnote>
  <w:endnote w:id="10">
    <w:p w14:paraId="476D7A4A" w14:textId="08B204CC" w:rsidR="009A69BC" w:rsidRDefault="009A69BC">
      <w:pPr>
        <w:pStyle w:val="EndnoteText"/>
      </w:pPr>
      <w:r>
        <w:rPr>
          <w:rStyle w:val="EndnoteReference"/>
        </w:rPr>
        <w:endnoteRef/>
      </w:r>
      <w:r>
        <w:t xml:space="preserve"> </w:t>
      </w:r>
      <w:r w:rsidRPr="00E26EEB">
        <w:t>Migration Amendment (Removals and Other Measures)</w:t>
      </w:r>
      <w:r>
        <w:t xml:space="preserve"> Bill 2024 (</w:t>
      </w:r>
      <w:r>
        <w:t>Cth), s 199</w:t>
      </w:r>
      <w:r>
        <w:t>C(2).</w:t>
      </w:r>
    </w:p>
  </w:endnote>
  <w:endnote w:id="11">
    <w:p w14:paraId="74D6F667" w14:textId="5D59AD4A" w:rsidR="008C6A34" w:rsidRDefault="008C6A34">
      <w:pPr>
        <w:pStyle w:val="EndnoteText"/>
      </w:pPr>
      <w:r>
        <w:rPr>
          <w:rStyle w:val="EndnoteReference"/>
        </w:rPr>
        <w:endnoteRef/>
      </w:r>
      <w:r>
        <w:t xml:space="preserve"> </w:t>
      </w:r>
      <w:r w:rsidRPr="00E26EEB">
        <w:t>Migration Amendment (Removals and Other Measures)</w:t>
      </w:r>
      <w:r>
        <w:t xml:space="preserve"> Bill 2024 (</w:t>
      </w:r>
      <w:r>
        <w:t>Cth), s 199</w:t>
      </w:r>
      <w:r>
        <w:t>C(4).</w:t>
      </w:r>
    </w:p>
  </w:endnote>
  <w:endnote w:id="12">
    <w:p w14:paraId="4FC535D0" w14:textId="379E5E6E" w:rsidR="00EC2ADF" w:rsidRDefault="00EC2ADF">
      <w:pPr>
        <w:pStyle w:val="EndnoteText"/>
      </w:pPr>
      <w:r>
        <w:rPr>
          <w:rStyle w:val="EndnoteReference"/>
        </w:rPr>
        <w:endnoteRef/>
      </w:r>
      <w:r>
        <w:t xml:space="preserve"> </w:t>
      </w:r>
      <w:r w:rsidRPr="00E26EEB">
        <w:t>Migration Amendment (Removals and Other Measures)</w:t>
      </w:r>
      <w:r>
        <w:t xml:space="preserve"> Bill 2024 (</w:t>
      </w:r>
      <w:r>
        <w:t>Cth), s 199</w:t>
      </w:r>
      <w:r>
        <w:t>C(5).</w:t>
      </w:r>
    </w:p>
  </w:endnote>
  <w:endnote w:id="13">
    <w:p w14:paraId="321E61BE" w14:textId="616A6122" w:rsidR="00AE7344" w:rsidRDefault="00AE7344">
      <w:pPr>
        <w:pStyle w:val="EndnoteText"/>
      </w:pPr>
      <w:r>
        <w:rPr>
          <w:rStyle w:val="EndnoteReference"/>
        </w:rPr>
        <w:endnoteRef/>
      </w:r>
      <w:r>
        <w:t xml:space="preserve"> </w:t>
      </w:r>
      <w:r w:rsidRPr="00E26EEB">
        <w:t>Migration Amendment (Removals and Other Measures)</w:t>
      </w:r>
      <w:r>
        <w:t xml:space="preserve"> Bill 2024 (</w:t>
      </w:r>
      <w:r>
        <w:t>Cth), s 199</w:t>
      </w:r>
      <w:r>
        <w:t>D(</w:t>
      </w:r>
      <w:r w:rsidR="00CD37E8">
        <w:t>1</w:t>
      </w:r>
      <w:r>
        <w:t>).</w:t>
      </w:r>
    </w:p>
  </w:endnote>
  <w:endnote w:id="14">
    <w:p w14:paraId="162645F1" w14:textId="1F4CB47B" w:rsidR="00CD37E8" w:rsidRDefault="00CD37E8">
      <w:pPr>
        <w:pStyle w:val="EndnoteText"/>
      </w:pPr>
      <w:r>
        <w:rPr>
          <w:rStyle w:val="EndnoteReference"/>
        </w:rPr>
        <w:endnoteRef/>
      </w:r>
      <w:r>
        <w:t xml:space="preserve"> </w:t>
      </w:r>
      <w:r w:rsidRPr="00E26EEB">
        <w:t>Migration Amendment (Removals and Other Measures)</w:t>
      </w:r>
      <w:r>
        <w:t xml:space="preserve"> Bill 2024 (</w:t>
      </w:r>
      <w:r>
        <w:t>Cth), s 199</w:t>
      </w:r>
      <w:r>
        <w:t>D(2).</w:t>
      </w:r>
    </w:p>
  </w:endnote>
  <w:endnote w:id="15">
    <w:p w14:paraId="56D3CD52" w14:textId="7E7B27F2" w:rsidR="00BD02F8" w:rsidRDefault="00BD02F8">
      <w:pPr>
        <w:pStyle w:val="EndnoteText"/>
      </w:pPr>
      <w:r>
        <w:rPr>
          <w:rStyle w:val="EndnoteReference"/>
        </w:rPr>
        <w:endnoteRef/>
      </w:r>
      <w:r>
        <w:t xml:space="preserve"> </w:t>
      </w:r>
      <w:r w:rsidRPr="00E26EEB">
        <w:t>Migration Amendment (Removals and Other Measures)</w:t>
      </w:r>
      <w:r>
        <w:t xml:space="preserve"> Bill 2024 (</w:t>
      </w:r>
      <w:r>
        <w:t>Cth), s 199</w:t>
      </w:r>
      <w:r>
        <w:t>D(4).</w:t>
      </w:r>
    </w:p>
  </w:endnote>
  <w:endnote w:id="16">
    <w:p w14:paraId="46ABB604" w14:textId="360112C0" w:rsidR="00C81D21" w:rsidRDefault="00C81D21">
      <w:pPr>
        <w:pStyle w:val="EndnoteText"/>
      </w:pPr>
      <w:r>
        <w:rPr>
          <w:rStyle w:val="EndnoteReference"/>
        </w:rPr>
        <w:endnoteRef/>
      </w:r>
      <w:r>
        <w:t xml:space="preserve"> </w:t>
      </w:r>
      <w:r w:rsidRPr="00E26EEB">
        <w:t>Migration Amendment (Removals and Other Measures)</w:t>
      </w:r>
      <w:r>
        <w:t xml:space="preserve"> Bill 2024 (</w:t>
      </w:r>
      <w:r>
        <w:t>Cth), s 199</w:t>
      </w:r>
      <w:r>
        <w:t>D(5).</w:t>
      </w:r>
    </w:p>
  </w:endnote>
  <w:endnote w:id="17">
    <w:p w14:paraId="03A4495D" w14:textId="0B5A1EEF" w:rsidR="00D16E60" w:rsidRDefault="00D16E60">
      <w:pPr>
        <w:pStyle w:val="EndnoteText"/>
      </w:pPr>
      <w:r>
        <w:rPr>
          <w:rStyle w:val="EndnoteReference"/>
        </w:rPr>
        <w:endnoteRef/>
      </w:r>
      <w:r>
        <w:t xml:space="preserve"> </w:t>
      </w:r>
      <w:r w:rsidRPr="00E26EEB">
        <w:t>Migration Amendment (Removals and Other Measures)</w:t>
      </w:r>
      <w:r>
        <w:t xml:space="preserve"> Bill 2024 (</w:t>
      </w:r>
      <w:r>
        <w:t>Cth), s 199</w:t>
      </w:r>
      <w:r>
        <w:t>D(</w:t>
      </w:r>
      <w:r w:rsidR="00AB6006">
        <w:t>6</w:t>
      </w:r>
      <w:r>
        <w:t>).</w:t>
      </w:r>
    </w:p>
  </w:endnote>
  <w:endnote w:id="18">
    <w:p w14:paraId="63BB04BB" w14:textId="688DB3AF" w:rsidR="006B78B9" w:rsidRDefault="006B78B9">
      <w:pPr>
        <w:pStyle w:val="EndnoteText"/>
      </w:pPr>
      <w:r>
        <w:rPr>
          <w:rStyle w:val="EndnoteReference"/>
        </w:rPr>
        <w:endnoteRef/>
      </w:r>
      <w:r>
        <w:t xml:space="preserve"> </w:t>
      </w:r>
      <w:r w:rsidRPr="00E26EEB">
        <w:t>Migration Amendment (Removals and Other Measures)</w:t>
      </w:r>
      <w:r>
        <w:t xml:space="preserve"> Bill 2024 (</w:t>
      </w:r>
      <w:r>
        <w:t>Cth), s 199</w:t>
      </w:r>
      <w:r w:rsidR="00573F8A">
        <w:t>E</w:t>
      </w:r>
      <w:r>
        <w:t>(1).</w:t>
      </w:r>
    </w:p>
  </w:endnote>
  <w:endnote w:id="19">
    <w:p w14:paraId="4A62E47D" w14:textId="594071AF" w:rsidR="00573F8A" w:rsidRDefault="00573F8A">
      <w:pPr>
        <w:pStyle w:val="EndnoteText"/>
      </w:pPr>
      <w:r>
        <w:rPr>
          <w:rStyle w:val="EndnoteReference"/>
        </w:rPr>
        <w:endnoteRef/>
      </w:r>
      <w:r>
        <w:t xml:space="preserve"> </w:t>
      </w:r>
      <w:r w:rsidRPr="00E26EEB">
        <w:t>Migration Amendment (Removals and Other Measures)</w:t>
      </w:r>
      <w:r>
        <w:t xml:space="preserve"> Bill 2024 (</w:t>
      </w:r>
      <w:r>
        <w:t>Cth), s 199</w:t>
      </w:r>
      <w:r>
        <w:t>E(2).</w:t>
      </w:r>
    </w:p>
  </w:endnote>
  <w:endnote w:id="20">
    <w:p w14:paraId="6C525B41" w14:textId="365D2823" w:rsidR="009A0938" w:rsidRDefault="009A0938">
      <w:pPr>
        <w:pStyle w:val="EndnoteText"/>
      </w:pPr>
      <w:r>
        <w:rPr>
          <w:rStyle w:val="EndnoteReference"/>
        </w:rPr>
        <w:endnoteRef/>
      </w:r>
      <w:r>
        <w:t xml:space="preserve"> </w:t>
      </w:r>
      <w:r w:rsidRPr="00E26EEB">
        <w:t>Migration Amendment (Removals and Other Measures)</w:t>
      </w:r>
      <w:r>
        <w:t xml:space="preserve"> Bill 2024 (</w:t>
      </w:r>
      <w:r>
        <w:t>Cth), s 199</w:t>
      </w:r>
      <w:r>
        <w:t>E(3).</w:t>
      </w:r>
    </w:p>
  </w:endnote>
  <w:endnote w:id="21">
    <w:p w14:paraId="7D464F29" w14:textId="3BEF02EC" w:rsidR="00335B26" w:rsidRDefault="00335B26">
      <w:pPr>
        <w:pStyle w:val="EndnoteText"/>
      </w:pPr>
      <w:r>
        <w:rPr>
          <w:rStyle w:val="EndnoteReference"/>
        </w:rPr>
        <w:endnoteRef/>
      </w:r>
      <w:r>
        <w:t xml:space="preserve"> </w:t>
      </w:r>
      <w:r w:rsidRPr="00E26EEB">
        <w:t>Migration Amendment (Removals and Other Measures)</w:t>
      </w:r>
      <w:r>
        <w:t xml:space="preserve"> Bill 2024 (</w:t>
      </w:r>
      <w:r>
        <w:t>Cth), s 199</w:t>
      </w:r>
      <w:r>
        <w:t>E(4).</w:t>
      </w:r>
    </w:p>
  </w:endnote>
  <w:endnote w:id="22">
    <w:p w14:paraId="1E7F4D12" w14:textId="1F963FD1" w:rsidR="00B76D46" w:rsidRDefault="00B76D46">
      <w:pPr>
        <w:pStyle w:val="EndnoteText"/>
      </w:pPr>
      <w:r>
        <w:rPr>
          <w:rStyle w:val="EndnoteReference"/>
        </w:rPr>
        <w:endnoteRef/>
      </w:r>
      <w:r>
        <w:t xml:space="preserve"> Senate Standing Committee for the Scrutiny of Bills, Scrutiny Digest 5 of 2024 (27 March 2024), p </w:t>
      </w:r>
      <w:r w:rsidR="006F69E6">
        <w:t>5</w:t>
      </w:r>
      <w:r>
        <w:t xml:space="preserve"> [1.</w:t>
      </w:r>
      <w:r w:rsidR="006F69E6">
        <w:t>11</w:t>
      </w:r>
      <w:r>
        <w:t>].</w:t>
      </w:r>
    </w:p>
  </w:endnote>
  <w:endnote w:id="23">
    <w:p w14:paraId="338FBFBD" w14:textId="4FCCB727" w:rsidR="00C420A5" w:rsidRPr="00D02560" w:rsidRDefault="00C420A5">
      <w:pPr>
        <w:pStyle w:val="EndnoteText"/>
      </w:pPr>
      <w:r>
        <w:rPr>
          <w:rStyle w:val="EndnoteReference"/>
        </w:rPr>
        <w:endnoteRef/>
      </w:r>
      <w:r>
        <w:t xml:space="preserve"> Australian Human Rights Commission, </w:t>
      </w:r>
      <w:r w:rsidR="00D02560">
        <w:rPr>
          <w:i/>
          <w:iCs/>
        </w:rPr>
        <w:t xml:space="preserve">Lives on hold: Refugees and asylum seekers in the ‘Legacy caseload’ </w:t>
      </w:r>
      <w:r w:rsidR="00D02560">
        <w:t xml:space="preserve">(2019), </w:t>
      </w:r>
      <w:r w:rsidR="00D02560" w:rsidRPr="00D02560">
        <w:t>https://humanrights.gov.au/our-work/asylum-seekers-and-refugees/publications/lives-hold-refugees-and-asylum-seekers-legacy</w:t>
      </w:r>
      <w:r w:rsidR="00D02560">
        <w:t>.</w:t>
      </w:r>
    </w:p>
  </w:endnote>
  <w:endnote w:id="24">
    <w:p w14:paraId="0D6AF1CF" w14:textId="15029595" w:rsidR="00F02C56" w:rsidRDefault="00F02C56">
      <w:pPr>
        <w:pStyle w:val="EndnoteText"/>
      </w:pPr>
      <w:r>
        <w:rPr>
          <w:rStyle w:val="EndnoteReference"/>
        </w:rPr>
        <w:endnoteRef/>
      </w:r>
      <w:r>
        <w:t xml:space="preserve"> Senate Standing Committee for the Scrutiny of Bills, Scrutiny Digest 5 of 2024 (27 March 2024), </w:t>
      </w:r>
      <w:r w:rsidR="00C0757F">
        <w:t>p 3 [1.4].</w:t>
      </w:r>
    </w:p>
  </w:endnote>
  <w:endnote w:id="25">
    <w:p w14:paraId="3542188F" w14:textId="5F38630B" w:rsidR="00385AA2" w:rsidRDefault="00385AA2" w:rsidP="006F69E6">
      <w:pPr>
        <w:pStyle w:val="EndnoteText"/>
      </w:pPr>
      <w:r>
        <w:rPr>
          <w:rStyle w:val="EndnoteReference"/>
        </w:rPr>
        <w:endnoteRef/>
      </w:r>
      <w:r>
        <w:t xml:space="preserve"> </w:t>
      </w:r>
      <w:r w:rsidRPr="001D0699">
        <w:rPr>
          <w:rFonts w:cs="Open Sans"/>
        </w:rPr>
        <w:t xml:space="preserve">Australian Human Rights Commission, </w:t>
      </w:r>
      <w:r w:rsidRPr="001D0699">
        <w:rPr>
          <w:rFonts w:cs="Open Sans"/>
          <w:i/>
          <w:iCs/>
        </w:rPr>
        <w:t xml:space="preserve">Safeguarding Children: A child rights impact assessment tool </w:t>
      </w:r>
      <w:r w:rsidRPr="001D0699">
        <w:rPr>
          <w:rFonts w:cs="Open Sans"/>
        </w:rPr>
        <w:t>(2023), https://humanrights.gov.au/our-work/childrens-rights/publications/safeguarding-children, p 11-12.</w:t>
      </w:r>
    </w:p>
  </w:endnote>
  <w:endnote w:id="26">
    <w:p w14:paraId="2BCEC575" w14:textId="4BA75334" w:rsidR="00E44FB9" w:rsidRPr="00B70F6A" w:rsidRDefault="00E44FB9">
      <w:pPr>
        <w:pStyle w:val="EndnoteText"/>
      </w:pPr>
      <w:r>
        <w:rPr>
          <w:rStyle w:val="EndnoteReference"/>
        </w:rPr>
        <w:endnoteRef/>
      </w:r>
      <w:r>
        <w:t xml:space="preserve"> United Nations High Commissioner for Refugees</w:t>
      </w:r>
      <w:r w:rsidR="00B70F6A">
        <w:t xml:space="preserve"> (UNHCR)</w:t>
      </w:r>
      <w:r>
        <w:t xml:space="preserve">, </w:t>
      </w:r>
      <w:r>
        <w:rPr>
          <w:i/>
          <w:iCs/>
        </w:rPr>
        <w:t>Gender Discrimination and Childhood Statelessness</w:t>
      </w:r>
      <w:r w:rsidR="003D4847">
        <w:t xml:space="preserve"> (undated)</w:t>
      </w:r>
      <w:r w:rsidR="00B70F6A">
        <w:t xml:space="preserve"> </w:t>
      </w:r>
      <w:hyperlink r:id="rId1" w:history="1">
        <w:r w:rsidR="00B70F6A" w:rsidRPr="00203FBB">
          <w:rPr>
            <w:rStyle w:val="Hyperlink"/>
          </w:rPr>
          <w:t>https://www.unhcr.org/ibelong/gender-discrimination-and-stateless-children/</w:t>
        </w:r>
      </w:hyperlink>
      <w:r w:rsidR="00B70F6A">
        <w:t xml:space="preserve">; UNHCR, </w:t>
      </w:r>
      <w:r w:rsidR="00B70F6A">
        <w:rPr>
          <w:i/>
          <w:iCs/>
        </w:rPr>
        <w:t>Background note on Gender Equality, Nationality Laws and Statelessness</w:t>
      </w:r>
      <w:r w:rsidR="00B70F6A">
        <w:t>, (March 2024)</w:t>
      </w:r>
      <w:r w:rsidR="00584BB6">
        <w:t xml:space="preserve"> </w:t>
      </w:r>
      <w:hyperlink r:id="rId2" w:history="1">
        <w:r w:rsidR="00584BB6" w:rsidRPr="00203FBB">
          <w:rPr>
            <w:rStyle w:val="Hyperlink"/>
          </w:rPr>
          <w:t>https://reliefweb.int/report/world/background-note-gender-equality-nationality-laws-and-statelessness-2024</w:t>
        </w:r>
      </w:hyperlink>
      <w:r w:rsidR="00584BB6">
        <w:t xml:space="preserve">. </w:t>
      </w:r>
    </w:p>
  </w:endnote>
  <w:endnote w:id="27">
    <w:p w14:paraId="46D10415" w14:textId="0A1FC090" w:rsidR="00FC52B5" w:rsidRDefault="00FC52B5">
      <w:pPr>
        <w:pStyle w:val="EndnoteText"/>
      </w:pPr>
      <w:r>
        <w:rPr>
          <w:rStyle w:val="EndnoteReference"/>
        </w:rPr>
        <w:endnoteRef/>
      </w:r>
      <w:r>
        <w:t xml:space="preserve"> UNHCR, </w:t>
      </w:r>
      <w:r>
        <w:rPr>
          <w:i/>
          <w:iCs/>
        </w:rPr>
        <w:t>Background note on Gender Equality, Nationality Laws and Statelessness</w:t>
      </w:r>
      <w:r>
        <w:t xml:space="preserve">, (March 2024) </w:t>
      </w:r>
      <w:hyperlink r:id="rId3" w:history="1">
        <w:r w:rsidRPr="00203FBB">
          <w:rPr>
            <w:rStyle w:val="Hyperlink"/>
          </w:rPr>
          <w:t>https://reliefweb.int/report/world/background-note-gender-equality-nationality-laws-and-statelessness-2024</w:t>
        </w:r>
      </w:hyperlink>
      <w:r>
        <w:t>, p 9–11.</w:t>
      </w:r>
    </w:p>
  </w:endnote>
  <w:endnote w:id="28">
    <w:p w14:paraId="43453377" w14:textId="0A20BB0F" w:rsidR="007279F5" w:rsidRPr="00630150" w:rsidRDefault="007279F5">
      <w:pPr>
        <w:pStyle w:val="EndnoteText"/>
      </w:pPr>
      <w:r>
        <w:rPr>
          <w:rStyle w:val="EndnoteReference"/>
        </w:rPr>
        <w:endnoteRef/>
      </w:r>
      <w:r>
        <w:t xml:space="preserve"> </w:t>
      </w:r>
      <w:r w:rsidR="00630150">
        <w:t xml:space="preserve">United Nations General Assembly, </w:t>
      </w:r>
      <w:r w:rsidR="00630150">
        <w:rPr>
          <w:i/>
          <w:iCs/>
        </w:rPr>
        <w:t>Global Compact for Safe, Orderly and Regular Migration</w:t>
      </w:r>
      <w:r w:rsidR="00630150">
        <w:t>, UN Doc A/Res/73/1</w:t>
      </w:r>
      <w:r w:rsidR="00E5104B">
        <w:t>95 (2019).</w:t>
      </w:r>
    </w:p>
  </w:endnote>
  <w:endnote w:id="29">
    <w:p w14:paraId="50235A47" w14:textId="2B58D238" w:rsidR="00754647" w:rsidRDefault="00754647">
      <w:pPr>
        <w:pStyle w:val="EndnoteText"/>
      </w:pPr>
      <w:r>
        <w:rPr>
          <w:rStyle w:val="EndnoteReference"/>
        </w:rPr>
        <w:endnoteRef/>
      </w:r>
      <w:r>
        <w:t xml:space="preserve"> United Nations General Assembly, </w:t>
      </w:r>
      <w:r>
        <w:rPr>
          <w:i/>
          <w:iCs/>
        </w:rPr>
        <w:t>Global Compact for Safe, Orderly and Regular Migration</w:t>
      </w:r>
      <w:r>
        <w:t>, UN Doc A/Res/73/195 (2019) at 30.</w:t>
      </w:r>
    </w:p>
  </w:endnote>
  <w:endnote w:id="30">
    <w:p w14:paraId="4937664F" w14:textId="4BA5ADB1" w:rsidR="009137FE" w:rsidRPr="00EB65C8" w:rsidRDefault="009137FE">
      <w:pPr>
        <w:pStyle w:val="EndnoteText"/>
      </w:pPr>
      <w:r>
        <w:rPr>
          <w:rStyle w:val="EndnoteReference"/>
        </w:rPr>
        <w:endnoteRef/>
      </w:r>
      <w:r>
        <w:t xml:space="preserve"> United Nations, </w:t>
      </w:r>
      <w:r w:rsidR="00AC4F9A">
        <w:rPr>
          <w:i/>
          <w:iCs/>
        </w:rPr>
        <w:t>60</w:t>
      </w:r>
      <w:r w:rsidR="00AC4F9A" w:rsidRPr="00B7265D">
        <w:rPr>
          <w:i/>
          <w:iCs/>
          <w:vertAlign w:val="superscript"/>
        </w:rPr>
        <w:t>th</w:t>
      </w:r>
      <w:r w:rsidR="00AC4F9A">
        <w:rPr>
          <w:i/>
          <w:iCs/>
        </w:rPr>
        <w:t xml:space="preserve"> plenary meeting of the General Assembly</w:t>
      </w:r>
      <w:r w:rsidR="00EB65C8">
        <w:t>, 19 December 2018, UN Doc A/73/PV.60.</w:t>
      </w:r>
    </w:p>
  </w:endnote>
  <w:endnote w:id="31">
    <w:p w14:paraId="781F7CCE" w14:textId="1E7A63B1" w:rsidR="00D16018" w:rsidRDefault="00D16018">
      <w:pPr>
        <w:pStyle w:val="EndnoteText"/>
      </w:pPr>
      <w:r>
        <w:rPr>
          <w:rStyle w:val="EndnoteReference"/>
        </w:rPr>
        <w:endnoteRef/>
      </w:r>
      <w:r>
        <w:t xml:space="preserve"> </w:t>
      </w:r>
      <w:r w:rsidR="004706D0">
        <w:t xml:space="preserve">United Nations, </w:t>
      </w:r>
      <w:r w:rsidR="004706D0">
        <w:rPr>
          <w:i/>
          <w:iCs/>
        </w:rPr>
        <w:t>General Assembly Endorses First-Ever Global Compact on Migration, Urging Cooperation among Member States in Protecting Migrants</w:t>
      </w:r>
      <w:r w:rsidR="004706D0">
        <w:t>,</w:t>
      </w:r>
      <w:r w:rsidR="00F90626">
        <w:t xml:space="preserve"> 19 December 2018, </w:t>
      </w:r>
      <w:hyperlink r:id="rId4" w:history="1">
        <w:r w:rsidR="00F90626" w:rsidRPr="00F90626">
          <w:rPr>
            <w:rStyle w:val="Hyperlink"/>
            <w:rFonts w:cs="Open Sans"/>
          </w:rPr>
          <w:t>https://press.un.org/en/2018/ga12113.doc.htm</w:t>
        </w:r>
      </w:hyperlink>
      <w:r w:rsidR="00F90626">
        <w:rPr>
          <w:rStyle w:val="cf01"/>
          <w:rFonts w:ascii="Open Sans" w:hAnsi="Open Sans" w:cs="Open Sans"/>
          <w:color w:val="0000FF"/>
          <w:sz w:val="20"/>
          <w:szCs w:val="20"/>
          <w:u w:val="single"/>
        </w:rPr>
        <w:t>.</w:t>
      </w:r>
    </w:p>
  </w:endnote>
  <w:endnote w:id="32">
    <w:p w14:paraId="768A9FBD" w14:textId="259F94E4" w:rsidR="009173D4" w:rsidRDefault="009173D4">
      <w:pPr>
        <w:pStyle w:val="EndnoteText"/>
      </w:pPr>
      <w:r>
        <w:rPr>
          <w:rStyle w:val="EndnoteReference"/>
        </w:rPr>
        <w:endnoteRef/>
      </w:r>
      <w:r>
        <w:t xml:space="preserve"> UNHCR Executive Committee, Conclusion No. 96 (LIV) on the Return of Persons Found Not to </w:t>
      </w:r>
      <w:r>
        <w:t xml:space="preserve">Be in Need of International Protection (2003), </w:t>
      </w:r>
      <w:r w:rsidR="00D33509">
        <w:t>UN Doc A/AC.96/987.</w:t>
      </w:r>
    </w:p>
  </w:endnote>
  <w:endnote w:id="33">
    <w:p w14:paraId="2D035FFE" w14:textId="77777777" w:rsidR="00164E2B" w:rsidRDefault="00164E2B" w:rsidP="00164E2B">
      <w:pPr>
        <w:pStyle w:val="EndnoteText"/>
      </w:pPr>
      <w:r>
        <w:rPr>
          <w:rStyle w:val="EndnoteReference"/>
        </w:rPr>
        <w:endnoteRef/>
      </w:r>
      <w:r>
        <w:t xml:space="preserve"> Explanatory Memorandum, </w:t>
      </w:r>
      <w:r w:rsidRPr="00E26EEB">
        <w:t>Migration Amendment (Removals and Other Measures)</w:t>
      </w:r>
      <w:r>
        <w:t xml:space="preserve"> Bill 2024 (</w:t>
      </w:r>
      <w:r>
        <w:t>Cth).</w:t>
      </w:r>
    </w:p>
  </w:endnote>
  <w:endnote w:id="34">
    <w:p w14:paraId="1A8FEDCD" w14:textId="49B6FB4F" w:rsidR="00344342" w:rsidRDefault="00344342">
      <w:pPr>
        <w:pStyle w:val="EndnoteText"/>
      </w:pPr>
      <w:r>
        <w:rPr>
          <w:rStyle w:val="EndnoteReference"/>
        </w:rPr>
        <w:endnoteRef/>
      </w:r>
      <w:r>
        <w:t xml:space="preserve"> </w:t>
      </w:r>
      <w:r w:rsidR="007410D9">
        <w:t xml:space="preserve">Senate Standing Committee for the Scrutiny of Bills, Scrutiny Digest 5 of 2024 (27 March 2024), p </w:t>
      </w:r>
      <w:r w:rsidR="00304B18">
        <w:t>4 [1.8].</w:t>
      </w:r>
    </w:p>
  </w:endnote>
  <w:endnote w:id="35">
    <w:p w14:paraId="260BB909" w14:textId="77777777" w:rsidR="00555F46" w:rsidRPr="008E44BF" w:rsidRDefault="00555F46" w:rsidP="00555F46">
      <w:pPr>
        <w:pStyle w:val="EndnoteText"/>
      </w:pPr>
      <w:r>
        <w:rPr>
          <w:rStyle w:val="EndnoteReference"/>
        </w:rPr>
        <w:endnoteRef/>
      </w:r>
      <w:r>
        <w:t xml:space="preserve"> </w:t>
      </w:r>
      <w:r>
        <w:rPr>
          <w:i/>
          <w:iCs/>
        </w:rPr>
        <w:t>Van Alphen v The Netherlands</w:t>
      </w:r>
      <w:r>
        <w:t xml:space="preserve">, UN Doc CCPR/C/39/D/305/1988 (1990) at [5.8]; </w:t>
      </w:r>
      <w:r>
        <w:rPr>
          <w:i/>
          <w:iCs/>
        </w:rPr>
        <w:t>A v Australia</w:t>
      </w:r>
      <w:r>
        <w:t>, UN Doc CCPR/C/59/D/560/1993 (1997) at [9.2].</w:t>
      </w:r>
    </w:p>
  </w:endnote>
  <w:endnote w:id="36">
    <w:p w14:paraId="2AC65A2C" w14:textId="77777777" w:rsidR="00555F46" w:rsidRPr="002D09B0" w:rsidRDefault="00555F46" w:rsidP="00555F46">
      <w:pPr>
        <w:pStyle w:val="EndnoteText"/>
      </w:pPr>
      <w:r>
        <w:rPr>
          <w:rStyle w:val="EndnoteReference"/>
        </w:rPr>
        <w:endnoteRef/>
      </w:r>
      <w:r>
        <w:t xml:space="preserve"> </w:t>
      </w:r>
      <w:r>
        <w:rPr>
          <w:i/>
          <w:iCs/>
        </w:rPr>
        <w:t xml:space="preserve">Mabo v Queensland </w:t>
      </w:r>
      <w:r>
        <w:t xml:space="preserve">(1998) 166 CLR 186 at 217 (Brennan, Toohey and </w:t>
      </w:r>
      <w:r>
        <w:t>Gaudron JJ).</w:t>
      </w:r>
    </w:p>
  </w:endnote>
  <w:endnote w:id="37">
    <w:p w14:paraId="167E23E7" w14:textId="77777777" w:rsidR="00555F46" w:rsidRPr="005836F7" w:rsidRDefault="00555F46" w:rsidP="00555F46">
      <w:pPr>
        <w:pStyle w:val="EndnoteText"/>
      </w:pPr>
      <w:r>
        <w:rPr>
          <w:rStyle w:val="EndnoteReference"/>
        </w:rPr>
        <w:endnoteRef/>
      </w:r>
      <w:r>
        <w:t xml:space="preserve"> The Eighth Amendment of the US Constitution prohibits cruel and inhuman punishment. In </w:t>
      </w:r>
      <w:r>
        <w:rPr>
          <w:i/>
          <w:iCs/>
        </w:rPr>
        <w:t xml:space="preserve">Solem v Helm </w:t>
      </w:r>
      <w:r>
        <w:t>463 US 277 (1983) the US Supreme Court held that a mandatory life sentence without the possibility of parole for a seventh non-violent felony, viz. knowingly passing a bad cheque for $100, amounted to cruel and unusual punishment.</w:t>
      </w:r>
    </w:p>
  </w:endnote>
  <w:endnote w:id="38">
    <w:p w14:paraId="00340733" w14:textId="77777777" w:rsidR="00555F46" w:rsidRPr="00BF494F" w:rsidRDefault="00555F46" w:rsidP="00555F46">
      <w:pPr>
        <w:pStyle w:val="EndnoteText"/>
      </w:pPr>
      <w:r>
        <w:rPr>
          <w:rStyle w:val="EndnoteReference"/>
        </w:rPr>
        <w:endnoteRef/>
      </w:r>
      <w:r>
        <w:t xml:space="preserve"> Section 12 of the Canadian Charter of Rights and Freedoms provides that everyone has the right not to be subjected to cruel and unusual treatment or punishment. In </w:t>
      </w:r>
      <w:r>
        <w:rPr>
          <w:i/>
          <w:iCs/>
        </w:rPr>
        <w:t>R v Smith (Edward Dewey)</w:t>
      </w:r>
      <w:r>
        <w:t xml:space="preserve"> [1987] 1 SCR 1045, the Supreme Court of Canada found that a mandatory minimum sentence of 7 years imprisonment for a narcotics offence was grossly disproportionate. More recently, in </w:t>
      </w:r>
      <w:r>
        <w:rPr>
          <w:i/>
          <w:iCs/>
        </w:rPr>
        <w:t xml:space="preserve">R v Nur </w:t>
      </w:r>
      <w:r>
        <w:t>[2015] 1 SCR 773, the Supreme Court of Canada found that a mandatory minimum sentence of 3 years imprisonment for a firearms possession offence was grossly disproportionate.</w:t>
      </w:r>
    </w:p>
  </w:endnote>
  <w:endnote w:id="39">
    <w:p w14:paraId="6704DE6E" w14:textId="77777777" w:rsidR="00555F46" w:rsidRPr="00E41708" w:rsidRDefault="00555F46" w:rsidP="00555F46">
      <w:pPr>
        <w:pStyle w:val="EndnoteText"/>
      </w:pPr>
      <w:r>
        <w:rPr>
          <w:rStyle w:val="EndnoteReference"/>
        </w:rPr>
        <w:endnoteRef/>
      </w:r>
      <w:r>
        <w:t xml:space="preserve"> </w:t>
      </w:r>
      <w:r>
        <w:rPr>
          <w:i/>
          <w:iCs/>
        </w:rPr>
        <w:t xml:space="preserve">Magaming v The Queen </w:t>
      </w:r>
      <w:r>
        <w:t>[2013] HCA 40.</w:t>
      </w:r>
    </w:p>
  </w:endnote>
  <w:endnote w:id="40">
    <w:p w14:paraId="40D616ED" w14:textId="77777777" w:rsidR="00555F46" w:rsidRPr="005C0E3D" w:rsidRDefault="00555F46" w:rsidP="00555F46">
      <w:pPr>
        <w:pStyle w:val="EndnoteText"/>
      </w:pPr>
      <w:r>
        <w:rPr>
          <w:rStyle w:val="EndnoteReference"/>
        </w:rPr>
        <w:endnoteRef/>
      </w:r>
      <w:r>
        <w:t xml:space="preserve"> </w:t>
      </w:r>
      <w:r w:rsidRPr="00E41708">
        <w:rPr>
          <w:i/>
          <w:iCs/>
        </w:rPr>
        <w:t>Palling</w:t>
      </w:r>
      <w:r>
        <w:rPr>
          <w:i/>
          <w:iCs/>
        </w:rPr>
        <w:t xml:space="preserve"> v Corfield </w:t>
      </w:r>
      <w:r>
        <w:t>(1970) 123 CLR 52 at 58.</w:t>
      </w:r>
    </w:p>
  </w:endnote>
  <w:endnote w:id="41">
    <w:p w14:paraId="51F0D520" w14:textId="77777777" w:rsidR="000D041D" w:rsidRPr="00677F35" w:rsidRDefault="000D041D" w:rsidP="000D041D">
      <w:pPr>
        <w:pStyle w:val="EndnoteText"/>
      </w:pPr>
      <w:r>
        <w:rPr>
          <w:rStyle w:val="EndnoteReference"/>
        </w:rPr>
        <w:endnoteRef/>
      </w:r>
      <w:r>
        <w:t xml:space="preserve"> </w:t>
      </w:r>
      <w:r>
        <w:rPr>
          <w:i/>
          <w:iCs/>
        </w:rPr>
        <w:t xml:space="preserve">S v Dodo </w:t>
      </w:r>
      <w:r>
        <w:t>2001 (3) SA 382 (CC).</w:t>
      </w:r>
    </w:p>
  </w:endnote>
  <w:endnote w:id="42">
    <w:p w14:paraId="096A3D6D" w14:textId="77777777" w:rsidR="00555F46" w:rsidRPr="00E37B7A" w:rsidRDefault="00555F46" w:rsidP="00555F46">
      <w:pPr>
        <w:pStyle w:val="EndnoteText"/>
      </w:pPr>
      <w:r>
        <w:rPr>
          <w:rStyle w:val="EndnoteReference"/>
        </w:rPr>
        <w:endnoteRef/>
      </w:r>
      <w:r>
        <w:t xml:space="preserve"> </w:t>
      </w:r>
      <w:r>
        <w:rPr>
          <w:i/>
          <w:iCs/>
        </w:rPr>
        <w:t xml:space="preserve">S v Dodo </w:t>
      </w:r>
      <w:r>
        <w:t>2001 (3) SA 382 (CC) at [26].</w:t>
      </w:r>
    </w:p>
  </w:endnote>
  <w:endnote w:id="43">
    <w:p w14:paraId="4BC32316" w14:textId="77777777" w:rsidR="00555F46" w:rsidRDefault="00555F46" w:rsidP="00555F46">
      <w:pPr>
        <w:pStyle w:val="EndnoteText"/>
      </w:pPr>
      <w:r>
        <w:rPr>
          <w:rStyle w:val="EndnoteReference"/>
        </w:rPr>
        <w:endnoteRef/>
      </w:r>
      <w:r>
        <w:t xml:space="preserve"> </w:t>
      </w:r>
      <w:r>
        <w:rPr>
          <w:i/>
          <w:iCs/>
        </w:rPr>
        <w:t xml:space="preserve">S v Dodo </w:t>
      </w:r>
      <w:r>
        <w:t>2001 (3) SA 382 (CC) at [37].</w:t>
      </w:r>
    </w:p>
  </w:endnote>
  <w:endnote w:id="44">
    <w:p w14:paraId="1825EE71" w14:textId="77777777" w:rsidR="00555F46" w:rsidRDefault="00555F46" w:rsidP="00555F46">
      <w:pPr>
        <w:pStyle w:val="EndnoteText"/>
      </w:pPr>
      <w:r>
        <w:rPr>
          <w:rStyle w:val="EndnoteReference"/>
        </w:rPr>
        <w:endnoteRef/>
      </w:r>
      <w:r>
        <w:t xml:space="preserve"> </w:t>
      </w:r>
      <w:r>
        <w:rPr>
          <w:i/>
          <w:iCs/>
        </w:rPr>
        <w:t xml:space="preserve">S v Dodo </w:t>
      </w:r>
      <w:r>
        <w:t>2001 (3) SA 382 (CC) at [38].</w:t>
      </w:r>
    </w:p>
  </w:endnote>
  <w:endnote w:id="45">
    <w:p w14:paraId="2A7962D9" w14:textId="0CFDB899" w:rsidR="00171CF4" w:rsidRPr="00171CF4" w:rsidRDefault="00171CF4">
      <w:pPr>
        <w:pStyle w:val="EndnoteText"/>
      </w:pPr>
      <w:r>
        <w:rPr>
          <w:rStyle w:val="EndnoteReference"/>
        </w:rPr>
        <w:endnoteRef/>
      </w:r>
      <w:r>
        <w:t xml:space="preserve"> </w:t>
      </w:r>
      <w:r>
        <w:rPr>
          <w:i/>
          <w:iCs/>
        </w:rPr>
        <w:t xml:space="preserve">Buckley v The Queen </w:t>
      </w:r>
      <w:r>
        <w:t>[2022] VSCA 138 at [</w:t>
      </w:r>
      <w:r w:rsidR="00870C92">
        <w:t>5].</w:t>
      </w:r>
    </w:p>
  </w:endnote>
  <w:endnote w:id="46">
    <w:p w14:paraId="5DFC57E5" w14:textId="6063FEE7" w:rsidR="00EF1048" w:rsidRDefault="00EF1048">
      <w:pPr>
        <w:pStyle w:val="EndnoteText"/>
      </w:pPr>
      <w:r>
        <w:rPr>
          <w:rStyle w:val="EndnoteReference"/>
        </w:rPr>
        <w:endnoteRef/>
      </w:r>
      <w:r>
        <w:t xml:space="preserve"> </w:t>
      </w:r>
      <w:r w:rsidRPr="00E26EEB">
        <w:t>Migration Amendment (Removals and Other Measures)</w:t>
      </w:r>
      <w:r>
        <w:t xml:space="preserve"> Bill 2024 (</w:t>
      </w:r>
      <w:r>
        <w:t>Cth), s 199</w:t>
      </w:r>
      <w:r>
        <w:t>F(1).</w:t>
      </w:r>
    </w:p>
  </w:endnote>
  <w:endnote w:id="47">
    <w:p w14:paraId="32C93C3F" w14:textId="711DCC7B" w:rsidR="00553708" w:rsidRDefault="00553708">
      <w:pPr>
        <w:pStyle w:val="EndnoteText"/>
      </w:pPr>
      <w:r>
        <w:rPr>
          <w:rStyle w:val="EndnoteReference"/>
        </w:rPr>
        <w:endnoteRef/>
      </w:r>
      <w:r>
        <w:t xml:space="preserve"> </w:t>
      </w:r>
      <w:r w:rsidRPr="00E26EEB">
        <w:t>Migration Amendment (Removals and Other Measures)</w:t>
      </w:r>
      <w:r>
        <w:t xml:space="preserve"> Bill 2024 (</w:t>
      </w:r>
      <w:r>
        <w:t>Cth), s 199</w:t>
      </w:r>
      <w:r>
        <w:t>F(5).</w:t>
      </w:r>
    </w:p>
  </w:endnote>
  <w:endnote w:id="48">
    <w:p w14:paraId="0259C45B" w14:textId="7E30B2D7" w:rsidR="00FA2768" w:rsidRDefault="00FA2768">
      <w:pPr>
        <w:pStyle w:val="EndnoteText"/>
      </w:pPr>
      <w:r>
        <w:rPr>
          <w:rStyle w:val="EndnoteReference"/>
        </w:rPr>
        <w:endnoteRef/>
      </w:r>
      <w:r>
        <w:t xml:space="preserve"> </w:t>
      </w:r>
      <w:r w:rsidRPr="00E26EEB">
        <w:t>Migration Amendment (Removals and Other Measures)</w:t>
      </w:r>
      <w:r>
        <w:t xml:space="preserve"> Bill 2024 (</w:t>
      </w:r>
      <w:r>
        <w:t>Cth), s 199</w:t>
      </w:r>
      <w:r w:rsidR="00DB1713">
        <w:t>G</w:t>
      </w:r>
      <w:r>
        <w:t>(1).</w:t>
      </w:r>
    </w:p>
  </w:endnote>
  <w:endnote w:id="49">
    <w:p w14:paraId="5BFBF747" w14:textId="7A668F8B" w:rsidR="00493CCF" w:rsidRDefault="00493CCF">
      <w:pPr>
        <w:pStyle w:val="EndnoteText"/>
      </w:pPr>
      <w:r>
        <w:rPr>
          <w:rStyle w:val="EndnoteReference"/>
        </w:rPr>
        <w:endnoteRef/>
      </w:r>
      <w:r>
        <w:t xml:space="preserve"> </w:t>
      </w:r>
      <w:r w:rsidRPr="00E26EEB">
        <w:t>Migration Amendment (Removals and Other Measures)</w:t>
      </w:r>
      <w:r>
        <w:t xml:space="preserve"> Bill 2024 (</w:t>
      </w:r>
      <w:r>
        <w:t>Cth), s 199G(</w:t>
      </w:r>
      <w:r w:rsidR="00F61A56">
        <w:t>2</w:t>
      </w:r>
      <w:r>
        <w:t>)</w:t>
      </w:r>
      <w:r w:rsidR="00F61A56">
        <w:t>(a)</w:t>
      </w:r>
      <w:r>
        <w:t>.</w:t>
      </w:r>
    </w:p>
  </w:endnote>
  <w:endnote w:id="50">
    <w:p w14:paraId="21EA14A9" w14:textId="48691F96" w:rsidR="00A144AB" w:rsidRDefault="00A144AB">
      <w:pPr>
        <w:pStyle w:val="EndnoteText"/>
      </w:pPr>
      <w:r>
        <w:rPr>
          <w:rStyle w:val="EndnoteReference"/>
        </w:rPr>
        <w:endnoteRef/>
      </w:r>
      <w:r>
        <w:t xml:space="preserve"> </w:t>
      </w:r>
      <w:r w:rsidRPr="00E26EEB">
        <w:t>Migration Amendment (Removals and Other Measures)</w:t>
      </w:r>
      <w:r>
        <w:t xml:space="preserve"> Bill 2024 (</w:t>
      </w:r>
      <w:r>
        <w:t>Cth), s 199G(2)(b).</w:t>
      </w:r>
    </w:p>
  </w:endnote>
  <w:endnote w:id="51">
    <w:p w14:paraId="57617E20" w14:textId="5534772A" w:rsidR="00A144AB" w:rsidRDefault="00A144AB">
      <w:pPr>
        <w:pStyle w:val="EndnoteText"/>
      </w:pPr>
      <w:r>
        <w:rPr>
          <w:rStyle w:val="EndnoteReference"/>
        </w:rPr>
        <w:endnoteRef/>
      </w:r>
      <w:r>
        <w:t xml:space="preserve"> </w:t>
      </w:r>
      <w:r w:rsidRPr="00E26EEB">
        <w:t>Migration Amendment (Removals and Other Measures)</w:t>
      </w:r>
      <w:r>
        <w:t xml:space="preserve"> Bill 2024 (</w:t>
      </w:r>
      <w:r>
        <w:t>Cth), s 199G(2)(c).</w:t>
      </w:r>
    </w:p>
  </w:endnote>
  <w:endnote w:id="52">
    <w:p w14:paraId="7D18D241" w14:textId="1B988704" w:rsidR="002941FE" w:rsidRDefault="002941FE">
      <w:pPr>
        <w:pStyle w:val="EndnoteText"/>
      </w:pPr>
      <w:r>
        <w:rPr>
          <w:rStyle w:val="EndnoteReference"/>
        </w:rPr>
        <w:endnoteRef/>
      </w:r>
      <w:r>
        <w:t xml:space="preserve"> </w:t>
      </w:r>
      <w:r w:rsidRPr="00E26EEB">
        <w:t>Migration Amendment (Removals and Other Measures)</w:t>
      </w:r>
      <w:r>
        <w:t xml:space="preserve"> Bill 2024 (</w:t>
      </w:r>
      <w:r>
        <w:t>Cth), s 199G(2)(d).</w:t>
      </w:r>
    </w:p>
  </w:endnote>
  <w:endnote w:id="53">
    <w:p w14:paraId="706D433D" w14:textId="6E045BEF" w:rsidR="00C35B63" w:rsidRDefault="00C35B63">
      <w:pPr>
        <w:pStyle w:val="EndnoteText"/>
      </w:pPr>
      <w:r>
        <w:rPr>
          <w:rStyle w:val="EndnoteReference"/>
        </w:rPr>
        <w:endnoteRef/>
      </w:r>
      <w:r>
        <w:t xml:space="preserve"> </w:t>
      </w:r>
      <w:r w:rsidRPr="00E26EEB">
        <w:t>Migration Amendment (Removals and Other Measures)</w:t>
      </w:r>
      <w:r>
        <w:t xml:space="preserve"> Bill 2024 (</w:t>
      </w:r>
      <w:r>
        <w:t>Cth), s 199G(2)(</w:t>
      </w:r>
      <w:r w:rsidR="00446482">
        <w:t>e)-(f)</w:t>
      </w:r>
      <w:r>
        <w:t>.</w:t>
      </w:r>
    </w:p>
  </w:endnote>
  <w:endnote w:id="54">
    <w:p w14:paraId="41287123" w14:textId="0BC9D31F" w:rsidR="00AA5B3A" w:rsidRDefault="00AA5B3A">
      <w:pPr>
        <w:pStyle w:val="EndnoteText"/>
      </w:pPr>
      <w:r>
        <w:rPr>
          <w:rStyle w:val="EndnoteReference"/>
        </w:rPr>
        <w:endnoteRef/>
      </w:r>
      <w:r>
        <w:t xml:space="preserve"> </w:t>
      </w:r>
      <w:r w:rsidRPr="00E26EEB">
        <w:t>Migration Amendment (Removals and Other Measures)</w:t>
      </w:r>
      <w:r>
        <w:t xml:space="preserve"> Bill 2024 (</w:t>
      </w:r>
      <w:r>
        <w:t>Cth), s 199</w:t>
      </w:r>
      <w:r>
        <w:t>G(4)-(8).</w:t>
      </w:r>
    </w:p>
  </w:endnote>
  <w:endnote w:id="55">
    <w:p w14:paraId="4D34EC4E" w14:textId="0FEAF020" w:rsidR="0060359C" w:rsidRDefault="0060359C">
      <w:pPr>
        <w:pStyle w:val="EndnoteText"/>
      </w:pPr>
      <w:r>
        <w:rPr>
          <w:rStyle w:val="EndnoteReference"/>
        </w:rPr>
        <w:endnoteRef/>
      </w:r>
      <w:r>
        <w:t xml:space="preserve"> Immigration and Nationality Act, §243(d). See</w:t>
      </w:r>
      <w:r w:rsidR="00501BEA">
        <w:t xml:space="preserve"> also</w:t>
      </w:r>
      <w:r>
        <w:t xml:space="preserve"> Wilson, Jill, </w:t>
      </w:r>
      <w:r>
        <w:rPr>
          <w:i/>
          <w:iCs/>
        </w:rPr>
        <w:t>Immigration: “Recalcitrant” Countries and the Use of Visa Sanctions to Encourage Cooperation with Alien Removals</w:t>
      </w:r>
      <w:r>
        <w:t xml:space="preserve">, (2023) Congressional Research Service, available at </w:t>
      </w:r>
      <w:hyperlink r:id="rId5" w:history="1">
        <w:r w:rsidRPr="00F232E4">
          <w:rPr>
            <w:rStyle w:val="Hyperlink"/>
          </w:rPr>
          <w:t>https://crsreports.congress.gov/product/pdf/IF/IF11025</w:t>
        </w:r>
      </w:hyperlink>
      <w:r>
        <w:t>, 2.</w:t>
      </w:r>
    </w:p>
  </w:endnote>
  <w:endnote w:id="56">
    <w:p w14:paraId="5736F467" w14:textId="4C8CAEA7" w:rsidR="00E85FC5" w:rsidRDefault="00E85FC5">
      <w:pPr>
        <w:pStyle w:val="EndnoteText"/>
      </w:pPr>
      <w:r>
        <w:rPr>
          <w:rStyle w:val="EndnoteReference"/>
        </w:rPr>
        <w:endnoteRef/>
      </w:r>
      <w:r>
        <w:t xml:space="preserve"> </w:t>
      </w:r>
      <w:r w:rsidR="00167832">
        <w:t>Exec</w:t>
      </w:r>
      <w:r w:rsidR="000F6DCA">
        <w:t xml:space="preserve">utive Order No. 13,768, </w:t>
      </w:r>
      <w:r w:rsidR="002C41D0">
        <w:t>82 FR 8799</w:t>
      </w:r>
      <w:r w:rsidR="00501BEA">
        <w:t xml:space="preserve"> (2017)</w:t>
      </w:r>
      <w:r w:rsidR="00501BEA" w:rsidRPr="00501BEA">
        <w:t xml:space="preserve"> </w:t>
      </w:r>
      <w:hyperlink r:id="rId6" w:history="1">
        <w:r w:rsidR="00501BEA" w:rsidRPr="00F232E4">
          <w:rPr>
            <w:rStyle w:val="Hyperlink"/>
          </w:rPr>
          <w:t>https://www.federalregister.gov/documents/2017/01/30/2017-02102/enhancing-public-safety-in-the-interior-of-the-united-states</w:t>
        </w:r>
      </w:hyperlink>
      <w:r w:rsidR="00501BEA">
        <w:t xml:space="preserve">. See also </w:t>
      </w:r>
      <w:r w:rsidR="0060359C">
        <w:t xml:space="preserve">Wilson, Jill, </w:t>
      </w:r>
      <w:r w:rsidR="0060359C">
        <w:rPr>
          <w:i/>
          <w:iCs/>
        </w:rPr>
        <w:t>Immigration: “Recalcitrant” Countries and the Use of Visa Sanctions to Encourage Cooperation with Alien Removals</w:t>
      </w:r>
      <w:r w:rsidR="0060359C">
        <w:t xml:space="preserve">, (2023) Congressional Research Service, available at </w:t>
      </w:r>
      <w:hyperlink r:id="rId7" w:history="1">
        <w:r w:rsidR="0060359C" w:rsidRPr="00F232E4">
          <w:rPr>
            <w:rStyle w:val="Hyperlink"/>
          </w:rPr>
          <w:t>https://crsreports.congress.gov/product/pdf/IF/IF11025</w:t>
        </w:r>
      </w:hyperlink>
      <w:r w:rsidR="0060359C">
        <w:t>, 2.</w:t>
      </w:r>
    </w:p>
  </w:endnote>
  <w:endnote w:id="57">
    <w:p w14:paraId="0F02C68E" w14:textId="7DE0F356" w:rsidR="00501BEA" w:rsidRDefault="00501BEA">
      <w:pPr>
        <w:pStyle w:val="EndnoteText"/>
      </w:pPr>
      <w:r>
        <w:rPr>
          <w:rStyle w:val="EndnoteReference"/>
        </w:rPr>
        <w:endnoteRef/>
      </w:r>
      <w:r>
        <w:t xml:space="preserve"> Executive Order No. 13,</w:t>
      </w:r>
      <w:r w:rsidR="00615CD0">
        <w:t xml:space="preserve">993, 86 FR 7051 (2021) </w:t>
      </w:r>
      <w:hyperlink r:id="rId8" w:history="1">
        <w:r w:rsidR="00116D4A" w:rsidRPr="00F232E4">
          <w:rPr>
            <w:rStyle w:val="Hyperlink"/>
          </w:rPr>
          <w:t>https://www.federalregister.gov/documents/2021/01/25/2021-01768/revision-of-civil-immigration-enforcement-policies-and-priorities</w:t>
        </w:r>
      </w:hyperlink>
      <w:r w:rsidR="00116D4A">
        <w:t>.</w:t>
      </w:r>
    </w:p>
  </w:endnote>
  <w:endnote w:id="58">
    <w:p w14:paraId="3B6D7286" w14:textId="2E356D12" w:rsidR="00EE4140" w:rsidRDefault="00EE4140" w:rsidP="009344DB">
      <w:pPr>
        <w:pStyle w:val="EndnoteText"/>
      </w:pPr>
      <w:r>
        <w:rPr>
          <w:rStyle w:val="EndnoteReference"/>
        </w:rPr>
        <w:endnoteRef/>
      </w:r>
      <w:r>
        <w:t xml:space="preserve"> </w:t>
      </w:r>
      <w:r w:rsidR="009344DB">
        <w:t xml:space="preserve">Wilson, Jill, </w:t>
      </w:r>
      <w:r w:rsidR="009344DB">
        <w:rPr>
          <w:i/>
          <w:iCs/>
        </w:rPr>
        <w:t>Immigration: “Recalcitrant” Countries and the Use of Visa Sanctions to Encourage Cooperation with Alien Removals</w:t>
      </w:r>
      <w:r w:rsidR="009344DB">
        <w:t xml:space="preserve">, (2023) Congressional Research Service, available at </w:t>
      </w:r>
      <w:hyperlink r:id="rId9" w:history="1">
        <w:r w:rsidR="009344DB" w:rsidRPr="00F232E4">
          <w:rPr>
            <w:rStyle w:val="Hyperlink"/>
          </w:rPr>
          <w:t>https://crsreports.congress.gov/product/pdf/IF/IF11025</w:t>
        </w:r>
      </w:hyperlink>
      <w:r w:rsidR="009344DB">
        <w:t>, 1.</w:t>
      </w:r>
    </w:p>
  </w:endnote>
  <w:endnote w:id="59">
    <w:p w14:paraId="25675B85" w14:textId="57DA644B" w:rsidR="007468DE" w:rsidRDefault="007468DE">
      <w:pPr>
        <w:pStyle w:val="EndnoteText"/>
      </w:pPr>
      <w:r>
        <w:rPr>
          <w:rStyle w:val="EndnoteReference"/>
        </w:rPr>
        <w:endnoteRef/>
      </w:r>
      <w:r>
        <w:t xml:space="preserve"> Wilson, Jill, </w:t>
      </w:r>
      <w:r>
        <w:rPr>
          <w:i/>
          <w:iCs/>
        </w:rPr>
        <w:t>Immigration: “Recalcitrant” Countries and the Use of Visa Sanctions to Encourage Cooperation with Alien Removals</w:t>
      </w:r>
      <w:r>
        <w:t xml:space="preserve">, (2023) Congressional Research Service, available at </w:t>
      </w:r>
      <w:hyperlink r:id="rId10" w:history="1">
        <w:r w:rsidRPr="00F232E4">
          <w:rPr>
            <w:rStyle w:val="Hyperlink"/>
          </w:rPr>
          <w:t>https://crsreports.congress.gov/product/pdf/IF/IF11025</w:t>
        </w:r>
      </w:hyperlink>
      <w:r>
        <w:t>, 2.</w:t>
      </w:r>
    </w:p>
  </w:endnote>
  <w:endnote w:id="60">
    <w:p w14:paraId="14677C11" w14:textId="11A0A3E4" w:rsidR="00176AEE" w:rsidRDefault="00176AEE">
      <w:pPr>
        <w:pStyle w:val="EndnoteText"/>
      </w:pPr>
      <w:r>
        <w:rPr>
          <w:rStyle w:val="EndnoteReference"/>
        </w:rPr>
        <w:endnoteRef/>
      </w:r>
      <w:r>
        <w:t xml:space="preserve"> </w:t>
      </w:r>
      <w:r w:rsidRPr="00F0515D">
        <w:rPr>
          <w:i/>
          <w:iCs/>
        </w:rPr>
        <w:t xml:space="preserve">Nationality and Borders </w:t>
      </w:r>
      <w:r w:rsidR="00C553DE" w:rsidRPr="00F0515D">
        <w:rPr>
          <w:i/>
          <w:iCs/>
        </w:rPr>
        <w:t>Act</w:t>
      </w:r>
      <w:r w:rsidR="00662631" w:rsidRPr="00F0515D">
        <w:rPr>
          <w:i/>
          <w:iCs/>
        </w:rPr>
        <w:t xml:space="preserve"> 2022</w:t>
      </w:r>
      <w:r w:rsidR="00662631">
        <w:t xml:space="preserve"> (UK)</w:t>
      </w:r>
      <w:r w:rsidR="00B279B6">
        <w:t xml:space="preserve">, s </w:t>
      </w:r>
      <w:r w:rsidR="00F0515D">
        <w:t>72</w:t>
      </w:r>
      <w:r w:rsidR="0002084F">
        <w:t>(1)</w:t>
      </w:r>
      <w:r w:rsidR="002953D2">
        <w:t>.</w:t>
      </w:r>
      <w:r w:rsidR="00662631">
        <w:t xml:space="preserve"> </w:t>
      </w:r>
    </w:p>
  </w:endnote>
  <w:endnote w:id="61">
    <w:p w14:paraId="3435DF77" w14:textId="1D9A509D" w:rsidR="0034249C" w:rsidRDefault="0034249C">
      <w:pPr>
        <w:pStyle w:val="EndnoteText"/>
      </w:pPr>
      <w:r>
        <w:rPr>
          <w:rStyle w:val="EndnoteReference"/>
        </w:rPr>
        <w:endnoteRef/>
      </w:r>
      <w:r>
        <w:t xml:space="preserve"> </w:t>
      </w:r>
      <w:r w:rsidRPr="00957396">
        <w:t xml:space="preserve">Commonwealth, </w:t>
      </w:r>
      <w:r w:rsidR="00CE040E" w:rsidRPr="00957396">
        <w:rPr>
          <w:i/>
          <w:iCs/>
        </w:rPr>
        <w:t>Proof Committee Hansard</w:t>
      </w:r>
      <w:r w:rsidRPr="00957396">
        <w:t>, Senate</w:t>
      </w:r>
      <w:r w:rsidR="005F7D03" w:rsidRPr="00957396">
        <w:t xml:space="preserve"> Legal and Constitutional Affairs Legislation Committee</w:t>
      </w:r>
      <w:r w:rsidRPr="00957396">
        <w:t xml:space="preserve">, 26 March 2024, </w:t>
      </w:r>
      <w:r w:rsidR="00FC026B" w:rsidRPr="00957396">
        <w:t>14</w:t>
      </w:r>
      <w:r w:rsidRPr="00957396">
        <w:t xml:space="preserve"> (</w:t>
      </w:r>
      <w:r w:rsidR="00FC026B" w:rsidRPr="00957396">
        <w:t>Stephanie Foster</w:t>
      </w:r>
      <w:r w:rsidRPr="00957396">
        <w:t xml:space="preserve">, </w:t>
      </w:r>
      <w:r w:rsidR="00937CD9" w:rsidRPr="00957396">
        <w:t xml:space="preserve">Secretary, </w:t>
      </w:r>
      <w:r w:rsidRPr="00957396">
        <w:t>Department of Home Affairs).</w:t>
      </w:r>
    </w:p>
  </w:endnote>
  <w:endnote w:id="62">
    <w:p w14:paraId="23B1A555" w14:textId="7C2F4686" w:rsidR="00945D26" w:rsidRDefault="00945D26">
      <w:pPr>
        <w:pStyle w:val="EndnoteText"/>
      </w:pPr>
      <w:r>
        <w:rPr>
          <w:rStyle w:val="EndnoteReference"/>
        </w:rPr>
        <w:endnoteRef/>
      </w:r>
      <w:r>
        <w:t xml:space="preserve"> </w:t>
      </w:r>
      <w:r w:rsidRPr="00F0515D">
        <w:rPr>
          <w:i/>
          <w:iCs/>
        </w:rPr>
        <w:t>Nationality and Borders Act 2022</w:t>
      </w:r>
      <w:r>
        <w:t xml:space="preserve"> (UK), s 74.</w:t>
      </w:r>
    </w:p>
  </w:endnote>
  <w:endnote w:id="63">
    <w:p w14:paraId="6B71679D" w14:textId="13C693A0" w:rsidR="00201F88" w:rsidRDefault="00201F88">
      <w:pPr>
        <w:pStyle w:val="EndnoteText"/>
      </w:pPr>
      <w:r>
        <w:rPr>
          <w:rStyle w:val="EndnoteReference"/>
        </w:rPr>
        <w:endnoteRef/>
      </w:r>
      <w:r>
        <w:t xml:space="preserve"> </w:t>
      </w:r>
      <w:r w:rsidRPr="00F0515D">
        <w:rPr>
          <w:i/>
          <w:iCs/>
        </w:rPr>
        <w:t>Nationality and Borders Act 2022</w:t>
      </w:r>
      <w:r>
        <w:t xml:space="preserve"> (UK), s 72(3).</w:t>
      </w:r>
    </w:p>
  </w:endnote>
  <w:endnote w:id="64">
    <w:p w14:paraId="21E47FEA" w14:textId="2F6A6AC6" w:rsidR="0037577E" w:rsidRDefault="0037577E">
      <w:pPr>
        <w:pStyle w:val="EndnoteText"/>
      </w:pPr>
      <w:r>
        <w:rPr>
          <w:rStyle w:val="EndnoteReference"/>
        </w:rPr>
        <w:endnoteRef/>
      </w:r>
      <w:r>
        <w:t xml:space="preserve"> Senate Standing Committee for the Scrutiny of Bills, Scrutiny Digest 5 of 2024 (27 March 2024), p </w:t>
      </w:r>
      <w:r w:rsidR="001F3F0C">
        <w:t>6 [1.17].</w:t>
      </w:r>
    </w:p>
  </w:endnote>
  <w:endnote w:id="65">
    <w:p w14:paraId="685EE148" w14:textId="32602142" w:rsidR="009D30FF" w:rsidRDefault="009D30FF">
      <w:pPr>
        <w:pStyle w:val="EndnoteText"/>
      </w:pPr>
      <w:r>
        <w:rPr>
          <w:rStyle w:val="EndnoteReference"/>
        </w:rPr>
        <w:endnoteRef/>
      </w:r>
      <w:r>
        <w:t xml:space="preserve"> </w:t>
      </w:r>
      <w:r w:rsidR="004F13AF">
        <w:t xml:space="preserve">Explanatory memorandum, </w:t>
      </w:r>
      <w:r w:rsidR="004F13AF" w:rsidRPr="00E26EEB">
        <w:t>Migration Amendment (Removals and Other Measures)</w:t>
      </w:r>
      <w:r w:rsidR="004F13AF">
        <w:t xml:space="preserve"> Bill 2024 (</w:t>
      </w:r>
      <w:r w:rsidR="004F13AF">
        <w:t>Cth), p 18.</w:t>
      </w:r>
    </w:p>
  </w:endnote>
  <w:endnote w:id="66">
    <w:p w14:paraId="7A988172" w14:textId="4986F496" w:rsidR="00067E72" w:rsidRPr="00C173B5" w:rsidRDefault="00067E72">
      <w:pPr>
        <w:pStyle w:val="EndnoteText"/>
      </w:pPr>
      <w:r>
        <w:rPr>
          <w:rStyle w:val="EndnoteReference"/>
        </w:rPr>
        <w:endnoteRef/>
      </w:r>
      <w:r>
        <w:t xml:space="preserve"> Australian Human Rights Commission, </w:t>
      </w:r>
      <w:r w:rsidR="00C173B5">
        <w:rPr>
          <w:i/>
          <w:iCs/>
        </w:rPr>
        <w:t xml:space="preserve">Review of the Migration Amendment (Clarifying International Obligations for Removal) Act 2021 </w:t>
      </w:r>
      <w:r w:rsidR="00C173B5">
        <w:t xml:space="preserve">(Submission to the Parliamentary Joint Committee on Intelligence and Security, 20 June 2023, </w:t>
      </w:r>
      <w:hyperlink r:id="rId11" w:history="1">
        <w:r w:rsidR="00D22E3B" w:rsidRPr="00203FBB">
          <w:rPr>
            <w:rStyle w:val="Hyperlink"/>
          </w:rPr>
          <w:t>https://humanrights.gov.au/sites/default/files/review_of_the_migration_amendment_clarifying_australias_obligations_for_removal_act_2021_0.pdf</w:t>
        </w:r>
      </w:hyperlink>
      <w:r w:rsidR="00D22E3B">
        <w:t>, pp 15-18.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3A2C5" w14:textId="77777777" w:rsidR="00AC636D" w:rsidRPr="000465F1" w:rsidRDefault="00AC636D" w:rsidP="000465F1">
    <w:pPr>
      <w:pStyle w:val="Footer"/>
    </w:pPr>
    <w:r w:rsidRPr="000465F1">
      <w:t>ABN 47 996 232 602</w:t>
    </w:r>
  </w:p>
  <w:p w14:paraId="7D982E63" w14:textId="77777777" w:rsidR="00AC636D" w:rsidRPr="000465F1" w:rsidRDefault="00AC636D" w:rsidP="000465F1">
    <w:pPr>
      <w:pStyle w:val="Footer"/>
    </w:pPr>
    <w:r w:rsidRPr="000465F1">
      <w:t>Level 3, 175 Pitt Street, Sydney NSW 2000</w:t>
    </w:r>
  </w:p>
  <w:p w14:paraId="52388F77" w14:textId="77777777" w:rsidR="00AC636D" w:rsidRPr="000465F1" w:rsidRDefault="00AC636D" w:rsidP="000465F1">
    <w:pPr>
      <w:pStyle w:val="Footer"/>
    </w:pPr>
    <w:r w:rsidRPr="000465F1">
      <w:t>GPO Box 5218, Sydney NSW 2001</w:t>
    </w:r>
  </w:p>
  <w:p w14:paraId="5EE499AD" w14:textId="77777777" w:rsidR="00AC636D" w:rsidRPr="000465F1" w:rsidRDefault="00AC636D" w:rsidP="000465F1">
    <w:pPr>
      <w:pStyle w:val="Footer"/>
    </w:pPr>
    <w:r w:rsidRPr="000465F1">
      <w:t>General enquiries 1300 369 711</w:t>
    </w:r>
  </w:p>
  <w:p w14:paraId="02E86CB3" w14:textId="77777777" w:rsidR="00AC636D" w:rsidRPr="000465F1" w:rsidRDefault="00AC636D" w:rsidP="000465F1">
    <w:pPr>
      <w:pStyle w:val="Footer"/>
    </w:pPr>
    <w:r w:rsidRPr="000465F1">
      <w:t>Complaints info line 1300 656 419</w:t>
    </w:r>
  </w:p>
  <w:p w14:paraId="299EC341"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C58F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92BF"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552EB"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48956" w14:textId="77777777" w:rsidR="000F23CF" w:rsidRDefault="000F23CF" w:rsidP="00F14C6D">
      <w:r>
        <w:separator/>
      </w:r>
    </w:p>
  </w:footnote>
  <w:footnote w:type="continuationSeparator" w:id="0">
    <w:p w14:paraId="61A41278" w14:textId="77777777" w:rsidR="000F23CF" w:rsidRDefault="000F23CF" w:rsidP="00F14C6D">
      <w:r>
        <w:continuationSeparator/>
      </w:r>
    </w:p>
  </w:footnote>
  <w:footnote w:type="continuationNotice" w:id="1">
    <w:p w14:paraId="4241948A" w14:textId="77777777" w:rsidR="000F23CF" w:rsidRDefault="000F23C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1B8BF" w14:textId="77777777" w:rsidR="00BF6406" w:rsidRPr="000465F1" w:rsidRDefault="00086502" w:rsidP="000465F1">
    <w:pPr>
      <w:pStyle w:val="Header"/>
    </w:pPr>
    <w:r>
      <w:pict w14:anchorId="04113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74B93CEB"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90D1E" w14:textId="77777777" w:rsidR="00B34946" w:rsidRPr="000465F1" w:rsidRDefault="00086502" w:rsidP="000465F1">
    <w:r>
      <w:pict w14:anchorId="22EFD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12491AA9"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20878" w14:textId="77777777" w:rsidR="00CC2AA0" w:rsidRDefault="00086502" w:rsidP="002012F7">
    <w:pPr>
      <w:pStyle w:val="Header"/>
    </w:pPr>
    <w:r>
      <w:pict w14:anchorId="667C0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E5DDDEE">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32CBCDB1" w14:textId="77777777" w:rsidR="008B3899" w:rsidRDefault="008B3899" w:rsidP="002012F7">
    <w:pPr>
      <w:pStyle w:val="Header"/>
    </w:pPr>
  </w:p>
  <w:p w14:paraId="4F9EE0EF"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3BB12" w14:textId="77777777" w:rsidR="0015239E" w:rsidRPr="000465F1" w:rsidRDefault="0015239E" w:rsidP="0015239E">
    <w:pPr>
      <w:pStyle w:val="Header"/>
    </w:pPr>
    <w:r w:rsidRPr="000465F1">
      <w:t>Australian Human Rights Commission</w:t>
    </w:r>
  </w:p>
  <w:p w14:paraId="2EFC6A72" w14:textId="20E0803B" w:rsidR="00C00733" w:rsidRDefault="006D2074" w:rsidP="00C00733">
    <w:pPr>
      <w:pStyle w:val="HeaderDocumentDate"/>
    </w:pPr>
    <w:r>
      <w:rPr>
        <w:rStyle w:val="HeaderDocumentTitle"/>
      </w:rPr>
      <w:t>Submission on the Migration Amendment (Removals and Other Measures) Bill 2024</w:t>
    </w:r>
    <w:r w:rsidR="00C00733" w:rsidRPr="001F62CC">
      <w:rPr>
        <w:rStyle w:val="HeaderDocumentTitle"/>
      </w:rPr>
      <w:t>,</w:t>
    </w:r>
    <w:r w:rsidR="00C00733">
      <w:t xml:space="preserve"> </w:t>
    </w:r>
    <w:r w:rsidR="007E0AF9">
      <w:fldChar w:fldCharType="begin"/>
    </w:r>
    <w:r w:rsidR="007E0AF9">
      <w:instrText xml:space="preserve"> DATE  \@ "d MMMM yyyy"  \* MERGEFORMAT </w:instrText>
    </w:r>
    <w:r w:rsidR="007E0AF9">
      <w:fldChar w:fldCharType="separate"/>
    </w:r>
    <w:r w:rsidR="005F2DA2">
      <w:rPr>
        <w:noProof/>
      </w:rPr>
      <w:t xml:space="preserve"> April 2024</w:t>
    </w:r>
    <w:r w:rsidR="007E0AF9">
      <w:fldChar w:fldCharType="end"/>
    </w:r>
  </w:p>
  <w:p w14:paraId="27CF49D2" w14:textId="77777777" w:rsidR="00C00733" w:rsidRPr="000465F1" w:rsidRDefault="00C00733" w:rsidP="00C00733">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D8DBF" w14:textId="77777777" w:rsidR="00BF6406" w:rsidRPr="000465F1" w:rsidRDefault="00BF6406" w:rsidP="00CA5D90">
    <w:pPr>
      <w:pStyle w:val="Header"/>
    </w:pPr>
    <w:bookmarkStart w:id="49" w:name="_Hlk514672172"/>
    <w:bookmarkStart w:id="50" w:name="_Hlk514672173"/>
    <w:r w:rsidRPr="000465F1">
      <w:t>Australian Human Rights Commission</w:t>
    </w:r>
  </w:p>
  <w:bookmarkEnd w:id="49"/>
  <w:bookmarkEnd w:id="50"/>
  <w:p w14:paraId="55139EAB" w14:textId="7650ECE8" w:rsidR="00C00733" w:rsidRDefault="00FE1117" w:rsidP="00C00733">
    <w:pPr>
      <w:pStyle w:val="HeaderDocumentDate"/>
    </w:pPr>
    <w:r>
      <w:rPr>
        <w:rStyle w:val="HeaderDocumentTitle"/>
      </w:rPr>
      <w:t>Submission on the Migration Amendment (Removals and Other Measures) Bill 2024</w:t>
    </w:r>
    <w:r w:rsidR="001B6F2B">
      <w:rPr>
        <w:rStyle w:val="HeaderDocumentTitle"/>
      </w:rPr>
      <w:t xml:space="preserve">, </w:t>
    </w:r>
    <w:r w:rsidR="005F559F" w:rsidRPr="005F559F">
      <w:rPr>
        <w:rStyle w:val="HeaderDocumentTitle"/>
        <w:b w:val="0"/>
        <w:bCs/>
      </w:rPr>
      <w:t>12</w:t>
    </w:r>
    <w:r w:rsidR="005F559F">
      <w:rPr>
        <w:rStyle w:val="HeaderDocumentTitle"/>
      </w:rPr>
      <w:t xml:space="preserve"> </w:t>
    </w:r>
    <w:r w:rsidR="001B6F2B">
      <w:rPr>
        <w:rStyle w:val="HeaderDocumentTitle"/>
        <w:b w:val="0"/>
        <w:bCs/>
      </w:rPr>
      <w:t>April</w:t>
    </w:r>
    <w:r w:rsidR="00E339EC">
      <w:t xml:space="preserve"> 202</w:t>
    </w:r>
    <w:r w:rsidR="001B6F2B">
      <w:t>4</w:t>
    </w:r>
  </w:p>
  <w:p w14:paraId="7DC704B7" w14:textId="77777777" w:rsidR="00C00733" w:rsidRPr="000465F1" w:rsidRDefault="00C00733" w:rsidP="00C00733">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8A798" w14:textId="77777777" w:rsidR="0063009F" w:rsidRPr="000465F1" w:rsidRDefault="0063009F" w:rsidP="0063009F">
    <w:pPr>
      <w:pStyle w:val="Header"/>
    </w:pPr>
    <w:r w:rsidRPr="000465F1">
      <w:t>Australian Human Rights Commission</w:t>
    </w:r>
  </w:p>
  <w:p w14:paraId="4892653C" w14:textId="5FA42A14" w:rsidR="0063009F" w:rsidRPr="000465F1" w:rsidRDefault="008B6145" w:rsidP="0063009F">
    <w:pPr>
      <w:pStyle w:val="HeaderDocumentDate"/>
    </w:pPr>
    <w:r>
      <w:rPr>
        <w:rStyle w:val="HeaderDocumentTitle"/>
      </w:rPr>
      <w:t>Submission on the Migration Amendment (Removals and Other Measures) Bill 2024</w:t>
    </w:r>
    <w:r w:rsidR="0063009F" w:rsidRPr="001F62CC">
      <w:rPr>
        <w:rStyle w:val="HeaderDocumentTitle"/>
      </w:rPr>
      <w:t>,</w:t>
    </w:r>
    <w:r w:rsidR="0063009F">
      <w:t xml:space="preserve"> </w:t>
    </w:r>
    <w:r w:rsidR="007E0AF9">
      <w:fldChar w:fldCharType="begin"/>
    </w:r>
    <w:r w:rsidR="007E0AF9">
      <w:instrText xml:space="preserve"> DATE  \@ "d MMMM yyyy"  \* MERGEFORMAT </w:instrText>
    </w:r>
    <w:r w:rsidR="007E0AF9">
      <w:fldChar w:fldCharType="separate"/>
    </w:r>
    <w:r w:rsidR="005F2DA2">
      <w:rPr>
        <w:noProof/>
      </w:rPr>
      <w:t xml:space="preserve"> April 2024</w:t>
    </w:r>
    <w:r w:rsidR="007E0AF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AHRCHeading2"/>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3272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A465A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8281C41"/>
    <w:multiLevelType w:val="hybridMultilevel"/>
    <w:tmpl w:val="7E14468E"/>
    <w:lvl w:ilvl="0" w:tplc="02780AA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D9F4E5C"/>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0E131A6D"/>
    <w:multiLevelType w:val="hybridMultilevel"/>
    <w:tmpl w:val="F092D952"/>
    <w:lvl w:ilvl="0" w:tplc="0C090001">
      <w:start w:val="1"/>
      <w:numFmt w:val="bullet"/>
      <w:lvlText w:val=""/>
      <w:lvlJc w:val="left"/>
      <w:pPr>
        <w:ind w:left="2160" w:hanging="360"/>
      </w:pPr>
      <w:rPr>
        <w:rFonts w:ascii="Symbol" w:hAnsi="Symbol" w:hint="default"/>
      </w:rPr>
    </w:lvl>
    <w:lvl w:ilvl="1" w:tplc="0C090001">
      <w:start w:val="1"/>
      <w:numFmt w:val="bullet"/>
      <w:lvlText w:val=""/>
      <w:lvlJc w:val="left"/>
      <w:pPr>
        <w:ind w:left="2880" w:hanging="360"/>
      </w:pPr>
      <w:rPr>
        <w:rFonts w:ascii="Symbol" w:hAnsi="Symbo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1BE6165"/>
    <w:multiLevelType w:val="multilevel"/>
    <w:tmpl w:val="6D84B938"/>
    <w:lvl w:ilvl="0">
      <w:start w:val="3"/>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3"/>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12404DDE"/>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12561B6E"/>
    <w:multiLevelType w:val="hybridMultilevel"/>
    <w:tmpl w:val="FB4C33FC"/>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18C335FD"/>
    <w:multiLevelType w:val="hybridMultilevel"/>
    <w:tmpl w:val="E9D2B8F4"/>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18EB1A1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2416EE"/>
    <w:multiLevelType w:val="hybridMultilevel"/>
    <w:tmpl w:val="B86E0B52"/>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1D3F2190"/>
    <w:multiLevelType w:val="multilevel"/>
    <w:tmpl w:val="4FD62532"/>
    <w:lvl w:ilvl="0">
      <w:start w:val="1"/>
      <w:numFmt w:val="decimal"/>
      <w:lvlText w:val="%1)"/>
      <w:lvlJc w:val="left"/>
      <w:pPr>
        <w:tabs>
          <w:tab w:val="num" w:pos="360"/>
        </w:tabs>
        <w:ind w:left="360" w:hanging="360"/>
      </w:pPr>
      <w:rPr>
        <w:rFonts w:hint="default"/>
        <w:caps w:val="0"/>
        <w:smallCaps w:val="0"/>
        <w:strike w:val="0"/>
        <w:dstrike w:val="0"/>
        <w:color w:val="000000"/>
        <w:spacing w:val="0"/>
        <w:w w:val="100"/>
        <w:kern w:val="0"/>
        <w:position w:val="0"/>
        <w:sz w:val="22"/>
        <w:szCs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1AC7647"/>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4D0058C"/>
    <w:multiLevelType w:val="hybridMultilevel"/>
    <w:tmpl w:val="BA6084F8"/>
    <w:lvl w:ilvl="0" w:tplc="07AEFB0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2D490514"/>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5" w15:restartNumberingAfterBreak="0">
    <w:nsid w:val="3030562F"/>
    <w:multiLevelType w:val="multilevel"/>
    <w:tmpl w:val="7D50E7F0"/>
    <w:lvl w:ilvl="0">
      <w:start w:val="3"/>
      <w:numFmt w:val="decimal"/>
      <w:lvlText w:val="(%1)"/>
      <w:lvlJc w:val="left"/>
      <w:pPr>
        <w:ind w:left="1440" w:hanging="360"/>
      </w:pPr>
      <w:rPr>
        <w:rFonts w:hint="default"/>
      </w:rPr>
    </w:lvl>
    <w:lvl w:ilvl="1">
      <w:start w:val="3"/>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EC66FB"/>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8" w15:restartNumberingAfterBreak="0">
    <w:nsid w:val="4222544B"/>
    <w:multiLevelType w:val="multilevel"/>
    <w:tmpl w:val="8E7E1E8C"/>
    <w:lvl w:ilvl="0">
      <w:start w:val="3"/>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9" w15:restartNumberingAfterBreak="0">
    <w:nsid w:val="457A2B41"/>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47DA32D9"/>
    <w:multiLevelType w:val="multilevel"/>
    <w:tmpl w:val="8E7E1E8C"/>
    <w:lvl w:ilvl="0">
      <w:start w:val="3"/>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1" w15:restartNumberingAfterBreak="0">
    <w:nsid w:val="49FF7A73"/>
    <w:multiLevelType w:val="multilevel"/>
    <w:tmpl w:val="1C5C6B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2D036FA"/>
    <w:multiLevelType w:val="hybridMultilevel"/>
    <w:tmpl w:val="D994A25E"/>
    <w:lvl w:ilvl="0" w:tplc="FFFFFFFF">
      <w:start w:val="1"/>
      <w:numFmt w:val="bullet"/>
      <w:lvlText w:val=""/>
      <w:lvlJc w:val="left"/>
      <w:pPr>
        <w:ind w:left="2160" w:hanging="360"/>
      </w:pPr>
      <w:rPr>
        <w:rFonts w:ascii="Symbol" w:hAnsi="Symbol" w:hint="default"/>
      </w:rPr>
    </w:lvl>
    <w:lvl w:ilvl="1" w:tplc="4F549D30">
      <w:start w:val="1"/>
      <w:numFmt w:val="bullet"/>
      <w:lvlText w:val="-"/>
      <w:lvlJc w:val="left"/>
      <w:pPr>
        <w:ind w:left="2880" w:hanging="360"/>
      </w:pPr>
      <w:rPr>
        <w:rFonts w:ascii="Open Sans" w:hAnsi="Open Sans" w:hint="default"/>
        <w:sz w:val="24"/>
        <w:szCs w:val="24"/>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4" w15:restartNumberingAfterBreak="0">
    <w:nsid w:val="547253F5"/>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5" w15:restartNumberingAfterBreak="0">
    <w:nsid w:val="5EC03522"/>
    <w:multiLevelType w:val="hybridMultilevel"/>
    <w:tmpl w:val="15FCB198"/>
    <w:lvl w:ilvl="0" w:tplc="B28299B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65AA07B9"/>
    <w:multiLevelType w:val="hybridMultilevel"/>
    <w:tmpl w:val="C6FAF9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15:restartNumberingAfterBreak="0">
    <w:nsid w:val="6F2F34D2"/>
    <w:multiLevelType w:val="hybridMultilevel"/>
    <w:tmpl w:val="40882328"/>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8" w15:restartNumberingAfterBreak="0">
    <w:nsid w:val="747B68CE"/>
    <w:multiLevelType w:val="multilevel"/>
    <w:tmpl w:val="F23EE928"/>
    <w:lvl w:ilvl="0">
      <w:start w:val="1"/>
      <w:numFmt w:val="lowerLetter"/>
      <w:lvlText w:val="%1)"/>
      <w:lvlJc w:val="left"/>
      <w:pPr>
        <w:ind w:left="144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9" w15:restartNumberingAfterBreak="0">
    <w:nsid w:val="7CC4483F"/>
    <w:multiLevelType w:val="multilevel"/>
    <w:tmpl w:val="0C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0" w15:restartNumberingAfterBreak="0">
    <w:nsid w:val="7D8646BE"/>
    <w:multiLevelType w:val="hybridMultilevel"/>
    <w:tmpl w:val="24285DB0"/>
    <w:lvl w:ilvl="0" w:tplc="4F549D30">
      <w:start w:val="1"/>
      <w:numFmt w:val="bullet"/>
      <w:lvlText w:val="-"/>
      <w:lvlJc w:val="left"/>
      <w:pPr>
        <w:ind w:left="3240" w:hanging="360"/>
      </w:pPr>
      <w:rPr>
        <w:rFonts w:ascii="Open Sans" w:hAnsi="Open Sans" w:hint="default"/>
        <w:sz w:val="24"/>
        <w:szCs w:val="24"/>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16cid:durableId="932857936">
    <w:abstractNumId w:val="31"/>
  </w:num>
  <w:num w:numId="2" w16cid:durableId="968512467">
    <w:abstractNumId w:val="9"/>
  </w:num>
  <w:num w:numId="3" w16cid:durableId="357590179">
    <w:abstractNumId w:val="7"/>
  </w:num>
  <w:num w:numId="4" w16cid:durableId="609971234">
    <w:abstractNumId w:val="6"/>
  </w:num>
  <w:num w:numId="5" w16cid:durableId="183904104">
    <w:abstractNumId w:val="5"/>
  </w:num>
  <w:num w:numId="6" w16cid:durableId="865872548">
    <w:abstractNumId w:val="4"/>
  </w:num>
  <w:num w:numId="7" w16cid:durableId="1839072849">
    <w:abstractNumId w:val="8"/>
  </w:num>
  <w:num w:numId="8" w16cid:durableId="1243569187">
    <w:abstractNumId w:val="1"/>
  </w:num>
  <w:num w:numId="9" w16cid:durableId="1920170503">
    <w:abstractNumId w:val="0"/>
  </w:num>
  <w:num w:numId="10" w16cid:durableId="1637560895">
    <w:abstractNumId w:val="3"/>
  </w:num>
  <w:num w:numId="11" w16cid:durableId="1477379611">
    <w:abstractNumId w:val="2"/>
  </w:num>
  <w:num w:numId="12" w16cid:durableId="467747658">
    <w:abstractNumId w:val="32"/>
  </w:num>
  <w:num w:numId="13" w16cid:durableId="488399831">
    <w:abstractNumId w:val="26"/>
  </w:num>
  <w:num w:numId="14" w16cid:durableId="1556113945">
    <w:abstractNumId w:val="22"/>
  </w:num>
  <w:num w:numId="15" w16cid:durableId="1186597339">
    <w:abstractNumId w:val="20"/>
  </w:num>
  <w:num w:numId="16" w16cid:durableId="491794765">
    <w:abstractNumId w:val="10"/>
  </w:num>
  <w:num w:numId="17" w16cid:durableId="665203468">
    <w:abstractNumId w:val="12"/>
  </w:num>
  <w:num w:numId="18" w16cid:durableId="1594556931">
    <w:abstractNumId w:val="33"/>
  </w:num>
  <w:num w:numId="19" w16cid:durableId="1709139477">
    <w:abstractNumId w:val="40"/>
  </w:num>
  <w:num w:numId="20" w16cid:durableId="471170889">
    <w:abstractNumId w:val="36"/>
  </w:num>
  <w:num w:numId="21" w16cid:durableId="710418592">
    <w:abstractNumId w:val="8"/>
  </w:num>
  <w:num w:numId="22" w16cid:durableId="1049526072">
    <w:abstractNumId w:val="8"/>
    <w:lvlOverride w:ilvl="0">
      <w:startOverride w:val="1"/>
    </w:lvlOverride>
  </w:num>
  <w:num w:numId="23" w16cid:durableId="800879231">
    <w:abstractNumId w:val="37"/>
  </w:num>
  <w:num w:numId="24" w16cid:durableId="1252275914">
    <w:abstractNumId w:val="16"/>
  </w:num>
  <w:num w:numId="25" w16cid:durableId="1293052311">
    <w:abstractNumId w:val="18"/>
  </w:num>
  <w:num w:numId="26" w16cid:durableId="614287127">
    <w:abstractNumId w:val="15"/>
  </w:num>
  <w:num w:numId="27" w16cid:durableId="1209805173">
    <w:abstractNumId w:val="19"/>
  </w:num>
  <w:num w:numId="28" w16cid:durableId="233978230">
    <w:abstractNumId w:val="17"/>
  </w:num>
  <w:num w:numId="29" w16cid:durableId="1183471593">
    <w:abstractNumId w:val="25"/>
  </w:num>
  <w:num w:numId="30" w16cid:durableId="1658682316">
    <w:abstractNumId w:val="13"/>
  </w:num>
  <w:num w:numId="31" w16cid:durableId="803038743">
    <w:abstractNumId w:val="30"/>
  </w:num>
  <w:num w:numId="32" w16cid:durableId="2052997517">
    <w:abstractNumId w:val="28"/>
  </w:num>
  <w:num w:numId="33" w16cid:durableId="275867324">
    <w:abstractNumId w:val="39"/>
  </w:num>
  <w:num w:numId="34" w16cid:durableId="1454714595">
    <w:abstractNumId w:val="21"/>
  </w:num>
  <w:num w:numId="35" w16cid:durableId="1738478755">
    <w:abstractNumId w:val="38"/>
  </w:num>
  <w:num w:numId="36" w16cid:durableId="100615547">
    <w:abstractNumId w:val="27"/>
  </w:num>
  <w:num w:numId="37" w16cid:durableId="907225060">
    <w:abstractNumId w:val="11"/>
  </w:num>
  <w:num w:numId="38" w16cid:durableId="1273512584">
    <w:abstractNumId w:val="24"/>
  </w:num>
  <w:num w:numId="39" w16cid:durableId="640117284">
    <w:abstractNumId w:val="29"/>
  </w:num>
  <w:num w:numId="40" w16cid:durableId="1339036863">
    <w:abstractNumId w:val="14"/>
  </w:num>
  <w:num w:numId="41" w16cid:durableId="771778171">
    <w:abstractNumId w:val="34"/>
  </w:num>
  <w:num w:numId="42" w16cid:durableId="1947347493">
    <w:abstractNumId w:val="8"/>
  </w:num>
  <w:num w:numId="43" w16cid:durableId="841120603">
    <w:abstractNumId w:val="8"/>
    <w:lvlOverride w:ilvl="0">
      <w:startOverride w:val="1"/>
    </w:lvlOverride>
  </w:num>
  <w:num w:numId="44" w16cid:durableId="2016421268">
    <w:abstractNumId w:val="35"/>
  </w:num>
  <w:num w:numId="45" w16cid:durableId="2116435144">
    <w:abstractNumId w:val="23"/>
  </w:num>
  <w:num w:numId="46" w16cid:durableId="150605699">
    <w:abstractNumId w:val="8"/>
  </w:num>
  <w:num w:numId="47" w16cid:durableId="162064605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24"/>
    <w:rsid w:val="000015EC"/>
    <w:rsid w:val="00001CFA"/>
    <w:rsid w:val="0000229D"/>
    <w:rsid w:val="00003EA5"/>
    <w:rsid w:val="00003ED2"/>
    <w:rsid w:val="000048C0"/>
    <w:rsid w:val="00005050"/>
    <w:rsid w:val="00007A6A"/>
    <w:rsid w:val="00013E6C"/>
    <w:rsid w:val="00014AAE"/>
    <w:rsid w:val="00015A9C"/>
    <w:rsid w:val="00015B86"/>
    <w:rsid w:val="000161C2"/>
    <w:rsid w:val="00016A3B"/>
    <w:rsid w:val="00016B7F"/>
    <w:rsid w:val="0001790A"/>
    <w:rsid w:val="00020184"/>
    <w:rsid w:val="0002084F"/>
    <w:rsid w:val="00021B41"/>
    <w:rsid w:val="00024030"/>
    <w:rsid w:val="00024434"/>
    <w:rsid w:val="0002476A"/>
    <w:rsid w:val="00024F79"/>
    <w:rsid w:val="00025860"/>
    <w:rsid w:val="00025A8B"/>
    <w:rsid w:val="000311E1"/>
    <w:rsid w:val="000330BB"/>
    <w:rsid w:val="00036793"/>
    <w:rsid w:val="00036BE4"/>
    <w:rsid w:val="00037B93"/>
    <w:rsid w:val="00040AFF"/>
    <w:rsid w:val="00040E41"/>
    <w:rsid w:val="00041A06"/>
    <w:rsid w:val="00042157"/>
    <w:rsid w:val="000428C8"/>
    <w:rsid w:val="00042FF4"/>
    <w:rsid w:val="00043018"/>
    <w:rsid w:val="000430B8"/>
    <w:rsid w:val="00043674"/>
    <w:rsid w:val="0004435B"/>
    <w:rsid w:val="000448BA"/>
    <w:rsid w:val="00045712"/>
    <w:rsid w:val="00045AA7"/>
    <w:rsid w:val="00045C4B"/>
    <w:rsid w:val="00045E51"/>
    <w:rsid w:val="000465F1"/>
    <w:rsid w:val="00046680"/>
    <w:rsid w:val="00046F45"/>
    <w:rsid w:val="00047ECA"/>
    <w:rsid w:val="00050B49"/>
    <w:rsid w:val="000511CF"/>
    <w:rsid w:val="00053035"/>
    <w:rsid w:val="00055650"/>
    <w:rsid w:val="00057381"/>
    <w:rsid w:val="000579B1"/>
    <w:rsid w:val="0005842A"/>
    <w:rsid w:val="00060394"/>
    <w:rsid w:val="000611F3"/>
    <w:rsid w:val="00061C6C"/>
    <w:rsid w:val="00061FB5"/>
    <w:rsid w:val="00062F8B"/>
    <w:rsid w:val="0006398B"/>
    <w:rsid w:val="00063A89"/>
    <w:rsid w:val="000643E1"/>
    <w:rsid w:val="00064BA6"/>
    <w:rsid w:val="00064EF0"/>
    <w:rsid w:val="00066D28"/>
    <w:rsid w:val="00067E72"/>
    <w:rsid w:val="0007228F"/>
    <w:rsid w:val="00072E72"/>
    <w:rsid w:val="00072EDA"/>
    <w:rsid w:val="000736C0"/>
    <w:rsid w:val="000764A8"/>
    <w:rsid w:val="000764E8"/>
    <w:rsid w:val="000779FA"/>
    <w:rsid w:val="00080440"/>
    <w:rsid w:val="00081842"/>
    <w:rsid w:val="00081F2A"/>
    <w:rsid w:val="0008234A"/>
    <w:rsid w:val="00082A98"/>
    <w:rsid w:val="00082DC3"/>
    <w:rsid w:val="00083ADC"/>
    <w:rsid w:val="0008407A"/>
    <w:rsid w:val="0008544C"/>
    <w:rsid w:val="00086DF8"/>
    <w:rsid w:val="00087FB8"/>
    <w:rsid w:val="00090DEC"/>
    <w:rsid w:val="00091172"/>
    <w:rsid w:val="00092636"/>
    <w:rsid w:val="00093F85"/>
    <w:rsid w:val="000956AF"/>
    <w:rsid w:val="00096FE9"/>
    <w:rsid w:val="00097924"/>
    <w:rsid w:val="000A001C"/>
    <w:rsid w:val="000A147C"/>
    <w:rsid w:val="000A1DB8"/>
    <w:rsid w:val="000A2A70"/>
    <w:rsid w:val="000A4264"/>
    <w:rsid w:val="000A48AC"/>
    <w:rsid w:val="000A4E25"/>
    <w:rsid w:val="000A512D"/>
    <w:rsid w:val="000A520E"/>
    <w:rsid w:val="000A5B84"/>
    <w:rsid w:val="000B0603"/>
    <w:rsid w:val="000B0A5D"/>
    <w:rsid w:val="000B33C4"/>
    <w:rsid w:val="000B4A7F"/>
    <w:rsid w:val="000B4FA0"/>
    <w:rsid w:val="000B5B68"/>
    <w:rsid w:val="000B6BF4"/>
    <w:rsid w:val="000B6DEA"/>
    <w:rsid w:val="000B7279"/>
    <w:rsid w:val="000B731B"/>
    <w:rsid w:val="000B7B5A"/>
    <w:rsid w:val="000C09DD"/>
    <w:rsid w:val="000C2762"/>
    <w:rsid w:val="000C31EF"/>
    <w:rsid w:val="000C5608"/>
    <w:rsid w:val="000C589A"/>
    <w:rsid w:val="000C59D8"/>
    <w:rsid w:val="000C59E5"/>
    <w:rsid w:val="000C5DA6"/>
    <w:rsid w:val="000C6B46"/>
    <w:rsid w:val="000D041D"/>
    <w:rsid w:val="000D20DA"/>
    <w:rsid w:val="000D4239"/>
    <w:rsid w:val="000D5B05"/>
    <w:rsid w:val="000D60EE"/>
    <w:rsid w:val="000D615A"/>
    <w:rsid w:val="000D6EC2"/>
    <w:rsid w:val="000D724F"/>
    <w:rsid w:val="000E016B"/>
    <w:rsid w:val="000E130A"/>
    <w:rsid w:val="000E2A1B"/>
    <w:rsid w:val="000E2BAC"/>
    <w:rsid w:val="000E4322"/>
    <w:rsid w:val="000E4D05"/>
    <w:rsid w:val="000E5924"/>
    <w:rsid w:val="000E604C"/>
    <w:rsid w:val="000E67C7"/>
    <w:rsid w:val="000E696A"/>
    <w:rsid w:val="000E784F"/>
    <w:rsid w:val="000F0F48"/>
    <w:rsid w:val="000F23CF"/>
    <w:rsid w:val="000F4E23"/>
    <w:rsid w:val="000F5149"/>
    <w:rsid w:val="000F533A"/>
    <w:rsid w:val="000F6BA7"/>
    <w:rsid w:val="000F6DCA"/>
    <w:rsid w:val="000F770B"/>
    <w:rsid w:val="000F783A"/>
    <w:rsid w:val="000F7F79"/>
    <w:rsid w:val="001011C7"/>
    <w:rsid w:val="0010138D"/>
    <w:rsid w:val="00104227"/>
    <w:rsid w:val="0010475F"/>
    <w:rsid w:val="00106EB1"/>
    <w:rsid w:val="00107730"/>
    <w:rsid w:val="001104EE"/>
    <w:rsid w:val="00110587"/>
    <w:rsid w:val="001107BB"/>
    <w:rsid w:val="00110915"/>
    <w:rsid w:val="0011109B"/>
    <w:rsid w:val="00113C21"/>
    <w:rsid w:val="00114BD1"/>
    <w:rsid w:val="00115875"/>
    <w:rsid w:val="001159F0"/>
    <w:rsid w:val="00115FAA"/>
    <w:rsid w:val="00116D4A"/>
    <w:rsid w:val="0012114E"/>
    <w:rsid w:val="0012449C"/>
    <w:rsid w:val="001245B9"/>
    <w:rsid w:val="0012518B"/>
    <w:rsid w:val="00127517"/>
    <w:rsid w:val="00127C2F"/>
    <w:rsid w:val="00130A44"/>
    <w:rsid w:val="00130DC9"/>
    <w:rsid w:val="00131439"/>
    <w:rsid w:val="00132398"/>
    <w:rsid w:val="00132EC5"/>
    <w:rsid w:val="00134774"/>
    <w:rsid w:val="00134935"/>
    <w:rsid w:val="00136806"/>
    <w:rsid w:val="001401A2"/>
    <w:rsid w:val="00140274"/>
    <w:rsid w:val="00144600"/>
    <w:rsid w:val="00145326"/>
    <w:rsid w:val="001455AB"/>
    <w:rsid w:val="001475F8"/>
    <w:rsid w:val="00150711"/>
    <w:rsid w:val="00151204"/>
    <w:rsid w:val="0015120A"/>
    <w:rsid w:val="00151263"/>
    <w:rsid w:val="0015239E"/>
    <w:rsid w:val="00153F37"/>
    <w:rsid w:val="00154BFC"/>
    <w:rsid w:val="001552DE"/>
    <w:rsid w:val="00156107"/>
    <w:rsid w:val="0015643D"/>
    <w:rsid w:val="00156A55"/>
    <w:rsid w:val="00157AF1"/>
    <w:rsid w:val="001615E2"/>
    <w:rsid w:val="0016266F"/>
    <w:rsid w:val="00162A8D"/>
    <w:rsid w:val="00163950"/>
    <w:rsid w:val="00163C1E"/>
    <w:rsid w:val="00163D7E"/>
    <w:rsid w:val="00164E2B"/>
    <w:rsid w:val="00165E3C"/>
    <w:rsid w:val="00167832"/>
    <w:rsid w:val="0017113A"/>
    <w:rsid w:val="00171CF4"/>
    <w:rsid w:val="00171F93"/>
    <w:rsid w:val="00173FB5"/>
    <w:rsid w:val="00174828"/>
    <w:rsid w:val="00174D9A"/>
    <w:rsid w:val="00175E67"/>
    <w:rsid w:val="00175E80"/>
    <w:rsid w:val="0017613E"/>
    <w:rsid w:val="00176AEE"/>
    <w:rsid w:val="00181AF2"/>
    <w:rsid w:val="00181F09"/>
    <w:rsid w:val="0018223D"/>
    <w:rsid w:val="001822C0"/>
    <w:rsid w:val="0018362A"/>
    <w:rsid w:val="00183876"/>
    <w:rsid w:val="00183B38"/>
    <w:rsid w:val="00183C36"/>
    <w:rsid w:val="001845C1"/>
    <w:rsid w:val="00185878"/>
    <w:rsid w:val="001873BC"/>
    <w:rsid w:val="001918E9"/>
    <w:rsid w:val="001927E0"/>
    <w:rsid w:val="001939E0"/>
    <w:rsid w:val="00193C82"/>
    <w:rsid w:val="00194011"/>
    <w:rsid w:val="00195EDE"/>
    <w:rsid w:val="00196D39"/>
    <w:rsid w:val="00197B36"/>
    <w:rsid w:val="001A135C"/>
    <w:rsid w:val="001A1511"/>
    <w:rsid w:val="001A275B"/>
    <w:rsid w:val="001A3474"/>
    <w:rsid w:val="001A3B02"/>
    <w:rsid w:val="001A4B1D"/>
    <w:rsid w:val="001A5A6B"/>
    <w:rsid w:val="001A69F2"/>
    <w:rsid w:val="001A7E73"/>
    <w:rsid w:val="001B0353"/>
    <w:rsid w:val="001B2BF8"/>
    <w:rsid w:val="001B30C4"/>
    <w:rsid w:val="001B33B9"/>
    <w:rsid w:val="001B3A1D"/>
    <w:rsid w:val="001B4E9E"/>
    <w:rsid w:val="001B509B"/>
    <w:rsid w:val="001B5595"/>
    <w:rsid w:val="001B5961"/>
    <w:rsid w:val="001B6BF7"/>
    <w:rsid w:val="001B6F2B"/>
    <w:rsid w:val="001C020B"/>
    <w:rsid w:val="001C07C7"/>
    <w:rsid w:val="001C1495"/>
    <w:rsid w:val="001C19A3"/>
    <w:rsid w:val="001C1F8B"/>
    <w:rsid w:val="001C2307"/>
    <w:rsid w:val="001C2A51"/>
    <w:rsid w:val="001C3819"/>
    <w:rsid w:val="001C3922"/>
    <w:rsid w:val="001C4086"/>
    <w:rsid w:val="001C46E0"/>
    <w:rsid w:val="001C4C78"/>
    <w:rsid w:val="001C5198"/>
    <w:rsid w:val="001C5216"/>
    <w:rsid w:val="001C65CD"/>
    <w:rsid w:val="001C695D"/>
    <w:rsid w:val="001C763D"/>
    <w:rsid w:val="001C788F"/>
    <w:rsid w:val="001C7E33"/>
    <w:rsid w:val="001D0AAD"/>
    <w:rsid w:val="001D140E"/>
    <w:rsid w:val="001D22FE"/>
    <w:rsid w:val="001D27B1"/>
    <w:rsid w:val="001D46B6"/>
    <w:rsid w:val="001D49A1"/>
    <w:rsid w:val="001D583D"/>
    <w:rsid w:val="001D5BBB"/>
    <w:rsid w:val="001D70C1"/>
    <w:rsid w:val="001E025E"/>
    <w:rsid w:val="001E164D"/>
    <w:rsid w:val="001E1654"/>
    <w:rsid w:val="001E1EC1"/>
    <w:rsid w:val="001E1FCA"/>
    <w:rsid w:val="001E324E"/>
    <w:rsid w:val="001E46D1"/>
    <w:rsid w:val="001E4CFB"/>
    <w:rsid w:val="001E5676"/>
    <w:rsid w:val="001E5B59"/>
    <w:rsid w:val="001E69DE"/>
    <w:rsid w:val="001F2956"/>
    <w:rsid w:val="001F2B19"/>
    <w:rsid w:val="001F2BBB"/>
    <w:rsid w:val="001F360E"/>
    <w:rsid w:val="001F3F0C"/>
    <w:rsid w:val="001F4A7B"/>
    <w:rsid w:val="001F52AA"/>
    <w:rsid w:val="001F52FD"/>
    <w:rsid w:val="001F6183"/>
    <w:rsid w:val="001F62CC"/>
    <w:rsid w:val="001F7164"/>
    <w:rsid w:val="00200677"/>
    <w:rsid w:val="002012A7"/>
    <w:rsid w:val="002012F7"/>
    <w:rsid w:val="00201F88"/>
    <w:rsid w:val="002027F6"/>
    <w:rsid w:val="00202A46"/>
    <w:rsid w:val="002068EB"/>
    <w:rsid w:val="00206D9A"/>
    <w:rsid w:val="00207F27"/>
    <w:rsid w:val="002104EC"/>
    <w:rsid w:val="00211BF6"/>
    <w:rsid w:val="0021291D"/>
    <w:rsid w:val="002145ED"/>
    <w:rsid w:val="00214650"/>
    <w:rsid w:val="00214EED"/>
    <w:rsid w:val="00215CC9"/>
    <w:rsid w:val="00216A3B"/>
    <w:rsid w:val="0021727D"/>
    <w:rsid w:val="002175CD"/>
    <w:rsid w:val="0022012E"/>
    <w:rsid w:val="00220C50"/>
    <w:rsid w:val="0022150E"/>
    <w:rsid w:val="00221763"/>
    <w:rsid w:val="00222044"/>
    <w:rsid w:val="002227FF"/>
    <w:rsid w:val="002228F2"/>
    <w:rsid w:val="00224A49"/>
    <w:rsid w:val="00225856"/>
    <w:rsid w:val="002258B1"/>
    <w:rsid w:val="00225ED3"/>
    <w:rsid w:val="00226EC7"/>
    <w:rsid w:val="002300BE"/>
    <w:rsid w:val="00231ED1"/>
    <w:rsid w:val="00232121"/>
    <w:rsid w:val="002322CB"/>
    <w:rsid w:val="00232375"/>
    <w:rsid w:val="002330B2"/>
    <w:rsid w:val="0023474E"/>
    <w:rsid w:val="002359D4"/>
    <w:rsid w:val="00236A79"/>
    <w:rsid w:val="0024108B"/>
    <w:rsid w:val="00241523"/>
    <w:rsid w:val="00242624"/>
    <w:rsid w:val="00242A93"/>
    <w:rsid w:val="00242C0A"/>
    <w:rsid w:val="002437F6"/>
    <w:rsid w:val="00244287"/>
    <w:rsid w:val="0024557E"/>
    <w:rsid w:val="00245901"/>
    <w:rsid w:val="002471FD"/>
    <w:rsid w:val="00247616"/>
    <w:rsid w:val="00250115"/>
    <w:rsid w:val="002515FB"/>
    <w:rsid w:val="00251BFB"/>
    <w:rsid w:val="00252723"/>
    <w:rsid w:val="0025514F"/>
    <w:rsid w:val="002556B5"/>
    <w:rsid w:val="0025695E"/>
    <w:rsid w:val="00256EC2"/>
    <w:rsid w:val="00257790"/>
    <w:rsid w:val="00257B52"/>
    <w:rsid w:val="00260B7F"/>
    <w:rsid w:val="00260D7B"/>
    <w:rsid w:val="00262117"/>
    <w:rsid w:val="002623C0"/>
    <w:rsid w:val="00262F4D"/>
    <w:rsid w:val="002631B5"/>
    <w:rsid w:val="002632EA"/>
    <w:rsid w:val="00263636"/>
    <w:rsid w:val="002642FC"/>
    <w:rsid w:val="002669C8"/>
    <w:rsid w:val="00266E0B"/>
    <w:rsid w:val="00267011"/>
    <w:rsid w:val="00270C59"/>
    <w:rsid w:val="0027131A"/>
    <w:rsid w:val="002718EB"/>
    <w:rsid w:val="00271963"/>
    <w:rsid w:val="00271B36"/>
    <w:rsid w:val="00271F2B"/>
    <w:rsid w:val="002742DA"/>
    <w:rsid w:val="002742DF"/>
    <w:rsid w:val="00275A18"/>
    <w:rsid w:val="00276011"/>
    <w:rsid w:val="0027665C"/>
    <w:rsid w:val="00276CC4"/>
    <w:rsid w:val="00277AB9"/>
    <w:rsid w:val="00277BE5"/>
    <w:rsid w:val="00280844"/>
    <w:rsid w:val="00280971"/>
    <w:rsid w:val="00281615"/>
    <w:rsid w:val="0028165E"/>
    <w:rsid w:val="002826BA"/>
    <w:rsid w:val="00282BD0"/>
    <w:rsid w:val="002831CE"/>
    <w:rsid w:val="00283577"/>
    <w:rsid w:val="002836A9"/>
    <w:rsid w:val="00284A1A"/>
    <w:rsid w:val="0028506A"/>
    <w:rsid w:val="002850B0"/>
    <w:rsid w:val="002854BC"/>
    <w:rsid w:val="00285A5C"/>
    <w:rsid w:val="002863D7"/>
    <w:rsid w:val="00286BFB"/>
    <w:rsid w:val="002873B4"/>
    <w:rsid w:val="00287A0E"/>
    <w:rsid w:val="00290830"/>
    <w:rsid w:val="002928D2"/>
    <w:rsid w:val="00292AB5"/>
    <w:rsid w:val="00293208"/>
    <w:rsid w:val="00293315"/>
    <w:rsid w:val="002941FE"/>
    <w:rsid w:val="00294C43"/>
    <w:rsid w:val="00295363"/>
    <w:rsid w:val="002953D2"/>
    <w:rsid w:val="0029583B"/>
    <w:rsid w:val="0029661D"/>
    <w:rsid w:val="00296AFC"/>
    <w:rsid w:val="00297DC6"/>
    <w:rsid w:val="002A0852"/>
    <w:rsid w:val="002A1286"/>
    <w:rsid w:val="002A1F14"/>
    <w:rsid w:val="002A2AB0"/>
    <w:rsid w:val="002A2D3C"/>
    <w:rsid w:val="002A43C2"/>
    <w:rsid w:val="002A4EC0"/>
    <w:rsid w:val="002A4F84"/>
    <w:rsid w:val="002A5D8D"/>
    <w:rsid w:val="002A6177"/>
    <w:rsid w:val="002A627E"/>
    <w:rsid w:val="002A6A79"/>
    <w:rsid w:val="002A6B77"/>
    <w:rsid w:val="002A6F05"/>
    <w:rsid w:val="002B12B4"/>
    <w:rsid w:val="002B155B"/>
    <w:rsid w:val="002B16D6"/>
    <w:rsid w:val="002B16FD"/>
    <w:rsid w:val="002B1B65"/>
    <w:rsid w:val="002B3F01"/>
    <w:rsid w:val="002B5F7F"/>
    <w:rsid w:val="002B7B72"/>
    <w:rsid w:val="002C02DB"/>
    <w:rsid w:val="002C06C8"/>
    <w:rsid w:val="002C07FD"/>
    <w:rsid w:val="002C1866"/>
    <w:rsid w:val="002C41D0"/>
    <w:rsid w:val="002C673B"/>
    <w:rsid w:val="002C7324"/>
    <w:rsid w:val="002C7A90"/>
    <w:rsid w:val="002D0150"/>
    <w:rsid w:val="002D09B0"/>
    <w:rsid w:val="002D14F7"/>
    <w:rsid w:val="002D27A7"/>
    <w:rsid w:val="002D2E89"/>
    <w:rsid w:val="002D398B"/>
    <w:rsid w:val="002D409E"/>
    <w:rsid w:val="002D40F9"/>
    <w:rsid w:val="002D43B8"/>
    <w:rsid w:val="002D502F"/>
    <w:rsid w:val="002D69AC"/>
    <w:rsid w:val="002D6F3F"/>
    <w:rsid w:val="002D726E"/>
    <w:rsid w:val="002E0F1B"/>
    <w:rsid w:val="002E0FD5"/>
    <w:rsid w:val="002E10D6"/>
    <w:rsid w:val="002E1AB6"/>
    <w:rsid w:val="002E205F"/>
    <w:rsid w:val="002E2762"/>
    <w:rsid w:val="002E3013"/>
    <w:rsid w:val="002E32EC"/>
    <w:rsid w:val="002E3907"/>
    <w:rsid w:val="002E5A1B"/>
    <w:rsid w:val="002F0779"/>
    <w:rsid w:val="002F18A9"/>
    <w:rsid w:val="002F1A43"/>
    <w:rsid w:val="002F2A40"/>
    <w:rsid w:val="002F2E4C"/>
    <w:rsid w:val="002F3DF1"/>
    <w:rsid w:val="002F4CE1"/>
    <w:rsid w:val="002F59AD"/>
    <w:rsid w:val="002F5E07"/>
    <w:rsid w:val="002F5E96"/>
    <w:rsid w:val="002F6BED"/>
    <w:rsid w:val="0030053D"/>
    <w:rsid w:val="00300F1D"/>
    <w:rsid w:val="00300F22"/>
    <w:rsid w:val="00302047"/>
    <w:rsid w:val="003025C2"/>
    <w:rsid w:val="0030489D"/>
    <w:rsid w:val="00304A37"/>
    <w:rsid w:val="00304B18"/>
    <w:rsid w:val="00304BBA"/>
    <w:rsid w:val="003054CD"/>
    <w:rsid w:val="003060BC"/>
    <w:rsid w:val="00306EB8"/>
    <w:rsid w:val="00307659"/>
    <w:rsid w:val="00307DD6"/>
    <w:rsid w:val="0031040E"/>
    <w:rsid w:val="00310D0F"/>
    <w:rsid w:val="00310ED4"/>
    <w:rsid w:val="0031181D"/>
    <w:rsid w:val="0031194F"/>
    <w:rsid w:val="00312301"/>
    <w:rsid w:val="00312350"/>
    <w:rsid w:val="0031492A"/>
    <w:rsid w:val="003150A2"/>
    <w:rsid w:val="003157AD"/>
    <w:rsid w:val="003158C9"/>
    <w:rsid w:val="00316719"/>
    <w:rsid w:val="00316C1A"/>
    <w:rsid w:val="00322057"/>
    <w:rsid w:val="003223DD"/>
    <w:rsid w:val="00323C73"/>
    <w:rsid w:val="00325B88"/>
    <w:rsid w:val="00325E79"/>
    <w:rsid w:val="00326F73"/>
    <w:rsid w:val="00331141"/>
    <w:rsid w:val="0033322D"/>
    <w:rsid w:val="00333401"/>
    <w:rsid w:val="00334F06"/>
    <w:rsid w:val="00335B26"/>
    <w:rsid w:val="00335BAC"/>
    <w:rsid w:val="00337A3F"/>
    <w:rsid w:val="00337F9D"/>
    <w:rsid w:val="0034098B"/>
    <w:rsid w:val="00340D7E"/>
    <w:rsid w:val="0034145D"/>
    <w:rsid w:val="003423F4"/>
    <w:rsid w:val="0034249C"/>
    <w:rsid w:val="003426FF"/>
    <w:rsid w:val="00342EF9"/>
    <w:rsid w:val="00343212"/>
    <w:rsid w:val="003438EF"/>
    <w:rsid w:val="00343F23"/>
    <w:rsid w:val="00344342"/>
    <w:rsid w:val="00344758"/>
    <w:rsid w:val="00344EFE"/>
    <w:rsid w:val="00346994"/>
    <w:rsid w:val="00346BC8"/>
    <w:rsid w:val="00347142"/>
    <w:rsid w:val="003507D2"/>
    <w:rsid w:val="00350D1A"/>
    <w:rsid w:val="00350D1B"/>
    <w:rsid w:val="0035258F"/>
    <w:rsid w:val="0035432B"/>
    <w:rsid w:val="003552A5"/>
    <w:rsid w:val="00355D85"/>
    <w:rsid w:val="003565A8"/>
    <w:rsid w:val="003566EA"/>
    <w:rsid w:val="00360975"/>
    <w:rsid w:val="00363C14"/>
    <w:rsid w:val="003642B9"/>
    <w:rsid w:val="003646DA"/>
    <w:rsid w:val="003651F8"/>
    <w:rsid w:val="0036796E"/>
    <w:rsid w:val="00371A51"/>
    <w:rsid w:val="00371AAC"/>
    <w:rsid w:val="00372C79"/>
    <w:rsid w:val="003742A4"/>
    <w:rsid w:val="0037577E"/>
    <w:rsid w:val="00375CD9"/>
    <w:rsid w:val="003777B3"/>
    <w:rsid w:val="00377D97"/>
    <w:rsid w:val="00377E08"/>
    <w:rsid w:val="00381010"/>
    <w:rsid w:val="00381B43"/>
    <w:rsid w:val="00383605"/>
    <w:rsid w:val="00385AA2"/>
    <w:rsid w:val="003863DF"/>
    <w:rsid w:val="00386615"/>
    <w:rsid w:val="003871D1"/>
    <w:rsid w:val="003874E8"/>
    <w:rsid w:val="00390CEC"/>
    <w:rsid w:val="00390E6E"/>
    <w:rsid w:val="003913D5"/>
    <w:rsid w:val="00391D52"/>
    <w:rsid w:val="00392E1A"/>
    <w:rsid w:val="003936DB"/>
    <w:rsid w:val="003938D1"/>
    <w:rsid w:val="00393B5F"/>
    <w:rsid w:val="00393D6D"/>
    <w:rsid w:val="0039437F"/>
    <w:rsid w:val="003950F4"/>
    <w:rsid w:val="00396492"/>
    <w:rsid w:val="00396828"/>
    <w:rsid w:val="003A1075"/>
    <w:rsid w:val="003A168E"/>
    <w:rsid w:val="003A1A4A"/>
    <w:rsid w:val="003A2F42"/>
    <w:rsid w:val="003A3749"/>
    <w:rsid w:val="003A48B7"/>
    <w:rsid w:val="003A4FD1"/>
    <w:rsid w:val="003A5D36"/>
    <w:rsid w:val="003A5EA6"/>
    <w:rsid w:val="003A6184"/>
    <w:rsid w:val="003A62A6"/>
    <w:rsid w:val="003A65C4"/>
    <w:rsid w:val="003B094E"/>
    <w:rsid w:val="003B1883"/>
    <w:rsid w:val="003B2884"/>
    <w:rsid w:val="003B2B6B"/>
    <w:rsid w:val="003B3636"/>
    <w:rsid w:val="003B37E3"/>
    <w:rsid w:val="003B390E"/>
    <w:rsid w:val="003B3C54"/>
    <w:rsid w:val="003B4632"/>
    <w:rsid w:val="003B6492"/>
    <w:rsid w:val="003B6F09"/>
    <w:rsid w:val="003B7612"/>
    <w:rsid w:val="003C1747"/>
    <w:rsid w:val="003C2403"/>
    <w:rsid w:val="003C28A7"/>
    <w:rsid w:val="003C2978"/>
    <w:rsid w:val="003C34C4"/>
    <w:rsid w:val="003C5125"/>
    <w:rsid w:val="003C61FD"/>
    <w:rsid w:val="003C6F48"/>
    <w:rsid w:val="003C74D8"/>
    <w:rsid w:val="003D1435"/>
    <w:rsid w:val="003D269E"/>
    <w:rsid w:val="003D27E2"/>
    <w:rsid w:val="003D37C6"/>
    <w:rsid w:val="003D4248"/>
    <w:rsid w:val="003D4847"/>
    <w:rsid w:val="003D6605"/>
    <w:rsid w:val="003D70EC"/>
    <w:rsid w:val="003E0D20"/>
    <w:rsid w:val="003E0D73"/>
    <w:rsid w:val="003E1448"/>
    <w:rsid w:val="003E1D69"/>
    <w:rsid w:val="003E29CB"/>
    <w:rsid w:val="003E2C91"/>
    <w:rsid w:val="003E3993"/>
    <w:rsid w:val="003E3D07"/>
    <w:rsid w:val="003E5218"/>
    <w:rsid w:val="003E5995"/>
    <w:rsid w:val="003E5DEF"/>
    <w:rsid w:val="003E64D8"/>
    <w:rsid w:val="003E719D"/>
    <w:rsid w:val="003E7A8C"/>
    <w:rsid w:val="003F0174"/>
    <w:rsid w:val="003F23F6"/>
    <w:rsid w:val="003F3194"/>
    <w:rsid w:val="003F3ED5"/>
    <w:rsid w:val="003F4402"/>
    <w:rsid w:val="003F4E56"/>
    <w:rsid w:val="003F5F61"/>
    <w:rsid w:val="003F623C"/>
    <w:rsid w:val="003F6D2E"/>
    <w:rsid w:val="003F74CF"/>
    <w:rsid w:val="003F7565"/>
    <w:rsid w:val="004000A3"/>
    <w:rsid w:val="004008B9"/>
    <w:rsid w:val="004011F6"/>
    <w:rsid w:val="00402789"/>
    <w:rsid w:val="00402AEF"/>
    <w:rsid w:val="0040497E"/>
    <w:rsid w:val="00406543"/>
    <w:rsid w:val="00407250"/>
    <w:rsid w:val="0040776F"/>
    <w:rsid w:val="00410FEB"/>
    <w:rsid w:val="00411CE0"/>
    <w:rsid w:val="00412801"/>
    <w:rsid w:val="00412AC3"/>
    <w:rsid w:val="004205E4"/>
    <w:rsid w:val="00421CE6"/>
    <w:rsid w:val="00422417"/>
    <w:rsid w:val="00422735"/>
    <w:rsid w:val="00422AAE"/>
    <w:rsid w:val="00422FA7"/>
    <w:rsid w:val="00424233"/>
    <w:rsid w:val="0042500A"/>
    <w:rsid w:val="00426E89"/>
    <w:rsid w:val="0042716C"/>
    <w:rsid w:val="004274A7"/>
    <w:rsid w:val="00427A86"/>
    <w:rsid w:val="00433CF7"/>
    <w:rsid w:val="0043490C"/>
    <w:rsid w:val="00434B82"/>
    <w:rsid w:val="00435257"/>
    <w:rsid w:val="00435C16"/>
    <w:rsid w:val="00436E1C"/>
    <w:rsid w:val="00437449"/>
    <w:rsid w:val="004377A4"/>
    <w:rsid w:val="004378AD"/>
    <w:rsid w:val="0043792A"/>
    <w:rsid w:val="0044038A"/>
    <w:rsid w:val="0044296C"/>
    <w:rsid w:val="00442A12"/>
    <w:rsid w:val="00445122"/>
    <w:rsid w:val="00445710"/>
    <w:rsid w:val="00445CB5"/>
    <w:rsid w:val="00445E34"/>
    <w:rsid w:val="00446482"/>
    <w:rsid w:val="00446719"/>
    <w:rsid w:val="00446E3C"/>
    <w:rsid w:val="0044761B"/>
    <w:rsid w:val="0044774D"/>
    <w:rsid w:val="00451879"/>
    <w:rsid w:val="00451A71"/>
    <w:rsid w:val="00452C3B"/>
    <w:rsid w:val="00452CAF"/>
    <w:rsid w:val="00453CEA"/>
    <w:rsid w:val="0045439B"/>
    <w:rsid w:val="004546E0"/>
    <w:rsid w:val="00454771"/>
    <w:rsid w:val="00455224"/>
    <w:rsid w:val="00455A8A"/>
    <w:rsid w:val="00460EE0"/>
    <w:rsid w:val="00461AC4"/>
    <w:rsid w:val="00462053"/>
    <w:rsid w:val="00462AD2"/>
    <w:rsid w:val="004649AD"/>
    <w:rsid w:val="00470237"/>
    <w:rsid w:val="004702FA"/>
    <w:rsid w:val="004706D0"/>
    <w:rsid w:val="004712A6"/>
    <w:rsid w:val="004712FB"/>
    <w:rsid w:val="00471698"/>
    <w:rsid w:val="00471BB7"/>
    <w:rsid w:val="004725C9"/>
    <w:rsid w:val="00472A67"/>
    <w:rsid w:val="00472EFF"/>
    <w:rsid w:val="00473948"/>
    <w:rsid w:val="00474063"/>
    <w:rsid w:val="004743DA"/>
    <w:rsid w:val="004743FB"/>
    <w:rsid w:val="0047466F"/>
    <w:rsid w:val="00475B50"/>
    <w:rsid w:val="004765C5"/>
    <w:rsid w:val="00476793"/>
    <w:rsid w:val="00480696"/>
    <w:rsid w:val="0048118F"/>
    <w:rsid w:val="00481B2A"/>
    <w:rsid w:val="00482091"/>
    <w:rsid w:val="00482847"/>
    <w:rsid w:val="00484B57"/>
    <w:rsid w:val="00485A51"/>
    <w:rsid w:val="0048643D"/>
    <w:rsid w:val="00486F9C"/>
    <w:rsid w:val="004872B7"/>
    <w:rsid w:val="004877AB"/>
    <w:rsid w:val="00490C13"/>
    <w:rsid w:val="00491221"/>
    <w:rsid w:val="0049152A"/>
    <w:rsid w:val="004917B4"/>
    <w:rsid w:val="00491D35"/>
    <w:rsid w:val="00491F52"/>
    <w:rsid w:val="00492050"/>
    <w:rsid w:val="00492357"/>
    <w:rsid w:val="00493CCF"/>
    <w:rsid w:val="00494572"/>
    <w:rsid w:val="00494B99"/>
    <w:rsid w:val="00494E49"/>
    <w:rsid w:val="00495E2A"/>
    <w:rsid w:val="00495EE9"/>
    <w:rsid w:val="00496C71"/>
    <w:rsid w:val="004974FE"/>
    <w:rsid w:val="004976EF"/>
    <w:rsid w:val="004A0025"/>
    <w:rsid w:val="004A048F"/>
    <w:rsid w:val="004A187B"/>
    <w:rsid w:val="004A2D3C"/>
    <w:rsid w:val="004A2E86"/>
    <w:rsid w:val="004A3B42"/>
    <w:rsid w:val="004A3BBB"/>
    <w:rsid w:val="004A4EEA"/>
    <w:rsid w:val="004A5B06"/>
    <w:rsid w:val="004A777E"/>
    <w:rsid w:val="004B012C"/>
    <w:rsid w:val="004B0834"/>
    <w:rsid w:val="004B19DE"/>
    <w:rsid w:val="004B2C59"/>
    <w:rsid w:val="004B2D7B"/>
    <w:rsid w:val="004B342D"/>
    <w:rsid w:val="004B3477"/>
    <w:rsid w:val="004B4433"/>
    <w:rsid w:val="004B4C65"/>
    <w:rsid w:val="004B5E8A"/>
    <w:rsid w:val="004B7298"/>
    <w:rsid w:val="004C174A"/>
    <w:rsid w:val="004C202F"/>
    <w:rsid w:val="004C4F55"/>
    <w:rsid w:val="004C5186"/>
    <w:rsid w:val="004C6099"/>
    <w:rsid w:val="004C6299"/>
    <w:rsid w:val="004C7412"/>
    <w:rsid w:val="004D04BF"/>
    <w:rsid w:val="004D14B2"/>
    <w:rsid w:val="004D15B9"/>
    <w:rsid w:val="004D1749"/>
    <w:rsid w:val="004D24F4"/>
    <w:rsid w:val="004D7B83"/>
    <w:rsid w:val="004E011D"/>
    <w:rsid w:val="004E0861"/>
    <w:rsid w:val="004E0AE1"/>
    <w:rsid w:val="004E0DFF"/>
    <w:rsid w:val="004E282C"/>
    <w:rsid w:val="004E4096"/>
    <w:rsid w:val="004E487B"/>
    <w:rsid w:val="004E4B16"/>
    <w:rsid w:val="004E5454"/>
    <w:rsid w:val="004E6239"/>
    <w:rsid w:val="004E6C2D"/>
    <w:rsid w:val="004F13AF"/>
    <w:rsid w:val="004F1C7C"/>
    <w:rsid w:val="004F3B56"/>
    <w:rsid w:val="004F45F9"/>
    <w:rsid w:val="004F6685"/>
    <w:rsid w:val="004F7408"/>
    <w:rsid w:val="00501BEA"/>
    <w:rsid w:val="005024BA"/>
    <w:rsid w:val="00503381"/>
    <w:rsid w:val="00504BA3"/>
    <w:rsid w:val="00504FA7"/>
    <w:rsid w:val="005054B3"/>
    <w:rsid w:val="005068C1"/>
    <w:rsid w:val="005068F1"/>
    <w:rsid w:val="00506F33"/>
    <w:rsid w:val="00510390"/>
    <w:rsid w:val="005107E8"/>
    <w:rsid w:val="0051142E"/>
    <w:rsid w:val="00511840"/>
    <w:rsid w:val="00511AF5"/>
    <w:rsid w:val="005123F0"/>
    <w:rsid w:val="00513540"/>
    <w:rsid w:val="00513941"/>
    <w:rsid w:val="00514236"/>
    <w:rsid w:val="005146B3"/>
    <w:rsid w:val="005154D6"/>
    <w:rsid w:val="00515B13"/>
    <w:rsid w:val="005164CD"/>
    <w:rsid w:val="00516754"/>
    <w:rsid w:val="00517E03"/>
    <w:rsid w:val="00517F03"/>
    <w:rsid w:val="00521101"/>
    <w:rsid w:val="00521C63"/>
    <w:rsid w:val="0052628D"/>
    <w:rsid w:val="00526D05"/>
    <w:rsid w:val="0052711A"/>
    <w:rsid w:val="005272A9"/>
    <w:rsid w:val="00530353"/>
    <w:rsid w:val="0053051D"/>
    <w:rsid w:val="0053053C"/>
    <w:rsid w:val="005333DB"/>
    <w:rsid w:val="00534126"/>
    <w:rsid w:val="0053522C"/>
    <w:rsid w:val="00535AF8"/>
    <w:rsid w:val="0053635C"/>
    <w:rsid w:val="005365E2"/>
    <w:rsid w:val="00536D82"/>
    <w:rsid w:val="0054157E"/>
    <w:rsid w:val="00542C7C"/>
    <w:rsid w:val="005444BB"/>
    <w:rsid w:val="00544BDB"/>
    <w:rsid w:val="00544C16"/>
    <w:rsid w:val="005451F4"/>
    <w:rsid w:val="0054558D"/>
    <w:rsid w:val="00546197"/>
    <w:rsid w:val="00546D9D"/>
    <w:rsid w:val="00547E99"/>
    <w:rsid w:val="00550E2F"/>
    <w:rsid w:val="00551ABF"/>
    <w:rsid w:val="00551C0D"/>
    <w:rsid w:val="00551DB7"/>
    <w:rsid w:val="00552A84"/>
    <w:rsid w:val="00553708"/>
    <w:rsid w:val="005542DA"/>
    <w:rsid w:val="00555F46"/>
    <w:rsid w:val="005576AB"/>
    <w:rsid w:val="00557770"/>
    <w:rsid w:val="00557811"/>
    <w:rsid w:val="00560A84"/>
    <w:rsid w:val="00561DE5"/>
    <w:rsid w:val="0056390E"/>
    <w:rsid w:val="00563B3E"/>
    <w:rsid w:val="00564208"/>
    <w:rsid w:val="005643B6"/>
    <w:rsid w:val="005645AC"/>
    <w:rsid w:val="00564FEE"/>
    <w:rsid w:val="005657DA"/>
    <w:rsid w:val="00566263"/>
    <w:rsid w:val="005672B1"/>
    <w:rsid w:val="0056758A"/>
    <w:rsid w:val="00567E3D"/>
    <w:rsid w:val="00567EA8"/>
    <w:rsid w:val="00567F32"/>
    <w:rsid w:val="00571065"/>
    <w:rsid w:val="00571CEB"/>
    <w:rsid w:val="0057386F"/>
    <w:rsid w:val="0057388A"/>
    <w:rsid w:val="00573AAE"/>
    <w:rsid w:val="00573B89"/>
    <w:rsid w:val="00573F8A"/>
    <w:rsid w:val="005747E0"/>
    <w:rsid w:val="005749B5"/>
    <w:rsid w:val="0057574B"/>
    <w:rsid w:val="005772FB"/>
    <w:rsid w:val="00577C97"/>
    <w:rsid w:val="005804D3"/>
    <w:rsid w:val="005823E2"/>
    <w:rsid w:val="005836F7"/>
    <w:rsid w:val="00584A2D"/>
    <w:rsid w:val="00584BB6"/>
    <w:rsid w:val="0058560B"/>
    <w:rsid w:val="005909A3"/>
    <w:rsid w:val="00591868"/>
    <w:rsid w:val="00591951"/>
    <w:rsid w:val="00593000"/>
    <w:rsid w:val="0059538E"/>
    <w:rsid w:val="00595D2D"/>
    <w:rsid w:val="005A0964"/>
    <w:rsid w:val="005A160E"/>
    <w:rsid w:val="005A16DC"/>
    <w:rsid w:val="005A2109"/>
    <w:rsid w:val="005A2198"/>
    <w:rsid w:val="005A285E"/>
    <w:rsid w:val="005A5B2E"/>
    <w:rsid w:val="005A6C82"/>
    <w:rsid w:val="005A7948"/>
    <w:rsid w:val="005B0897"/>
    <w:rsid w:val="005B16FA"/>
    <w:rsid w:val="005B279D"/>
    <w:rsid w:val="005B3289"/>
    <w:rsid w:val="005B36F6"/>
    <w:rsid w:val="005B587E"/>
    <w:rsid w:val="005B6EE8"/>
    <w:rsid w:val="005B7A9C"/>
    <w:rsid w:val="005B7FB7"/>
    <w:rsid w:val="005C0218"/>
    <w:rsid w:val="005C0903"/>
    <w:rsid w:val="005C0E3D"/>
    <w:rsid w:val="005C1127"/>
    <w:rsid w:val="005C2ECF"/>
    <w:rsid w:val="005C40B9"/>
    <w:rsid w:val="005C4677"/>
    <w:rsid w:val="005C4FBE"/>
    <w:rsid w:val="005C5D41"/>
    <w:rsid w:val="005D013E"/>
    <w:rsid w:val="005D0B43"/>
    <w:rsid w:val="005D0EDB"/>
    <w:rsid w:val="005D1F34"/>
    <w:rsid w:val="005D2063"/>
    <w:rsid w:val="005D2409"/>
    <w:rsid w:val="005D357B"/>
    <w:rsid w:val="005D383D"/>
    <w:rsid w:val="005D3CF8"/>
    <w:rsid w:val="005D477A"/>
    <w:rsid w:val="005D4823"/>
    <w:rsid w:val="005D4A35"/>
    <w:rsid w:val="005D6B06"/>
    <w:rsid w:val="005D7534"/>
    <w:rsid w:val="005D7719"/>
    <w:rsid w:val="005E2263"/>
    <w:rsid w:val="005E261C"/>
    <w:rsid w:val="005E3ABD"/>
    <w:rsid w:val="005E4E6D"/>
    <w:rsid w:val="005E503E"/>
    <w:rsid w:val="005E7D24"/>
    <w:rsid w:val="005F034B"/>
    <w:rsid w:val="005F18F3"/>
    <w:rsid w:val="005F2DA2"/>
    <w:rsid w:val="005F31BF"/>
    <w:rsid w:val="005F3252"/>
    <w:rsid w:val="005F3356"/>
    <w:rsid w:val="005F4091"/>
    <w:rsid w:val="005F559F"/>
    <w:rsid w:val="005F5B43"/>
    <w:rsid w:val="005F5F2F"/>
    <w:rsid w:val="005F6379"/>
    <w:rsid w:val="005F6649"/>
    <w:rsid w:val="005F676C"/>
    <w:rsid w:val="005F7552"/>
    <w:rsid w:val="005F776D"/>
    <w:rsid w:val="005F79DB"/>
    <w:rsid w:val="005F7B29"/>
    <w:rsid w:val="005F7D03"/>
    <w:rsid w:val="006001DD"/>
    <w:rsid w:val="00600645"/>
    <w:rsid w:val="00600721"/>
    <w:rsid w:val="00600AC5"/>
    <w:rsid w:val="00601BCF"/>
    <w:rsid w:val="00602303"/>
    <w:rsid w:val="0060359C"/>
    <w:rsid w:val="00603724"/>
    <w:rsid w:val="006041E5"/>
    <w:rsid w:val="00607C3B"/>
    <w:rsid w:val="006111EA"/>
    <w:rsid w:val="00611D27"/>
    <w:rsid w:val="0061274B"/>
    <w:rsid w:val="00612D29"/>
    <w:rsid w:val="00614086"/>
    <w:rsid w:val="00615CD0"/>
    <w:rsid w:val="00616839"/>
    <w:rsid w:val="00616F88"/>
    <w:rsid w:val="006170E8"/>
    <w:rsid w:val="00617ADF"/>
    <w:rsid w:val="00620D3E"/>
    <w:rsid w:val="006216D7"/>
    <w:rsid w:val="00622508"/>
    <w:rsid w:val="006226FF"/>
    <w:rsid w:val="006240BF"/>
    <w:rsid w:val="0062453B"/>
    <w:rsid w:val="006249AD"/>
    <w:rsid w:val="00625823"/>
    <w:rsid w:val="00625C43"/>
    <w:rsid w:val="00626D52"/>
    <w:rsid w:val="00626FE7"/>
    <w:rsid w:val="00627656"/>
    <w:rsid w:val="0063009F"/>
    <w:rsid w:val="00630150"/>
    <w:rsid w:val="0063088A"/>
    <w:rsid w:val="00630FED"/>
    <w:rsid w:val="00631448"/>
    <w:rsid w:val="0063267D"/>
    <w:rsid w:val="006327D7"/>
    <w:rsid w:val="00632AF3"/>
    <w:rsid w:val="006330AD"/>
    <w:rsid w:val="006340B7"/>
    <w:rsid w:val="006356C5"/>
    <w:rsid w:val="00636465"/>
    <w:rsid w:val="00636D29"/>
    <w:rsid w:val="00640869"/>
    <w:rsid w:val="00642033"/>
    <w:rsid w:val="006426D4"/>
    <w:rsid w:val="00642FF2"/>
    <w:rsid w:val="0064323B"/>
    <w:rsid w:val="00643FF9"/>
    <w:rsid w:val="006445D9"/>
    <w:rsid w:val="00645451"/>
    <w:rsid w:val="00645610"/>
    <w:rsid w:val="00646350"/>
    <w:rsid w:val="006465E9"/>
    <w:rsid w:val="00646CF1"/>
    <w:rsid w:val="00647AD8"/>
    <w:rsid w:val="00647CDB"/>
    <w:rsid w:val="00650E26"/>
    <w:rsid w:val="006511FE"/>
    <w:rsid w:val="0065240C"/>
    <w:rsid w:val="00654793"/>
    <w:rsid w:val="00654D02"/>
    <w:rsid w:val="00654E90"/>
    <w:rsid w:val="00655134"/>
    <w:rsid w:val="006563A8"/>
    <w:rsid w:val="00656C55"/>
    <w:rsid w:val="0065790A"/>
    <w:rsid w:val="00660DC5"/>
    <w:rsid w:val="00661804"/>
    <w:rsid w:val="006622D0"/>
    <w:rsid w:val="00662519"/>
    <w:rsid w:val="00662631"/>
    <w:rsid w:val="00663536"/>
    <w:rsid w:val="0066401D"/>
    <w:rsid w:val="00664BA6"/>
    <w:rsid w:val="00664D65"/>
    <w:rsid w:val="00666989"/>
    <w:rsid w:val="00671642"/>
    <w:rsid w:val="006724E2"/>
    <w:rsid w:val="00673287"/>
    <w:rsid w:val="00673582"/>
    <w:rsid w:val="00673978"/>
    <w:rsid w:val="006766EF"/>
    <w:rsid w:val="00677F35"/>
    <w:rsid w:val="00680066"/>
    <w:rsid w:val="006800A2"/>
    <w:rsid w:val="006804E3"/>
    <w:rsid w:val="0068078B"/>
    <w:rsid w:val="00680B88"/>
    <w:rsid w:val="00681B9A"/>
    <w:rsid w:val="00681F82"/>
    <w:rsid w:val="00681FF4"/>
    <w:rsid w:val="00682123"/>
    <w:rsid w:val="0068292A"/>
    <w:rsid w:val="00682E75"/>
    <w:rsid w:val="0068436E"/>
    <w:rsid w:val="00686784"/>
    <w:rsid w:val="00687722"/>
    <w:rsid w:val="00687895"/>
    <w:rsid w:val="00690E33"/>
    <w:rsid w:val="00692046"/>
    <w:rsid w:val="00693B34"/>
    <w:rsid w:val="00693B4E"/>
    <w:rsid w:val="00693CE3"/>
    <w:rsid w:val="006943AB"/>
    <w:rsid w:val="00694593"/>
    <w:rsid w:val="006950A8"/>
    <w:rsid w:val="00695402"/>
    <w:rsid w:val="0069618E"/>
    <w:rsid w:val="00696EB4"/>
    <w:rsid w:val="0069704E"/>
    <w:rsid w:val="006A031F"/>
    <w:rsid w:val="006A17A8"/>
    <w:rsid w:val="006A2268"/>
    <w:rsid w:val="006A6B32"/>
    <w:rsid w:val="006A6BB3"/>
    <w:rsid w:val="006A7833"/>
    <w:rsid w:val="006B055E"/>
    <w:rsid w:val="006B3911"/>
    <w:rsid w:val="006B3DE1"/>
    <w:rsid w:val="006B6BB8"/>
    <w:rsid w:val="006B724B"/>
    <w:rsid w:val="006B78B9"/>
    <w:rsid w:val="006B7939"/>
    <w:rsid w:val="006C0642"/>
    <w:rsid w:val="006C1C9F"/>
    <w:rsid w:val="006C2818"/>
    <w:rsid w:val="006C2DF1"/>
    <w:rsid w:val="006C40F0"/>
    <w:rsid w:val="006C53EC"/>
    <w:rsid w:val="006C70C8"/>
    <w:rsid w:val="006C78D2"/>
    <w:rsid w:val="006D0407"/>
    <w:rsid w:val="006D2074"/>
    <w:rsid w:val="006D33E9"/>
    <w:rsid w:val="006D5218"/>
    <w:rsid w:val="006D5EE5"/>
    <w:rsid w:val="006D646A"/>
    <w:rsid w:val="006D67D0"/>
    <w:rsid w:val="006D6D7E"/>
    <w:rsid w:val="006D7231"/>
    <w:rsid w:val="006D752B"/>
    <w:rsid w:val="006D7A1D"/>
    <w:rsid w:val="006E23A6"/>
    <w:rsid w:val="006E418D"/>
    <w:rsid w:val="006E465A"/>
    <w:rsid w:val="006E47D9"/>
    <w:rsid w:val="006E6D3B"/>
    <w:rsid w:val="006E6E25"/>
    <w:rsid w:val="006E6F69"/>
    <w:rsid w:val="006F00D7"/>
    <w:rsid w:val="006F1D84"/>
    <w:rsid w:val="006F2122"/>
    <w:rsid w:val="006F2685"/>
    <w:rsid w:val="006F49EA"/>
    <w:rsid w:val="006F4F3B"/>
    <w:rsid w:val="006F4F8E"/>
    <w:rsid w:val="006F55FF"/>
    <w:rsid w:val="006F69E6"/>
    <w:rsid w:val="006F7D15"/>
    <w:rsid w:val="00700B8A"/>
    <w:rsid w:val="0070102D"/>
    <w:rsid w:val="00701A2E"/>
    <w:rsid w:val="00702CB3"/>
    <w:rsid w:val="00703433"/>
    <w:rsid w:val="00703522"/>
    <w:rsid w:val="00703CE9"/>
    <w:rsid w:val="007068DA"/>
    <w:rsid w:val="00711010"/>
    <w:rsid w:val="0071156E"/>
    <w:rsid w:val="00711BA9"/>
    <w:rsid w:val="00713343"/>
    <w:rsid w:val="00713A9C"/>
    <w:rsid w:val="007145CE"/>
    <w:rsid w:val="00714876"/>
    <w:rsid w:val="00714E50"/>
    <w:rsid w:val="00714FF5"/>
    <w:rsid w:val="0071502C"/>
    <w:rsid w:val="007177A2"/>
    <w:rsid w:val="00720268"/>
    <w:rsid w:val="007202D9"/>
    <w:rsid w:val="0072036E"/>
    <w:rsid w:val="00720F79"/>
    <w:rsid w:val="0072343F"/>
    <w:rsid w:val="00723F2B"/>
    <w:rsid w:val="00724157"/>
    <w:rsid w:val="0072437B"/>
    <w:rsid w:val="007247C3"/>
    <w:rsid w:val="00725622"/>
    <w:rsid w:val="00725660"/>
    <w:rsid w:val="0072661F"/>
    <w:rsid w:val="007279F5"/>
    <w:rsid w:val="00727F6D"/>
    <w:rsid w:val="00730484"/>
    <w:rsid w:val="00730BD2"/>
    <w:rsid w:val="00731FAF"/>
    <w:rsid w:val="00733842"/>
    <w:rsid w:val="007341C6"/>
    <w:rsid w:val="00735EA2"/>
    <w:rsid w:val="007379EC"/>
    <w:rsid w:val="007410D9"/>
    <w:rsid w:val="00742E71"/>
    <w:rsid w:val="00744B91"/>
    <w:rsid w:val="007468DE"/>
    <w:rsid w:val="0074795C"/>
    <w:rsid w:val="0075024A"/>
    <w:rsid w:val="00752CFE"/>
    <w:rsid w:val="00753EB3"/>
    <w:rsid w:val="007540BF"/>
    <w:rsid w:val="00754175"/>
    <w:rsid w:val="00754647"/>
    <w:rsid w:val="00754986"/>
    <w:rsid w:val="00754E9F"/>
    <w:rsid w:val="007553F8"/>
    <w:rsid w:val="007559A9"/>
    <w:rsid w:val="00756541"/>
    <w:rsid w:val="00756D22"/>
    <w:rsid w:val="007570CD"/>
    <w:rsid w:val="00761DB2"/>
    <w:rsid w:val="00762D65"/>
    <w:rsid w:val="007637A8"/>
    <w:rsid w:val="00763C0A"/>
    <w:rsid w:val="00764243"/>
    <w:rsid w:val="007644AF"/>
    <w:rsid w:val="0076484E"/>
    <w:rsid w:val="00765B58"/>
    <w:rsid w:val="007679FA"/>
    <w:rsid w:val="00767B72"/>
    <w:rsid w:val="00770DCB"/>
    <w:rsid w:val="00774F66"/>
    <w:rsid w:val="00775075"/>
    <w:rsid w:val="00775413"/>
    <w:rsid w:val="00775485"/>
    <w:rsid w:val="0077557D"/>
    <w:rsid w:val="00775F98"/>
    <w:rsid w:val="00776AFB"/>
    <w:rsid w:val="00777BD9"/>
    <w:rsid w:val="00782615"/>
    <w:rsid w:val="00783532"/>
    <w:rsid w:val="00783691"/>
    <w:rsid w:val="007837D5"/>
    <w:rsid w:val="00783F16"/>
    <w:rsid w:val="00784169"/>
    <w:rsid w:val="00784274"/>
    <w:rsid w:val="007846B5"/>
    <w:rsid w:val="00784EBA"/>
    <w:rsid w:val="007861D9"/>
    <w:rsid w:val="00787008"/>
    <w:rsid w:val="007879ED"/>
    <w:rsid w:val="0079227D"/>
    <w:rsid w:val="0079284E"/>
    <w:rsid w:val="00793E80"/>
    <w:rsid w:val="00793F34"/>
    <w:rsid w:val="00794869"/>
    <w:rsid w:val="00794F9C"/>
    <w:rsid w:val="007952FC"/>
    <w:rsid w:val="00795572"/>
    <w:rsid w:val="00795C2C"/>
    <w:rsid w:val="0079750E"/>
    <w:rsid w:val="00797898"/>
    <w:rsid w:val="007A027C"/>
    <w:rsid w:val="007A13C5"/>
    <w:rsid w:val="007A2321"/>
    <w:rsid w:val="007A28A6"/>
    <w:rsid w:val="007A37DF"/>
    <w:rsid w:val="007A389B"/>
    <w:rsid w:val="007A48C4"/>
    <w:rsid w:val="007A51F2"/>
    <w:rsid w:val="007B06EA"/>
    <w:rsid w:val="007B1C61"/>
    <w:rsid w:val="007B2181"/>
    <w:rsid w:val="007B2268"/>
    <w:rsid w:val="007B62C1"/>
    <w:rsid w:val="007C11A6"/>
    <w:rsid w:val="007C1A9F"/>
    <w:rsid w:val="007C1EAB"/>
    <w:rsid w:val="007C2DAC"/>
    <w:rsid w:val="007C509C"/>
    <w:rsid w:val="007C6433"/>
    <w:rsid w:val="007C6578"/>
    <w:rsid w:val="007C6C93"/>
    <w:rsid w:val="007C7191"/>
    <w:rsid w:val="007C72C3"/>
    <w:rsid w:val="007C73FD"/>
    <w:rsid w:val="007C75BA"/>
    <w:rsid w:val="007C7771"/>
    <w:rsid w:val="007D15AE"/>
    <w:rsid w:val="007D15F6"/>
    <w:rsid w:val="007D18B3"/>
    <w:rsid w:val="007D1BD6"/>
    <w:rsid w:val="007D1DCB"/>
    <w:rsid w:val="007D2F00"/>
    <w:rsid w:val="007D36CF"/>
    <w:rsid w:val="007D4FC5"/>
    <w:rsid w:val="007D58F6"/>
    <w:rsid w:val="007D79AD"/>
    <w:rsid w:val="007D7F97"/>
    <w:rsid w:val="007E0AF9"/>
    <w:rsid w:val="007E10AF"/>
    <w:rsid w:val="007E14E4"/>
    <w:rsid w:val="007E3F24"/>
    <w:rsid w:val="007E4B13"/>
    <w:rsid w:val="007E5B88"/>
    <w:rsid w:val="007E5EC8"/>
    <w:rsid w:val="007E70B4"/>
    <w:rsid w:val="007E75B7"/>
    <w:rsid w:val="007F0D0B"/>
    <w:rsid w:val="007F1375"/>
    <w:rsid w:val="007F192F"/>
    <w:rsid w:val="007F26D5"/>
    <w:rsid w:val="007F2F2D"/>
    <w:rsid w:val="007F35E9"/>
    <w:rsid w:val="007F3B77"/>
    <w:rsid w:val="007F4BFE"/>
    <w:rsid w:val="007F4F9D"/>
    <w:rsid w:val="007F6939"/>
    <w:rsid w:val="007F7465"/>
    <w:rsid w:val="008007A8"/>
    <w:rsid w:val="008041E9"/>
    <w:rsid w:val="008042D9"/>
    <w:rsid w:val="00804BB9"/>
    <w:rsid w:val="00806621"/>
    <w:rsid w:val="00806FC4"/>
    <w:rsid w:val="00807433"/>
    <w:rsid w:val="00811C0D"/>
    <w:rsid w:val="00812B59"/>
    <w:rsid w:val="0081331C"/>
    <w:rsid w:val="00813CBA"/>
    <w:rsid w:val="00814F34"/>
    <w:rsid w:val="00814FC0"/>
    <w:rsid w:val="0081597B"/>
    <w:rsid w:val="008163A0"/>
    <w:rsid w:val="00817C73"/>
    <w:rsid w:val="008204F9"/>
    <w:rsid w:val="00821281"/>
    <w:rsid w:val="00821802"/>
    <w:rsid w:val="0082200E"/>
    <w:rsid w:val="0082222C"/>
    <w:rsid w:val="00822C34"/>
    <w:rsid w:val="00822F49"/>
    <w:rsid w:val="00823005"/>
    <w:rsid w:val="00824C4A"/>
    <w:rsid w:val="00824F1D"/>
    <w:rsid w:val="0082649B"/>
    <w:rsid w:val="00826D59"/>
    <w:rsid w:val="00827A68"/>
    <w:rsid w:val="008307C1"/>
    <w:rsid w:val="00831D74"/>
    <w:rsid w:val="0083360D"/>
    <w:rsid w:val="008347C5"/>
    <w:rsid w:val="00834A39"/>
    <w:rsid w:val="00834E96"/>
    <w:rsid w:val="008352AC"/>
    <w:rsid w:val="00836259"/>
    <w:rsid w:val="008404FA"/>
    <w:rsid w:val="008404FF"/>
    <w:rsid w:val="00841BA0"/>
    <w:rsid w:val="00842791"/>
    <w:rsid w:val="008428FB"/>
    <w:rsid w:val="00843915"/>
    <w:rsid w:val="008449B9"/>
    <w:rsid w:val="00846E4D"/>
    <w:rsid w:val="00847191"/>
    <w:rsid w:val="0085066B"/>
    <w:rsid w:val="00850B09"/>
    <w:rsid w:val="00851387"/>
    <w:rsid w:val="008519D5"/>
    <w:rsid w:val="008557DA"/>
    <w:rsid w:val="00856AFC"/>
    <w:rsid w:val="00857334"/>
    <w:rsid w:val="00857554"/>
    <w:rsid w:val="00861B18"/>
    <w:rsid w:val="0086254F"/>
    <w:rsid w:val="00863854"/>
    <w:rsid w:val="00863E32"/>
    <w:rsid w:val="00864988"/>
    <w:rsid w:val="00864A4A"/>
    <w:rsid w:val="00864FEA"/>
    <w:rsid w:val="0086518A"/>
    <w:rsid w:val="0086651F"/>
    <w:rsid w:val="00866BF9"/>
    <w:rsid w:val="008679D7"/>
    <w:rsid w:val="00867F72"/>
    <w:rsid w:val="00870C92"/>
    <w:rsid w:val="00870F04"/>
    <w:rsid w:val="00870F2F"/>
    <w:rsid w:val="0087106F"/>
    <w:rsid w:val="008712B3"/>
    <w:rsid w:val="008724DE"/>
    <w:rsid w:val="00872A42"/>
    <w:rsid w:val="00873ECB"/>
    <w:rsid w:val="00874D07"/>
    <w:rsid w:val="00874FF5"/>
    <w:rsid w:val="00875705"/>
    <w:rsid w:val="00875722"/>
    <w:rsid w:val="008758D9"/>
    <w:rsid w:val="00875F0E"/>
    <w:rsid w:val="00876071"/>
    <w:rsid w:val="0087639E"/>
    <w:rsid w:val="00877603"/>
    <w:rsid w:val="00877B8E"/>
    <w:rsid w:val="00880195"/>
    <w:rsid w:val="00881F88"/>
    <w:rsid w:val="008820BD"/>
    <w:rsid w:val="00882B0A"/>
    <w:rsid w:val="0088395B"/>
    <w:rsid w:val="00884540"/>
    <w:rsid w:val="008859F4"/>
    <w:rsid w:val="00885AB6"/>
    <w:rsid w:val="00887DC1"/>
    <w:rsid w:val="008902CE"/>
    <w:rsid w:val="00890852"/>
    <w:rsid w:val="00890EFF"/>
    <w:rsid w:val="008910A3"/>
    <w:rsid w:val="00891175"/>
    <w:rsid w:val="008913D6"/>
    <w:rsid w:val="00891733"/>
    <w:rsid w:val="00891C13"/>
    <w:rsid w:val="00892D4D"/>
    <w:rsid w:val="00892DEB"/>
    <w:rsid w:val="00894E05"/>
    <w:rsid w:val="0089566E"/>
    <w:rsid w:val="00895E9A"/>
    <w:rsid w:val="00896D8E"/>
    <w:rsid w:val="00896DBA"/>
    <w:rsid w:val="0089702C"/>
    <w:rsid w:val="00897248"/>
    <w:rsid w:val="00897C89"/>
    <w:rsid w:val="008A03F1"/>
    <w:rsid w:val="008A0558"/>
    <w:rsid w:val="008A0E32"/>
    <w:rsid w:val="008A2B21"/>
    <w:rsid w:val="008A31C9"/>
    <w:rsid w:val="008A35FB"/>
    <w:rsid w:val="008A3D57"/>
    <w:rsid w:val="008A4576"/>
    <w:rsid w:val="008A58E7"/>
    <w:rsid w:val="008A719A"/>
    <w:rsid w:val="008B23BC"/>
    <w:rsid w:val="008B3899"/>
    <w:rsid w:val="008B495F"/>
    <w:rsid w:val="008B4E9A"/>
    <w:rsid w:val="008B5207"/>
    <w:rsid w:val="008B5923"/>
    <w:rsid w:val="008B6145"/>
    <w:rsid w:val="008C09B9"/>
    <w:rsid w:val="008C1EB1"/>
    <w:rsid w:val="008C2BDA"/>
    <w:rsid w:val="008C429A"/>
    <w:rsid w:val="008C48CD"/>
    <w:rsid w:val="008C59C8"/>
    <w:rsid w:val="008C61B7"/>
    <w:rsid w:val="008C62A8"/>
    <w:rsid w:val="008C6A34"/>
    <w:rsid w:val="008C6A88"/>
    <w:rsid w:val="008C6B96"/>
    <w:rsid w:val="008C7A11"/>
    <w:rsid w:val="008D0DF1"/>
    <w:rsid w:val="008D207C"/>
    <w:rsid w:val="008D26B1"/>
    <w:rsid w:val="008D60F3"/>
    <w:rsid w:val="008D67BA"/>
    <w:rsid w:val="008E0FBE"/>
    <w:rsid w:val="008E1435"/>
    <w:rsid w:val="008E1648"/>
    <w:rsid w:val="008E1CED"/>
    <w:rsid w:val="008E2478"/>
    <w:rsid w:val="008E2B03"/>
    <w:rsid w:val="008E3231"/>
    <w:rsid w:val="008E328C"/>
    <w:rsid w:val="008E34B5"/>
    <w:rsid w:val="008E3550"/>
    <w:rsid w:val="008E3C33"/>
    <w:rsid w:val="008E3D60"/>
    <w:rsid w:val="008E3F4C"/>
    <w:rsid w:val="008E44BF"/>
    <w:rsid w:val="008E4E85"/>
    <w:rsid w:val="008E69DC"/>
    <w:rsid w:val="008E6D08"/>
    <w:rsid w:val="008E70A2"/>
    <w:rsid w:val="008E7CE9"/>
    <w:rsid w:val="008F062E"/>
    <w:rsid w:val="008F0D25"/>
    <w:rsid w:val="008F1CE5"/>
    <w:rsid w:val="008F2150"/>
    <w:rsid w:val="008F286B"/>
    <w:rsid w:val="008F3ACE"/>
    <w:rsid w:val="008F3BEA"/>
    <w:rsid w:val="008F4089"/>
    <w:rsid w:val="008F5599"/>
    <w:rsid w:val="008F56B2"/>
    <w:rsid w:val="008F65D7"/>
    <w:rsid w:val="008F65E4"/>
    <w:rsid w:val="00900790"/>
    <w:rsid w:val="00901589"/>
    <w:rsid w:val="0090165F"/>
    <w:rsid w:val="00901B82"/>
    <w:rsid w:val="00903CA3"/>
    <w:rsid w:val="009041B0"/>
    <w:rsid w:val="009044E8"/>
    <w:rsid w:val="00904E41"/>
    <w:rsid w:val="009070C0"/>
    <w:rsid w:val="009076D8"/>
    <w:rsid w:val="009100D5"/>
    <w:rsid w:val="00910E1F"/>
    <w:rsid w:val="00912B09"/>
    <w:rsid w:val="009137FE"/>
    <w:rsid w:val="0091422E"/>
    <w:rsid w:val="00914556"/>
    <w:rsid w:val="00914D89"/>
    <w:rsid w:val="009150B9"/>
    <w:rsid w:val="009167DE"/>
    <w:rsid w:val="009173D4"/>
    <w:rsid w:val="00917F76"/>
    <w:rsid w:val="009201EE"/>
    <w:rsid w:val="0092080C"/>
    <w:rsid w:val="009211ED"/>
    <w:rsid w:val="00921E8F"/>
    <w:rsid w:val="009221B2"/>
    <w:rsid w:val="00922FC6"/>
    <w:rsid w:val="0092342E"/>
    <w:rsid w:val="009236A9"/>
    <w:rsid w:val="00924709"/>
    <w:rsid w:val="00925563"/>
    <w:rsid w:val="009261B9"/>
    <w:rsid w:val="00927093"/>
    <w:rsid w:val="00927900"/>
    <w:rsid w:val="0093003C"/>
    <w:rsid w:val="00932BBB"/>
    <w:rsid w:val="00933320"/>
    <w:rsid w:val="00934072"/>
    <w:rsid w:val="009344DB"/>
    <w:rsid w:val="00935DD0"/>
    <w:rsid w:val="00937CD9"/>
    <w:rsid w:val="009417A4"/>
    <w:rsid w:val="00941C66"/>
    <w:rsid w:val="009432CF"/>
    <w:rsid w:val="00944325"/>
    <w:rsid w:val="00944487"/>
    <w:rsid w:val="00944718"/>
    <w:rsid w:val="009451E1"/>
    <w:rsid w:val="00945319"/>
    <w:rsid w:val="00945D26"/>
    <w:rsid w:val="009477C0"/>
    <w:rsid w:val="009477CD"/>
    <w:rsid w:val="00950636"/>
    <w:rsid w:val="00950C86"/>
    <w:rsid w:val="009539FA"/>
    <w:rsid w:val="00953D32"/>
    <w:rsid w:val="009564B9"/>
    <w:rsid w:val="0095655C"/>
    <w:rsid w:val="009569C6"/>
    <w:rsid w:val="00957396"/>
    <w:rsid w:val="00957A2B"/>
    <w:rsid w:val="00960934"/>
    <w:rsid w:val="00961F3B"/>
    <w:rsid w:val="00964019"/>
    <w:rsid w:val="00964ACA"/>
    <w:rsid w:val="0096595B"/>
    <w:rsid w:val="00965CB7"/>
    <w:rsid w:val="00965CC6"/>
    <w:rsid w:val="00966423"/>
    <w:rsid w:val="0096679A"/>
    <w:rsid w:val="00966C2F"/>
    <w:rsid w:val="00967062"/>
    <w:rsid w:val="0096742A"/>
    <w:rsid w:val="0097144E"/>
    <w:rsid w:val="00971CA0"/>
    <w:rsid w:val="00972618"/>
    <w:rsid w:val="00972B60"/>
    <w:rsid w:val="00973113"/>
    <w:rsid w:val="0097512B"/>
    <w:rsid w:val="009756CB"/>
    <w:rsid w:val="0097737F"/>
    <w:rsid w:val="00977E8E"/>
    <w:rsid w:val="00980E21"/>
    <w:rsid w:val="00982404"/>
    <w:rsid w:val="00986EA8"/>
    <w:rsid w:val="009878F1"/>
    <w:rsid w:val="009908A3"/>
    <w:rsid w:val="009909F7"/>
    <w:rsid w:val="00992200"/>
    <w:rsid w:val="00992E2C"/>
    <w:rsid w:val="009A0938"/>
    <w:rsid w:val="009A1259"/>
    <w:rsid w:val="009A569F"/>
    <w:rsid w:val="009A5873"/>
    <w:rsid w:val="009A5942"/>
    <w:rsid w:val="009A69BC"/>
    <w:rsid w:val="009A7278"/>
    <w:rsid w:val="009A777F"/>
    <w:rsid w:val="009B0778"/>
    <w:rsid w:val="009B0E40"/>
    <w:rsid w:val="009B120B"/>
    <w:rsid w:val="009B1867"/>
    <w:rsid w:val="009B1EB4"/>
    <w:rsid w:val="009B3858"/>
    <w:rsid w:val="009B4682"/>
    <w:rsid w:val="009B4E74"/>
    <w:rsid w:val="009B541A"/>
    <w:rsid w:val="009B6D8A"/>
    <w:rsid w:val="009B7358"/>
    <w:rsid w:val="009C04E2"/>
    <w:rsid w:val="009C3BDE"/>
    <w:rsid w:val="009C3E01"/>
    <w:rsid w:val="009C488F"/>
    <w:rsid w:val="009C5C05"/>
    <w:rsid w:val="009C6013"/>
    <w:rsid w:val="009C6C5C"/>
    <w:rsid w:val="009D1DF3"/>
    <w:rsid w:val="009D21A1"/>
    <w:rsid w:val="009D30FF"/>
    <w:rsid w:val="009D4228"/>
    <w:rsid w:val="009D47CB"/>
    <w:rsid w:val="009D663C"/>
    <w:rsid w:val="009D67F6"/>
    <w:rsid w:val="009D6A89"/>
    <w:rsid w:val="009D6BAA"/>
    <w:rsid w:val="009E08D1"/>
    <w:rsid w:val="009E0FE1"/>
    <w:rsid w:val="009E1176"/>
    <w:rsid w:val="009E19F4"/>
    <w:rsid w:val="009E1DD5"/>
    <w:rsid w:val="009E2379"/>
    <w:rsid w:val="009E23A2"/>
    <w:rsid w:val="009E317D"/>
    <w:rsid w:val="009E32BB"/>
    <w:rsid w:val="009E3D85"/>
    <w:rsid w:val="009E3ECC"/>
    <w:rsid w:val="009E4BD0"/>
    <w:rsid w:val="009E4FC6"/>
    <w:rsid w:val="009E5475"/>
    <w:rsid w:val="009F00DC"/>
    <w:rsid w:val="009F23CA"/>
    <w:rsid w:val="009F23EC"/>
    <w:rsid w:val="009F2764"/>
    <w:rsid w:val="009F568E"/>
    <w:rsid w:val="009F6939"/>
    <w:rsid w:val="00A003BB"/>
    <w:rsid w:val="00A00AF9"/>
    <w:rsid w:val="00A02547"/>
    <w:rsid w:val="00A0271A"/>
    <w:rsid w:val="00A0278A"/>
    <w:rsid w:val="00A02D6B"/>
    <w:rsid w:val="00A03626"/>
    <w:rsid w:val="00A03CB2"/>
    <w:rsid w:val="00A04003"/>
    <w:rsid w:val="00A0406E"/>
    <w:rsid w:val="00A04096"/>
    <w:rsid w:val="00A04281"/>
    <w:rsid w:val="00A0443E"/>
    <w:rsid w:val="00A05213"/>
    <w:rsid w:val="00A0532A"/>
    <w:rsid w:val="00A063F4"/>
    <w:rsid w:val="00A100B5"/>
    <w:rsid w:val="00A10EAC"/>
    <w:rsid w:val="00A11307"/>
    <w:rsid w:val="00A1164F"/>
    <w:rsid w:val="00A12EE3"/>
    <w:rsid w:val="00A13AF3"/>
    <w:rsid w:val="00A14460"/>
    <w:rsid w:val="00A144AB"/>
    <w:rsid w:val="00A16081"/>
    <w:rsid w:val="00A1612B"/>
    <w:rsid w:val="00A16753"/>
    <w:rsid w:val="00A17B0F"/>
    <w:rsid w:val="00A17C21"/>
    <w:rsid w:val="00A20000"/>
    <w:rsid w:val="00A20AEA"/>
    <w:rsid w:val="00A21115"/>
    <w:rsid w:val="00A21388"/>
    <w:rsid w:val="00A222B2"/>
    <w:rsid w:val="00A235D3"/>
    <w:rsid w:val="00A235E7"/>
    <w:rsid w:val="00A239DD"/>
    <w:rsid w:val="00A249DA"/>
    <w:rsid w:val="00A24AA3"/>
    <w:rsid w:val="00A2588D"/>
    <w:rsid w:val="00A25CA7"/>
    <w:rsid w:val="00A27791"/>
    <w:rsid w:val="00A27ABE"/>
    <w:rsid w:val="00A301E4"/>
    <w:rsid w:val="00A303FE"/>
    <w:rsid w:val="00A30DDA"/>
    <w:rsid w:val="00A31586"/>
    <w:rsid w:val="00A32853"/>
    <w:rsid w:val="00A3304A"/>
    <w:rsid w:val="00A340A3"/>
    <w:rsid w:val="00A349A6"/>
    <w:rsid w:val="00A34D4B"/>
    <w:rsid w:val="00A35115"/>
    <w:rsid w:val="00A355F9"/>
    <w:rsid w:val="00A36911"/>
    <w:rsid w:val="00A36DA1"/>
    <w:rsid w:val="00A37ED8"/>
    <w:rsid w:val="00A41355"/>
    <w:rsid w:val="00A41CE2"/>
    <w:rsid w:val="00A4273C"/>
    <w:rsid w:val="00A437B6"/>
    <w:rsid w:val="00A4384A"/>
    <w:rsid w:val="00A43B92"/>
    <w:rsid w:val="00A43C3D"/>
    <w:rsid w:val="00A44A82"/>
    <w:rsid w:val="00A44F2B"/>
    <w:rsid w:val="00A450EB"/>
    <w:rsid w:val="00A4519D"/>
    <w:rsid w:val="00A452EA"/>
    <w:rsid w:val="00A468EB"/>
    <w:rsid w:val="00A46B67"/>
    <w:rsid w:val="00A50132"/>
    <w:rsid w:val="00A51412"/>
    <w:rsid w:val="00A52FC8"/>
    <w:rsid w:val="00A534F1"/>
    <w:rsid w:val="00A53CB7"/>
    <w:rsid w:val="00A53F31"/>
    <w:rsid w:val="00A54251"/>
    <w:rsid w:val="00A544D3"/>
    <w:rsid w:val="00A54F1C"/>
    <w:rsid w:val="00A60AF4"/>
    <w:rsid w:val="00A60FEB"/>
    <w:rsid w:val="00A6179E"/>
    <w:rsid w:val="00A623A1"/>
    <w:rsid w:val="00A635C1"/>
    <w:rsid w:val="00A635CB"/>
    <w:rsid w:val="00A63824"/>
    <w:rsid w:val="00A63BA7"/>
    <w:rsid w:val="00A63D0F"/>
    <w:rsid w:val="00A642EE"/>
    <w:rsid w:val="00A64316"/>
    <w:rsid w:val="00A65C5B"/>
    <w:rsid w:val="00A66D6C"/>
    <w:rsid w:val="00A67215"/>
    <w:rsid w:val="00A70652"/>
    <w:rsid w:val="00A7307F"/>
    <w:rsid w:val="00A73431"/>
    <w:rsid w:val="00A73E65"/>
    <w:rsid w:val="00A741A0"/>
    <w:rsid w:val="00A743A2"/>
    <w:rsid w:val="00A74D2D"/>
    <w:rsid w:val="00A74DA6"/>
    <w:rsid w:val="00A75B9D"/>
    <w:rsid w:val="00A76E89"/>
    <w:rsid w:val="00A804D9"/>
    <w:rsid w:val="00A80835"/>
    <w:rsid w:val="00A82C06"/>
    <w:rsid w:val="00A83892"/>
    <w:rsid w:val="00A83C4A"/>
    <w:rsid w:val="00A84B3D"/>
    <w:rsid w:val="00A8573B"/>
    <w:rsid w:val="00A86582"/>
    <w:rsid w:val="00A871FF"/>
    <w:rsid w:val="00A90096"/>
    <w:rsid w:val="00A92915"/>
    <w:rsid w:val="00A92F92"/>
    <w:rsid w:val="00A93426"/>
    <w:rsid w:val="00A93BC3"/>
    <w:rsid w:val="00A94B99"/>
    <w:rsid w:val="00A96060"/>
    <w:rsid w:val="00A96892"/>
    <w:rsid w:val="00A97BD7"/>
    <w:rsid w:val="00A97F0A"/>
    <w:rsid w:val="00AA03A5"/>
    <w:rsid w:val="00AA17CB"/>
    <w:rsid w:val="00AA2051"/>
    <w:rsid w:val="00AA206F"/>
    <w:rsid w:val="00AA264E"/>
    <w:rsid w:val="00AA2986"/>
    <w:rsid w:val="00AA3851"/>
    <w:rsid w:val="00AA40D0"/>
    <w:rsid w:val="00AA49B4"/>
    <w:rsid w:val="00AA4F61"/>
    <w:rsid w:val="00AA5B3A"/>
    <w:rsid w:val="00AA6AC9"/>
    <w:rsid w:val="00AA70C4"/>
    <w:rsid w:val="00AA7877"/>
    <w:rsid w:val="00AB01F8"/>
    <w:rsid w:val="00AB1648"/>
    <w:rsid w:val="00AB4989"/>
    <w:rsid w:val="00AB5E46"/>
    <w:rsid w:val="00AB5EDF"/>
    <w:rsid w:val="00AB6006"/>
    <w:rsid w:val="00AB7C8F"/>
    <w:rsid w:val="00AC1B55"/>
    <w:rsid w:val="00AC1BEE"/>
    <w:rsid w:val="00AC2192"/>
    <w:rsid w:val="00AC3243"/>
    <w:rsid w:val="00AC4007"/>
    <w:rsid w:val="00AC4F9A"/>
    <w:rsid w:val="00AC6101"/>
    <w:rsid w:val="00AC636D"/>
    <w:rsid w:val="00AC6A46"/>
    <w:rsid w:val="00AC772C"/>
    <w:rsid w:val="00AC7871"/>
    <w:rsid w:val="00AD0760"/>
    <w:rsid w:val="00AD08C5"/>
    <w:rsid w:val="00AD17E8"/>
    <w:rsid w:val="00AD328F"/>
    <w:rsid w:val="00AD4C08"/>
    <w:rsid w:val="00AD55A2"/>
    <w:rsid w:val="00AD588D"/>
    <w:rsid w:val="00AD6A85"/>
    <w:rsid w:val="00AE12AE"/>
    <w:rsid w:val="00AE2EEC"/>
    <w:rsid w:val="00AE3A0C"/>
    <w:rsid w:val="00AE3BA2"/>
    <w:rsid w:val="00AE53F9"/>
    <w:rsid w:val="00AE549A"/>
    <w:rsid w:val="00AE7076"/>
    <w:rsid w:val="00AE7344"/>
    <w:rsid w:val="00AF0013"/>
    <w:rsid w:val="00AF1C45"/>
    <w:rsid w:val="00AF5616"/>
    <w:rsid w:val="00AF5EB8"/>
    <w:rsid w:val="00B00071"/>
    <w:rsid w:val="00B00CFF"/>
    <w:rsid w:val="00B00D7B"/>
    <w:rsid w:val="00B00E90"/>
    <w:rsid w:val="00B00F61"/>
    <w:rsid w:val="00B01F6B"/>
    <w:rsid w:val="00B02736"/>
    <w:rsid w:val="00B03E2E"/>
    <w:rsid w:val="00B04A4C"/>
    <w:rsid w:val="00B05914"/>
    <w:rsid w:val="00B05922"/>
    <w:rsid w:val="00B06C11"/>
    <w:rsid w:val="00B07A74"/>
    <w:rsid w:val="00B07DAE"/>
    <w:rsid w:val="00B07F4F"/>
    <w:rsid w:val="00B112C3"/>
    <w:rsid w:val="00B115AC"/>
    <w:rsid w:val="00B11C8F"/>
    <w:rsid w:val="00B122F1"/>
    <w:rsid w:val="00B127EA"/>
    <w:rsid w:val="00B140E3"/>
    <w:rsid w:val="00B147E7"/>
    <w:rsid w:val="00B16A81"/>
    <w:rsid w:val="00B17018"/>
    <w:rsid w:val="00B17DF5"/>
    <w:rsid w:val="00B21287"/>
    <w:rsid w:val="00B237FB"/>
    <w:rsid w:val="00B23DBC"/>
    <w:rsid w:val="00B246A7"/>
    <w:rsid w:val="00B24B1D"/>
    <w:rsid w:val="00B24D54"/>
    <w:rsid w:val="00B254AB"/>
    <w:rsid w:val="00B26C33"/>
    <w:rsid w:val="00B277E0"/>
    <w:rsid w:val="00B279B6"/>
    <w:rsid w:val="00B3164D"/>
    <w:rsid w:val="00B328E1"/>
    <w:rsid w:val="00B32FFB"/>
    <w:rsid w:val="00B336C2"/>
    <w:rsid w:val="00B337E8"/>
    <w:rsid w:val="00B34946"/>
    <w:rsid w:val="00B34B1B"/>
    <w:rsid w:val="00B3668F"/>
    <w:rsid w:val="00B36B50"/>
    <w:rsid w:val="00B41942"/>
    <w:rsid w:val="00B41985"/>
    <w:rsid w:val="00B430A2"/>
    <w:rsid w:val="00B45000"/>
    <w:rsid w:val="00B458D4"/>
    <w:rsid w:val="00B46418"/>
    <w:rsid w:val="00B46421"/>
    <w:rsid w:val="00B50318"/>
    <w:rsid w:val="00B511EB"/>
    <w:rsid w:val="00B51261"/>
    <w:rsid w:val="00B519FD"/>
    <w:rsid w:val="00B520BC"/>
    <w:rsid w:val="00B52E4A"/>
    <w:rsid w:val="00B52FC5"/>
    <w:rsid w:val="00B5326A"/>
    <w:rsid w:val="00B539CC"/>
    <w:rsid w:val="00B53CBC"/>
    <w:rsid w:val="00B53EF0"/>
    <w:rsid w:val="00B54322"/>
    <w:rsid w:val="00B54793"/>
    <w:rsid w:val="00B5550C"/>
    <w:rsid w:val="00B55E64"/>
    <w:rsid w:val="00B563B1"/>
    <w:rsid w:val="00B57B60"/>
    <w:rsid w:val="00B57E07"/>
    <w:rsid w:val="00B60D82"/>
    <w:rsid w:val="00B614C2"/>
    <w:rsid w:val="00B62EC3"/>
    <w:rsid w:val="00B6340D"/>
    <w:rsid w:val="00B63943"/>
    <w:rsid w:val="00B63D24"/>
    <w:rsid w:val="00B64321"/>
    <w:rsid w:val="00B65172"/>
    <w:rsid w:val="00B65932"/>
    <w:rsid w:val="00B67EDF"/>
    <w:rsid w:val="00B70F6A"/>
    <w:rsid w:val="00B724BB"/>
    <w:rsid w:val="00B7265D"/>
    <w:rsid w:val="00B7297D"/>
    <w:rsid w:val="00B73E91"/>
    <w:rsid w:val="00B7465D"/>
    <w:rsid w:val="00B7474A"/>
    <w:rsid w:val="00B74A43"/>
    <w:rsid w:val="00B74C18"/>
    <w:rsid w:val="00B74FA8"/>
    <w:rsid w:val="00B75001"/>
    <w:rsid w:val="00B75C64"/>
    <w:rsid w:val="00B76A95"/>
    <w:rsid w:val="00B76C04"/>
    <w:rsid w:val="00B76D46"/>
    <w:rsid w:val="00B76F35"/>
    <w:rsid w:val="00B77F5A"/>
    <w:rsid w:val="00B803D3"/>
    <w:rsid w:val="00B80F52"/>
    <w:rsid w:val="00B81382"/>
    <w:rsid w:val="00B82AAB"/>
    <w:rsid w:val="00B83455"/>
    <w:rsid w:val="00B83AE7"/>
    <w:rsid w:val="00B83BFB"/>
    <w:rsid w:val="00B83DA8"/>
    <w:rsid w:val="00B865AC"/>
    <w:rsid w:val="00B86C64"/>
    <w:rsid w:val="00B8768D"/>
    <w:rsid w:val="00B87CB4"/>
    <w:rsid w:val="00B90EE1"/>
    <w:rsid w:val="00B910C9"/>
    <w:rsid w:val="00B910FD"/>
    <w:rsid w:val="00B91384"/>
    <w:rsid w:val="00B91C00"/>
    <w:rsid w:val="00B924E6"/>
    <w:rsid w:val="00B93C18"/>
    <w:rsid w:val="00B9532C"/>
    <w:rsid w:val="00B9589F"/>
    <w:rsid w:val="00B97540"/>
    <w:rsid w:val="00B97D39"/>
    <w:rsid w:val="00BA07F3"/>
    <w:rsid w:val="00BA09E8"/>
    <w:rsid w:val="00BA0BE9"/>
    <w:rsid w:val="00BA0CF4"/>
    <w:rsid w:val="00BA0E2E"/>
    <w:rsid w:val="00BA0E51"/>
    <w:rsid w:val="00BA1312"/>
    <w:rsid w:val="00BA23BC"/>
    <w:rsid w:val="00BA262D"/>
    <w:rsid w:val="00BA29A7"/>
    <w:rsid w:val="00BA2FA0"/>
    <w:rsid w:val="00BA32FD"/>
    <w:rsid w:val="00BA3313"/>
    <w:rsid w:val="00BA446C"/>
    <w:rsid w:val="00BA47FA"/>
    <w:rsid w:val="00BA4C3D"/>
    <w:rsid w:val="00BA506C"/>
    <w:rsid w:val="00BA5698"/>
    <w:rsid w:val="00BA5780"/>
    <w:rsid w:val="00BA6647"/>
    <w:rsid w:val="00BA67A6"/>
    <w:rsid w:val="00BB300C"/>
    <w:rsid w:val="00BB3A8E"/>
    <w:rsid w:val="00BB3F36"/>
    <w:rsid w:val="00BB7894"/>
    <w:rsid w:val="00BC0091"/>
    <w:rsid w:val="00BC1D80"/>
    <w:rsid w:val="00BC21F4"/>
    <w:rsid w:val="00BC2D79"/>
    <w:rsid w:val="00BC42B7"/>
    <w:rsid w:val="00BC4FC2"/>
    <w:rsid w:val="00BC5614"/>
    <w:rsid w:val="00BC72CD"/>
    <w:rsid w:val="00BC77A4"/>
    <w:rsid w:val="00BC77D1"/>
    <w:rsid w:val="00BC79EB"/>
    <w:rsid w:val="00BC7D67"/>
    <w:rsid w:val="00BD01D0"/>
    <w:rsid w:val="00BD02F8"/>
    <w:rsid w:val="00BD081F"/>
    <w:rsid w:val="00BD0A86"/>
    <w:rsid w:val="00BD28C0"/>
    <w:rsid w:val="00BD2B77"/>
    <w:rsid w:val="00BD2E03"/>
    <w:rsid w:val="00BD3BE3"/>
    <w:rsid w:val="00BD42A3"/>
    <w:rsid w:val="00BD4915"/>
    <w:rsid w:val="00BD4BC5"/>
    <w:rsid w:val="00BD6005"/>
    <w:rsid w:val="00BD6C76"/>
    <w:rsid w:val="00BD7459"/>
    <w:rsid w:val="00BD762E"/>
    <w:rsid w:val="00BD7FCF"/>
    <w:rsid w:val="00BE0210"/>
    <w:rsid w:val="00BE0337"/>
    <w:rsid w:val="00BE0B58"/>
    <w:rsid w:val="00BE4FFD"/>
    <w:rsid w:val="00BE51C9"/>
    <w:rsid w:val="00BE5644"/>
    <w:rsid w:val="00BE635F"/>
    <w:rsid w:val="00BF1AC5"/>
    <w:rsid w:val="00BF1E11"/>
    <w:rsid w:val="00BF2295"/>
    <w:rsid w:val="00BF2A12"/>
    <w:rsid w:val="00BF37D3"/>
    <w:rsid w:val="00BF3B7A"/>
    <w:rsid w:val="00BF494F"/>
    <w:rsid w:val="00BF6406"/>
    <w:rsid w:val="00BF69AF"/>
    <w:rsid w:val="00BF72AC"/>
    <w:rsid w:val="00C00087"/>
    <w:rsid w:val="00C0024B"/>
    <w:rsid w:val="00C00733"/>
    <w:rsid w:val="00C01EF1"/>
    <w:rsid w:val="00C020E8"/>
    <w:rsid w:val="00C0278C"/>
    <w:rsid w:val="00C03370"/>
    <w:rsid w:val="00C03590"/>
    <w:rsid w:val="00C0386B"/>
    <w:rsid w:val="00C05CF7"/>
    <w:rsid w:val="00C05D10"/>
    <w:rsid w:val="00C0611D"/>
    <w:rsid w:val="00C064DC"/>
    <w:rsid w:val="00C06B49"/>
    <w:rsid w:val="00C06D16"/>
    <w:rsid w:val="00C07215"/>
    <w:rsid w:val="00C0757F"/>
    <w:rsid w:val="00C07883"/>
    <w:rsid w:val="00C10281"/>
    <w:rsid w:val="00C1116C"/>
    <w:rsid w:val="00C12D63"/>
    <w:rsid w:val="00C138B2"/>
    <w:rsid w:val="00C13B20"/>
    <w:rsid w:val="00C14204"/>
    <w:rsid w:val="00C149BD"/>
    <w:rsid w:val="00C16367"/>
    <w:rsid w:val="00C16D5E"/>
    <w:rsid w:val="00C16EAE"/>
    <w:rsid w:val="00C173B5"/>
    <w:rsid w:val="00C2200D"/>
    <w:rsid w:val="00C22016"/>
    <w:rsid w:val="00C2294F"/>
    <w:rsid w:val="00C252BE"/>
    <w:rsid w:val="00C25BDA"/>
    <w:rsid w:val="00C260E0"/>
    <w:rsid w:val="00C260E5"/>
    <w:rsid w:val="00C26F80"/>
    <w:rsid w:val="00C27D5E"/>
    <w:rsid w:val="00C27D6D"/>
    <w:rsid w:val="00C302B6"/>
    <w:rsid w:val="00C313C3"/>
    <w:rsid w:val="00C3152D"/>
    <w:rsid w:val="00C31E2B"/>
    <w:rsid w:val="00C3237B"/>
    <w:rsid w:val="00C32994"/>
    <w:rsid w:val="00C33104"/>
    <w:rsid w:val="00C332D4"/>
    <w:rsid w:val="00C33F46"/>
    <w:rsid w:val="00C34427"/>
    <w:rsid w:val="00C35B63"/>
    <w:rsid w:val="00C36EA4"/>
    <w:rsid w:val="00C420A5"/>
    <w:rsid w:val="00C422C9"/>
    <w:rsid w:val="00C42957"/>
    <w:rsid w:val="00C443B9"/>
    <w:rsid w:val="00C450F3"/>
    <w:rsid w:val="00C5082C"/>
    <w:rsid w:val="00C51011"/>
    <w:rsid w:val="00C51C42"/>
    <w:rsid w:val="00C52B9A"/>
    <w:rsid w:val="00C52FEB"/>
    <w:rsid w:val="00C532B6"/>
    <w:rsid w:val="00C53CCE"/>
    <w:rsid w:val="00C552A7"/>
    <w:rsid w:val="00C553DE"/>
    <w:rsid w:val="00C55A08"/>
    <w:rsid w:val="00C560AC"/>
    <w:rsid w:val="00C56C58"/>
    <w:rsid w:val="00C56FA9"/>
    <w:rsid w:val="00C5781C"/>
    <w:rsid w:val="00C60343"/>
    <w:rsid w:val="00C60A72"/>
    <w:rsid w:val="00C60E95"/>
    <w:rsid w:val="00C6179E"/>
    <w:rsid w:val="00C61A56"/>
    <w:rsid w:val="00C62265"/>
    <w:rsid w:val="00C62659"/>
    <w:rsid w:val="00C65132"/>
    <w:rsid w:val="00C66BAF"/>
    <w:rsid w:val="00C66CCE"/>
    <w:rsid w:val="00C70289"/>
    <w:rsid w:val="00C7040B"/>
    <w:rsid w:val="00C70A75"/>
    <w:rsid w:val="00C70EA7"/>
    <w:rsid w:val="00C71C3F"/>
    <w:rsid w:val="00C72702"/>
    <w:rsid w:val="00C72CDC"/>
    <w:rsid w:val="00C74514"/>
    <w:rsid w:val="00C74F0A"/>
    <w:rsid w:val="00C7501C"/>
    <w:rsid w:val="00C751BB"/>
    <w:rsid w:val="00C7662D"/>
    <w:rsid w:val="00C76683"/>
    <w:rsid w:val="00C76C93"/>
    <w:rsid w:val="00C7701F"/>
    <w:rsid w:val="00C815ED"/>
    <w:rsid w:val="00C81D21"/>
    <w:rsid w:val="00C81FD6"/>
    <w:rsid w:val="00C82DCB"/>
    <w:rsid w:val="00C83BEB"/>
    <w:rsid w:val="00C83F8F"/>
    <w:rsid w:val="00C84F89"/>
    <w:rsid w:val="00C854D4"/>
    <w:rsid w:val="00C86897"/>
    <w:rsid w:val="00C86EE7"/>
    <w:rsid w:val="00C86F7E"/>
    <w:rsid w:val="00C87275"/>
    <w:rsid w:val="00C903F0"/>
    <w:rsid w:val="00C90556"/>
    <w:rsid w:val="00C905AC"/>
    <w:rsid w:val="00C90A6E"/>
    <w:rsid w:val="00C91397"/>
    <w:rsid w:val="00C918B1"/>
    <w:rsid w:val="00C91BE9"/>
    <w:rsid w:val="00C92817"/>
    <w:rsid w:val="00C92C77"/>
    <w:rsid w:val="00C94242"/>
    <w:rsid w:val="00C94472"/>
    <w:rsid w:val="00C94609"/>
    <w:rsid w:val="00C9573A"/>
    <w:rsid w:val="00C96829"/>
    <w:rsid w:val="00C96837"/>
    <w:rsid w:val="00C96F96"/>
    <w:rsid w:val="00C976DC"/>
    <w:rsid w:val="00CA0D78"/>
    <w:rsid w:val="00CA1392"/>
    <w:rsid w:val="00CA1A4A"/>
    <w:rsid w:val="00CA1D2D"/>
    <w:rsid w:val="00CA36F3"/>
    <w:rsid w:val="00CA3781"/>
    <w:rsid w:val="00CA45BB"/>
    <w:rsid w:val="00CA4855"/>
    <w:rsid w:val="00CA4F91"/>
    <w:rsid w:val="00CA53AF"/>
    <w:rsid w:val="00CA5A1E"/>
    <w:rsid w:val="00CA5D90"/>
    <w:rsid w:val="00CA680C"/>
    <w:rsid w:val="00CA7251"/>
    <w:rsid w:val="00CA79DD"/>
    <w:rsid w:val="00CB0106"/>
    <w:rsid w:val="00CB0BC6"/>
    <w:rsid w:val="00CB11F4"/>
    <w:rsid w:val="00CB22D6"/>
    <w:rsid w:val="00CB24FE"/>
    <w:rsid w:val="00CB2902"/>
    <w:rsid w:val="00CB3BDD"/>
    <w:rsid w:val="00CB45BA"/>
    <w:rsid w:val="00CB5BC5"/>
    <w:rsid w:val="00CB5FAF"/>
    <w:rsid w:val="00CB6A7D"/>
    <w:rsid w:val="00CC08FB"/>
    <w:rsid w:val="00CC2AA0"/>
    <w:rsid w:val="00CC4F93"/>
    <w:rsid w:val="00CC5B70"/>
    <w:rsid w:val="00CC609F"/>
    <w:rsid w:val="00CC71EA"/>
    <w:rsid w:val="00CC7726"/>
    <w:rsid w:val="00CD059F"/>
    <w:rsid w:val="00CD0E03"/>
    <w:rsid w:val="00CD211B"/>
    <w:rsid w:val="00CD27A6"/>
    <w:rsid w:val="00CD288D"/>
    <w:rsid w:val="00CD30C1"/>
    <w:rsid w:val="00CD37E8"/>
    <w:rsid w:val="00CD3FF5"/>
    <w:rsid w:val="00CD45A6"/>
    <w:rsid w:val="00CD58FD"/>
    <w:rsid w:val="00CD5DC3"/>
    <w:rsid w:val="00CD65DE"/>
    <w:rsid w:val="00CD681F"/>
    <w:rsid w:val="00CD7255"/>
    <w:rsid w:val="00CE040E"/>
    <w:rsid w:val="00CE08FA"/>
    <w:rsid w:val="00CE090D"/>
    <w:rsid w:val="00CE0D5D"/>
    <w:rsid w:val="00CE16EC"/>
    <w:rsid w:val="00CE26D9"/>
    <w:rsid w:val="00CE3890"/>
    <w:rsid w:val="00CE3CBA"/>
    <w:rsid w:val="00CE443B"/>
    <w:rsid w:val="00CE4D88"/>
    <w:rsid w:val="00CE5B41"/>
    <w:rsid w:val="00CE69B3"/>
    <w:rsid w:val="00CE7749"/>
    <w:rsid w:val="00CF20B8"/>
    <w:rsid w:val="00CF3C76"/>
    <w:rsid w:val="00CF49A3"/>
    <w:rsid w:val="00CF4B53"/>
    <w:rsid w:val="00CF5563"/>
    <w:rsid w:val="00D0048E"/>
    <w:rsid w:val="00D00611"/>
    <w:rsid w:val="00D00BE6"/>
    <w:rsid w:val="00D02403"/>
    <w:rsid w:val="00D02560"/>
    <w:rsid w:val="00D029D8"/>
    <w:rsid w:val="00D02A42"/>
    <w:rsid w:val="00D03307"/>
    <w:rsid w:val="00D045FD"/>
    <w:rsid w:val="00D04FB5"/>
    <w:rsid w:val="00D04FE6"/>
    <w:rsid w:val="00D057D4"/>
    <w:rsid w:val="00D06281"/>
    <w:rsid w:val="00D10135"/>
    <w:rsid w:val="00D10AB7"/>
    <w:rsid w:val="00D11473"/>
    <w:rsid w:val="00D115B2"/>
    <w:rsid w:val="00D11EE8"/>
    <w:rsid w:val="00D11F29"/>
    <w:rsid w:val="00D13276"/>
    <w:rsid w:val="00D13968"/>
    <w:rsid w:val="00D15799"/>
    <w:rsid w:val="00D1597C"/>
    <w:rsid w:val="00D16018"/>
    <w:rsid w:val="00D16E60"/>
    <w:rsid w:val="00D17129"/>
    <w:rsid w:val="00D17720"/>
    <w:rsid w:val="00D20CC4"/>
    <w:rsid w:val="00D20FD3"/>
    <w:rsid w:val="00D214DE"/>
    <w:rsid w:val="00D22CBA"/>
    <w:rsid w:val="00D22E3B"/>
    <w:rsid w:val="00D22FD9"/>
    <w:rsid w:val="00D23003"/>
    <w:rsid w:val="00D23F02"/>
    <w:rsid w:val="00D243A4"/>
    <w:rsid w:val="00D25472"/>
    <w:rsid w:val="00D31ACC"/>
    <w:rsid w:val="00D31D3B"/>
    <w:rsid w:val="00D31F1F"/>
    <w:rsid w:val="00D32C72"/>
    <w:rsid w:val="00D33306"/>
    <w:rsid w:val="00D33509"/>
    <w:rsid w:val="00D343EE"/>
    <w:rsid w:val="00D343FA"/>
    <w:rsid w:val="00D34963"/>
    <w:rsid w:val="00D3523A"/>
    <w:rsid w:val="00D3558E"/>
    <w:rsid w:val="00D35784"/>
    <w:rsid w:val="00D359C7"/>
    <w:rsid w:val="00D35EE9"/>
    <w:rsid w:val="00D375EB"/>
    <w:rsid w:val="00D404DB"/>
    <w:rsid w:val="00D40FAA"/>
    <w:rsid w:val="00D4135F"/>
    <w:rsid w:val="00D418FF"/>
    <w:rsid w:val="00D42706"/>
    <w:rsid w:val="00D42E49"/>
    <w:rsid w:val="00D43007"/>
    <w:rsid w:val="00D4346E"/>
    <w:rsid w:val="00D43C78"/>
    <w:rsid w:val="00D44425"/>
    <w:rsid w:val="00D446B6"/>
    <w:rsid w:val="00D46B11"/>
    <w:rsid w:val="00D4708C"/>
    <w:rsid w:val="00D5129C"/>
    <w:rsid w:val="00D51706"/>
    <w:rsid w:val="00D51E7D"/>
    <w:rsid w:val="00D52006"/>
    <w:rsid w:val="00D52A7D"/>
    <w:rsid w:val="00D52D9D"/>
    <w:rsid w:val="00D534E4"/>
    <w:rsid w:val="00D53853"/>
    <w:rsid w:val="00D54526"/>
    <w:rsid w:val="00D54967"/>
    <w:rsid w:val="00D5499A"/>
    <w:rsid w:val="00D57220"/>
    <w:rsid w:val="00D575D2"/>
    <w:rsid w:val="00D578C6"/>
    <w:rsid w:val="00D61C4D"/>
    <w:rsid w:val="00D62BFF"/>
    <w:rsid w:val="00D650B5"/>
    <w:rsid w:val="00D65B4C"/>
    <w:rsid w:val="00D65C76"/>
    <w:rsid w:val="00D664F8"/>
    <w:rsid w:val="00D666C6"/>
    <w:rsid w:val="00D703B5"/>
    <w:rsid w:val="00D70891"/>
    <w:rsid w:val="00D70BC2"/>
    <w:rsid w:val="00D711DF"/>
    <w:rsid w:val="00D734C7"/>
    <w:rsid w:val="00D7542B"/>
    <w:rsid w:val="00D75600"/>
    <w:rsid w:val="00D76C2A"/>
    <w:rsid w:val="00D77E66"/>
    <w:rsid w:val="00D77F52"/>
    <w:rsid w:val="00D81068"/>
    <w:rsid w:val="00D8109D"/>
    <w:rsid w:val="00D814CB"/>
    <w:rsid w:val="00D83383"/>
    <w:rsid w:val="00D8351F"/>
    <w:rsid w:val="00D8359F"/>
    <w:rsid w:val="00D83A48"/>
    <w:rsid w:val="00D8425F"/>
    <w:rsid w:val="00D84824"/>
    <w:rsid w:val="00D85E92"/>
    <w:rsid w:val="00D86037"/>
    <w:rsid w:val="00D86078"/>
    <w:rsid w:val="00D8614E"/>
    <w:rsid w:val="00D86EA8"/>
    <w:rsid w:val="00D875A5"/>
    <w:rsid w:val="00D91A0E"/>
    <w:rsid w:val="00D935A6"/>
    <w:rsid w:val="00D93D5F"/>
    <w:rsid w:val="00D94226"/>
    <w:rsid w:val="00D948E6"/>
    <w:rsid w:val="00D95C43"/>
    <w:rsid w:val="00D9625B"/>
    <w:rsid w:val="00D9628E"/>
    <w:rsid w:val="00D97389"/>
    <w:rsid w:val="00D9741C"/>
    <w:rsid w:val="00D97F67"/>
    <w:rsid w:val="00DA1D32"/>
    <w:rsid w:val="00DA2F73"/>
    <w:rsid w:val="00DA3D7E"/>
    <w:rsid w:val="00DA4FCA"/>
    <w:rsid w:val="00DA53BF"/>
    <w:rsid w:val="00DA704A"/>
    <w:rsid w:val="00DA7A55"/>
    <w:rsid w:val="00DB1087"/>
    <w:rsid w:val="00DB1684"/>
    <w:rsid w:val="00DB1713"/>
    <w:rsid w:val="00DB17C4"/>
    <w:rsid w:val="00DB259A"/>
    <w:rsid w:val="00DB265E"/>
    <w:rsid w:val="00DB3017"/>
    <w:rsid w:val="00DB3344"/>
    <w:rsid w:val="00DB5852"/>
    <w:rsid w:val="00DB59FE"/>
    <w:rsid w:val="00DB6006"/>
    <w:rsid w:val="00DB66A4"/>
    <w:rsid w:val="00DB6CA8"/>
    <w:rsid w:val="00DB75EE"/>
    <w:rsid w:val="00DB7C10"/>
    <w:rsid w:val="00DC0C18"/>
    <w:rsid w:val="00DC0D42"/>
    <w:rsid w:val="00DC104E"/>
    <w:rsid w:val="00DC11AA"/>
    <w:rsid w:val="00DC1CF0"/>
    <w:rsid w:val="00DC29B1"/>
    <w:rsid w:val="00DC2FEB"/>
    <w:rsid w:val="00DC307B"/>
    <w:rsid w:val="00DC3200"/>
    <w:rsid w:val="00DC343B"/>
    <w:rsid w:val="00DC3684"/>
    <w:rsid w:val="00DC378F"/>
    <w:rsid w:val="00DC37D9"/>
    <w:rsid w:val="00DC462F"/>
    <w:rsid w:val="00DC499A"/>
    <w:rsid w:val="00DD01E2"/>
    <w:rsid w:val="00DD1338"/>
    <w:rsid w:val="00DD2DA5"/>
    <w:rsid w:val="00DD3DFD"/>
    <w:rsid w:val="00DD4636"/>
    <w:rsid w:val="00DD47FF"/>
    <w:rsid w:val="00DD4ADF"/>
    <w:rsid w:val="00DD4ECA"/>
    <w:rsid w:val="00DD5866"/>
    <w:rsid w:val="00DD5FA4"/>
    <w:rsid w:val="00DD671D"/>
    <w:rsid w:val="00DD6A21"/>
    <w:rsid w:val="00DD6CCF"/>
    <w:rsid w:val="00DE0111"/>
    <w:rsid w:val="00DE05D2"/>
    <w:rsid w:val="00DE10D6"/>
    <w:rsid w:val="00DE11C9"/>
    <w:rsid w:val="00DE15BF"/>
    <w:rsid w:val="00DE18A7"/>
    <w:rsid w:val="00DE2EFB"/>
    <w:rsid w:val="00DE2F2D"/>
    <w:rsid w:val="00DE3ADB"/>
    <w:rsid w:val="00DE45EB"/>
    <w:rsid w:val="00DE470F"/>
    <w:rsid w:val="00DE4F73"/>
    <w:rsid w:val="00DE60BE"/>
    <w:rsid w:val="00DE60CA"/>
    <w:rsid w:val="00DE63D8"/>
    <w:rsid w:val="00DE6401"/>
    <w:rsid w:val="00DE68EC"/>
    <w:rsid w:val="00DE7186"/>
    <w:rsid w:val="00DF0498"/>
    <w:rsid w:val="00DF27EE"/>
    <w:rsid w:val="00DF357E"/>
    <w:rsid w:val="00DF4E25"/>
    <w:rsid w:val="00DF6466"/>
    <w:rsid w:val="00DF7B67"/>
    <w:rsid w:val="00E00032"/>
    <w:rsid w:val="00E0020E"/>
    <w:rsid w:val="00E002CD"/>
    <w:rsid w:val="00E0123F"/>
    <w:rsid w:val="00E02517"/>
    <w:rsid w:val="00E02D1A"/>
    <w:rsid w:val="00E02D98"/>
    <w:rsid w:val="00E031BE"/>
    <w:rsid w:val="00E0735D"/>
    <w:rsid w:val="00E07463"/>
    <w:rsid w:val="00E075AD"/>
    <w:rsid w:val="00E076F8"/>
    <w:rsid w:val="00E07A84"/>
    <w:rsid w:val="00E10F14"/>
    <w:rsid w:val="00E11C3F"/>
    <w:rsid w:val="00E124B4"/>
    <w:rsid w:val="00E13C10"/>
    <w:rsid w:val="00E13EC3"/>
    <w:rsid w:val="00E14512"/>
    <w:rsid w:val="00E14833"/>
    <w:rsid w:val="00E150F5"/>
    <w:rsid w:val="00E15C4D"/>
    <w:rsid w:val="00E15EBC"/>
    <w:rsid w:val="00E1675F"/>
    <w:rsid w:val="00E17B01"/>
    <w:rsid w:val="00E17DF7"/>
    <w:rsid w:val="00E20854"/>
    <w:rsid w:val="00E21222"/>
    <w:rsid w:val="00E218D0"/>
    <w:rsid w:val="00E22970"/>
    <w:rsid w:val="00E23805"/>
    <w:rsid w:val="00E24D4E"/>
    <w:rsid w:val="00E24FA3"/>
    <w:rsid w:val="00E26B28"/>
    <w:rsid w:val="00E26EEB"/>
    <w:rsid w:val="00E30672"/>
    <w:rsid w:val="00E31263"/>
    <w:rsid w:val="00E31465"/>
    <w:rsid w:val="00E31A7A"/>
    <w:rsid w:val="00E32313"/>
    <w:rsid w:val="00E328CD"/>
    <w:rsid w:val="00E32918"/>
    <w:rsid w:val="00E3397B"/>
    <w:rsid w:val="00E339EC"/>
    <w:rsid w:val="00E34209"/>
    <w:rsid w:val="00E3489E"/>
    <w:rsid w:val="00E362F0"/>
    <w:rsid w:val="00E36B95"/>
    <w:rsid w:val="00E37193"/>
    <w:rsid w:val="00E37B7A"/>
    <w:rsid w:val="00E4003F"/>
    <w:rsid w:val="00E4027E"/>
    <w:rsid w:val="00E4166E"/>
    <w:rsid w:val="00E41708"/>
    <w:rsid w:val="00E438BC"/>
    <w:rsid w:val="00E443F8"/>
    <w:rsid w:val="00E44FB9"/>
    <w:rsid w:val="00E458F6"/>
    <w:rsid w:val="00E45954"/>
    <w:rsid w:val="00E46704"/>
    <w:rsid w:val="00E47F52"/>
    <w:rsid w:val="00E50265"/>
    <w:rsid w:val="00E50AB6"/>
    <w:rsid w:val="00E50FFA"/>
    <w:rsid w:val="00E5104B"/>
    <w:rsid w:val="00E53546"/>
    <w:rsid w:val="00E5473D"/>
    <w:rsid w:val="00E54B7A"/>
    <w:rsid w:val="00E557F0"/>
    <w:rsid w:val="00E558A1"/>
    <w:rsid w:val="00E55F24"/>
    <w:rsid w:val="00E56CCE"/>
    <w:rsid w:val="00E574BB"/>
    <w:rsid w:val="00E5799E"/>
    <w:rsid w:val="00E60713"/>
    <w:rsid w:val="00E60DB2"/>
    <w:rsid w:val="00E62A76"/>
    <w:rsid w:val="00E67072"/>
    <w:rsid w:val="00E71B66"/>
    <w:rsid w:val="00E71D58"/>
    <w:rsid w:val="00E72528"/>
    <w:rsid w:val="00E73A7D"/>
    <w:rsid w:val="00E746BA"/>
    <w:rsid w:val="00E75062"/>
    <w:rsid w:val="00E7577F"/>
    <w:rsid w:val="00E75D21"/>
    <w:rsid w:val="00E7660D"/>
    <w:rsid w:val="00E76DFA"/>
    <w:rsid w:val="00E76FBF"/>
    <w:rsid w:val="00E818F5"/>
    <w:rsid w:val="00E81E27"/>
    <w:rsid w:val="00E83179"/>
    <w:rsid w:val="00E83DF2"/>
    <w:rsid w:val="00E85FC5"/>
    <w:rsid w:val="00E86186"/>
    <w:rsid w:val="00E86BF8"/>
    <w:rsid w:val="00E91084"/>
    <w:rsid w:val="00E915A1"/>
    <w:rsid w:val="00E92050"/>
    <w:rsid w:val="00E923F2"/>
    <w:rsid w:val="00E929A7"/>
    <w:rsid w:val="00E92AFF"/>
    <w:rsid w:val="00E93260"/>
    <w:rsid w:val="00E944D2"/>
    <w:rsid w:val="00E950D4"/>
    <w:rsid w:val="00E959C1"/>
    <w:rsid w:val="00E95FA3"/>
    <w:rsid w:val="00E95FA9"/>
    <w:rsid w:val="00E96445"/>
    <w:rsid w:val="00EA0312"/>
    <w:rsid w:val="00EA3A91"/>
    <w:rsid w:val="00EA44D9"/>
    <w:rsid w:val="00EA45FE"/>
    <w:rsid w:val="00EA53DC"/>
    <w:rsid w:val="00EA6F75"/>
    <w:rsid w:val="00EA7989"/>
    <w:rsid w:val="00EA7CC7"/>
    <w:rsid w:val="00EA7D1B"/>
    <w:rsid w:val="00EA7F3B"/>
    <w:rsid w:val="00EB1767"/>
    <w:rsid w:val="00EB2607"/>
    <w:rsid w:val="00EB2BAD"/>
    <w:rsid w:val="00EB355B"/>
    <w:rsid w:val="00EB37BD"/>
    <w:rsid w:val="00EB3922"/>
    <w:rsid w:val="00EB448F"/>
    <w:rsid w:val="00EB65C8"/>
    <w:rsid w:val="00EB6A76"/>
    <w:rsid w:val="00EB7095"/>
    <w:rsid w:val="00EB7FB2"/>
    <w:rsid w:val="00EC032D"/>
    <w:rsid w:val="00EC17A0"/>
    <w:rsid w:val="00EC1BB3"/>
    <w:rsid w:val="00EC2ADF"/>
    <w:rsid w:val="00EC2C66"/>
    <w:rsid w:val="00EC30D9"/>
    <w:rsid w:val="00EC38B7"/>
    <w:rsid w:val="00EC3CC7"/>
    <w:rsid w:val="00EC66BC"/>
    <w:rsid w:val="00EC7069"/>
    <w:rsid w:val="00ED0E3E"/>
    <w:rsid w:val="00ED2B8B"/>
    <w:rsid w:val="00ED3215"/>
    <w:rsid w:val="00ED4D7A"/>
    <w:rsid w:val="00ED52E4"/>
    <w:rsid w:val="00ED6036"/>
    <w:rsid w:val="00ED6843"/>
    <w:rsid w:val="00ED6881"/>
    <w:rsid w:val="00ED7275"/>
    <w:rsid w:val="00ED7C9E"/>
    <w:rsid w:val="00EE1992"/>
    <w:rsid w:val="00EE205F"/>
    <w:rsid w:val="00EE2242"/>
    <w:rsid w:val="00EE25B6"/>
    <w:rsid w:val="00EE28DC"/>
    <w:rsid w:val="00EE2A2E"/>
    <w:rsid w:val="00EE2BF0"/>
    <w:rsid w:val="00EE3EB5"/>
    <w:rsid w:val="00EE4140"/>
    <w:rsid w:val="00EE4729"/>
    <w:rsid w:val="00EE4FE9"/>
    <w:rsid w:val="00EE5BDE"/>
    <w:rsid w:val="00EF1048"/>
    <w:rsid w:val="00EF2B9F"/>
    <w:rsid w:val="00EF2BE3"/>
    <w:rsid w:val="00EF3185"/>
    <w:rsid w:val="00EF6E83"/>
    <w:rsid w:val="00EF7BC0"/>
    <w:rsid w:val="00F00475"/>
    <w:rsid w:val="00F02C56"/>
    <w:rsid w:val="00F03E00"/>
    <w:rsid w:val="00F04A42"/>
    <w:rsid w:val="00F04E60"/>
    <w:rsid w:val="00F0515D"/>
    <w:rsid w:val="00F0731A"/>
    <w:rsid w:val="00F0799D"/>
    <w:rsid w:val="00F107A0"/>
    <w:rsid w:val="00F111D6"/>
    <w:rsid w:val="00F12574"/>
    <w:rsid w:val="00F127A8"/>
    <w:rsid w:val="00F12CC5"/>
    <w:rsid w:val="00F13912"/>
    <w:rsid w:val="00F1437A"/>
    <w:rsid w:val="00F14C6D"/>
    <w:rsid w:val="00F16100"/>
    <w:rsid w:val="00F16F8F"/>
    <w:rsid w:val="00F171CB"/>
    <w:rsid w:val="00F174A5"/>
    <w:rsid w:val="00F21232"/>
    <w:rsid w:val="00F220A5"/>
    <w:rsid w:val="00F23CA4"/>
    <w:rsid w:val="00F24B45"/>
    <w:rsid w:val="00F253B7"/>
    <w:rsid w:val="00F258D8"/>
    <w:rsid w:val="00F2677F"/>
    <w:rsid w:val="00F31003"/>
    <w:rsid w:val="00F327FC"/>
    <w:rsid w:val="00F32D17"/>
    <w:rsid w:val="00F33045"/>
    <w:rsid w:val="00F335B0"/>
    <w:rsid w:val="00F34362"/>
    <w:rsid w:val="00F34BC9"/>
    <w:rsid w:val="00F34E9F"/>
    <w:rsid w:val="00F34FCD"/>
    <w:rsid w:val="00F352DD"/>
    <w:rsid w:val="00F35F2A"/>
    <w:rsid w:val="00F36455"/>
    <w:rsid w:val="00F3662B"/>
    <w:rsid w:val="00F37440"/>
    <w:rsid w:val="00F4020B"/>
    <w:rsid w:val="00F40EB1"/>
    <w:rsid w:val="00F41835"/>
    <w:rsid w:val="00F41B7A"/>
    <w:rsid w:val="00F41C74"/>
    <w:rsid w:val="00F42811"/>
    <w:rsid w:val="00F4294A"/>
    <w:rsid w:val="00F43B9C"/>
    <w:rsid w:val="00F445DD"/>
    <w:rsid w:val="00F4729D"/>
    <w:rsid w:val="00F513AE"/>
    <w:rsid w:val="00F5172D"/>
    <w:rsid w:val="00F52642"/>
    <w:rsid w:val="00F52F69"/>
    <w:rsid w:val="00F53AC8"/>
    <w:rsid w:val="00F5487E"/>
    <w:rsid w:val="00F55B2D"/>
    <w:rsid w:val="00F570EA"/>
    <w:rsid w:val="00F57469"/>
    <w:rsid w:val="00F60641"/>
    <w:rsid w:val="00F60969"/>
    <w:rsid w:val="00F61A56"/>
    <w:rsid w:val="00F61F58"/>
    <w:rsid w:val="00F623AF"/>
    <w:rsid w:val="00F62C8F"/>
    <w:rsid w:val="00F63560"/>
    <w:rsid w:val="00F66967"/>
    <w:rsid w:val="00F669DC"/>
    <w:rsid w:val="00F66B89"/>
    <w:rsid w:val="00F670B7"/>
    <w:rsid w:val="00F67321"/>
    <w:rsid w:val="00F6762B"/>
    <w:rsid w:val="00F67808"/>
    <w:rsid w:val="00F707A9"/>
    <w:rsid w:val="00F708D8"/>
    <w:rsid w:val="00F70DEA"/>
    <w:rsid w:val="00F73528"/>
    <w:rsid w:val="00F74220"/>
    <w:rsid w:val="00F75090"/>
    <w:rsid w:val="00F75F62"/>
    <w:rsid w:val="00F7731F"/>
    <w:rsid w:val="00F8022F"/>
    <w:rsid w:val="00F80493"/>
    <w:rsid w:val="00F81522"/>
    <w:rsid w:val="00F825E5"/>
    <w:rsid w:val="00F8302E"/>
    <w:rsid w:val="00F83726"/>
    <w:rsid w:val="00F85567"/>
    <w:rsid w:val="00F85AA1"/>
    <w:rsid w:val="00F85FD8"/>
    <w:rsid w:val="00F86DAB"/>
    <w:rsid w:val="00F87954"/>
    <w:rsid w:val="00F87D5F"/>
    <w:rsid w:val="00F90532"/>
    <w:rsid w:val="00F90626"/>
    <w:rsid w:val="00F91B24"/>
    <w:rsid w:val="00F92D02"/>
    <w:rsid w:val="00F9452B"/>
    <w:rsid w:val="00F95E66"/>
    <w:rsid w:val="00F977F3"/>
    <w:rsid w:val="00FA23B0"/>
    <w:rsid w:val="00FA2726"/>
    <w:rsid w:val="00FA2768"/>
    <w:rsid w:val="00FA3E5D"/>
    <w:rsid w:val="00FA4916"/>
    <w:rsid w:val="00FA4D9E"/>
    <w:rsid w:val="00FA504B"/>
    <w:rsid w:val="00FA5FC7"/>
    <w:rsid w:val="00FA691F"/>
    <w:rsid w:val="00FA6CF2"/>
    <w:rsid w:val="00FA702D"/>
    <w:rsid w:val="00FA7E5C"/>
    <w:rsid w:val="00FB01CA"/>
    <w:rsid w:val="00FB193D"/>
    <w:rsid w:val="00FB2337"/>
    <w:rsid w:val="00FB2443"/>
    <w:rsid w:val="00FB3422"/>
    <w:rsid w:val="00FB471A"/>
    <w:rsid w:val="00FB512D"/>
    <w:rsid w:val="00FB6253"/>
    <w:rsid w:val="00FC0219"/>
    <w:rsid w:val="00FC026B"/>
    <w:rsid w:val="00FC0983"/>
    <w:rsid w:val="00FC0D20"/>
    <w:rsid w:val="00FC221F"/>
    <w:rsid w:val="00FC24BE"/>
    <w:rsid w:val="00FC301E"/>
    <w:rsid w:val="00FC3F08"/>
    <w:rsid w:val="00FC51E9"/>
    <w:rsid w:val="00FC52B5"/>
    <w:rsid w:val="00FC5677"/>
    <w:rsid w:val="00FC66AF"/>
    <w:rsid w:val="00FC6D6C"/>
    <w:rsid w:val="00FC7944"/>
    <w:rsid w:val="00FC7F6F"/>
    <w:rsid w:val="00FD01B5"/>
    <w:rsid w:val="00FD37BF"/>
    <w:rsid w:val="00FD3B1A"/>
    <w:rsid w:val="00FD4186"/>
    <w:rsid w:val="00FD48C0"/>
    <w:rsid w:val="00FD4FC0"/>
    <w:rsid w:val="00FD53E9"/>
    <w:rsid w:val="00FD5917"/>
    <w:rsid w:val="00FD5BCF"/>
    <w:rsid w:val="00FD5BF0"/>
    <w:rsid w:val="00FD677C"/>
    <w:rsid w:val="00FD76A6"/>
    <w:rsid w:val="00FD76A7"/>
    <w:rsid w:val="00FD7B18"/>
    <w:rsid w:val="00FE1117"/>
    <w:rsid w:val="00FE3CBD"/>
    <w:rsid w:val="00FE416A"/>
    <w:rsid w:val="00FE4825"/>
    <w:rsid w:val="00FE4AC3"/>
    <w:rsid w:val="00FE73BD"/>
    <w:rsid w:val="00FE7E4D"/>
    <w:rsid w:val="00FF151D"/>
    <w:rsid w:val="00FF16FA"/>
    <w:rsid w:val="00FF201A"/>
    <w:rsid w:val="00FF2410"/>
    <w:rsid w:val="00FF2BFB"/>
    <w:rsid w:val="00FF5D9B"/>
    <w:rsid w:val="00FF7F92"/>
    <w:rsid w:val="0893AB0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38C0D"/>
  <w15:chartTrackingRefBased/>
  <w15:docId w15:val="{36D663D1-649D-42D9-B219-18B85EC9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uiPriority w:val="9"/>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uiPriority w:val="9"/>
    <w:rsid w:val="008007A8"/>
    <w:rPr>
      <w:rFonts w:ascii="Open Sans" w:eastAsia="MS Mincho" w:hAnsi="Open Sans"/>
      <w:bCs/>
      <w:sz w:val="24"/>
      <w:szCs w:val="26"/>
    </w:rPr>
  </w:style>
  <w:style w:type="character" w:customStyle="1" w:styleId="Heading4Char">
    <w:name w:val="Heading 4 Char"/>
    <w:link w:val="Heading4"/>
    <w:uiPriority w:val="9"/>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115875"/>
    <w:pPr>
      <w:numPr>
        <w:numId w:val="2"/>
      </w:numPr>
      <w:tabs>
        <w:tab w:val="clear" w:pos="360"/>
        <w:tab w:val="num" w:pos="730"/>
      </w:tabs>
      <w:spacing w:before="0"/>
      <w:ind w:left="1418" w:hanging="284"/>
    </w:pPr>
    <w:rPr>
      <w:iCs/>
    </w:r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tabs>
        <w:tab w:val="num" w:pos="1492"/>
      </w:tabs>
      <w:ind w:left="1492" w:hanging="360"/>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qFormat/>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List Paragraph1,List Paragraph11,Recommendation,EOT List Paragraph,Bullet point,List Paragraph Number"/>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5E7D24"/>
    <w:rPr>
      <w:rFonts w:ascii="Open Sans" w:eastAsia="MS Mincho" w:hAnsi="Open Sans"/>
      <w:sz w:val="24"/>
      <w:szCs w:val="24"/>
    </w:rPr>
  </w:style>
  <w:style w:type="character" w:styleId="UnresolvedMention">
    <w:name w:val="Unresolved Mention"/>
    <w:basedOn w:val="DefaultParagraphFont"/>
    <w:uiPriority w:val="99"/>
    <w:semiHidden/>
    <w:unhideWhenUsed/>
    <w:rsid w:val="00F40EB1"/>
    <w:rPr>
      <w:color w:val="605E5C"/>
      <w:shd w:val="clear" w:color="auto" w:fill="E1DFDD"/>
    </w:rPr>
  </w:style>
  <w:style w:type="character" w:customStyle="1" w:styleId="ListParagraphChar">
    <w:name w:val="List Paragraph Char"/>
    <w:aliases w:val="L Char,List Paragraph1 Char,List Paragraph11 Char,Recommendation Char,EOT List Paragraph Char,Bullet point Char,List Paragraph Number Char"/>
    <w:link w:val="ListParagraph"/>
    <w:uiPriority w:val="34"/>
    <w:locked/>
    <w:rsid w:val="003A65C4"/>
    <w:rPr>
      <w:rFonts w:ascii="Open Sans" w:eastAsia="MS Mincho" w:hAnsi="Open Sans"/>
      <w:sz w:val="24"/>
      <w:szCs w:val="24"/>
    </w:rPr>
  </w:style>
  <w:style w:type="paragraph" w:customStyle="1" w:styleId="Blockquote">
    <w:name w:val="Block quote"/>
    <w:basedOn w:val="Normal"/>
    <w:link w:val="BlockquoteChar"/>
    <w:qFormat/>
    <w:rsid w:val="003A65C4"/>
    <w:pPr>
      <w:spacing w:line="259" w:lineRule="auto"/>
      <w:ind w:left="1089" w:right="6"/>
    </w:pPr>
    <w:rPr>
      <w:sz w:val="22"/>
    </w:rPr>
  </w:style>
  <w:style w:type="character" w:customStyle="1" w:styleId="BlockquoteChar">
    <w:name w:val="Block quote Char"/>
    <w:basedOn w:val="DefaultParagraphFont"/>
    <w:link w:val="Blockquote"/>
    <w:rsid w:val="003A65C4"/>
    <w:rPr>
      <w:rFonts w:ascii="Open Sans" w:eastAsia="MS Mincho" w:hAnsi="Open Sans"/>
      <w:sz w:val="22"/>
      <w:szCs w:val="24"/>
    </w:rPr>
  </w:style>
  <w:style w:type="character" w:customStyle="1" w:styleId="markedcontent">
    <w:name w:val="markedcontent"/>
    <w:basedOn w:val="DefaultParagraphFont"/>
    <w:rsid w:val="000B7279"/>
  </w:style>
  <w:style w:type="paragraph" w:customStyle="1" w:styleId="AHRCHeading2">
    <w:name w:val="AHRC Heading 2"/>
    <w:basedOn w:val="Heading2"/>
    <w:link w:val="AHRCHeading2Char"/>
    <w:qFormat/>
    <w:rsid w:val="000B7279"/>
    <w:pPr>
      <w:numPr>
        <w:numId w:val="9"/>
      </w:numPr>
      <w:spacing w:line="259" w:lineRule="auto"/>
    </w:pPr>
  </w:style>
  <w:style w:type="character" w:customStyle="1" w:styleId="AHRCHeading2Char">
    <w:name w:val="AHRC Heading 2 Char"/>
    <w:basedOn w:val="Heading2Char"/>
    <w:link w:val="AHRCHeading2"/>
    <w:rsid w:val="000B7279"/>
    <w:rPr>
      <w:rFonts w:ascii="Open Sans" w:eastAsia="MS Mincho" w:hAnsi="Open Sans"/>
      <w:b/>
      <w:sz w:val="28"/>
      <w:szCs w:val="26"/>
    </w:rPr>
  </w:style>
  <w:style w:type="paragraph" w:styleId="FootnoteText">
    <w:name w:val="footnote text"/>
    <w:basedOn w:val="Normal"/>
    <w:link w:val="FootnoteTextChar"/>
    <w:locked/>
    <w:rsid w:val="008E2B03"/>
    <w:pPr>
      <w:spacing w:before="0" w:after="0"/>
    </w:pPr>
    <w:rPr>
      <w:sz w:val="20"/>
      <w:szCs w:val="20"/>
    </w:rPr>
  </w:style>
  <w:style w:type="character" w:customStyle="1" w:styleId="FootnoteTextChar">
    <w:name w:val="Footnote Text Char"/>
    <w:basedOn w:val="DefaultParagraphFont"/>
    <w:link w:val="FootnoteText"/>
    <w:rsid w:val="008E2B03"/>
    <w:rPr>
      <w:rFonts w:ascii="Open Sans" w:eastAsia="MS Mincho" w:hAnsi="Open Sans"/>
    </w:rPr>
  </w:style>
  <w:style w:type="character" w:styleId="FootnoteReference">
    <w:name w:val="footnote reference"/>
    <w:basedOn w:val="DefaultParagraphFont"/>
    <w:locked/>
    <w:rsid w:val="008E2B03"/>
    <w:rPr>
      <w:vertAlign w:val="superscript"/>
    </w:rPr>
  </w:style>
  <w:style w:type="character" w:customStyle="1" w:styleId="normaltextrun">
    <w:name w:val="normaltextrun"/>
    <w:basedOn w:val="DefaultParagraphFont"/>
    <w:rsid w:val="00385AA2"/>
  </w:style>
  <w:style w:type="character" w:customStyle="1" w:styleId="findhit">
    <w:name w:val="findhit"/>
    <w:basedOn w:val="DefaultParagraphFont"/>
    <w:rsid w:val="00385AA2"/>
  </w:style>
  <w:style w:type="character" w:customStyle="1" w:styleId="cf01">
    <w:name w:val="cf01"/>
    <w:basedOn w:val="DefaultParagraphFont"/>
    <w:rsid w:val="00D160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federalregister.gov/documents/2021/01/25/2021-01768/revision-of-civil-immigration-enforcement-policies-and-priorities" TargetMode="External"/><Relationship Id="rId3" Type="http://schemas.openxmlformats.org/officeDocument/2006/relationships/hyperlink" Target="https://reliefweb.int/report/world/background-note-gender-equality-nationality-laws-and-statelessness-2024" TargetMode="External"/><Relationship Id="rId7" Type="http://schemas.openxmlformats.org/officeDocument/2006/relationships/hyperlink" Target="https://crsreports.congress.gov/product/pdf/IF/IF11025" TargetMode="External"/><Relationship Id="rId2" Type="http://schemas.openxmlformats.org/officeDocument/2006/relationships/hyperlink" Target="https://reliefweb.int/report/world/background-note-gender-equality-nationality-laws-and-statelessness-2024" TargetMode="External"/><Relationship Id="rId1" Type="http://schemas.openxmlformats.org/officeDocument/2006/relationships/hyperlink" Target="https://www.unhcr.org/ibelong/gender-discrimination-and-stateless-children/" TargetMode="External"/><Relationship Id="rId6" Type="http://schemas.openxmlformats.org/officeDocument/2006/relationships/hyperlink" Target="https://www.federalregister.gov/documents/2017/01/30/2017-02102/enhancing-public-safety-in-the-interior-of-the-united-states" TargetMode="External"/><Relationship Id="rId11" Type="http://schemas.openxmlformats.org/officeDocument/2006/relationships/hyperlink" Target="https://humanrights.gov.au/sites/default/files/review_of_the_migration_amendment_clarifying_australias_obligations_for_removal_act_2021_0.pdf" TargetMode="External"/><Relationship Id="rId5" Type="http://schemas.openxmlformats.org/officeDocument/2006/relationships/hyperlink" Target="https://crsreports.congress.gov/product/pdf/IF/IF11025" TargetMode="External"/><Relationship Id="rId10" Type="http://schemas.openxmlformats.org/officeDocument/2006/relationships/hyperlink" Target="https://crsreports.congress.gov/product/pdf/IF/IF11025" TargetMode="External"/><Relationship Id="rId4" Type="http://schemas.openxmlformats.org/officeDocument/2006/relationships/hyperlink" Target="https://press.un.org/en/2018/ga12113.doc.htm" TargetMode="External"/><Relationship Id="rId9" Type="http://schemas.openxmlformats.org/officeDocument/2006/relationships/hyperlink" Target="https://crsreports.congress.gov/product/pdf/IF/IF11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5" ma:contentTypeDescription="Create a new document." ma:contentTypeScope="" ma:versionID="3b0b3f709c7efbc6b48a3a3e76236411">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7b31b69b82b738c53fd5b4e1ed806bb5"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DGE6U7RJ2EFV-31920988-9533</_dlc_DocId>
    <_dlc_DocIdUrl xmlns="6500fe01-343b-4fb9-a1b0-68ac19d62e01">
      <Url>https://australianhrc.sharepoint.com/sites/LegalServ/_layouts/15/DocIdRedir.aspx?ID=DGE6U7RJ2EFV-31920988-9533</Url>
      <Description>DGE6U7RJ2EFV-31920988-9533</Description>
    </_dlc_DocIdUrl>
    <Received_x002f_Sent xmlns="57f1fb52-79b9-4278-9d54-1e5db41bfcda" xsi:nil="true"/>
    <EmailasAttachment xmlns="1a69bdef-c635-48ac-9cf9-b687dab64bb7">
      <Url xsi:nil="true"/>
      <Description xsi:nil="true"/>
    </EmailasAttachment>
    <Divider xmlns="6500fe01-343b-4fb9-a1b0-68ac19d62e01"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SharedWithUsers xmlns="57f1fb52-79b9-4278-9d54-1e5db41bfcda">
      <UserInfo>
        <DisplayName>Graeme Edgerton</DisplayName>
        <AccountId>41</AccountId>
        <AccountType/>
      </UserInfo>
      <UserInfo>
        <DisplayName>Emily Rutherford</DisplayName>
        <AccountId>3865</AccountId>
        <AccountType/>
      </UserInfo>
      <UserInfo>
        <DisplayName>Lorraine Finlay</DisplayName>
        <AccountId>3657</AccountId>
        <AccountType/>
      </UserInfo>
      <UserInfo>
        <DisplayName>Rosalind Croucher</DisplayName>
        <AccountId>702</AccountId>
        <AccountType/>
      </UserInfo>
      <UserInfo>
        <DisplayName>Julie O'Brien</DisplayName>
        <AccountId>286</AccountId>
        <AccountType/>
      </UserInfo>
      <UserInfo>
        <DisplayName>Joanna Maxwell</DisplayName>
        <AccountId>3401</AccountId>
        <AccountType/>
      </UserInfo>
      <UserInfo>
        <DisplayName>Steven Caruana</DisplayName>
        <AccountId>4136</AccountId>
        <AccountType/>
      </UserInfo>
      <UserInfo>
        <DisplayName>Darren Dick</DisplayName>
        <AccountId>302</AccountId>
        <AccountType/>
      </UserInfo>
    </SharedWithUser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1B2D86DA-87B1-48EE-870C-EE2662F90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34E28-B345-4108-8EB3-981E9AB2F75F}">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57f1fb52-79b9-4278-9d54-1e5db41bfcda"/>
    <ds:schemaRef ds:uri="1a69bdef-c635-48ac-9cf9-b687dab64bb7"/>
    <ds:schemaRef ds:uri="6500fe01-343b-4fb9-a1b0-68ac19d62e01"/>
    <ds:schemaRef ds:uri="http://schemas.microsoft.com/office/2006/metadata/properties"/>
  </ds:schemaRefs>
</ds:datastoreItem>
</file>

<file path=customXml/itemProps3.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4.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5.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6.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7.xml><?xml version="1.0" encoding="utf-8"?>
<ds:datastoreItem xmlns:ds="http://schemas.openxmlformats.org/officeDocument/2006/customXml" ds:itemID="{EA7F9B59-8D46-4D77-8521-E94F0A23250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Submission</Template>
  <TotalTime>0</TotalTime>
  <Pages>27</Pages>
  <Words>6971</Words>
  <Characters>39740</Characters>
  <Application>Microsoft Office Word</Application>
  <DocSecurity>0</DocSecurity>
  <Lines>331</Lines>
  <Paragraphs>93</Paragraphs>
  <ScaleCrop>false</ScaleCrop>
  <Company>Human Rights and Equal Opportunity Commission</Company>
  <LinksUpToDate>false</LinksUpToDate>
  <CharactersWithSpaces>46618</CharactersWithSpaces>
  <SharedDoc>false</SharedDoc>
  <HLinks>
    <vt:vector size="174" baseType="variant">
      <vt:variant>
        <vt:i4>1376315</vt:i4>
      </vt:variant>
      <vt:variant>
        <vt:i4>104</vt:i4>
      </vt:variant>
      <vt:variant>
        <vt:i4>0</vt:i4>
      </vt:variant>
      <vt:variant>
        <vt:i4>5</vt:i4>
      </vt:variant>
      <vt:variant>
        <vt:lpwstr/>
      </vt:variant>
      <vt:variant>
        <vt:lpwstr>_Toc163501901</vt:lpwstr>
      </vt:variant>
      <vt:variant>
        <vt:i4>1376315</vt:i4>
      </vt:variant>
      <vt:variant>
        <vt:i4>98</vt:i4>
      </vt:variant>
      <vt:variant>
        <vt:i4>0</vt:i4>
      </vt:variant>
      <vt:variant>
        <vt:i4>5</vt:i4>
      </vt:variant>
      <vt:variant>
        <vt:lpwstr/>
      </vt:variant>
      <vt:variant>
        <vt:lpwstr>_Toc163501900</vt:lpwstr>
      </vt:variant>
      <vt:variant>
        <vt:i4>1835066</vt:i4>
      </vt:variant>
      <vt:variant>
        <vt:i4>92</vt:i4>
      </vt:variant>
      <vt:variant>
        <vt:i4>0</vt:i4>
      </vt:variant>
      <vt:variant>
        <vt:i4>5</vt:i4>
      </vt:variant>
      <vt:variant>
        <vt:lpwstr/>
      </vt:variant>
      <vt:variant>
        <vt:lpwstr>_Toc163501899</vt:lpwstr>
      </vt:variant>
      <vt:variant>
        <vt:i4>1835066</vt:i4>
      </vt:variant>
      <vt:variant>
        <vt:i4>86</vt:i4>
      </vt:variant>
      <vt:variant>
        <vt:i4>0</vt:i4>
      </vt:variant>
      <vt:variant>
        <vt:i4>5</vt:i4>
      </vt:variant>
      <vt:variant>
        <vt:lpwstr/>
      </vt:variant>
      <vt:variant>
        <vt:lpwstr>_Toc163501898</vt:lpwstr>
      </vt:variant>
      <vt:variant>
        <vt:i4>1835066</vt:i4>
      </vt:variant>
      <vt:variant>
        <vt:i4>80</vt:i4>
      </vt:variant>
      <vt:variant>
        <vt:i4>0</vt:i4>
      </vt:variant>
      <vt:variant>
        <vt:i4>5</vt:i4>
      </vt:variant>
      <vt:variant>
        <vt:lpwstr/>
      </vt:variant>
      <vt:variant>
        <vt:lpwstr>_Toc163501897</vt:lpwstr>
      </vt:variant>
      <vt:variant>
        <vt:i4>1835066</vt:i4>
      </vt:variant>
      <vt:variant>
        <vt:i4>74</vt:i4>
      </vt:variant>
      <vt:variant>
        <vt:i4>0</vt:i4>
      </vt:variant>
      <vt:variant>
        <vt:i4>5</vt:i4>
      </vt:variant>
      <vt:variant>
        <vt:lpwstr/>
      </vt:variant>
      <vt:variant>
        <vt:lpwstr>_Toc163501896</vt:lpwstr>
      </vt:variant>
      <vt:variant>
        <vt:i4>1835066</vt:i4>
      </vt:variant>
      <vt:variant>
        <vt:i4>68</vt:i4>
      </vt:variant>
      <vt:variant>
        <vt:i4>0</vt:i4>
      </vt:variant>
      <vt:variant>
        <vt:i4>5</vt:i4>
      </vt:variant>
      <vt:variant>
        <vt:lpwstr/>
      </vt:variant>
      <vt:variant>
        <vt:lpwstr>_Toc163501895</vt:lpwstr>
      </vt:variant>
      <vt:variant>
        <vt:i4>1835066</vt:i4>
      </vt:variant>
      <vt:variant>
        <vt:i4>62</vt:i4>
      </vt:variant>
      <vt:variant>
        <vt:i4>0</vt:i4>
      </vt:variant>
      <vt:variant>
        <vt:i4>5</vt:i4>
      </vt:variant>
      <vt:variant>
        <vt:lpwstr/>
      </vt:variant>
      <vt:variant>
        <vt:lpwstr>_Toc163501894</vt:lpwstr>
      </vt:variant>
      <vt:variant>
        <vt:i4>1835066</vt:i4>
      </vt:variant>
      <vt:variant>
        <vt:i4>56</vt:i4>
      </vt:variant>
      <vt:variant>
        <vt:i4>0</vt:i4>
      </vt:variant>
      <vt:variant>
        <vt:i4>5</vt:i4>
      </vt:variant>
      <vt:variant>
        <vt:lpwstr/>
      </vt:variant>
      <vt:variant>
        <vt:lpwstr>_Toc163501893</vt:lpwstr>
      </vt:variant>
      <vt:variant>
        <vt:i4>1835066</vt:i4>
      </vt:variant>
      <vt:variant>
        <vt:i4>50</vt:i4>
      </vt:variant>
      <vt:variant>
        <vt:i4>0</vt:i4>
      </vt:variant>
      <vt:variant>
        <vt:i4>5</vt:i4>
      </vt:variant>
      <vt:variant>
        <vt:lpwstr/>
      </vt:variant>
      <vt:variant>
        <vt:lpwstr>_Toc163501892</vt:lpwstr>
      </vt:variant>
      <vt:variant>
        <vt:i4>1835066</vt:i4>
      </vt:variant>
      <vt:variant>
        <vt:i4>44</vt:i4>
      </vt:variant>
      <vt:variant>
        <vt:i4>0</vt:i4>
      </vt:variant>
      <vt:variant>
        <vt:i4>5</vt:i4>
      </vt:variant>
      <vt:variant>
        <vt:lpwstr/>
      </vt:variant>
      <vt:variant>
        <vt:lpwstr>_Toc163501891</vt:lpwstr>
      </vt:variant>
      <vt:variant>
        <vt:i4>1835066</vt:i4>
      </vt:variant>
      <vt:variant>
        <vt:i4>38</vt:i4>
      </vt:variant>
      <vt:variant>
        <vt:i4>0</vt:i4>
      </vt:variant>
      <vt:variant>
        <vt:i4>5</vt:i4>
      </vt:variant>
      <vt:variant>
        <vt:lpwstr/>
      </vt:variant>
      <vt:variant>
        <vt:lpwstr>_Toc163501890</vt:lpwstr>
      </vt:variant>
      <vt:variant>
        <vt:i4>1900602</vt:i4>
      </vt:variant>
      <vt:variant>
        <vt:i4>32</vt:i4>
      </vt:variant>
      <vt:variant>
        <vt:i4>0</vt:i4>
      </vt:variant>
      <vt:variant>
        <vt:i4>5</vt:i4>
      </vt:variant>
      <vt:variant>
        <vt:lpwstr/>
      </vt:variant>
      <vt:variant>
        <vt:lpwstr>_Toc163501889</vt:lpwstr>
      </vt:variant>
      <vt:variant>
        <vt:i4>1900602</vt:i4>
      </vt:variant>
      <vt:variant>
        <vt:i4>26</vt:i4>
      </vt:variant>
      <vt:variant>
        <vt:i4>0</vt:i4>
      </vt:variant>
      <vt:variant>
        <vt:i4>5</vt:i4>
      </vt:variant>
      <vt:variant>
        <vt:lpwstr/>
      </vt:variant>
      <vt:variant>
        <vt:lpwstr>_Toc163501888</vt:lpwstr>
      </vt:variant>
      <vt:variant>
        <vt:i4>1900602</vt:i4>
      </vt:variant>
      <vt:variant>
        <vt:i4>20</vt:i4>
      </vt:variant>
      <vt:variant>
        <vt:i4>0</vt:i4>
      </vt:variant>
      <vt:variant>
        <vt:i4>5</vt:i4>
      </vt:variant>
      <vt:variant>
        <vt:lpwstr/>
      </vt:variant>
      <vt:variant>
        <vt:lpwstr>_Toc163501887</vt:lpwstr>
      </vt:variant>
      <vt:variant>
        <vt:i4>1900602</vt:i4>
      </vt:variant>
      <vt:variant>
        <vt:i4>14</vt:i4>
      </vt:variant>
      <vt:variant>
        <vt:i4>0</vt:i4>
      </vt:variant>
      <vt:variant>
        <vt:i4>5</vt:i4>
      </vt:variant>
      <vt:variant>
        <vt:lpwstr/>
      </vt:variant>
      <vt:variant>
        <vt:lpwstr>_Toc163501886</vt:lpwstr>
      </vt:variant>
      <vt:variant>
        <vt:i4>1900602</vt:i4>
      </vt:variant>
      <vt:variant>
        <vt:i4>8</vt:i4>
      </vt:variant>
      <vt:variant>
        <vt:i4>0</vt:i4>
      </vt:variant>
      <vt:variant>
        <vt:i4>5</vt:i4>
      </vt:variant>
      <vt:variant>
        <vt:lpwstr/>
      </vt:variant>
      <vt:variant>
        <vt:lpwstr>_Toc163501885</vt:lpwstr>
      </vt:variant>
      <vt:variant>
        <vt:i4>1900602</vt:i4>
      </vt:variant>
      <vt:variant>
        <vt:i4>2</vt:i4>
      </vt:variant>
      <vt:variant>
        <vt:i4>0</vt:i4>
      </vt:variant>
      <vt:variant>
        <vt:i4>5</vt:i4>
      </vt:variant>
      <vt:variant>
        <vt:lpwstr/>
      </vt:variant>
      <vt:variant>
        <vt:lpwstr>_Toc163501884</vt:lpwstr>
      </vt:variant>
      <vt:variant>
        <vt:i4>6291506</vt:i4>
      </vt:variant>
      <vt:variant>
        <vt:i4>30</vt:i4>
      </vt:variant>
      <vt:variant>
        <vt:i4>0</vt:i4>
      </vt:variant>
      <vt:variant>
        <vt:i4>5</vt:i4>
      </vt:variant>
      <vt:variant>
        <vt:lpwstr>https://humanrights.gov.au/sites/default/files/review_of_the_migration_amendment_clarifying_australias_obligations_for_removal_act_2021_0.pdf</vt:lpwstr>
      </vt:variant>
      <vt:variant>
        <vt:lpwstr/>
      </vt:variant>
      <vt:variant>
        <vt:i4>2621476</vt:i4>
      </vt:variant>
      <vt:variant>
        <vt:i4>27</vt:i4>
      </vt:variant>
      <vt:variant>
        <vt:i4>0</vt:i4>
      </vt:variant>
      <vt:variant>
        <vt:i4>5</vt:i4>
      </vt:variant>
      <vt:variant>
        <vt:lpwstr>https://crsreports.congress.gov/product/pdf/IF/IF11025</vt:lpwstr>
      </vt:variant>
      <vt:variant>
        <vt:lpwstr/>
      </vt:variant>
      <vt:variant>
        <vt:i4>2621476</vt:i4>
      </vt:variant>
      <vt:variant>
        <vt:i4>24</vt:i4>
      </vt:variant>
      <vt:variant>
        <vt:i4>0</vt:i4>
      </vt:variant>
      <vt:variant>
        <vt:i4>5</vt:i4>
      </vt:variant>
      <vt:variant>
        <vt:lpwstr>https://crsreports.congress.gov/product/pdf/IF/IF11025</vt:lpwstr>
      </vt:variant>
      <vt:variant>
        <vt:lpwstr/>
      </vt:variant>
      <vt:variant>
        <vt:i4>4522062</vt:i4>
      </vt:variant>
      <vt:variant>
        <vt:i4>21</vt:i4>
      </vt:variant>
      <vt:variant>
        <vt:i4>0</vt:i4>
      </vt:variant>
      <vt:variant>
        <vt:i4>5</vt:i4>
      </vt:variant>
      <vt:variant>
        <vt:lpwstr>https://www.federalregister.gov/documents/2021/01/25/2021-01768/revision-of-civil-immigration-enforcement-policies-and-priorities</vt:lpwstr>
      </vt:variant>
      <vt:variant>
        <vt:lpwstr/>
      </vt:variant>
      <vt:variant>
        <vt:i4>2621476</vt:i4>
      </vt:variant>
      <vt:variant>
        <vt:i4>18</vt:i4>
      </vt:variant>
      <vt:variant>
        <vt:i4>0</vt:i4>
      </vt:variant>
      <vt:variant>
        <vt:i4>5</vt:i4>
      </vt:variant>
      <vt:variant>
        <vt:lpwstr>https://crsreports.congress.gov/product/pdf/IF/IF11025</vt:lpwstr>
      </vt:variant>
      <vt:variant>
        <vt:lpwstr/>
      </vt:variant>
      <vt:variant>
        <vt:i4>5242972</vt:i4>
      </vt:variant>
      <vt:variant>
        <vt:i4>15</vt:i4>
      </vt:variant>
      <vt:variant>
        <vt:i4>0</vt:i4>
      </vt:variant>
      <vt:variant>
        <vt:i4>5</vt:i4>
      </vt:variant>
      <vt:variant>
        <vt:lpwstr>https://www.federalregister.gov/documents/2017/01/30/2017-02102/enhancing-public-safety-in-the-interior-of-the-united-states</vt:lpwstr>
      </vt:variant>
      <vt:variant>
        <vt:lpwstr/>
      </vt:variant>
      <vt:variant>
        <vt:i4>2621476</vt:i4>
      </vt:variant>
      <vt:variant>
        <vt:i4>12</vt:i4>
      </vt:variant>
      <vt:variant>
        <vt:i4>0</vt:i4>
      </vt:variant>
      <vt:variant>
        <vt:i4>5</vt:i4>
      </vt:variant>
      <vt:variant>
        <vt:lpwstr>https://crsreports.congress.gov/product/pdf/IF/IF11025</vt:lpwstr>
      </vt:variant>
      <vt:variant>
        <vt:lpwstr/>
      </vt:variant>
      <vt:variant>
        <vt:i4>4980763</vt:i4>
      </vt:variant>
      <vt:variant>
        <vt:i4>9</vt:i4>
      </vt:variant>
      <vt:variant>
        <vt:i4>0</vt:i4>
      </vt:variant>
      <vt:variant>
        <vt:i4>5</vt:i4>
      </vt:variant>
      <vt:variant>
        <vt:lpwstr>https://press.un.org/en/2018/ga12113.doc.htm</vt:lpwstr>
      </vt:variant>
      <vt:variant>
        <vt:lpwstr/>
      </vt:variant>
      <vt:variant>
        <vt:i4>3473531</vt:i4>
      </vt:variant>
      <vt:variant>
        <vt:i4>6</vt:i4>
      </vt:variant>
      <vt:variant>
        <vt:i4>0</vt:i4>
      </vt:variant>
      <vt:variant>
        <vt:i4>5</vt:i4>
      </vt:variant>
      <vt:variant>
        <vt:lpwstr>https://reliefweb.int/report/world/background-note-gender-equality-nationality-laws-and-statelessness-2024</vt:lpwstr>
      </vt:variant>
      <vt:variant>
        <vt:lpwstr/>
      </vt:variant>
      <vt:variant>
        <vt:i4>3473531</vt:i4>
      </vt:variant>
      <vt:variant>
        <vt:i4>3</vt:i4>
      </vt:variant>
      <vt:variant>
        <vt:i4>0</vt:i4>
      </vt:variant>
      <vt:variant>
        <vt:i4>5</vt:i4>
      </vt:variant>
      <vt:variant>
        <vt:lpwstr>https://reliefweb.int/report/world/background-note-gender-equality-nationality-laws-and-statelessness-2024</vt:lpwstr>
      </vt:variant>
      <vt:variant>
        <vt:lpwstr/>
      </vt:variant>
      <vt:variant>
        <vt:i4>3342433</vt:i4>
      </vt:variant>
      <vt:variant>
        <vt:i4>0</vt:i4>
      </vt:variant>
      <vt:variant>
        <vt:i4>0</vt:i4>
      </vt:variant>
      <vt:variant>
        <vt:i4>5</vt:i4>
      </vt:variant>
      <vt:variant>
        <vt:lpwstr>https://www.unhcr.org/ibelong/gender-discrimination-and-stateless-children/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AHRC User</dc:creator>
  <cp:keywords/>
  <cp:lastModifiedBy>Lorraine Finlay</cp:lastModifiedBy>
  <cp:revision>2</cp:revision>
  <cp:lastPrinted>2024-04-12T17:25:00Z</cp:lastPrinted>
  <dcterms:created xsi:type="dcterms:W3CDTF">2024-04-15T10:59:00Z</dcterms:created>
  <dcterms:modified xsi:type="dcterms:W3CDTF">2024-04-15T10:59:00Z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1df683fd-8cc7-42a4-9506-a7c101fdd082</vt:lpwstr>
  </property>
</Properties>
</file>