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80" w:rsidRDefault="001800E0" w:rsidP="00262F80">
      <w:pPr>
        <w:pStyle w:val="MainTitle"/>
      </w:pPr>
      <w:r>
        <w:t xml:space="preserve">Ending workplace sexual </w:t>
      </w:r>
      <w:r w:rsidR="00262F80">
        <w:t>harassment: A resource for small, medium and large employers</w:t>
      </w:r>
    </w:p>
    <w:p w:rsidR="00262F80" w:rsidRPr="00A5520C" w:rsidRDefault="00262F80" w:rsidP="00262F80">
      <w:pPr>
        <w:jc w:val="right"/>
        <w:rPr>
          <w:b/>
        </w:rPr>
      </w:pPr>
      <w:r>
        <w:rPr>
          <w:b/>
        </w:rPr>
        <w:t>MAY 2014</w:t>
      </w:r>
    </w:p>
    <w:p w:rsidR="00F16DA3" w:rsidRPr="003624E0" w:rsidRDefault="00F16DA3" w:rsidP="00F16DA3">
      <w:pPr>
        <w:jc w:val="right"/>
      </w:pPr>
      <w:bookmarkStart w:id="0" w:name="_Toc209316062"/>
      <w:bookmarkEnd w:id="0"/>
    </w:p>
    <w:p w:rsidR="00F16DA3" w:rsidRPr="003624E0" w:rsidRDefault="00F16DA3" w:rsidP="00F16DA3"/>
    <w:p w:rsidR="00B924E6" w:rsidRPr="003624E0" w:rsidRDefault="00B924E6" w:rsidP="00F16DA3">
      <w:pPr>
        <w:sectPr w:rsidR="00B924E6" w:rsidRPr="003624E0">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p>
    <w:p w:rsidR="00C0477A" w:rsidRDefault="00C0477A" w:rsidP="00354A35">
      <w:pPr>
        <w:pStyle w:val="CopyrightText"/>
        <w:spacing w:after="200"/>
        <w:rPr>
          <w:rFonts w:cs="Arial"/>
          <w:b/>
          <w:sz w:val="22"/>
          <w:szCs w:val="22"/>
        </w:rPr>
      </w:pPr>
      <w:bookmarkStart w:id="1" w:name="_Toc207761829"/>
      <w:r>
        <w:rPr>
          <w:rFonts w:cs="Arial"/>
          <w:b/>
          <w:sz w:val="22"/>
          <w:szCs w:val="22"/>
        </w:rPr>
        <w:lastRenderedPageBreak/>
        <w:t>Acknowledgement</w:t>
      </w:r>
      <w:r w:rsidR="0070552C">
        <w:rPr>
          <w:rFonts w:cs="Arial"/>
          <w:b/>
          <w:sz w:val="22"/>
          <w:szCs w:val="22"/>
        </w:rPr>
        <w:t>s</w:t>
      </w:r>
    </w:p>
    <w:p w:rsidR="00354A35" w:rsidRPr="00A95DB8" w:rsidRDefault="00354A35" w:rsidP="00354A35">
      <w:pPr>
        <w:pStyle w:val="CopyrightText"/>
        <w:spacing w:after="200"/>
        <w:rPr>
          <w:rFonts w:cs="Arial"/>
          <w:color w:val="000000" w:themeColor="text1"/>
          <w:sz w:val="22"/>
          <w:szCs w:val="22"/>
        </w:rPr>
      </w:pPr>
      <w:r w:rsidRPr="00A95DB8">
        <w:rPr>
          <w:rFonts w:cs="Arial"/>
          <w:sz w:val="22"/>
          <w:szCs w:val="22"/>
        </w:rPr>
        <w:t xml:space="preserve">The Australian Human Rights Commission acknowledges the contributions of </w:t>
      </w:r>
      <w:r w:rsidR="003E41AF" w:rsidRPr="00A95DB8">
        <w:rPr>
          <w:rStyle w:val="profile-staff-orgarea"/>
          <w:rFonts w:cs="Arial"/>
          <w:color w:val="000000" w:themeColor="text1"/>
          <w:lang w:val="en-US"/>
        </w:rPr>
        <w:t xml:space="preserve">Australian Chamber of Commerce and Industry, Australian Council of Trade Unions, </w:t>
      </w:r>
      <w:r w:rsidR="00184A97" w:rsidRPr="00A95DB8">
        <w:rPr>
          <w:rFonts w:cs="Arial"/>
          <w:sz w:val="22"/>
          <w:szCs w:val="22"/>
        </w:rPr>
        <w:t xml:space="preserve">Professor </w:t>
      </w:r>
      <w:r w:rsidR="003E41AF" w:rsidRPr="00A95DB8">
        <w:rPr>
          <w:rFonts w:cs="Arial"/>
          <w:sz w:val="22"/>
          <w:szCs w:val="22"/>
        </w:rPr>
        <w:t>Paula M</w:t>
      </w:r>
      <w:r w:rsidR="00383395" w:rsidRPr="00A95DB8">
        <w:rPr>
          <w:rFonts w:cs="Arial"/>
          <w:sz w:val="22"/>
          <w:szCs w:val="22"/>
        </w:rPr>
        <w:t>c</w:t>
      </w:r>
      <w:r w:rsidR="003E41AF" w:rsidRPr="00A95DB8">
        <w:rPr>
          <w:rFonts w:cs="Arial"/>
          <w:sz w:val="22"/>
          <w:szCs w:val="22"/>
        </w:rPr>
        <w:t>D</w:t>
      </w:r>
      <w:r w:rsidR="00383395" w:rsidRPr="00A95DB8">
        <w:rPr>
          <w:rFonts w:cs="Arial"/>
          <w:sz w:val="22"/>
          <w:szCs w:val="22"/>
        </w:rPr>
        <w:t>onald</w:t>
      </w:r>
      <w:r w:rsidR="00383395" w:rsidRPr="00A95DB8">
        <w:rPr>
          <w:rFonts w:cs="Arial"/>
          <w:color w:val="000000" w:themeColor="text1"/>
          <w:sz w:val="22"/>
          <w:szCs w:val="22"/>
        </w:rPr>
        <w:t xml:space="preserve">, </w:t>
      </w:r>
      <w:r w:rsidR="00184A97" w:rsidRPr="00A95DB8">
        <w:rPr>
          <w:rStyle w:val="profile-staff-orgarea"/>
          <w:rFonts w:cs="Arial"/>
          <w:color w:val="000000" w:themeColor="text1"/>
          <w:lang w:val="en-US"/>
        </w:rPr>
        <w:t>Q</w:t>
      </w:r>
      <w:r w:rsidR="003E41AF" w:rsidRPr="00A95DB8">
        <w:rPr>
          <w:rStyle w:val="profile-staff-orgarea"/>
          <w:rFonts w:cs="Arial"/>
          <w:color w:val="000000" w:themeColor="text1"/>
          <w:lang w:val="en-US"/>
        </w:rPr>
        <w:t>ueensland University of Technology</w:t>
      </w:r>
      <w:r w:rsidR="00184A97" w:rsidRPr="00A95DB8">
        <w:rPr>
          <w:rStyle w:val="profile-staff-orgarea"/>
          <w:rFonts w:cs="Arial"/>
          <w:color w:val="000000" w:themeColor="text1"/>
          <w:lang w:val="en-US"/>
        </w:rPr>
        <w:t xml:space="preserve"> Business School</w:t>
      </w:r>
      <w:r w:rsidR="007B4B32" w:rsidRPr="00A95DB8">
        <w:rPr>
          <w:rStyle w:val="profile-staff-orgarea"/>
          <w:rFonts w:cs="Arial"/>
          <w:color w:val="000000" w:themeColor="text1"/>
          <w:lang w:val="en-US"/>
        </w:rPr>
        <w:t xml:space="preserve">, </w:t>
      </w:r>
      <w:r w:rsidR="003E41AF" w:rsidRPr="00A95DB8">
        <w:rPr>
          <w:rStyle w:val="profile-staff-orgarea"/>
          <w:rFonts w:cs="Arial"/>
          <w:color w:val="000000" w:themeColor="text1"/>
          <w:lang w:val="en-US"/>
        </w:rPr>
        <w:t>Associate P</w:t>
      </w:r>
      <w:r w:rsidR="00804959" w:rsidRPr="00A95DB8">
        <w:rPr>
          <w:rStyle w:val="profile-staff-orgarea"/>
          <w:rFonts w:cs="Arial"/>
          <w:color w:val="000000" w:themeColor="text1"/>
          <w:lang w:val="en-US"/>
        </w:rPr>
        <w:t xml:space="preserve">rofessor Sara Charlesworth, </w:t>
      </w:r>
      <w:r w:rsidR="00804959" w:rsidRPr="00A95DB8">
        <w:rPr>
          <w:rFonts w:cs="Arial"/>
          <w:sz w:val="22"/>
          <w:szCs w:val="22"/>
        </w:rPr>
        <w:t xml:space="preserve">Centre for Work + Life, University of South Australia, </w:t>
      </w:r>
      <w:r w:rsidR="00184A97" w:rsidRPr="00A95DB8">
        <w:rPr>
          <w:rStyle w:val="profile-staff-orgarea"/>
          <w:rFonts w:cs="Arial"/>
          <w:color w:val="000000" w:themeColor="text1"/>
          <w:lang w:val="en-US"/>
        </w:rPr>
        <w:t>and the contributions of Commission staff and interns</w:t>
      </w:r>
      <w:r w:rsidR="00804959" w:rsidRPr="00A95DB8">
        <w:rPr>
          <w:rStyle w:val="profile-staff-orgarea"/>
          <w:rFonts w:cs="Arial"/>
          <w:color w:val="000000" w:themeColor="text1"/>
          <w:lang w:val="en-US"/>
        </w:rPr>
        <w:t xml:space="preserve">: </w:t>
      </w:r>
      <w:r w:rsidRPr="00A95DB8">
        <w:rPr>
          <w:rFonts w:cs="Arial"/>
          <w:color w:val="000000" w:themeColor="text1"/>
          <w:sz w:val="22"/>
          <w:szCs w:val="22"/>
        </w:rPr>
        <w:t>Simone Cusack, E</w:t>
      </w:r>
      <w:r w:rsidR="00383395" w:rsidRPr="00A95DB8">
        <w:rPr>
          <w:rFonts w:cs="Arial"/>
          <w:color w:val="000000" w:themeColor="text1"/>
          <w:sz w:val="22"/>
          <w:szCs w:val="22"/>
        </w:rPr>
        <w:t>mily Maguire, Jennifer Jones</w:t>
      </w:r>
      <w:r w:rsidR="00184A97" w:rsidRPr="00A95DB8">
        <w:rPr>
          <w:rFonts w:cs="Arial"/>
          <w:color w:val="000000" w:themeColor="text1"/>
          <w:sz w:val="22"/>
          <w:szCs w:val="22"/>
        </w:rPr>
        <w:t xml:space="preserve"> and</w:t>
      </w:r>
      <w:r w:rsidRPr="00A95DB8">
        <w:rPr>
          <w:rFonts w:cs="Arial"/>
          <w:color w:val="000000" w:themeColor="text1"/>
          <w:sz w:val="22"/>
          <w:szCs w:val="22"/>
        </w:rPr>
        <w:t xml:space="preserve"> Jane McCormack.</w:t>
      </w:r>
    </w:p>
    <w:p w:rsidR="00C0477A" w:rsidRPr="00F7332F" w:rsidRDefault="00C0477A" w:rsidP="00A95DB8">
      <w:pPr>
        <w:pStyle w:val="Default"/>
      </w:pPr>
      <w:r w:rsidRPr="003B2B48">
        <w:rPr>
          <w:rFonts w:cs="Arial"/>
          <w:b/>
          <w:sz w:val="22"/>
          <w:szCs w:val="22"/>
        </w:rPr>
        <w:t>Copyright</w:t>
      </w:r>
    </w:p>
    <w:p w:rsidR="00C0477A" w:rsidRPr="00A37AE9" w:rsidRDefault="00C0477A" w:rsidP="00A95DB8">
      <w:pPr>
        <w:pStyle w:val="Default"/>
      </w:pPr>
    </w:p>
    <w:p w:rsidR="00354A35" w:rsidRPr="00A95DB8" w:rsidRDefault="00354A35" w:rsidP="00354A35">
      <w:pPr>
        <w:pStyle w:val="Pa3"/>
        <w:spacing w:after="40"/>
        <w:rPr>
          <w:rFonts w:ascii="Arial" w:hAnsi="Arial" w:cs="Arial"/>
          <w:color w:val="000000"/>
          <w:sz w:val="22"/>
          <w:szCs w:val="22"/>
        </w:rPr>
      </w:pPr>
      <w:r w:rsidRPr="00A95DB8">
        <w:rPr>
          <w:rFonts w:ascii="Arial" w:hAnsi="Arial" w:cs="Arial"/>
          <w:color w:val="000000"/>
          <w:sz w:val="22"/>
          <w:szCs w:val="22"/>
        </w:rPr>
        <w:t>The Australian Human Rights Commission encourages the dissemination and exchange of information provided in this publication.</w:t>
      </w:r>
    </w:p>
    <w:p w:rsidR="00354A35" w:rsidRPr="00A95DB8" w:rsidRDefault="00354A35" w:rsidP="00354A35">
      <w:pPr>
        <w:pStyle w:val="Pa3"/>
        <w:spacing w:after="40"/>
        <w:rPr>
          <w:rFonts w:ascii="Arial" w:hAnsi="Arial" w:cs="Arial"/>
          <w:color w:val="000000"/>
          <w:sz w:val="22"/>
          <w:szCs w:val="22"/>
        </w:rPr>
      </w:pPr>
      <w:r w:rsidRPr="00A95DB8">
        <w:rPr>
          <w:rFonts w:ascii="Arial" w:hAnsi="Arial" w:cs="Arial"/>
          <w:color w:val="000000"/>
          <w:sz w:val="22"/>
          <w:szCs w:val="22"/>
        </w:rPr>
        <w:t>All material presented in this publication is provided under Creative Commons Attribution 3.0 Australia, with the exception of:</w:t>
      </w:r>
    </w:p>
    <w:p w:rsidR="00354A35" w:rsidRPr="00A95DB8" w:rsidRDefault="00354A35" w:rsidP="00354A35">
      <w:pPr>
        <w:pStyle w:val="Default"/>
        <w:numPr>
          <w:ilvl w:val="0"/>
          <w:numId w:val="64"/>
        </w:numPr>
        <w:rPr>
          <w:rFonts w:ascii="Arial" w:hAnsi="Arial" w:cs="Arial"/>
          <w:sz w:val="22"/>
          <w:szCs w:val="22"/>
        </w:rPr>
      </w:pPr>
      <w:r w:rsidRPr="00A95DB8">
        <w:rPr>
          <w:rStyle w:val="A4"/>
          <w:rFonts w:ascii="Arial" w:eastAsia="MS Mincho" w:hAnsi="Arial" w:cs="Arial"/>
          <w:sz w:val="22"/>
          <w:szCs w:val="22"/>
        </w:rPr>
        <w:t xml:space="preserve">the Australian Human Rights Commission </w:t>
      </w:r>
      <w:r w:rsidRPr="00F57886">
        <w:rPr>
          <w:rStyle w:val="A4"/>
          <w:rFonts w:ascii="Arial" w:eastAsia="MS Mincho" w:hAnsi="Arial" w:cs="Arial"/>
          <w:sz w:val="22"/>
          <w:szCs w:val="22"/>
        </w:rPr>
        <w:t>Logo</w:t>
      </w:r>
    </w:p>
    <w:p w:rsidR="00354A35" w:rsidRPr="00A95DB8" w:rsidRDefault="00354A35" w:rsidP="00354A35">
      <w:pPr>
        <w:pStyle w:val="Default"/>
        <w:numPr>
          <w:ilvl w:val="0"/>
          <w:numId w:val="64"/>
        </w:numPr>
        <w:rPr>
          <w:rFonts w:ascii="Arial" w:hAnsi="Arial" w:cs="Arial"/>
          <w:sz w:val="22"/>
          <w:szCs w:val="22"/>
        </w:rPr>
      </w:pPr>
      <w:r w:rsidRPr="00A95DB8">
        <w:rPr>
          <w:rStyle w:val="A4"/>
          <w:rFonts w:ascii="Arial" w:eastAsia="MS Mincho" w:hAnsi="Arial" w:cs="Arial"/>
          <w:sz w:val="22"/>
          <w:szCs w:val="22"/>
        </w:rPr>
        <w:t>photographs and images</w:t>
      </w:r>
    </w:p>
    <w:p w:rsidR="00354A35" w:rsidRPr="00A95DB8" w:rsidRDefault="00354A35" w:rsidP="00354A35">
      <w:pPr>
        <w:pStyle w:val="Default"/>
        <w:numPr>
          <w:ilvl w:val="0"/>
          <w:numId w:val="64"/>
        </w:numPr>
        <w:rPr>
          <w:rFonts w:ascii="Arial" w:hAnsi="Arial" w:cs="Arial"/>
          <w:sz w:val="22"/>
          <w:szCs w:val="22"/>
        </w:rPr>
      </w:pPr>
      <w:proofErr w:type="gramStart"/>
      <w:r w:rsidRPr="00A95DB8">
        <w:rPr>
          <w:rStyle w:val="A4"/>
          <w:rFonts w:ascii="Arial" w:eastAsia="MS Mincho" w:hAnsi="Arial" w:cs="Arial"/>
          <w:sz w:val="22"/>
          <w:szCs w:val="22"/>
        </w:rPr>
        <w:t>any</w:t>
      </w:r>
      <w:proofErr w:type="gramEnd"/>
      <w:r w:rsidRPr="00A95DB8">
        <w:rPr>
          <w:rStyle w:val="A4"/>
          <w:rFonts w:ascii="Arial" w:eastAsia="MS Mincho" w:hAnsi="Arial" w:cs="Arial"/>
          <w:sz w:val="22"/>
          <w:szCs w:val="22"/>
        </w:rPr>
        <w:t xml:space="preserve"> content or material provided by third parties.</w:t>
      </w:r>
    </w:p>
    <w:p w:rsidR="00354A35" w:rsidRPr="00A95DB8" w:rsidRDefault="00354A35" w:rsidP="00354A35">
      <w:pPr>
        <w:pStyle w:val="Default"/>
        <w:rPr>
          <w:rFonts w:ascii="Arial" w:hAnsi="Arial" w:cs="Arial"/>
          <w:sz w:val="22"/>
          <w:szCs w:val="22"/>
        </w:rPr>
      </w:pPr>
    </w:p>
    <w:p w:rsidR="00354A35" w:rsidRPr="003B2B48" w:rsidRDefault="00354A35" w:rsidP="00A95DB8">
      <w:pPr>
        <w:pStyle w:val="Default"/>
        <w:spacing w:after="220" w:line="161" w:lineRule="atLeast"/>
        <w:rPr>
          <w:rFonts w:ascii="Arial" w:hAnsi="Arial" w:cs="Arial"/>
          <w:sz w:val="22"/>
          <w:szCs w:val="22"/>
        </w:rPr>
      </w:pPr>
      <w:r w:rsidRPr="00A95DB8">
        <w:rPr>
          <w:rFonts w:ascii="Arial" w:hAnsi="Arial" w:cs="Arial"/>
          <w:sz w:val="22"/>
          <w:szCs w:val="22"/>
        </w:rPr>
        <w:t>The details of the relevant licence conditions are available on the Creative Commons website, as is the full legal code for the CC BY 3.0 AU licence.</w:t>
      </w:r>
    </w:p>
    <w:p w:rsidR="00354A35" w:rsidRPr="00A95DB8" w:rsidRDefault="00354A35" w:rsidP="00354A35">
      <w:pPr>
        <w:pStyle w:val="Pa8"/>
        <w:spacing w:before="100" w:after="40"/>
        <w:rPr>
          <w:rFonts w:ascii="Arial" w:hAnsi="Arial" w:cs="Arial"/>
          <w:color w:val="000000"/>
          <w:sz w:val="22"/>
          <w:szCs w:val="22"/>
        </w:rPr>
      </w:pPr>
      <w:r w:rsidRPr="00A95DB8">
        <w:rPr>
          <w:rFonts w:ascii="Arial" w:hAnsi="Arial" w:cs="Arial"/>
          <w:b/>
          <w:bCs/>
          <w:color w:val="000000"/>
          <w:sz w:val="22"/>
          <w:szCs w:val="22"/>
        </w:rPr>
        <w:t>Attribution</w:t>
      </w:r>
    </w:p>
    <w:p w:rsidR="00354A35" w:rsidRPr="00A95DB8" w:rsidRDefault="00354A35" w:rsidP="00354A35">
      <w:pPr>
        <w:pStyle w:val="Pa3"/>
        <w:spacing w:after="40"/>
        <w:rPr>
          <w:rFonts w:ascii="Arial" w:hAnsi="Arial" w:cs="Arial"/>
          <w:color w:val="000000"/>
          <w:sz w:val="22"/>
          <w:szCs w:val="22"/>
        </w:rPr>
      </w:pPr>
      <w:r w:rsidRPr="00A95DB8">
        <w:rPr>
          <w:rFonts w:ascii="Arial" w:hAnsi="Arial" w:cs="Arial"/>
          <w:color w:val="000000"/>
          <w:sz w:val="22"/>
          <w:szCs w:val="22"/>
        </w:rPr>
        <w:t>Material obtained from this publication is to be attributed to the Australian Human Rights Commission with the following copyright notice:</w:t>
      </w:r>
    </w:p>
    <w:p w:rsidR="00354A35" w:rsidRPr="00A95DB8" w:rsidRDefault="00354A35" w:rsidP="00354A35">
      <w:pPr>
        <w:pStyle w:val="Pa9"/>
        <w:spacing w:after="160"/>
        <w:rPr>
          <w:rFonts w:ascii="Arial" w:hAnsi="Arial" w:cs="Arial"/>
          <w:color w:val="000000"/>
          <w:sz w:val="22"/>
          <w:szCs w:val="22"/>
        </w:rPr>
      </w:pPr>
      <w:r w:rsidRPr="00A95DB8">
        <w:rPr>
          <w:rFonts w:ascii="Arial" w:hAnsi="Arial" w:cs="Arial"/>
          <w:color w:val="000000"/>
          <w:sz w:val="22"/>
          <w:szCs w:val="22"/>
        </w:rPr>
        <w:t>© Australian Human Rights Commission 2014.</w:t>
      </w:r>
    </w:p>
    <w:p w:rsidR="00354A35" w:rsidRPr="00A95DB8" w:rsidRDefault="001800E0" w:rsidP="00354A35">
      <w:pPr>
        <w:pStyle w:val="Pa9"/>
        <w:spacing w:after="160"/>
        <w:rPr>
          <w:rFonts w:ascii="Arial" w:hAnsi="Arial" w:cs="Arial"/>
          <w:color w:val="000000"/>
          <w:sz w:val="22"/>
          <w:szCs w:val="22"/>
        </w:rPr>
      </w:pPr>
      <w:r>
        <w:rPr>
          <w:rFonts w:ascii="Arial" w:hAnsi="Arial" w:cs="Arial"/>
          <w:b/>
          <w:sz w:val="22"/>
          <w:szCs w:val="22"/>
        </w:rPr>
        <w:t xml:space="preserve">Ending Workplace </w:t>
      </w:r>
      <w:r w:rsidR="00C0477A" w:rsidRPr="00A95DB8">
        <w:rPr>
          <w:rFonts w:ascii="Arial" w:hAnsi="Arial" w:cs="Arial"/>
          <w:b/>
          <w:sz w:val="22"/>
          <w:szCs w:val="22"/>
        </w:rPr>
        <w:t>Sexual Harassment</w:t>
      </w:r>
      <w:r w:rsidR="00C0477A" w:rsidRPr="00A95DB8">
        <w:rPr>
          <w:rFonts w:ascii="Arial" w:hAnsi="Arial" w:cs="Arial"/>
          <w:sz w:val="22"/>
          <w:szCs w:val="22"/>
        </w:rPr>
        <w:t>: A Resource for Small, Medium and Large Employers</w:t>
      </w:r>
      <w:r w:rsidR="00354A35" w:rsidRPr="00A95DB8">
        <w:rPr>
          <w:rFonts w:ascii="Arial" w:hAnsi="Arial" w:cs="Arial"/>
          <w:b/>
          <w:bCs/>
          <w:color w:val="000000"/>
          <w:sz w:val="22"/>
          <w:szCs w:val="22"/>
        </w:rPr>
        <w:t xml:space="preserve">: · </w:t>
      </w:r>
      <w:r w:rsidR="00354A35" w:rsidRPr="00A95DB8">
        <w:rPr>
          <w:rFonts w:ascii="Arial" w:hAnsi="Arial" w:cs="Arial"/>
          <w:color w:val="000000"/>
          <w:sz w:val="22"/>
          <w:szCs w:val="22"/>
        </w:rPr>
        <w:t>2014</w:t>
      </w:r>
    </w:p>
    <w:p w:rsidR="00354A35" w:rsidRPr="00A95DB8" w:rsidRDefault="00354A35" w:rsidP="00354A35">
      <w:pPr>
        <w:pStyle w:val="Pa9"/>
        <w:spacing w:after="160"/>
        <w:rPr>
          <w:rFonts w:ascii="Arial" w:hAnsi="Arial" w:cs="Arial"/>
          <w:color w:val="000000"/>
          <w:sz w:val="22"/>
          <w:szCs w:val="22"/>
        </w:rPr>
      </w:pPr>
      <w:r w:rsidRPr="00A95DB8">
        <w:rPr>
          <w:rFonts w:ascii="Arial" w:hAnsi="Arial" w:cs="Arial"/>
          <w:b/>
          <w:bCs/>
          <w:color w:val="000000"/>
          <w:sz w:val="22"/>
          <w:szCs w:val="22"/>
        </w:rPr>
        <w:t xml:space="preserve">ISBN </w:t>
      </w:r>
      <w:r w:rsidR="00AB3E59" w:rsidRPr="00A95DB8">
        <w:rPr>
          <w:rFonts w:ascii="Arial" w:hAnsi="Arial" w:cs="Arial"/>
          <w:sz w:val="22"/>
          <w:szCs w:val="22"/>
        </w:rPr>
        <w:t>978-1-921449-53-6</w:t>
      </w:r>
    </w:p>
    <w:p w:rsidR="00544310" w:rsidRPr="00A95DB8" w:rsidRDefault="00544310" w:rsidP="00354A35">
      <w:pPr>
        <w:pStyle w:val="Pa3"/>
        <w:spacing w:after="40"/>
        <w:rPr>
          <w:rFonts w:ascii="Arial" w:hAnsi="Arial" w:cs="Arial"/>
          <w:b/>
          <w:bCs/>
          <w:color w:val="000000"/>
          <w:sz w:val="22"/>
          <w:szCs w:val="22"/>
        </w:rPr>
      </w:pPr>
    </w:p>
    <w:p w:rsidR="00354A35" w:rsidRPr="00A95DB8" w:rsidRDefault="00354A35" w:rsidP="00354A35">
      <w:pPr>
        <w:pStyle w:val="Pa3"/>
        <w:spacing w:after="40"/>
        <w:rPr>
          <w:rFonts w:ascii="Arial" w:hAnsi="Arial" w:cs="Arial"/>
          <w:color w:val="000000"/>
          <w:sz w:val="22"/>
          <w:szCs w:val="22"/>
        </w:rPr>
      </w:pPr>
      <w:r w:rsidRPr="00A95DB8">
        <w:rPr>
          <w:rFonts w:ascii="Arial" w:hAnsi="Arial" w:cs="Arial"/>
          <w:b/>
          <w:bCs/>
          <w:color w:val="000000"/>
          <w:sz w:val="22"/>
          <w:szCs w:val="22"/>
        </w:rPr>
        <w:t xml:space="preserve">Design and layout </w:t>
      </w:r>
      <w:r w:rsidRPr="00A95DB8">
        <w:rPr>
          <w:rFonts w:ascii="Arial" w:hAnsi="Arial" w:cs="Arial"/>
          <w:color w:val="000000"/>
          <w:sz w:val="22"/>
          <w:szCs w:val="22"/>
        </w:rPr>
        <w:t>Dancingirl Designs</w:t>
      </w:r>
    </w:p>
    <w:p w:rsidR="00354A35" w:rsidRPr="00A95DB8" w:rsidRDefault="00354A35" w:rsidP="00354A35">
      <w:pPr>
        <w:pStyle w:val="Pa10"/>
        <w:spacing w:after="40"/>
        <w:rPr>
          <w:rFonts w:ascii="Arial" w:hAnsi="Arial" w:cs="Arial"/>
          <w:color w:val="000000"/>
          <w:sz w:val="22"/>
          <w:szCs w:val="22"/>
        </w:rPr>
      </w:pPr>
      <w:r w:rsidRPr="00A95DB8">
        <w:rPr>
          <w:rStyle w:val="A4"/>
          <w:rFonts w:ascii="Arial" w:eastAsia="MS Mincho" w:hAnsi="Arial" w:cs="Arial"/>
          <w:b/>
          <w:bCs/>
          <w:sz w:val="22"/>
          <w:szCs w:val="22"/>
        </w:rPr>
        <w:t xml:space="preserve">Printing </w:t>
      </w:r>
      <w:proofErr w:type="spellStart"/>
      <w:r w:rsidRPr="00A95DB8">
        <w:rPr>
          <w:rStyle w:val="A4"/>
          <w:rFonts w:ascii="Arial" w:eastAsia="MS Mincho" w:hAnsi="Arial" w:cs="Arial"/>
          <w:sz w:val="22"/>
          <w:szCs w:val="22"/>
        </w:rPr>
        <w:t>Kwik</w:t>
      </w:r>
      <w:proofErr w:type="spellEnd"/>
      <w:r w:rsidRPr="00A95DB8">
        <w:rPr>
          <w:rStyle w:val="A4"/>
          <w:rFonts w:ascii="Arial" w:eastAsia="MS Mincho" w:hAnsi="Arial" w:cs="Arial"/>
          <w:sz w:val="22"/>
          <w:szCs w:val="22"/>
        </w:rPr>
        <w:t xml:space="preserve"> </w:t>
      </w:r>
      <w:proofErr w:type="spellStart"/>
      <w:r w:rsidRPr="00A95DB8">
        <w:rPr>
          <w:rStyle w:val="A4"/>
          <w:rFonts w:ascii="Arial" w:eastAsia="MS Mincho" w:hAnsi="Arial" w:cs="Arial"/>
          <w:sz w:val="22"/>
          <w:szCs w:val="22"/>
        </w:rPr>
        <w:t>Kopy</w:t>
      </w:r>
      <w:proofErr w:type="spellEnd"/>
    </w:p>
    <w:p w:rsidR="00354A35" w:rsidRPr="00A95DB8" w:rsidRDefault="00354A35" w:rsidP="00354A35">
      <w:pPr>
        <w:pStyle w:val="Pa10"/>
        <w:spacing w:after="40"/>
        <w:rPr>
          <w:rFonts w:ascii="Arial" w:hAnsi="Arial" w:cs="Arial"/>
          <w:color w:val="000000"/>
          <w:sz w:val="22"/>
          <w:szCs w:val="22"/>
        </w:rPr>
      </w:pPr>
      <w:r w:rsidRPr="00A95DB8">
        <w:rPr>
          <w:rStyle w:val="A4"/>
          <w:rFonts w:ascii="Arial" w:eastAsia="MS Mincho" w:hAnsi="Arial" w:cs="Arial"/>
          <w:b/>
          <w:bCs/>
          <w:sz w:val="22"/>
          <w:szCs w:val="22"/>
        </w:rPr>
        <w:t xml:space="preserve">Cover and internal photography </w:t>
      </w:r>
      <w:proofErr w:type="spellStart"/>
      <w:r w:rsidRPr="00A95DB8">
        <w:rPr>
          <w:rStyle w:val="A4"/>
          <w:rFonts w:ascii="Arial" w:eastAsia="MS Mincho" w:hAnsi="Arial" w:cs="Arial"/>
          <w:sz w:val="22"/>
          <w:szCs w:val="22"/>
        </w:rPr>
        <w:t>Thinkstock</w:t>
      </w:r>
      <w:proofErr w:type="spellEnd"/>
    </w:p>
    <w:p w:rsidR="00544310" w:rsidRPr="00A95DB8" w:rsidRDefault="00544310" w:rsidP="00354A35">
      <w:pPr>
        <w:pStyle w:val="Pa8"/>
        <w:spacing w:before="100" w:after="40"/>
        <w:rPr>
          <w:rFonts w:ascii="Arial" w:hAnsi="Arial" w:cs="Arial"/>
          <w:b/>
          <w:bCs/>
          <w:color w:val="000000"/>
          <w:sz w:val="22"/>
          <w:szCs w:val="22"/>
        </w:rPr>
      </w:pPr>
    </w:p>
    <w:p w:rsidR="00354A35" w:rsidRPr="00A95DB8" w:rsidRDefault="00354A35" w:rsidP="00354A35">
      <w:pPr>
        <w:pStyle w:val="Pa8"/>
        <w:spacing w:before="100" w:after="40"/>
        <w:rPr>
          <w:rFonts w:ascii="Arial" w:hAnsi="Arial" w:cs="Arial"/>
          <w:color w:val="000000"/>
          <w:sz w:val="22"/>
          <w:szCs w:val="22"/>
        </w:rPr>
      </w:pPr>
      <w:r w:rsidRPr="00A95DB8">
        <w:rPr>
          <w:rFonts w:ascii="Arial" w:hAnsi="Arial" w:cs="Arial"/>
          <w:b/>
          <w:bCs/>
          <w:color w:val="000000"/>
          <w:sz w:val="22"/>
          <w:szCs w:val="22"/>
        </w:rPr>
        <w:t>Electronic format</w:t>
      </w:r>
    </w:p>
    <w:p w:rsidR="00354A35" w:rsidRPr="00A95DB8" w:rsidRDefault="00354A35" w:rsidP="00354A35">
      <w:pPr>
        <w:pStyle w:val="Pa3"/>
        <w:spacing w:after="40"/>
        <w:rPr>
          <w:rFonts w:ascii="Arial" w:hAnsi="Arial" w:cs="Arial"/>
          <w:color w:val="000000"/>
          <w:sz w:val="22"/>
          <w:szCs w:val="22"/>
        </w:rPr>
      </w:pPr>
      <w:r w:rsidRPr="00A95DB8">
        <w:rPr>
          <w:rFonts w:ascii="Arial" w:hAnsi="Arial" w:cs="Arial"/>
          <w:color w:val="000000"/>
          <w:sz w:val="22"/>
          <w:szCs w:val="22"/>
        </w:rPr>
        <w:t xml:space="preserve">This publication can be found in electronic format on the website of the Australian Human Rights Commission: </w:t>
      </w:r>
      <w:r w:rsidRPr="00A95DB8">
        <w:rPr>
          <w:rFonts w:ascii="Arial" w:hAnsi="Arial" w:cs="Arial"/>
          <w:b/>
          <w:bCs/>
          <w:color w:val="000000"/>
          <w:sz w:val="22"/>
          <w:szCs w:val="22"/>
        </w:rPr>
        <w:t>http://www.humanrights.gov.au/publications/sex-discrimination</w:t>
      </w:r>
    </w:p>
    <w:p w:rsidR="00544310" w:rsidRPr="00A95DB8" w:rsidRDefault="00544310" w:rsidP="00354A35">
      <w:pPr>
        <w:pStyle w:val="Pa8"/>
        <w:spacing w:before="100" w:after="40"/>
        <w:rPr>
          <w:rFonts w:ascii="Arial" w:hAnsi="Arial" w:cs="Arial"/>
          <w:b/>
          <w:bCs/>
          <w:color w:val="000000"/>
          <w:sz w:val="22"/>
          <w:szCs w:val="22"/>
        </w:rPr>
      </w:pPr>
    </w:p>
    <w:p w:rsidR="00354A35" w:rsidRPr="00A95DB8" w:rsidRDefault="00354A35" w:rsidP="00354A35">
      <w:pPr>
        <w:pStyle w:val="Pa8"/>
        <w:spacing w:before="100" w:after="40"/>
        <w:rPr>
          <w:rFonts w:ascii="Arial" w:hAnsi="Arial" w:cs="Arial"/>
          <w:color w:val="000000"/>
          <w:sz w:val="22"/>
          <w:szCs w:val="22"/>
        </w:rPr>
      </w:pPr>
      <w:r w:rsidRPr="00A95DB8">
        <w:rPr>
          <w:rFonts w:ascii="Arial" w:hAnsi="Arial" w:cs="Arial"/>
          <w:b/>
          <w:bCs/>
          <w:color w:val="000000"/>
          <w:sz w:val="22"/>
          <w:szCs w:val="22"/>
        </w:rPr>
        <w:t>Contact details</w:t>
      </w:r>
    </w:p>
    <w:p w:rsidR="00354A35" w:rsidRPr="00A95DB8" w:rsidRDefault="00354A35" w:rsidP="00354A35">
      <w:pPr>
        <w:pStyle w:val="Pa3"/>
        <w:spacing w:after="40"/>
        <w:rPr>
          <w:rFonts w:ascii="Arial" w:hAnsi="Arial" w:cs="Arial"/>
          <w:color w:val="000000"/>
          <w:sz w:val="22"/>
          <w:szCs w:val="22"/>
        </w:rPr>
      </w:pPr>
      <w:r w:rsidRPr="00A95DB8">
        <w:rPr>
          <w:rFonts w:ascii="Arial" w:hAnsi="Arial" w:cs="Arial"/>
          <w:color w:val="000000"/>
          <w:sz w:val="22"/>
          <w:szCs w:val="22"/>
        </w:rPr>
        <w:t xml:space="preserve">For further information about the Australian Human Rights Commission, please visit </w:t>
      </w:r>
      <w:r w:rsidRPr="00A95DB8">
        <w:rPr>
          <w:rFonts w:ascii="Arial" w:hAnsi="Arial" w:cs="Arial"/>
          <w:b/>
          <w:bCs/>
          <w:color w:val="000000"/>
          <w:sz w:val="22"/>
          <w:szCs w:val="22"/>
        </w:rPr>
        <w:t xml:space="preserve">www.humanrights.gov.au </w:t>
      </w:r>
      <w:r w:rsidRPr="00A95DB8">
        <w:rPr>
          <w:rFonts w:ascii="Arial" w:hAnsi="Arial" w:cs="Arial"/>
          <w:color w:val="000000"/>
          <w:sz w:val="22"/>
          <w:szCs w:val="22"/>
        </w:rPr>
        <w:t xml:space="preserve">or email </w:t>
      </w:r>
      <w:r w:rsidRPr="00A95DB8">
        <w:rPr>
          <w:rFonts w:ascii="Arial" w:hAnsi="Arial" w:cs="Arial"/>
          <w:b/>
          <w:bCs/>
          <w:color w:val="000000"/>
          <w:sz w:val="22"/>
          <w:szCs w:val="22"/>
        </w:rPr>
        <w:t>communications@humanrights.gov.au</w:t>
      </w:r>
      <w:r w:rsidRPr="00A95DB8">
        <w:rPr>
          <w:rFonts w:ascii="Arial" w:hAnsi="Arial" w:cs="Arial"/>
          <w:color w:val="000000"/>
          <w:sz w:val="22"/>
          <w:szCs w:val="22"/>
        </w:rPr>
        <w:t>.</w:t>
      </w:r>
    </w:p>
    <w:p w:rsidR="00C0477A" w:rsidRPr="00A95DB8" w:rsidRDefault="00C0477A" w:rsidP="00354A35">
      <w:pPr>
        <w:pStyle w:val="Pa3"/>
        <w:spacing w:after="40"/>
        <w:rPr>
          <w:rFonts w:ascii="Arial" w:hAnsi="Arial" w:cs="Arial"/>
          <w:color w:val="000000"/>
          <w:sz w:val="22"/>
          <w:szCs w:val="22"/>
        </w:rPr>
      </w:pPr>
    </w:p>
    <w:p w:rsidR="00354A35" w:rsidRPr="00A95DB8" w:rsidRDefault="00354A35" w:rsidP="00354A35">
      <w:pPr>
        <w:pStyle w:val="Pa3"/>
        <w:spacing w:after="40"/>
        <w:rPr>
          <w:rFonts w:ascii="Arial" w:hAnsi="Arial" w:cs="Arial"/>
          <w:color w:val="000000"/>
          <w:sz w:val="22"/>
          <w:szCs w:val="22"/>
        </w:rPr>
      </w:pPr>
      <w:r w:rsidRPr="00A95DB8">
        <w:rPr>
          <w:rFonts w:ascii="Arial" w:hAnsi="Arial" w:cs="Arial"/>
          <w:color w:val="000000"/>
          <w:sz w:val="22"/>
          <w:szCs w:val="22"/>
        </w:rPr>
        <w:t xml:space="preserve">You can also write to: </w:t>
      </w:r>
    </w:p>
    <w:p w:rsidR="00C0477A" w:rsidRPr="003B2B48" w:rsidRDefault="00C0477A" w:rsidP="00A95DB8">
      <w:pPr>
        <w:pStyle w:val="CopyrightText"/>
        <w:spacing w:line="240" w:lineRule="auto"/>
        <w:rPr>
          <w:rFonts w:cs="Arial"/>
          <w:sz w:val="22"/>
          <w:szCs w:val="22"/>
        </w:rPr>
      </w:pPr>
      <w:r w:rsidRPr="003B2B48">
        <w:rPr>
          <w:rFonts w:cs="Arial"/>
          <w:sz w:val="22"/>
          <w:szCs w:val="22"/>
        </w:rPr>
        <w:tab/>
      </w:r>
      <w:r w:rsidR="00354A35" w:rsidRPr="00A95DB8">
        <w:rPr>
          <w:rFonts w:cs="Arial"/>
          <w:sz w:val="22"/>
          <w:szCs w:val="22"/>
        </w:rPr>
        <w:t>Communications Team</w:t>
      </w:r>
    </w:p>
    <w:p w:rsidR="00C0477A" w:rsidRPr="003B2B48" w:rsidRDefault="00C0477A" w:rsidP="00A95DB8">
      <w:pPr>
        <w:pStyle w:val="CopyrightText"/>
        <w:spacing w:line="240" w:lineRule="auto"/>
        <w:rPr>
          <w:rFonts w:cs="Arial"/>
          <w:sz w:val="22"/>
          <w:szCs w:val="22"/>
        </w:rPr>
      </w:pPr>
      <w:r w:rsidRPr="003E41AF">
        <w:rPr>
          <w:rFonts w:cs="Arial"/>
          <w:sz w:val="22"/>
          <w:szCs w:val="22"/>
        </w:rPr>
        <w:tab/>
      </w:r>
      <w:r w:rsidR="00354A35" w:rsidRPr="00A95DB8">
        <w:rPr>
          <w:rFonts w:cs="Arial"/>
          <w:sz w:val="22"/>
          <w:szCs w:val="22"/>
        </w:rPr>
        <w:t xml:space="preserve">Australian Human Rights Commission </w:t>
      </w:r>
    </w:p>
    <w:p w:rsidR="00C0477A" w:rsidRPr="003B2B48" w:rsidRDefault="00C0477A" w:rsidP="00A95DB8">
      <w:pPr>
        <w:pStyle w:val="CopyrightText"/>
        <w:spacing w:line="240" w:lineRule="auto"/>
        <w:rPr>
          <w:rFonts w:cs="Arial"/>
          <w:sz w:val="22"/>
          <w:szCs w:val="22"/>
        </w:rPr>
      </w:pPr>
      <w:r w:rsidRPr="003E41AF">
        <w:rPr>
          <w:rFonts w:cs="Arial"/>
          <w:sz w:val="22"/>
          <w:szCs w:val="22"/>
        </w:rPr>
        <w:tab/>
      </w:r>
      <w:r w:rsidR="00354A35" w:rsidRPr="00A95DB8">
        <w:rPr>
          <w:rFonts w:cs="Arial"/>
          <w:sz w:val="22"/>
          <w:szCs w:val="22"/>
        </w:rPr>
        <w:t xml:space="preserve">GPO Box 5218 </w:t>
      </w:r>
    </w:p>
    <w:p w:rsidR="00C0477A" w:rsidRDefault="00C0477A" w:rsidP="00A95DB8">
      <w:pPr>
        <w:pStyle w:val="CopyrightText"/>
      </w:pPr>
      <w:r w:rsidRPr="003E41AF">
        <w:rPr>
          <w:rFonts w:cs="Arial"/>
          <w:sz w:val="22"/>
          <w:szCs w:val="22"/>
        </w:rPr>
        <w:tab/>
      </w:r>
      <w:r w:rsidR="00354A35" w:rsidRPr="00A95DB8">
        <w:rPr>
          <w:rFonts w:cs="Arial"/>
          <w:sz w:val="22"/>
          <w:szCs w:val="22"/>
        </w:rPr>
        <w:t>Sydney NSW 2001</w:t>
      </w:r>
      <w:r>
        <w:br w:type="page"/>
      </w:r>
    </w:p>
    <w:p w:rsidR="00B63D24" w:rsidRPr="003624E0" w:rsidRDefault="00B63D24" w:rsidP="00607D18">
      <w:pPr>
        <w:spacing w:before="0" w:after="120"/>
        <w:jc w:val="center"/>
        <w:rPr>
          <w:b/>
          <w:sz w:val="28"/>
          <w:szCs w:val="28"/>
        </w:rPr>
      </w:pPr>
      <w:r w:rsidRPr="003624E0">
        <w:rPr>
          <w:b/>
          <w:sz w:val="28"/>
          <w:szCs w:val="28"/>
        </w:rPr>
        <w:lastRenderedPageBreak/>
        <w:t>Table of Contents</w:t>
      </w:r>
      <w:bookmarkEnd w:id="1"/>
    </w:p>
    <w:p w:rsidR="00C75E33" w:rsidRDefault="00B05A2B">
      <w:pPr>
        <w:pStyle w:val="TOC1"/>
        <w:rPr>
          <w:rFonts w:asciiTheme="minorHAnsi" w:eastAsiaTheme="minorEastAsia" w:hAnsiTheme="minorHAnsi" w:cstheme="minorBidi"/>
          <w:b w:val="0"/>
          <w:szCs w:val="22"/>
        </w:rPr>
      </w:pPr>
      <w:r w:rsidRPr="003624E0">
        <w:fldChar w:fldCharType="begin"/>
      </w:r>
      <w:r w:rsidR="00802123" w:rsidRPr="003624E0">
        <w:instrText xml:space="preserve"> TOC \o "1-2" \h \z \u </w:instrText>
      </w:r>
      <w:r w:rsidRPr="003624E0">
        <w:fldChar w:fldCharType="separate"/>
      </w:r>
      <w:hyperlink w:anchor="_Toc388023516" w:history="1">
        <w:r w:rsidR="00C75E33" w:rsidRPr="00C17A5F">
          <w:rPr>
            <w:rStyle w:val="Hyperlink"/>
          </w:rPr>
          <w:t>Foreword</w:t>
        </w:r>
        <w:r w:rsidR="00C75E33">
          <w:rPr>
            <w:webHidden/>
          </w:rPr>
          <w:tab/>
        </w:r>
        <w:r w:rsidR="00C75E33">
          <w:rPr>
            <w:webHidden/>
          </w:rPr>
          <w:fldChar w:fldCharType="begin"/>
        </w:r>
        <w:r w:rsidR="00C75E33">
          <w:rPr>
            <w:webHidden/>
          </w:rPr>
          <w:instrText xml:space="preserve"> PAGEREF _Toc388023516 \h </w:instrText>
        </w:r>
        <w:r w:rsidR="00C75E33">
          <w:rPr>
            <w:webHidden/>
          </w:rPr>
        </w:r>
        <w:r w:rsidR="00C75E33">
          <w:rPr>
            <w:webHidden/>
          </w:rPr>
          <w:fldChar w:fldCharType="separate"/>
        </w:r>
        <w:r w:rsidR="00C75E33">
          <w:rPr>
            <w:webHidden/>
          </w:rPr>
          <w:t>iv</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17" w:history="1">
        <w:r w:rsidR="00C75E33" w:rsidRPr="00C17A5F">
          <w:rPr>
            <w:rStyle w:val="Hyperlink"/>
          </w:rPr>
          <w:t xml:space="preserve">1. </w:t>
        </w:r>
        <w:r w:rsidR="00C75E33">
          <w:rPr>
            <w:rFonts w:asciiTheme="minorHAnsi" w:eastAsiaTheme="minorEastAsia" w:hAnsiTheme="minorHAnsi" w:cstheme="minorBidi"/>
            <w:b w:val="0"/>
            <w:szCs w:val="22"/>
          </w:rPr>
          <w:tab/>
        </w:r>
        <w:r w:rsidR="00C75E33" w:rsidRPr="00C17A5F">
          <w:rPr>
            <w:rStyle w:val="Hyperlink"/>
          </w:rPr>
          <w:t>Introduction</w:t>
        </w:r>
        <w:r w:rsidR="00C75E33">
          <w:rPr>
            <w:webHidden/>
          </w:rPr>
          <w:tab/>
        </w:r>
        <w:r w:rsidR="00C75E33">
          <w:rPr>
            <w:webHidden/>
          </w:rPr>
          <w:fldChar w:fldCharType="begin"/>
        </w:r>
        <w:r w:rsidR="00C75E33">
          <w:rPr>
            <w:webHidden/>
          </w:rPr>
          <w:instrText xml:space="preserve"> PAGEREF _Toc388023517 \h </w:instrText>
        </w:r>
        <w:r w:rsidR="00C75E33">
          <w:rPr>
            <w:webHidden/>
          </w:rPr>
        </w:r>
        <w:r w:rsidR="00C75E33">
          <w:rPr>
            <w:webHidden/>
          </w:rPr>
          <w:fldChar w:fldCharType="separate"/>
        </w:r>
        <w:r w:rsidR="00C75E33">
          <w:rPr>
            <w:webHidden/>
          </w:rPr>
          <w:t>1</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18" w:history="1">
        <w:r w:rsidR="00C75E33" w:rsidRPr="00C17A5F">
          <w:rPr>
            <w:rStyle w:val="Hyperlink"/>
          </w:rPr>
          <w:t>1.1  Objectives</w:t>
        </w:r>
        <w:r w:rsidR="00C75E33">
          <w:rPr>
            <w:webHidden/>
          </w:rPr>
          <w:tab/>
        </w:r>
        <w:r w:rsidR="00C75E33">
          <w:rPr>
            <w:webHidden/>
          </w:rPr>
          <w:fldChar w:fldCharType="begin"/>
        </w:r>
        <w:r w:rsidR="00C75E33">
          <w:rPr>
            <w:webHidden/>
          </w:rPr>
          <w:instrText xml:space="preserve"> PAGEREF _Toc388023518 \h </w:instrText>
        </w:r>
        <w:r w:rsidR="00C75E33">
          <w:rPr>
            <w:webHidden/>
          </w:rPr>
        </w:r>
        <w:r w:rsidR="00C75E33">
          <w:rPr>
            <w:webHidden/>
          </w:rPr>
          <w:fldChar w:fldCharType="separate"/>
        </w:r>
        <w:r w:rsidR="00C75E33">
          <w:rPr>
            <w:webHidden/>
          </w:rPr>
          <w:t>1</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19" w:history="1">
        <w:r w:rsidR="00C75E33" w:rsidRPr="00C17A5F">
          <w:rPr>
            <w:rStyle w:val="Hyperlink"/>
          </w:rPr>
          <w:t>1.2  Using this resource</w:t>
        </w:r>
        <w:r w:rsidR="00C75E33">
          <w:rPr>
            <w:webHidden/>
          </w:rPr>
          <w:tab/>
        </w:r>
        <w:r w:rsidR="00C75E33">
          <w:rPr>
            <w:webHidden/>
          </w:rPr>
          <w:fldChar w:fldCharType="begin"/>
        </w:r>
        <w:r w:rsidR="00C75E33">
          <w:rPr>
            <w:webHidden/>
          </w:rPr>
          <w:instrText xml:space="preserve"> PAGEREF _Toc388023519 \h </w:instrText>
        </w:r>
        <w:r w:rsidR="00C75E33">
          <w:rPr>
            <w:webHidden/>
          </w:rPr>
        </w:r>
        <w:r w:rsidR="00C75E33">
          <w:rPr>
            <w:webHidden/>
          </w:rPr>
          <w:fldChar w:fldCharType="separate"/>
        </w:r>
        <w:r w:rsidR="00C75E33">
          <w:rPr>
            <w:webHidden/>
          </w:rPr>
          <w:t>3</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20" w:history="1">
        <w:r w:rsidR="00C75E33" w:rsidRPr="00C17A5F">
          <w:rPr>
            <w:rStyle w:val="Hyperlink"/>
          </w:rPr>
          <w:t xml:space="preserve">2. </w:t>
        </w:r>
        <w:r w:rsidR="00C75E33">
          <w:rPr>
            <w:rFonts w:asciiTheme="minorHAnsi" w:eastAsiaTheme="minorEastAsia" w:hAnsiTheme="minorHAnsi" w:cstheme="minorBidi"/>
            <w:b w:val="0"/>
            <w:szCs w:val="22"/>
          </w:rPr>
          <w:tab/>
        </w:r>
        <w:r w:rsidR="00C75E33" w:rsidRPr="00C17A5F">
          <w:rPr>
            <w:rStyle w:val="Hyperlink"/>
          </w:rPr>
          <w:t>Understanding sexual harassment</w:t>
        </w:r>
        <w:r w:rsidR="00C75E33">
          <w:rPr>
            <w:webHidden/>
          </w:rPr>
          <w:tab/>
        </w:r>
        <w:r w:rsidR="00C75E33">
          <w:rPr>
            <w:webHidden/>
          </w:rPr>
          <w:fldChar w:fldCharType="begin"/>
        </w:r>
        <w:r w:rsidR="00C75E33">
          <w:rPr>
            <w:webHidden/>
          </w:rPr>
          <w:instrText xml:space="preserve"> PAGEREF _Toc388023520 \h </w:instrText>
        </w:r>
        <w:r w:rsidR="00C75E33">
          <w:rPr>
            <w:webHidden/>
          </w:rPr>
        </w:r>
        <w:r w:rsidR="00C75E33">
          <w:rPr>
            <w:webHidden/>
          </w:rPr>
          <w:fldChar w:fldCharType="separate"/>
        </w:r>
        <w:r w:rsidR="00C75E33">
          <w:rPr>
            <w:webHidden/>
          </w:rPr>
          <w:t>5</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21" w:history="1">
        <w:r w:rsidR="00C75E33" w:rsidRPr="00C17A5F">
          <w:rPr>
            <w:rStyle w:val="Hyperlink"/>
          </w:rPr>
          <w:t>2.1  Unwelcome conduct</w:t>
        </w:r>
        <w:r w:rsidR="00C75E33">
          <w:rPr>
            <w:webHidden/>
          </w:rPr>
          <w:tab/>
        </w:r>
        <w:r w:rsidR="00C75E33">
          <w:rPr>
            <w:webHidden/>
          </w:rPr>
          <w:fldChar w:fldCharType="begin"/>
        </w:r>
        <w:r w:rsidR="00C75E33">
          <w:rPr>
            <w:webHidden/>
          </w:rPr>
          <w:instrText xml:space="preserve"> PAGEREF _Toc388023521 \h </w:instrText>
        </w:r>
        <w:r w:rsidR="00C75E33">
          <w:rPr>
            <w:webHidden/>
          </w:rPr>
        </w:r>
        <w:r w:rsidR="00C75E33">
          <w:rPr>
            <w:webHidden/>
          </w:rPr>
          <w:fldChar w:fldCharType="separate"/>
        </w:r>
        <w:r w:rsidR="00C75E33">
          <w:rPr>
            <w:webHidden/>
          </w:rPr>
          <w:t>5</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22" w:history="1">
        <w:r w:rsidR="00C75E33" w:rsidRPr="00C17A5F">
          <w:rPr>
            <w:rStyle w:val="Hyperlink"/>
          </w:rPr>
          <w:t>2.2  Conduct of a sexual nature</w:t>
        </w:r>
        <w:r w:rsidR="00C75E33">
          <w:rPr>
            <w:webHidden/>
          </w:rPr>
          <w:tab/>
        </w:r>
        <w:r w:rsidR="00C75E33">
          <w:rPr>
            <w:webHidden/>
          </w:rPr>
          <w:fldChar w:fldCharType="begin"/>
        </w:r>
        <w:r w:rsidR="00C75E33">
          <w:rPr>
            <w:webHidden/>
          </w:rPr>
          <w:instrText xml:space="preserve"> PAGEREF _Toc388023522 \h </w:instrText>
        </w:r>
        <w:r w:rsidR="00C75E33">
          <w:rPr>
            <w:webHidden/>
          </w:rPr>
        </w:r>
        <w:r w:rsidR="00C75E33">
          <w:rPr>
            <w:webHidden/>
          </w:rPr>
          <w:fldChar w:fldCharType="separate"/>
        </w:r>
        <w:r w:rsidR="00C75E33">
          <w:rPr>
            <w:webHidden/>
          </w:rPr>
          <w:t>7</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23" w:history="1">
        <w:r w:rsidR="00C75E33" w:rsidRPr="00C17A5F">
          <w:rPr>
            <w:rStyle w:val="Hyperlink"/>
          </w:rPr>
          <w:t>2.3  Reasonable person (offence, humiliation, intimidation)</w:t>
        </w:r>
        <w:r w:rsidR="00C75E33">
          <w:rPr>
            <w:webHidden/>
          </w:rPr>
          <w:tab/>
        </w:r>
        <w:r w:rsidR="00C75E33">
          <w:rPr>
            <w:webHidden/>
          </w:rPr>
          <w:fldChar w:fldCharType="begin"/>
        </w:r>
        <w:r w:rsidR="00C75E33">
          <w:rPr>
            <w:webHidden/>
          </w:rPr>
          <w:instrText xml:space="preserve"> PAGEREF _Toc388023523 \h </w:instrText>
        </w:r>
        <w:r w:rsidR="00C75E33">
          <w:rPr>
            <w:webHidden/>
          </w:rPr>
        </w:r>
        <w:r w:rsidR="00C75E33">
          <w:rPr>
            <w:webHidden/>
          </w:rPr>
          <w:fldChar w:fldCharType="separate"/>
        </w:r>
        <w:r w:rsidR="00C75E33">
          <w:rPr>
            <w:webHidden/>
          </w:rPr>
          <w:t>11</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24" w:history="1">
        <w:r w:rsidR="00C75E33" w:rsidRPr="00C17A5F">
          <w:rPr>
            <w:rStyle w:val="Hyperlink"/>
          </w:rPr>
          <w:t>2.4  Workplace</w:t>
        </w:r>
        <w:r w:rsidR="00C75E33">
          <w:rPr>
            <w:webHidden/>
          </w:rPr>
          <w:tab/>
        </w:r>
        <w:r w:rsidR="00C75E33">
          <w:rPr>
            <w:webHidden/>
          </w:rPr>
          <w:fldChar w:fldCharType="begin"/>
        </w:r>
        <w:r w:rsidR="00C75E33">
          <w:rPr>
            <w:webHidden/>
          </w:rPr>
          <w:instrText xml:space="preserve"> PAGEREF _Toc388023524 \h </w:instrText>
        </w:r>
        <w:r w:rsidR="00C75E33">
          <w:rPr>
            <w:webHidden/>
          </w:rPr>
        </w:r>
        <w:r w:rsidR="00C75E33">
          <w:rPr>
            <w:webHidden/>
          </w:rPr>
          <w:fldChar w:fldCharType="separate"/>
        </w:r>
        <w:r w:rsidR="00C75E33">
          <w:rPr>
            <w:webHidden/>
          </w:rPr>
          <w:t>13</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25" w:history="1">
        <w:r w:rsidR="00C75E33" w:rsidRPr="00C17A5F">
          <w:rPr>
            <w:rStyle w:val="Hyperlink"/>
          </w:rPr>
          <w:t xml:space="preserve">3.  Causes of action and types of liability under the </w:t>
        </w:r>
        <w:r w:rsidR="00C75E33" w:rsidRPr="00C17A5F">
          <w:rPr>
            <w:rStyle w:val="Hyperlink"/>
            <w:i/>
          </w:rPr>
          <w:t>Sex Discrimination Act</w:t>
        </w:r>
        <w:r w:rsidR="00C75E33">
          <w:rPr>
            <w:webHidden/>
          </w:rPr>
          <w:tab/>
        </w:r>
        <w:r w:rsidR="00C75E33">
          <w:rPr>
            <w:webHidden/>
          </w:rPr>
          <w:fldChar w:fldCharType="begin"/>
        </w:r>
        <w:r w:rsidR="00C75E33">
          <w:rPr>
            <w:webHidden/>
          </w:rPr>
          <w:instrText xml:space="preserve"> PAGEREF _Toc388023525 \h </w:instrText>
        </w:r>
        <w:r w:rsidR="00C75E33">
          <w:rPr>
            <w:webHidden/>
          </w:rPr>
        </w:r>
        <w:r w:rsidR="00C75E33">
          <w:rPr>
            <w:webHidden/>
          </w:rPr>
          <w:fldChar w:fldCharType="separate"/>
        </w:r>
        <w:r w:rsidR="00C75E33">
          <w:rPr>
            <w:webHidden/>
          </w:rPr>
          <w:t>17</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26" w:history="1">
        <w:r w:rsidR="00C75E33" w:rsidRPr="00C17A5F">
          <w:rPr>
            <w:rStyle w:val="Hyperlink"/>
          </w:rPr>
          <w:t>3.1  Causes of action</w:t>
        </w:r>
        <w:r w:rsidR="00C75E33">
          <w:rPr>
            <w:webHidden/>
          </w:rPr>
          <w:tab/>
        </w:r>
        <w:r w:rsidR="00C75E33">
          <w:rPr>
            <w:webHidden/>
          </w:rPr>
          <w:fldChar w:fldCharType="begin"/>
        </w:r>
        <w:r w:rsidR="00C75E33">
          <w:rPr>
            <w:webHidden/>
          </w:rPr>
          <w:instrText xml:space="preserve"> PAGEREF _Toc388023526 \h </w:instrText>
        </w:r>
        <w:r w:rsidR="00C75E33">
          <w:rPr>
            <w:webHidden/>
          </w:rPr>
        </w:r>
        <w:r w:rsidR="00C75E33">
          <w:rPr>
            <w:webHidden/>
          </w:rPr>
          <w:fldChar w:fldCharType="separate"/>
        </w:r>
        <w:r w:rsidR="00C75E33">
          <w:rPr>
            <w:webHidden/>
          </w:rPr>
          <w:t>17</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27" w:history="1">
        <w:r w:rsidR="00C75E33" w:rsidRPr="00C17A5F">
          <w:rPr>
            <w:rStyle w:val="Hyperlink"/>
          </w:rPr>
          <w:t>3.2  Employers’ legal liability</w:t>
        </w:r>
        <w:r w:rsidR="00C75E33">
          <w:rPr>
            <w:webHidden/>
          </w:rPr>
          <w:tab/>
        </w:r>
        <w:r w:rsidR="00C75E33">
          <w:rPr>
            <w:webHidden/>
          </w:rPr>
          <w:fldChar w:fldCharType="begin"/>
        </w:r>
        <w:r w:rsidR="00C75E33">
          <w:rPr>
            <w:webHidden/>
          </w:rPr>
          <w:instrText xml:space="preserve"> PAGEREF _Toc388023527 \h </w:instrText>
        </w:r>
        <w:r w:rsidR="00C75E33">
          <w:rPr>
            <w:webHidden/>
          </w:rPr>
        </w:r>
        <w:r w:rsidR="00C75E33">
          <w:rPr>
            <w:webHidden/>
          </w:rPr>
          <w:fldChar w:fldCharType="separate"/>
        </w:r>
        <w:r w:rsidR="00C75E33">
          <w:rPr>
            <w:webHidden/>
          </w:rPr>
          <w:t>20</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28" w:history="1">
        <w:r w:rsidR="00C75E33" w:rsidRPr="00C17A5F">
          <w:rPr>
            <w:rStyle w:val="Hyperlink"/>
          </w:rPr>
          <w:t>4.  Other causes of action and types of liability</w:t>
        </w:r>
        <w:r w:rsidR="00C75E33">
          <w:rPr>
            <w:webHidden/>
          </w:rPr>
          <w:tab/>
        </w:r>
        <w:r w:rsidR="00C75E33">
          <w:rPr>
            <w:webHidden/>
          </w:rPr>
          <w:fldChar w:fldCharType="begin"/>
        </w:r>
        <w:r w:rsidR="00C75E33">
          <w:rPr>
            <w:webHidden/>
          </w:rPr>
          <w:instrText xml:space="preserve"> PAGEREF _Toc388023528 \h </w:instrText>
        </w:r>
        <w:r w:rsidR="00C75E33">
          <w:rPr>
            <w:webHidden/>
          </w:rPr>
        </w:r>
        <w:r w:rsidR="00C75E33">
          <w:rPr>
            <w:webHidden/>
          </w:rPr>
          <w:fldChar w:fldCharType="separate"/>
        </w:r>
        <w:r w:rsidR="00C75E33">
          <w:rPr>
            <w:webHidden/>
          </w:rPr>
          <w:t>25</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29" w:history="1">
        <w:r w:rsidR="00C75E33" w:rsidRPr="00C17A5F">
          <w:rPr>
            <w:rStyle w:val="Hyperlink"/>
          </w:rPr>
          <w:t>4.1  Criminal offences related to sexual harassment</w:t>
        </w:r>
        <w:r w:rsidR="00C75E33">
          <w:rPr>
            <w:webHidden/>
          </w:rPr>
          <w:tab/>
        </w:r>
        <w:r w:rsidR="00C75E33">
          <w:rPr>
            <w:webHidden/>
          </w:rPr>
          <w:fldChar w:fldCharType="begin"/>
        </w:r>
        <w:r w:rsidR="00C75E33">
          <w:rPr>
            <w:webHidden/>
          </w:rPr>
          <w:instrText xml:space="preserve"> PAGEREF _Toc388023529 \h </w:instrText>
        </w:r>
        <w:r w:rsidR="00C75E33">
          <w:rPr>
            <w:webHidden/>
          </w:rPr>
        </w:r>
        <w:r w:rsidR="00C75E33">
          <w:rPr>
            <w:webHidden/>
          </w:rPr>
          <w:fldChar w:fldCharType="separate"/>
        </w:r>
        <w:r w:rsidR="00C75E33">
          <w:rPr>
            <w:webHidden/>
          </w:rPr>
          <w:t>25</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30" w:history="1">
        <w:r w:rsidR="00C75E33" w:rsidRPr="00C17A5F">
          <w:rPr>
            <w:rStyle w:val="Hyperlink"/>
          </w:rPr>
          <w:t>4.2  General protections claim based on exercise of a workplace right</w:t>
        </w:r>
        <w:r w:rsidR="00C75E33">
          <w:rPr>
            <w:webHidden/>
          </w:rPr>
          <w:tab/>
        </w:r>
        <w:r w:rsidR="00C75E33">
          <w:rPr>
            <w:webHidden/>
          </w:rPr>
          <w:fldChar w:fldCharType="begin"/>
        </w:r>
        <w:r w:rsidR="00C75E33">
          <w:rPr>
            <w:webHidden/>
          </w:rPr>
          <w:instrText xml:space="preserve"> PAGEREF _Toc388023530 \h </w:instrText>
        </w:r>
        <w:r w:rsidR="00C75E33">
          <w:rPr>
            <w:webHidden/>
          </w:rPr>
        </w:r>
        <w:r w:rsidR="00C75E33">
          <w:rPr>
            <w:webHidden/>
          </w:rPr>
          <w:fldChar w:fldCharType="separate"/>
        </w:r>
        <w:r w:rsidR="00C75E33">
          <w:rPr>
            <w:webHidden/>
          </w:rPr>
          <w:t>25</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31" w:history="1">
        <w:r w:rsidR="00C75E33" w:rsidRPr="00C17A5F">
          <w:rPr>
            <w:rStyle w:val="Hyperlink"/>
          </w:rPr>
          <w:t>4.3  Unfair dismissal</w:t>
        </w:r>
        <w:r w:rsidR="00C75E33">
          <w:rPr>
            <w:webHidden/>
          </w:rPr>
          <w:tab/>
        </w:r>
        <w:r w:rsidR="00C75E33">
          <w:rPr>
            <w:webHidden/>
          </w:rPr>
          <w:fldChar w:fldCharType="begin"/>
        </w:r>
        <w:r w:rsidR="00C75E33">
          <w:rPr>
            <w:webHidden/>
          </w:rPr>
          <w:instrText xml:space="preserve"> PAGEREF _Toc388023531 \h </w:instrText>
        </w:r>
        <w:r w:rsidR="00C75E33">
          <w:rPr>
            <w:webHidden/>
          </w:rPr>
        </w:r>
        <w:r w:rsidR="00C75E33">
          <w:rPr>
            <w:webHidden/>
          </w:rPr>
          <w:fldChar w:fldCharType="separate"/>
        </w:r>
        <w:r w:rsidR="00C75E33">
          <w:rPr>
            <w:webHidden/>
          </w:rPr>
          <w:t>26</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32" w:history="1">
        <w:r w:rsidR="00C75E33" w:rsidRPr="00C17A5F">
          <w:rPr>
            <w:rStyle w:val="Hyperlink"/>
          </w:rPr>
          <w:t>4.6  Breach of contract</w:t>
        </w:r>
        <w:r w:rsidR="00C75E33">
          <w:rPr>
            <w:webHidden/>
          </w:rPr>
          <w:tab/>
        </w:r>
        <w:r w:rsidR="00C75E33">
          <w:rPr>
            <w:webHidden/>
          </w:rPr>
          <w:fldChar w:fldCharType="begin"/>
        </w:r>
        <w:r w:rsidR="00C75E33">
          <w:rPr>
            <w:webHidden/>
          </w:rPr>
          <w:instrText xml:space="preserve"> PAGEREF _Toc388023532 \h </w:instrText>
        </w:r>
        <w:r w:rsidR="00C75E33">
          <w:rPr>
            <w:webHidden/>
          </w:rPr>
        </w:r>
        <w:r w:rsidR="00C75E33">
          <w:rPr>
            <w:webHidden/>
          </w:rPr>
          <w:fldChar w:fldCharType="separate"/>
        </w:r>
        <w:r w:rsidR="00C75E33">
          <w:rPr>
            <w:webHidden/>
          </w:rPr>
          <w:t>28</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33" w:history="1">
        <w:r w:rsidR="00C75E33" w:rsidRPr="00C17A5F">
          <w:rPr>
            <w:rStyle w:val="Hyperlink"/>
          </w:rPr>
          <w:t>4.6  Work, health and safety requirements</w:t>
        </w:r>
        <w:r w:rsidR="00C75E33">
          <w:rPr>
            <w:webHidden/>
          </w:rPr>
          <w:tab/>
        </w:r>
        <w:r w:rsidR="00C75E33">
          <w:rPr>
            <w:webHidden/>
          </w:rPr>
          <w:fldChar w:fldCharType="begin"/>
        </w:r>
        <w:r w:rsidR="00C75E33">
          <w:rPr>
            <w:webHidden/>
          </w:rPr>
          <w:instrText xml:space="preserve"> PAGEREF _Toc388023533 \h </w:instrText>
        </w:r>
        <w:r w:rsidR="00C75E33">
          <w:rPr>
            <w:webHidden/>
          </w:rPr>
        </w:r>
        <w:r w:rsidR="00C75E33">
          <w:rPr>
            <w:webHidden/>
          </w:rPr>
          <w:fldChar w:fldCharType="separate"/>
        </w:r>
        <w:r w:rsidR="00C75E33">
          <w:rPr>
            <w:webHidden/>
          </w:rPr>
          <w:t>28</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34" w:history="1">
        <w:r w:rsidR="00C75E33" w:rsidRPr="00C17A5F">
          <w:rPr>
            <w:rStyle w:val="Hyperlink"/>
          </w:rPr>
          <w:t xml:space="preserve">5. </w:t>
        </w:r>
        <w:r w:rsidR="00C75E33">
          <w:rPr>
            <w:rFonts w:asciiTheme="minorHAnsi" w:eastAsiaTheme="minorEastAsia" w:hAnsiTheme="minorHAnsi" w:cstheme="minorBidi"/>
            <w:b w:val="0"/>
            <w:szCs w:val="22"/>
          </w:rPr>
          <w:tab/>
        </w:r>
        <w:r w:rsidR="00C75E33" w:rsidRPr="00C17A5F">
          <w:rPr>
            <w:rStyle w:val="Hyperlink"/>
          </w:rPr>
          <w:t>Preventing and redressing sexual harassment</w:t>
        </w:r>
        <w:r w:rsidR="00C75E33">
          <w:rPr>
            <w:webHidden/>
          </w:rPr>
          <w:tab/>
        </w:r>
        <w:r w:rsidR="00C75E33">
          <w:rPr>
            <w:webHidden/>
          </w:rPr>
          <w:fldChar w:fldCharType="begin"/>
        </w:r>
        <w:r w:rsidR="00C75E33">
          <w:rPr>
            <w:webHidden/>
          </w:rPr>
          <w:instrText xml:space="preserve"> PAGEREF _Toc388023534 \h </w:instrText>
        </w:r>
        <w:r w:rsidR="00C75E33">
          <w:rPr>
            <w:webHidden/>
          </w:rPr>
        </w:r>
        <w:r w:rsidR="00C75E33">
          <w:rPr>
            <w:webHidden/>
          </w:rPr>
          <w:fldChar w:fldCharType="separate"/>
        </w:r>
        <w:r w:rsidR="00C75E33">
          <w:rPr>
            <w:webHidden/>
          </w:rPr>
          <w:t>30</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35" w:history="1">
        <w:r w:rsidR="00C75E33" w:rsidRPr="00C17A5F">
          <w:rPr>
            <w:rStyle w:val="Hyperlink"/>
          </w:rPr>
          <w:t>5.1  Preventing sexual harassment</w:t>
        </w:r>
        <w:r w:rsidR="00C75E33">
          <w:rPr>
            <w:webHidden/>
          </w:rPr>
          <w:tab/>
        </w:r>
        <w:r w:rsidR="00C75E33">
          <w:rPr>
            <w:webHidden/>
          </w:rPr>
          <w:fldChar w:fldCharType="begin"/>
        </w:r>
        <w:r w:rsidR="00C75E33">
          <w:rPr>
            <w:webHidden/>
          </w:rPr>
          <w:instrText xml:space="preserve"> PAGEREF _Toc388023535 \h </w:instrText>
        </w:r>
        <w:r w:rsidR="00C75E33">
          <w:rPr>
            <w:webHidden/>
          </w:rPr>
        </w:r>
        <w:r w:rsidR="00C75E33">
          <w:rPr>
            <w:webHidden/>
          </w:rPr>
          <w:fldChar w:fldCharType="separate"/>
        </w:r>
        <w:r w:rsidR="00C75E33">
          <w:rPr>
            <w:webHidden/>
          </w:rPr>
          <w:t>30</w:t>
        </w:r>
        <w:r w:rsidR="00C75E33">
          <w:rPr>
            <w:webHidden/>
          </w:rPr>
          <w:fldChar w:fldCharType="end"/>
        </w:r>
      </w:hyperlink>
    </w:p>
    <w:p w:rsidR="00C75E33" w:rsidRDefault="00E240B4">
      <w:pPr>
        <w:pStyle w:val="TOC2"/>
        <w:rPr>
          <w:rFonts w:asciiTheme="minorHAnsi" w:eastAsiaTheme="minorEastAsia" w:hAnsiTheme="minorHAnsi" w:cstheme="minorBidi"/>
          <w:i w:val="0"/>
          <w:sz w:val="22"/>
          <w:szCs w:val="22"/>
        </w:rPr>
      </w:pPr>
      <w:hyperlink w:anchor="_Toc388023536" w:history="1">
        <w:r w:rsidR="00C75E33" w:rsidRPr="00C17A5F">
          <w:rPr>
            <w:rStyle w:val="Hyperlink"/>
          </w:rPr>
          <w:t>5.2  Responding to sexual harassment</w:t>
        </w:r>
        <w:r w:rsidR="00C75E33">
          <w:rPr>
            <w:webHidden/>
          </w:rPr>
          <w:tab/>
        </w:r>
        <w:r w:rsidR="00C75E33">
          <w:rPr>
            <w:webHidden/>
          </w:rPr>
          <w:fldChar w:fldCharType="begin"/>
        </w:r>
        <w:r w:rsidR="00C75E33">
          <w:rPr>
            <w:webHidden/>
          </w:rPr>
          <w:instrText xml:space="preserve"> PAGEREF _Toc388023536 \h </w:instrText>
        </w:r>
        <w:r w:rsidR="00C75E33">
          <w:rPr>
            <w:webHidden/>
          </w:rPr>
        </w:r>
        <w:r w:rsidR="00C75E33">
          <w:rPr>
            <w:webHidden/>
          </w:rPr>
          <w:fldChar w:fldCharType="separate"/>
        </w:r>
        <w:r w:rsidR="00C75E33">
          <w:rPr>
            <w:webHidden/>
          </w:rPr>
          <w:t>35</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37" w:history="1">
        <w:r w:rsidR="00C75E33" w:rsidRPr="00C17A5F">
          <w:rPr>
            <w:rStyle w:val="Hyperlink"/>
          </w:rPr>
          <w:t>Appendix 1: Sources of assistance and information</w:t>
        </w:r>
        <w:r w:rsidR="00C75E33">
          <w:rPr>
            <w:webHidden/>
          </w:rPr>
          <w:tab/>
        </w:r>
        <w:r w:rsidR="00C75E33">
          <w:rPr>
            <w:webHidden/>
          </w:rPr>
          <w:fldChar w:fldCharType="begin"/>
        </w:r>
        <w:r w:rsidR="00C75E33">
          <w:rPr>
            <w:webHidden/>
          </w:rPr>
          <w:instrText xml:space="preserve"> PAGEREF _Toc388023537 \h </w:instrText>
        </w:r>
        <w:r w:rsidR="00C75E33">
          <w:rPr>
            <w:webHidden/>
          </w:rPr>
        </w:r>
        <w:r w:rsidR="00C75E33">
          <w:rPr>
            <w:webHidden/>
          </w:rPr>
          <w:fldChar w:fldCharType="separate"/>
        </w:r>
        <w:r w:rsidR="00C75E33">
          <w:rPr>
            <w:webHidden/>
          </w:rPr>
          <w:t>41</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38" w:history="1">
        <w:r w:rsidR="00C75E33" w:rsidRPr="00C17A5F">
          <w:rPr>
            <w:rStyle w:val="Hyperlink"/>
          </w:rPr>
          <w:t>Appendix 2: Complaints to the Australian Human Rights Commission</w:t>
        </w:r>
        <w:r w:rsidR="00C75E33">
          <w:rPr>
            <w:webHidden/>
          </w:rPr>
          <w:tab/>
        </w:r>
        <w:r w:rsidR="00C75E33">
          <w:rPr>
            <w:webHidden/>
          </w:rPr>
          <w:fldChar w:fldCharType="begin"/>
        </w:r>
        <w:r w:rsidR="00C75E33">
          <w:rPr>
            <w:webHidden/>
          </w:rPr>
          <w:instrText xml:space="preserve"> PAGEREF _Toc388023538 \h </w:instrText>
        </w:r>
        <w:r w:rsidR="00C75E33">
          <w:rPr>
            <w:webHidden/>
          </w:rPr>
        </w:r>
        <w:r w:rsidR="00C75E33">
          <w:rPr>
            <w:webHidden/>
          </w:rPr>
          <w:fldChar w:fldCharType="separate"/>
        </w:r>
        <w:r w:rsidR="00C75E33">
          <w:rPr>
            <w:webHidden/>
          </w:rPr>
          <w:t>44</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39" w:history="1">
        <w:r w:rsidR="00C75E33" w:rsidRPr="00C17A5F">
          <w:rPr>
            <w:rStyle w:val="Hyperlink"/>
          </w:rPr>
          <w:t>Appendix 3: Sex Discrimination Act</w:t>
        </w:r>
        <w:r w:rsidR="00C75E33">
          <w:rPr>
            <w:webHidden/>
          </w:rPr>
          <w:tab/>
        </w:r>
        <w:r w:rsidR="00C75E33">
          <w:rPr>
            <w:webHidden/>
          </w:rPr>
          <w:fldChar w:fldCharType="begin"/>
        </w:r>
        <w:r w:rsidR="00C75E33">
          <w:rPr>
            <w:webHidden/>
          </w:rPr>
          <w:instrText xml:space="preserve"> PAGEREF _Toc388023539 \h </w:instrText>
        </w:r>
        <w:r w:rsidR="00C75E33">
          <w:rPr>
            <w:webHidden/>
          </w:rPr>
        </w:r>
        <w:r w:rsidR="00C75E33">
          <w:rPr>
            <w:webHidden/>
          </w:rPr>
          <w:fldChar w:fldCharType="separate"/>
        </w:r>
        <w:r w:rsidR="00C75E33">
          <w:rPr>
            <w:webHidden/>
          </w:rPr>
          <w:t>47</w:t>
        </w:r>
        <w:r w:rsidR="00C75E33">
          <w:rPr>
            <w:webHidden/>
          </w:rPr>
          <w:fldChar w:fldCharType="end"/>
        </w:r>
      </w:hyperlink>
    </w:p>
    <w:p w:rsidR="00C75E33" w:rsidRDefault="00E240B4">
      <w:pPr>
        <w:pStyle w:val="TOC1"/>
        <w:rPr>
          <w:rFonts w:asciiTheme="minorHAnsi" w:eastAsiaTheme="minorEastAsia" w:hAnsiTheme="minorHAnsi" w:cstheme="minorBidi"/>
          <w:b w:val="0"/>
          <w:szCs w:val="22"/>
        </w:rPr>
      </w:pPr>
      <w:hyperlink w:anchor="_Toc388023540" w:history="1">
        <w:r w:rsidR="00C75E33" w:rsidRPr="00C17A5F">
          <w:rPr>
            <w:rStyle w:val="Hyperlink"/>
          </w:rPr>
          <w:t>Appendix 4: Good Practice Guidelines for Internal Complaint Processes</w:t>
        </w:r>
        <w:r w:rsidR="00C75E33">
          <w:rPr>
            <w:webHidden/>
          </w:rPr>
          <w:tab/>
        </w:r>
        <w:r w:rsidR="00C75E33">
          <w:rPr>
            <w:webHidden/>
          </w:rPr>
          <w:fldChar w:fldCharType="begin"/>
        </w:r>
        <w:r w:rsidR="00C75E33">
          <w:rPr>
            <w:webHidden/>
          </w:rPr>
          <w:instrText xml:space="preserve"> PAGEREF _Toc388023540 \h </w:instrText>
        </w:r>
        <w:r w:rsidR="00C75E33">
          <w:rPr>
            <w:webHidden/>
          </w:rPr>
        </w:r>
        <w:r w:rsidR="00C75E33">
          <w:rPr>
            <w:webHidden/>
          </w:rPr>
          <w:fldChar w:fldCharType="separate"/>
        </w:r>
        <w:r w:rsidR="00C75E33">
          <w:rPr>
            <w:webHidden/>
          </w:rPr>
          <w:t>52</w:t>
        </w:r>
        <w:r w:rsidR="00C75E33">
          <w:rPr>
            <w:webHidden/>
          </w:rPr>
          <w:fldChar w:fldCharType="end"/>
        </w:r>
      </w:hyperlink>
    </w:p>
    <w:p w:rsidR="00B34946" w:rsidRPr="003624E0" w:rsidRDefault="00B05A2B" w:rsidP="00A95DB8">
      <w:pPr>
        <w:pStyle w:val="TOC1"/>
      </w:pPr>
      <w:r w:rsidRPr="003624E0">
        <w:rPr>
          <w:b w:val="0"/>
        </w:rPr>
        <w:fldChar w:fldCharType="end"/>
      </w:r>
      <w:r w:rsidR="00B34946" w:rsidRPr="003624E0">
        <w:br w:type="page"/>
      </w:r>
    </w:p>
    <w:p w:rsidR="0024185F" w:rsidRPr="003624E0" w:rsidRDefault="0024185F" w:rsidP="0024185F">
      <w:pPr>
        <w:pStyle w:val="Heading1"/>
        <w:numPr>
          <w:ilvl w:val="0"/>
          <w:numId w:val="0"/>
        </w:numPr>
        <w:ind w:left="851" w:hanging="851"/>
        <w:rPr>
          <w:sz w:val="36"/>
        </w:rPr>
      </w:pPr>
      <w:bookmarkStart w:id="2" w:name="_Toc362446669"/>
      <w:bookmarkStart w:id="3" w:name="_Toc388023516"/>
      <w:bookmarkStart w:id="4" w:name="_Toc207761830"/>
      <w:bookmarkStart w:id="5" w:name="_Toc209578266"/>
      <w:r w:rsidRPr="003624E0">
        <w:rPr>
          <w:sz w:val="36"/>
        </w:rPr>
        <w:lastRenderedPageBreak/>
        <w:t>Foreword</w:t>
      </w:r>
      <w:bookmarkEnd w:id="2"/>
      <w:bookmarkEnd w:id="3"/>
    </w:p>
    <w:p w:rsidR="002C204F" w:rsidRPr="002D2B80" w:rsidRDefault="00AB2F82" w:rsidP="00AB2F82">
      <w:r w:rsidRPr="002D2B80">
        <w:t xml:space="preserve">The ability to work in a safe environment, free from sexual harassment, is a basic human right.  </w:t>
      </w:r>
    </w:p>
    <w:p w:rsidR="002C204F" w:rsidRPr="002D2B80" w:rsidRDefault="002D2B80" w:rsidP="00AB2F82">
      <w:r w:rsidRPr="002D2B80">
        <w:t>S</w:t>
      </w:r>
      <w:r w:rsidR="002C204F" w:rsidRPr="002D2B80">
        <w:t>teps have been taken i</w:t>
      </w:r>
      <w:r w:rsidR="00AB2F82" w:rsidRPr="002D2B80">
        <w:t xml:space="preserve">n recent years to </w:t>
      </w:r>
      <w:r w:rsidR="002C204F" w:rsidRPr="002D2B80">
        <w:t xml:space="preserve">ensure the practical realisation of </w:t>
      </w:r>
      <w:r w:rsidR="00AB2F82" w:rsidRPr="002D2B80">
        <w:t xml:space="preserve">this right in Australian workplaces.  </w:t>
      </w:r>
      <w:r w:rsidR="002C204F" w:rsidRPr="002D2B80">
        <w:t xml:space="preserve">For example, </w:t>
      </w:r>
      <w:r w:rsidR="00AB2F82" w:rsidRPr="002D2B80">
        <w:t xml:space="preserve">the </w:t>
      </w:r>
      <w:r w:rsidR="00AB2F82" w:rsidRPr="002D2B80">
        <w:rPr>
          <w:i/>
        </w:rPr>
        <w:t>Sex Discrimination Act</w:t>
      </w:r>
      <w:r w:rsidR="002C204F" w:rsidRPr="002D2B80">
        <w:t xml:space="preserve"> </w:t>
      </w:r>
      <w:r w:rsidR="002C204F" w:rsidRPr="002D2B80">
        <w:rPr>
          <w:i/>
        </w:rPr>
        <w:t xml:space="preserve">1984 </w:t>
      </w:r>
      <w:r w:rsidR="002C204F" w:rsidRPr="002D2B80">
        <w:t>(</w:t>
      </w:r>
      <w:proofErr w:type="spellStart"/>
      <w:r w:rsidR="002C204F" w:rsidRPr="002D2B80">
        <w:t>Cth</w:t>
      </w:r>
      <w:proofErr w:type="spellEnd"/>
      <w:r w:rsidR="002C204F" w:rsidRPr="002D2B80">
        <w:t>) was amended in 2011</w:t>
      </w:r>
      <w:r w:rsidR="00D244C0" w:rsidRPr="0098717F">
        <w:rPr>
          <w:rStyle w:val="EndnoteReference"/>
          <w:sz w:val="24"/>
        </w:rPr>
        <w:endnoteReference w:id="1"/>
      </w:r>
      <w:r w:rsidR="002C204F" w:rsidRPr="002D2B80">
        <w:t xml:space="preserve"> and again in 2013</w:t>
      </w:r>
      <w:r w:rsidR="00D244C0" w:rsidRPr="0098717F">
        <w:rPr>
          <w:rStyle w:val="EndnoteReference"/>
          <w:sz w:val="24"/>
        </w:rPr>
        <w:endnoteReference w:id="2"/>
      </w:r>
      <w:r w:rsidR="002C204F" w:rsidRPr="002D2B80">
        <w:t xml:space="preserve"> to strengthen</w:t>
      </w:r>
      <w:r w:rsidR="00AB2F82" w:rsidRPr="002D2B80">
        <w:t xml:space="preserve"> protections against sexual harassment</w:t>
      </w:r>
      <w:r w:rsidR="002C204F" w:rsidRPr="002D2B80">
        <w:t>, including in the workplace</w:t>
      </w:r>
      <w:r w:rsidR="00AB2F82" w:rsidRPr="002D2B80">
        <w:t xml:space="preserve">.  Many employers have also </w:t>
      </w:r>
      <w:r w:rsidRPr="002D2B80">
        <w:t>created initiatives</w:t>
      </w:r>
      <w:r w:rsidR="002C204F" w:rsidRPr="002D2B80">
        <w:t xml:space="preserve"> to combat this serious business </w:t>
      </w:r>
      <w:r w:rsidR="00996756" w:rsidRPr="002D2B80">
        <w:t>problem</w:t>
      </w:r>
      <w:r w:rsidR="002C204F" w:rsidRPr="002D2B80">
        <w:t xml:space="preserve">, including developing and implementing </w:t>
      </w:r>
      <w:r w:rsidR="00AB2F82" w:rsidRPr="002D2B80">
        <w:t xml:space="preserve">policies and procedures </w:t>
      </w:r>
      <w:r w:rsidR="002C204F" w:rsidRPr="002D2B80">
        <w:t xml:space="preserve">on </w:t>
      </w:r>
      <w:r w:rsidR="00AB2F82" w:rsidRPr="002D2B80">
        <w:t xml:space="preserve">sexual harassment.  </w:t>
      </w:r>
    </w:p>
    <w:p w:rsidR="00507D9A" w:rsidRPr="002D2B80" w:rsidRDefault="00AB2F82" w:rsidP="00AB2F82">
      <w:r w:rsidRPr="002D2B80">
        <w:t xml:space="preserve">Yet, significant gaps in </w:t>
      </w:r>
      <w:r w:rsidR="002A4E6A" w:rsidRPr="002D2B80">
        <w:t xml:space="preserve">the </w:t>
      </w:r>
      <w:r w:rsidRPr="002D2B80">
        <w:t>implementation</w:t>
      </w:r>
      <w:r w:rsidR="006F1D69" w:rsidRPr="002D2B80">
        <w:t xml:space="preserve"> of the</w:t>
      </w:r>
      <w:r w:rsidR="002A4E6A" w:rsidRPr="002D2B80">
        <w:t xml:space="preserve"> right</w:t>
      </w:r>
      <w:r w:rsidRPr="002D2B80">
        <w:t xml:space="preserve"> </w:t>
      </w:r>
      <w:r w:rsidR="006F1D69" w:rsidRPr="002D2B80">
        <w:t xml:space="preserve">to a safe working environment </w:t>
      </w:r>
      <w:r w:rsidRPr="002D2B80">
        <w:t>continue to exist</w:t>
      </w:r>
      <w:r w:rsidR="006F1D69" w:rsidRPr="002D2B80">
        <w:t xml:space="preserve">.  The result is </w:t>
      </w:r>
      <w:r w:rsidRPr="002D2B80">
        <w:t>persistent</w:t>
      </w:r>
      <w:r w:rsidR="002A4E6A" w:rsidRPr="002D2B80">
        <w:t xml:space="preserve"> and </w:t>
      </w:r>
      <w:r w:rsidRPr="002D2B80">
        <w:t xml:space="preserve">pervasive </w:t>
      </w:r>
      <w:r w:rsidR="002A4E6A" w:rsidRPr="002D2B80">
        <w:t xml:space="preserve">sexual harassment in </w:t>
      </w:r>
      <w:r w:rsidRPr="002D2B80">
        <w:t>Australian workplaces.</w:t>
      </w:r>
      <w:r w:rsidR="002C204F" w:rsidRPr="002D2B80">
        <w:t xml:space="preserve">  </w:t>
      </w:r>
      <w:r w:rsidRPr="002D2B80">
        <w:t>According to</w:t>
      </w:r>
      <w:r w:rsidR="00A4117E" w:rsidRPr="002D2B80">
        <w:t xml:space="preserve"> the Australian Human Rights Commission’s</w:t>
      </w:r>
      <w:r w:rsidRPr="002D2B80">
        <w:t xml:space="preserve"> </w:t>
      </w:r>
      <w:r w:rsidR="00F66048" w:rsidRPr="002D2B80">
        <w:t xml:space="preserve">2012 </w:t>
      </w:r>
      <w:r w:rsidR="00A4117E" w:rsidRPr="002D2B80">
        <w:t>n</w:t>
      </w:r>
      <w:r w:rsidRPr="002D2B80">
        <w:t xml:space="preserve">ational </w:t>
      </w:r>
      <w:r w:rsidR="00A4117E" w:rsidRPr="002D2B80">
        <w:t>t</w:t>
      </w:r>
      <w:r w:rsidRPr="002D2B80">
        <w:t xml:space="preserve">elephone </w:t>
      </w:r>
      <w:r w:rsidR="00A4117E" w:rsidRPr="002D2B80">
        <w:t>s</w:t>
      </w:r>
      <w:r w:rsidRPr="002D2B80">
        <w:t>urvey,</w:t>
      </w:r>
      <w:r w:rsidR="00A4117E" w:rsidRPr="002D2B80">
        <w:t xml:space="preserve"> workplace </w:t>
      </w:r>
      <w:r w:rsidRPr="002D2B80">
        <w:t>sexual harassment affects around 21% of people age</w:t>
      </w:r>
      <w:r w:rsidR="00A4117E" w:rsidRPr="002D2B80">
        <w:t>d</w:t>
      </w:r>
      <w:r w:rsidRPr="002D2B80">
        <w:t xml:space="preserve"> 15</w:t>
      </w:r>
      <w:r w:rsidR="00A4117E" w:rsidRPr="002D2B80">
        <w:t xml:space="preserve"> years and older</w:t>
      </w:r>
      <w:r w:rsidRPr="002D2B80">
        <w:t>.</w:t>
      </w:r>
      <w:r w:rsidR="00D01B43" w:rsidRPr="002D2B80">
        <w:rPr>
          <w:vertAlign w:val="superscript"/>
        </w:rPr>
        <w:endnoteReference w:id="3"/>
      </w:r>
      <w:r w:rsidRPr="002D2B80">
        <w:t xml:space="preserve">  </w:t>
      </w:r>
      <w:r w:rsidR="00507D9A" w:rsidRPr="002D2B80">
        <w:t xml:space="preserve">We have also seen </w:t>
      </w:r>
      <w:r w:rsidR="00A40F2A" w:rsidRPr="002D2B80">
        <w:t xml:space="preserve">the emergence of new and different forms of </w:t>
      </w:r>
      <w:r w:rsidR="00507D9A" w:rsidRPr="002D2B80">
        <w:t>sexual harassment</w:t>
      </w:r>
      <w:r w:rsidR="00AC4797" w:rsidRPr="002D2B80">
        <w:t xml:space="preserve">, </w:t>
      </w:r>
      <w:r w:rsidR="00A40F2A" w:rsidRPr="002D2B80">
        <w:t xml:space="preserve">facilitated </w:t>
      </w:r>
      <w:r w:rsidR="00AC4797" w:rsidRPr="002D2B80">
        <w:t>in part by</w:t>
      </w:r>
      <w:r w:rsidR="00507D9A" w:rsidRPr="002D2B80">
        <w:t xml:space="preserve"> the increasing use of social media and other technologies at work.  </w:t>
      </w:r>
    </w:p>
    <w:p w:rsidR="003D0D50" w:rsidRPr="002D2B80" w:rsidRDefault="00507D9A" w:rsidP="00AB2F82">
      <w:r w:rsidRPr="002D2B80">
        <w:t xml:space="preserve">The effects of sexual </w:t>
      </w:r>
      <w:r w:rsidR="006D4F1A" w:rsidRPr="002D2B80">
        <w:t xml:space="preserve">harassment </w:t>
      </w:r>
      <w:r w:rsidRPr="002D2B80">
        <w:t xml:space="preserve">are </w:t>
      </w:r>
      <w:r w:rsidR="006D4F1A" w:rsidRPr="002D2B80">
        <w:t xml:space="preserve">costly </w:t>
      </w:r>
      <w:r w:rsidRPr="002D2B80">
        <w:t xml:space="preserve">not only </w:t>
      </w:r>
      <w:r w:rsidR="006D4F1A" w:rsidRPr="002D2B80">
        <w:t xml:space="preserve">to the </w:t>
      </w:r>
      <w:r w:rsidRPr="002D2B80">
        <w:t xml:space="preserve">individual </w:t>
      </w:r>
      <w:r w:rsidR="006D4F1A" w:rsidRPr="002D2B80">
        <w:t>employees who experience it</w:t>
      </w:r>
      <w:r w:rsidRPr="002D2B80">
        <w:t xml:space="preserve"> and </w:t>
      </w:r>
      <w:r w:rsidR="006D4F1A" w:rsidRPr="002D2B80">
        <w:t xml:space="preserve">the bystanders who witness </w:t>
      </w:r>
      <w:r w:rsidR="001A5343" w:rsidRPr="002D2B80">
        <w:t xml:space="preserve">or </w:t>
      </w:r>
      <w:r w:rsidRPr="002D2B80">
        <w:t xml:space="preserve">later </w:t>
      </w:r>
      <w:r w:rsidR="001A5343" w:rsidRPr="002D2B80">
        <w:t xml:space="preserve">hear about </w:t>
      </w:r>
      <w:r w:rsidR="006D4F1A" w:rsidRPr="002D2B80">
        <w:t>it</w:t>
      </w:r>
      <w:r w:rsidRPr="002D2B80">
        <w:t>, but also to</w:t>
      </w:r>
      <w:r w:rsidR="006D4F1A" w:rsidRPr="002D2B80">
        <w:t xml:space="preserve"> the businesses in which it occurs.  Consequences such as reduced morale, absenteeism, injury to reputation and the loss of shareholder confidence show that sexual harassment is an issue that employers cannot afford to ignore.  </w:t>
      </w:r>
    </w:p>
    <w:p w:rsidR="00AB2F82" w:rsidRPr="002D2B80" w:rsidRDefault="00AF4D0A" w:rsidP="00AB2F82">
      <w:r w:rsidRPr="002D2B80">
        <w:t>If</w:t>
      </w:r>
      <w:r w:rsidR="00AB2F82" w:rsidRPr="002D2B80">
        <w:t xml:space="preserve"> </w:t>
      </w:r>
      <w:r w:rsidRPr="002D2B80">
        <w:t xml:space="preserve">we are to succeed in creating </w:t>
      </w:r>
      <w:r w:rsidR="00A40F2A" w:rsidRPr="002D2B80">
        <w:t xml:space="preserve">safe </w:t>
      </w:r>
      <w:r w:rsidRPr="002D2B80">
        <w:t xml:space="preserve">workplaces where </w:t>
      </w:r>
      <w:r w:rsidR="00AB2F82" w:rsidRPr="002D2B80">
        <w:t>sexual harassment is a problem of the past</w:t>
      </w:r>
      <w:r w:rsidRPr="002D2B80">
        <w:t>, all of us—employers</w:t>
      </w:r>
      <w:r w:rsidR="002D2B80" w:rsidRPr="00650547">
        <w:t>,</w:t>
      </w:r>
      <w:r w:rsidRPr="002D2B80">
        <w:t xml:space="preserve"> employees, employer associations and unions, and government—need to work together to bridge the divide between law and practice</w:t>
      </w:r>
      <w:r w:rsidR="00A83431" w:rsidRPr="002D2B80">
        <w:t>.</w:t>
      </w:r>
      <w:r w:rsidR="001A5343" w:rsidRPr="002D2B80">
        <w:t xml:space="preserve">  </w:t>
      </w:r>
      <w:r w:rsidR="00C16CFB" w:rsidRPr="002D2B80">
        <w:t xml:space="preserve">And we need to ensure that every workplace participant </w:t>
      </w:r>
      <w:r w:rsidR="001A5343" w:rsidRPr="002D2B80">
        <w:t>understand</w:t>
      </w:r>
      <w:r w:rsidR="00C16CFB" w:rsidRPr="002D2B80">
        <w:t>s</w:t>
      </w:r>
      <w:r w:rsidR="001A5343" w:rsidRPr="002D2B80">
        <w:t xml:space="preserve"> that sexual harassment destroys lives, divides teams and damages business productivity.</w:t>
      </w:r>
      <w:r w:rsidR="00A83431" w:rsidRPr="002D2B80">
        <w:t xml:space="preserve">  </w:t>
      </w:r>
    </w:p>
    <w:p w:rsidR="003772C4" w:rsidRPr="002D2B80" w:rsidRDefault="00AB2F82" w:rsidP="00AB2F82">
      <w:r w:rsidRPr="002D2B80">
        <w:t xml:space="preserve">I am </w:t>
      </w:r>
      <w:r w:rsidR="004F54ED" w:rsidRPr="002D2B80">
        <w:t xml:space="preserve">therefore </w:t>
      </w:r>
      <w:r w:rsidRPr="002D2B80">
        <w:t xml:space="preserve">pleased to publish </w:t>
      </w:r>
      <w:r w:rsidR="001800E0" w:rsidRPr="00650547">
        <w:rPr>
          <w:i/>
        </w:rPr>
        <w:t>Ending Workplace</w:t>
      </w:r>
      <w:r w:rsidR="001800E0">
        <w:t xml:space="preserve"> </w:t>
      </w:r>
      <w:r w:rsidRPr="002D2B80">
        <w:rPr>
          <w:i/>
        </w:rPr>
        <w:t>Sexual Harassment: A Resource for Small, Medium and Large Employers</w:t>
      </w:r>
      <w:r w:rsidR="0070712A" w:rsidRPr="002D2B80">
        <w:t xml:space="preserve">.  The resource </w:t>
      </w:r>
      <w:r w:rsidR="00841085" w:rsidRPr="002D2B80">
        <w:t xml:space="preserve">aims to assist </w:t>
      </w:r>
      <w:r w:rsidR="00F55A7C" w:rsidRPr="002D2B80">
        <w:t xml:space="preserve">small, medium and large </w:t>
      </w:r>
      <w:r w:rsidR="00841085" w:rsidRPr="002D2B80">
        <w:t xml:space="preserve">employers to </w:t>
      </w:r>
      <w:r w:rsidR="00996756" w:rsidRPr="002D2B80">
        <w:t xml:space="preserve">understand and </w:t>
      </w:r>
      <w:r w:rsidR="00841085" w:rsidRPr="002D2B80">
        <w:t>meet their legal obligations under the Sex Discrimination Act</w:t>
      </w:r>
      <w:r w:rsidR="00996756" w:rsidRPr="002D2B80">
        <w:t xml:space="preserve">.  It also provides practical guidance on how </w:t>
      </w:r>
      <w:r w:rsidR="00F55A7C" w:rsidRPr="002D2B80">
        <w:t xml:space="preserve">employers can </w:t>
      </w:r>
      <w:r w:rsidR="00996756" w:rsidRPr="002D2B80">
        <w:t xml:space="preserve">prevent sexual harassment and how </w:t>
      </w:r>
      <w:r w:rsidR="00F55A7C" w:rsidRPr="002D2B80">
        <w:t xml:space="preserve">to respond </w:t>
      </w:r>
      <w:r w:rsidR="00996756" w:rsidRPr="002D2B80">
        <w:t xml:space="preserve">effectively when it occurs.  </w:t>
      </w:r>
      <w:r w:rsidR="00B8259F" w:rsidRPr="002D2B80">
        <w:t>In addition, t</w:t>
      </w:r>
      <w:r w:rsidR="00996756" w:rsidRPr="002D2B80">
        <w:t xml:space="preserve">he resource </w:t>
      </w:r>
      <w:r w:rsidR="000A68D4" w:rsidRPr="002D2B80">
        <w:t xml:space="preserve">discusses </w:t>
      </w:r>
      <w:r w:rsidR="00841085" w:rsidRPr="002D2B80">
        <w:t xml:space="preserve">recent </w:t>
      </w:r>
      <w:r w:rsidR="000A68D4" w:rsidRPr="002D2B80">
        <w:t xml:space="preserve">legal developments concerning </w:t>
      </w:r>
      <w:r w:rsidR="006606C3" w:rsidRPr="002D2B80">
        <w:t xml:space="preserve">workplace </w:t>
      </w:r>
      <w:r w:rsidR="0070712A" w:rsidRPr="002D2B80">
        <w:t>sexual harassment</w:t>
      </w:r>
      <w:r w:rsidR="00B8259F" w:rsidRPr="002D2B80">
        <w:t xml:space="preserve"> and </w:t>
      </w:r>
      <w:r w:rsidR="006606C3" w:rsidRPr="002D2B80">
        <w:t xml:space="preserve">canvasses some of the </w:t>
      </w:r>
      <w:r w:rsidRPr="002D2B80">
        <w:t xml:space="preserve">new </w:t>
      </w:r>
      <w:r w:rsidR="0070712A" w:rsidRPr="002D2B80">
        <w:t xml:space="preserve">and innovative </w:t>
      </w:r>
      <w:r w:rsidRPr="002D2B80">
        <w:t>approaches to addressing sexual harassment</w:t>
      </w:r>
      <w:r w:rsidR="00841085" w:rsidRPr="002D2B80">
        <w:t xml:space="preserve"> in the workplace</w:t>
      </w:r>
      <w:r w:rsidRPr="002D2B80">
        <w:t xml:space="preserve">, including enlisting the help of bystanders.  </w:t>
      </w:r>
    </w:p>
    <w:p w:rsidR="005605BE" w:rsidRPr="00480971" w:rsidRDefault="00AB2F82" w:rsidP="005605BE">
      <w:pPr>
        <w:rPr>
          <w:rFonts w:cs="Arial"/>
        </w:rPr>
      </w:pPr>
      <w:r w:rsidRPr="002D2B80">
        <w:t xml:space="preserve">I hope that this resource will </w:t>
      </w:r>
      <w:r w:rsidR="00B8259F" w:rsidRPr="002D2B80">
        <w:t>help employers</w:t>
      </w:r>
      <w:r w:rsidR="00000938" w:rsidRPr="002D2B80">
        <w:t xml:space="preserve"> create healthy and safe workplaces </w:t>
      </w:r>
      <w:r w:rsidR="00707E4B" w:rsidRPr="002D2B80">
        <w:t xml:space="preserve">in which </w:t>
      </w:r>
      <w:r w:rsidR="00996756" w:rsidRPr="0098717F">
        <w:rPr>
          <w:rFonts w:cs="Arial"/>
        </w:rPr>
        <w:t>a</w:t>
      </w:r>
      <w:r w:rsidR="005605BE" w:rsidRPr="00F57886">
        <w:rPr>
          <w:rFonts w:cs="Arial"/>
        </w:rPr>
        <w:t xml:space="preserve">ll women and men </w:t>
      </w:r>
      <w:r w:rsidR="00996756" w:rsidRPr="00F57886">
        <w:rPr>
          <w:rFonts w:cs="Arial"/>
        </w:rPr>
        <w:t xml:space="preserve">are </w:t>
      </w:r>
      <w:r w:rsidR="005605BE" w:rsidRPr="00F57886">
        <w:rPr>
          <w:rFonts w:cs="Arial"/>
        </w:rPr>
        <w:t xml:space="preserve">able to work without fear.  After all, </w:t>
      </w:r>
      <w:r w:rsidR="005605BE" w:rsidRPr="001800E0">
        <w:rPr>
          <w:rFonts w:cs="Arial"/>
        </w:rPr>
        <w:t xml:space="preserve">being safe at work is </w:t>
      </w:r>
      <w:r w:rsidR="00882E8A" w:rsidRPr="001800E0">
        <w:rPr>
          <w:rFonts w:cs="Arial"/>
        </w:rPr>
        <w:t xml:space="preserve">both </w:t>
      </w:r>
      <w:r w:rsidR="005605BE" w:rsidRPr="001800E0">
        <w:rPr>
          <w:rFonts w:cs="Arial"/>
        </w:rPr>
        <w:t>a basic human right</w:t>
      </w:r>
      <w:r w:rsidR="00882E8A" w:rsidRPr="001800E0">
        <w:rPr>
          <w:rFonts w:cs="Arial"/>
        </w:rPr>
        <w:t xml:space="preserve"> and </w:t>
      </w:r>
      <w:r w:rsidR="005605BE" w:rsidRPr="001800E0">
        <w:rPr>
          <w:rFonts w:cs="Arial"/>
        </w:rPr>
        <w:t xml:space="preserve">a business imperative.  </w:t>
      </w:r>
    </w:p>
    <w:p w:rsidR="00596E0A" w:rsidRPr="002D2B80" w:rsidRDefault="00596E0A" w:rsidP="00596E0A">
      <w:r w:rsidRPr="002D2B80">
        <w:rPr>
          <w:b/>
        </w:rPr>
        <w:t>Elizabeth Broderick</w:t>
      </w:r>
      <w:r w:rsidRPr="002D2B80">
        <w:t xml:space="preserve"> </w:t>
      </w:r>
      <w:r w:rsidRPr="002D2B80">
        <w:br/>
        <w:t>Sex Discrimination Commissioner</w:t>
      </w:r>
      <w:r w:rsidRPr="002D2B80">
        <w:br/>
        <w:t xml:space="preserve">Australian Human Rights Commission </w:t>
      </w:r>
    </w:p>
    <w:p w:rsidR="0024185F" w:rsidRPr="003624E0" w:rsidRDefault="00F66048" w:rsidP="00ED1DFC">
      <w:pPr>
        <w:rPr>
          <w:b/>
          <w:bCs/>
          <w:sz w:val="36"/>
          <w:szCs w:val="28"/>
        </w:rPr>
      </w:pPr>
      <w:r w:rsidRPr="002D2B80">
        <w:t>May 2014</w:t>
      </w:r>
      <w:r w:rsidR="0024185F" w:rsidRPr="003624E0">
        <w:rPr>
          <w:sz w:val="36"/>
        </w:rPr>
        <w:br w:type="page"/>
      </w:r>
    </w:p>
    <w:p w:rsidR="00BD658F" w:rsidRPr="003624E0" w:rsidRDefault="00BD658F" w:rsidP="00F17913">
      <w:pPr>
        <w:pStyle w:val="Heading1"/>
        <w:numPr>
          <w:ilvl w:val="0"/>
          <w:numId w:val="0"/>
        </w:numPr>
        <w:ind w:left="567" w:hanging="567"/>
        <w:rPr>
          <w:sz w:val="36"/>
          <w:szCs w:val="36"/>
        </w:rPr>
        <w:sectPr w:rsidR="00BD658F" w:rsidRPr="003624E0">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fmt="lowerRoman" w:start="2"/>
          <w:cols w:space="708"/>
          <w:docGrid w:linePitch="360"/>
        </w:sectPr>
      </w:pPr>
    </w:p>
    <w:p w:rsidR="009F2764" w:rsidRPr="003624E0" w:rsidRDefault="00F17913" w:rsidP="00F17913">
      <w:pPr>
        <w:pStyle w:val="Heading1"/>
        <w:numPr>
          <w:ilvl w:val="0"/>
          <w:numId w:val="0"/>
        </w:numPr>
        <w:ind w:left="567" w:hanging="567"/>
        <w:rPr>
          <w:sz w:val="36"/>
          <w:szCs w:val="36"/>
        </w:rPr>
      </w:pPr>
      <w:bookmarkStart w:id="6" w:name="_Toc362446670"/>
      <w:bookmarkStart w:id="7" w:name="_Toc388023517"/>
      <w:r w:rsidRPr="003624E0">
        <w:rPr>
          <w:sz w:val="36"/>
          <w:szCs w:val="36"/>
        </w:rPr>
        <w:t xml:space="preserve">1. </w:t>
      </w:r>
      <w:r w:rsidRPr="003624E0">
        <w:rPr>
          <w:sz w:val="36"/>
          <w:szCs w:val="36"/>
        </w:rPr>
        <w:tab/>
      </w:r>
      <w:r w:rsidR="009F2764" w:rsidRPr="003624E0">
        <w:rPr>
          <w:sz w:val="36"/>
          <w:szCs w:val="36"/>
        </w:rPr>
        <w:t>Introduction</w:t>
      </w:r>
      <w:bookmarkEnd w:id="4"/>
      <w:bookmarkEnd w:id="5"/>
      <w:bookmarkEnd w:id="6"/>
      <w:bookmarkEnd w:id="7"/>
      <w:r w:rsidR="009F2764" w:rsidRPr="003624E0">
        <w:rPr>
          <w:sz w:val="36"/>
          <w:szCs w:val="36"/>
        </w:rPr>
        <w:t xml:space="preserve"> </w:t>
      </w:r>
    </w:p>
    <w:p w:rsidR="00544C55" w:rsidRPr="003624E0" w:rsidRDefault="00244AE3" w:rsidP="00244AE3">
      <w:pPr>
        <w:pStyle w:val="Heading2"/>
        <w:numPr>
          <w:ilvl w:val="0"/>
          <w:numId w:val="0"/>
        </w:numPr>
        <w:ind w:left="851" w:hanging="851"/>
      </w:pPr>
      <w:bookmarkStart w:id="8" w:name="_Toc362446671"/>
      <w:bookmarkStart w:id="9" w:name="_Toc388023518"/>
      <w:proofErr w:type="gramStart"/>
      <w:r w:rsidRPr="003624E0">
        <w:t xml:space="preserve">1.1  </w:t>
      </w:r>
      <w:r w:rsidR="00315971" w:rsidRPr="003624E0">
        <w:t>Objectives</w:t>
      </w:r>
      <w:bookmarkEnd w:id="8"/>
      <w:bookmarkEnd w:id="9"/>
      <w:proofErr w:type="gramEnd"/>
    </w:p>
    <w:p w:rsidR="00C90ED9" w:rsidRPr="003624E0" w:rsidRDefault="006D4D31" w:rsidP="006D4D31">
      <w:pPr>
        <w:pStyle w:val="SubmissionNormal"/>
        <w:numPr>
          <w:ilvl w:val="0"/>
          <w:numId w:val="0"/>
        </w:numPr>
      </w:pPr>
      <w:r w:rsidRPr="003624E0">
        <w:t xml:space="preserve">Most employers would like to think that sexual harassment—unwelcome conduct of a sexual nature that a reasonable person would anticipate could </w:t>
      </w:r>
      <w:r w:rsidR="001A6AC7">
        <w:t xml:space="preserve">possibly </w:t>
      </w:r>
      <w:r w:rsidRPr="003624E0">
        <w:t xml:space="preserve">make the person harassed feel offended, humiliated or intimidated—is not something that occurs in their workplace.  </w:t>
      </w:r>
    </w:p>
    <w:p w:rsidR="006D4D31" w:rsidRPr="003624E0" w:rsidRDefault="003C644C" w:rsidP="003D612A">
      <w:pPr>
        <w:pStyle w:val="SubmissionNormal"/>
        <w:numPr>
          <w:ilvl w:val="0"/>
          <w:numId w:val="0"/>
        </w:numPr>
        <w:spacing w:after="0"/>
      </w:pPr>
      <w:r w:rsidRPr="003624E0">
        <w:t>Yet</w:t>
      </w:r>
      <w:r w:rsidR="006D4D31" w:rsidRPr="003624E0">
        <w:t xml:space="preserve"> </w:t>
      </w:r>
      <w:r w:rsidR="004B3603" w:rsidRPr="003624E0">
        <w:t xml:space="preserve">regrettably, </w:t>
      </w:r>
      <w:r w:rsidR="006D4D31" w:rsidRPr="003624E0">
        <w:t xml:space="preserve">few workplaces </w:t>
      </w:r>
      <w:r w:rsidR="00A524B3" w:rsidRPr="003624E0">
        <w:t xml:space="preserve">in Australia </w:t>
      </w:r>
      <w:r w:rsidR="006D4D31" w:rsidRPr="003624E0">
        <w:t>are untouched by sexual harassment; it</w:t>
      </w:r>
      <w:r w:rsidR="00BF5D42" w:rsidRPr="003624E0">
        <w:t xml:space="preserve"> occurs frequently</w:t>
      </w:r>
      <w:r w:rsidR="006D4D31" w:rsidRPr="003624E0">
        <w:t xml:space="preserve"> across a broad spectrum of occupations, workplaces and industries and in organisations of var</w:t>
      </w:r>
      <w:r w:rsidR="00BF7DD4" w:rsidRPr="003624E0">
        <w:t>ying</w:t>
      </w:r>
      <w:r w:rsidR="006D4D31" w:rsidRPr="003624E0">
        <w:t xml:space="preserve"> sizes.</w:t>
      </w:r>
      <w:r w:rsidR="00A64966" w:rsidRPr="003624E0">
        <w:rPr>
          <w:rStyle w:val="EndnoteReference"/>
        </w:rPr>
        <w:endnoteReference w:id="4"/>
      </w:r>
      <w:r w:rsidR="006D4D31" w:rsidRPr="003624E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222"/>
      </w:tblGrid>
      <w:tr w:rsidR="00EA6436" w:rsidRPr="003624E0">
        <w:trPr>
          <w:trHeight w:val="2769"/>
        </w:trPr>
        <w:tc>
          <w:tcPr>
            <w:tcW w:w="9064" w:type="dxa"/>
          </w:tcPr>
          <w:p w:rsidR="00EA6436" w:rsidRPr="003624E0" w:rsidRDefault="00F83DC4" w:rsidP="00EA6436">
            <w:pPr>
              <w:pStyle w:val="SubmissionNormal"/>
              <w:numPr>
                <w:ilvl w:val="0"/>
                <w:numId w:val="0"/>
              </w:numPr>
            </w:pPr>
            <w:r>
              <w:rPr>
                <w:noProof/>
              </w:rPr>
              <w:drawing>
                <wp:inline distT="0" distB="0" distL="0" distR="0" wp14:anchorId="49E49F0A" wp14:editId="62B62875">
                  <wp:extent cx="5755342" cy="1538343"/>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 5 and workplace siz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9450" cy="1539441"/>
                          </a:xfrm>
                          <a:prstGeom prst="rect">
                            <a:avLst/>
                          </a:prstGeom>
                        </pic:spPr>
                      </pic:pic>
                    </a:graphicData>
                  </a:graphic>
                </wp:inline>
              </w:drawing>
            </w:r>
          </w:p>
        </w:tc>
        <w:tc>
          <w:tcPr>
            <w:tcW w:w="222" w:type="dxa"/>
          </w:tcPr>
          <w:p w:rsidR="00EA6436" w:rsidRPr="003624E0" w:rsidRDefault="00EA6436" w:rsidP="00EA6436">
            <w:pPr>
              <w:pStyle w:val="SubmissionNormal"/>
              <w:numPr>
                <w:ilvl w:val="0"/>
                <w:numId w:val="0"/>
              </w:numPr>
            </w:pPr>
          </w:p>
        </w:tc>
      </w:tr>
    </w:tbl>
    <w:p w:rsidR="00906DAC" w:rsidRDefault="00906DAC" w:rsidP="003D612A">
      <w:pPr>
        <w:pStyle w:val="SubmissionNormal"/>
        <w:numPr>
          <w:ilvl w:val="0"/>
          <w:numId w:val="0"/>
        </w:numPr>
        <w:spacing w:before="120"/>
      </w:pPr>
      <w:r w:rsidRPr="00906DAC">
        <w:t xml:space="preserve">Even though women comprise the overwhelming majority of people sexually harassed in the workplace, </w:t>
      </w:r>
      <w:r w:rsidR="008316D6">
        <w:t>the Commission’s 2012 national telephone survey found</w:t>
      </w:r>
      <w:r w:rsidRPr="00906DAC">
        <w:t xml:space="preserve"> that men sexually harassing other men is increasingly common </w:t>
      </w:r>
      <w:r w:rsidR="008316D6">
        <w:t>and now</w:t>
      </w:r>
      <w:r w:rsidRPr="00906DAC">
        <w:t xml:space="preserve"> accounts for nearly a quarter (23%) of all sexual harassment.     </w:t>
      </w:r>
    </w:p>
    <w:p w:rsidR="00544C55" w:rsidRPr="003624E0" w:rsidRDefault="00077BAB" w:rsidP="003D612A">
      <w:pPr>
        <w:pStyle w:val="SubmissionNormal"/>
        <w:numPr>
          <w:ilvl w:val="0"/>
          <w:numId w:val="0"/>
        </w:numPr>
        <w:spacing w:before="120"/>
      </w:pPr>
      <w:r>
        <w:t xml:space="preserve">Under the </w:t>
      </w:r>
      <w:r w:rsidRPr="004D00AD">
        <w:rPr>
          <w:i/>
        </w:rPr>
        <w:t>Sex Discrimination Act 1984</w:t>
      </w:r>
      <w:r>
        <w:t xml:space="preserve"> (</w:t>
      </w:r>
      <w:proofErr w:type="spellStart"/>
      <w:r>
        <w:t>Cth</w:t>
      </w:r>
      <w:proofErr w:type="spellEnd"/>
      <w:r>
        <w:t>), e</w:t>
      </w:r>
      <w:r w:rsidR="00B02091" w:rsidRPr="003624E0">
        <w:t xml:space="preserve">mployers </w:t>
      </w:r>
      <w:r w:rsidR="00544C55" w:rsidRPr="003624E0">
        <w:t xml:space="preserve">may be held legally responsible for sexual harassment unless </w:t>
      </w:r>
      <w:r w:rsidR="00924038" w:rsidRPr="003624E0">
        <w:t xml:space="preserve">they </w:t>
      </w:r>
      <w:r w:rsidR="00544C55" w:rsidRPr="003624E0">
        <w:t>have taken all reasonable steps to prevent</w:t>
      </w:r>
      <w:r w:rsidR="00300CFD" w:rsidRPr="003624E0">
        <w:t xml:space="preserve"> and </w:t>
      </w:r>
      <w:r w:rsidR="006F387B" w:rsidRPr="003624E0">
        <w:t xml:space="preserve">redress </w:t>
      </w:r>
      <w:r w:rsidR="003D0CA8" w:rsidRPr="003624E0">
        <w:t>the harassment.</w:t>
      </w:r>
      <w:r w:rsidR="00544C55" w:rsidRPr="003624E0">
        <w:t xml:space="preserve"> </w:t>
      </w:r>
      <w:r w:rsidR="00300CFD" w:rsidRPr="003624E0">
        <w:t xml:space="preserve"> </w:t>
      </w:r>
      <w:r w:rsidR="003D0CA8" w:rsidRPr="003624E0">
        <w:t xml:space="preserve">Employers must therefore take the obligation to address sexual harassment seriously.  </w:t>
      </w:r>
    </w:p>
    <w:p w:rsidR="00963BC0" w:rsidRPr="003624E0" w:rsidRDefault="00F52F5E" w:rsidP="00DF644C">
      <w:pPr>
        <w:pStyle w:val="SubmissionNormal"/>
        <w:numPr>
          <w:ilvl w:val="0"/>
          <w:numId w:val="0"/>
        </w:numPr>
      </w:pPr>
      <w:r w:rsidRPr="003624E0">
        <w:t>In addition, e</w:t>
      </w:r>
      <w:r w:rsidR="003D0CA8" w:rsidRPr="003624E0">
        <w:t xml:space="preserve">mployers </w:t>
      </w:r>
      <w:r w:rsidR="006A0996" w:rsidRPr="003624E0">
        <w:t xml:space="preserve">should be conscious of the </w:t>
      </w:r>
      <w:r w:rsidR="00963BC0" w:rsidRPr="003624E0">
        <w:t xml:space="preserve">significant risks </w:t>
      </w:r>
      <w:r w:rsidR="0097059E" w:rsidRPr="003624E0">
        <w:t xml:space="preserve">involved in failing to </w:t>
      </w:r>
      <w:r w:rsidR="006A0996" w:rsidRPr="003624E0">
        <w:t xml:space="preserve">take effective </w:t>
      </w:r>
      <w:r w:rsidR="00963BC0" w:rsidRPr="003624E0">
        <w:t xml:space="preserve">action </w:t>
      </w:r>
      <w:r w:rsidR="00354182" w:rsidRPr="003624E0">
        <w:t xml:space="preserve">against </w:t>
      </w:r>
      <w:r w:rsidR="00963BC0" w:rsidRPr="003624E0">
        <w:t>sexual harassment.</w:t>
      </w:r>
      <w:r w:rsidR="00F469B9" w:rsidRPr="003624E0">
        <w:t xml:space="preserve">  </w:t>
      </w:r>
      <w:r w:rsidR="004B7F93" w:rsidRPr="003624E0">
        <w:t>For instance, t</w:t>
      </w:r>
      <w:r w:rsidR="00F469B9" w:rsidRPr="003624E0">
        <w:t>h</w:t>
      </w:r>
      <w:r w:rsidR="0097059E" w:rsidRPr="003624E0">
        <w:t>e</w:t>
      </w:r>
      <w:r w:rsidR="006C6C74" w:rsidRPr="003624E0">
        <w:t>re are</w:t>
      </w:r>
      <w:r w:rsidR="0097059E" w:rsidRPr="003624E0">
        <w:t xml:space="preserve"> </w:t>
      </w:r>
      <w:r w:rsidR="00F469B9" w:rsidRPr="003624E0">
        <w:t xml:space="preserve">risks to </w:t>
      </w:r>
      <w:r w:rsidR="00963BC0" w:rsidRPr="003624E0">
        <w:t xml:space="preserve">the physical and mental </w:t>
      </w:r>
      <w:r w:rsidR="00772960">
        <w:t>health and wellbeing</w:t>
      </w:r>
      <w:r w:rsidR="00772960" w:rsidRPr="003624E0">
        <w:t xml:space="preserve"> </w:t>
      </w:r>
      <w:r w:rsidR="00963BC0" w:rsidRPr="003624E0">
        <w:t xml:space="preserve">of </w:t>
      </w:r>
      <w:r w:rsidR="005643EF">
        <w:t>workplace participants</w:t>
      </w:r>
      <w:r w:rsidR="00BF5D42" w:rsidRPr="003624E0">
        <w:t xml:space="preserve">.  </w:t>
      </w:r>
      <w:r w:rsidR="00F50F00" w:rsidRPr="003624E0">
        <w:t>T</w:t>
      </w:r>
      <w:r w:rsidR="006C6C74" w:rsidRPr="003624E0">
        <w:t xml:space="preserve">here are </w:t>
      </w:r>
      <w:r w:rsidR="00F50F00" w:rsidRPr="003624E0">
        <w:t xml:space="preserve">also </w:t>
      </w:r>
      <w:r w:rsidR="006C6C74" w:rsidRPr="003624E0">
        <w:t xml:space="preserve">commercial </w:t>
      </w:r>
      <w:r w:rsidR="00BF5D42" w:rsidRPr="003624E0">
        <w:t>risks</w:t>
      </w:r>
      <w:r w:rsidR="00C37A6C" w:rsidRPr="003624E0">
        <w:t xml:space="preserve">, </w:t>
      </w:r>
      <w:r w:rsidR="00C90ED9" w:rsidRPr="003624E0">
        <w:t xml:space="preserve">such as </w:t>
      </w:r>
      <w:r w:rsidR="00337427" w:rsidRPr="003624E0">
        <w:t xml:space="preserve">potential legal action, injury to reputation, loss of shareholder confidence, </w:t>
      </w:r>
      <w:r w:rsidR="00963BC0" w:rsidRPr="003624E0">
        <w:t>productivity losses or costs resulting from employee turnover, reduced morale and absenteeism</w:t>
      </w:r>
      <w:r w:rsidR="00337427" w:rsidRPr="003624E0">
        <w:t xml:space="preserve">.   </w:t>
      </w:r>
    </w:p>
    <w:p w:rsidR="00031482" w:rsidRPr="003624E0" w:rsidRDefault="00AA2494" w:rsidP="004D5DD2">
      <w:r w:rsidRPr="003624E0">
        <w:t>M</w:t>
      </w:r>
      <w:r w:rsidR="004D5DD2" w:rsidRPr="003624E0">
        <w:t>any employers</w:t>
      </w:r>
      <w:r w:rsidR="00A1194D" w:rsidRPr="003624E0">
        <w:t xml:space="preserve"> </w:t>
      </w:r>
      <w:r w:rsidR="004D5DD2" w:rsidRPr="003624E0">
        <w:t xml:space="preserve">have taken important steps towards </w:t>
      </w:r>
      <w:r w:rsidR="00BF5D42" w:rsidRPr="003624E0">
        <w:t>addressing</w:t>
      </w:r>
      <w:r w:rsidR="00A20CF8" w:rsidRPr="003624E0">
        <w:t xml:space="preserve"> sexual harassment in the workplace</w:t>
      </w:r>
      <w:r w:rsidR="00BF5D42" w:rsidRPr="003624E0">
        <w:t>; t</w:t>
      </w:r>
      <w:r w:rsidR="00C82A64" w:rsidRPr="003624E0">
        <w:t xml:space="preserve">hey </w:t>
      </w:r>
      <w:r w:rsidR="0023117A" w:rsidRPr="003624E0">
        <w:t>have</w:t>
      </w:r>
      <w:r w:rsidR="00354182" w:rsidRPr="003624E0">
        <w:t xml:space="preserve"> </w:t>
      </w:r>
      <w:r w:rsidR="0023117A" w:rsidRPr="003624E0">
        <w:t xml:space="preserve">introduced </w:t>
      </w:r>
      <w:r w:rsidR="004D5DD2" w:rsidRPr="003624E0">
        <w:t>policies and procedures and conduct</w:t>
      </w:r>
      <w:r w:rsidR="00275E56" w:rsidRPr="003624E0">
        <w:t xml:space="preserve"> regular</w:t>
      </w:r>
      <w:r w:rsidR="004D5DD2" w:rsidRPr="003624E0">
        <w:t xml:space="preserve"> training</w:t>
      </w:r>
      <w:r w:rsidR="0023117A" w:rsidRPr="003624E0">
        <w:t xml:space="preserve"> </w:t>
      </w:r>
      <w:r w:rsidR="00803058" w:rsidRPr="003624E0">
        <w:t xml:space="preserve">on </w:t>
      </w:r>
      <w:r w:rsidR="0023117A" w:rsidRPr="003624E0">
        <w:t>sexual harassment</w:t>
      </w:r>
      <w:r w:rsidR="00BF5D42" w:rsidRPr="003624E0">
        <w:t xml:space="preserve"> and </w:t>
      </w:r>
      <w:r w:rsidR="008D7161" w:rsidRPr="003624E0">
        <w:t xml:space="preserve">the rights and responsibilities of </w:t>
      </w:r>
      <w:r w:rsidR="00721527">
        <w:t>all workplace participants</w:t>
      </w:r>
      <w:r w:rsidR="0023117A" w:rsidRPr="003624E0">
        <w:t>.</w:t>
      </w:r>
      <w:r w:rsidR="00031482" w:rsidRPr="003624E0">
        <w:t xml:space="preserve">  </w:t>
      </w:r>
    </w:p>
    <w:p w:rsidR="00A90986" w:rsidRPr="003624E0" w:rsidRDefault="004E754F" w:rsidP="00041902">
      <w:r w:rsidRPr="003624E0">
        <w:t>However, t</w:t>
      </w:r>
      <w:r w:rsidR="00803058" w:rsidRPr="003624E0">
        <w:t>here are</w:t>
      </w:r>
      <w:r w:rsidRPr="003624E0">
        <w:t xml:space="preserve"> </w:t>
      </w:r>
      <w:r w:rsidR="004E5F1D" w:rsidRPr="003624E0">
        <w:t>g</w:t>
      </w:r>
      <w:r w:rsidR="004D5DD2" w:rsidRPr="003624E0">
        <w:t xml:space="preserve">aps </w:t>
      </w:r>
      <w:r w:rsidR="00354182" w:rsidRPr="003624E0">
        <w:t>in the implementation of employers’ legal obligations concerning sexual harassment</w:t>
      </w:r>
      <w:r w:rsidR="002F7560" w:rsidRPr="003624E0">
        <w:t>.</w:t>
      </w:r>
      <w:r w:rsidR="00041902" w:rsidRPr="003624E0">
        <w:t xml:space="preserve">  Many </w:t>
      </w:r>
      <w:r w:rsidRPr="003624E0">
        <w:t xml:space="preserve">of these </w:t>
      </w:r>
      <w:r w:rsidR="00041902" w:rsidRPr="003624E0">
        <w:t xml:space="preserve">gaps were highlighted in the </w:t>
      </w:r>
      <w:r w:rsidR="007F3B72" w:rsidRPr="003624E0">
        <w:t xml:space="preserve">Commission’s 2012 </w:t>
      </w:r>
      <w:r w:rsidR="00041902" w:rsidRPr="003624E0">
        <w:t>national telephone</w:t>
      </w:r>
      <w:r w:rsidR="007F3B72" w:rsidRPr="003624E0">
        <w:t xml:space="preserve"> survey </w:t>
      </w:r>
      <w:r w:rsidR="00041902" w:rsidRPr="003624E0">
        <w:t>on the prevalence, nature and reporting of sexual harassment in Australian workplaces.</w:t>
      </w:r>
      <w:r w:rsidR="00A40EC8" w:rsidRPr="003624E0">
        <w:t xml:space="preserve">  </w:t>
      </w:r>
    </w:p>
    <w:p w:rsidR="00373BD8" w:rsidRPr="003624E0" w:rsidRDefault="00373BD8" w:rsidP="00041902">
      <w:r w:rsidRPr="003624E0">
        <w:rPr>
          <w:noProof/>
        </w:rPr>
        <w:drawing>
          <wp:anchor distT="0" distB="0" distL="114300" distR="114300" simplePos="0" relativeHeight="251656191" behindDoc="0" locked="0" layoutInCell="1" allowOverlap="1" wp14:anchorId="013B0AF1" wp14:editId="511F6B62">
            <wp:simplePos x="0" y="0"/>
            <wp:positionH relativeFrom="column">
              <wp:posOffset>2242820</wp:posOffset>
            </wp:positionH>
            <wp:positionV relativeFrom="paragraph">
              <wp:posOffset>-42545</wp:posOffset>
            </wp:positionV>
            <wp:extent cx="3657600" cy="274256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tandin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57600" cy="2742565"/>
                    </a:xfrm>
                    <a:prstGeom prst="rect">
                      <a:avLst/>
                    </a:prstGeom>
                  </pic:spPr>
                </pic:pic>
              </a:graphicData>
            </a:graphic>
          </wp:anchor>
        </w:drawing>
      </w:r>
      <w:r w:rsidR="00BC4BEF" w:rsidRPr="003624E0">
        <w:t xml:space="preserve">For instance, </w:t>
      </w:r>
      <w:r w:rsidR="007F3B72" w:rsidRPr="003624E0">
        <w:t xml:space="preserve">in addition to </w:t>
      </w:r>
      <w:r w:rsidR="00226F99" w:rsidRPr="003624E0">
        <w:t>a</w:t>
      </w:r>
      <w:r w:rsidR="007F3B72" w:rsidRPr="003624E0">
        <w:t xml:space="preserve"> high prevalence of workplace sexual harassment </w:t>
      </w:r>
      <w:r w:rsidR="00226F99" w:rsidRPr="003624E0">
        <w:t>(21%)</w:t>
      </w:r>
      <w:r w:rsidR="007F3B72" w:rsidRPr="003624E0">
        <w:t xml:space="preserve">, </w:t>
      </w:r>
      <w:r w:rsidR="00BC4BEF" w:rsidRPr="003624E0">
        <w:t xml:space="preserve">the </w:t>
      </w:r>
      <w:r w:rsidR="00A90986" w:rsidRPr="003624E0">
        <w:t xml:space="preserve">Commission’s </w:t>
      </w:r>
      <w:r w:rsidR="00BC4BEF" w:rsidRPr="003624E0">
        <w:t xml:space="preserve">survey </w:t>
      </w:r>
      <w:r w:rsidR="007F3B72" w:rsidRPr="003624E0">
        <w:t xml:space="preserve">found </w:t>
      </w:r>
      <w:r w:rsidR="00BC4BEF" w:rsidRPr="003624E0">
        <w:t xml:space="preserve">that </w:t>
      </w:r>
      <w:r w:rsidR="00456D25">
        <w:t xml:space="preserve">the </w:t>
      </w:r>
      <w:r w:rsidR="00BC4BEF" w:rsidRPr="003624E0">
        <w:t xml:space="preserve">understanding of sexual harassment </w:t>
      </w:r>
      <w:r w:rsidR="007F3B72" w:rsidRPr="003624E0">
        <w:t xml:space="preserve">is </w:t>
      </w:r>
      <w:r w:rsidR="00BC4BEF" w:rsidRPr="003624E0">
        <w:t>limited</w:t>
      </w:r>
      <w:r w:rsidR="00A90986" w:rsidRPr="003624E0">
        <w:t xml:space="preserve"> amongst the general population</w:t>
      </w:r>
      <w:r w:rsidR="00CF754D" w:rsidRPr="003624E0">
        <w:t>.</w:t>
      </w:r>
      <w:r w:rsidR="00BC4BEF" w:rsidRPr="003624E0">
        <w:rPr>
          <w:rStyle w:val="EndnoteReference"/>
        </w:rPr>
        <w:endnoteReference w:id="5"/>
      </w:r>
      <w:r w:rsidR="00E17334" w:rsidRPr="003624E0">
        <w:t xml:space="preserve">  </w:t>
      </w:r>
    </w:p>
    <w:p w:rsidR="00CF754D" w:rsidRPr="003624E0" w:rsidRDefault="004C76B7" w:rsidP="00041902">
      <w:r w:rsidRPr="003624E0">
        <w:t xml:space="preserve">The limited understanding of sexual harassment has significant ramifications for employers.  On the one hand, it could mean that </w:t>
      </w:r>
      <w:r w:rsidR="00B6438B">
        <w:t>workplace participants</w:t>
      </w:r>
      <w:r w:rsidR="00E17334" w:rsidRPr="003624E0">
        <w:t xml:space="preserve"> are </w:t>
      </w:r>
      <w:r w:rsidR="00373BD8" w:rsidRPr="003624E0">
        <w:t>un</w:t>
      </w:r>
      <w:r w:rsidR="00E17334" w:rsidRPr="003624E0">
        <w:t>aware that the</w:t>
      </w:r>
      <w:r w:rsidRPr="003624E0">
        <w:t xml:space="preserve">y are being subjected to unlawful behaviour and </w:t>
      </w:r>
      <w:r w:rsidR="00F4330A">
        <w:t xml:space="preserve">that they </w:t>
      </w:r>
      <w:r w:rsidRPr="003624E0">
        <w:t xml:space="preserve">have </w:t>
      </w:r>
      <w:r w:rsidR="00373BD8" w:rsidRPr="003624E0">
        <w:t xml:space="preserve">legal </w:t>
      </w:r>
      <w:r w:rsidRPr="003624E0">
        <w:t xml:space="preserve">rights </w:t>
      </w:r>
      <w:r w:rsidR="00D24EAF" w:rsidRPr="003624E0">
        <w:t xml:space="preserve">and avenues </w:t>
      </w:r>
      <w:r w:rsidR="00373BD8" w:rsidRPr="003624E0">
        <w:t>of redress</w:t>
      </w:r>
      <w:r w:rsidR="00D24EAF" w:rsidRPr="003624E0">
        <w:t xml:space="preserve"> (</w:t>
      </w:r>
      <w:proofErr w:type="spellStart"/>
      <w:r w:rsidR="00D24EAF" w:rsidRPr="003624E0">
        <w:t>eg</w:t>
      </w:r>
      <w:proofErr w:type="spellEnd"/>
      <w:r w:rsidR="00D24EAF" w:rsidRPr="003624E0">
        <w:t xml:space="preserve"> through internal </w:t>
      </w:r>
      <w:r w:rsidR="0070552C">
        <w:t xml:space="preserve">or external </w:t>
      </w:r>
      <w:r w:rsidR="00D24EAF" w:rsidRPr="003624E0">
        <w:t>complaint mechanisms)</w:t>
      </w:r>
      <w:r w:rsidR="00E17334" w:rsidRPr="003624E0">
        <w:t xml:space="preserve">.  </w:t>
      </w:r>
      <w:r w:rsidRPr="003624E0">
        <w:t xml:space="preserve">On the other hand, it could </w:t>
      </w:r>
      <w:r w:rsidR="00E17334" w:rsidRPr="003624E0">
        <w:t xml:space="preserve">mean that </w:t>
      </w:r>
      <w:r w:rsidR="00B6438B">
        <w:t>workplace participants</w:t>
      </w:r>
      <w:r w:rsidR="00E17334" w:rsidRPr="003624E0">
        <w:t xml:space="preserve"> do not understand </w:t>
      </w:r>
      <w:r w:rsidR="00373BD8" w:rsidRPr="003624E0">
        <w:t xml:space="preserve">that they are engaging in </w:t>
      </w:r>
      <w:r w:rsidR="00E17334" w:rsidRPr="003624E0">
        <w:t xml:space="preserve">conduct </w:t>
      </w:r>
      <w:r w:rsidR="00373BD8" w:rsidRPr="003624E0">
        <w:t xml:space="preserve">that </w:t>
      </w:r>
      <w:r w:rsidRPr="003624E0">
        <w:t>violates</w:t>
      </w:r>
      <w:r w:rsidR="00E17334" w:rsidRPr="003624E0">
        <w:t xml:space="preserve"> the </w:t>
      </w:r>
      <w:r w:rsidRPr="003624E0">
        <w:t xml:space="preserve">legal </w:t>
      </w:r>
      <w:r w:rsidR="00E17334" w:rsidRPr="003624E0">
        <w:t>prohibition against sexual harassment</w:t>
      </w:r>
      <w:r w:rsidR="00D24EAF" w:rsidRPr="003624E0">
        <w:t>.  This</w:t>
      </w:r>
      <w:r w:rsidR="00456D25">
        <w:t>,</w:t>
      </w:r>
      <w:r w:rsidR="00D24EAF" w:rsidRPr="003624E0">
        <w:t xml:space="preserve"> </w:t>
      </w:r>
      <w:r w:rsidR="00F64B1C" w:rsidRPr="003624E0">
        <w:t xml:space="preserve">in turn, </w:t>
      </w:r>
      <w:r w:rsidR="00456D25">
        <w:t xml:space="preserve">can </w:t>
      </w:r>
      <w:r w:rsidR="00D24EAF" w:rsidRPr="003624E0">
        <w:t xml:space="preserve">leave </w:t>
      </w:r>
      <w:r w:rsidR="00F64B1C" w:rsidRPr="003624E0">
        <w:t>employers</w:t>
      </w:r>
      <w:r w:rsidRPr="003624E0">
        <w:t xml:space="preserve"> </w:t>
      </w:r>
      <w:r w:rsidR="00D24EAF" w:rsidRPr="003624E0">
        <w:t>legally exposed</w:t>
      </w:r>
      <w:r w:rsidR="00E17334" w:rsidRPr="003624E0">
        <w:t>.</w:t>
      </w:r>
    </w:p>
    <w:p w:rsidR="004D5DD2" w:rsidRPr="000A73DA" w:rsidRDefault="0042263E" w:rsidP="005F2F46">
      <w:pPr>
        <w:rPr>
          <w:rFonts w:eastAsia="Times New Roman"/>
        </w:rPr>
      </w:pPr>
      <w:r w:rsidRPr="003624E0">
        <w:t xml:space="preserve">Employers </w:t>
      </w:r>
      <w:r w:rsidR="00443FBD" w:rsidRPr="003624E0">
        <w:t xml:space="preserve">must </w:t>
      </w:r>
      <w:r w:rsidR="00CD12CF" w:rsidRPr="003624E0">
        <w:t xml:space="preserve">ensure that they </w:t>
      </w:r>
      <w:r w:rsidR="00924F7C" w:rsidRPr="003624E0">
        <w:t xml:space="preserve">comply fully with their </w:t>
      </w:r>
      <w:r w:rsidR="00AA2494" w:rsidRPr="003624E0">
        <w:t>obligations</w:t>
      </w:r>
      <w:r w:rsidR="007833C0" w:rsidRPr="003624E0">
        <w:t xml:space="preserve"> </w:t>
      </w:r>
      <w:r w:rsidR="00D315F9" w:rsidRPr="003624E0">
        <w:t>under the Sex Discrimination Act</w:t>
      </w:r>
      <w:r w:rsidRPr="003624E0">
        <w:t xml:space="preserve">.  </w:t>
      </w:r>
      <w:r w:rsidR="009E098C" w:rsidRPr="003624E0">
        <w:t xml:space="preserve">An important part of ensuring full compliance is </w:t>
      </w:r>
      <w:r w:rsidR="008A1249" w:rsidRPr="003624E0">
        <w:t xml:space="preserve">regularly </w:t>
      </w:r>
      <w:r w:rsidR="004D5DD2" w:rsidRPr="003624E0">
        <w:t>review</w:t>
      </w:r>
      <w:r w:rsidR="009E098C" w:rsidRPr="003624E0">
        <w:t>ing</w:t>
      </w:r>
      <w:r w:rsidR="004D5DD2" w:rsidRPr="003624E0">
        <w:t xml:space="preserve"> and (where appropriate) revis</w:t>
      </w:r>
      <w:r w:rsidR="009E098C" w:rsidRPr="003624E0">
        <w:t>ing</w:t>
      </w:r>
      <w:r w:rsidR="004D5DD2" w:rsidRPr="003624E0">
        <w:t xml:space="preserve"> </w:t>
      </w:r>
      <w:r w:rsidR="009E098C" w:rsidRPr="003624E0">
        <w:t xml:space="preserve">sexual harassment </w:t>
      </w:r>
      <w:r w:rsidR="004D5DD2" w:rsidRPr="003624E0">
        <w:t>policies, procedures and training</w:t>
      </w:r>
      <w:r w:rsidR="005C0E1F" w:rsidRPr="003624E0">
        <w:t xml:space="preserve"> programs </w:t>
      </w:r>
      <w:r w:rsidR="004D5DD2" w:rsidRPr="003624E0">
        <w:t xml:space="preserve">to ensure they </w:t>
      </w:r>
      <w:r w:rsidR="008A1249" w:rsidRPr="003624E0">
        <w:t xml:space="preserve">remain current.  </w:t>
      </w:r>
      <w:r w:rsidRPr="003624E0">
        <w:t>Workplace p</w:t>
      </w:r>
      <w:r w:rsidR="00B828EA" w:rsidRPr="003624E0">
        <w:t>olicies, procedures and training</w:t>
      </w:r>
      <w:r w:rsidR="004D5DD2" w:rsidRPr="003624E0">
        <w:t xml:space="preserve"> </w:t>
      </w:r>
      <w:r w:rsidR="005C0E1F" w:rsidRPr="003624E0">
        <w:t xml:space="preserve">programs </w:t>
      </w:r>
      <w:r w:rsidRPr="003624E0">
        <w:t xml:space="preserve">should, for instance, have been updated </w:t>
      </w:r>
      <w:r w:rsidR="00B828EA" w:rsidRPr="003624E0">
        <w:t xml:space="preserve">to </w:t>
      </w:r>
      <w:r w:rsidRPr="003624E0">
        <w:t xml:space="preserve">reflect </w:t>
      </w:r>
      <w:r w:rsidRPr="000A73DA">
        <w:rPr>
          <w:rFonts w:eastAsia="Times New Roman"/>
        </w:rPr>
        <w:t xml:space="preserve">changes </w:t>
      </w:r>
      <w:r w:rsidR="004D5DD2" w:rsidRPr="000A73DA">
        <w:rPr>
          <w:rFonts w:eastAsia="Times New Roman"/>
        </w:rPr>
        <w:t xml:space="preserve">to the </w:t>
      </w:r>
      <w:r w:rsidR="00C24FD5" w:rsidRPr="000A73DA">
        <w:rPr>
          <w:rFonts w:eastAsia="Times New Roman"/>
        </w:rPr>
        <w:t xml:space="preserve">Sex Discrimination </w:t>
      </w:r>
      <w:r w:rsidR="00D315F9" w:rsidRPr="000A73DA">
        <w:rPr>
          <w:rFonts w:eastAsia="Times New Roman"/>
        </w:rPr>
        <w:t xml:space="preserve">Act </w:t>
      </w:r>
      <w:r w:rsidR="00B828EA" w:rsidRPr="000A73DA">
        <w:rPr>
          <w:rFonts w:eastAsia="Times New Roman"/>
        </w:rPr>
        <w:t>in 2011</w:t>
      </w:r>
      <w:r w:rsidR="004621BC" w:rsidRPr="000A73DA">
        <w:rPr>
          <w:rFonts w:eastAsia="Times New Roman"/>
        </w:rPr>
        <w:t xml:space="preserve"> and 2013</w:t>
      </w:r>
      <w:r w:rsidR="004D5DD2" w:rsidRPr="000A73DA">
        <w:rPr>
          <w:rFonts w:eastAsia="Times New Roman"/>
        </w:rPr>
        <w:t>.</w:t>
      </w:r>
      <w:r w:rsidR="004621BC" w:rsidRPr="00A95DB8">
        <w:rPr>
          <w:rFonts w:eastAsia="Times New Roman"/>
          <w:sz w:val="16"/>
        </w:rPr>
        <w:endnoteReference w:id="6"/>
      </w:r>
    </w:p>
    <w:p w:rsidR="00E8420E" w:rsidRPr="003624E0" w:rsidRDefault="001800E0" w:rsidP="00DF644C">
      <w:pPr>
        <w:pStyle w:val="SubmissionNormal"/>
        <w:numPr>
          <w:ilvl w:val="0"/>
          <w:numId w:val="0"/>
        </w:numPr>
      </w:pPr>
      <w:proofErr w:type="gramStart"/>
      <w:r>
        <w:rPr>
          <w:i/>
        </w:rPr>
        <w:t xml:space="preserve">Ending Workplace </w:t>
      </w:r>
      <w:r w:rsidR="00E8513A" w:rsidRPr="000A73DA">
        <w:rPr>
          <w:i/>
        </w:rPr>
        <w:t xml:space="preserve">Sexual Harassment: A Resource for </w:t>
      </w:r>
      <w:r w:rsidR="00291A03" w:rsidRPr="000A73DA">
        <w:rPr>
          <w:i/>
        </w:rPr>
        <w:t xml:space="preserve">Small, Medium and Large </w:t>
      </w:r>
      <w:r w:rsidR="00E8513A" w:rsidRPr="000A73DA">
        <w:rPr>
          <w:i/>
        </w:rPr>
        <w:t>Employers</w:t>
      </w:r>
      <w:r w:rsidR="0012476F" w:rsidRPr="000A73DA">
        <w:t xml:space="preserve"> </w:t>
      </w:r>
      <w:r w:rsidR="0012476F" w:rsidRPr="003624E0">
        <w:t xml:space="preserve">aims to assist employers to meet their legal obligations </w:t>
      </w:r>
      <w:r w:rsidR="00123E5A" w:rsidRPr="003624E0">
        <w:t>related to sexual harassment</w:t>
      </w:r>
      <w:r w:rsidR="009B41C3" w:rsidRPr="003624E0">
        <w:t>.</w:t>
      </w:r>
      <w:proofErr w:type="gramEnd"/>
      <w:r w:rsidR="009B41C3" w:rsidRPr="003624E0">
        <w:t xml:space="preserve">  It does this </w:t>
      </w:r>
      <w:r w:rsidR="0012476F" w:rsidRPr="003624E0">
        <w:t>by</w:t>
      </w:r>
      <w:r w:rsidR="00E8420E" w:rsidRPr="003624E0">
        <w:t>:</w:t>
      </w:r>
    </w:p>
    <w:p w:rsidR="00E8420E" w:rsidRPr="003624E0" w:rsidRDefault="00E8420E" w:rsidP="00F84B07">
      <w:pPr>
        <w:pStyle w:val="SubmissionNormal"/>
        <w:numPr>
          <w:ilvl w:val="0"/>
          <w:numId w:val="21"/>
        </w:numPr>
        <w:ind w:left="567" w:hanging="567"/>
      </w:pPr>
      <w:r w:rsidRPr="003624E0">
        <w:t xml:space="preserve">explaining </w:t>
      </w:r>
      <w:r w:rsidR="00E8513A" w:rsidRPr="003624E0">
        <w:t xml:space="preserve">the nature and scope of </w:t>
      </w:r>
      <w:r w:rsidR="009B41C3" w:rsidRPr="003624E0">
        <w:t xml:space="preserve">employers’ </w:t>
      </w:r>
      <w:r w:rsidR="00E8513A" w:rsidRPr="003624E0">
        <w:t>obligations</w:t>
      </w:r>
      <w:r w:rsidR="00E87178" w:rsidRPr="003624E0">
        <w:t xml:space="preserve"> </w:t>
      </w:r>
      <w:r w:rsidR="0073245F" w:rsidRPr="003624E0">
        <w:t xml:space="preserve">under the Sex Discrimination Act with respect to </w:t>
      </w:r>
      <w:r w:rsidR="00E87178" w:rsidRPr="003624E0">
        <w:t>sexual harassment</w:t>
      </w:r>
      <w:r w:rsidR="004C594E" w:rsidRPr="003624E0">
        <w:t xml:space="preserve"> </w:t>
      </w:r>
    </w:p>
    <w:p w:rsidR="007833C0" w:rsidRPr="003624E0" w:rsidRDefault="00257ADE" w:rsidP="00F84B07">
      <w:pPr>
        <w:pStyle w:val="SubmissionNormal"/>
        <w:numPr>
          <w:ilvl w:val="0"/>
          <w:numId w:val="21"/>
        </w:numPr>
        <w:ind w:left="567" w:hanging="567"/>
      </w:pPr>
      <w:r w:rsidRPr="003624E0">
        <w:t xml:space="preserve">linking employers’ legal obligations </w:t>
      </w:r>
      <w:r w:rsidR="00B55DF8" w:rsidRPr="003624E0">
        <w:t xml:space="preserve">with </w:t>
      </w:r>
      <w:r w:rsidR="00423058" w:rsidRPr="003624E0">
        <w:t xml:space="preserve">the latest national data on the prevalence, nature and reporting of sexual harassment in the workplace </w:t>
      </w:r>
    </w:p>
    <w:p w:rsidR="0011356D" w:rsidRPr="003624E0" w:rsidRDefault="00E8420E" w:rsidP="00F84B07">
      <w:pPr>
        <w:pStyle w:val="SubmissionNormal"/>
        <w:numPr>
          <w:ilvl w:val="0"/>
          <w:numId w:val="21"/>
        </w:numPr>
        <w:ind w:left="567" w:hanging="567"/>
      </w:pPr>
      <w:proofErr w:type="gramStart"/>
      <w:r w:rsidRPr="003624E0">
        <w:t>providing</w:t>
      </w:r>
      <w:proofErr w:type="gramEnd"/>
      <w:r w:rsidRPr="003624E0">
        <w:t xml:space="preserve"> practical guidance on the steps </w:t>
      </w:r>
      <w:r w:rsidR="0011356D" w:rsidRPr="003624E0">
        <w:t xml:space="preserve">employers </w:t>
      </w:r>
      <w:r w:rsidRPr="003624E0">
        <w:t xml:space="preserve">can take </w:t>
      </w:r>
      <w:r w:rsidR="0011356D" w:rsidRPr="003624E0">
        <w:t>to develop</w:t>
      </w:r>
      <w:r w:rsidR="00423058" w:rsidRPr="003624E0">
        <w:t>, improve</w:t>
      </w:r>
      <w:r w:rsidR="0011356D" w:rsidRPr="003624E0">
        <w:t xml:space="preserve"> and implement </w:t>
      </w:r>
      <w:r w:rsidRPr="003624E0">
        <w:t xml:space="preserve">effective </w:t>
      </w:r>
      <w:r w:rsidR="0011356D" w:rsidRPr="003624E0">
        <w:t xml:space="preserve">policies, procedures and training </w:t>
      </w:r>
      <w:r w:rsidRPr="003624E0">
        <w:t xml:space="preserve">on </w:t>
      </w:r>
      <w:r w:rsidR="0011356D" w:rsidRPr="003624E0">
        <w:t>sexual harassment.</w:t>
      </w:r>
    </w:p>
    <w:p w:rsidR="007F0690" w:rsidRPr="003624E0" w:rsidRDefault="00123E5A" w:rsidP="00DF644C">
      <w:pPr>
        <w:pStyle w:val="SubmissionNormal"/>
        <w:numPr>
          <w:ilvl w:val="0"/>
          <w:numId w:val="0"/>
        </w:numPr>
      </w:pPr>
      <w:r w:rsidRPr="003624E0">
        <w:t>The resource focuses primarily on employers’ obligations under the Sex Discrimination Act</w:t>
      </w:r>
      <w:r w:rsidRPr="003624E0">
        <w:rPr>
          <w:i/>
        </w:rPr>
        <w:t xml:space="preserve"> </w:t>
      </w:r>
      <w:r w:rsidRPr="003624E0">
        <w:t>and</w:t>
      </w:r>
      <w:r w:rsidR="005D742C" w:rsidRPr="003624E0">
        <w:t>, to a lesser degree,</w:t>
      </w:r>
      <w:r w:rsidRPr="003624E0">
        <w:t xml:space="preserve"> other federal laws.  </w:t>
      </w:r>
      <w:r w:rsidR="000A05C6" w:rsidRPr="003624E0">
        <w:t xml:space="preserve">It </w:t>
      </w:r>
      <w:r w:rsidR="00185953" w:rsidRPr="003624E0">
        <w:t>also provide</w:t>
      </w:r>
      <w:r w:rsidR="005D742C" w:rsidRPr="003624E0">
        <w:t>s</w:t>
      </w:r>
      <w:r w:rsidR="00185953" w:rsidRPr="003624E0">
        <w:t xml:space="preserve"> </w:t>
      </w:r>
      <w:r w:rsidR="000A05C6" w:rsidRPr="003624E0">
        <w:t>limited</w:t>
      </w:r>
      <w:r w:rsidR="00185953" w:rsidRPr="003624E0">
        <w:t xml:space="preserve"> guidance on </w:t>
      </w:r>
      <w:r w:rsidR="00757499" w:rsidRPr="003624E0">
        <w:t xml:space="preserve">employers’ </w:t>
      </w:r>
      <w:r w:rsidR="00185953" w:rsidRPr="003624E0">
        <w:t>obligations</w:t>
      </w:r>
      <w:r w:rsidR="00456D25">
        <w:t xml:space="preserve"> in this area</w:t>
      </w:r>
      <w:r w:rsidR="00185953" w:rsidRPr="003624E0">
        <w:t xml:space="preserve"> under state and territory laws.  However, </w:t>
      </w:r>
      <w:r w:rsidR="00B22EF3" w:rsidRPr="003624E0">
        <w:t xml:space="preserve">due to </w:t>
      </w:r>
      <w:r w:rsidR="00185953" w:rsidRPr="003624E0">
        <w:t>important differences between federal and state sexual harassment laws</w:t>
      </w:r>
      <w:r w:rsidR="00B22EF3" w:rsidRPr="003624E0">
        <w:t>, e</w:t>
      </w:r>
      <w:r w:rsidR="00185953" w:rsidRPr="003624E0">
        <w:t xml:space="preserve">mployers </w:t>
      </w:r>
      <w:r w:rsidR="00F137E3" w:rsidRPr="003624E0">
        <w:t xml:space="preserve">are encouraged to </w:t>
      </w:r>
      <w:r w:rsidR="00185953" w:rsidRPr="003624E0">
        <w:t>consult</w:t>
      </w:r>
      <w:r w:rsidR="00F137E3" w:rsidRPr="003624E0">
        <w:t xml:space="preserve"> </w:t>
      </w:r>
      <w:r w:rsidR="002D7400">
        <w:t>state/territory</w:t>
      </w:r>
      <w:r w:rsidR="00F137E3" w:rsidRPr="003624E0">
        <w:t xml:space="preserve"> resources </w:t>
      </w:r>
      <w:r w:rsidR="00201F06" w:rsidRPr="003624E0">
        <w:t xml:space="preserve">and agencies </w:t>
      </w:r>
      <w:r w:rsidR="00F137E3" w:rsidRPr="003624E0">
        <w:t xml:space="preserve">when </w:t>
      </w:r>
      <w:r w:rsidR="00451810" w:rsidRPr="003624E0">
        <w:t xml:space="preserve">seeking to understand and implement their obligations under </w:t>
      </w:r>
      <w:r w:rsidR="00F137E3" w:rsidRPr="003624E0">
        <w:t xml:space="preserve">those laws </w:t>
      </w:r>
      <w:r w:rsidR="007F0690" w:rsidRPr="003624E0">
        <w:t xml:space="preserve">(Appendix </w:t>
      </w:r>
      <w:r w:rsidR="00C820FD" w:rsidRPr="003624E0">
        <w:t>1</w:t>
      </w:r>
      <w:r w:rsidR="007F0690" w:rsidRPr="003624E0">
        <w:t>).</w:t>
      </w:r>
    </w:p>
    <w:p w:rsidR="00631C97" w:rsidRPr="003624E0" w:rsidRDefault="001F3DBA" w:rsidP="00DF644C">
      <w:pPr>
        <w:pStyle w:val="SubmissionNormal"/>
        <w:numPr>
          <w:ilvl w:val="0"/>
          <w:numId w:val="0"/>
        </w:numPr>
      </w:pPr>
      <w:r w:rsidRPr="003624E0">
        <w:t>T</w:t>
      </w:r>
      <w:r w:rsidR="00B312FF" w:rsidRPr="003624E0">
        <w:t>h</w:t>
      </w:r>
      <w:r w:rsidR="0082182B" w:rsidRPr="003624E0">
        <w:t>is</w:t>
      </w:r>
      <w:r w:rsidR="00B312FF" w:rsidRPr="003624E0">
        <w:t xml:space="preserve"> resource </w:t>
      </w:r>
      <w:r w:rsidR="003B53BA" w:rsidRPr="003624E0">
        <w:t xml:space="preserve">addresses employers’ obligations </w:t>
      </w:r>
      <w:r w:rsidR="00631C97" w:rsidRPr="003624E0">
        <w:t>in the following workplaces:</w:t>
      </w:r>
    </w:p>
    <w:p w:rsidR="00631C97" w:rsidRPr="003624E0" w:rsidRDefault="00631C97" w:rsidP="00F84B07">
      <w:pPr>
        <w:pStyle w:val="SubmissionNormal"/>
        <w:numPr>
          <w:ilvl w:val="0"/>
          <w:numId w:val="20"/>
        </w:numPr>
        <w:ind w:left="567" w:hanging="567"/>
      </w:pPr>
      <w:r w:rsidRPr="003624E0">
        <w:t>the private sector, including small business</w:t>
      </w:r>
      <w:r w:rsidR="000629C5" w:rsidRPr="003624E0">
        <w:t xml:space="preserve"> enterprises</w:t>
      </w:r>
    </w:p>
    <w:p w:rsidR="00631C97" w:rsidRPr="003624E0" w:rsidRDefault="00631C97" w:rsidP="00F84B07">
      <w:pPr>
        <w:pStyle w:val="SubmissionNormal"/>
        <w:numPr>
          <w:ilvl w:val="0"/>
          <w:numId w:val="20"/>
        </w:numPr>
        <w:ind w:left="567" w:hanging="567"/>
      </w:pPr>
      <w:r w:rsidRPr="003624E0">
        <w:t>unions</w:t>
      </w:r>
    </w:p>
    <w:p w:rsidR="00631C97" w:rsidRPr="003624E0" w:rsidRDefault="00631C97" w:rsidP="00F84B07">
      <w:pPr>
        <w:pStyle w:val="SubmissionNormal"/>
        <w:numPr>
          <w:ilvl w:val="0"/>
          <w:numId w:val="20"/>
        </w:numPr>
        <w:ind w:left="567" w:hanging="567"/>
      </w:pPr>
      <w:r w:rsidRPr="003624E0">
        <w:t xml:space="preserve">non-government organisations </w:t>
      </w:r>
    </w:p>
    <w:p w:rsidR="00631C97" w:rsidRPr="003624E0" w:rsidRDefault="00631C97" w:rsidP="00F84B07">
      <w:pPr>
        <w:pStyle w:val="SubmissionNormal"/>
        <w:numPr>
          <w:ilvl w:val="0"/>
          <w:numId w:val="20"/>
        </w:numPr>
        <w:ind w:left="567" w:hanging="567"/>
      </w:pPr>
      <w:r w:rsidRPr="003624E0">
        <w:t xml:space="preserve">voluntary bodies </w:t>
      </w:r>
    </w:p>
    <w:p w:rsidR="00631C97" w:rsidRPr="003624E0" w:rsidRDefault="00631C97" w:rsidP="00F84B07">
      <w:pPr>
        <w:pStyle w:val="SubmissionNormal"/>
        <w:numPr>
          <w:ilvl w:val="0"/>
          <w:numId w:val="20"/>
        </w:numPr>
        <w:ind w:left="567" w:hanging="567"/>
      </w:pPr>
      <w:r w:rsidRPr="003624E0">
        <w:t>clubs</w:t>
      </w:r>
    </w:p>
    <w:p w:rsidR="00631C97" w:rsidRPr="003624E0" w:rsidRDefault="00631C97" w:rsidP="00F84B07">
      <w:pPr>
        <w:pStyle w:val="SubmissionNormal"/>
        <w:numPr>
          <w:ilvl w:val="0"/>
          <w:numId w:val="20"/>
        </w:numPr>
        <w:ind w:left="567" w:hanging="567"/>
      </w:pPr>
      <w:r w:rsidRPr="003624E0">
        <w:t>federal government agencies and business enterprises</w:t>
      </w:r>
    </w:p>
    <w:p w:rsidR="00631C97" w:rsidRPr="003624E0" w:rsidRDefault="00631C97" w:rsidP="00F84B07">
      <w:pPr>
        <w:pStyle w:val="SubmissionNormal"/>
        <w:numPr>
          <w:ilvl w:val="0"/>
          <w:numId w:val="20"/>
        </w:numPr>
        <w:ind w:left="567" w:hanging="567"/>
      </w:pPr>
      <w:proofErr w:type="gramStart"/>
      <w:r w:rsidRPr="003624E0">
        <w:t>educational</w:t>
      </w:r>
      <w:proofErr w:type="gramEnd"/>
      <w:r w:rsidRPr="003624E0">
        <w:t xml:space="preserve"> institutions not under the control of state or territory governments. </w:t>
      </w:r>
    </w:p>
    <w:p w:rsidR="001524A7" w:rsidRPr="003624E0" w:rsidRDefault="000629C5" w:rsidP="00DF644C">
      <w:pPr>
        <w:pStyle w:val="SubmissionNormal"/>
        <w:numPr>
          <w:ilvl w:val="0"/>
          <w:numId w:val="0"/>
        </w:numPr>
      </w:pPr>
      <w:r w:rsidRPr="003624E0">
        <w:t>T</w:t>
      </w:r>
      <w:r w:rsidR="00631C97" w:rsidRPr="003624E0">
        <w:t>he resource does not apply to state government instrumentalities</w:t>
      </w:r>
      <w:r w:rsidR="003B53BA" w:rsidRPr="003624E0">
        <w:t xml:space="preserve"> or state government employees</w:t>
      </w:r>
      <w:r w:rsidRPr="003624E0">
        <w:t>.</w:t>
      </w:r>
      <w:r w:rsidR="00631C97" w:rsidRPr="003624E0">
        <w:rPr>
          <w:rStyle w:val="EndnoteReference"/>
          <w:szCs w:val="20"/>
        </w:rPr>
        <w:endnoteReference w:id="7"/>
      </w:r>
      <w:r w:rsidR="00631C97" w:rsidRPr="003624E0">
        <w:t xml:space="preserve"> </w:t>
      </w:r>
    </w:p>
    <w:p w:rsidR="006B709C" w:rsidRPr="003624E0" w:rsidRDefault="00F16881" w:rsidP="00DF644C">
      <w:pPr>
        <w:pStyle w:val="SubmissionNormal"/>
        <w:numPr>
          <w:ilvl w:val="0"/>
          <w:numId w:val="0"/>
        </w:numPr>
      </w:pPr>
      <w:r w:rsidRPr="003624E0">
        <w:t>The</w:t>
      </w:r>
      <w:r w:rsidRPr="003624E0">
        <w:rPr>
          <w:i/>
        </w:rPr>
        <w:t xml:space="preserve"> </w:t>
      </w:r>
      <w:r w:rsidRPr="003624E0">
        <w:t xml:space="preserve">resource updates and replaces earlier guidelines published by the </w:t>
      </w:r>
      <w:r w:rsidR="0011356D" w:rsidRPr="003624E0">
        <w:t>Commission</w:t>
      </w:r>
      <w:r w:rsidRPr="003624E0">
        <w:rPr>
          <w:rStyle w:val="EndnoteReference"/>
        </w:rPr>
        <w:endnoteReference w:id="8"/>
      </w:r>
      <w:r w:rsidRPr="003624E0">
        <w:t xml:space="preserve"> and is issued in accordance with </w:t>
      </w:r>
      <w:r w:rsidR="0011356D" w:rsidRPr="003624E0">
        <w:t xml:space="preserve">its </w:t>
      </w:r>
      <w:r w:rsidR="00195156">
        <w:t>function</w:t>
      </w:r>
      <w:r w:rsidRPr="003624E0">
        <w:t xml:space="preserve"> to publish guidelines for the avoidance of sex discrimination and sexual harassment.</w:t>
      </w:r>
      <w:r w:rsidRPr="003624E0">
        <w:rPr>
          <w:rStyle w:val="EndnoteReference"/>
        </w:rPr>
        <w:endnoteReference w:id="9"/>
      </w:r>
      <w:r w:rsidR="006B709C" w:rsidRPr="003624E0">
        <w:t xml:space="preserve">  </w:t>
      </w:r>
      <w:r w:rsidR="001F2E8E" w:rsidRPr="003624E0">
        <w:t>The resource</w:t>
      </w:r>
      <w:r w:rsidR="00A140D4" w:rsidRPr="003624E0">
        <w:t xml:space="preserve"> incorporates </w:t>
      </w:r>
      <w:r w:rsidR="004E4581" w:rsidRPr="003624E0">
        <w:t xml:space="preserve">recent </w:t>
      </w:r>
      <w:r w:rsidR="006B709C" w:rsidRPr="003624E0">
        <w:t>amendments to the Sex Discrimination Act</w:t>
      </w:r>
      <w:r w:rsidR="00A140D4" w:rsidRPr="003624E0">
        <w:t xml:space="preserve">, key developments in case law, and the latest </w:t>
      </w:r>
      <w:r w:rsidR="005C0BD0" w:rsidRPr="003624E0">
        <w:t xml:space="preserve">national </w:t>
      </w:r>
      <w:r w:rsidR="00A140D4" w:rsidRPr="003624E0">
        <w:t xml:space="preserve">and trend </w:t>
      </w:r>
      <w:r w:rsidR="009D434F" w:rsidRPr="003624E0">
        <w:t>data on</w:t>
      </w:r>
      <w:r w:rsidR="006B709C" w:rsidRPr="003624E0">
        <w:t xml:space="preserve"> the prevalence, nature and reporting of sexual harassment in Australian workplaces. </w:t>
      </w:r>
    </w:p>
    <w:p w:rsidR="00785EF5" w:rsidRDefault="00084184" w:rsidP="00DF644C">
      <w:pPr>
        <w:pStyle w:val="SubmissionNormal"/>
        <w:numPr>
          <w:ilvl w:val="0"/>
          <w:numId w:val="0"/>
        </w:numPr>
      </w:pPr>
      <w:r w:rsidRPr="003624E0">
        <w:t>To minimise the risk of liability for sexual harassment, e</w:t>
      </w:r>
      <w:r w:rsidR="00771C6C" w:rsidRPr="003624E0">
        <w:t xml:space="preserve">mployers are encouraged to </w:t>
      </w:r>
      <w:r w:rsidRPr="003624E0">
        <w:t xml:space="preserve">adhere to the guidance provided in </w:t>
      </w:r>
      <w:r w:rsidR="00771C6C" w:rsidRPr="003624E0">
        <w:t>th</w:t>
      </w:r>
      <w:r w:rsidR="00456D25">
        <w:t>is</w:t>
      </w:r>
      <w:r w:rsidR="00771C6C" w:rsidRPr="003624E0">
        <w:t xml:space="preserve"> resource.  </w:t>
      </w:r>
    </w:p>
    <w:p w:rsidR="00575499" w:rsidRPr="0005087F" w:rsidRDefault="00771C6C" w:rsidP="00DF644C">
      <w:pPr>
        <w:pStyle w:val="SubmissionNormal"/>
        <w:numPr>
          <w:ilvl w:val="0"/>
          <w:numId w:val="0"/>
        </w:numPr>
        <w:rPr>
          <w:b/>
        </w:rPr>
      </w:pPr>
      <w:r w:rsidRPr="0005087F">
        <w:rPr>
          <w:b/>
        </w:rPr>
        <w:t>However, employers are advised that t</w:t>
      </w:r>
      <w:r w:rsidR="00F16881" w:rsidRPr="0005087F">
        <w:rPr>
          <w:b/>
        </w:rPr>
        <w:t xml:space="preserve">he resource </w:t>
      </w:r>
      <w:r w:rsidR="00336A13" w:rsidRPr="0005087F">
        <w:rPr>
          <w:b/>
        </w:rPr>
        <w:t xml:space="preserve">provides general information </w:t>
      </w:r>
      <w:r w:rsidR="00C6170B" w:rsidRPr="0005087F">
        <w:rPr>
          <w:b/>
        </w:rPr>
        <w:t xml:space="preserve">only </w:t>
      </w:r>
      <w:r w:rsidR="00336A13" w:rsidRPr="0005087F">
        <w:rPr>
          <w:b/>
        </w:rPr>
        <w:t xml:space="preserve">and </w:t>
      </w:r>
      <w:r w:rsidR="00F16881" w:rsidRPr="0005087F">
        <w:rPr>
          <w:b/>
        </w:rPr>
        <w:t>is not legally binding</w:t>
      </w:r>
      <w:r w:rsidR="00336A13" w:rsidRPr="0005087F">
        <w:rPr>
          <w:b/>
        </w:rPr>
        <w:t>.</w:t>
      </w:r>
      <w:r w:rsidR="00336A13" w:rsidRPr="003624E0">
        <w:t xml:space="preserve">  </w:t>
      </w:r>
      <w:r w:rsidR="00336A13" w:rsidRPr="0005087F">
        <w:rPr>
          <w:b/>
        </w:rPr>
        <w:t>E</w:t>
      </w:r>
      <w:r w:rsidR="00F16881" w:rsidRPr="0005087F">
        <w:rPr>
          <w:b/>
        </w:rPr>
        <w:t xml:space="preserve">mployers </w:t>
      </w:r>
      <w:r w:rsidRPr="0005087F">
        <w:rPr>
          <w:b/>
        </w:rPr>
        <w:t>should</w:t>
      </w:r>
      <w:r w:rsidR="00575499" w:rsidRPr="0005087F">
        <w:rPr>
          <w:b/>
        </w:rPr>
        <w:t xml:space="preserve"> therefore</w:t>
      </w:r>
      <w:r w:rsidRPr="0005087F">
        <w:rPr>
          <w:b/>
        </w:rPr>
        <w:t xml:space="preserve"> </w:t>
      </w:r>
      <w:r w:rsidR="00F16881" w:rsidRPr="0005087F">
        <w:rPr>
          <w:b/>
        </w:rPr>
        <w:t>seek their own legal advice, as needed.</w:t>
      </w:r>
      <w:r w:rsidR="0071623D" w:rsidRPr="0005087F">
        <w:rPr>
          <w:b/>
        </w:rPr>
        <w:t xml:space="preserve">  </w:t>
      </w:r>
    </w:p>
    <w:p w:rsidR="00F16881" w:rsidRPr="003624E0" w:rsidRDefault="00F16881" w:rsidP="00DF644C">
      <w:pPr>
        <w:pStyle w:val="SubmissionNormal"/>
        <w:numPr>
          <w:ilvl w:val="0"/>
          <w:numId w:val="0"/>
        </w:numPr>
      </w:pPr>
      <w:r w:rsidRPr="003624E0">
        <w:t xml:space="preserve">Employers </w:t>
      </w:r>
      <w:r w:rsidR="0071623D" w:rsidRPr="003624E0">
        <w:t xml:space="preserve">can </w:t>
      </w:r>
      <w:r w:rsidRPr="003624E0">
        <w:t xml:space="preserve">contact the Commission for </w:t>
      </w:r>
      <w:r w:rsidR="00A64F4B">
        <w:t>information</w:t>
      </w:r>
      <w:r w:rsidR="00A64F4B" w:rsidRPr="003624E0">
        <w:t xml:space="preserve"> </w:t>
      </w:r>
      <w:r w:rsidRPr="003624E0">
        <w:t xml:space="preserve">on sexual harassment issues (Appendix 1).   </w:t>
      </w:r>
    </w:p>
    <w:p w:rsidR="008056E7" w:rsidRPr="003624E0" w:rsidRDefault="00244AE3" w:rsidP="00244AE3">
      <w:pPr>
        <w:pStyle w:val="Heading2"/>
        <w:numPr>
          <w:ilvl w:val="0"/>
          <w:numId w:val="0"/>
        </w:numPr>
        <w:ind w:left="851" w:hanging="851"/>
      </w:pPr>
      <w:bookmarkStart w:id="10" w:name="_Toc362446672"/>
      <w:bookmarkStart w:id="11" w:name="_Toc388023519"/>
      <w:proofErr w:type="gramStart"/>
      <w:r w:rsidRPr="003624E0">
        <w:t xml:space="preserve">1.2  </w:t>
      </w:r>
      <w:r w:rsidR="008056E7" w:rsidRPr="003624E0">
        <w:t>Using</w:t>
      </w:r>
      <w:proofErr w:type="gramEnd"/>
      <w:r w:rsidR="008056E7" w:rsidRPr="003624E0">
        <w:t xml:space="preserve"> th</w:t>
      </w:r>
      <w:r w:rsidR="00D4732B" w:rsidRPr="003624E0">
        <w:t>is</w:t>
      </w:r>
      <w:r w:rsidR="008056E7" w:rsidRPr="003624E0">
        <w:t xml:space="preserve"> resource</w:t>
      </w:r>
      <w:bookmarkEnd w:id="10"/>
      <w:bookmarkEnd w:id="11"/>
    </w:p>
    <w:p w:rsidR="00DF5087" w:rsidRPr="003624E0" w:rsidRDefault="00210602" w:rsidP="00185953">
      <w:pPr>
        <w:pStyle w:val="SubmissionNormal"/>
        <w:numPr>
          <w:ilvl w:val="0"/>
          <w:numId w:val="0"/>
        </w:numPr>
      </w:pPr>
      <w:r w:rsidRPr="003624E0">
        <w:t xml:space="preserve">This resource consists of </w:t>
      </w:r>
      <w:r w:rsidR="0054484E" w:rsidRPr="003624E0">
        <w:t>five</w:t>
      </w:r>
      <w:r w:rsidR="00533DDB" w:rsidRPr="003624E0">
        <w:t xml:space="preserve"> </w:t>
      </w:r>
      <w:r w:rsidRPr="003624E0">
        <w:t xml:space="preserve">chapters.  </w:t>
      </w:r>
    </w:p>
    <w:p w:rsidR="00DF5087" w:rsidRPr="00747105" w:rsidRDefault="00485EE2" w:rsidP="00F84B07">
      <w:pPr>
        <w:pStyle w:val="SubmissionNormal"/>
        <w:numPr>
          <w:ilvl w:val="0"/>
          <w:numId w:val="22"/>
        </w:numPr>
        <w:ind w:left="567" w:hanging="567"/>
        <w:rPr>
          <w:color w:val="000000" w:themeColor="text1"/>
        </w:rPr>
      </w:pPr>
      <w:r w:rsidRPr="003624E0">
        <w:rPr>
          <w:b/>
        </w:rPr>
        <w:t xml:space="preserve">Chapter </w:t>
      </w:r>
      <w:r w:rsidR="00533DDB" w:rsidRPr="003624E0">
        <w:rPr>
          <w:b/>
        </w:rPr>
        <w:t>2</w:t>
      </w:r>
      <w:r w:rsidRPr="003624E0">
        <w:t xml:space="preserve"> </w:t>
      </w:r>
      <w:r w:rsidR="00210602" w:rsidRPr="003624E0">
        <w:t xml:space="preserve">explains the legal definition of </w:t>
      </w:r>
      <w:r w:rsidRPr="003624E0">
        <w:t>sexual harassment</w:t>
      </w:r>
      <w:r w:rsidR="00C66C2F" w:rsidRPr="003624E0">
        <w:t xml:space="preserve"> in the Sex Discrimination Act</w:t>
      </w:r>
      <w:r w:rsidRPr="003624E0">
        <w:t>.</w:t>
      </w:r>
      <w:r w:rsidR="00EB5893">
        <w:t xml:space="preserve"> Case studies are used throughout this chapter to provide examples which </w:t>
      </w:r>
      <w:r w:rsidR="00E2003F">
        <w:t xml:space="preserve">illustrate </w:t>
      </w:r>
      <w:r w:rsidR="00EB5893">
        <w:t xml:space="preserve">the key elements of the legislation to employers. </w:t>
      </w:r>
      <w:r w:rsidR="00E700A9">
        <w:t xml:space="preserve">The case studies are </w:t>
      </w:r>
      <w:r w:rsidR="00E700A9" w:rsidRPr="00747105">
        <w:rPr>
          <w:color w:val="000000" w:themeColor="text1"/>
        </w:rPr>
        <w:t xml:space="preserve">drawn </w:t>
      </w:r>
      <w:r w:rsidR="007C2F27">
        <w:rPr>
          <w:color w:val="000000" w:themeColor="text1"/>
        </w:rPr>
        <w:t xml:space="preserve">from </w:t>
      </w:r>
      <w:r w:rsidR="00E700A9" w:rsidRPr="00747105">
        <w:rPr>
          <w:color w:val="000000" w:themeColor="text1"/>
        </w:rPr>
        <w:t xml:space="preserve">de-identified outcomes of successfully conciliated complaints at the Australian Human Rights Commission and federal/state court and tribunal decisions. </w:t>
      </w:r>
      <w:r w:rsidR="00465533" w:rsidRPr="00747105">
        <w:rPr>
          <w:color w:val="000000" w:themeColor="text1"/>
        </w:rPr>
        <w:t xml:space="preserve">  </w:t>
      </w:r>
    </w:p>
    <w:p w:rsidR="00DF5087" w:rsidRPr="003624E0" w:rsidRDefault="00485EE2" w:rsidP="00F84B07">
      <w:pPr>
        <w:pStyle w:val="SubmissionNormal"/>
        <w:numPr>
          <w:ilvl w:val="0"/>
          <w:numId w:val="22"/>
        </w:numPr>
        <w:ind w:left="567" w:hanging="567"/>
      </w:pPr>
      <w:r w:rsidRPr="003624E0">
        <w:rPr>
          <w:b/>
        </w:rPr>
        <w:t xml:space="preserve">Chapter </w:t>
      </w:r>
      <w:r w:rsidR="001C5BDF" w:rsidRPr="003624E0">
        <w:rPr>
          <w:b/>
        </w:rPr>
        <w:t>3</w:t>
      </w:r>
      <w:r w:rsidR="00210602" w:rsidRPr="003624E0">
        <w:t xml:space="preserve"> </w:t>
      </w:r>
      <w:r w:rsidR="00E00879" w:rsidRPr="003624E0">
        <w:t xml:space="preserve">identifies the </w:t>
      </w:r>
      <w:r w:rsidR="00C66C2F" w:rsidRPr="003624E0">
        <w:t>various legal causes of action in the Sex Discrimination</w:t>
      </w:r>
      <w:r w:rsidR="00ED766B">
        <w:t xml:space="preserve"> Act</w:t>
      </w:r>
      <w:r w:rsidR="00C66C2F" w:rsidRPr="003624E0">
        <w:t xml:space="preserve"> concerning workplace sexual harassment</w:t>
      </w:r>
      <w:r w:rsidRPr="003624E0">
        <w:t>.</w:t>
      </w:r>
      <w:r w:rsidR="00C66C2F" w:rsidRPr="003624E0">
        <w:t xml:space="preserve">  It also explains when and how employers can be held liable for sexual harassment under the Sex Discrimination Act. </w:t>
      </w:r>
      <w:r w:rsidRPr="003624E0">
        <w:t xml:space="preserve">  </w:t>
      </w:r>
    </w:p>
    <w:p w:rsidR="00E00879" w:rsidRPr="003624E0" w:rsidRDefault="00053809" w:rsidP="00F84B07">
      <w:pPr>
        <w:pStyle w:val="SubmissionNormal"/>
        <w:numPr>
          <w:ilvl w:val="0"/>
          <w:numId w:val="22"/>
        </w:numPr>
        <w:ind w:left="567" w:hanging="567"/>
      </w:pPr>
      <w:r w:rsidRPr="003624E0">
        <w:rPr>
          <w:b/>
        </w:rPr>
        <w:t>C</w:t>
      </w:r>
      <w:r w:rsidR="00485EE2" w:rsidRPr="003624E0">
        <w:rPr>
          <w:b/>
        </w:rPr>
        <w:t xml:space="preserve">hapter </w:t>
      </w:r>
      <w:r w:rsidR="001C5BDF" w:rsidRPr="003624E0">
        <w:rPr>
          <w:b/>
        </w:rPr>
        <w:t>4</w:t>
      </w:r>
      <w:r w:rsidR="00485EE2" w:rsidRPr="003624E0">
        <w:t xml:space="preserve"> </w:t>
      </w:r>
      <w:r w:rsidR="00461060" w:rsidRPr="003624E0">
        <w:t>identifies other legal causes of action for sexual harassment</w:t>
      </w:r>
      <w:r w:rsidR="00E00879" w:rsidRPr="003624E0">
        <w:t xml:space="preserve">. </w:t>
      </w:r>
      <w:r w:rsidR="00E00879" w:rsidRPr="003624E0">
        <w:rPr>
          <w:b/>
        </w:rPr>
        <w:t xml:space="preserve"> </w:t>
      </w:r>
    </w:p>
    <w:p w:rsidR="00E85C32" w:rsidRPr="003624E0" w:rsidRDefault="00E00879" w:rsidP="00F84B07">
      <w:pPr>
        <w:pStyle w:val="SubmissionNormal"/>
        <w:numPr>
          <w:ilvl w:val="0"/>
          <w:numId w:val="22"/>
        </w:numPr>
        <w:ind w:left="567" w:hanging="567"/>
      </w:pPr>
      <w:r w:rsidRPr="003624E0">
        <w:rPr>
          <w:b/>
        </w:rPr>
        <w:t xml:space="preserve">Chapter </w:t>
      </w:r>
      <w:r w:rsidR="001C5BDF" w:rsidRPr="003624E0">
        <w:rPr>
          <w:b/>
        </w:rPr>
        <w:t>5</w:t>
      </w:r>
      <w:r w:rsidRPr="003624E0">
        <w:rPr>
          <w:b/>
        </w:rPr>
        <w:t xml:space="preserve"> </w:t>
      </w:r>
      <w:r w:rsidR="00210602" w:rsidRPr="003624E0">
        <w:t xml:space="preserve">identifies practical steps </w:t>
      </w:r>
      <w:r w:rsidR="004A5FBE" w:rsidRPr="003624E0">
        <w:t xml:space="preserve">that </w:t>
      </w:r>
      <w:r w:rsidR="00B72418" w:rsidRPr="003624E0">
        <w:t xml:space="preserve">small, medium and large </w:t>
      </w:r>
      <w:r w:rsidR="00210602" w:rsidRPr="003624E0">
        <w:t xml:space="preserve">employers can take to </w:t>
      </w:r>
      <w:r w:rsidR="00294F1C" w:rsidRPr="003624E0">
        <w:t>help ensure their workplaces are free of sexual harassment</w:t>
      </w:r>
      <w:r w:rsidR="00DF5087" w:rsidRPr="003624E0">
        <w:t xml:space="preserve">.  </w:t>
      </w:r>
    </w:p>
    <w:p w:rsidR="00CB177E" w:rsidRPr="003624E0" w:rsidRDefault="003C0D3E" w:rsidP="003C0D3E">
      <w:pPr>
        <w:pStyle w:val="SubmissionNormal"/>
        <w:numPr>
          <w:ilvl w:val="0"/>
          <w:numId w:val="0"/>
        </w:numPr>
      </w:pPr>
      <w:r w:rsidRPr="003624E0">
        <w:t xml:space="preserve">The resource also contains </w:t>
      </w:r>
      <w:r w:rsidR="00D26A8F">
        <w:t>four</w:t>
      </w:r>
      <w:r w:rsidRPr="003624E0">
        <w:t xml:space="preserve"> appendices.  </w:t>
      </w:r>
    </w:p>
    <w:p w:rsidR="00CB177E" w:rsidRPr="003624E0" w:rsidRDefault="00533DDB" w:rsidP="00F84B07">
      <w:pPr>
        <w:pStyle w:val="SubmissionNormal"/>
        <w:numPr>
          <w:ilvl w:val="0"/>
          <w:numId w:val="24"/>
        </w:numPr>
        <w:ind w:left="567" w:hanging="567"/>
      </w:pPr>
      <w:r w:rsidRPr="003624E0">
        <w:rPr>
          <w:b/>
        </w:rPr>
        <w:t>Appendix 1</w:t>
      </w:r>
      <w:r w:rsidRPr="003624E0">
        <w:t xml:space="preserve"> identifies further sources of assistance </w:t>
      </w:r>
      <w:r w:rsidR="00D26A8F">
        <w:t xml:space="preserve">and </w:t>
      </w:r>
      <w:r w:rsidR="00D26A8F" w:rsidRPr="003624E0">
        <w:t xml:space="preserve">information </w:t>
      </w:r>
      <w:r w:rsidR="00D26A8F">
        <w:t xml:space="preserve">on </w:t>
      </w:r>
      <w:r w:rsidR="00BD658F" w:rsidRPr="003624E0">
        <w:t>sexual harassment issues</w:t>
      </w:r>
      <w:r w:rsidR="006A126A" w:rsidRPr="003624E0">
        <w:t xml:space="preserve">.  </w:t>
      </w:r>
    </w:p>
    <w:p w:rsidR="003055D2" w:rsidRPr="003624E0" w:rsidRDefault="00BD658F" w:rsidP="00F84B07">
      <w:pPr>
        <w:pStyle w:val="SubmissionNormal"/>
        <w:numPr>
          <w:ilvl w:val="0"/>
          <w:numId w:val="24"/>
        </w:numPr>
        <w:ind w:left="567" w:hanging="567"/>
      </w:pPr>
      <w:r w:rsidRPr="003624E0">
        <w:rPr>
          <w:b/>
        </w:rPr>
        <w:t>Appendix 2</w:t>
      </w:r>
      <w:r w:rsidRPr="003624E0">
        <w:t xml:space="preserve"> sets out important information about the </w:t>
      </w:r>
      <w:r w:rsidR="00485EE2" w:rsidRPr="003624E0">
        <w:t>Commission’s process</w:t>
      </w:r>
      <w:r w:rsidRPr="003624E0">
        <w:t>es</w:t>
      </w:r>
      <w:r w:rsidR="00485EE2" w:rsidRPr="003624E0">
        <w:t xml:space="preserve"> for </w:t>
      </w:r>
      <w:r w:rsidR="002D7400">
        <w:t>investigating and conciliating</w:t>
      </w:r>
      <w:r w:rsidR="00485EE2" w:rsidRPr="003624E0">
        <w:t xml:space="preserve"> complaints of sexual harassment under the Sex Discrimination Act.</w:t>
      </w:r>
      <w:r w:rsidR="00380391" w:rsidRPr="003624E0">
        <w:t xml:space="preserve"> </w:t>
      </w:r>
    </w:p>
    <w:p w:rsidR="00D26A8F" w:rsidRDefault="003055D2" w:rsidP="00A95DB8">
      <w:pPr>
        <w:pStyle w:val="SubmissionNormal"/>
        <w:numPr>
          <w:ilvl w:val="0"/>
          <w:numId w:val="24"/>
        </w:numPr>
        <w:ind w:left="567" w:hanging="567"/>
      </w:pPr>
      <w:r w:rsidRPr="003624E0">
        <w:rPr>
          <w:b/>
        </w:rPr>
        <w:t>Appendix 3</w:t>
      </w:r>
      <w:r w:rsidRPr="003624E0">
        <w:t xml:space="preserve"> </w:t>
      </w:r>
      <w:r w:rsidR="00456D25">
        <w:t>outlines</w:t>
      </w:r>
      <w:r w:rsidR="00E2003F">
        <w:t xml:space="preserve"> </w:t>
      </w:r>
      <w:r w:rsidRPr="003624E0">
        <w:t>key provisions of the Sex Discrimination Act related to sexual harassment in the workplace.</w:t>
      </w:r>
    </w:p>
    <w:p w:rsidR="00D26A8F" w:rsidRPr="00AE2C1C" w:rsidRDefault="00D26A8F" w:rsidP="00A95DB8">
      <w:pPr>
        <w:pStyle w:val="SubmissionNormal"/>
        <w:numPr>
          <w:ilvl w:val="0"/>
          <w:numId w:val="24"/>
        </w:numPr>
        <w:ind w:left="567" w:hanging="567"/>
      </w:pPr>
      <w:r w:rsidRPr="00A95DB8">
        <w:rPr>
          <w:b/>
        </w:rPr>
        <w:t>Appendix 4</w:t>
      </w:r>
      <w:r w:rsidRPr="00AE2C1C">
        <w:t xml:space="preserve"> provide</w:t>
      </w:r>
      <w:r>
        <w:t>s</w:t>
      </w:r>
      <w:r w:rsidRPr="00AE2C1C">
        <w:t xml:space="preserve"> </w:t>
      </w:r>
      <w:r>
        <w:t>guidance</w:t>
      </w:r>
      <w:r w:rsidRPr="00AE2C1C">
        <w:t xml:space="preserve"> </w:t>
      </w:r>
      <w:r>
        <w:t>for employers on g</w:t>
      </w:r>
      <w:r w:rsidRPr="00AE2C1C">
        <w:t xml:space="preserve">ood </w:t>
      </w:r>
      <w:r>
        <w:t>p</w:t>
      </w:r>
      <w:r w:rsidRPr="00AE2C1C">
        <w:t>ractice</w:t>
      </w:r>
      <w:r>
        <w:t>s</w:t>
      </w:r>
      <w:r w:rsidRPr="00AE2C1C">
        <w:t xml:space="preserve"> </w:t>
      </w:r>
      <w:r>
        <w:t>for developing i</w:t>
      </w:r>
      <w:r w:rsidRPr="00AE2C1C">
        <w:t xml:space="preserve">nternal </w:t>
      </w:r>
      <w:r>
        <w:t>c</w:t>
      </w:r>
      <w:r w:rsidRPr="00AE2C1C">
        <w:t xml:space="preserve">omplaint </w:t>
      </w:r>
      <w:r>
        <w:t>p</w:t>
      </w:r>
      <w:r w:rsidRPr="00AE2C1C">
        <w:t>rocesses</w:t>
      </w:r>
    </w:p>
    <w:p w:rsidR="00BD658F" w:rsidRPr="00A95DB8" w:rsidRDefault="00BD658F" w:rsidP="00A95DB8">
      <w:pPr>
        <w:pStyle w:val="SubmissionNormal"/>
        <w:numPr>
          <w:ilvl w:val="0"/>
          <w:numId w:val="0"/>
        </w:numPr>
        <w:ind w:left="567"/>
        <w:rPr>
          <w:b/>
        </w:rPr>
      </w:pPr>
      <w:r w:rsidRPr="00A95DB8">
        <w:rPr>
          <w:b/>
        </w:rPr>
        <w:br w:type="page"/>
      </w:r>
    </w:p>
    <w:p w:rsidR="005C0134" w:rsidRPr="003624E0" w:rsidRDefault="00BB1753" w:rsidP="00EF39B8">
      <w:pPr>
        <w:pStyle w:val="Heading1"/>
        <w:numPr>
          <w:ilvl w:val="0"/>
          <w:numId w:val="0"/>
        </w:numPr>
        <w:ind w:left="567" w:hanging="567"/>
        <w:rPr>
          <w:sz w:val="36"/>
          <w:szCs w:val="36"/>
        </w:rPr>
      </w:pPr>
      <w:bookmarkStart w:id="12" w:name="_Toc362446673"/>
      <w:bookmarkStart w:id="13" w:name="_Toc388023520"/>
      <w:r w:rsidRPr="003624E0">
        <w:rPr>
          <w:sz w:val="36"/>
          <w:szCs w:val="36"/>
        </w:rPr>
        <w:t>2</w:t>
      </w:r>
      <w:r w:rsidR="00F17913" w:rsidRPr="003624E0">
        <w:rPr>
          <w:sz w:val="36"/>
          <w:szCs w:val="36"/>
        </w:rPr>
        <w:t xml:space="preserve">. </w:t>
      </w:r>
      <w:r w:rsidR="00F17913" w:rsidRPr="003624E0">
        <w:rPr>
          <w:sz w:val="36"/>
          <w:szCs w:val="36"/>
        </w:rPr>
        <w:tab/>
      </w:r>
      <w:r w:rsidR="009337FF" w:rsidRPr="003624E0">
        <w:rPr>
          <w:sz w:val="36"/>
          <w:szCs w:val="36"/>
        </w:rPr>
        <w:t xml:space="preserve">Understanding </w:t>
      </w:r>
      <w:r w:rsidR="005C0134" w:rsidRPr="003624E0">
        <w:rPr>
          <w:sz w:val="36"/>
          <w:szCs w:val="36"/>
        </w:rPr>
        <w:t>sexual harassment</w:t>
      </w:r>
      <w:bookmarkEnd w:id="12"/>
      <w:bookmarkEnd w:id="13"/>
    </w:p>
    <w:p w:rsidR="00622757" w:rsidRPr="003624E0" w:rsidRDefault="00622757" w:rsidP="00B107B2">
      <w:pPr>
        <w:rPr>
          <w:szCs w:val="22"/>
        </w:rPr>
      </w:pPr>
      <w:r w:rsidRPr="003624E0">
        <w:t xml:space="preserve">Sexual harassment is defined in the Sex Discrimination Act </w:t>
      </w:r>
      <w:r w:rsidRPr="003624E0">
        <w:rPr>
          <w:szCs w:val="22"/>
        </w:rPr>
        <w:t>as an unwelcome sexual advance, an unwelcome request for sexual favours or other unwelcome conduct of a sexual nature, which, in the circumstances, a reasonable person would anticipate the possibility that the recipient would feel offended, humiliated or intimidated.</w:t>
      </w:r>
      <w:r w:rsidRPr="003624E0">
        <w:rPr>
          <w:rStyle w:val="EndnoteReference"/>
        </w:rPr>
        <w:endnoteReference w:id="10"/>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0D7539" w:rsidRPr="003624E0">
        <w:trPr>
          <w:trHeight w:val="1476"/>
        </w:trPr>
        <w:tc>
          <w:tcPr>
            <w:tcW w:w="9071" w:type="dxa"/>
            <w:shd w:val="clear" w:color="0078C1" w:fill="DAEEF3" w:themeFill="accent5" w:themeFillTint="33"/>
            <w:tcMar>
              <w:top w:w="227" w:type="dxa"/>
              <w:left w:w="227" w:type="dxa"/>
              <w:bottom w:w="255" w:type="dxa"/>
              <w:right w:w="227" w:type="dxa"/>
            </w:tcMar>
          </w:tcPr>
          <w:p w:rsidR="000D7539" w:rsidRPr="003624E0" w:rsidRDefault="000D7539" w:rsidP="00634386">
            <w:pPr>
              <w:keepNext/>
              <w:widowControl w:val="0"/>
              <w:suppressAutoHyphens/>
              <w:autoSpaceDE w:val="0"/>
              <w:autoSpaceDN w:val="0"/>
              <w:adjustRightInd w:val="0"/>
              <w:spacing w:before="120" w:after="120"/>
              <w:ind w:left="567" w:hanging="567"/>
              <w:jc w:val="center"/>
              <w:textAlignment w:val="center"/>
              <w:rPr>
                <w:rFonts w:cs="HelveticaNeue"/>
                <w:b/>
                <w:color w:val="000000"/>
                <w:szCs w:val="22"/>
              </w:rPr>
            </w:pPr>
            <w:r w:rsidRPr="003624E0">
              <w:rPr>
                <w:rFonts w:cs="HelveticaNeue-Bold"/>
                <w:b/>
                <w:bCs/>
                <w:color w:val="000000"/>
                <w:szCs w:val="22"/>
              </w:rPr>
              <w:t>Key elements of sexual harassment</w:t>
            </w:r>
          </w:p>
          <w:p w:rsidR="000D7539" w:rsidRPr="003624E0" w:rsidRDefault="000D7539" w:rsidP="00634386">
            <w:pPr>
              <w:spacing w:before="120" w:after="120"/>
              <w:rPr>
                <w:sz w:val="22"/>
                <w:szCs w:val="22"/>
              </w:rPr>
            </w:pPr>
            <w:r w:rsidRPr="003624E0">
              <w:rPr>
                <w:sz w:val="22"/>
                <w:szCs w:val="22"/>
              </w:rPr>
              <w:t xml:space="preserve">Sexual harassment consists of three key elements, namely conduct: </w:t>
            </w:r>
          </w:p>
          <w:p w:rsidR="000D7539" w:rsidRPr="003624E0" w:rsidRDefault="000D7539" w:rsidP="000A698C">
            <w:pPr>
              <w:pStyle w:val="ListParagraph"/>
              <w:numPr>
                <w:ilvl w:val="0"/>
                <w:numId w:val="17"/>
              </w:numPr>
              <w:spacing w:before="120" w:after="120"/>
              <w:ind w:left="341" w:hanging="284"/>
              <w:contextualSpacing w:val="0"/>
              <w:rPr>
                <w:sz w:val="22"/>
                <w:szCs w:val="22"/>
              </w:rPr>
            </w:pPr>
            <w:r w:rsidRPr="003624E0">
              <w:rPr>
                <w:sz w:val="22"/>
                <w:szCs w:val="22"/>
              </w:rPr>
              <w:t xml:space="preserve">that is </w:t>
            </w:r>
            <w:r w:rsidRPr="003624E0">
              <w:rPr>
                <w:i/>
                <w:sz w:val="22"/>
                <w:szCs w:val="22"/>
              </w:rPr>
              <w:t>unwelcome</w:t>
            </w:r>
            <w:r w:rsidRPr="003624E0">
              <w:rPr>
                <w:sz w:val="22"/>
                <w:szCs w:val="22"/>
              </w:rPr>
              <w:t xml:space="preserve">; </w:t>
            </w:r>
          </w:p>
          <w:p w:rsidR="000D7539" w:rsidRPr="003624E0" w:rsidRDefault="000D7539" w:rsidP="000A698C">
            <w:pPr>
              <w:pStyle w:val="ListParagraph"/>
              <w:numPr>
                <w:ilvl w:val="0"/>
                <w:numId w:val="17"/>
              </w:numPr>
              <w:spacing w:before="120" w:after="120"/>
              <w:ind w:left="341" w:hanging="284"/>
              <w:contextualSpacing w:val="0"/>
              <w:rPr>
                <w:sz w:val="22"/>
                <w:szCs w:val="22"/>
              </w:rPr>
            </w:pPr>
            <w:r w:rsidRPr="003624E0">
              <w:rPr>
                <w:sz w:val="22"/>
                <w:szCs w:val="22"/>
              </w:rPr>
              <w:t xml:space="preserve">of a </w:t>
            </w:r>
            <w:r w:rsidRPr="003624E0">
              <w:rPr>
                <w:i/>
                <w:sz w:val="22"/>
                <w:szCs w:val="22"/>
              </w:rPr>
              <w:t>sexual nature</w:t>
            </w:r>
            <w:r w:rsidRPr="003624E0">
              <w:rPr>
                <w:sz w:val="22"/>
                <w:szCs w:val="22"/>
              </w:rPr>
              <w:t xml:space="preserve">; </w:t>
            </w:r>
          </w:p>
          <w:p w:rsidR="000D7539" w:rsidRPr="003624E0" w:rsidRDefault="000D7539" w:rsidP="001154ED">
            <w:pPr>
              <w:pStyle w:val="ListParagraph"/>
              <w:numPr>
                <w:ilvl w:val="0"/>
                <w:numId w:val="17"/>
              </w:numPr>
              <w:spacing w:before="120" w:after="120"/>
              <w:ind w:left="341" w:hanging="284"/>
              <w:contextualSpacing w:val="0"/>
              <w:rPr>
                <w:sz w:val="22"/>
                <w:szCs w:val="22"/>
              </w:rPr>
            </w:pPr>
            <w:proofErr w:type="gramStart"/>
            <w:r w:rsidRPr="003624E0">
              <w:rPr>
                <w:sz w:val="22"/>
                <w:szCs w:val="22"/>
              </w:rPr>
              <w:t>that</w:t>
            </w:r>
            <w:proofErr w:type="gramEnd"/>
            <w:r w:rsidR="004965BC" w:rsidRPr="003624E0">
              <w:rPr>
                <w:sz w:val="22"/>
                <w:szCs w:val="22"/>
              </w:rPr>
              <w:t xml:space="preserve"> </w:t>
            </w:r>
            <w:r w:rsidRPr="003624E0">
              <w:rPr>
                <w:sz w:val="22"/>
                <w:szCs w:val="22"/>
              </w:rPr>
              <w:t xml:space="preserve">a </w:t>
            </w:r>
            <w:r w:rsidRPr="003624E0">
              <w:rPr>
                <w:i/>
                <w:sz w:val="22"/>
                <w:szCs w:val="22"/>
              </w:rPr>
              <w:t>reasonable person</w:t>
            </w:r>
            <w:r w:rsidR="004965BC" w:rsidRPr="003624E0">
              <w:rPr>
                <w:sz w:val="22"/>
                <w:szCs w:val="22"/>
              </w:rPr>
              <w:t xml:space="preserve"> </w:t>
            </w:r>
            <w:r w:rsidR="001154ED" w:rsidRPr="003624E0">
              <w:rPr>
                <w:sz w:val="22"/>
                <w:szCs w:val="22"/>
              </w:rPr>
              <w:t>(</w:t>
            </w:r>
            <w:r w:rsidR="004965BC" w:rsidRPr="003624E0">
              <w:rPr>
                <w:sz w:val="22"/>
                <w:szCs w:val="22"/>
              </w:rPr>
              <w:t>aware of the circumstances</w:t>
            </w:r>
            <w:r w:rsidR="001154ED" w:rsidRPr="003624E0">
              <w:rPr>
                <w:sz w:val="22"/>
                <w:szCs w:val="22"/>
              </w:rPr>
              <w:t>)</w:t>
            </w:r>
            <w:r w:rsidR="004965BC" w:rsidRPr="003624E0">
              <w:rPr>
                <w:sz w:val="22"/>
                <w:szCs w:val="22"/>
              </w:rPr>
              <w:t xml:space="preserve"> </w:t>
            </w:r>
            <w:r w:rsidRPr="003624E0">
              <w:rPr>
                <w:sz w:val="22"/>
                <w:szCs w:val="22"/>
              </w:rPr>
              <w:t xml:space="preserve">would anticipate </w:t>
            </w:r>
            <w:r w:rsidR="001154ED" w:rsidRPr="003624E0">
              <w:rPr>
                <w:sz w:val="22"/>
                <w:szCs w:val="22"/>
              </w:rPr>
              <w:t>could possibly</w:t>
            </w:r>
            <w:r w:rsidRPr="003624E0">
              <w:rPr>
                <w:sz w:val="22"/>
                <w:szCs w:val="22"/>
              </w:rPr>
              <w:t xml:space="preserve"> </w:t>
            </w:r>
            <w:r w:rsidR="001154ED" w:rsidRPr="003624E0">
              <w:rPr>
                <w:sz w:val="22"/>
                <w:szCs w:val="22"/>
              </w:rPr>
              <w:t xml:space="preserve">make </w:t>
            </w:r>
            <w:r w:rsidRPr="003624E0">
              <w:rPr>
                <w:sz w:val="22"/>
                <w:szCs w:val="22"/>
              </w:rPr>
              <w:t xml:space="preserve">the person subjected to the conduct feel </w:t>
            </w:r>
            <w:r w:rsidRPr="003624E0">
              <w:rPr>
                <w:i/>
                <w:sz w:val="22"/>
                <w:szCs w:val="22"/>
              </w:rPr>
              <w:t>offended, humiliated or intimidated</w:t>
            </w:r>
            <w:r w:rsidRPr="003624E0">
              <w:rPr>
                <w:sz w:val="22"/>
                <w:szCs w:val="22"/>
              </w:rPr>
              <w:t>.</w:t>
            </w:r>
          </w:p>
        </w:tc>
      </w:tr>
    </w:tbl>
    <w:p w:rsidR="00B107B2" w:rsidRPr="003624E0" w:rsidRDefault="001154ED" w:rsidP="000D7539">
      <w:r w:rsidRPr="003624E0">
        <w:t>Under the Sex Discrimination Act, i</w:t>
      </w:r>
      <w:r w:rsidR="00B107B2" w:rsidRPr="003624E0">
        <w:t xml:space="preserve">t </w:t>
      </w:r>
      <w:r w:rsidR="006A0208" w:rsidRPr="003624E0">
        <w:t xml:space="preserve">is </w:t>
      </w:r>
      <w:r w:rsidR="008302A9">
        <w:t>unlawful</w:t>
      </w:r>
      <w:r w:rsidR="00B107B2" w:rsidRPr="003624E0">
        <w:t xml:space="preserve"> to sexually harass another person in specified areas of public life, namely: employment; education; goods, services and facilities; </w:t>
      </w:r>
      <w:r w:rsidR="00A601F6">
        <w:t xml:space="preserve">the </w:t>
      </w:r>
      <w:r w:rsidR="00B107B2" w:rsidRPr="003624E0">
        <w:t xml:space="preserve">provision of accommodation; land; clubs; </w:t>
      </w:r>
      <w:r w:rsidR="00787701" w:rsidRPr="003624E0">
        <w:t xml:space="preserve">and </w:t>
      </w:r>
      <w:r w:rsidR="00B107B2" w:rsidRPr="003624E0">
        <w:t>Commonwealth laws and programs.</w:t>
      </w:r>
      <w:r w:rsidR="00B107B2" w:rsidRPr="003624E0">
        <w:rPr>
          <w:rStyle w:val="EndnoteReference"/>
        </w:rPr>
        <w:endnoteReference w:id="11"/>
      </w:r>
      <w:r w:rsidR="00622757" w:rsidRPr="003624E0">
        <w:t xml:space="preserve">  </w:t>
      </w:r>
      <w:r w:rsidR="000D7539" w:rsidRPr="003624E0">
        <w:t>S</w:t>
      </w:r>
      <w:r w:rsidR="00622757" w:rsidRPr="003624E0">
        <w:t>exual harassment is prohibited in a wide range of situations</w:t>
      </w:r>
      <w:r w:rsidR="000D7539" w:rsidRPr="003624E0">
        <w:t xml:space="preserve"> within each of these areas.</w:t>
      </w:r>
      <w:r w:rsidR="00504AB8" w:rsidRPr="003624E0">
        <w:t xml:space="preserve">  For example, it is unlawful for an employer to sexually harass a prospective employee.  </w:t>
      </w:r>
      <w:r w:rsidR="00B107B2" w:rsidRPr="003624E0">
        <w:t xml:space="preserve">  </w:t>
      </w:r>
    </w:p>
    <w:p w:rsidR="009A1C7C" w:rsidRPr="003624E0" w:rsidRDefault="009A1C7C" w:rsidP="007B2303">
      <w:pPr>
        <w:pStyle w:val="SubmissionNormal"/>
        <w:numPr>
          <w:ilvl w:val="0"/>
          <w:numId w:val="0"/>
        </w:numPr>
      </w:pPr>
      <w:r w:rsidRPr="003624E0">
        <w:t xml:space="preserve">Chapter 2 explains </w:t>
      </w:r>
      <w:r w:rsidR="000D7539" w:rsidRPr="003624E0">
        <w:t xml:space="preserve">how the Sex Discrimination Act defines </w:t>
      </w:r>
      <w:r w:rsidRPr="003624E0">
        <w:t>sexual harassment</w:t>
      </w:r>
      <w:r w:rsidR="007B2303" w:rsidRPr="003624E0">
        <w:t>.  I</w:t>
      </w:r>
      <w:r w:rsidR="00777FF9" w:rsidRPr="003624E0">
        <w:t>n doing so, it</w:t>
      </w:r>
      <w:r w:rsidR="007B2303" w:rsidRPr="003624E0">
        <w:t xml:space="preserve"> focuses on the area of employment and</w:t>
      </w:r>
      <w:r w:rsidR="00634386" w:rsidRPr="003624E0">
        <w:t>, in particular,</w:t>
      </w:r>
      <w:r w:rsidR="007B2303" w:rsidRPr="003624E0">
        <w:t xml:space="preserve"> the range of employment situations covered by the Act</w:t>
      </w:r>
      <w:r w:rsidRPr="003624E0">
        <w:t xml:space="preserve">.  </w:t>
      </w:r>
    </w:p>
    <w:p w:rsidR="00141C4C" w:rsidRPr="003624E0" w:rsidRDefault="00244AE3" w:rsidP="00141C4C">
      <w:pPr>
        <w:pStyle w:val="Heading2"/>
        <w:numPr>
          <w:ilvl w:val="0"/>
          <w:numId w:val="0"/>
        </w:numPr>
        <w:ind w:left="567" w:hanging="567"/>
      </w:pPr>
      <w:bookmarkStart w:id="14" w:name="_Toc362446674"/>
      <w:bookmarkStart w:id="15" w:name="_Toc388023521"/>
      <w:proofErr w:type="gramStart"/>
      <w:r w:rsidRPr="003624E0">
        <w:t xml:space="preserve">2.1  </w:t>
      </w:r>
      <w:r w:rsidR="00141C4C" w:rsidRPr="003624E0">
        <w:t>Unwelcome</w:t>
      </w:r>
      <w:proofErr w:type="gramEnd"/>
      <w:r w:rsidR="00141C4C" w:rsidRPr="003624E0">
        <w:t xml:space="preserve"> </w:t>
      </w:r>
      <w:r w:rsidR="006F7B8F" w:rsidRPr="003624E0">
        <w:t>conduct</w:t>
      </w:r>
      <w:bookmarkEnd w:id="14"/>
      <w:bookmarkEnd w:id="15"/>
    </w:p>
    <w:p w:rsidR="00A601F6" w:rsidRPr="003624E0" w:rsidRDefault="00B303BF" w:rsidP="00A601F6">
      <w:pPr>
        <w:pStyle w:val="SubmissionNormal"/>
        <w:numPr>
          <w:ilvl w:val="0"/>
          <w:numId w:val="0"/>
        </w:numPr>
      </w:pPr>
      <w:r w:rsidRPr="003624E0">
        <w:t xml:space="preserve">Conduct may constitute sexual harassment under the Sex Discrimination Act if it is unwelcome.  </w:t>
      </w:r>
      <w:r w:rsidR="00A601F6" w:rsidRPr="003624E0">
        <w:t>Conduct is unwelcome if it is not solicited or invited and is regarded by the target as undesirable or offensive.</w:t>
      </w:r>
      <w:r w:rsidR="00A601F6" w:rsidRPr="003624E0">
        <w:rPr>
          <w:rStyle w:val="EndnoteReference"/>
        </w:rPr>
        <w:endnoteReference w:id="12"/>
      </w:r>
      <w:r w:rsidR="00A601F6" w:rsidRPr="003624E0">
        <w:t xml:space="preserve">  It is irrelevant that the conduct in question may not have been unwelcome to others or has been an accepted feature of the workplace in the past.</w:t>
      </w:r>
      <w:r w:rsidR="00A601F6" w:rsidRPr="003624E0">
        <w:rPr>
          <w:rStyle w:val="EndnoteReference"/>
        </w:rPr>
        <w:endnoteReference w:id="13"/>
      </w:r>
      <w:r w:rsidR="00A601F6" w:rsidRPr="003624E0">
        <w:t xml:space="preserve">  </w:t>
      </w:r>
    </w:p>
    <w:p w:rsidR="00E559E7" w:rsidRPr="003624E0" w:rsidRDefault="00B303BF" w:rsidP="003C4984">
      <w:pPr>
        <w:pStyle w:val="SubmissionNormal"/>
        <w:numPr>
          <w:ilvl w:val="0"/>
          <w:numId w:val="0"/>
        </w:numPr>
      </w:pPr>
      <w:r w:rsidRPr="003624E0">
        <w:t xml:space="preserve">Whether </w:t>
      </w:r>
      <w:r w:rsidR="00285A56" w:rsidRPr="003624E0">
        <w:t xml:space="preserve">or not conduct </w:t>
      </w:r>
      <w:r w:rsidRPr="003624E0">
        <w:t>is unwelcome is a subjective question</w:t>
      </w:r>
      <w:r w:rsidR="00EA6F89" w:rsidRPr="003624E0">
        <w:t xml:space="preserve">.  This means </w:t>
      </w:r>
      <w:r w:rsidR="00113F25" w:rsidRPr="003624E0">
        <w:t xml:space="preserve">that it is </w:t>
      </w:r>
      <w:r w:rsidR="00F03E41" w:rsidRPr="003624E0">
        <w:t xml:space="preserve">determined </w:t>
      </w:r>
      <w:r w:rsidR="00113F25" w:rsidRPr="003624E0">
        <w:t>from the perspective</w:t>
      </w:r>
      <w:r w:rsidR="00F03E41" w:rsidRPr="003624E0">
        <w:t xml:space="preserve"> of the person subject</w:t>
      </w:r>
      <w:r w:rsidR="00EA6F89" w:rsidRPr="003624E0">
        <w:t>ed</w:t>
      </w:r>
      <w:r w:rsidR="00F03E41" w:rsidRPr="003624E0">
        <w:t xml:space="preserve"> to the conduct</w:t>
      </w:r>
      <w:r w:rsidR="00EA6F89" w:rsidRPr="003624E0">
        <w:t xml:space="preserve"> (</w:t>
      </w:r>
      <w:proofErr w:type="spellStart"/>
      <w:r w:rsidR="00EA6F89" w:rsidRPr="003624E0">
        <w:t>ie</w:t>
      </w:r>
      <w:proofErr w:type="spellEnd"/>
      <w:r w:rsidR="00EA6F89" w:rsidRPr="003624E0">
        <w:t xml:space="preserve"> the </w:t>
      </w:r>
      <w:r w:rsidR="007C2F27">
        <w:t>recipient</w:t>
      </w:r>
      <w:r w:rsidR="00EA6F89" w:rsidRPr="003624E0">
        <w:t>)</w:t>
      </w:r>
      <w:r w:rsidRPr="003624E0">
        <w:t>.</w:t>
      </w:r>
      <w:r w:rsidR="00785CF5" w:rsidRPr="003624E0">
        <w:t xml:space="preserve">  Whether or not the </w:t>
      </w:r>
      <w:r w:rsidR="00C644E3" w:rsidRPr="003624E0">
        <w:t xml:space="preserve">person engaging in the conduct </w:t>
      </w:r>
      <w:r w:rsidR="00785CF5" w:rsidRPr="003624E0">
        <w:t xml:space="preserve">intended to sexually harass </w:t>
      </w:r>
      <w:r w:rsidR="00C644E3" w:rsidRPr="003624E0">
        <w:t xml:space="preserve">the recipient of the conduct </w:t>
      </w:r>
      <w:r w:rsidR="00785CF5" w:rsidRPr="003624E0">
        <w:t xml:space="preserve">is </w:t>
      </w:r>
      <w:r w:rsidR="00504AB8" w:rsidRPr="003624E0">
        <w:t xml:space="preserve">therefore </w:t>
      </w:r>
      <w:r w:rsidR="00785CF5" w:rsidRPr="003624E0">
        <w:t xml:space="preserve">irrelevant.  </w:t>
      </w:r>
      <w:r w:rsidR="00F03E41" w:rsidRPr="003624E0">
        <w:t xml:space="preserve"> </w:t>
      </w:r>
    </w:p>
    <w:p w:rsidR="009B0472" w:rsidRPr="003624E0" w:rsidRDefault="009B0472" w:rsidP="004167AF">
      <w:pPr>
        <w:pStyle w:val="SubmissionNormal"/>
        <w:numPr>
          <w:ilvl w:val="0"/>
          <w:numId w:val="0"/>
        </w:numPr>
      </w:pPr>
      <w:r w:rsidRPr="003624E0">
        <w:t xml:space="preserve">A one-off incident </w:t>
      </w:r>
      <w:r w:rsidR="00DA714C" w:rsidRPr="003624E0">
        <w:t xml:space="preserve">can constitute </w:t>
      </w:r>
      <w:r w:rsidRPr="003624E0">
        <w:t xml:space="preserve">unwelcome conduct; the conduct does not need to be a continuous or </w:t>
      </w:r>
      <w:r w:rsidR="00456D25">
        <w:t xml:space="preserve">a </w:t>
      </w:r>
      <w:r w:rsidRPr="003624E0">
        <w:t>repeated course of conduct</w:t>
      </w:r>
      <w:r w:rsidR="00DA714C" w:rsidRPr="003624E0">
        <w:t xml:space="preserve"> to be considered unwelcome</w:t>
      </w:r>
      <w:r w:rsidRPr="003624E0">
        <w:t>.</w:t>
      </w:r>
      <w:r w:rsidRPr="003624E0">
        <w:rPr>
          <w:rStyle w:val="EndnoteReference"/>
          <w:rFonts w:cs="Arial"/>
          <w:bCs/>
          <w:color w:val="000000"/>
        </w:rPr>
        <w:endnoteReference w:id="14"/>
      </w:r>
      <w:r w:rsidRPr="003624E0">
        <w:t xml:space="preserve">  </w:t>
      </w:r>
    </w:p>
    <w:p w:rsidR="00504AB8" w:rsidRPr="003624E0" w:rsidRDefault="004167AF" w:rsidP="004167AF">
      <w:pPr>
        <w:pStyle w:val="SubmissionNormal"/>
        <w:numPr>
          <w:ilvl w:val="0"/>
          <w:numId w:val="0"/>
        </w:numPr>
      </w:pPr>
      <w:r w:rsidRPr="003624E0">
        <w:t>The circumstances in which the particular conduct occurred will affect whether or not conduct is considered unwelcome.  This includes the reaction of the recipient of the conduct, the nature of the relationship between the two parties and the specific context in which the conduct occurred.</w:t>
      </w:r>
      <w:r w:rsidR="00504AB8" w:rsidRPr="003624E0">
        <w:rPr>
          <w:rStyle w:val="EndnoteReference"/>
        </w:rPr>
        <w:endnoteReference w:id="15"/>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762AB9" w:rsidRPr="003624E0">
        <w:trPr>
          <w:trHeight w:val="503"/>
        </w:trPr>
        <w:tc>
          <w:tcPr>
            <w:tcW w:w="9071" w:type="dxa"/>
            <w:shd w:val="clear" w:color="0078C1" w:fill="C6D9F1" w:themeFill="text2" w:themeFillTint="33"/>
            <w:tcMar>
              <w:top w:w="227" w:type="dxa"/>
              <w:left w:w="227" w:type="dxa"/>
              <w:bottom w:w="255" w:type="dxa"/>
              <w:right w:w="227" w:type="dxa"/>
            </w:tcMar>
          </w:tcPr>
          <w:p w:rsidR="00762AB9" w:rsidRPr="003624E0" w:rsidRDefault="00A63A40" w:rsidP="00EA6F89">
            <w:pPr>
              <w:keepNext/>
              <w:widowControl w:val="0"/>
              <w:tabs>
                <w:tab w:val="left" w:pos="3533"/>
                <w:tab w:val="center" w:pos="4308"/>
              </w:tabs>
              <w:suppressAutoHyphens/>
              <w:autoSpaceDE w:val="0"/>
              <w:autoSpaceDN w:val="0"/>
              <w:adjustRightInd w:val="0"/>
              <w:spacing w:before="170" w:after="0"/>
              <w:jc w:val="center"/>
              <w:textAlignment w:val="center"/>
              <w:rPr>
                <w:rFonts w:cs="Arial"/>
                <w:b/>
                <w:bCs/>
                <w:color w:val="000000"/>
                <w:sz w:val="22"/>
                <w:szCs w:val="22"/>
              </w:rPr>
            </w:pPr>
            <w:r>
              <w:rPr>
                <w:rFonts w:cs="Arial"/>
                <w:b/>
                <w:bCs/>
                <w:color w:val="000000"/>
                <w:szCs w:val="22"/>
              </w:rPr>
              <w:t xml:space="preserve">Case study: </w:t>
            </w:r>
            <w:r w:rsidR="00762AB9" w:rsidRPr="003624E0">
              <w:rPr>
                <w:rFonts w:cs="Arial"/>
                <w:b/>
                <w:bCs/>
                <w:color w:val="000000"/>
                <w:szCs w:val="22"/>
              </w:rPr>
              <w:t>Unwelcome conduct</w:t>
            </w:r>
            <w:r w:rsidR="00762AB9" w:rsidRPr="003624E0">
              <w:rPr>
                <w:rStyle w:val="EndnoteReference"/>
                <w:sz w:val="22"/>
                <w:szCs w:val="22"/>
              </w:rPr>
              <w:endnoteReference w:id="16"/>
            </w:r>
          </w:p>
          <w:p w:rsidR="00762AB9" w:rsidRPr="003624E0" w:rsidRDefault="00762AB9" w:rsidP="00EA6F89">
            <w:pPr>
              <w:keepNext/>
              <w:widowControl w:val="0"/>
              <w:tabs>
                <w:tab w:val="left" w:pos="3533"/>
                <w:tab w:val="center" w:pos="4308"/>
              </w:tabs>
              <w:suppressAutoHyphens/>
              <w:autoSpaceDE w:val="0"/>
              <w:autoSpaceDN w:val="0"/>
              <w:adjustRightInd w:val="0"/>
              <w:spacing w:before="170" w:after="0"/>
              <w:textAlignment w:val="center"/>
              <w:rPr>
                <w:rFonts w:cs="Arial"/>
                <w:color w:val="000000"/>
                <w:sz w:val="22"/>
                <w:szCs w:val="22"/>
              </w:rPr>
            </w:pPr>
            <w:r w:rsidRPr="003624E0">
              <w:rPr>
                <w:rFonts w:cs="Arial"/>
                <w:color w:val="000000"/>
                <w:sz w:val="22"/>
                <w:szCs w:val="22"/>
              </w:rPr>
              <w:t xml:space="preserve">A young woman was employed at a medical centre.  During her employment, the Director of the medical centre, who was an older male doctor, fondled and brushed against the women’s breasts, patted her bottom, tried to kiss her and massaged her shoulders. </w:t>
            </w:r>
          </w:p>
          <w:p w:rsidR="00762AB9" w:rsidRPr="003624E0" w:rsidRDefault="00762AB9" w:rsidP="00EA6F89">
            <w:pPr>
              <w:keepNext/>
              <w:widowControl w:val="0"/>
              <w:tabs>
                <w:tab w:val="left" w:pos="3533"/>
                <w:tab w:val="center" w:pos="4308"/>
              </w:tabs>
              <w:suppressAutoHyphens/>
              <w:autoSpaceDE w:val="0"/>
              <w:autoSpaceDN w:val="0"/>
              <w:adjustRightInd w:val="0"/>
              <w:spacing w:before="170" w:after="0"/>
              <w:textAlignment w:val="center"/>
              <w:rPr>
                <w:rFonts w:cs="Arial"/>
                <w:color w:val="000000"/>
                <w:sz w:val="22"/>
                <w:szCs w:val="22"/>
              </w:rPr>
            </w:pPr>
            <w:r w:rsidRPr="003624E0">
              <w:rPr>
                <w:rFonts w:cs="Arial"/>
                <w:color w:val="000000"/>
                <w:sz w:val="22"/>
                <w:szCs w:val="22"/>
              </w:rPr>
              <w:t>Justice Moore held that this conduct was unwelcome.  He explained that</w:t>
            </w:r>
          </w:p>
          <w:p w:rsidR="00762AB9" w:rsidRPr="003624E0" w:rsidRDefault="00762AB9" w:rsidP="004565A5">
            <w:pPr>
              <w:widowControl w:val="0"/>
              <w:tabs>
                <w:tab w:val="left" w:pos="3533"/>
                <w:tab w:val="center" w:pos="4308"/>
              </w:tabs>
              <w:suppressAutoHyphens/>
              <w:autoSpaceDE w:val="0"/>
              <w:autoSpaceDN w:val="0"/>
              <w:adjustRightInd w:val="0"/>
              <w:spacing w:before="170" w:after="0"/>
              <w:ind w:left="543"/>
              <w:textAlignment w:val="center"/>
              <w:rPr>
                <w:rFonts w:cs="Arial"/>
                <w:b/>
                <w:color w:val="000000"/>
                <w:sz w:val="22"/>
                <w:szCs w:val="22"/>
              </w:rPr>
            </w:pPr>
            <w:proofErr w:type="gramStart"/>
            <w:r w:rsidRPr="00466B44">
              <w:rPr>
                <w:i/>
                <w:sz w:val="22"/>
                <w:szCs w:val="22"/>
              </w:rPr>
              <w:t>the</w:t>
            </w:r>
            <w:proofErr w:type="gramEnd"/>
            <w:r w:rsidRPr="00466B44">
              <w:rPr>
                <w:i/>
                <w:sz w:val="22"/>
                <w:szCs w:val="22"/>
              </w:rPr>
              <w:t xml:space="preserve"> applicant was, at the time, a teenager and the respondent a middle-aged medical-practitioner.  In that context it is difficult to avoid the conclusion that [the conduct of the respondent] was unwelcome as were the sexual references or allusions specifically directed to the applicant.</w:t>
            </w:r>
            <w:r w:rsidRPr="003624E0">
              <w:rPr>
                <w:rStyle w:val="EndnoteReference"/>
                <w:sz w:val="22"/>
                <w:szCs w:val="22"/>
              </w:rPr>
              <w:endnoteReference w:id="17"/>
            </w:r>
          </w:p>
        </w:tc>
      </w:tr>
    </w:tbl>
    <w:p w:rsidR="00EB360A" w:rsidRPr="003624E0" w:rsidRDefault="00BE0064" w:rsidP="00B303BF">
      <w:pPr>
        <w:pStyle w:val="SubmissionNormal"/>
        <w:numPr>
          <w:ilvl w:val="0"/>
          <w:numId w:val="0"/>
        </w:numPr>
      </w:pPr>
      <w:r w:rsidRPr="003624E0">
        <w:t xml:space="preserve">Consent or participation obtained by fear, intimidation, threats or force will not rule out a complaint of sexual harassment. </w:t>
      </w:r>
      <w:r w:rsidR="008D61D2" w:rsidRPr="003624E0">
        <w:t xml:space="preserv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3B5C11" w:rsidRPr="003624E0">
        <w:trPr>
          <w:trHeight w:val="503"/>
        </w:trPr>
        <w:tc>
          <w:tcPr>
            <w:tcW w:w="9071" w:type="dxa"/>
            <w:shd w:val="clear" w:color="0078C1" w:fill="C6D9F1" w:themeFill="text2" w:themeFillTint="33"/>
            <w:tcMar>
              <w:top w:w="227" w:type="dxa"/>
              <w:left w:w="227" w:type="dxa"/>
              <w:bottom w:w="255" w:type="dxa"/>
              <w:right w:w="227" w:type="dxa"/>
            </w:tcMar>
          </w:tcPr>
          <w:p w:rsidR="003B5C11" w:rsidRPr="003624E0" w:rsidRDefault="008A2195" w:rsidP="00EB360A">
            <w:pPr>
              <w:keepNext/>
              <w:widowControl w:val="0"/>
              <w:tabs>
                <w:tab w:val="left" w:pos="3533"/>
                <w:tab w:val="center" w:pos="4308"/>
              </w:tabs>
              <w:suppressAutoHyphens/>
              <w:autoSpaceDE w:val="0"/>
              <w:autoSpaceDN w:val="0"/>
              <w:adjustRightInd w:val="0"/>
              <w:spacing w:before="170" w:after="0"/>
              <w:jc w:val="center"/>
              <w:textAlignment w:val="center"/>
              <w:rPr>
                <w:rFonts w:cs="Arial"/>
                <w:b/>
                <w:color w:val="000000"/>
                <w:sz w:val="22"/>
                <w:szCs w:val="22"/>
              </w:rPr>
            </w:pPr>
            <w:r>
              <w:rPr>
                <w:rFonts w:cs="Arial"/>
                <w:b/>
                <w:bCs/>
                <w:color w:val="000000"/>
                <w:szCs w:val="22"/>
              </w:rPr>
              <w:t xml:space="preserve">Case study: </w:t>
            </w:r>
            <w:r w:rsidR="00C644E3" w:rsidRPr="003624E0">
              <w:rPr>
                <w:rFonts w:cs="Arial"/>
                <w:b/>
                <w:bCs/>
                <w:color w:val="000000"/>
                <w:szCs w:val="22"/>
              </w:rPr>
              <w:t>‘Consent’ under pressure</w:t>
            </w:r>
            <w:r w:rsidR="003B5C11" w:rsidRPr="003624E0">
              <w:rPr>
                <w:rStyle w:val="EndnoteReference"/>
                <w:sz w:val="22"/>
                <w:szCs w:val="22"/>
              </w:rPr>
              <w:endnoteReference w:id="18"/>
            </w:r>
          </w:p>
          <w:p w:rsidR="003B5C11" w:rsidRPr="003624E0" w:rsidRDefault="003B5C11" w:rsidP="00EB360A">
            <w:pPr>
              <w:keepNext/>
              <w:widowControl w:val="0"/>
              <w:tabs>
                <w:tab w:val="left" w:pos="3533"/>
                <w:tab w:val="center" w:pos="4308"/>
              </w:tabs>
              <w:suppressAutoHyphens/>
              <w:autoSpaceDE w:val="0"/>
              <w:autoSpaceDN w:val="0"/>
              <w:adjustRightInd w:val="0"/>
              <w:spacing w:before="170" w:after="0"/>
              <w:textAlignment w:val="center"/>
              <w:rPr>
                <w:sz w:val="22"/>
                <w:szCs w:val="22"/>
              </w:rPr>
            </w:pPr>
            <w:r w:rsidRPr="003624E0">
              <w:rPr>
                <w:sz w:val="22"/>
                <w:szCs w:val="22"/>
              </w:rPr>
              <w:t xml:space="preserve">A teenage girl got a job in a cake shop </w:t>
            </w:r>
            <w:r w:rsidR="0084274F" w:rsidRPr="003624E0">
              <w:rPr>
                <w:sz w:val="22"/>
                <w:szCs w:val="22"/>
              </w:rPr>
              <w:t>after being unemployed for one year</w:t>
            </w:r>
            <w:r w:rsidRPr="003624E0">
              <w:rPr>
                <w:sz w:val="22"/>
                <w:szCs w:val="22"/>
              </w:rPr>
              <w:t xml:space="preserve">.  </w:t>
            </w:r>
            <w:r w:rsidR="0084274F" w:rsidRPr="003624E0">
              <w:rPr>
                <w:sz w:val="22"/>
                <w:szCs w:val="22"/>
              </w:rPr>
              <w:t>Shortly after commencing</w:t>
            </w:r>
            <w:r w:rsidRPr="003624E0">
              <w:rPr>
                <w:sz w:val="22"/>
                <w:szCs w:val="22"/>
              </w:rPr>
              <w:t xml:space="preserve">, a partner in the business began to kiss her neck, touch her buttocks and request sex.  Under pressure, she consented to intercourse on </w:t>
            </w:r>
            <w:r w:rsidR="0084274F" w:rsidRPr="003624E0">
              <w:rPr>
                <w:sz w:val="22"/>
                <w:szCs w:val="22"/>
              </w:rPr>
              <w:t>several</w:t>
            </w:r>
            <w:r w:rsidRPr="003624E0">
              <w:rPr>
                <w:sz w:val="22"/>
                <w:szCs w:val="22"/>
              </w:rPr>
              <w:t xml:space="preserve"> occasions. </w:t>
            </w:r>
          </w:p>
          <w:p w:rsidR="003B5C11" w:rsidRPr="003624E0" w:rsidRDefault="0084274F" w:rsidP="0084274F">
            <w:pPr>
              <w:widowControl w:val="0"/>
              <w:tabs>
                <w:tab w:val="left" w:pos="3533"/>
                <w:tab w:val="center" w:pos="4308"/>
              </w:tabs>
              <w:suppressAutoHyphens/>
              <w:autoSpaceDE w:val="0"/>
              <w:autoSpaceDN w:val="0"/>
              <w:adjustRightInd w:val="0"/>
              <w:spacing w:before="170" w:after="0"/>
              <w:textAlignment w:val="center"/>
              <w:rPr>
                <w:sz w:val="22"/>
                <w:szCs w:val="22"/>
              </w:rPr>
            </w:pPr>
            <w:r w:rsidRPr="003624E0">
              <w:rPr>
                <w:sz w:val="22"/>
                <w:szCs w:val="22"/>
              </w:rPr>
              <w:t xml:space="preserve">Despite </w:t>
            </w:r>
            <w:r w:rsidR="003B5C11" w:rsidRPr="003624E0">
              <w:rPr>
                <w:sz w:val="22"/>
                <w:szCs w:val="22"/>
              </w:rPr>
              <w:t xml:space="preserve">evidence that </w:t>
            </w:r>
            <w:r w:rsidR="000C7E6D" w:rsidRPr="003624E0">
              <w:rPr>
                <w:sz w:val="22"/>
                <w:szCs w:val="22"/>
              </w:rPr>
              <w:t xml:space="preserve">the girl’s </w:t>
            </w:r>
            <w:r w:rsidR="003B5C11" w:rsidRPr="003624E0">
              <w:rPr>
                <w:sz w:val="22"/>
                <w:szCs w:val="22"/>
              </w:rPr>
              <w:t xml:space="preserve">attitude towards the </w:t>
            </w:r>
            <w:r w:rsidRPr="003624E0">
              <w:rPr>
                <w:sz w:val="22"/>
                <w:szCs w:val="22"/>
              </w:rPr>
              <w:t xml:space="preserve">partner </w:t>
            </w:r>
            <w:r w:rsidR="003B5C11" w:rsidRPr="003624E0">
              <w:rPr>
                <w:sz w:val="22"/>
                <w:szCs w:val="22"/>
              </w:rPr>
              <w:t xml:space="preserve">may have been ambivalent at times, </w:t>
            </w:r>
            <w:r w:rsidRPr="003624E0">
              <w:rPr>
                <w:sz w:val="22"/>
                <w:szCs w:val="22"/>
              </w:rPr>
              <w:t>the Commissioners</w:t>
            </w:r>
            <w:r w:rsidR="003B5C11" w:rsidRPr="003624E0">
              <w:rPr>
                <w:sz w:val="22"/>
                <w:szCs w:val="22"/>
              </w:rPr>
              <w:t xml:space="preserve"> held that ‘by and large … his sexual acts and advances were unwelcome to her’.</w:t>
            </w:r>
            <w:r w:rsidR="008D61D2" w:rsidRPr="003624E0">
              <w:rPr>
                <w:sz w:val="22"/>
                <w:szCs w:val="22"/>
              </w:rPr>
              <w:t xml:space="preserve">  They said:</w:t>
            </w:r>
            <w:r w:rsidR="003B5C11" w:rsidRPr="003624E0">
              <w:rPr>
                <w:sz w:val="22"/>
                <w:szCs w:val="22"/>
              </w:rPr>
              <w:t xml:space="preserve">  </w:t>
            </w:r>
          </w:p>
          <w:p w:rsidR="003B5C11" w:rsidRPr="00466B44" w:rsidRDefault="003B5C11" w:rsidP="0084274F">
            <w:pPr>
              <w:widowControl w:val="0"/>
              <w:tabs>
                <w:tab w:val="left" w:pos="3533"/>
                <w:tab w:val="center" w:pos="4308"/>
              </w:tabs>
              <w:suppressAutoHyphens/>
              <w:autoSpaceDE w:val="0"/>
              <w:autoSpaceDN w:val="0"/>
              <w:adjustRightInd w:val="0"/>
              <w:spacing w:before="170" w:after="0"/>
              <w:ind w:left="571"/>
              <w:textAlignment w:val="center"/>
              <w:rPr>
                <w:i/>
                <w:sz w:val="22"/>
                <w:szCs w:val="22"/>
              </w:rPr>
            </w:pPr>
            <w:r w:rsidRPr="00466B44">
              <w:rPr>
                <w:i/>
                <w:sz w:val="22"/>
                <w:szCs w:val="22"/>
              </w:rPr>
              <w:t>It may seem surprising today that any young woman would endure the conduct of which she complained without taking some steps to bring it to an end.  But … I believe that this young woman was unsophisticated, was very keen to remain in employment, and apparently thought that this was the tariff which she had to pay.  It was not, and she should be recompensed.  She is entitled to damages for the humiliation and injury she suffered at the hands of one who knew that she had been unemployed and that she was eager to have employment.</w:t>
            </w:r>
          </w:p>
          <w:p w:rsidR="003B5C11" w:rsidRPr="003624E0" w:rsidRDefault="003B5C11" w:rsidP="00C83BC9">
            <w:pPr>
              <w:widowControl w:val="0"/>
              <w:tabs>
                <w:tab w:val="left" w:pos="3533"/>
                <w:tab w:val="center" w:pos="4308"/>
              </w:tabs>
              <w:suppressAutoHyphens/>
              <w:autoSpaceDE w:val="0"/>
              <w:autoSpaceDN w:val="0"/>
              <w:adjustRightInd w:val="0"/>
              <w:spacing w:before="170" w:after="0"/>
              <w:textAlignment w:val="center"/>
              <w:rPr>
                <w:rFonts w:cs="Arial"/>
                <w:b/>
                <w:color w:val="000000"/>
                <w:sz w:val="22"/>
                <w:szCs w:val="22"/>
              </w:rPr>
            </w:pPr>
            <w:r w:rsidRPr="003624E0">
              <w:rPr>
                <w:sz w:val="22"/>
                <w:szCs w:val="22"/>
              </w:rPr>
              <w:t xml:space="preserve">The Commissioners recognised that </w:t>
            </w:r>
            <w:r w:rsidR="008D61D2" w:rsidRPr="003624E0">
              <w:rPr>
                <w:sz w:val="22"/>
                <w:szCs w:val="22"/>
              </w:rPr>
              <w:t xml:space="preserve">the girl </w:t>
            </w:r>
            <w:r w:rsidRPr="003624E0">
              <w:rPr>
                <w:sz w:val="22"/>
                <w:szCs w:val="22"/>
              </w:rPr>
              <w:t xml:space="preserve">was in ‘an extremely vulnerable position’ and had only endured the situation because she </w:t>
            </w:r>
            <w:r w:rsidR="00C83BC9">
              <w:rPr>
                <w:sz w:val="22"/>
                <w:szCs w:val="22"/>
              </w:rPr>
              <w:t>feared the consequences of refusing</w:t>
            </w:r>
            <w:r w:rsidRPr="003624E0">
              <w:rPr>
                <w:sz w:val="22"/>
                <w:szCs w:val="22"/>
              </w:rPr>
              <w:t xml:space="preserve">.  In these circumstances, the conduct was found to be unwelcome and the </w:t>
            </w:r>
            <w:r w:rsidR="008D61D2" w:rsidRPr="003624E0">
              <w:rPr>
                <w:sz w:val="22"/>
                <w:szCs w:val="22"/>
              </w:rPr>
              <w:t xml:space="preserve">girl </w:t>
            </w:r>
            <w:r w:rsidRPr="003624E0">
              <w:rPr>
                <w:sz w:val="22"/>
                <w:szCs w:val="22"/>
              </w:rPr>
              <w:t xml:space="preserve">was awarded $7,000 compensation.  </w:t>
            </w:r>
          </w:p>
        </w:tc>
      </w:tr>
    </w:tbl>
    <w:p w:rsidR="001021CF" w:rsidRPr="003624E0" w:rsidRDefault="001021CF" w:rsidP="001021CF">
      <w:pPr>
        <w:pStyle w:val="SubmissionNormal"/>
        <w:numPr>
          <w:ilvl w:val="0"/>
          <w:numId w:val="0"/>
        </w:numPr>
      </w:pPr>
      <w:r w:rsidRPr="003624E0">
        <w:t xml:space="preserve">A complaint of sexual harassment will not necessarily be dismissed because the complainant did not tell his or her </w:t>
      </w:r>
      <w:r w:rsidR="00E67D95">
        <w:t xml:space="preserve">alleged </w:t>
      </w:r>
      <w:r w:rsidRPr="003624E0">
        <w:t>harasser that the conduct was unwelcome.  Courts consider a number of factors that may affect a</w:t>
      </w:r>
      <w:r w:rsidR="00DA714C" w:rsidRPr="003624E0">
        <w:t>n individual</w:t>
      </w:r>
      <w:r w:rsidRPr="003624E0">
        <w:t>’s ability to communicate the unwelcome nature of the conduct, including youth and inexperience, fear of reprisals and the nature of the power relationship between the two parties.</w:t>
      </w:r>
      <w:r w:rsidRPr="003624E0">
        <w:rPr>
          <w:rStyle w:val="EndnoteReference"/>
        </w:rPr>
        <w:endnoteReference w:id="19"/>
      </w:r>
    </w:p>
    <w:p w:rsidR="00CA3513" w:rsidRPr="003624E0" w:rsidRDefault="00741FCF" w:rsidP="00741FCF">
      <w:pPr>
        <w:pStyle w:val="SubmissionNormal"/>
        <w:numPr>
          <w:ilvl w:val="0"/>
          <w:numId w:val="0"/>
        </w:numPr>
      </w:pPr>
      <w:r w:rsidRPr="003624E0">
        <w:t xml:space="preserve">Sexual interaction, flirtation, attraction or friendship that is consensual and invited, mutual or reciprocated is not considered to be unwelcome.  </w:t>
      </w:r>
    </w:p>
    <w:p w:rsidR="006D0E45" w:rsidRPr="003624E0" w:rsidRDefault="006D0E45" w:rsidP="00CA3513">
      <w:pPr>
        <w:pStyle w:val="SubmissionNormal"/>
        <w:numPr>
          <w:ilvl w:val="0"/>
          <w:numId w:val="0"/>
        </w:numPr>
      </w:pP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6D0E45" w:rsidRPr="003624E0">
        <w:trPr>
          <w:trHeight w:val="503"/>
        </w:trPr>
        <w:tc>
          <w:tcPr>
            <w:tcW w:w="9071" w:type="dxa"/>
            <w:shd w:val="clear" w:color="0078C1" w:fill="C6D9F1" w:themeFill="text2" w:themeFillTint="33"/>
            <w:tcMar>
              <w:top w:w="227" w:type="dxa"/>
              <w:left w:w="227" w:type="dxa"/>
              <w:bottom w:w="255" w:type="dxa"/>
              <w:right w:w="227" w:type="dxa"/>
            </w:tcMar>
          </w:tcPr>
          <w:p w:rsidR="006D0E45" w:rsidRPr="003624E0" w:rsidRDefault="008A2195" w:rsidP="006D0E45">
            <w:pPr>
              <w:keepNext/>
              <w:widowControl w:val="0"/>
              <w:tabs>
                <w:tab w:val="left" w:pos="3533"/>
                <w:tab w:val="center" w:pos="4308"/>
              </w:tabs>
              <w:suppressAutoHyphens/>
              <w:autoSpaceDE w:val="0"/>
              <w:autoSpaceDN w:val="0"/>
              <w:adjustRightInd w:val="0"/>
              <w:spacing w:before="170" w:after="0"/>
              <w:jc w:val="center"/>
              <w:textAlignment w:val="center"/>
              <w:rPr>
                <w:rFonts w:cs="Arial"/>
                <w:b/>
                <w:bCs/>
                <w:color w:val="000000"/>
                <w:sz w:val="22"/>
                <w:szCs w:val="22"/>
              </w:rPr>
            </w:pPr>
            <w:r>
              <w:rPr>
                <w:rFonts w:cs="Arial"/>
                <w:b/>
                <w:bCs/>
                <w:color w:val="000000"/>
                <w:szCs w:val="22"/>
              </w:rPr>
              <w:t xml:space="preserve">Case study: </w:t>
            </w:r>
            <w:r w:rsidR="0056249D">
              <w:rPr>
                <w:rFonts w:cs="Arial"/>
                <w:b/>
                <w:bCs/>
                <w:color w:val="000000"/>
                <w:szCs w:val="22"/>
              </w:rPr>
              <w:t>Relationship between workplace participants</w:t>
            </w:r>
            <w:r w:rsidR="006D0E45" w:rsidRPr="003624E0">
              <w:rPr>
                <w:rStyle w:val="EndnoteReference"/>
                <w:sz w:val="22"/>
                <w:szCs w:val="22"/>
              </w:rPr>
              <w:endnoteReference w:id="20"/>
            </w:r>
          </w:p>
          <w:p w:rsidR="006D0E45" w:rsidRPr="003624E0" w:rsidRDefault="006D0E45" w:rsidP="006D0E45">
            <w:pPr>
              <w:keepNext/>
              <w:widowControl w:val="0"/>
              <w:tabs>
                <w:tab w:val="left" w:pos="3533"/>
                <w:tab w:val="center" w:pos="4308"/>
              </w:tabs>
              <w:suppressAutoHyphens/>
              <w:autoSpaceDE w:val="0"/>
              <w:autoSpaceDN w:val="0"/>
              <w:adjustRightInd w:val="0"/>
              <w:spacing w:before="170" w:after="0"/>
              <w:textAlignment w:val="center"/>
              <w:rPr>
                <w:rFonts w:cs="Arial"/>
                <w:color w:val="000000"/>
                <w:sz w:val="22"/>
                <w:szCs w:val="22"/>
              </w:rPr>
            </w:pPr>
            <w:r w:rsidRPr="003624E0">
              <w:rPr>
                <w:rFonts w:cs="Arial"/>
                <w:color w:val="000000"/>
                <w:sz w:val="22"/>
                <w:szCs w:val="22"/>
              </w:rPr>
              <w:t>A 20</w:t>
            </w:r>
            <w:r w:rsidR="00FC3573" w:rsidRPr="003624E0">
              <w:rPr>
                <w:rFonts w:cs="Arial"/>
                <w:color w:val="000000"/>
                <w:sz w:val="22"/>
                <w:szCs w:val="22"/>
              </w:rPr>
              <w:t>-</w:t>
            </w:r>
            <w:r w:rsidRPr="003624E0">
              <w:rPr>
                <w:rFonts w:cs="Arial"/>
                <w:color w:val="000000"/>
                <w:sz w:val="22"/>
                <w:szCs w:val="22"/>
              </w:rPr>
              <w:t>year</w:t>
            </w:r>
            <w:r w:rsidR="00FC3573" w:rsidRPr="003624E0">
              <w:rPr>
                <w:rFonts w:cs="Arial"/>
                <w:color w:val="000000"/>
                <w:sz w:val="22"/>
                <w:szCs w:val="22"/>
              </w:rPr>
              <w:t>-</w:t>
            </w:r>
            <w:r w:rsidRPr="003624E0">
              <w:rPr>
                <w:rFonts w:cs="Arial"/>
                <w:color w:val="000000"/>
                <w:sz w:val="22"/>
                <w:szCs w:val="22"/>
              </w:rPr>
              <w:t xml:space="preserve">old woman was employed at a trucking company.  </w:t>
            </w:r>
            <w:r w:rsidR="00FC3573" w:rsidRPr="003624E0">
              <w:rPr>
                <w:rFonts w:cs="Arial"/>
                <w:color w:val="000000"/>
                <w:sz w:val="22"/>
                <w:szCs w:val="22"/>
              </w:rPr>
              <w:t>She</w:t>
            </w:r>
            <w:r w:rsidRPr="003624E0">
              <w:rPr>
                <w:rFonts w:cs="Arial"/>
                <w:color w:val="000000"/>
                <w:sz w:val="22"/>
                <w:szCs w:val="22"/>
              </w:rPr>
              <w:t xml:space="preserve"> and </w:t>
            </w:r>
            <w:r w:rsidR="00FC3573" w:rsidRPr="003624E0">
              <w:rPr>
                <w:rFonts w:cs="Arial"/>
                <w:color w:val="000000"/>
                <w:sz w:val="22"/>
                <w:szCs w:val="22"/>
              </w:rPr>
              <w:t xml:space="preserve">her </w:t>
            </w:r>
            <w:r w:rsidRPr="003624E0">
              <w:rPr>
                <w:rFonts w:cs="Arial"/>
                <w:color w:val="000000"/>
                <w:sz w:val="22"/>
                <w:szCs w:val="22"/>
              </w:rPr>
              <w:t>boss engaged in consensual sexual intercourse on four occasions.</w:t>
            </w:r>
            <w:r w:rsidR="00FC3573" w:rsidRPr="003624E0">
              <w:rPr>
                <w:rFonts w:cs="Arial"/>
                <w:color w:val="000000"/>
                <w:sz w:val="22"/>
                <w:szCs w:val="22"/>
              </w:rPr>
              <w:t xml:space="preserve">  In addition, </w:t>
            </w:r>
            <w:r w:rsidR="00A879DC" w:rsidRPr="003624E0">
              <w:rPr>
                <w:rFonts w:cs="Arial"/>
                <w:color w:val="000000"/>
                <w:sz w:val="22"/>
                <w:szCs w:val="22"/>
              </w:rPr>
              <w:t xml:space="preserve">the woman’s boss </w:t>
            </w:r>
            <w:r w:rsidR="00B86321" w:rsidRPr="003624E0">
              <w:rPr>
                <w:rFonts w:cs="Arial"/>
                <w:color w:val="000000"/>
                <w:sz w:val="22"/>
                <w:szCs w:val="22"/>
              </w:rPr>
              <w:t xml:space="preserve">engaged in a range of other conduct of a sexual nature, including giving the woman </w:t>
            </w:r>
            <w:r w:rsidR="00FC3573" w:rsidRPr="003624E0">
              <w:rPr>
                <w:rFonts w:cs="Arial"/>
                <w:color w:val="000000"/>
                <w:sz w:val="22"/>
                <w:szCs w:val="22"/>
              </w:rPr>
              <w:t>numerous gifts of a sexual nature (</w:t>
            </w:r>
            <w:proofErr w:type="spellStart"/>
            <w:r w:rsidR="00FC3573" w:rsidRPr="003624E0">
              <w:rPr>
                <w:rFonts w:cs="Arial"/>
                <w:color w:val="000000"/>
                <w:sz w:val="22"/>
                <w:szCs w:val="22"/>
              </w:rPr>
              <w:t>eg</w:t>
            </w:r>
            <w:proofErr w:type="spellEnd"/>
            <w:r w:rsidR="00FC3573" w:rsidRPr="003624E0">
              <w:rPr>
                <w:rFonts w:cs="Arial"/>
                <w:color w:val="000000"/>
                <w:sz w:val="22"/>
                <w:szCs w:val="22"/>
              </w:rPr>
              <w:t xml:space="preserve"> lingerie and sex toys), sen</w:t>
            </w:r>
            <w:r w:rsidR="00B86321" w:rsidRPr="003624E0">
              <w:rPr>
                <w:rFonts w:cs="Arial"/>
                <w:color w:val="000000"/>
                <w:sz w:val="22"/>
                <w:szCs w:val="22"/>
              </w:rPr>
              <w:t>ding</w:t>
            </w:r>
            <w:r w:rsidR="00FC3573" w:rsidRPr="003624E0">
              <w:rPr>
                <w:rFonts w:cs="Arial"/>
                <w:color w:val="000000"/>
                <w:sz w:val="22"/>
                <w:szCs w:val="22"/>
              </w:rPr>
              <w:t xml:space="preserve"> her sexually explicit text and multimedia messages and </w:t>
            </w:r>
            <w:r w:rsidR="00B86321" w:rsidRPr="003624E0">
              <w:rPr>
                <w:rFonts w:cs="Arial"/>
                <w:color w:val="000000"/>
                <w:sz w:val="22"/>
                <w:szCs w:val="22"/>
              </w:rPr>
              <w:t xml:space="preserve">pursuing a romantic relationship </w:t>
            </w:r>
            <w:r w:rsidR="00FC3573" w:rsidRPr="003624E0">
              <w:rPr>
                <w:rFonts w:cs="Arial"/>
                <w:color w:val="000000"/>
                <w:sz w:val="22"/>
                <w:szCs w:val="22"/>
              </w:rPr>
              <w:t xml:space="preserve">on day and overnight ‘business trips’.  </w:t>
            </w:r>
            <w:r w:rsidRPr="003624E0">
              <w:rPr>
                <w:rFonts w:cs="Arial"/>
                <w:color w:val="000000"/>
                <w:sz w:val="22"/>
                <w:szCs w:val="22"/>
              </w:rPr>
              <w:t xml:space="preserve"> </w:t>
            </w:r>
          </w:p>
          <w:p w:rsidR="006D0E45" w:rsidRPr="003624E0" w:rsidRDefault="00FC3573" w:rsidP="006D0E45">
            <w:pPr>
              <w:keepNext/>
              <w:widowControl w:val="0"/>
              <w:tabs>
                <w:tab w:val="left" w:pos="3533"/>
                <w:tab w:val="center" w:pos="4308"/>
              </w:tabs>
              <w:suppressAutoHyphens/>
              <w:autoSpaceDE w:val="0"/>
              <w:autoSpaceDN w:val="0"/>
              <w:adjustRightInd w:val="0"/>
              <w:spacing w:before="170" w:after="0"/>
              <w:textAlignment w:val="center"/>
              <w:rPr>
                <w:rFonts w:cs="Arial"/>
                <w:color w:val="000000"/>
                <w:sz w:val="22"/>
                <w:szCs w:val="22"/>
              </w:rPr>
            </w:pPr>
            <w:r w:rsidRPr="003624E0">
              <w:rPr>
                <w:rFonts w:cs="Arial"/>
                <w:color w:val="000000"/>
                <w:sz w:val="22"/>
                <w:szCs w:val="22"/>
              </w:rPr>
              <w:t xml:space="preserve">In considering whether or not the </w:t>
            </w:r>
            <w:r w:rsidR="00CA3513" w:rsidRPr="003624E0">
              <w:rPr>
                <w:rFonts w:cs="Arial"/>
                <w:color w:val="000000"/>
                <w:sz w:val="22"/>
                <w:szCs w:val="22"/>
              </w:rPr>
              <w:t xml:space="preserve">boss’ </w:t>
            </w:r>
            <w:r w:rsidRPr="003624E0">
              <w:rPr>
                <w:rFonts w:cs="Arial"/>
                <w:color w:val="000000"/>
                <w:sz w:val="22"/>
                <w:szCs w:val="22"/>
              </w:rPr>
              <w:t>conduct was unwelcome, Justice Mansfield noted that</w:t>
            </w:r>
          </w:p>
          <w:p w:rsidR="006D0E45" w:rsidRPr="003624E0" w:rsidRDefault="006D0E45">
            <w:pPr>
              <w:keepNext/>
              <w:widowControl w:val="0"/>
              <w:tabs>
                <w:tab w:val="left" w:pos="3533"/>
                <w:tab w:val="center" w:pos="4308"/>
              </w:tabs>
              <w:suppressAutoHyphens/>
              <w:autoSpaceDE w:val="0"/>
              <w:autoSpaceDN w:val="0"/>
              <w:adjustRightInd w:val="0"/>
              <w:spacing w:before="170" w:after="0"/>
              <w:ind w:left="543"/>
              <w:textAlignment w:val="center"/>
              <w:rPr>
                <w:rFonts w:cs="Arial"/>
                <w:color w:val="000000"/>
                <w:sz w:val="22"/>
                <w:szCs w:val="22"/>
              </w:rPr>
            </w:pPr>
            <w:proofErr w:type="gramStart"/>
            <w:r w:rsidRPr="00466B44">
              <w:rPr>
                <w:rFonts w:cs="Arial"/>
                <w:i/>
                <w:color w:val="000000"/>
                <w:sz w:val="22"/>
                <w:szCs w:val="22"/>
              </w:rPr>
              <w:t>it</w:t>
            </w:r>
            <w:proofErr w:type="gramEnd"/>
            <w:r w:rsidRPr="00466B44">
              <w:rPr>
                <w:rFonts w:cs="Arial"/>
                <w:i/>
                <w:color w:val="000000"/>
                <w:sz w:val="22"/>
                <w:szCs w:val="22"/>
              </w:rPr>
              <w:t xml:space="preserve"> is not per se unlawful for two employees to form a personal relationship, or for an employer … to form a relationship with an employee.  Nor is it unlawful per se for an employe</w:t>
            </w:r>
            <w:r w:rsidR="00456D25">
              <w:rPr>
                <w:rFonts w:cs="Arial"/>
                <w:i/>
                <w:color w:val="000000"/>
                <w:sz w:val="22"/>
                <w:szCs w:val="22"/>
              </w:rPr>
              <w:t>r</w:t>
            </w:r>
            <w:r w:rsidRPr="00466B44">
              <w:rPr>
                <w:rFonts w:cs="Arial"/>
                <w:i/>
                <w:color w:val="000000"/>
                <w:sz w:val="22"/>
                <w:szCs w:val="22"/>
              </w:rPr>
              <w:t xml:space="preserve"> in an appropriate manner to invite an employee to a function at a personal level, or to express in an appropriate way an interest in a personal relationship with an employee.  Of course, in such circumstances, the relative position of </w:t>
            </w:r>
            <w:r w:rsidR="00DB41D9">
              <w:rPr>
                <w:rFonts w:cs="Arial"/>
                <w:i/>
                <w:color w:val="000000"/>
                <w:sz w:val="22"/>
                <w:szCs w:val="22"/>
              </w:rPr>
              <w:t>employer</w:t>
            </w:r>
            <w:r w:rsidR="00DB41D9" w:rsidRPr="00466B44">
              <w:rPr>
                <w:rFonts w:cs="Arial"/>
                <w:i/>
                <w:color w:val="000000"/>
                <w:sz w:val="22"/>
                <w:szCs w:val="22"/>
              </w:rPr>
              <w:t xml:space="preserve"> </w:t>
            </w:r>
            <w:r w:rsidRPr="00466B44">
              <w:rPr>
                <w:rFonts w:cs="Arial"/>
                <w:i/>
                <w:color w:val="000000"/>
                <w:sz w:val="22"/>
                <w:szCs w:val="22"/>
              </w:rPr>
              <w:t>and employee require the employer to be careful not to take advantage of that status, and to be mindful of the circumstances of the employee. The conduct is to be assessed in its context.</w:t>
            </w:r>
            <w:r w:rsidR="00FC3573" w:rsidRPr="003624E0">
              <w:rPr>
                <w:rStyle w:val="EndnoteReference"/>
                <w:sz w:val="22"/>
                <w:szCs w:val="22"/>
              </w:rPr>
              <w:endnoteReference w:id="21"/>
            </w:r>
            <w:r w:rsidRPr="003624E0">
              <w:rPr>
                <w:rFonts w:cs="Arial"/>
                <w:color w:val="000000"/>
                <w:sz w:val="22"/>
                <w:szCs w:val="22"/>
              </w:rPr>
              <w:t xml:space="preserve">  </w:t>
            </w:r>
          </w:p>
        </w:tc>
      </w:tr>
    </w:tbl>
    <w:p w:rsidR="00CA3513" w:rsidRPr="003624E0" w:rsidRDefault="00CA3513" w:rsidP="00CA3513">
      <w:pPr>
        <w:pStyle w:val="SubmissionNormal"/>
        <w:numPr>
          <w:ilvl w:val="0"/>
          <w:numId w:val="0"/>
        </w:numPr>
      </w:pPr>
      <w:r w:rsidRPr="003624E0">
        <w:t>Employers need to take care</w:t>
      </w:r>
      <w:r w:rsidR="00BA2DA8">
        <w:t xml:space="preserve"> </w:t>
      </w:r>
      <w:r w:rsidRPr="003624E0">
        <w:t>to ensure that sexual conduct between emplo</w:t>
      </w:r>
      <w:r w:rsidR="00B75EF3">
        <w:t>yees</w:t>
      </w:r>
      <w:r w:rsidRPr="003624E0">
        <w:t xml:space="preserve">, even if reciprocated, does not create an unpleasant and sexualised workplace for other </w:t>
      </w:r>
      <w:r w:rsidR="00B75EF3">
        <w:t>workplace participants</w:t>
      </w:r>
      <w:r w:rsidRPr="003624E0">
        <w:t>.  Employers also need to ensure that they address complaints of sexual harassment following the breakdown of a consensual relationship with care</w:t>
      </w:r>
      <w:r w:rsidR="00C83BC9">
        <w:t>. That is,</w:t>
      </w:r>
      <w:r w:rsidR="00E16B54" w:rsidRPr="003624E0">
        <w:t xml:space="preserve"> just because two individuals used to be in consensual sexual relationship does not preclude the possibility of sexual harassment following the end of the relationship</w:t>
      </w:r>
      <w:r w:rsidRPr="003624E0">
        <w:t xml:space="preserve">.  </w:t>
      </w:r>
    </w:p>
    <w:p w:rsidR="00634386" w:rsidRPr="003624E0" w:rsidRDefault="00634386" w:rsidP="00634386">
      <w:pPr>
        <w:pStyle w:val="Heading2"/>
        <w:numPr>
          <w:ilvl w:val="0"/>
          <w:numId w:val="0"/>
        </w:numPr>
        <w:ind w:left="567" w:hanging="567"/>
      </w:pPr>
      <w:bookmarkStart w:id="16" w:name="_Toc362446675"/>
      <w:bookmarkStart w:id="17" w:name="_Toc388023522"/>
      <w:proofErr w:type="gramStart"/>
      <w:r w:rsidRPr="003624E0">
        <w:t>2.2  Conduct</w:t>
      </w:r>
      <w:proofErr w:type="gramEnd"/>
      <w:r w:rsidRPr="003624E0">
        <w:t xml:space="preserve"> of a sexual nature</w:t>
      </w:r>
      <w:bookmarkEnd w:id="16"/>
      <w:bookmarkEnd w:id="17"/>
    </w:p>
    <w:p w:rsidR="00E248D0" w:rsidRPr="003624E0" w:rsidRDefault="003257DB" w:rsidP="00F90DFA">
      <w:pPr>
        <w:pStyle w:val="SubmissionNormal"/>
        <w:numPr>
          <w:ilvl w:val="0"/>
          <w:numId w:val="0"/>
        </w:numPr>
      </w:pPr>
      <w:r w:rsidRPr="003624E0">
        <w:t xml:space="preserve">Unwelcome conduct may constitute sexual harassment under the </w:t>
      </w:r>
      <w:r w:rsidR="00464984" w:rsidRPr="003624E0">
        <w:t xml:space="preserve">Sex Discrimination Act </w:t>
      </w:r>
      <w:r w:rsidRPr="003624E0">
        <w:t xml:space="preserve">if it </w:t>
      </w:r>
      <w:r w:rsidR="00214D48" w:rsidRPr="003624E0">
        <w:t>is sexual in nature</w:t>
      </w:r>
      <w:r w:rsidR="009A03A4" w:rsidRPr="003624E0">
        <w:t xml:space="preserve">. </w:t>
      </w:r>
      <w:r w:rsidR="00A94560" w:rsidRPr="003624E0">
        <w:t xml:space="preserve"> </w:t>
      </w:r>
      <w:r w:rsidR="000E0E80" w:rsidRPr="003624E0">
        <w:t xml:space="preserve">Whether or not </w:t>
      </w:r>
      <w:r w:rsidR="00093FE7" w:rsidRPr="003624E0">
        <w:t xml:space="preserve">alleged </w:t>
      </w:r>
      <w:r w:rsidR="000E0E80" w:rsidRPr="003624E0">
        <w:t xml:space="preserve">conduct is sexual </w:t>
      </w:r>
      <w:r w:rsidR="00093FE7" w:rsidRPr="003624E0">
        <w:t xml:space="preserve">in </w:t>
      </w:r>
      <w:r w:rsidR="000E0E80" w:rsidRPr="003624E0">
        <w:t xml:space="preserve">nature </w:t>
      </w:r>
      <w:r w:rsidR="005E341D" w:rsidRPr="003624E0">
        <w:t>is a</w:t>
      </w:r>
      <w:r w:rsidR="006C2DCE" w:rsidRPr="003624E0">
        <w:t>n objective</w:t>
      </w:r>
      <w:r w:rsidR="005E341D" w:rsidRPr="003624E0">
        <w:t xml:space="preserve"> question.</w:t>
      </w:r>
      <w:r w:rsidR="00E248D0" w:rsidRPr="003624E0">
        <w:t xml:space="preserve">  In most cases, the sexual nature of the conduct is uncontentious.</w:t>
      </w:r>
    </w:p>
    <w:p w:rsidR="00A61B1A" w:rsidRPr="003624E0" w:rsidRDefault="006C2DCE" w:rsidP="00A61B1A">
      <w:pPr>
        <w:pStyle w:val="SubmissionNormal"/>
        <w:numPr>
          <w:ilvl w:val="0"/>
          <w:numId w:val="0"/>
        </w:numPr>
      </w:pPr>
      <w:r w:rsidRPr="003624E0">
        <w:t xml:space="preserve">The Sex Discrimination Act defines </w:t>
      </w:r>
      <w:r w:rsidR="00441E90" w:rsidRPr="003624E0">
        <w:t xml:space="preserve">conduct of a sexual nature broadly.  </w:t>
      </w:r>
      <w:r w:rsidR="00E51CCB" w:rsidRPr="003624E0">
        <w:rPr>
          <w:szCs w:val="22"/>
        </w:rPr>
        <w:t>It provides that a</w:t>
      </w:r>
      <w:r w:rsidR="00A61B1A" w:rsidRPr="003624E0">
        <w:rPr>
          <w:szCs w:val="22"/>
        </w:rPr>
        <w:t xml:space="preserve"> person sexually harasses another person if he or she:  </w:t>
      </w:r>
    </w:p>
    <w:p w:rsidR="00A61B1A" w:rsidRPr="003624E0" w:rsidRDefault="00A61B1A" w:rsidP="00A0710E">
      <w:pPr>
        <w:pStyle w:val="SubmissionNormal"/>
        <w:numPr>
          <w:ilvl w:val="0"/>
          <w:numId w:val="19"/>
        </w:numPr>
        <w:ind w:left="567" w:hanging="567"/>
        <w:rPr>
          <w:szCs w:val="22"/>
        </w:rPr>
      </w:pPr>
      <w:r w:rsidRPr="003624E0">
        <w:rPr>
          <w:szCs w:val="22"/>
        </w:rPr>
        <w:t xml:space="preserve">makes an unwelcome </w:t>
      </w:r>
      <w:r w:rsidRPr="003624E0">
        <w:rPr>
          <w:i/>
          <w:szCs w:val="22"/>
        </w:rPr>
        <w:t>sexual advance</w:t>
      </w:r>
    </w:p>
    <w:p w:rsidR="00E51CCB" w:rsidRPr="003624E0" w:rsidRDefault="00A61B1A" w:rsidP="00A0710E">
      <w:pPr>
        <w:pStyle w:val="SubmissionNormal"/>
        <w:numPr>
          <w:ilvl w:val="0"/>
          <w:numId w:val="19"/>
        </w:numPr>
        <w:ind w:left="567" w:hanging="567"/>
        <w:rPr>
          <w:szCs w:val="22"/>
        </w:rPr>
      </w:pPr>
      <w:r w:rsidRPr="003624E0">
        <w:rPr>
          <w:szCs w:val="22"/>
        </w:rPr>
        <w:t xml:space="preserve">makes an unwelcome </w:t>
      </w:r>
      <w:r w:rsidRPr="003624E0">
        <w:rPr>
          <w:i/>
          <w:szCs w:val="22"/>
        </w:rPr>
        <w:t>request for sexual favours</w:t>
      </w:r>
      <w:r w:rsidRPr="003624E0">
        <w:rPr>
          <w:szCs w:val="22"/>
        </w:rPr>
        <w:t xml:space="preserve"> </w:t>
      </w:r>
    </w:p>
    <w:p w:rsidR="00A61B1A" w:rsidRPr="003624E0" w:rsidRDefault="00A61B1A" w:rsidP="00A0710E">
      <w:pPr>
        <w:pStyle w:val="SubmissionNormal"/>
        <w:numPr>
          <w:ilvl w:val="0"/>
          <w:numId w:val="19"/>
        </w:numPr>
        <w:ind w:left="567" w:hanging="567"/>
        <w:rPr>
          <w:szCs w:val="22"/>
        </w:rPr>
      </w:pPr>
      <w:proofErr w:type="gramStart"/>
      <w:r w:rsidRPr="003624E0">
        <w:rPr>
          <w:szCs w:val="22"/>
        </w:rPr>
        <w:t>engages</w:t>
      </w:r>
      <w:proofErr w:type="gramEnd"/>
      <w:r w:rsidRPr="003624E0">
        <w:rPr>
          <w:szCs w:val="22"/>
        </w:rPr>
        <w:t xml:space="preserve"> in other unwelcome </w:t>
      </w:r>
      <w:r w:rsidRPr="003624E0">
        <w:rPr>
          <w:i/>
          <w:szCs w:val="22"/>
        </w:rPr>
        <w:t>conduct of a sexual nature</w:t>
      </w:r>
      <w:r w:rsidRPr="003624E0">
        <w:rPr>
          <w:szCs w:val="22"/>
        </w:rPr>
        <w:t>, which includes making a statement of a sexual nature to a person, or in the presence of a person, whether the statement is made orally or in writing.</w:t>
      </w:r>
      <w:r w:rsidRPr="003624E0">
        <w:rPr>
          <w:rStyle w:val="EndnoteReference"/>
          <w:sz w:val="24"/>
          <w:szCs w:val="22"/>
        </w:rPr>
        <w:endnoteReference w:id="22"/>
      </w:r>
    </w:p>
    <w:p w:rsidR="007A1367" w:rsidRPr="003624E0" w:rsidRDefault="00865E81" w:rsidP="007A1367">
      <w:pPr>
        <w:pStyle w:val="SubmissionNormal"/>
        <w:numPr>
          <w:ilvl w:val="0"/>
          <w:numId w:val="0"/>
        </w:numPr>
      </w:pPr>
      <w:r w:rsidRPr="003624E0">
        <w:t>Australian courts have</w:t>
      </w:r>
      <w:r w:rsidR="00DB0645">
        <w:t xml:space="preserve"> also</w:t>
      </w:r>
      <w:r w:rsidRPr="003624E0">
        <w:t xml:space="preserve"> interpreted </w:t>
      </w:r>
      <w:r w:rsidR="000665E3" w:rsidRPr="003624E0">
        <w:t>the phrase ‘</w:t>
      </w:r>
      <w:r w:rsidRPr="003624E0">
        <w:t>conduct of a sexual nature</w:t>
      </w:r>
      <w:r w:rsidR="000665E3" w:rsidRPr="003624E0">
        <w:t>’</w:t>
      </w:r>
      <w:r w:rsidRPr="003624E0">
        <w:t xml:space="preserve"> broadly</w:t>
      </w:r>
      <w:r w:rsidR="00B943C7" w:rsidRPr="003624E0">
        <w:t>.</w:t>
      </w:r>
      <w:r w:rsidR="000665E3" w:rsidRPr="003624E0">
        <w:t xml:space="preserve"> </w:t>
      </w:r>
      <w:r w:rsidR="00B943C7" w:rsidRPr="003624E0">
        <w:t xml:space="preserve"> </w:t>
      </w:r>
      <w:r w:rsidR="007A1367" w:rsidRPr="003624E0">
        <w:t xml:space="preserve">Conduct of a sexual nature can include physical and/or non-physical conduct and conduct </w:t>
      </w:r>
      <w:r w:rsidR="0077217B" w:rsidRPr="003624E0">
        <w:t xml:space="preserve">across </w:t>
      </w:r>
      <w:r w:rsidR="007A1367" w:rsidRPr="003624E0">
        <w:t>a variety of different mediums (</w:t>
      </w:r>
      <w:proofErr w:type="spellStart"/>
      <w:r w:rsidR="007A1367" w:rsidRPr="003624E0">
        <w:t>eg</w:t>
      </w:r>
      <w:proofErr w:type="spellEnd"/>
      <w:r w:rsidR="007A1367" w:rsidRPr="003624E0">
        <w:t xml:space="preserve"> in person</w:t>
      </w:r>
      <w:r w:rsidR="00DB0645">
        <w:t xml:space="preserve"> or</w:t>
      </w:r>
      <w:r w:rsidR="007A1367" w:rsidRPr="003624E0">
        <w:t xml:space="preserve"> through social media).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9A5ABC" w:rsidRPr="003624E0">
        <w:trPr>
          <w:trHeight w:val="1476"/>
        </w:trPr>
        <w:tc>
          <w:tcPr>
            <w:tcW w:w="9071" w:type="dxa"/>
            <w:shd w:val="clear" w:color="0078C1" w:fill="DAEEF3" w:themeFill="accent5" w:themeFillTint="33"/>
            <w:tcMar>
              <w:top w:w="227" w:type="dxa"/>
              <w:left w:w="227" w:type="dxa"/>
              <w:bottom w:w="255" w:type="dxa"/>
              <w:right w:w="227" w:type="dxa"/>
            </w:tcMar>
          </w:tcPr>
          <w:p w:rsidR="009A5ABC" w:rsidRPr="003624E0" w:rsidRDefault="009A5ABC" w:rsidP="009A5ABC">
            <w:pPr>
              <w:keepNext/>
              <w:widowControl w:val="0"/>
              <w:suppressAutoHyphens/>
              <w:autoSpaceDE w:val="0"/>
              <w:autoSpaceDN w:val="0"/>
              <w:adjustRightInd w:val="0"/>
              <w:spacing w:before="120" w:after="120"/>
              <w:ind w:left="567" w:hanging="567"/>
              <w:jc w:val="center"/>
              <w:textAlignment w:val="center"/>
              <w:rPr>
                <w:rFonts w:cs="HelveticaNeue"/>
                <w:b/>
                <w:color w:val="000000"/>
                <w:szCs w:val="22"/>
              </w:rPr>
            </w:pPr>
            <w:r w:rsidRPr="003624E0">
              <w:rPr>
                <w:rFonts w:cs="HelveticaNeue-Bold"/>
                <w:b/>
                <w:bCs/>
                <w:color w:val="000000"/>
                <w:szCs w:val="22"/>
              </w:rPr>
              <w:t>Examples of conduct likely to be considered sexual in nature</w:t>
            </w:r>
          </w:p>
          <w:p w:rsidR="009A5ABC" w:rsidRPr="003624E0" w:rsidRDefault="009A5ABC" w:rsidP="009A5ABC">
            <w:pPr>
              <w:pStyle w:val="SubmissionNormal"/>
              <w:numPr>
                <w:ilvl w:val="0"/>
                <w:numId w:val="0"/>
              </w:numPr>
              <w:rPr>
                <w:sz w:val="22"/>
                <w:szCs w:val="22"/>
              </w:rPr>
            </w:pPr>
            <w:r w:rsidRPr="003624E0">
              <w:rPr>
                <w:sz w:val="22"/>
                <w:szCs w:val="22"/>
              </w:rPr>
              <w:t>Conduct likely to be considered sexual in nature includes:</w:t>
            </w:r>
          </w:p>
          <w:p w:rsidR="009A5ABC" w:rsidRPr="003624E0" w:rsidRDefault="009A5ABC" w:rsidP="009A5ABC">
            <w:pPr>
              <w:pStyle w:val="SubmissionNormal"/>
              <w:numPr>
                <w:ilvl w:val="0"/>
                <w:numId w:val="19"/>
              </w:numPr>
              <w:ind w:left="291" w:hanging="291"/>
              <w:rPr>
                <w:sz w:val="22"/>
                <w:szCs w:val="22"/>
              </w:rPr>
            </w:pPr>
            <w:r w:rsidRPr="003624E0">
              <w:rPr>
                <w:sz w:val="22"/>
                <w:szCs w:val="22"/>
              </w:rPr>
              <w:t>touching, hugging, cornering or kissing</w:t>
            </w:r>
          </w:p>
          <w:p w:rsidR="009A5ABC" w:rsidRPr="003624E0" w:rsidRDefault="009A5ABC" w:rsidP="009A5ABC">
            <w:pPr>
              <w:pStyle w:val="SubmissionNormal"/>
              <w:numPr>
                <w:ilvl w:val="0"/>
                <w:numId w:val="19"/>
              </w:numPr>
              <w:ind w:left="291" w:hanging="291"/>
              <w:rPr>
                <w:sz w:val="22"/>
                <w:szCs w:val="22"/>
              </w:rPr>
            </w:pPr>
            <w:r w:rsidRPr="003624E0">
              <w:rPr>
                <w:sz w:val="22"/>
                <w:szCs w:val="22"/>
              </w:rPr>
              <w:t>inappropriate staring or leering</w:t>
            </w:r>
          </w:p>
          <w:p w:rsidR="009A5ABC" w:rsidRPr="003624E0" w:rsidRDefault="009A5ABC" w:rsidP="009A5ABC">
            <w:pPr>
              <w:pStyle w:val="SubmissionNormal"/>
              <w:numPr>
                <w:ilvl w:val="0"/>
                <w:numId w:val="19"/>
              </w:numPr>
              <w:ind w:left="291" w:hanging="291"/>
              <w:rPr>
                <w:sz w:val="22"/>
                <w:szCs w:val="22"/>
              </w:rPr>
            </w:pPr>
            <w:r w:rsidRPr="003624E0">
              <w:rPr>
                <w:sz w:val="22"/>
                <w:szCs w:val="22"/>
              </w:rPr>
              <w:t>insults or taunts of a sexual nature</w:t>
            </w:r>
          </w:p>
          <w:p w:rsidR="009A5ABC" w:rsidRPr="003624E0" w:rsidRDefault="009A5ABC" w:rsidP="009A5ABC">
            <w:pPr>
              <w:pStyle w:val="SubmissionNormal"/>
              <w:numPr>
                <w:ilvl w:val="0"/>
                <w:numId w:val="19"/>
              </w:numPr>
              <w:ind w:left="291" w:hanging="291"/>
              <w:rPr>
                <w:sz w:val="22"/>
                <w:szCs w:val="22"/>
              </w:rPr>
            </w:pPr>
            <w:r w:rsidRPr="003624E0">
              <w:rPr>
                <w:sz w:val="22"/>
                <w:szCs w:val="22"/>
              </w:rPr>
              <w:t>repeated or inappropriate invitations to go out on dates</w:t>
            </w:r>
          </w:p>
          <w:p w:rsidR="00852FFF" w:rsidRPr="003624E0" w:rsidRDefault="00852FFF" w:rsidP="009A5ABC">
            <w:pPr>
              <w:pStyle w:val="SubmissionNormal"/>
              <w:numPr>
                <w:ilvl w:val="0"/>
                <w:numId w:val="19"/>
              </w:numPr>
              <w:ind w:left="291" w:hanging="291"/>
              <w:rPr>
                <w:sz w:val="22"/>
                <w:szCs w:val="22"/>
              </w:rPr>
            </w:pPr>
            <w:r w:rsidRPr="003624E0">
              <w:rPr>
                <w:sz w:val="22"/>
                <w:szCs w:val="22"/>
              </w:rPr>
              <w:t>requests for sexual favours</w:t>
            </w:r>
          </w:p>
          <w:p w:rsidR="009A5ABC" w:rsidRPr="003624E0" w:rsidRDefault="009A5ABC" w:rsidP="009A5ABC">
            <w:pPr>
              <w:pStyle w:val="SubmissionNormal"/>
              <w:numPr>
                <w:ilvl w:val="0"/>
                <w:numId w:val="19"/>
              </w:numPr>
              <w:ind w:left="291" w:hanging="291"/>
              <w:rPr>
                <w:sz w:val="22"/>
                <w:szCs w:val="22"/>
              </w:rPr>
            </w:pPr>
            <w:r w:rsidRPr="003624E0">
              <w:rPr>
                <w:sz w:val="22"/>
                <w:szCs w:val="22"/>
              </w:rPr>
              <w:t xml:space="preserve">repeated or inappropriate advances on email or social networking websites </w:t>
            </w:r>
          </w:p>
          <w:p w:rsidR="009A5ABC" w:rsidRPr="003624E0" w:rsidRDefault="009A5ABC" w:rsidP="009A5ABC">
            <w:pPr>
              <w:pStyle w:val="SubmissionNormal"/>
              <w:numPr>
                <w:ilvl w:val="0"/>
                <w:numId w:val="19"/>
              </w:numPr>
              <w:ind w:left="291" w:hanging="291"/>
              <w:rPr>
                <w:sz w:val="22"/>
                <w:szCs w:val="22"/>
              </w:rPr>
            </w:pPr>
            <w:r w:rsidRPr="003624E0">
              <w:rPr>
                <w:sz w:val="22"/>
                <w:szCs w:val="22"/>
              </w:rPr>
              <w:t xml:space="preserve">intrusive questions about </w:t>
            </w:r>
            <w:r w:rsidR="002D7400">
              <w:rPr>
                <w:sz w:val="22"/>
                <w:szCs w:val="22"/>
              </w:rPr>
              <w:t>a person’s</w:t>
            </w:r>
            <w:r w:rsidR="002D7400" w:rsidRPr="003624E0">
              <w:rPr>
                <w:sz w:val="22"/>
                <w:szCs w:val="22"/>
              </w:rPr>
              <w:t xml:space="preserve"> </w:t>
            </w:r>
            <w:r w:rsidRPr="003624E0">
              <w:rPr>
                <w:sz w:val="22"/>
                <w:szCs w:val="22"/>
              </w:rPr>
              <w:t>private life or physical appearance</w:t>
            </w:r>
          </w:p>
          <w:p w:rsidR="009A5ABC" w:rsidRPr="003624E0" w:rsidRDefault="009A5ABC" w:rsidP="009A5ABC">
            <w:pPr>
              <w:pStyle w:val="SubmissionNormal"/>
              <w:numPr>
                <w:ilvl w:val="0"/>
                <w:numId w:val="19"/>
              </w:numPr>
              <w:ind w:left="291" w:hanging="291"/>
              <w:rPr>
                <w:sz w:val="22"/>
                <w:szCs w:val="22"/>
              </w:rPr>
            </w:pPr>
            <w:r w:rsidRPr="003624E0">
              <w:rPr>
                <w:sz w:val="22"/>
                <w:szCs w:val="22"/>
              </w:rPr>
              <w:t xml:space="preserve">sexual gestures, indecent exposure or inappropriate display of the body </w:t>
            </w:r>
          </w:p>
          <w:p w:rsidR="009A5ABC" w:rsidRPr="003624E0" w:rsidRDefault="009A5ABC" w:rsidP="009A5ABC">
            <w:pPr>
              <w:pStyle w:val="SubmissionNormal"/>
              <w:numPr>
                <w:ilvl w:val="0"/>
                <w:numId w:val="19"/>
              </w:numPr>
              <w:ind w:left="291" w:hanging="291"/>
              <w:rPr>
                <w:sz w:val="22"/>
                <w:szCs w:val="22"/>
              </w:rPr>
            </w:pPr>
            <w:r w:rsidRPr="003624E0">
              <w:rPr>
                <w:sz w:val="22"/>
                <w:szCs w:val="22"/>
              </w:rPr>
              <w:t xml:space="preserve">sexually suggestive comments or jokes </w:t>
            </w:r>
          </w:p>
          <w:p w:rsidR="009A5ABC" w:rsidRPr="003624E0" w:rsidRDefault="009A5ABC" w:rsidP="009A5ABC">
            <w:pPr>
              <w:pStyle w:val="SubmissionNormal"/>
              <w:numPr>
                <w:ilvl w:val="0"/>
                <w:numId w:val="19"/>
              </w:numPr>
              <w:ind w:left="291" w:hanging="291"/>
              <w:rPr>
                <w:sz w:val="22"/>
                <w:szCs w:val="22"/>
              </w:rPr>
            </w:pPr>
            <w:r w:rsidRPr="003624E0">
              <w:rPr>
                <w:sz w:val="22"/>
                <w:szCs w:val="22"/>
              </w:rPr>
              <w:t xml:space="preserve">sexually explicit pictures, posters, gifts, emails or text messages </w:t>
            </w:r>
          </w:p>
          <w:p w:rsidR="009A5ABC" w:rsidRPr="003624E0" w:rsidRDefault="009A5ABC" w:rsidP="009A5ABC">
            <w:pPr>
              <w:pStyle w:val="SubmissionNormal"/>
              <w:numPr>
                <w:ilvl w:val="0"/>
                <w:numId w:val="19"/>
              </w:numPr>
              <w:ind w:left="291" w:hanging="291"/>
              <w:rPr>
                <w:sz w:val="22"/>
                <w:szCs w:val="22"/>
              </w:rPr>
            </w:pPr>
            <w:r w:rsidRPr="003624E0">
              <w:rPr>
                <w:sz w:val="22"/>
                <w:szCs w:val="22"/>
              </w:rPr>
              <w:t>requests or pressure for sex or other sexual acts</w:t>
            </w:r>
          </w:p>
          <w:p w:rsidR="009A5ABC" w:rsidRPr="003624E0" w:rsidRDefault="009A5ABC" w:rsidP="009A5ABC">
            <w:pPr>
              <w:pStyle w:val="SubmissionNormal"/>
              <w:numPr>
                <w:ilvl w:val="0"/>
                <w:numId w:val="19"/>
              </w:numPr>
              <w:ind w:left="291" w:hanging="291"/>
              <w:rPr>
                <w:sz w:val="22"/>
                <w:szCs w:val="22"/>
              </w:rPr>
            </w:pPr>
            <w:r w:rsidRPr="003624E0">
              <w:rPr>
                <w:sz w:val="22"/>
                <w:szCs w:val="22"/>
              </w:rPr>
              <w:t>inappropriate physical contact</w:t>
            </w:r>
          </w:p>
          <w:p w:rsidR="009A5ABC" w:rsidRPr="003624E0" w:rsidRDefault="009A5ABC" w:rsidP="009A5ABC">
            <w:pPr>
              <w:pStyle w:val="SubmissionNormal"/>
              <w:numPr>
                <w:ilvl w:val="0"/>
                <w:numId w:val="19"/>
              </w:numPr>
              <w:ind w:left="291" w:hanging="291"/>
              <w:rPr>
                <w:sz w:val="22"/>
                <w:szCs w:val="22"/>
              </w:rPr>
            </w:pPr>
            <w:proofErr w:type="gramStart"/>
            <w:r w:rsidRPr="003624E0">
              <w:rPr>
                <w:sz w:val="22"/>
                <w:szCs w:val="22"/>
              </w:rPr>
              <w:t>stalking</w:t>
            </w:r>
            <w:proofErr w:type="gramEnd"/>
            <w:r w:rsidRPr="003624E0">
              <w:rPr>
                <w:sz w:val="22"/>
                <w:szCs w:val="22"/>
              </w:rPr>
              <w:t>, actual or attempted rape or sexual assault.</w:t>
            </w:r>
          </w:p>
        </w:tc>
      </w:tr>
    </w:tbl>
    <w:p w:rsidR="009A5ABC" w:rsidRPr="003624E0" w:rsidRDefault="009A5ABC" w:rsidP="007A1367">
      <w:pPr>
        <w:pStyle w:val="SubmissionNormal"/>
        <w:numPr>
          <w:ilvl w:val="0"/>
          <w:numId w:val="0"/>
        </w:numPr>
      </w:pP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B770BB" w:rsidRPr="003624E0">
        <w:trPr>
          <w:trHeight w:val="503"/>
        </w:trPr>
        <w:tc>
          <w:tcPr>
            <w:tcW w:w="9071" w:type="dxa"/>
            <w:shd w:val="clear" w:color="0078C1" w:fill="C6D9F1" w:themeFill="text2" w:themeFillTint="33"/>
            <w:tcMar>
              <w:top w:w="227" w:type="dxa"/>
              <w:left w:w="227" w:type="dxa"/>
              <w:bottom w:w="255" w:type="dxa"/>
              <w:right w:w="227" w:type="dxa"/>
            </w:tcMar>
          </w:tcPr>
          <w:p w:rsidR="00B770BB" w:rsidRPr="003624E0" w:rsidRDefault="008A2195" w:rsidP="00662E8E">
            <w:pPr>
              <w:keepNext/>
              <w:widowControl w:val="0"/>
              <w:tabs>
                <w:tab w:val="left" w:pos="3533"/>
                <w:tab w:val="center" w:pos="4308"/>
              </w:tabs>
              <w:suppressAutoHyphens/>
              <w:autoSpaceDE w:val="0"/>
              <w:autoSpaceDN w:val="0"/>
              <w:adjustRightInd w:val="0"/>
              <w:spacing w:before="170" w:after="0"/>
              <w:jc w:val="center"/>
              <w:textAlignment w:val="center"/>
              <w:rPr>
                <w:rFonts w:cs="Arial"/>
                <w:b/>
                <w:bCs/>
                <w:color w:val="000000"/>
                <w:sz w:val="22"/>
                <w:szCs w:val="22"/>
              </w:rPr>
            </w:pPr>
            <w:bookmarkStart w:id="18" w:name="_GoBack"/>
            <w:r>
              <w:rPr>
                <w:rFonts w:cs="Arial"/>
                <w:b/>
                <w:bCs/>
                <w:color w:val="000000"/>
                <w:szCs w:val="22"/>
              </w:rPr>
              <w:t xml:space="preserve">Case study: </w:t>
            </w:r>
            <w:r w:rsidR="003E7B67" w:rsidRPr="003624E0">
              <w:rPr>
                <w:rFonts w:cs="Arial"/>
                <w:b/>
                <w:bCs/>
                <w:color w:val="000000"/>
                <w:szCs w:val="22"/>
              </w:rPr>
              <w:t>sexually explicit email</w:t>
            </w:r>
            <w:r w:rsidR="00B770BB" w:rsidRPr="003624E0">
              <w:rPr>
                <w:rStyle w:val="EndnoteReference"/>
                <w:sz w:val="22"/>
                <w:szCs w:val="22"/>
              </w:rPr>
              <w:endnoteReference w:id="23"/>
            </w:r>
          </w:p>
          <w:bookmarkEnd w:id="18"/>
          <w:p w:rsidR="00B770BB" w:rsidRPr="003624E0" w:rsidRDefault="00B770BB" w:rsidP="00B770BB">
            <w:pPr>
              <w:keepNext/>
              <w:widowControl w:val="0"/>
              <w:tabs>
                <w:tab w:val="left" w:pos="3533"/>
                <w:tab w:val="center" w:pos="4308"/>
              </w:tabs>
              <w:suppressAutoHyphens/>
              <w:autoSpaceDE w:val="0"/>
              <w:autoSpaceDN w:val="0"/>
              <w:adjustRightInd w:val="0"/>
              <w:spacing w:before="170" w:after="0"/>
              <w:textAlignment w:val="center"/>
              <w:rPr>
                <w:rFonts w:cs="Arial"/>
                <w:color w:val="000000"/>
                <w:sz w:val="22"/>
                <w:szCs w:val="22"/>
              </w:rPr>
            </w:pPr>
            <w:r w:rsidRPr="003624E0">
              <w:rPr>
                <w:rFonts w:cs="Arial"/>
                <w:color w:val="000000"/>
                <w:sz w:val="22"/>
                <w:szCs w:val="22"/>
              </w:rPr>
              <w:t xml:space="preserve">The complainant was employed with the respondent law enforcement </w:t>
            </w:r>
            <w:r w:rsidR="002D7400">
              <w:rPr>
                <w:rFonts w:cs="Arial"/>
                <w:color w:val="000000"/>
                <w:sz w:val="22"/>
                <w:szCs w:val="22"/>
              </w:rPr>
              <w:t>organisation</w:t>
            </w:r>
            <w:r w:rsidRPr="003624E0">
              <w:rPr>
                <w:rFonts w:cs="Arial"/>
                <w:color w:val="000000"/>
                <w:sz w:val="22"/>
                <w:szCs w:val="22"/>
              </w:rPr>
              <w:t xml:space="preserve">.  He claimed that a co-worker sent him a sexually explicit email in the workplace, which he found offensive.  The complainant claimed the respondent failed to properly investigate his complaint about the incident. </w:t>
            </w:r>
          </w:p>
          <w:p w:rsidR="00B770BB" w:rsidRPr="003624E0" w:rsidRDefault="00B770BB" w:rsidP="00B770BB">
            <w:pPr>
              <w:keepNext/>
              <w:widowControl w:val="0"/>
              <w:tabs>
                <w:tab w:val="left" w:pos="3533"/>
                <w:tab w:val="center" w:pos="4308"/>
              </w:tabs>
              <w:suppressAutoHyphens/>
              <w:autoSpaceDE w:val="0"/>
              <w:autoSpaceDN w:val="0"/>
              <w:adjustRightInd w:val="0"/>
              <w:spacing w:before="170" w:after="0"/>
              <w:textAlignment w:val="center"/>
              <w:rPr>
                <w:rFonts w:cs="Arial"/>
                <w:color w:val="000000"/>
                <w:sz w:val="22"/>
                <w:szCs w:val="22"/>
              </w:rPr>
            </w:pPr>
            <w:r w:rsidRPr="003624E0">
              <w:rPr>
                <w:rFonts w:cs="Arial"/>
                <w:color w:val="000000"/>
                <w:sz w:val="22"/>
                <w:szCs w:val="22"/>
              </w:rPr>
              <w:t xml:space="preserve">On being advised of the complaint, the respondent indicated a willingness to try to resolve the matter through conciliation.  The complaint was resolved with an agreement that the respondent pay the complainant $14,000 in compensation for hurt, humiliation and legal costs.     </w:t>
            </w:r>
          </w:p>
        </w:tc>
      </w:tr>
    </w:tbl>
    <w:p w:rsidR="00B770BB" w:rsidRPr="003624E0" w:rsidRDefault="00B770BB" w:rsidP="007A1367">
      <w:pPr>
        <w:pStyle w:val="SubmissionNormal"/>
        <w:numPr>
          <w:ilvl w:val="0"/>
          <w:numId w:val="0"/>
        </w:numPr>
      </w:pPr>
    </w:p>
    <w:p w:rsidR="009A5ABC" w:rsidRPr="003624E0" w:rsidRDefault="009A5ABC" w:rsidP="007A1367">
      <w:pPr>
        <w:pStyle w:val="SubmissionNormal"/>
        <w:numPr>
          <w:ilvl w:val="0"/>
          <w:numId w:val="0"/>
        </w:numPr>
      </w:pPr>
    </w:p>
    <w:p w:rsidR="003257DB" w:rsidRPr="003624E0" w:rsidRDefault="007A1367" w:rsidP="003257DB">
      <w:pPr>
        <w:pStyle w:val="SubmissionNormal"/>
        <w:numPr>
          <w:ilvl w:val="0"/>
          <w:numId w:val="0"/>
        </w:numPr>
      </w:pPr>
      <w:r w:rsidRPr="003624E0">
        <w:t>C</w:t>
      </w:r>
      <w:r w:rsidR="003257DB" w:rsidRPr="003624E0">
        <w:t xml:space="preserve">onduct that may not amount to conduct of a sexual nature </w:t>
      </w:r>
      <w:r w:rsidR="00561811" w:rsidRPr="003624E0">
        <w:t xml:space="preserve">on its own </w:t>
      </w:r>
      <w:r w:rsidR="003257DB" w:rsidRPr="003624E0">
        <w:t>(</w:t>
      </w:r>
      <w:proofErr w:type="spellStart"/>
      <w:r w:rsidR="003257DB" w:rsidRPr="003624E0">
        <w:t>eg</w:t>
      </w:r>
      <w:proofErr w:type="spellEnd"/>
      <w:r w:rsidR="003257DB" w:rsidRPr="003624E0">
        <w:t xml:space="preserve"> flicking rubber bands at a </w:t>
      </w:r>
      <w:r w:rsidR="00722891" w:rsidRPr="003624E0">
        <w:t>colleague</w:t>
      </w:r>
      <w:r w:rsidR="003257DB" w:rsidRPr="003624E0">
        <w:t>’s legs</w:t>
      </w:r>
      <w:r w:rsidR="003257DB" w:rsidRPr="003624E0">
        <w:rPr>
          <w:rStyle w:val="EndnoteReference"/>
        </w:rPr>
        <w:endnoteReference w:id="24"/>
      </w:r>
      <w:r w:rsidR="003257DB" w:rsidRPr="003624E0">
        <w:t xml:space="preserve">) may be deemed sexual in nature if it forms part of a broader pattern of sexual conduct.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8A69EC" w:rsidRPr="003624E0">
        <w:trPr>
          <w:trHeight w:val="503"/>
        </w:trPr>
        <w:tc>
          <w:tcPr>
            <w:tcW w:w="9071" w:type="dxa"/>
            <w:shd w:val="clear" w:color="0078C1" w:fill="C6D9F1" w:themeFill="text2" w:themeFillTint="33"/>
            <w:tcMar>
              <w:top w:w="227" w:type="dxa"/>
              <w:left w:w="227" w:type="dxa"/>
              <w:bottom w:w="255" w:type="dxa"/>
              <w:right w:w="227" w:type="dxa"/>
            </w:tcMar>
          </w:tcPr>
          <w:p w:rsidR="008A69EC" w:rsidRPr="003624E0" w:rsidRDefault="008A2195" w:rsidP="00FA6378">
            <w:pPr>
              <w:keepNext/>
              <w:widowControl w:val="0"/>
              <w:tabs>
                <w:tab w:val="left" w:pos="3533"/>
                <w:tab w:val="center" w:pos="4308"/>
              </w:tabs>
              <w:suppressAutoHyphens/>
              <w:autoSpaceDE w:val="0"/>
              <w:autoSpaceDN w:val="0"/>
              <w:adjustRightInd w:val="0"/>
              <w:spacing w:before="170" w:after="0"/>
              <w:jc w:val="center"/>
              <w:textAlignment w:val="center"/>
              <w:rPr>
                <w:rFonts w:cs="Arial"/>
                <w:b/>
                <w:bCs/>
                <w:color w:val="000000"/>
                <w:sz w:val="22"/>
                <w:szCs w:val="22"/>
              </w:rPr>
            </w:pPr>
            <w:r>
              <w:rPr>
                <w:rFonts w:cs="Arial"/>
                <w:b/>
                <w:bCs/>
                <w:color w:val="000000"/>
                <w:szCs w:val="22"/>
              </w:rPr>
              <w:t xml:space="preserve">Case study: </w:t>
            </w:r>
            <w:r w:rsidR="006F166A" w:rsidRPr="003624E0">
              <w:rPr>
                <w:rFonts w:cs="Arial"/>
                <w:b/>
                <w:bCs/>
                <w:color w:val="000000"/>
                <w:szCs w:val="22"/>
              </w:rPr>
              <w:t>C</w:t>
            </w:r>
            <w:r w:rsidR="008A69EC" w:rsidRPr="003624E0">
              <w:rPr>
                <w:rFonts w:cs="Arial"/>
                <w:b/>
                <w:bCs/>
                <w:color w:val="000000"/>
                <w:szCs w:val="22"/>
              </w:rPr>
              <w:t>onduct of a sexual nature</w:t>
            </w:r>
            <w:r w:rsidR="008A69EC" w:rsidRPr="003624E0">
              <w:rPr>
                <w:rStyle w:val="EndnoteReference"/>
                <w:rFonts w:cs="Arial"/>
                <w:bCs/>
                <w:color w:val="000000"/>
                <w:sz w:val="22"/>
                <w:szCs w:val="22"/>
              </w:rPr>
              <w:endnoteReference w:id="25"/>
            </w:r>
          </w:p>
          <w:p w:rsidR="00AF16DB" w:rsidRPr="003624E0" w:rsidRDefault="00116A83" w:rsidP="00116A83">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sidRPr="003624E0">
              <w:rPr>
                <w:rFonts w:cs="Arial"/>
                <w:bCs/>
                <w:color w:val="000000"/>
                <w:sz w:val="22"/>
                <w:szCs w:val="22"/>
              </w:rPr>
              <w:t xml:space="preserve">A woman learned that a </w:t>
            </w:r>
            <w:r w:rsidR="00C950B8" w:rsidRPr="003624E0">
              <w:rPr>
                <w:rFonts w:cs="Arial"/>
                <w:bCs/>
                <w:color w:val="000000"/>
                <w:sz w:val="22"/>
                <w:szCs w:val="22"/>
              </w:rPr>
              <w:t>colleague had informed other</w:t>
            </w:r>
            <w:r w:rsidR="00AF16DB" w:rsidRPr="003624E0">
              <w:rPr>
                <w:rFonts w:cs="Arial"/>
                <w:bCs/>
                <w:color w:val="000000"/>
                <w:sz w:val="22"/>
                <w:szCs w:val="22"/>
              </w:rPr>
              <w:t>s in their workplace</w:t>
            </w:r>
            <w:r w:rsidR="00C950B8" w:rsidRPr="003624E0">
              <w:rPr>
                <w:rFonts w:cs="Arial"/>
                <w:bCs/>
                <w:color w:val="000000"/>
                <w:sz w:val="22"/>
                <w:szCs w:val="22"/>
              </w:rPr>
              <w:t xml:space="preserve"> </w:t>
            </w:r>
            <w:r w:rsidRPr="003624E0">
              <w:rPr>
                <w:rFonts w:cs="Arial"/>
                <w:bCs/>
                <w:color w:val="000000"/>
                <w:sz w:val="22"/>
                <w:szCs w:val="22"/>
              </w:rPr>
              <w:t>that he was in love with her</w:t>
            </w:r>
            <w:r w:rsidR="00C950B8" w:rsidRPr="003624E0">
              <w:rPr>
                <w:rFonts w:cs="Arial"/>
                <w:bCs/>
                <w:color w:val="000000"/>
                <w:sz w:val="22"/>
                <w:szCs w:val="22"/>
              </w:rPr>
              <w:t>.  The colleague</w:t>
            </w:r>
            <w:r w:rsidRPr="003624E0">
              <w:rPr>
                <w:rFonts w:cs="Arial"/>
                <w:bCs/>
                <w:color w:val="000000"/>
                <w:sz w:val="22"/>
                <w:szCs w:val="22"/>
              </w:rPr>
              <w:t xml:space="preserve"> later </w:t>
            </w:r>
            <w:r w:rsidR="00C950B8" w:rsidRPr="003624E0">
              <w:rPr>
                <w:rFonts w:cs="Arial"/>
                <w:bCs/>
                <w:color w:val="000000"/>
                <w:sz w:val="22"/>
                <w:szCs w:val="22"/>
              </w:rPr>
              <w:t xml:space="preserve">invited the woman </w:t>
            </w:r>
            <w:r w:rsidRPr="003624E0">
              <w:rPr>
                <w:rFonts w:cs="Arial"/>
                <w:bCs/>
                <w:color w:val="000000"/>
                <w:sz w:val="22"/>
                <w:szCs w:val="22"/>
              </w:rPr>
              <w:t xml:space="preserve">to speak to </w:t>
            </w:r>
            <w:r w:rsidR="00C950B8" w:rsidRPr="003624E0">
              <w:rPr>
                <w:rFonts w:cs="Arial"/>
                <w:bCs/>
                <w:color w:val="000000"/>
                <w:sz w:val="22"/>
                <w:szCs w:val="22"/>
              </w:rPr>
              <w:t xml:space="preserve">him </w:t>
            </w:r>
            <w:r w:rsidRPr="003624E0">
              <w:rPr>
                <w:rFonts w:cs="Arial"/>
                <w:bCs/>
                <w:color w:val="000000"/>
                <w:sz w:val="22"/>
                <w:szCs w:val="22"/>
              </w:rPr>
              <w:t>alone at his house</w:t>
            </w:r>
            <w:r w:rsidR="00AF16DB" w:rsidRPr="003624E0">
              <w:rPr>
                <w:rFonts w:cs="Arial"/>
                <w:bCs/>
                <w:color w:val="000000"/>
                <w:sz w:val="22"/>
                <w:szCs w:val="22"/>
              </w:rPr>
              <w:t>,</w:t>
            </w:r>
            <w:r w:rsidR="00C950B8" w:rsidRPr="003624E0">
              <w:rPr>
                <w:rFonts w:cs="Arial"/>
                <w:bCs/>
                <w:color w:val="000000"/>
                <w:sz w:val="22"/>
                <w:szCs w:val="22"/>
              </w:rPr>
              <w:t xml:space="preserve"> but she refused</w:t>
            </w:r>
            <w:r w:rsidRPr="003624E0">
              <w:rPr>
                <w:rFonts w:cs="Arial"/>
                <w:bCs/>
                <w:color w:val="000000"/>
                <w:sz w:val="22"/>
                <w:szCs w:val="22"/>
              </w:rPr>
              <w:t xml:space="preserve">.  </w:t>
            </w:r>
            <w:r w:rsidR="00C950B8" w:rsidRPr="003624E0">
              <w:rPr>
                <w:rFonts w:cs="Arial"/>
                <w:bCs/>
                <w:color w:val="000000"/>
                <w:sz w:val="22"/>
                <w:szCs w:val="22"/>
              </w:rPr>
              <w:t xml:space="preserve">Following the refusal, the colleague </w:t>
            </w:r>
            <w:r w:rsidRPr="003624E0">
              <w:rPr>
                <w:rFonts w:cs="Arial"/>
                <w:bCs/>
                <w:color w:val="000000"/>
                <w:sz w:val="22"/>
                <w:szCs w:val="22"/>
              </w:rPr>
              <w:t xml:space="preserve">attacked </w:t>
            </w:r>
            <w:r w:rsidR="00C950B8" w:rsidRPr="003624E0">
              <w:rPr>
                <w:rFonts w:cs="Arial"/>
                <w:bCs/>
                <w:color w:val="000000"/>
                <w:sz w:val="22"/>
                <w:szCs w:val="22"/>
              </w:rPr>
              <w:t xml:space="preserve">the woman </w:t>
            </w:r>
            <w:r w:rsidRPr="003624E0">
              <w:rPr>
                <w:rFonts w:cs="Arial"/>
                <w:bCs/>
                <w:color w:val="000000"/>
                <w:sz w:val="22"/>
                <w:szCs w:val="22"/>
              </w:rPr>
              <w:t>verbally</w:t>
            </w:r>
            <w:r w:rsidR="00AF16DB" w:rsidRPr="003624E0">
              <w:rPr>
                <w:rFonts w:cs="Arial"/>
                <w:bCs/>
                <w:color w:val="000000"/>
                <w:sz w:val="22"/>
                <w:szCs w:val="22"/>
              </w:rPr>
              <w:t>.  He blamed</w:t>
            </w:r>
            <w:r w:rsidRPr="003624E0">
              <w:rPr>
                <w:rFonts w:cs="Arial"/>
                <w:bCs/>
                <w:color w:val="000000"/>
                <w:sz w:val="22"/>
                <w:szCs w:val="22"/>
              </w:rPr>
              <w:t xml:space="preserve"> her for his feelings and </w:t>
            </w:r>
            <w:r w:rsidR="00AF16DB" w:rsidRPr="003624E0">
              <w:rPr>
                <w:rFonts w:cs="Arial"/>
                <w:bCs/>
                <w:color w:val="000000"/>
                <w:sz w:val="22"/>
                <w:szCs w:val="22"/>
              </w:rPr>
              <w:t>criticised</w:t>
            </w:r>
            <w:r w:rsidRPr="003624E0">
              <w:rPr>
                <w:rFonts w:cs="Arial"/>
                <w:bCs/>
                <w:color w:val="000000"/>
                <w:sz w:val="22"/>
                <w:szCs w:val="22"/>
              </w:rPr>
              <w:t xml:space="preserve"> her </w:t>
            </w:r>
            <w:r w:rsidR="00C950B8" w:rsidRPr="003624E0">
              <w:rPr>
                <w:rFonts w:cs="Arial"/>
                <w:bCs/>
                <w:color w:val="000000"/>
                <w:sz w:val="22"/>
                <w:szCs w:val="22"/>
              </w:rPr>
              <w:t xml:space="preserve">(romantic) </w:t>
            </w:r>
            <w:r w:rsidRPr="003624E0">
              <w:rPr>
                <w:rFonts w:cs="Arial"/>
                <w:bCs/>
                <w:color w:val="000000"/>
                <w:sz w:val="22"/>
                <w:szCs w:val="22"/>
              </w:rPr>
              <w:t>partner</w:t>
            </w:r>
            <w:r w:rsidR="00AF16DB" w:rsidRPr="003624E0">
              <w:rPr>
                <w:rFonts w:cs="Arial"/>
                <w:bCs/>
                <w:color w:val="000000"/>
                <w:sz w:val="22"/>
                <w:szCs w:val="22"/>
              </w:rPr>
              <w:t>,</w:t>
            </w:r>
            <w:r w:rsidRPr="003624E0">
              <w:rPr>
                <w:rFonts w:cs="Arial"/>
                <w:bCs/>
                <w:color w:val="000000"/>
                <w:sz w:val="22"/>
                <w:szCs w:val="22"/>
              </w:rPr>
              <w:t xml:space="preserve"> who</w:t>
            </w:r>
            <w:r w:rsidR="00C950B8" w:rsidRPr="003624E0">
              <w:rPr>
                <w:rFonts w:cs="Arial"/>
                <w:bCs/>
                <w:color w:val="000000"/>
                <w:sz w:val="22"/>
                <w:szCs w:val="22"/>
              </w:rPr>
              <w:t xml:space="preserve"> also</w:t>
            </w:r>
            <w:r w:rsidRPr="003624E0">
              <w:rPr>
                <w:rFonts w:cs="Arial"/>
                <w:bCs/>
                <w:color w:val="000000"/>
                <w:sz w:val="22"/>
                <w:szCs w:val="22"/>
              </w:rPr>
              <w:t xml:space="preserve"> worked </w:t>
            </w:r>
            <w:r w:rsidR="00C950B8" w:rsidRPr="003624E0">
              <w:rPr>
                <w:rFonts w:cs="Arial"/>
                <w:bCs/>
                <w:color w:val="000000"/>
                <w:sz w:val="22"/>
                <w:szCs w:val="22"/>
              </w:rPr>
              <w:t xml:space="preserve">for </w:t>
            </w:r>
            <w:r w:rsidRPr="003624E0">
              <w:rPr>
                <w:rFonts w:cs="Arial"/>
                <w:bCs/>
                <w:color w:val="000000"/>
                <w:sz w:val="22"/>
                <w:szCs w:val="22"/>
              </w:rPr>
              <w:t xml:space="preserve">the company.  The woman became upset and </w:t>
            </w:r>
            <w:r w:rsidR="00A46E5A" w:rsidRPr="003624E0">
              <w:rPr>
                <w:rFonts w:cs="Arial"/>
                <w:bCs/>
                <w:color w:val="000000"/>
                <w:sz w:val="22"/>
                <w:szCs w:val="22"/>
              </w:rPr>
              <w:t xml:space="preserve">her supervisor sent her </w:t>
            </w:r>
            <w:r w:rsidRPr="003624E0">
              <w:rPr>
                <w:rFonts w:cs="Arial"/>
                <w:bCs/>
                <w:color w:val="000000"/>
                <w:sz w:val="22"/>
                <w:szCs w:val="22"/>
              </w:rPr>
              <w:t xml:space="preserve">home.  </w:t>
            </w:r>
          </w:p>
          <w:p w:rsidR="00116A83" w:rsidRPr="003624E0" w:rsidRDefault="00AF16DB" w:rsidP="00116A83">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sidRPr="003624E0">
              <w:rPr>
                <w:rFonts w:cs="Arial"/>
                <w:bCs/>
                <w:color w:val="000000"/>
                <w:sz w:val="22"/>
                <w:szCs w:val="22"/>
              </w:rPr>
              <w:t xml:space="preserve">The woman </w:t>
            </w:r>
            <w:r w:rsidR="00A46E5A" w:rsidRPr="003624E0">
              <w:rPr>
                <w:rFonts w:cs="Arial"/>
                <w:bCs/>
                <w:color w:val="000000"/>
                <w:sz w:val="22"/>
                <w:szCs w:val="22"/>
              </w:rPr>
              <w:t xml:space="preserve">later </w:t>
            </w:r>
            <w:r w:rsidR="00116A83" w:rsidRPr="003624E0">
              <w:rPr>
                <w:rFonts w:cs="Arial"/>
                <w:bCs/>
                <w:color w:val="000000"/>
                <w:sz w:val="22"/>
                <w:szCs w:val="22"/>
              </w:rPr>
              <w:t>made a complaint of sexual harassment</w:t>
            </w:r>
            <w:r w:rsidR="00A46E5A" w:rsidRPr="003624E0">
              <w:rPr>
                <w:rFonts w:cs="Arial"/>
                <w:bCs/>
                <w:color w:val="000000"/>
                <w:sz w:val="22"/>
                <w:szCs w:val="22"/>
              </w:rPr>
              <w:t>.</w:t>
            </w:r>
            <w:r w:rsidRPr="003624E0">
              <w:rPr>
                <w:rFonts w:cs="Arial"/>
                <w:bCs/>
                <w:color w:val="000000"/>
                <w:sz w:val="22"/>
                <w:szCs w:val="22"/>
              </w:rPr>
              <w:t xml:space="preserve">  </w:t>
            </w:r>
            <w:r w:rsidR="00A46E5A" w:rsidRPr="003624E0">
              <w:rPr>
                <w:rFonts w:cs="Arial"/>
                <w:bCs/>
                <w:color w:val="000000"/>
                <w:sz w:val="22"/>
                <w:szCs w:val="22"/>
              </w:rPr>
              <w:t xml:space="preserve">After making the complaint, her employer </w:t>
            </w:r>
            <w:r w:rsidR="00116A83" w:rsidRPr="003624E0">
              <w:rPr>
                <w:rFonts w:cs="Arial"/>
                <w:bCs/>
                <w:color w:val="000000"/>
                <w:sz w:val="22"/>
                <w:szCs w:val="22"/>
              </w:rPr>
              <w:t xml:space="preserve">told </w:t>
            </w:r>
            <w:r w:rsidR="00A46E5A" w:rsidRPr="003624E0">
              <w:rPr>
                <w:rFonts w:cs="Arial"/>
                <w:bCs/>
                <w:color w:val="000000"/>
                <w:sz w:val="22"/>
                <w:szCs w:val="22"/>
              </w:rPr>
              <w:t xml:space="preserve">her </w:t>
            </w:r>
            <w:r w:rsidR="00116A83" w:rsidRPr="003624E0">
              <w:rPr>
                <w:rFonts w:cs="Arial"/>
                <w:bCs/>
                <w:color w:val="000000"/>
                <w:sz w:val="22"/>
                <w:szCs w:val="22"/>
              </w:rPr>
              <w:t xml:space="preserve">not to return to work until after the conciliation meeting dealing with the harassment was held.  </w:t>
            </w:r>
            <w:r w:rsidR="00A46E5A" w:rsidRPr="003624E0">
              <w:rPr>
                <w:rFonts w:cs="Arial"/>
                <w:bCs/>
                <w:color w:val="000000"/>
                <w:sz w:val="22"/>
                <w:szCs w:val="22"/>
              </w:rPr>
              <w:t>The woman was made redundant after the</w:t>
            </w:r>
            <w:r w:rsidR="00116A83" w:rsidRPr="003624E0">
              <w:rPr>
                <w:rFonts w:cs="Arial"/>
                <w:bCs/>
                <w:color w:val="000000"/>
                <w:sz w:val="22"/>
                <w:szCs w:val="22"/>
              </w:rPr>
              <w:t xml:space="preserve"> meeting</w:t>
            </w:r>
            <w:r w:rsidR="00575F94" w:rsidRPr="003624E0">
              <w:rPr>
                <w:rFonts w:cs="Arial"/>
                <w:bCs/>
                <w:color w:val="000000"/>
                <w:sz w:val="22"/>
                <w:szCs w:val="22"/>
              </w:rPr>
              <w:t>.</w:t>
            </w:r>
            <w:r w:rsidR="002D458A" w:rsidRPr="003624E0">
              <w:rPr>
                <w:rFonts w:cs="Arial"/>
                <w:bCs/>
                <w:color w:val="000000"/>
                <w:sz w:val="22"/>
                <w:szCs w:val="22"/>
              </w:rPr>
              <w:t xml:space="preserve">  </w:t>
            </w:r>
          </w:p>
          <w:p w:rsidR="008A69EC" w:rsidRPr="003624E0" w:rsidRDefault="00297E5E" w:rsidP="00FA6378">
            <w:pPr>
              <w:widowControl w:val="0"/>
              <w:tabs>
                <w:tab w:val="left" w:pos="3533"/>
                <w:tab w:val="center" w:pos="4308"/>
              </w:tabs>
              <w:suppressAutoHyphens/>
              <w:autoSpaceDE w:val="0"/>
              <w:autoSpaceDN w:val="0"/>
              <w:adjustRightInd w:val="0"/>
              <w:spacing w:before="170" w:after="0"/>
              <w:textAlignment w:val="center"/>
              <w:rPr>
                <w:rFonts w:cs="Arial"/>
                <w:color w:val="000000"/>
                <w:sz w:val="22"/>
                <w:szCs w:val="22"/>
              </w:rPr>
            </w:pPr>
            <w:r w:rsidRPr="003624E0">
              <w:rPr>
                <w:rFonts w:cs="Arial"/>
                <w:bCs/>
                <w:color w:val="000000"/>
                <w:sz w:val="22"/>
                <w:szCs w:val="22"/>
              </w:rPr>
              <w:t>T</w:t>
            </w:r>
            <w:r w:rsidR="00575F94" w:rsidRPr="003624E0">
              <w:rPr>
                <w:rFonts w:cs="Arial"/>
                <w:bCs/>
                <w:color w:val="000000"/>
                <w:sz w:val="22"/>
                <w:szCs w:val="22"/>
              </w:rPr>
              <w:t xml:space="preserve">he woman’s </w:t>
            </w:r>
            <w:r w:rsidR="002D458A" w:rsidRPr="003624E0">
              <w:rPr>
                <w:rFonts w:cs="Arial"/>
                <w:bCs/>
                <w:color w:val="000000"/>
                <w:sz w:val="22"/>
                <w:szCs w:val="22"/>
              </w:rPr>
              <w:t xml:space="preserve">colleague </w:t>
            </w:r>
            <w:r w:rsidR="00575F94" w:rsidRPr="003624E0">
              <w:rPr>
                <w:rFonts w:cs="Arial"/>
                <w:bCs/>
                <w:color w:val="000000"/>
                <w:sz w:val="22"/>
                <w:szCs w:val="22"/>
              </w:rPr>
              <w:t xml:space="preserve">argued that his behaviour may have been unwanted but was not </w:t>
            </w:r>
            <w:r w:rsidR="002D458A" w:rsidRPr="003624E0">
              <w:rPr>
                <w:rFonts w:cs="Arial"/>
                <w:bCs/>
                <w:color w:val="000000"/>
                <w:sz w:val="22"/>
                <w:szCs w:val="22"/>
              </w:rPr>
              <w:t>‘</w:t>
            </w:r>
            <w:r w:rsidR="00575F94" w:rsidRPr="003624E0">
              <w:rPr>
                <w:rFonts w:cs="Arial"/>
                <w:bCs/>
                <w:color w:val="000000"/>
                <w:sz w:val="22"/>
                <w:szCs w:val="22"/>
              </w:rPr>
              <w:t>conduct of a sexual nature</w:t>
            </w:r>
            <w:r w:rsidR="002D458A" w:rsidRPr="003624E0">
              <w:rPr>
                <w:rFonts w:cs="Arial"/>
                <w:bCs/>
                <w:color w:val="000000"/>
                <w:sz w:val="22"/>
                <w:szCs w:val="22"/>
              </w:rPr>
              <w:t>’</w:t>
            </w:r>
            <w:r w:rsidR="00575F94" w:rsidRPr="003624E0">
              <w:rPr>
                <w:rFonts w:cs="Arial"/>
                <w:bCs/>
                <w:color w:val="000000"/>
                <w:sz w:val="22"/>
                <w:szCs w:val="22"/>
              </w:rPr>
              <w:t>.</w:t>
            </w:r>
            <w:r w:rsidR="002D458A" w:rsidRPr="003624E0">
              <w:rPr>
                <w:rFonts w:cs="Arial"/>
                <w:bCs/>
                <w:color w:val="000000"/>
                <w:sz w:val="22"/>
                <w:szCs w:val="22"/>
              </w:rPr>
              <w:t xml:space="preserve">  However, the </w:t>
            </w:r>
            <w:r w:rsidR="00575F94" w:rsidRPr="003624E0">
              <w:rPr>
                <w:rFonts w:cs="Arial"/>
                <w:bCs/>
                <w:color w:val="000000"/>
                <w:sz w:val="22"/>
                <w:szCs w:val="22"/>
              </w:rPr>
              <w:t xml:space="preserve">Court found that declarations of love, suggesting a colleague spend time </w:t>
            </w:r>
            <w:r w:rsidR="002D458A" w:rsidRPr="003624E0">
              <w:rPr>
                <w:rFonts w:cs="Arial"/>
                <w:bCs/>
                <w:color w:val="000000"/>
                <w:sz w:val="22"/>
                <w:szCs w:val="22"/>
              </w:rPr>
              <w:t xml:space="preserve">alone </w:t>
            </w:r>
            <w:r w:rsidR="00575F94" w:rsidRPr="003624E0">
              <w:rPr>
                <w:rFonts w:cs="Arial"/>
                <w:bCs/>
                <w:color w:val="000000"/>
                <w:sz w:val="22"/>
                <w:szCs w:val="22"/>
              </w:rPr>
              <w:t xml:space="preserve">at one’s home and commenting on a colleague’s </w:t>
            </w:r>
            <w:r w:rsidR="00E248D0" w:rsidRPr="003624E0">
              <w:rPr>
                <w:rFonts w:cs="Arial"/>
                <w:bCs/>
                <w:color w:val="000000"/>
                <w:sz w:val="22"/>
                <w:szCs w:val="22"/>
              </w:rPr>
              <w:t xml:space="preserve">personal </w:t>
            </w:r>
            <w:r w:rsidR="00575F94" w:rsidRPr="003624E0">
              <w:rPr>
                <w:rFonts w:cs="Arial"/>
                <w:bCs/>
                <w:color w:val="000000"/>
                <w:sz w:val="22"/>
                <w:szCs w:val="22"/>
              </w:rPr>
              <w:t xml:space="preserve">relationship </w:t>
            </w:r>
            <w:r w:rsidR="002D458A" w:rsidRPr="003624E0">
              <w:rPr>
                <w:rFonts w:cs="Arial"/>
                <w:bCs/>
                <w:color w:val="000000"/>
                <w:sz w:val="22"/>
                <w:szCs w:val="22"/>
              </w:rPr>
              <w:t xml:space="preserve">did amount to </w:t>
            </w:r>
            <w:r w:rsidR="00575F94" w:rsidRPr="003624E0">
              <w:rPr>
                <w:rFonts w:cs="Arial"/>
                <w:bCs/>
                <w:color w:val="000000"/>
                <w:sz w:val="22"/>
                <w:szCs w:val="22"/>
              </w:rPr>
              <w:t xml:space="preserve">conduct of a sexual nature. </w:t>
            </w:r>
          </w:p>
        </w:tc>
      </w:tr>
    </w:tbl>
    <w:p w:rsidR="0055249E" w:rsidRPr="003624E0" w:rsidRDefault="00904BE9" w:rsidP="00FB2D79">
      <w:r w:rsidRPr="003624E0">
        <w:t>Sexual harassment</w:t>
      </w:r>
      <w:r w:rsidR="00266D34" w:rsidRPr="003624E0">
        <w:t xml:space="preserve"> </w:t>
      </w:r>
      <w:r w:rsidRPr="003624E0">
        <w:t>may occur where a</w:t>
      </w:r>
      <w:r w:rsidR="002C341F" w:rsidRPr="003624E0">
        <w:t xml:space="preserve"> </w:t>
      </w:r>
      <w:r w:rsidR="00823FCA" w:rsidRPr="003624E0">
        <w:t>work</w:t>
      </w:r>
      <w:r w:rsidR="00693B7C" w:rsidRPr="003624E0">
        <w:t xml:space="preserve"> environment or culture is sexually charged or hostile</w:t>
      </w:r>
      <w:r w:rsidR="00266D34" w:rsidRPr="003624E0">
        <w:t xml:space="preserve">, even if </w:t>
      </w:r>
      <w:r w:rsidR="008D3989" w:rsidRPr="003624E0">
        <w:t xml:space="preserve">the conduct is not </w:t>
      </w:r>
      <w:r w:rsidR="00580012" w:rsidRPr="003624E0">
        <w:t xml:space="preserve">directed </w:t>
      </w:r>
      <w:r w:rsidR="008D3989" w:rsidRPr="003624E0">
        <w:t>at a</w:t>
      </w:r>
      <w:r w:rsidR="00580012" w:rsidRPr="003624E0">
        <w:t>ny</w:t>
      </w:r>
      <w:r w:rsidR="008D3989" w:rsidRPr="003624E0">
        <w:t xml:space="preserve"> </w:t>
      </w:r>
      <w:r w:rsidR="00580012" w:rsidRPr="003624E0">
        <w:t xml:space="preserve">particular </w:t>
      </w:r>
      <w:r w:rsidR="00266D34" w:rsidRPr="003624E0">
        <w:t>employee</w:t>
      </w:r>
      <w:r w:rsidR="002C341F" w:rsidRPr="003624E0">
        <w:t>.</w:t>
      </w:r>
      <w:r w:rsidR="002C341F" w:rsidRPr="003624E0">
        <w:rPr>
          <w:rStyle w:val="EndnoteReference"/>
        </w:rPr>
        <w:endnoteReference w:id="26"/>
      </w:r>
      <w:r w:rsidR="00A6181B" w:rsidRPr="003624E0">
        <w:t xml:space="preserve">  </w:t>
      </w:r>
      <w:r w:rsidR="00693B7C" w:rsidRPr="003624E0">
        <w:t>A sexually hostile workplace is one in which one sex is made to feel uncomfortable or excluded by the workplace environment</w:t>
      </w:r>
      <w:r w:rsidR="00474E42" w:rsidRPr="003624E0">
        <w:t xml:space="preserve">.  </w:t>
      </w:r>
      <w:r w:rsidR="00737F3A" w:rsidRPr="003624E0">
        <w:t>Factors that point to a sexually hostile workplace include the display of obscene or pornographic materials, general sexual banter, crude conversation or innuendo and offensive jokes.</w:t>
      </w:r>
      <w:r w:rsidR="00737F3A" w:rsidRPr="003624E0">
        <w:rPr>
          <w:rStyle w:val="EndnoteReference"/>
        </w:rPr>
        <w:endnoteReference w:id="27"/>
      </w:r>
    </w:p>
    <w:p w:rsidR="00823FCA" w:rsidRPr="003624E0" w:rsidRDefault="00474E42" w:rsidP="00FB2D79">
      <w:r w:rsidRPr="003624E0">
        <w:t xml:space="preserve">Hostile workplaces can be a particular problem for women working in non-traditional or male-dominated workplaces, </w:t>
      </w:r>
      <w:r w:rsidR="00C83BC9">
        <w:t xml:space="preserve">especially </w:t>
      </w:r>
      <w:r w:rsidRPr="003624E0">
        <w:t>where they are employed on isolated work sites or</w:t>
      </w:r>
      <w:r w:rsidR="00A6181B" w:rsidRPr="003624E0">
        <w:t xml:space="preserve"> with live-in arr</w:t>
      </w:r>
      <w:r w:rsidR="00027469" w:rsidRPr="003624E0">
        <w:t>angements.</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823FCA" w:rsidRPr="003624E0">
        <w:trPr>
          <w:trHeight w:val="503"/>
        </w:trPr>
        <w:tc>
          <w:tcPr>
            <w:tcW w:w="9071" w:type="dxa"/>
            <w:shd w:val="clear" w:color="0078C1" w:fill="C6D9F1" w:themeFill="text2" w:themeFillTint="33"/>
            <w:tcMar>
              <w:top w:w="227" w:type="dxa"/>
              <w:left w:w="227" w:type="dxa"/>
              <w:bottom w:w="255" w:type="dxa"/>
              <w:right w:w="227" w:type="dxa"/>
            </w:tcMar>
          </w:tcPr>
          <w:p w:rsidR="00823FCA" w:rsidRPr="003624E0" w:rsidRDefault="008A2195" w:rsidP="00823FCA">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 w:val="22"/>
                <w:szCs w:val="22"/>
              </w:rPr>
            </w:pPr>
            <w:r>
              <w:rPr>
                <w:rFonts w:cs="Arial"/>
                <w:b/>
                <w:bCs/>
                <w:color w:val="000000"/>
                <w:szCs w:val="22"/>
              </w:rPr>
              <w:t xml:space="preserve">Case study: </w:t>
            </w:r>
            <w:r w:rsidR="000C276E" w:rsidRPr="003624E0">
              <w:rPr>
                <w:rFonts w:cs="Arial"/>
                <w:b/>
                <w:bCs/>
                <w:color w:val="000000"/>
                <w:szCs w:val="22"/>
              </w:rPr>
              <w:t>S</w:t>
            </w:r>
            <w:r w:rsidR="00223F41" w:rsidRPr="003624E0">
              <w:rPr>
                <w:rFonts w:cs="Arial"/>
                <w:b/>
                <w:bCs/>
                <w:color w:val="000000"/>
                <w:szCs w:val="22"/>
              </w:rPr>
              <w:t>exually hostile work environment</w:t>
            </w:r>
            <w:r w:rsidR="00823FCA" w:rsidRPr="003624E0">
              <w:rPr>
                <w:rStyle w:val="EndnoteReference"/>
                <w:sz w:val="22"/>
                <w:szCs w:val="22"/>
              </w:rPr>
              <w:endnoteReference w:id="28"/>
            </w:r>
          </w:p>
          <w:p w:rsidR="00223F41" w:rsidRPr="003624E0" w:rsidRDefault="00223F41" w:rsidP="00B31B65">
            <w:pPr>
              <w:widowControl w:val="0"/>
              <w:tabs>
                <w:tab w:val="left" w:pos="3533"/>
                <w:tab w:val="center" w:pos="4308"/>
              </w:tabs>
              <w:suppressAutoHyphens/>
              <w:autoSpaceDE w:val="0"/>
              <w:autoSpaceDN w:val="0"/>
              <w:adjustRightInd w:val="0"/>
              <w:textAlignment w:val="center"/>
              <w:rPr>
                <w:sz w:val="22"/>
              </w:rPr>
            </w:pPr>
            <w:r w:rsidRPr="003624E0">
              <w:rPr>
                <w:sz w:val="22"/>
              </w:rPr>
              <w:t xml:space="preserve">Two women were employed as trade assistants for a company constructing an offshore platform. </w:t>
            </w:r>
            <w:r w:rsidR="002C3AA5" w:rsidRPr="003624E0">
              <w:rPr>
                <w:sz w:val="22"/>
              </w:rPr>
              <w:t xml:space="preserve"> </w:t>
            </w:r>
            <w:r w:rsidRPr="003624E0">
              <w:rPr>
                <w:sz w:val="22"/>
              </w:rPr>
              <w:t xml:space="preserve">They were the only women working on a site of over 600 men. </w:t>
            </w:r>
            <w:r w:rsidR="002C3AA5" w:rsidRPr="003624E0">
              <w:rPr>
                <w:sz w:val="22"/>
              </w:rPr>
              <w:t xml:space="preserve"> </w:t>
            </w:r>
            <w:r w:rsidRPr="003624E0">
              <w:rPr>
                <w:sz w:val="22"/>
              </w:rPr>
              <w:t xml:space="preserve">Their duties involved cleaning offices and rooms in which soft core pornographic posters of semi-naked women were displayed. </w:t>
            </w:r>
            <w:r w:rsidR="002C3AA5" w:rsidRPr="003624E0">
              <w:rPr>
                <w:sz w:val="22"/>
              </w:rPr>
              <w:t xml:space="preserve"> </w:t>
            </w:r>
            <w:r w:rsidRPr="003624E0">
              <w:rPr>
                <w:sz w:val="22"/>
              </w:rPr>
              <w:t>Although they would have preferred the posters not to be there, they felt they had to tolerate such things in a male-dominated environment.</w:t>
            </w:r>
          </w:p>
          <w:p w:rsidR="00904BE9" w:rsidRPr="003624E0" w:rsidRDefault="00904BE9" w:rsidP="00B31B65">
            <w:pPr>
              <w:rPr>
                <w:sz w:val="22"/>
              </w:rPr>
            </w:pPr>
            <w:r w:rsidRPr="003624E0">
              <w:rPr>
                <w:sz w:val="22"/>
              </w:rPr>
              <w:t>On one occasion</w:t>
            </w:r>
            <w:r w:rsidR="00FC72C9" w:rsidRPr="003624E0">
              <w:rPr>
                <w:sz w:val="22"/>
              </w:rPr>
              <w:t>, the women</w:t>
            </w:r>
            <w:r w:rsidRPr="003624E0">
              <w:rPr>
                <w:sz w:val="22"/>
              </w:rPr>
              <w:t xml:space="preserve"> were cleaning an office where there was a prominently displayed poster of a naked woman with her genitals exposed. </w:t>
            </w:r>
            <w:r w:rsidR="00FC72C9" w:rsidRPr="003624E0">
              <w:rPr>
                <w:sz w:val="22"/>
              </w:rPr>
              <w:t xml:space="preserve"> After seeing this poster, </w:t>
            </w:r>
            <w:r w:rsidRPr="003624E0">
              <w:rPr>
                <w:sz w:val="22"/>
              </w:rPr>
              <w:t xml:space="preserve">they complained. </w:t>
            </w:r>
            <w:r w:rsidR="00FC72C9" w:rsidRPr="003624E0">
              <w:rPr>
                <w:sz w:val="22"/>
              </w:rPr>
              <w:t xml:space="preserve"> From that</w:t>
            </w:r>
            <w:r w:rsidRPr="003624E0">
              <w:rPr>
                <w:sz w:val="22"/>
              </w:rPr>
              <w:t xml:space="preserve"> time on</w:t>
            </w:r>
            <w:r w:rsidR="00FC72C9" w:rsidRPr="003624E0">
              <w:rPr>
                <w:sz w:val="22"/>
              </w:rPr>
              <w:t>,</w:t>
            </w:r>
            <w:r w:rsidRPr="003624E0">
              <w:rPr>
                <w:sz w:val="22"/>
              </w:rPr>
              <w:t xml:space="preserve"> the women were vilified and abused. </w:t>
            </w:r>
            <w:r w:rsidR="00FC72C9" w:rsidRPr="003624E0">
              <w:rPr>
                <w:sz w:val="22"/>
              </w:rPr>
              <w:t xml:space="preserve"> </w:t>
            </w:r>
            <w:r w:rsidRPr="003624E0">
              <w:rPr>
                <w:sz w:val="22"/>
              </w:rPr>
              <w:t xml:space="preserve">The posters displayed in their workplace became more explicit, degrading and hard core. </w:t>
            </w:r>
            <w:r w:rsidR="00FC72C9" w:rsidRPr="003624E0">
              <w:rPr>
                <w:sz w:val="22"/>
              </w:rPr>
              <w:t xml:space="preserve"> </w:t>
            </w:r>
            <w:r w:rsidRPr="003624E0">
              <w:rPr>
                <w:sz w:val="22"/>
              </w:rPr>
              <w:t>They were even confronted by a room entirely covered with a montage of pornography, clearly placed there for their benefit.</w:t>
            </w:r>
          </w:p>
          <w:p w:rsidR="00904BE9" w:rsidRPr="003624E0" w:rsidRDefault="00FC72C9" w:rsidP="00B31B65">
            <w:pPr>
              <w:rPr>
                <w:sz w:val="22"/>
              </w:rPr>
            </w:pPr>
            <w:r w:rsidRPr="003624E0">
              <w:rPr>
                <w:sz w:val="22"/>
              </w:rPr>
              <w:t xml:space="preserve">The women received no support or assistance from management or their union despite being </w:t>
            </w:r>
            <w:r w:rsidR="00904BE9" w:rsidRPr="003624E0">
              <w:rPr>
                <w:sz w:val="22"/>
              </w:rPr>
              <w:t>frightened by the inherently threatening nature of the pornography and the victi</w:t>
            </w:r>
            <w:r w:rsidRPr="003624E0">
              <w:rPr>
                <w:sz w:val="22"/>
              </w:rPr>
              <w:t>misation to which they were subjected</w:t>
            </w:r>
            <w:r w:rsidR="00904BE9" w:rsidRPr="003624E0">
              <w:rPr>
                <w:sz w:val="22"/>
              </w:rPr>
              <w:t xml:space="preserve">. </w:t>
            </w:r>
            <w:r w:rsidRPr="003624E0">
              <w:rPr>
                <w:sz w:val="22"/>
              </w:rPr>
              <w:t xml:space="preserve"> </w:t>
            </w:r>
            <w:r w:rsidR="00904BE9" w:rsidRPr="003624E0">
              <w:rPr>
                <w:sz w:val="22"/>
              </w:rPr>
              <w:t>Rather, they were advised that their attitude made them unpopular on the site and were warned not to be troublemakers.</w:t>
            </w:r>
          </w:p>
          <w:p w:rsidR="00904BE9" w:rsidRPr="003624E0" w:rsidRDefault="00904BE9" w:rsidP="00B31B65">
            <w:pPr>
              <w:rPr>
                <w:sz w:val="22"/>
              </w:rPr>
            </w:pPr>
            <w:r w:rsidRPr="003624E0">
              <w:rPr>
                <w:sz w:val="22"/>
              </w:rPr>
              <w:t xml:space="preserve">Their situation became increasingly unbearable. </w:t>
            </w:r>
            <w:r w:rsidR="00067837" w:rsidRPr="003624E0">
              <w:rPr>
                <w:sz w:val="22"/>
              </w:rPr>
              <w:t xml:space="preserve"> </w:t>
            </w:r>
            <w:r w:rsidRPr="003624E0">
              <w:rPr>
                <w:sz w:val="22"/>
              </w:rPr>
              <w:t xml:space="preserve">They were aware that the male toilets contained grossly offensive graffiti about them. </w:t>
            </w:r>
            <w:r w:rsidR="00067837" w:rsidRPr="003624E0">
              <w:rPr>
                <w:sz w:val="22"/>
              </w:rPr>
              <w:t xml:space="preserve"> </w:t>
            </w:r>
            <w:r w:rsidRPr="003624E0">
              <w:rPr>
                <w:sz w:val="22"/>
              </w:rPr>
              <w:t>One of them was also terrorised at the site Christmas party and had to lock herself into a storeroom for her own safety.</w:t>
            </w:r>
          </w:p>
          <w:p w:rsidR="00904BE9" w:rsidRPr="003624E0" w:rsidRDefault="00067837" w:rsidP="00067837">
            <w:pPr>
              <w:rPr>
                <w:sz w:val="22"/>
              </w:rPr>
            </w:pPr>
            <w:r w:rsidRPr="003624E0">
              <w:rPr>
                <w:sz w:val="22"/>
              </w:rPr>
              <w:t>B</w:t>
            </w:r>
            <w:r w:rsidR="00904BE9" w:rsidRPr="003624E0">
              <w:rPr>
                <w:sz w:val="22"/>
              </w:rPr>
              <w:t xml:space="preserve">oth women left their jobs </w:t>
            </w:r>
            <w:r w:rsidRPr="003624E0">
              <w:rPr>
                <w:sz w:val="22"/>
              </w:rPr>
              <w:t>and sought counselling as a result of the treatment they received</w:t>
            </w:r>
            <w:r w:rsidR="00904BE9" w:rsidRPr="003624E0">
              <w:rPr>
                <w:sz w:val="22"/>
              </w:rPr>
              <w:t xml:space="preserve">. </w:t>
            </w:r>
            <w:r w:rsidRPr="003624E0">
              <w:rPr>
                <w:sz w:val="22"/>
              </w:rPr>
              <w:t xml:space="preserve"> T</w:t>
            </w:r>
            <w:r w:rsidR="00904BE9" w:rsidRPr="003624E0">
              <w:rPr>
                <w:sz w:val="22"/>
              </w:rPr>
              <w:t xml:space="preserve">he employer and union were </w:t>
            </w:r>
            <w:r w:rsidRPr="003624E0">
              <w:rPr>
                <w:sz w:val="22"/>
              </w:rPr>
              <w:t xml:space="preserve">subsequently </w:t>
            </w:r>
            <w:r w:rsidR="00904BE9" w:rsidRPr="003624E0">
              <w:rPr>
                <w:sz w:val="22"/>
              </w:rPr>
              <w:t xml:space="preserve">held liable </w:t>
            </w:r>
            <w:r w:rsidRPr="003624E0">
              <w:rPr>
                <w:sz w:val="22"/>
              </w:rPr>
              <w:t xml:space="preserve">in legal proceedings </w:t>
            </w:r>
            <w:r w:rsidR="00904BE9" w:rsidRPr="003624E0">
              <w:rPr>
                <w:sz w:val="22"/>
              </w:rPr>
              <w:t xml:space="preserve">and were required to pay a total </w:t>
            </w:r>
            <w:r w:rsidR="002232FA">
              <w:rPr>
                <w:sz w:val="22"/>
              </w:rPr>
              <w:t xml:space="preserve">of </w:t>
            </w:r>
            <w:r w:rsidR="00904BE9" w:rsidRPr="003624E0">
              <w:rPr>
                <w:sz w:val="22"/>
              </w:rPr>
              <w:t xml:space="preserve">$92,000 </w:t>
            </w:r>
            <w:r w:rsidR="00C83BC9">
              <w:rPr>
                <w:sz w:val="22"/>
              </w:rPr>
              <w:t xml:space="preserve">in </w:t>
            </w:r>
            <w:r w:rsidR="00904BE9" w:rsidRPr="003624E0">
              <w:rPr>
                <w:sz w:val="22"/>
              </w:rPr>
              <w:t xml:space="preserve">damages. </w:t>
            </w:r>
          </w:p>
        </w:tc>
      </w:tr>
    </w:tbl>
    <w:p w:rsidR="00A6181B" w:rsidRPr="003624E0" w:rsidRDefault="00A6181B" w:rsidP="00A6181B">
      <w:pPr>
        <w:spacing w:before="360"/>
        <w:rPr>
          <w:i/>
        </w:rPr>
      </w:pPr>
      <w:r w:rsidRPr="003624E0">
        <w:t>Employers have an obligation to deal with entrenched group cultures and practices that may hinder participation in</w:t>
      </w:r>
      <w:r w:rsidR="007D4CC8" w:rsidRPr="003624E0">
        <w:t>,</w:t>
      </w:r>
      <w:r w:rsidRPr="003624E0">
        <w:t xml:space="preserve"> and enjoyment of</w:t>
      </w:r>
      <w:r w:rsidR="007D4CC8" w:rsidRPr="003624E0">
        <w:t>,</w:t>
      </w:r>
      <w:r w:rsidRPr="003624E0">
        <w:t xml:space="preserve"> working life.  They should discourage any workplace behaviour that is sexist or potentially offensive to others.  An atmosphere of respect in which </w:t>
      </w:r>
      <w:r w:rsidR="002232FA">
        <w:t>workplace participants</w:t>
      </w:r>
      <w:r w:rsidRPr="003624E0">
        <w:t xml:space="preserve"> are careful of others’ sensitivities will be least likely to foster sexual harassment complaints.</w:t>
      </w:r>
    </w:p>
    <w:p w:rsidR="00F35C72" w:rsidRPr="003624E0" w:rsidRDefault="00C567E7" w:rsidP="00C567E7">
      <w:pPr>
        <w:pStyle w:val="SubmissionNormal"/>
        <w:numPr>
          <w:ilvl w:val="0"/>
          <w:numId w:val="0"/>
        </w:numPr>
      </w:pPr>
      <w:r w:rsidRPr="003624E0">
        <w:t xml:space="preserve">Sexual harassment is unlawful regardless of the sex, sexual orientation or gender identity of the parties. </w:t>
      </w:r>
      <w:r w:rsidR="0071511B" w:rsidRPr="003624E0">
        <w:t>For example, if a group of workers makes offensive sexual jokes or comments about a colleague who is perceived to be homosexual, it is likely to be unlawful sexual harassment.</w:t>
      </w:r>
      <w:r w:rsidR="00F35C72" w:rsidRPr="003624E0">
        <w:t xml:space="preserve">  Likewise, if a colleague asks intrusive questions about the private life or physical appearance of a trans</w:t>
      </w:r>
      <w:proofErr w:type="gramStart"/>
      <w:r w:rsidR="00836EDB">
        <w:t xml:space="preserve">* </w:t>
      </w:r>
      <w:r w:rsidR="00F35C72" w:rsidRPr="003624E0">
        <w:t xml:space="preserve"> colleague</w:t>
      </w:r>
      <w:proofErr w:type="gramEnd"/>
      <w:r w:rsidR="00F35C72" w:rsidRPr="003624E0">
        <w:t xml:space="preserve">, it is likely to be unlawful sexual harassment.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DF4FCB" w:rsidRPr="003624E0">
        <w:trPr>
          <w:trHeight w:val="503"/>
        </w:trPr>
        <w:tc>
          <w:tcPr>
            <w:tcW w:w="9071" w:type="dxa"/>
            <w:shd w:val="clear" w:color="0078C1" w:fill="C6D9F1" w:themeFill="text2" w:themeFillTint="33"/>
            <w:tcMar>
              <w:top w:w="227" w:type="dxa"/>
              <w:left w:w="227" w:type="dxa"/>
              <w:bottom w:w="255" w:type="dxa"/>
              <w:right w:w="227" w:type="dxa"/>
            </w:tcMar>
          </w:tcPr>
          <w:p w:rsidR="00DF4FCB" w:rsidRPr="003624E0" w:rsidRDefault="008A2195" w:rsidP="009D5D9C">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Pr>
                <w:rFonts w:cs="Arial"/>
                <w:b/>
                <w:bCs/>
                <w:color w:val="000000"/>
                <w:szCs w:val="22"/>
              </w:rPr>
              <w:t xml:space="preserve">Case study: </w:t>
            </w:r>
            <w:r w:rsidR="008C4FEA">
              <w:rPr>
                <w:rFonts w:cs="Arial"/>
                <w:b/>
                <w:bCs/>
                <w:color w:val="000000"/>
                <w:szCs w:val="22"/>
              </w:rPr>
              <w:t>Conduct of a sexual nature</w:t>
            </w:r>
            <w:r w:rsidR="00DF4FCB" w:rsidRPr="003624E0">
              <w:rPr>
                <w:rStyle w:val="EndnoteReference"/>
                <w:sz w:val="18"/>
              </w:rPr>
              <w:endnoteReference w:id="29"/>
            </w:r>
            <w:r w:rsidR="00DF4FCB" w:rsidRPr="003624E0">
              <w:rPr>
                <w:rFonts w:cs="Arial"/>
                <w:b/>
                <w:bCs/>
                <w:color w:val="000000"/>
                <w:szCs w:val="22"/>
              </w:rPr>
              <w:t xml:space="preserve">  </w:t>
            </w:r>
          </w:p>
          <w:p w:rsidR="00C24ADD" w:rsidRDefault="005F759D" w:rsidP="00972F77">
            <w:pPr>
              <w:widowControl w:val="0"/>
              <w:tabs>
                <w:tab w:val="left" w:pos="3533"/>
                <w:tab w:val="center" w:pos="4308"/>
              </w:tabs>
              <w:suppressAutoHyphens/>
              <w:autoSpaceDE w:val="0"/>
              <w:autoSpaceDN w:val="0"/>
              <w:adjustRightInd w:val="0"/>
              <w:textAlignment w:val="center"/>
              <w:rPr>
                <w:sz w:val="22"/>
              </w:rPr>
            </w:pPr>
            <w:r w:rsidRPr="003624E0">
              <w:rPr>
                <w:sz w:val="22"/>
              </w:rPr>
              <w:t>A</w:t>
            </w:r>
            <w:r w:rsidR="00DF4FCB" w:rsidRPr="003624E0">
              <w:rPr>
                <w:sz w:val="22"/>
              </w:rPr>
              <w:t xml:space="preserve"> male apprentice boiler-maker </w:t>
            </w:r>
            <w:r w:rsidR="00972F77">
              <w:rPr>
                <w:sz w:val="22"/>
              </w:rPr>
              <w:t>claimed that he was sexually harass</w:t>
            </w:r>
            <w:r w:rsidR="001B5E5B">
              <w:rPr>
                <w:sz w:val="22"/>
              </w:rPr>
              <w:t>ed by his male co-workers.  He said</w:t>
            </w:r>
            <w:r w:rsidR="00FC5E65">
              <w:rPr>
                <w:sz w:val="22"/>
              </w:rPr>
              <w:t xml:space="preserve"> that his co-workers had i</w:t>
            </w:r>
            <w:r w:rsidR="00972F77">
              <w:rPr>
                <w:sz w:val="22"/>
              </w:rPr>
              <w:t>nquired about his sexual pre</w:t>
            </w:r>
            <w:r w:rsidR="00FC5E65">
              <w:rPr>
                <w:sz w:val="22"/>
              </w:rPr>
              <w:t xml:space="preserve">ference, implied that he was a </w:t>
            </w:r>
            <w:r w:rsidR="00972F77">
              <w:rPr>
                <w:sz w:val="22"/>
              </w:rPr>
              <w:t>paedophile and</w:t>
            </w:r>
            <w:r w:rsidR="00CD6188">
              <w:rPr>
                <w:sz w:val="22"/>
              </w:rPr>
              <w:t xml:space="preserve"> told other employees that he </w:t>
            </w:r>
            <w:r w:rsidR="00CD6188" w:rsidRPr="00CD6188">
              <w:rPr>
                <w:sz w:val="22"/>
              </w:rPr>
              <w:t>'often had s</w:t>
            </w:r>
            <w:r w:rsidR="00CD6188">
              <w:rPr>
                <w:sz w:val="22"/>
              </w:rPr>
              <w:t xml:space="preserve">ex with little boys' and </w:t>
            </w:r>
            <w:r w:rsidR="00CD6188" w:rsidRPr="00CD6188">
              <w:rPr>
                <w:sz w:val="22"/>
              </w:rPr>
              <w:t xml:space="preserve">frequented 'gay bars'. </w:t>
            </w:r>
            <w:r w:rsidR="001B5E5B">
              <w:rPr>
                <w:sz w:val="22"/>
              </w:rPr>
              <w:t xml:space="preserve"> He also said</w:t>
            </w:r>
            <w:r w:rsidR="00972F77">
              <w:rPr>
                <w:sz w:val="22"/>
              </w:rPr>
              <w:t xml:space="preserve"> </w:t>
            </w:r>
            <w:r w:rsidR="00C24ADD">
              <w:rPr>
                <w:sz w:val="22"/>
              </w:rPr>
              <w:t xml:space="preserve">that one co-worker had </w:t>
            </w:r>
            <w:r w:rsidR="00972F77">
              <w:rPr>
                <w:sz w:val="22"/>
              </w:rPr>
              <w:t>grabbed him and simulat</w:t>
            </w:r>
            <w:r w:rsidR="00C24ADD">
              <w:rPr>
                <w:sz w:val="22"/>
              </w:rPr>
              <w:t>ed acts of sexual intercourse</w:t>
            </w:r>
            <w:r w:rsidR="00972F77">
              <w:rPr>
                <w:sz w:val="22"/>
              </w:rPr>
              <w:t xml:space="preserve">.  </w:t>
            </w:r>
          </w:p>
          <w:p w:rsidR="00DF4FCB" w:rsidRPr="003624E0" w:rsidRDefault="0002677A" w:rsidP="00076D4A">
            <w:pPr>
              <w:widowControl w:val="0"/>
              <w:tabs>
                <w:tab w:val="left" w:pos="3533"/>
                <w:tab w:val="center" w:pos="4308"/>
              </w:tabs>
              <w:suppressAutoHyphens/>
              <w:autoSpaceDE w:val="0"/>
              <w:autoSpaceDN w:val="0"/>
              <w:adjustRightInd w:val="0"/>
              <w:textAlignment w:val="center"/>
              <w:rPr>
                <w:sz w:val="22"/>
              </w:rPr>
            </w:pPr>
            <w:r>
              <w:rPr>
                <w:sz w:val="22"/>
              </w:rPr>
              <w:t>The Tribunal</w:t>
            </w:r>
            <w:r w:rsidR="00C24ADD">
              <w:rPr>
                <w:sz w:val="22"/>
              </w:rPr>
              <w:t xml:space="preserve"> </w:t>
            </w:r>
            <w:r w:rsidR="007541BF">
              <w:rPr>
                <w:sz w:val="22"/>
              </w:rPr>
              <w:t>found that</w:t>
            </w:r>
            <w:r w:rsidR="004517FC">
              <w:rPr>
                <w:sz w:val="22"/>
              </w:rPr>
              <w:t xml:space="preserve"> this conduct amounted to sexual harassment </w:t>
            </w:r>
            <w:r w:rsidR="007541BF">
              <w:rPr>
                <w:sz w:val="22"/>
              </w:rPr>
              <w:t xml:space="preserve">and </w:t>
            </w:r>
            <w:r w:rsidR="00076D4A">
              <w:rPr>
                <w:sz w:val="22"/>
              </w:rPr>
              <w:t>order</w:t>
            </w:r>
            <w:r w:rsidR="002232FA">
              <w:rPr>
                <w:sz w:val="22"/>
              </w:rPr>
              <w:t>ed</w:t>
            </w:r>
            <w:r w:rsidR="00076D4A">
              <w:rPr>
                <w:sz w:val="22"/>
              </w:rPr>
              <w:t xml:space="preserve"> the employer pay the complainant</w:t>
            </w:r>
            <w:r w:rsidR="004517FC">
              <w:rPr>
                <w:sz w:val="22"/>
              </w:rPr>
              <w:t xml:space="preserve"> </w:t>
            </w:r>
            <w:r w:rsidR="00DF4FCB" w:rsidRPr="003624E0">
              <w:rPr>
                <w:sz w:val="22"/>
              </w:rPr>
              <w:t xml:space="preserve">$26,000 </w:t>
            </w:r>
            <w:r w:rsidR="004517FC">
              <w:rPr>
                <w:sz w:val="22"/>
              </w:rPr>
              <w:t>compensation.</w:t>
            </w:r>
          </w:p>
        </w:tc>
      </w:tr>
    </w:tbl>
    <w:p w:rsidR="00C649CC" w:rsidRPr="003624E0" w:rsidRDefault="00C649CC" w:rsidP="00C567E7">
      <w:pPr>
        <w:pStyle w:val="SubmissionNormal"/>
        <w:numPr>
          <w:ilvl w:val="0"/>
          <w:numId w:val="0"/>
        </w:numPr>
      </w:pP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C649CC" w:rsidRPr="003624E0">
        <w:trPr>
          <w:trHeight w:val="503"/>
        </w:trPr>
        <w:tc>
          <w:tcPr>
            <w:tcW w:w="9071" w:type="dxa"/>
            <w:shd w:val="clear" w:color="0078C1" w:fill="C6D9F1" w:themeFill="text2" w:themeFillTint="33"/>
            <w:tcMar>
              <w:top w:w="227" w:type="dxa"/>
              <w:left w:w="227" w:type="dxa"/>
              <w:bottom w:w="255" w:type="dxa"/>
              <w:right w:w="227" w:type="dxa"/>
            </w:tcMar>
          </w:tcPr>
          <w:p w:rsidR="00C649CC" w:rsidRPr="003624E0" w:rsidRDefault="008A2195" w:rsidP="009D5D9C">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Pr>
                <w:rFonts w:cs="Arial"/>
                <w:b/>
                <w:bCs/>
                <w:color w:val="000000"/>
                <w:szCs w:val="22"/>
              </w:rPr>
              <w:t xml:space="preserve">Case study: Conduct </w:t>
            </w:r>
            <w:r w:rsidR="003F7378">
              <w:rPr>
                <w:rFonts w:cs="Arial"/>
                <w:b/>
                <w:bCs/>
                <w:color w:val="000000"/>
                <w:szCs w:val="22"/>
              </w:rPr>
              <w:t>of a sexual nature</w:t>
            </w:r>
            <w:r w:rsidR="00C649CC" w:rsidRPr="003624E0">
              <w:rPr>
                <w:rStyle w:val="EndnoteReference"/>
                <w:sz w:val="18"/>
              </w:rPr>
              <w:endnoteReference w:id="30"/>
            </w:r>
            <w:r w:rsidR="00C649CC" w:rsidRPr="003624E0">
              <w:rPr>
                <w:rFonts w:cs="Arial"/>
                <w:b/>
                <w:bCs/>
                <w:color w:val="000000"/>
                <w:szCs w:val="22"/>
              </w:rPr>
              <w:t xml:space="preserve">  </w:t>
            </w:r>
          </w:p>
          <w:p w:rsidR="00C649CC" w:rsidRPr="003624E0" w:rsidRDefault="00C649CC" w:rsidP="00C649CC">
            <w:pPr>
              <w:widowControl w:val="0"/>
              <w:tabs>
                <w:tab w:val="left" w:pos="3533"/>
                <w:tab w:val="center" w:pos="4308"/>
              </w:tabs>
              <w:suppressAutoHyphens/>
              <w:autoSpaceDE w:val="0"/>
              <w:autoSpaceDN w:val="0"/>
              <w:adjustRightInd w:val="0"/>
              <w:textAlignment w:val="center"/>
              <w:rPr>
                <w:sz w:val="22"/>
              </w:rPr>
            </w:pPr>
            <w:r w:rsidRPr="003624E0">
              <w:rPr>
                <w:sz w:val="22"/>
              </w:rPr>
              <w:t>The complainant said she shared overnight accommodation with her female manager, the individual respondent, when attending a work</w:t>
            </w:r>
            <w:r w:rsidR="00E90B36">
              <w:rPr>
                <w:sz w:val="22"/>
              </w:rPr>
              <w:t>-</w:t>
            </w:r>
            <w:r w:rsidRPr="003624E0">
              <w:rPr>
                <w:sz w:val="22"/>
              </w:rPr>
              <w:t>related conference. She claimed the individual respondent questioned her about her sex life, told her she was attracted to her, touched her inappropriately and offered her the opportunity to have sex with her husband. The complainant said she resigned from her position due to the incident.</w:t>
            </w:r>
          </w:p>
          <w:p w:rsidR="00C649CC" w:rsidRPr="003624E0" w:rsidRDefault="00C649CC" w:rsidP="008F66B7">
            <w:pPr>
              <w:widowControl w:val="0"/>
              <w:tabs>
                <w:tab w:val="left" w:pos="3533"/>
                <w:tab w:val="center" w:pos="4308"/>
              </w:tabs>
              <w:suppressAutoHyphens/>
              <w:autoSpaceDE w:val="0"/>
              <w:autoSpaceDN w:val="0"/>
              <w:adjustRightInd w:val="0"/>
              <w:textAlignment w:val="center"/>
              <w:rPr>
                <w:sz w:val="22"/>
              </w:rPr>
            </w:pPr>
            <w:r w:rsidRPr="003624E0">
              <w:rPr>
                <w:sz w:val="22"/>
              </w:rPr>
              <w:t xml:space="preserve">The individual respondent denied the allegations, however both </w:t>
            </w:r>
            <w:r w:rsidR="00191EE9">
              <w:rPr>
                <w:sz w:val="22"/>
              </w:rPr>
              <w:t xml:space="preserve">the individual and </w:t>
            </w:r>
            <w:r w:rsidRPr="003624E0">
              <w:rPr>
                <w:sz w:val="22"/>
              </w:rPr>
              <w:t xml:space="preserve">respondent </w:t>
            </w:r>
            <w:r w:rsidR="008F66B7">
              <w:rPr>
                <w:sz w:val="22"/>
              </w:rPr>
              <w:t xml:space="preserve">employer </w:t>
            </w:r>
            <w:r w:rsidRPr="003624E0">
              <w:rPr>
                <w:sz w:val="22"/>
              </w:rPr>
              <w:t>indicated a willingness to try to resolve the matter through conciliation.</w:t>
            </w:r>
            <w:r w:rsidR="0002301F" w:rsidRPr="003624E0">
              <w:rPr>
                <w:sz w:val="22"/>
              </w:rPr>
              <w:t xml:space="preserve">  </w:t>
            </w:r>
            <w:r w:rsidRPr="003624E0">
              <w:rPr>
                <w:sz w:val="22"/>
              </w:rPr>
              <w:t>The complaint was resolved with an agreement that the respondent e</w:t>
            </w:r>
            <w:r w:rsidR="00177802" w:rsidRPr="003624E0">
              <w:rPr>
                <w:sz w:val="22"/>
              </w:rPr>
              <w:t>mployer pay the complainant $28,</w:t>
            </w:r>
            <w:r w:rsidRPr="003624E0">
              <w:rPr>
                <w:sz w:val="22"/>
              </w:rPr>
              <w:t>000.</w:t>
            </w:r>
          </w:p>
        </w:tc>
      </w:tr>
    </w:tbl>
    <w:p w:rsidR="006D63BC" w:rsidRDefault="002E76AA" w:rsidP="006D63BC">
      <w:pPr>
        <w:pStyle w:val="SubmissionNormal"/>
        <w:numPr>
          <w:ilvl w:val="0"/>
          <w:numId w:val="0"/>
        </w:numPr>
        <w:spacing w:before="120"/>
      </w:pPr>
      <w:r w:rsidRPr="003624E0">
        <w:t xml:space="preserve">Sexual harassment is unlawful even if </w:t>
      </w:r>
      <w:r w:rsidR="00C567E7" w:rsidRPr="003624E0">
        <w:t xml:space="preserve">the </w:t>
      </w:r>
      <w:r w:rsidR="00E67D95">
        <w:t>person committing the harassment</w:t>
      </w:r>
      <w:r w:rsidR="00E67D95" w:rsidRPr="003624E0">
        <w:t xml:space="preserve"> </w:t>
      </w:r>
      <w:r w:rsidR="00C567E7" w:rsidRPr="003624E0">
        <w:t>had no sexual interest in the complainant.</w:t>
      </w:r>
      <w:r w:rsidR="006D63BC">
        <w:t xml:space="preserve"> </w:t>
      </w:r>
      <w:r w:rsidR="006D63BC">
        <w:rPr>
          <w:rFonts w:cs="Arial"/>
        </w:rPr>
        <w:t>It is important to note that conduct may constitute sexual harassment even if the individuals involved are of the same sex.</w:t>
      </w:r>
      <w:r w:rsidR="006D63BC" w:rsidRPr="00906DAC">
        <w:t xml:space="preserve">     </w:t>
      </w:r>
    </w:p>
    <w:p w:rsidR="00753021" w:rsidRPr="003624E0" w:rsidRDefault="00753021" w:rsidP="00C567E7">
      <w:pPr>
        <w:pStyle w:val="SubmissionNormal"/>
        <w:numPr>
          <w:ilvl w:val="0"/>
          <w:numId w:val="0"/>
        </w:numPr>
      </w:pP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F35C72" w:rsidRPr="003624E0">
        <w:trPr>
          <w:trHeight w:val="503"/>
        </w:trPr>
        <w:tc>
          <w:tcPr>
            <w:tcW w:w="9071" w:type="dxa"/>
            <w:shd w:val="clear" w:color="0078C1" w:fill="C6D9F1" w:themeFill="text2" w:themeFillTint="33"/>
            <w:tcMar>
              <w:top w:w="227" w:type="dxa"/>
              <w:left w:w="227" w:type="dxa"/>
              <w:bottom w:w="255" w:type="dxa"/>
              <w:right w:w="227" w:type="dxa"/>
            </w:tcMar>
          </w:tcPr>
          <w:p w:rsidR="00F35C72" w:rsidRPr="003624E0" w:rsidRDefault="008A2195" w:rsidP="009D5D9C">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Pr>
                <w:rFonts w:cs="Arial"/>
                <w:b/>
                <w:bCs/>
                <w:color w:val="000000"/>
                <w:szCs w:val="22"/>
              </w:rPr>
              <w:t xml:space="preserve">Case study: </w:t>
            </w:r>
            <w:r w:rsidR="003F7378">
              <w:rPr>
                <w:rFonts w:cs="Arial"/>
                <w:b/>
                <w:bCs/>
                <w:color w:val="000000"/>
                <w:szCs w:val="22"/>
              </w:rPr>
              <w:t>Conduct of a sexual nature</w:t>
            </w:r>
            <w:r w:rsidR="00F35C72" w:rsidRPr="003624E0">
              <w:rPr>
                <w:rStyle w:val="EndnoteReference"/>
                <w:rFonts w:cs="Arial"/>
                <w:bCs/>
                <w:color w:val="000000"/>
                <w:szCs w:val="22"/>
              </w:rPr>
              <w:endnoteReference w:id="31"/>
            </w:r>
            <w:r w:rsidR="00F35C72" w:rsidRPr="003624E0">
              <w:rPr>
                <w:rFonts w:cs="Arial"/>
                <w:b/>
                <w:bCs/>
                <w:color w:val="000000"/>
                <w:szCs w:val="22"/>
              </w:rPr>
              <w:t xml:space="preserve">  </w:t>
            </w:r>
          </w:p>
          <w:p w:rsidR="00F35C72" w:rsidRPr="003624E0" w:rsidRDefault="009B4BB6" w:rsidP="009B4BB6">
            <w:pPr>
              <w:widowControl w:val="0"/>
              <w:tabs>
                <w:tab w:val="left" w:pos="3533"/>
                <w:tab w:val="center" w:pos="4308"/>
              </w:tabs>
              <w:suppressAutoHyphens/>
              <w:autoSpaceDE w:val="0"/>
              <w:autoSpaceDN w:val="0"/>
              <w:adjustRightInd w:val="0"/>
              <w:textAlignment w:val="center"/>
              <w:rPr>
                <w:sz w:val="22"/>
              </w:rPr>
            </w:pPr>
            <w:r w:rsidRPr="003624E0">
              <w:rPr>
                <w:sz w:val="22"/>
              </w:rPr>
              <w:t>A</w:t>
            </w:r>
            <w:r w:rsidR="00F35C72" w:rsidRPr="003624E0">
              <w:rPr>
                <w:sz w:val="22"/>
              </w:rPr>
              <w:t xml:space="preserve"> young saleswoman </w:t>
            </w:r>
            <w:r w:rsidRPr="003624E0">
              <w:rPr>
                <w:sz w:val="22"/>
              </w:rPr>
              <w:t xml:space="preserve">claimed that she was sexually harassed by her </w:t>
            </w:r>
            <w:r w:rsidR="00F35C72" w:rsidRPr="003624E0">
              <w:rPr>
                <w:sz w:val="22"/>
              </w:rPr>
              <w:t xml:space="preserve">male retail manager.  The </w:t>
            </w:r>
            <w:r w:rsidRPr="003624E0">
              <w:rPr>
                <w:sz w:val="22"/>
              </w:rPr>
              <w:t xml:space="preserve">Court determined that the </w:t>
            </w:r>
            <w:r w:rsidR="00F35C72" w:rsidRPr="003624E0">
              <w:rPr>
                <w:sz w:val="22"/>
              </w:rPr>
              <w:t>fact that the manager was homosexual and had no sexual designs on the woman was irrelevant to the outcome</w:t>
            </w:r>
            <w:r w:rsidRPr="003624E0">
              <w:rPr>
                <w:sz w:val="22"/>
              </w:rPr>
              <w:t xml:space="preserve"> of the case</w:t>
            </w:r>
            <w:r w:rsidR="00F35C72" w:rsidRPr="003624E0">
              <w:rPr>
                <w:sz w:val="22"/>
              </w:rPr>
              <w:t>.</w:t>
            </w:r>
          </w:p>
        </w:tc>
      </w:tr>
    </w:tbl>
    <w:p w:rsidR="00674613" w:rsidRPr="003624E0" w:rsidRDefault="00674613" w:rsidP="00674613">
      <w:pPr>
        <w:pStyle w:val="SubmissionNormal"/>
        <w:numPr>
          <w:ilvl w:val="0"/>
          <w:numId w:val="0"/>
        </w:numPr>
      </w:pPr>
      <w:r w:rsidRPr="003624E0">
        <w:t xml:space="preserve">General forms of harassment or bullying that are not sexual in nature will not constitute sexual harassment under the Sex Discrimination Act, but may </w:t>
      </w:r>
      <w:r w:rsidR="006E33B9">
        <w:t>nevertheless be unlawful if the conduct constitutes less favourable treatment on the ground of sex or another protected ground</w:t>
      </w:r>
      <w:r w:rsidR="009B10D0">
        <w:t>. They may also</w:t>
      </w:r>
      <w:r w:rsidR="006E33B9" w:rsidRPr="003624E0">
        <w:t xml:space="preserve"> </w:t>
      </w:r>
      <w:r w:rsidRPr="003624E0">
        <w:t>be unlawful under other anti-discrimination laws</w:t>
      </w:r>
      <w:r w:rsidR="006E33B9">
        <w:t xml:space="preserve">. </w:t>
      </w:r>
      <w:r w:rsidR="00346BB2">
        <w:t xml:space="preserve"> </w:t>
      </w:r>
    </w:p>
    <w:p w:rsidR="00634386" w:rsidRPr="003624E0" w:rsidRDefault="00AA691E" w:rsidP="00AA691E">
      <w:pPr>
        <w:pStyle w:val="Heading2"/>
        <w:numPr>
          <w:ilvl w:val="0"/>
          <w:numId w:val="0"/>
        </w:numPr>
        <w:ind w:left="851" w:hanging="851"/>
      </w:pPr>
      <w:bookmarkStart w:id="19" w:name="_Toc362446676"/>
      <w:bookmarkStart w:id="20" w:name="_Toc388023523"/>
      <w:proofErr w:type="gramStart"/>
      <w:r w:rsidRPr="003624E0">
        <w:t>2.3  R</w:t>
      </w:r>
      <w:r w:rsidR="00634386" w:rsidRPr="003624E0">
        <w:t>easonable</w:t>
      </w:r>
      <w:proofErr w:type="gramEnd"/>
      <w:r w:rsidR="00634386" w:rsidRPr="003624E0">
        <w:t xml:space="preserve"> person (offen</w:t>
      </w:r>
      <w:r w:rsidR="002D234C" w:rsidRPr="003624E0">
        <w:t>ce, humiliation, intimidation)</w:t>
      </w:r>
      <w:bookmarkEnd w:id="19"/>
      <w:bookmarkEnd w:id="20"/>
    </w:p>
    <w:p w:rsidR="00B8137B" w:rsidRPr="003624E0" w:rsidRDefault="002C53B9" w:rsidP="00B8137B">
      <w:pPr>
        <w:rPr>
          <w:szCs w:val="22"/>
        </w:rPr>
      </w:pPr>
      <w:r w:rsidRPr="003624E0">
        <w:t>Unwelcome conduct of a sexual nature may constitute sexual harassment under the Sex Discrimination Act if</w:t>
      </w:r>
      <w:r w:rsidR="00B8137B" w:rsidRPr="003624E0">
        <w:rPr>
          <w:szCs w:val="22"/>
        </w:rPr>
        <w:t xml:space="preserve">, </w:t>
      </w:r>
      <w:r w:rsidRPr="003624E0">
        <w:rPr>
          <w:szCs w:val="22"/>
        </w:rPr>
        <w:t>in the circumstances</w:t>
      </w:r>
      <w:r w:rsidR="00B8137B" w:rsidRPr="003624E0">
        <w:rPr>
          <w:szCs w:val="22"/>
        </w:rPr>
        <w:t xml:space="preserve">, </w:t>
      </w:r>
      <w:r w:rsidRPr="003624E0">
        <w:rPr>
          <w:szCs w:val="22"/>
        </w:rPr>
        <w:t xml:space="preserve">a reasonable person </w:t>
      </w:r>
      <w:r w:rsidR="00A005BC" w:rsidRPr="003624E0">
        <w:rPr>
          <w:szCs w:val="22"/>
        </w:rPr>
        <w:t>(aware of the circumstances)</w:t>
      </w:r>
      <w:r w:rsidR="00A85496" w:rsidRPr="003624E0">
        <w:rPr>
          <w:szCs w:val="22"/>
        </w:rPr>
        <w:t>:</w:t>
      </w:r>
      <w:r w:rsidR="00A005BC" w:rsidRPr="003624E0">
        <w:rPr>
          <w:szCs w:val="22"/>
        </w:rPr>
        <w:t xml:space="preserve"> </w:t>
      </w:r>
    </w:p>
    <w:p w:rsidR="00B8137B" w:rsidRPr="003624E0" w:rsidRDefault="002C53B9" w:rsidP="00F84B07">
      <w:pPr>
        <w:pStyle w:val="ListParagraph"/>
        <w:numPr>
          <w:ilvl w:val="0"/>
          <w:numId w:val="34"/>
        </w:numPr>
        <w:ind w:left="567" w:hanging="567"/>
        <w:contextualSpacing w:val="0"/>
        <w:rPr>
          <w:szCs w:val="22"/>
        </w:rPr>
      </w:pPr>
      <w:r w:rsidRPr="003624E0">
        <w:rPr>
          <w:szCs w:val="22"/>
        </w:rPr>
        <w:t xml:space="preserve">would anticipate the possibility that </w:t>
      </w:r>
    </w:p>
    <w:p w:rsidR="00B8137B" w:rsidRPr="003624E0" w:rsidRDefault="002C53B9" w:rsidP="00F84B07">
      <w:pPr>
        <w:pStyle w:val="ListParagraph"/>
        <w:numPr>
          <w:ilvl w:val="0"/>
          <w:numId w:val="34"/>
        </w:numPr>
        <w:ind w:left="567" w:hanging="567"/>
        <w:contextualSpacing w:val="0"/>
        <w:rPr>
          <w:szCs w:val="22"/>
        </w:rPr>
      </w:pPr>
      <w:proofErr w:type="gramStart"/>
      <w:r w:rsidRPr="003624E0">
        <w:rPr>
          <w:szCs w:val="22"/>
        </w:rPr>
        <w:t>the</w:t>
      </w:r>
      <w:proofErr w:type="gramEnd"/>
      <w:r w:rsidRPr="003624E0">
        <w:rPr>
          <w:szCs w:val="22"/>
        </w:rPr>
        <w:t xml:space="preserve"> </w:t>
      </w:r>
      <w:r w:rsidR="00A005BC" w:rsidRPr="003624E0">
        <w:rPr>
          <w:szCs w:val="22"/>
        </w:rPr>
        <w:t xml:space="preserve">recipient </w:t>
      </w:r>
      <w:r w:rsidRPr="003624E0">
        <w:rPr>
          <w:szCs w:val="22"/>
        </w:rPr>
        <w:t>would feel offended, humiliated or intimidated</w:t>
      </w:r>
      <w:r w:rsidR="006A4F67" w:rsidRPr="003624E0">
        <w:rPr>
          <w:szCs w:val="22"/>
        </w:rPr>
        <w:t xml:space="preserve"> by the conduct</w:t>
      </w:r>
      <w:r w:rsidR="003F58B1" w:rsidRPr="003624E0">
        <w:t xml:space="preserve">.  </w:t>
      </w:r>
    </w:p>
    <w:p w:rsidR="00FF5C8E" w:rsidRPr="003624E0" w:rsidRDefault="0036215E" w:rsidP="00FF5C8E">
      <w:pPr>
        <w:rPr>
          <w:szCs w:val="22"/>
        </w:rPr>
      </w:pPr>
      <w:r w:rsidRPr="003624E0">
        <w:t xml:space="preserve">Whether or not a reasonable person would anticipate the possibility of such a reaction </w:t>
      </w:r>
      <w:r w:rsidR="003F58B1" w:rsidRPr="003624E0">
        <w:t xml:space="preserve">is an objective </w:t>
      </w:r>
      <w:r w:rsidRPr="003624E0">
        <w:t>question</w:t>
      </w:r>
      <w:r w:rsidR="003F58B1" w:rsidRPr="003624E0">
        <w:t xml:space="preserve">.  </w:t>
      </w:r>
      <w:r w:rsidRPr="003624E0">
        <w:t xml:space="preserv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DC2E22" w:rsidRPr="003624E0">
        <w:trPr>
          <w:trHeight w:val="503"/>
        </w:trPr>
        <w:tc>
          <w:tcPr>
            <w:tcW w:w="9071" w:type="dxa"/>
            <w:shd w:val="clear" w:color="0078C1" w:fill="C6D9F1" w:themeFill="text2" w:themeFillTint="33"/>
            <w:tcMar>
              <w:top w:w="227" w:type="dxa"/>
              <w:left w:w="227" w:type="dxa"/>
              <w:bottom w:w="255" w:type="dxa"/>
              <w:right w:w="227" w:type="dxa"/>
            </w:tcMar>
          </w:tcPr>
          <w:p w:rsidR="00867DB7" w:rsidRPr="003624E0" w:rsidRDefault="008A2195" w:rsidP="00867DB7">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Pr>
                <w:rFonts w:cs="Arial"/>
                <w:b/>
                <w:bCs/>
                <w:color w:val="000000"/>
                <w:szCs w:val="22"/>
              </w:rPr>
              <w:t xml:space="preserve">Case study: </w:t>
            </w:r>
            <w:r w:rsidR="002571D2" w:rsidRPr="003624E0">
              <w:rPr>
                <w:rFonts w:cs="Arial"/>
                <w:b/>
                <w:bCs/>
                <w:color w:val="000000"/>
                <w:szCs w:val="22"/>
              </w:rPr>
              <w:t>R</w:t>
            </w:r>
            <w:r w:rsidR="00DC2E22" w:rsidRPr="003624E0">
              <w:rPr>
                <w:rFonts w:cs="Arial"/>
                <w:b/>
                <w:bCs/>
                <w:color w:val="000000"/>
                <w:szCs w:val="22"/>
              </w:rPr>
              <w:t>easonableness</w:t>
            </w:r>
            <w:r w:rsidR="00867DB7" w:rsidRPr="003624E0">
              <w:rPr>
                <w:rStyle w:val="EndnoteReference"/>
                <w:rFonts w:cs="Arial"/>
                <w:bCs/>
                <w:color w:val="000000"/>
                <w:szCs w:val="22"/>
              </w:rPr>
              <w:endnoteReference w:id="32"/>
            </w:r>
            <w:r w:rsidR="00DC2E22" w:rsidRPr="003624E0">
              <w:rPr>
                <w:rFonts w:cs="Arial"/>
                <w:b/>
                <w:bCs/>
                <w:color w:val="000000"/>
                <w:szCs w:val="22"/>
              </w:rPr>
              <w:t xml:space="preserve">  </w:t>
            </w:r>
          </w:p>
          <w:p w:rsidR="004D38D6" w:rsidRPr="003624E0" w:rsidRDefault="00867DB7" w:rsidP="004D38D6">
            <w:pPr>
              <w:widowControl w:val="0"/>
              <w:tabs>
                <w:tab w:val="left" w:pos="3533"/>
                <w:tab w:val="center" w:pos="4308"/>
              </w:tabs>
              <w:suppressAutoHyphens/>
              <w:autoSpaceDE w:val="0"/>
              <w:autoSpaceDN w:val="0"/>
              <w:adjustRightInd w:val="0"/>
              <w:spacing w:before="170" w:after="0"/>
              <w:textAlignment w:val="center"/>
              <w:rPr>
                <w:rFonts w:cs="Arial"/>
                <w:b/>
                <w:color w:val="000000"/>
                <w:szCs w:val="22"/>
              </w:rPr>
            </w:pPr>
            <w:r w:rsidRPr="003624E0">
              <w:rPr>
                <w:rFonts w:cs="Arial"/>
                <w:color w:val="000000"/>
                <w:sz w:val="22"/>
                <w:szCs w:val="22"/>
              </w:rPr>
              <w:t xml:space="preserve">A woman claimed that she was sexually harassed </w:t>
            </w:r>
            <w:r w:rsidR="004D38D6" w:rsidRPr="003624E0">
              <w:rPr>
                <w:rFonts w:cs="Arial"/>
                <w:color w:val="000000"/>
                <w:sz w:val="22"/>
                <w:szCs w:val="22"/>
              </w:rPr>
              <w:t>in the workplace</w:t>
            </w:r>
            <w:r w:rsidRPr="003624E0">
              <w:rPr>
                <w:rFonts w:cs="Arial"/>
                <w:color w:val="000000"/>
                <w:sz w:val="22"/>
                <w:szCs w:val="22"/>
              </w:rPr>
              <w:t xml:space="preserve">.  </w:t>
            </w:r>
            <w:r w:rsidR="004D38D6" w:rsidRPr="003624E0">
              <w:rPr>
                <w:rFonts w:cs="Arial"/>
                <w:color w:val="000000"/>
                <w:sz w:val="22"/>
                <w:szCs w:val="22"/>
              </w:rPr>
              <w:t>She alleged that a</w:t>
            </w:r>
            <w:r w:rsidRPr="003624E0">
              <w:rPr>
                <w:rFonts w:cs="Arial"/>
                <w:sz w:val="22"/>
                <w:szCs w:val="22"/>
              </w:rPr>
              <w:t xml:space="preserve"> colleague </w:t>
            </w:r>
            <w:r w:rsidR="004D38D6" w:rsidRPr="003624E0">
              <w:rPr>
                <w:rFonts w:cs="Arial"/>
                <w:sz w:val="22"/>
                <w:szCs w:val="22"/>
              </w:rPr>
              <w:t xml:space="preserve">of hers had stared at her </w:t>
            </w:r>
            <w:r w:rsidRPr="003624E0">
              <w:rPr>
                <w:rFonts w:cs="Arial"/>
                <w:sz w:val="22"/>
                <w:szCs w:val="22"/>
              </w:rPr>
              <w:t>breasts, brush</w:t>
            </w:r>
            <w:r w:rsidR="004D38D6" w:rsidRPr="003624E0">
              <w:rPr>
                <w:rFonts w:cs="Arial"/>
                <w:sz w:val="22"/>
                <w:szCs w:val="22"/>
              </w:rPr>
              <w:t>ed past her breasts and remarked</w:t>
            </w:r>
            <w:r w:rsidRPr="003624E0">
              <w:rPr>
                <w:rFonts w:cs="Arial"/>
                <w:sz w:val="22"/>
                <w:szCs w:val="22"/>
              </w:rPr>
              <w:t xml:space="preserve"> on the size of female employees’ breasts.</w:t>
            </w:r>
            <w:r w:rsidR="004D38D6" w:rsidRPr="003624E0">
              <w:rPr>
                <w:rFonts w:cs="Arial"/>
                <w:sz w:val="22"/>
                <w:szCs w:val="22"/>
              </w:rPr>
              <w:t xml:space="preserve">  </w:t>
            </w:r>
            <w:r w:rsidRPr="003624E0">
              <w:rPr>
                <w:rFonts w:cs="Arial"/>
                <w:color w:val="000000"/>
                <w:sz w:val="22"/>
                <w:szCs w:val="22"/>
              </w:rPr>
              <w:t xml:space="preserve">The </w:t>
            </w:r>
            <w:r w:rsidR="004D38D6" w:rsidRPr="003624E0">
              <w:rPr>
                <w:rFonts w:cs="Arial"/>
                <w:color w:val="000000"/>
                <w:sz w:val="22"/>
                <w:szCs w:val="22"/>
              </w:rPr>
              <w:t xml:space="preserve">woman’s </w:t>
            </w:r>
            <w:r w:rsidRPr="003624E0">
              <w:rPr>
                <w:rFonts w:cs="Arial"/>
                <w:color w:val="000000"/>
                <w:sz w:val="22"/>
                <w:szCs w:val="22"/>
              </w:rPr>
              <w:t>colleague argued that the woman was unlikely to be offended by the conduct as she herself swore at work and had sent two sexually</w:t>
            </w:r>
            <w:r w:rsidR="004D38D6" w:rsidRPr="003624E0">
              <w:rPr>
                <w:rFonts w:cs="Arial"/>
                <w:color w:val="000000"/>
                <w:sz w:val="22"/>
                <w:szCs w:val="22"/>
              </w:rPr>
              <w:t xml:space="preserve"> </w:t>
            </w:r>
            <w:r w:rsidRPr="003624E0">
              <w:rPr>
                <w:rFonts w:cs="Arial"/>
                <w:color w:val="000000"/>
                <w:sz w:val="22"/>
                <w:szCs w:val="22"/>
              </w:rPr>
              <w:t xml:space="preserve">explicit emails to a fellow female employee.  </w:t>
            </w:r>
          </w:p>
          <w:p w:rsidR="00867DB7" w:rsidRPr="003624E0" w:rsidRDefault="0002677A" w:rsidP="00867DB7">
            <w:pPr>
              <w:pStyle w:val="Pa20"/>
              <w:spacing w:before="240"/>
              <w:rPr>
                <w:rFonts w:ascii="Arial" w:hAnsi="Arial" w:cs="Arial"/>
                <w:color w:val="000000"/>
                <w:sz w:val="22"/>
                <w:szCs w:val="22"/>
              </w:rPr>
            </w:pPr>
            <w:r>
              <w:rPr>
                <w:rFonts w:ascii="Arial" w:hAnsi="Arial" w:cs="Arial"/>
                <w:color w:val="000000"/>
                <w:sz w:val="22"/>
                <w:szCs w:val="22"/>
              </w:rPr>
              <w:t>The Court</w:t>
            </w:r>
            <w:r w:rsidR="00867DB7" w:rsidRPr="003624E0">
              <w:rPr>
                <w:rFonts w:ascii="Arial" w:hAnsi="Arial" w:cs="Arial"/>
                <w:color w:val="000000"/>
                <w:sz w:val="22"/>
                <w:szCs w:val="22"/>
              </w:rPr>
              <w:t xml:space="preserve"> rejected th</w:t>
            </w:r>
            <w:r w:rsidR="004D38D6" w:rsidRPr="003624E0">
              <w:rPr>
                <w:rFonts w:ascii="Arial" w:hAnsi="Arial" w:cs="Arial"/>
                <w:color w:val="000000"/>
                <w:sz w:val="22"/>
                <w:szCs w:val="22"/>
              </w:rPr>
              <w:t xml:space="preserve">e </w:t>
            </w:r>
            <w:r w:rsidR="00867DB7" w:rsidRPr="003624E0">
              <w:rPr>
                <w:rFonts w:ascii="Arial" w:hAnsi="Arial" w:cs="Arial"/>
                <w:color w:val="000000"/>
                <w:sz w:val="22"/>
                <w:szCs w:val="22"/>
              </w:rPr>
              <w:t xml:space="preserve">argument </w:t>
            </w:r>
            <w:r w:rsidR="004D38D6" w:rsidRPr="003624E0">
              <w:rPr>
                <w:rFonts w:ascii="Arial" w:hAnsi="Arial" w:cs="Arial"/>
                <w:color w:val="000000"/>
                <w:sz w:val="22"/>
                <w:szCs w:val="22"/>
              </w:rPr>
              <w:t xml:space="preserve">made by the women’s colleague.  The </w:t>
            </w:r>
            <w:r>
              <w:rPr>
                <w:rFonts w:ascii="Arial" w:hAnsi="Arial" w:cs="Arial"/>
                <w:color w:val="000000"/>
                <w:sz w:val="22"/>
                <w:szCs w:val="22"/>
              </w:rPr>
              <w:t>Court</w:t>
            </w:r>
            <w:r w:rsidR="004D38D6" w:rsidRPr="003624E0">
              <w:rPr>
                <w:rFonts w:ascii="Arial" w:hAnsi="Arial" w:cs="Arial"/>
                <w:color w:val="000000"/>
                <w:sz w:val="22"/>
                <w:szCs w:val="22"/>
              </w:rPr>
              <w:t xml:space="preserve"> </w:t>
            </w:r>
            <w:r w:rsidR="00867DB7" w:rsidRPr="003624E0">
              <w:rPr>
                <w:rFonts w:ascii="Arial" w:hAnsi="Arial" w:cs="Arial"/>
                <w:color w:val="000000"/>
                <w:sz w:val="22"/>
                <w:szCs w:val="22"/>
              </w:rPr>
              <w:t xml:space="preserve">found that a reasonable person in the woman’s position would have been offended, humiliated or intimidated by the actions and remarks.  He </w:t>
            </w:r>
            <w:r w:rsidR="004D38D6" w:rsidRPr="003624E0">
              <w:rPr>
                <w:rFonts w:ascii="Arial" w:hAnsi="Arial" w:cs="Arial"/>
                <w:color w:val="000000"/>
                <w:sz w:val="22"/>
                <w:szCs w:val="22"/>
              </w:rPr>
              <w:t>explained:</w:t>
            </w:r>
          </w:p>
          <w:p w:rsidR="003F58B1" w:rsidRPr="003624E0" w:rsidRDefault="00867DB7" w:rsidP="00DA5FAE">
            <w:pPr>
              <w:widowControl w:val="0"/>
              <w:tabs>
                <w:tab w:val="left" w:pos="3533"/>
                <w:tab w:val="center" w:pos="4308"/>
              </w:tabs>
              <w:suppressAutoHyphens/>
              <w:autoSpaceDE w:val="0"/>
              <w:autoSpaceDN w:val="0"/>
              <w:adjustRightInd w:val="0"/>
              <w:ind w:left="543"/>
              <w:textAlignment w:val="center"/>
              <w:rPr>
                <w:sz w:val="22"/>
              </w:rPr>
            </w:pPr>
            <w:r w:rsidRPr="00C66719">
              <w:rPr>
                <w:rFonts w:cs="Arial"/>
                <w:i/>
                <w:sz w:val="22"/>
                <w:szCs w:val="22"/>
              </w:rPr>
              <w:t xml:space="preserve">I do not accept that [the </w:t>
            </w:r>
            <w:r w:rsidR="004D38D6" w:rsidRPr="00C66719">
              <w:rPr>
                <w:rFonts w:cs="Arial"/>
                <w:i/>
                <w:sz w:val="22"/>
                <w:szCs w:val="22"/>
              </w:rPr>
              <w:t>complainant’s</w:t>
            </w:r>
            <w:r w:rsidRPr="00C66719">
              <w:rPr>
                <w:rFonts w:cs="Arial"/>
                <w:i/>
                <w:sz w:val="22"/>
                <w:szCs w:val="22"/>
              </w:rPr>
              <w:t>] demeano</w:t>
            </w:r>
            <w:r w:rsidR="00FB06C6" w:rsidRPr="00C66719">
              <w:rPr>
                <w:rFonts w:cs="Arial"/>
                <w:i/>
                <w:sz w:val="22"/>
                <w:szCs w:val="22"/>
              </w:rPr>
              <w:t>u</w:t>
            </w:r>
            <w:r w:rsidRPr="00C66719">
              <w:rPr>
                <w:rFonts w:cs="Arial"/>
                <w:i/>
                <w:sz w:val="22"/>
                <w:szCs w:val="22"/>
              </w:rPr>
              <w:t>r in cross-examination, the fact that she swore on occasion in the workplace or the evidence that she sent two emails in relation to sexual m</w:t>
            </w:r>
            <w:r w:rsidR="00DA5FAE" w:rsidRPr="00C66719">
              <w:rPr>
                <w:rFonts w:cs="Arial"/>
                <w:i/>
                <w:sz w:val="22"/>
                <w:szCs w:val="22"/>
              </w:rPr>
              <w:t>atters…is indicative of such a ‘</w:t>
            </w:r>
            <w:r w:rsidRPr="00C66719">
              <w:rPr>
                <w:rFonts w:cs="Arial"/>
                <w:i/>
                <w:sz w:val="22"/>
                <w:szCs w:val="22"/>
              </w:rPr>
              <w:t>robust</w:t>
            </w:r>
            <w:r w:rsidR="00DA5FAE" w:rsidRPr="00C66719">
              <w:rPr>
                <w:rFonts w:cs="Arial"/>
                <w:i/>
                <w:sz w:val="22"/>
                <w:szCs w:val="22"/>
              </w:rPr>
              <w:t>’</w:t>
            </w:r>
            <w:r w:rsidRPr="00C66719">
              <w:rPr>
                <w:rFonts w:cs="Arial"/>
                <w:i/>
                <w:sz w:val="22"/>
                <w:szCs w:val="22"/>
              </w:rPr>
              <w:t xml:space="preserve"> workplace that…a reasonable person would not have anticipated that [the </w:t>
            </w:r>
            <w:r w:rsidR="00DA5FAE" w:rsidRPr="00C66719">
              <w:rPr>
                <w:rFonts w:cs="Arial"/>
                <w:i/>
                <w:sz w:val="22"/>
                <w:szCs w:val="22"/>
              </w:rPr>
              <w:t>complainant</w:t>
            </w:r>
            <w:r w:rsidRPr="00C66719">
              <w:rPr>
                <w:rFonts w:cs="Arial"/>
                <w:i/>
                <w:sz w:val="22"/>
                <w:szCs w:val="22"/>
              </w:rPr>
              <w:t>] would be offended.</w:t>
            </w:r>
            <w:r w:rsidRPr="003624E0">
              <w:rPr>
                <w:rStyle w:val="EndnoteReference"/>
                <w:rFonts w:cs="Arial"/>
                <w:sz w:val="22"/>
                <w:szCs w:val="22"/>
              </w:rPr>
              <w:endnoteReference w:id="33"/>
            </w:r>
          </w:p>
        </w:tc>
      </w:tr>
    </w:tbl>
    <w:p w:rsidR="00E5076E" w:rsidRPr="003624E0" w:rsidRDefault="00E5076E" w:rsidP="00E15631">
      <w:pPr>
        <w:pStyle w:val="SubmissionNormal"/>
        <w:numPr>
          <w:ilvl w:val="0"/>
          <w:numId w:val="0"/>
        </w:numPr>
      </w:pP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E5076E" w:rsidRPr="003624E0">
        <w:trPr>
          <w:trHeight w:val="503"/>
        </w:trPr>
        <w:tc>
          <w:tcPr>
            <w:tcW w:w="9071" w:type="dxa"/>
            <w:shd w:val="clear" w:color="0078C1" w:fill="C6D9F1" w:themeFill="text2" w:themeFillTint="33"/>
            <w:tcMar>
              <w:top w:w="227" w:type="dxa"/>
              <w:left w:w="227" w:type="dxa"/>
              <w:bottom w:w="255" w:type="dxa"/>
              <w:right w:w="227" w:type="dxa"/>
            </w:tcMar>
          </w:tcPr>
          <w:p w:rsidR="00E5076E" w:rsidRPr="003624E0" w:rsidRDefault="008A2195" w:rsidP="00E5076E">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 w:val="22"/>
                <w:szCs w:val="22"/>
              </w:rPr>
            </w:pPr>
            <w:r>
              <w:rPr>
                <w:rFonts w:cs="Arial"/>
                <w:b/>
                <w:bCs/>
                <w:color w:val="000000"/>
                <w:szCs w:val="22"/>
              </w:rPr>
              <w:t xml:space="preserve">Case study: </w:t>
            </w:r>
            <w:r w:rsidR="0000320C" w:rsidRPr="003624E0">
              <w:rPr>
                <w:rFonts w:cs="Arial"/>
                <w:b/>
                <w:bCs/>
                <w:color w:val="000000"/>
                <w:szCs w:val="22"/>
              </w:rPr>
              <w:t>Reasonableness</w:t>
            </w:r>
            <w:r w:rsidR="00E5076E" w:rsidRPr="003624E0">
              <w:rPr>
                <w:rStyle w:val="EndnoteReference"/>
                <w:sz w:val="22"/>
                <w:szCs w:val="22"/>
              </w:rPr>
              <w:endnoteReference w:id="34"/>
            </w:r>
          </w:p>
          <w:p w:rsidR="00E5076E" w:rsidRPr="003624E0" w:rsidRDefault="00B33AD5" w:rsidP="000B50C0">
            <w:pPr>
              <w:widowControl w:val="0"/>
              <w:tabs>
                <w:tab w:val="left" w:pos="3533"/>
                <w:tab w:val="center" w:pos="4308"/>
              </w:tabs>
              <w:suppressAutoHyphens/>
              <w:autoSpaceDE w:val="0"/>
              <w:autoSpaceDN w:val="0"/>
              <w:adjustRightInd w:val="0"/>
              <w:textAlignment w:val="center"/>
              <w:rPr>
                <w:rFonts w:cs="Arial"/>
                <w:sz w:val="22"/>
              </w:rPr>
            </w:pPr>
            <w:r w:rsidRPr="003624E0">
              <w:rPr>
                <w:rFonts w:cs="Arial"/>
                <w:sz w:val="22"/>
              </w:rPr>
              <w:t xml:space="preserve">A woman </w:t>
            </w:r>
            <w:r w:rsidR="00E5076E" w:rsidRPr="003624E0">
              <w:rPr>
                <w:rFonts w:cs="Arial"/>
                <w:sz w:val="22"/>
              </w:rPr>
              <w:t xml:space="preserve">was employed as a building consultant selling house and land packages on behalf of </w:t>
            </w:r>
            <w:r w:rsidRPr="003624E0">
              <w:rPr>
                <w:rFonts w:cs="Arial"/>
                <w:sz w:val="22"/>
              </w:rPr>
              <w:t>her employer</w:t>
            </w:r>
            <w:r w:rsidR="00E5076E" w:rsidRPr="003624E0">
              <w:rPr>
                <w:rFonts w:cs="Arial"/>
                <w:sz w:val="22"/>
              </w:rPr>
              <w:t xml:space="preserve">. </w:t>
            </w:r>
            <w:r w:rsidR="00E0653B" w:rsidRPr="003624E0">
              <w:rPr>
                <w:rFonts w:cs="Arial"/>
                <w:sz w:val="22"/>
              </w:rPr>
              <w:t xml:space="preserve"> </w:t>
            </w:r>
            <w:r w:rsidR="00E5076E" w:rsidRPr="003624E0">
              <w:rPr>
                <w:rFonts w:cs="Arial"/>
                <w:sz w:val="22"/>
              </w:rPr>
              <w:t xml:space="preserve">During her employment, </w:t>
            </w:r>
            <w:r w:rsidR="003D18B1">
              <w:rPr>
                <w:rFonts w:cs="Arial"/>
                <w:sz w:val="22"/>
              </w:rPr>
              <w:t>the woman</w:t>
            </w:r>
            <w:r w:rsidR="00E0653B" w:rsidRPr="003624E0">
              <w:rPr>
                <w:rFonts w:cs="Arial"/>
                <w:i/>
                <w:sz w:val="22"/>
              </w:rPr>
              <w:t xml:space="preserve"> </w:t>
            </w:r>
            <w:r w:rsidR="00E5076E" w:rsidRPr="003624E0">
              <w:rPr>
                <w:rFonts w:cs="Arial"/>
                <w:sz w:val="22"/>
              </w:rPr>
              <w:t xml:space="preserve">made a number of complaints about conduct that occurred in the workplace, including complaints of sexual harassment. </w:t>
            </w:r>
            <w:r w:rsidR="00E0653B" w:rsidRPr="003624E0">
              <w:rPr>
                <w:rFonts w:cs="Arial"/>
                <w:sz w:val="22"/>
              </w:rPr>
              <w:t xml:space="preserve"> </w:t>
            </w:r>
            <w:r w:rsidR="00401A62" w:rsidRPr="003624E0">
              <w:rPr>
                <w:rFonts w:cs="Arial"/>
                <w:sz w:val="22"/>
                <w:szCs w:val="22"/>
              </w:rPr>
              <w:t xml:space="preserve">Regarding sexual harassment, </w:t>
            </w:r>
            <w:r w:rsidRPr="003624E0">
              <w:rPr>
                <w:rFonts w:cs="Arial"/>
                <w:sz w:val="22"/>
              </w:rPr>
              <w:t xml:space="preserve">she </w:t>
            </w:r>
            <w:r w:rsidR="00401A62" w:rsidRPr="003624E0">
              <w:rPr>
                <w:rFonts w:cs="Arial"/>
                <w:sz w:val="22"/>
                <w:szCs w:val="22"/>
              </w:rPr>
              <w:t>complained that her co-worker</w:t>
            </w:r>
            <w:r w:rsidRPr="003624E0">
              <w:rPr>
                <w:rFonts w:cs="Arial"/>
                <w:sz w:val="22"/>
                <w:szCs w:val="22"/>
              </w:rPr>
              <w:t xml:space="preserve"> </w:t>
            </w:r>
            <w:r w:rsidR="00401A62" w:rsidRPr="003624E0">
              <w:rPr>
                <w:rFonts w:cs="Arial"/>
                <w:sz w:val="22"/>
                <w:szCs w:val="22"/>
              </w:rPr>
              <w:t xml:space="preserve">had made requests for sexual favours to her in two emails and a number of subsequent text messages.  She had indicated in her response to </w:t>
            </w:r>
            <w:r w:rsidRPr="003624E0">
              <w:rPr>
                <w:rFonts w:cs="Arial"/>
                <w:sz w:val="22"/>
                <w:szCs w:val="22"/>
              </w:rPr>
              <w:t xml:space="preserve">her co-worker’s </w:t>
            </w:r>
            <w:r w:rsidR="00401A62" w:rsidRPr="003624E0">
              <w:rPr>
                <w:rFonts w:cs="Arial"/>
                <w:sz w:val="22"/>
                <w:szCs w:val="22"/>
              </w:rPr>
              <w:t xml:space="preserve">first email that she did not wish to receive requests for sexual favours from him.  </w:t>
            </w:r>
            <w:r w:rsidRPr="003624E0">
              <w:rPr>
                <w:rFonts w:cs="Arial"/>
                <w:sz w:val="22"/>
                <w:szCs w:val="22"/>
              </w:rPr>
              <w:t xml:space="preserve">The co-worker </w:t>
            </w:r>
            <w:r w:rsidR="00401A62" w:rsidRPr="003624E0">
              <w:rPr>
                <w:rFonts w:cs="Arial"/>
                <w:sz w:val="22"/>
                <w:szCs w:val="22"/>
              </w:rPr>
              <w:t>nevertheless persisted to make such requests.</w:t>
            </w:r>
            <w:r w:rsidR="000B50C0" w:rsidRPr="003624E0">
              <w:rPr>
                <w:rFonts w:cs="Arial"/>
                <w:sz w:val="22"/>
              </w:rPr>
              <w:t xml:space="preserve">  </w:t>
            </w:r>
            <w:r w:rsidRPr="003624E0">
              <w:rPr>
                <w:rFonts w:cs="Arial"/>
                <w:sz w:val="22"/>
              </w:rPr>
              <w:t xml:space="preserve">The woman </w:t>
            </w:r>
            <w:r w:rsidR="00E5076E" w:rsidRPr="003624E0">
              <w:rPr>
                <w:rFonts w:cs="Arial"/>
                <w:sz w:val="22"/>
              </w:rPr>
              <w:t xml:space="preserve">alleged that the subsequent termination of her employment was because she had made complaints of sexual harassment. </w:t>
            </w:r>
          </w:p>
          <w:p w:rsidR="00E0653B" w:rsidRPr="003624E0" w:rsidRDefault="000B50C0" w:rsidP="000B50C0">
            <w:pPr>
              <w:pStyle w:val="FDLParagraphText"/>
              <w:jc w:val="left"/>
              <w:rPr>
                <w:rFonts w:ascii="Arial" w:hAnsi="Arial" w:cs="Arial"/>
                <w:sz w:val="22"/>
                <w:szCs w:val="22"/>
              </w:rPr>
            </w:pPr>
            <w:r w:rsidRPr="003624E0">
              <w:rPr>
                <w:rFonts w:ascii="Arial" w:hAnsi="Arial" w:cs="Arial"/>
                <w:sz w:val="22"/>
                <w:szCs w:val="22"/>
              </w:rPr>
              <w:t xml:space="preserve">In relation to the reasonable person test, Justice </w:t>
            </w:r>
            <w:r w:rsidR="00E0653B" w:rsidRPr="003624E0">
              <w:rPr>
                <w:rFonts w:ascii="Arial" w:hAnsi="Arial" w:cs="Arial"/>
                <w:sz w:val="22"/>
                <w:szCs w:val="22"/>
              </w:rPr>
              <w:t>Mansfield stated</w:t>
            </w:r>
            <w:r w:rsidRPr="003624E0">
              <w:rPr>
                <w:rFonts w:ascii="Arial" w:hAnsi="Arial" w:cs="Arial"/>
                <w:sz w:val="22"/>
                <w:szCs w:val="22"/>
              </w:rPr>
              <w:t xml:space="preserve"> that</w:t>
            </w:r>
          </w:p>
          <w:p w:rsidR="00E5076E" w:rsidRPr="003624E0" w:rsidRDefault="000B50C0" w:rsidP="00B33AD5">
            <w:pPr>
              <w:pStyle w:val="FDLQuotationText"/>
              <w:jc w:val="left"/>
            </w:pPr>
            <w:r w:rsidRPr="00C66719">
              <w:rPr>
                <w:i/>
              </w:rPr>
              <w:t>[h]</w:t>
            </w:r>
            <w:proofErr w:type="spellStart"/>
            <w:r w:rsidR="00E0653B" w:rsidRPr="00C66719">
              <w:rPr>
                <w:i/>
              </w:rPr>
              <w:t>aving</w:t>
            </w:r>
            <w:proofErr w:type="spellEnd"/>
            <w:r w:rsidR="00E0653B" w:rsidRPr="00C66719">
              <w:rPr>
                <w:i/>
              </w:rPr>
              <w:t xml:space="preserve"> indicated her </w:t>
            </w:r>
            <w:proofErr w:type="gramStart"/>
            <w:r w:rsidR="00E0653B" w:rsidRPr="00C66719">
              <w:rPr>
                <w:i/>
              </w:rPr>
              <w:t xml:space="preserve">attitude quite clearly, it was apparent, and a reasonable person would have anticipated, that </w:t>
            </w:r>
            <w:r w:rsidR="00B33AD5" w:rsidRPr="00C66719">
              <w:rPr>
                <w:i/>
              </w:rPr>
              <w:t xml:space="preserve">[the woman] </w:t>
            </w:r>
            <w:r w:rsidR="00E0653B" w:rsidRPr="00C66719">
              <w:rPr>
                <w:i/>
              </w:rPr>
              <w:t>would be offended if the requests were</w:t>
            </w:r>
            <w:proofErr w:type="gramEnd"/>
            <w:r w:rsidR="00E0653B" w:rsidRPr="00C66719">
              <w:rPr>
                <w:i/>
              </w:rPr>
              <w:t xml:space="preserve"> maintained (as they were). </w:t>
            </w:r>
            <w:r w:rsidRPr="00C66719">
              <w:rPr>
                <w:i/>
              </w:rPr>
              <w:t xml:space="preserve"> </w:t>
            </w:r>
            <w:r w:rsidR="00E0653B" w:rsidRPr="00C66719">
              <w:rPr>
                <w:i/>
              </w:rPr>
              <w:t xml:space="preserve">It was also apparent, and a reasonable person would have anticipated, that she would be humiliated by such conduct because it conveys an understanding of the potential preparedness of </w:t>
            </w:r>
            <w:r w:rsidR="00B33AD5" w:rsidRPr="00C66719">
              <w:rPr>
                <w:i/>
              </w:rPr>
              <w:t xml:space="preserve">[the woman] </w:t>
            </w:r>
            <w:r w:rsidR="00E0653B" w:rsidRPr="00C66719">
              <w:rPr>
                <w:i/>
              </w:rPr>
              <w:t xml:space="preserve">to have a sexual relationship with him, notwithstanding her clearly expressed attitude to the contrary. </w:t>
            </w:r>
            <w:r w:rsidRPr="00C66719">
              <w:rPr>
                <w:i/>
              </w:rPr>
              <w:t xml:space="preserve"> </w:t>
            </w:r>
            <w:r w:rsidR="00E0653B" w:rsidRPr="00C66719">
              <w:rPr>
                <w:i/>
              </w:rPr>
              <w:t xml:space="preserve">Even if </w:t>
            </w:r>
            <w:r w:rsidR="00B33AD5" w:rsidRPr="00C66719">
              <w:rPr>
                <w:i/>
              </w:rPr>
              <w:t xml:space="preserve">[the co-worker] </w:t>
            </w:r>
            <w:r w:rsidR="00E0653B" w:rsidRPr="00C66719">
              <w:rPr>
                <w:i/>
              </w:rPr>
              <w:t xml:space="preserve">did not see the situation that way, and was nevertheless hopeful of establishing a sexual relationship, that does not result in a different conclusion. </w:t>
            </w:r>
            <w:r w:rsidRPr="00C66719">
              <w:rPr>
                <w:i/>
              </w:rPr>
              <w:t xml:space="preserve"> </w:t>
            </w:r>
            <w:r w:rsidR="00E0653B" w:rsidRPr="00C66719">
              <w:rPr>
                <w:i/>
              </w:rPr>
              <w:t>The test in s 28A is clearly an objective one</w:t>
            </w:r>
            <w:r w:rsidRPr="00C66719">
              <w:rPr>
                <w:i/>
              </w:rPr>
              <w:t>…</w:t>
            </w:r>
            <w:r w:rsidR="00E0653B" w:rsidRPr="003624E0">
              <w:rPr>
                <w:rStyle w:val="EndnoteReference"/>
                <w:rFonts w:eastAsia="MS Mincho"/>
                <w:sz w:val="22"/>
              </w:rPr>
              <w:endnoteReference w:id="35"/>
            </w:r>
          </w:p>
        </w:tc>
      </w:tr>
    </w:tbl>
    <w:p w:rsidR="00F46AAA" w:rsidRPr="003624E0" w:rsidRDefault="00F46AAA" w:rsidP="00E15631">
      <w:pPr>
        <w:pStyle w:val="SubmissionNormal"/>
        <w:numPr>
          <w:ilvl w:val="0"/>
          <w:numId w:val="0"/>
        </w:numPr>
      </w:pPr>
      <w:r w:rsidRPr="003624E0">
        <w:t xml:space="preserve">Employers should note that the threshold for establishing sexual harassment was </w:t>
      </w:r>
      <w:r w:rsidR="002D7400">
        <w:t>chang</w:t>
      </w:r>
      <w:r w:rsidR="002D7400" w:rsidRPr="003624E0">
        <w:t xml:space="preserve">ed </w:t>
      </w:r>
      <w:r w:rsidRPr="003624E0">
        <w:t xml:space="preserve">in 2011 following amendments to the Sex Discrimination Act.  </w:t>
      </w:r>
    </w:p>
    <w:p w:rsidR="00F46AAA" w:rsidRPr="003624E0" w:rsidRDefault="00F46AAA" w:rsidP="00A85496">
      <w:pPr>
        <w:pStyle w:val="SubmissionNormal"/>
        <w:numPr>
          <w:ilvl w:val="0"/>
          <w:numId w:val="0"/>
        </w:numPr>
      </w:pPr>
      <w:r w:rsidRPr="003624E0">
        <w:t xml:space="preserve">The current test focuses on whether a reasonable person would anticipate the </w:t>
      </w:r>
      <w:r w:rsidRPr="003624E0">
        <w:rPr>
          <w:i/>
        </w:rPr>
        <w:t xml:space="preserve">possibility </w:t>
      </w:r>
      <w:r w:rsidRPr="003624E0">
        <w:t xml:space="preserve">that the other person would be offended, humiliated or intimidated by the behaviour.  By contrast, the old test required that a reasonable person </w:t>
      </w:r>
      <w:r w:rsidRPr="003624E0">
        <w:rPr>
          <w:i/>
        </w:rPr>
        <w:t>would have</w:t>
      </w:r>
      <w:r w:rsidRPr="003624E0">
        <w:t xml:space="preserve"> anticipated that the person harassed would be offended, humiliated or intimidated.</w:t>
      </w:r>
    </w:p>
    <w:p w:rsidR="00E15631" w:rsidRPr="003624E0" w:rsidRDefault="008B2E06" w:rsidP="00E15631">
      <w:pPr>
        <w:pStyle w:val="SubmissionNormal"/>
        <w:numPr>
          <w:ilvl w:val="0"/>
          <w:numId w:val="0"/>
        </w:numPr>
      </w:pPr>
      <w:r w:rsidRPr="003624E0">
        <w:t xml:space="preserve">The circumstances of a particular situation </w:t>
      </w:r>
      <w:r w:rsidR="00A04DED" w:rsidRPr="003624E0">
        <w:t xml:space="preserve">may </w:t>
      </w:r>
      <w:r w:rsidRPr="003624E0">
        <w:t xml:space="preserve">affect whether or not a reasonable person </w:t>
      </w:r>
      <w:r w:rsidR="001065E8" w:rsidRPr="003624E0">
        <w:t>would have anticipated</w:t>
      </w:r>
      <w:r w:rsidRPr="003624E0">
        <w:t xml:space="preserve"> the possibility that </w:t>
      </w:r>
      <w:r w:rsidR="001065E8" w:rsidRPr="003624E0">
        <w:t xml:space="preserve">the sexual </w:t>
      </w:r>
      <w:r w:rsidRPr="003624E0">
        <w:t>conduct</w:t>
      </w:r>
      <w:r w:rsidR="001065E8" w:rsidRPr="003624E0">
        <w:t xml:space="preserve"> would have </w:t>
      </w:r>
      <w:r w:rsidRPr="003624E0">
        <w:t>cause</w:t>
      </w:r>
      <w:r w:rsidR="001065E8" w:rsidRPr="003624E0">
        <w:t xml:space="preserve">d the </w:t>
      </w:r>
      <w:r w:rsidR="00E15631" w:rsidRPr="003624E0">
        <w:t xml:space="preserve">recipient </w:t>
      </w:r>
      <w:r w:rsidRPr="003624E0">
        <w:t xml:space="preserve">offence, humiliation or intimidation.  </w:t>
      </w:r>
      <w:r w:rsidR="00E15631" w:rsidRPr="003624E0">
        <w:t xml:space="preserve">For example, putting an arm around a colleague because he </w:t>
      </w:r>
      <w:r w:rsidR="00724D5D">
        <w:t xml:space="preserve">or she </w:t>
      </w:r>
      <w:r w:rsidR="00E15631" w:rsidRPr="003624E0">
        <w:t xml:space="preserve">is upset might be assessed as compassionate and not sexual harassment where </w:t>
      </w:r>
      <w:r w:rsidR="00CF2EE7" w:rsidRPr="003624E0">
        <w:t xml:space="preserve">the </w:t>
      </w:r>
      <w:r w:rsidR="00E15631" w:rsidRPr="003624E0">
        <w:t>individuals concerned are friends and perhaps of similar age.</w:t>
      </w:r>
      <w:r w:rsidR="000132A4" w:rsidRPr="003624E0">
        <w:t xml:space="preserve"> </w:t>
      </w:r>
      <w:r w:rsidR="00E15631" w:rsidRPr="003624E0">
        <w:t xml:space="preserve">However, the same action might be assessed as sexual harassment where the action is by a </w:t>
      </w:r>
      <w:r w:rsidR="002D7400">
        <w:t>senior male manager</w:t>
      </w:r>
      <w:r w:rsidR="00E15631" w:rsidRPr="003624E0">
        <w:t xml:space="preserve"> to a young female employee.</w:t>
      </w:r>
    </w:p>
    <w:p w:rsidR="007547D9" w:rsidRPr="003624E0" w:rsidRDefault="00251218" w:rsidP="007547D9">
      <w:pPr>
        <w:pStyle w:val="SubmissionNormal"/>
        <w:numPr>
          <w:ilvl w:val="0"/>
          <w:numId w:val="0"/>
        </w:numPr>
      </w:pPr>
      <w:r w:rsidRPr="003624E0">
        <w:t xml:space="preserve">The 2011 amendments to the Sex Discrimination Act introduced </w:t>
      </w:r>
      <w:r w:rsidR="00BE2A73" w:rsidRPr="003624E0">
        <w:t xml:space="preserve">a non-exhaustive </w:t>
      </w:r>
      <w:r w:rsidR="00A67A18" w:rsidRPr="003624E0">
        <w:t xml:space="preserve">list of circumstances </w:t>
      </w:r>
      <w:r w:rsidR="00BE2A73" w:rsidRPr="003624E0">
        <w:t>to be taken into account</w:t>
      </w:r>
      <w:r w:rsidR="00420B91" w:rsidRPr="003624E0">
        <w:t xml:space="preserve"> </w:t>
      </w:r>
      <w:r w:rsidR="008516A0" w:rsidRPr="003624E0">
        <w:t xml:space="preserve">when </w:t>
      </w:r>
      <w:r w:rsidR="00420B91" w:rsidRPr="003624E0">
        <w:t xml:space="preserve">determining whether </w:t>
      </w:r>
      <w:r w:rsidRPr="003624E0">
        <w:t>sexual harassment has occurred</w:t>
      </w:r>
      <w:r w:rsidR="007547D9" w:rsidRPr="003624E0">
        <w:t>.</w:t>
      </w:r>
      <w:r w:rsidR="006205EA" w:rsidRPr="003624E0">
        <w:rPr>
          <w:rStyle w:val="EndnoteReference"/>
        </w:rPr>
        <w:endnoteReference w:id="36"/>
      </w:r>
      <w:r w:rsidR="00AA73D0" w:rsidRPr="003624E0">
        <w:t xml:space="preserve">  This list was amended in 2013.</w:t>
      </w:r>
      <w:r w:rsidR="00AA73D0" w:rsidRPr="003624E0">
        <w:rPr>
          <w:rStyle w:val="EndnoteReference"/>
        </w:rPr>
        <w:endnoteReference w:id="37"/>
      </w:r>
      <w:r w:rsidR="007547D9" w:rsidRPr="003624E0">
        <w:t xml:space="preserv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7547D9" w:rsidRPr="003624E0">
        <w:trPr>
          <w:trHeight w:val="1476"/>
        </w:trPr>
        <w:tc>
          <w:tcPr>
            <w:tcW w:w="9071" w:type="dxa"/>
            <w:shd w:val="clear" w:color="0078C1" w:fill="DAEEF3" w:themeFill="accent5" w:themeFillTint="33"/>
            <w:tcMar>
              <w:top w:w="227" w:type="dxa"/>
              <w:left w:w="227" w:type="dxa"/>
              <w:bottom w:w="255" w:type="dxa"/>
              <w:right w:w="227" w:type="dxa"/>
            </w:tcMar>
          </w:tcPr>
          <w:p w:rsidR="007547D9" w:rsidRPr="003624E0" w:rsidRDefault="007547D9" w:rsidP="0075078D">
            <w:pPr>
              <w:keepNext/>
              <w:widowControl w:val="0"/>
              <w:suppressAutoHyphens/>
              <w:autoSpaceDE w:val="0"/>
              <w:autoSpaceDN w:val="0"/>
              <w:adjustRightInd w:val="0"/>
              <w:spacing w:before="120" w:after="120"/>
              <w:ind w:left="567" w:hanging="567"/>
              <w:jc w:val="center"/>
              <w:textAlignment w:val="center"/>
              <w:rPr>
                <w:rFonts w:cs="HelveticaNeue"/>
                <w:b/>
                <w:color w:val="000000"/>
              </w:rPr>
            </w:pPr>
            <w:r w:rsidRPr="003624E0">
              <w:rPr>
                <w:rFonts w:cs="HelveticaNeue-Bold"/>
                <w:b/>
                <w:bCs/>
                <w:color w:val="000000"/>
              </w:rPr>
              <w:t>Circumstances relevant to a determination of sexual harassment</w:t>
            </w:r>
          </w:p>
          <w:p w:rsidR="007547D9" w:rsidRPr="003624E0" w:rsidRDefault="007547D9" w:rsidP="0075078D">
            <w:pPr>
              <w:spacing w:before="120" w:after="120"/>
              <w:rPr>
                <w:sz w:val="22"/>
                <w:szCs w:val="22"/>
              </w:rPr>
            </w:pPr>
            <w:r w:rsidRPr="003624E0">
              <w:rPr>
                <w:sz w:val="22"/>
                <w:szCs w:val="22"/>
              </w:rPr>
              <w:t xml:space="preserve">The circumstances </w:t>
            </w:r>
            <w:r w:rsidR="00DC2E22" w:rsidRPr="003624E0">
              <w:rPr>
                <w:sz w:val="22"/>
                <w:szCs w:val="22"/>
              </w:rPr>
              <w:t xml:space="preserve">to be </w:t>
            </w:r>
            <w:r w:rsidRPr="003624E0">
              <w:rPr>
                <w:sz w:val="22"/>
                <w:szCs w:val="22"/>
              </w:rPr>
              <w:t>taken into account include:</w:t>
            </w:r>
          </w:p>
          <w:p w:rsidR="007547D9" w:rsidRPr="003624E0" w:rsidRDefault="007547D9" w:rsidP="00C675AB">
            <w:pPr>
              <w:pStyle w:val="ListParagraph"/>
              <w:numPr>
                <w:ilvl w:val="0"/>
                <w:numId w:val="16"/>
              </w:numPr>
              <w:spacing w:before="120" w:after="120"/>
              <w:ind w:left="333" w:hanging="276"/>
              <w:contextualSpacing w:val="0"/>
              <w:rPr>
                <w:sz w:val="22"/>
                <w:szCs w:val="22"/>
              </w:rPr>
            </w:pPr>
            <w:r w:rsidRPr="003624E0">
              <w:rPr>
                <w:sz w:val="22"/>
                <w:szCs w:val="22"/>
              </w:rPr>
              <w:t xml:space="preserve">the sex, age, </w:t>
            </w:r>
            <w:r w:rsidR="00AA73D0" w:rsidRPr="003624E0">
              <w:rPr>
                <w:sz w:val="22"/>
                <w:szCs w:val="22"/>
              </w:rPr>
              <w:t>sexual orientation, gender identity, intersex status, marital or relationship status</w:t>
            </w:r>
            <w:r w:rsidRPr="003624E0">
              <w:rPr>
                <w:sz w:val="22"/>
                <w:szCs w:val="22"/>
              </w:rPr>
              <w:t>, religious belief, race, colour, or national or ethnic origin, of the person harassed;</w:t>
            </w:r>
          </w:p>
          <w:p w:rsidR="007547D9" w:rsidRPr="003624E0" w:rsidRDefault="007547D9" w:rsidP="00C675AB">
            <w:pPr>
              <w:pStyle w:val="ListParagraph"/>
              <w:numPr>
                <w:ilvl w:val="0"/>
                <w:numId w:val="16"/>
              </w:numPr>
              <w:spacing w:before="120" w:after="120"/>
              <w:ind w:left="333" w:hanging="276"/>
              <w:contextualSpacing w:val="0"/>
              <w:rPr>
                <w:sz w:val="22"/>
                <w:szCs w:val="22"/>
              </w:rPr>
            </w:pPr>
            <w:r w:rsidRPr="003624E0">
              <w:rPr>
                <w:sz w:val="22"/>
                <w:szCs w:val="22"/>
              </w:rPr>
              <w:t>the relationship between the person harassed and the person who made the advance or request or who engaged in the conduct;</w:t>
            </w:r>
          </w:p>
          <w:p w:rsidR="00BD1D85" w:rsidRPr="003624E0" w:rsidRDefault="007547D9" w:rsidP="00C675AB">
            <w:pPr>
              <w:pStyle w:val="ListParagraph"/>
              <w:numPr>
                <w:ilvl w:val="0"/>
                <w:numId w:val="16"/>
              </w:numPr>
              <w:spacing w:before="120" w:after="120"/>
              <w:ind w:left="333" w:hanging="276"/>
              <w:contextualSpacing w:val="0"/>
              <w:rPr>
                <w:sz w:val="22"/>
                <w:szCs w:val="22"/>
              </w:rPr>
            </w:pPr>
            <w:r w:rsidRPr="003624E0">
              <w:rPr>
                <w:sz w:val="22"/>
                <w:szCs w:val="22"/>
              </w:rPr>
              <w:t>any disability of the person harassed;</w:t>
            </w:r>
          </w:p>
          <w:p w:rsidR="007547D9" w:rsidRPr="003624E0" w:rsidRDefault="007547D9" w:rsidP="00C675AB">
            <w:pPr>
              <w:pStyle w:val="ListParagraph"/>
              <w:numPr>
                <w:ilvl w:val="0"/>
                <w:numId w:val="16"/>
              </w:numPr>
              <w:spacing w:before="120" w:after="120"/>
              <w:ind w:left="333" w:hanging="276"/>
              <w:contextualSpacing w:val="0"/>
              <w:rPr>
                <w:sz w:val="22"/>
                <w:szCs w:val="22"/>
              </w:rPr>
            </w:pPr>
            <w:proofErr w:type="gramStart"/>
            <w:r w:rsidRPr="003624E0">
              <w:rPr>
                <w:sz w:val="22"/>
                <w:szCs w:val="22"/>
              </w:rPr>
              <w:t>any</w:t>
            </w:r>
            <w:proofErr w:type="gramEnd"/>
            <w:r w:rsidRPr="003624E0">
              <w:rPr>
                <w:sz w:val="22"/>
                <w:szCs w:val="22"/>
              </w:rPr>
              <w:t xml:space="preserve"> other relevant circumstance.</w:t>
            </w:r>
            <w:r w:rsidRPr="003624E0">
              <w:rPr>
                <w:rStyle w:val="EndnoteReference"/>
                <w:sz w:val="22"/>
                <w:szCs w:val="22"/>
              </w:rPr>
              <w:endnoteReference w:id="38"/>
            </w:r>
          </w:p>
        </w:tc>
      </w:tr>
    </w:tbl>
    <w:p w:rsidR="00290EDF" w:rsidRPr="003624E0" w:rsidRDefault="00F46AAA" w:rsidP="00F46AAA">
      <w:pPr>
        <w:rPr>
          <w:rFonts w:cs="Arial"/>
        </w:rPr>
      </w:pPr>
      <w:r w:rsidRPr="003624E0">
        <w:rPr>
          <w:rFonts w:cs="Arial"/>
        </w:rPr>
        <w:t xml:space="preserve">The intent of the change was to ensure that all relevant circumstances are taken into account when applying the objective element </w:t>
      </w:r>
      <w:r w:rsidR="00F03F2D" w:rsidRPr="003624E0">
        <w:rPr>
          <w:rFonts w:cs="Arial"/>
        </w:rPr>
        <w:t>of the sexual harassment definition</w:t>
      </w:r>
      <w:r w:rsidRPr="003624E0">
        <w:rPr>
          <w:rFonts w:cs="Arial"/>
        </w:rPr>
        <w:t xml:space="preserve">.  These circumstances may </w:t>
      </w:r>
      <w:r w:rsidR="00F03F2D" w:rsidRPr="003624E0">
        <w:rPr>
          <w:rFonts w:cs="Arial"/>
        </w:rPr>
        <w:t xml:space="preserve">also </w:t>
      </w:r>
      <w:r w:rsidR="00834073" w:rsidRPr="003624E0">
        <w:rPr>
          <w:rFonts w:cs="Arial"/>
        </w:rPr>
        <w:t>help to explain why a particular</w:t>
      </w:r>
      <w:r w:rsidRPr="003624E0">
        <w:rPr>
          <w:rFonts w:cs="Arial"/>
        </w:rPr>
        <w:t xml:space="preserve"> individual </w:t>
      </w:r>
      <w:r w:rsidR="002D7400">
        <w:rPr>
          <w:rFonts w:cs="Arial"/>
        </w:rPr>
        <w:t xml:space="preserve">person </w:t>
      </w:r>
      <w:r w:rsidRPr="003624E0">
        <w:rPr>
          <w:rFonts w:cs="Arial"/>
        </w:rPr>
        <w:t xml:space="preserve">felt that the conduct was unwelcome and inappropriate.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290EDF" w:rsidRPr="003624E0">
        <w:trPr>
          <w:trHeight w:val="503"/>
        </w:trPr>
        <w:tc>
          <w:tcPr>
            <w:tcW w:w="9071" w:type="dxa"/>
            <w:shd w:val="clear" w:color="0078C1" w:fill="C6D9F1" w:themeFill="text2" w:themeFillTint="33"/>
            <w:tcMar>
              <w:top w:w="227" w:type="dxa"/>
              <w:left w:w="227" w:type="dxa"/>
              <w:bottom w:w="255" w:type="dxa"/>
              <w:right w:w="227" w:type="dxa"/>
            </w:tcMar>
          </w:tcPr>
          <w:p w:rsidR="00290EDF" w:rsidRPr="003624E0" w:rsidRDefault="008A2195" w:rsidP="00290EDF">
            <w:pPr>
              <w:widowControl w:val="0"/>
              <w:tabs>
                <w:tab w:val="left" w:pos="3533"/>
                <w:tab w:val="center" w:pos="4308"/>
              </w:tabs>
              <w:suppressAutoHyphens/>
              <w:autoSpaceDE w:val="0"/>
              <w:autoSpaceDN w:val="0"/>
              <w:adjustRightInd w:val="0"/>
              <w:spacing w:before="170" w:after="0"/>
              <w:jc w:val="center"/>
              <w:textAlignment w:val="center"/>
              <w:rPr>
                <w:rFonts w:cs="Arial"/>
                <w:b/>
                <w:bCs/>
                <w:color w:val="000000"/>
                <w:szCs w:val="22"/>
              </w:rPr>
            </w:pPr>
            <w:r>
              <w:rPr>
                <w:rFonts w:cs="Arial"/>
                <w:b/>
                <w:bCs/>
                <w:color w:val="000000"/>
                <w:szCs w:val="22"/>
              </w:rPr>
              <w:t xml:space="preserve">Case study: </w:t>
            </w:r>
            <w:r w:rsidR="00290EDF" w:rsidRPr="003624E0">
              <w:rPr>
                <w:rFonts w:cs="Arial"/>
                <w:b/>
                <w:bCs/>
                <w:color w:val="000000"/>
                <w:szCs w:val="22"/>
              </w:rPr>
              <w:t>Reasonableness</w:t>
            </w:r>
            <w:r w:rsidR="00290EDF" w:rsidRPr="003624E0">
              <w:rPr>
                <w:rStyle w:val="EndnoteReference"/>
                <w:sz w:val="22"/>
                <w:szCs w:val="22"/>
              </w:rPr>
              <w:endnoteReference w:id="39"/>
            </w:r>
          </w:p>
          <w:p w:rsidR="00290EDF" w:rsidRPr="003624E0" w:rsidRDefault="00290EDF" w:rsidP="00290EDF">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sidRPr="003624E0">
              <w:rPr>
                <w:rFonts w:cs="Arial"/>
                <w:bCs/>
                <w:color w:val="000000"/>
                <w:sz w:val="22"/>
                <w:szCs w:val="22"/>
              </w:rPr>
              <w:t xml:space="preserve">The complainant claimed that during her employment as a station hand for the respondent farming company, male colleagues made sexual requests and offensive comments about her body. </w:t>
            </w:r>
            <w:r w:rsidR="000D4939" w:rsidRPr="003624E0">
              <w:rPr>
                <w:rFonts w:cs="Arial"/>
                <w:bCs/>
                <w:color w:val="000000"/>
                <w:sz w:val="22"/>
                <w:szCs w:val="22"/>
              </w:rPr>
              <w:t xml:space="preserve"> </w:t>
            </w:r>
            <w:r w:rsidRPr="003624E0">
              <w:rPr>
                <w:rFonts w:cs="Arial"/>
                <w:bCs/>
                <w:color w:val="000000"/>
                <w:sz w:val="22"/>
                <w:szCs w:val="22"/>
              </w:rPr>
              <w:t xml:space="preserve">The complainant also claimed </w:t>
            </w:r>
            <w:r w:rsidR="000D4939" w:rsidRPr="003624E0">
              <w:rPr>
                <w:rFonts w:cs="Arial"/>
                <w:bCs/>
                <w:color w:val="000000"/>
                <w:sz w:val="22"/>
                <w:szCs w:val="22"/>
              </w:rPr>
              <w:t xml:space="preserve">that </w:t>
            </w:r>
            <w:r w:rsidRPr="003624E0">
              <w:rPr>
                <w:rFonts w:cs="Arial"/>
                <w:bCs/>
                <w:color w:val="000000"/>
                <w:sz w:val="22"/>
                <w:szCs w:val="22"/>
              </w:rPr>
              <w:t>her colleagues called her a lesbian.</w:t>
            </w:r>
            <w:r w:rsidR="000D4939" w:rsidRPr="003624E0">
              <w:rPr>
                <w:rFonts w:cs="Arial"/>
                <w:bCs/>
                <w:color w:val="000000"/>
                <w:sz w:val="22"/>
                <w:szCs w:val="22"/>
              </w:rPr>
              <w:t xml:space="preserve">  </w:t>
            </w:r>
            <w:r w:rsidRPr="003624E0">
              <w:rPr>
                <w:rFonts w:cs="Arial"/>
                <w:bCs/>
                <w:color w:val="000000"/>
                <w:sz w:val="22"/>
                <w:szCs w:val="22"/>
              </w:rPr>
              <w:t>The complainant subsequently left her employment.</w:t>
            </w:r>
          </w:p>
          <w:p w:rsidR="00290EDF" w:rsidRPr="003624E0" w:rsidRDefault="00290EDF" w:rsidP="00290EDF">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sidRPr="003624E0">
              <w:rPr>
                <w:rFonts w:cs="Arial"/>
                <w:bCs/>
                <w:color w:val="000000"/>
                <w:sz w:val="22"/>
                <w:szCs w:val="22"/>
              </w:rPr>
              <w:t>The respondent said the complainant was open about her sexuality and that she was in a same</w:t>
            </w:r>
            <w:r w:rsidR="000D4939" w:rsidRPr="003624E0">
              <w:rPr>
                <w:rFonts w:cs="Arial"/>
                <w:bCs/>
                <w:color w:val="000000"/>
                <w:sz w:val="22"/>
                <w:szCs w:val="22"/>
              </w:rPr>
              <w:t>-</w:t>
            </w:r>
            <w:r w:rsidRPr="003624E0">
              <w:rPr>
                <w:rFonts w:cs="Arial"/>
                <w:bCs/>
                <w:color w:val="000000"/>
                <w:sz w:val="22"/>
                <w:szCs w:val="22"/>
              </w:rPr>
              <w:t xml:space="preserve">sex relationship. </w:t>
            </w:r>
            <w:r w:rsidR="000D4939" w:rsidRPr="003624E0">
              <w:rPr>
                <w:rFonts w:cs="Arial"/>
                <w:bCs/>
                <w:color w:val="000000"/>
                <w:sz w:val="22"/>
                <w:szCs w:val="22"/>
              </w:rPr>
              <w:t xml:space="preserve"> </w:t>
            </w:r>
            <w:r w:rsidRPr="003624E0">
              <w:rPr>
                <w:rFonts w:cs="Arial"/>
                <w:bCs/>
                <w:color w:val="000000"/>
                <w:sz w:val="22"/>
                <w:szCs w:val="22"/>
              </w:rPr>
              <w:t>The respondent denied the complainant's allegations of sexual harassment and sexual preference discrimination.</w:t>
            </w:r>
          </w:p>
          <w:p w:rsidR="00290EDF" w:rsidRPr="003624E0" w:rsidRDefault="00290EDF" w:rsidP="00290EDF">
            <w:pPr>
              <w:widowControl w:val="0"/>
              <w:tabs>
                <w:tab w:val="left" w:pos="3533"/>
                <w:tab w:val="center" w:pos="4308"/>
              </w:tabs>
              <w:suppressAutoHyphens/>
              <w:autoSpaceDE w:val="0"/>
              <w:autoSpaceDN w:val="0"/>
              <w:adjustRightInd w:val="0"/>
              <w:spacing w:before="170" w:after="0"/>
              <w:textAlignment w:val="center"/>
              <w:rPr>
                <w:sz w:val="22"/>
              </w:rPr>
            </w:pPr>
            <w:r w:rsidRPr="003624E0">
              <w:rPr>
                <w:rFonts w:cs="Arial"/>
                <w:bCs/>
                <w:color w:val="000000"/>
                <w:sz w:val="22"/>
                <w:szCs w:val="22"/>
              </w:rPr>
              <w:t xml:space="preserve">The complaint was resolved with an agreement that the respondent </w:t>
            </w:r>
            <w:r w:rsidR="000D4939" w:rsidRPr="003624E0">
              <w:rPr>
                <w:rFonts w:cs="Arial"/>
                <w:bCs/>
                <w:color w:val="000000"/>
                <w:sz w:val="22"/>
                <w:szCs w:val="22"/>
              </w:rPr>
              <w:t xml:space="preserve">would </w:t>
            </w:r>
            <w:r w:rsidRPr="003624E0">
              <w:rPr>
                <w:rFonts w:cs="Arial"/>
                <w:bCs/>
                <w:color w:val="000000"/>
                <w:sz w:val="22"/>
                <w:szCs w:val="22"/>
              </w:rPr>
              <w:t xml:space="preserve">pay the complainant $12,400 in general damages and provide her with a statement of regret and statement of service. </w:t>
            </w:r>
          </w:p>
        </w:tc>
      </w:tr>
    </w:tbl>
    <w:p w:rsidR="005C0134" w:rsidRDefault="00A60EE2" w:rsidP="00A60EE2">
      <w:pPr>
        <w:pStyle w:val="Heading2"/>
        <w:numPr>
          <w:ilvl w:val="0"/>
          <w:numId w:val="0"/>
        </w:numPr>
        <w:ind w:left="851" w:hanging="851"/>
      </w:pPr>
      <w:bookmarkStart w:id="22" w:name="_Toc362446677"/>
      <w:bookmarkStart w:id="23" w:name="_Toc388023524"/>
      <w:proofErr w:type="gramStart"/>
      <w:r w:rsidRPr="003624E0">
        <w:t>2.</w:t>
      </w:r>
      <w:r w:rsidR="00A85496" w:rsidRPr="003624E0">
        <w:t>4</w:t>
      </w:r>
      <w:r w:rsidRPr="003624E0">
        <w:t xml:space="preserve">  </w:t>
      </w:r>
      <w:r w:rsidR="003E1BA6" w:rsidRPr="003624E0">
        <w:t>Workplace</w:t>
      </w:r>
      <w:bookmarkEnd w:id="22"/>
      <w:bookmarkEnd w:id="23"/>
      <w:proofErr w:type="gramEnd"/>
    </w:p>
    <w:p w:rsidR="00FF6237" w:rsidRPr="003624E0" w:rsidRDefault="00A60EE2" w:rsidP="00A60EE2">
      <w:r w:rsidRPr="003624E0">
        <w:t>Sexual harassment is</w:t>
      </w:r>
      <w:r w:rsidR="002208DE">
        <w:t xml:space="preserve"> prohibited</w:t>
      </w:r>
      <w:r w:rsidRPr="003624E0">
        <w:t xml:space="preserve"> </w:t>
      </w:r>
      <w:r w:rsidR="00534640">
        <w:t xml:space="preserve">in the </w:t>
      </w:r>
      <w:r w:rsidR="00534640" w:rsidRPr="002208DE">
        <w:t>workplace</w:t>
      </w:r>
      <w:r w:rsidR="00400044" w:rsidRPr="002208DE">
        <w:t>.  The relationship between the alleged harasser and the person allegedly harassed is the key to understanding when the Sex Discrimination Act applies in the area of employment.</w:t>
      </w:r>
      <w:r w:rsidR="00400044" w:rsidRPr="003624E0">
        <w:t xml:space="preserve">  </w:t>
      </w:r>
    </w:p>
    <w:p w:rsidR="00A60EE2" w:rsidRPr="003624E0" w:rsidRDefault="00400044" w:rsidP="00A60EE2">
      <w:r w:rsidRPr="003624E0">
        <w:t xml:space="preserve">Under the Act, it is </w:t>
      </w:r>
      <w:r w:rsidR="005F1757">
        <w:t xml:space="preserve">unlawful </w:t>
      </w:r>
      <w:r w:rsidRPr="003624E0">
        <w:t>to sexually harass:</w:t>
      </w:r>
    </w:p>
    <w:p w:rsidR="00A60EE2" w:rsidRPr="003624E0" w:rsidRDefault="00A60EE2" w:rsidP="00F84B07">
      <w:pPr>
        <w:pStyle w:val="ListParagraph"/>
        <w:numPr>
          <w:ilvl w:val="0"/>
          <w:numId w:val="23"/>
        </w:numPr>
        <w:ind w:left="567" w:hanging="567"/>
        <w:contextualSpacing w:val="0"/>
      </w:pPr>
      <w:r w:rsidRPr="003624E0">
        <w:t xml:space="preserve">an employee, a commission agent or a contract worker  </w:t>
      </w:r>
    </w:p>
    <w:p w:rsidR="00A60EE2" w:rsidRPr="003624E0" w:rsidRDefault="00A60EE2" w:rsidP="00F84B07">
      <w:pPr>
        <w:pStyle w:val="ListParagraph"/>
        <w:numPr>
          <w:ilvl w:val="0"/>
          <w:numId w:val="23"/>
        </w:numPr>
        <w:ind w:left="567" w:hanging="567"/>
        <w:contextualSpacing w:val="0"/>
      </w:pPr>
      <w:r w:rsidRPr="003624E0">
        <w:t>a prospective employee, commission agent or contract worker</w:t>
      </w:r>
    </w:p>
    <w:p w:rsidR="00A60EE2" w:rsidRPr="003624E0" w:rsidRDefault="00A60EE2" w:rsidP="00F84B07">
      <w:pPr>
        <w:pStyle w:val="ListParagraph"/>
        <w:numPr>
          <w:ilvl w:val="0"/>
          <w:numId w:val="23"/>
        </w:numPr>
        <w:ind w:left="567" w:hanging="567"/>
        <w:contextualSpacing w:val="0"/>
      </w:pPr>
      <w:r w:rsidRPr="003624E0">
        <w:t xml:space="preserve">a colleague, partner, fellow commission agent or fellow contract worker </w:t>
      </w:r>
    </w:p>
    <w:p w:rsidR="00A60EE2" w:rsidRPr="003624E0" w:rsidRDefault="00A60EE2" w:rsidP="00F84B07">
      <w:pPr>
        <w:pStyle w:val="ListParagraph"/>
        <w:numPr>
          <w:ilvl w:val="0"/>
          <w:numId w:val="23"/>
        </w:numPr>
        <w:ind w:left="567" w:hanging="567"/>
        <w:contextualSpacing w:val="0"/>
      </w:pPr>
      <w:r w:rsidRPr="003624E0">
        <w:t>a prospective colleague, partner, fellow commission agent or fellow contract worker</w:t>
      </w:r>
    </w:p>
    <w:p w:rsidR="00A60EE2" w:rsidRPr="003624E0" w:rsidRDefault="00A60EE2" w:rsidP="00F84B07">
      <w:pPr>
        <w:pStyle w:val="ListParagraph"/>
        <w:numPr>
          <w:ilvl w:val="0"/>
          <w:numId w:val="23"/>
        </w:numPr>
        <w:ind w:left="567" w:hanging="567"/>
        <w:contextualSpacing w:val="0"/>
      </w:pPr>
      <w:proofErr w:type="gramStart"/>
      <w:r w:rsidRPr="003624E0">
        <w:t>another</w:t>
      </w:r>
      <w:proofErr w:type="gramEnd"/>
      <w:r w:rsidRPr="003624E0">
        <w:t xml:space="preserve"> workplace participant</w:t>
      </w:r>
      <w:r w:rsidR="0090720D" w:rsidRPr="003624E0">
        <w:t>.</w:t>
      </w:r>
      <w:r w:rsidR="0090720D" w:rsidRPr="003624E0">
        <w:rPr>
          <w:rStyle w:val="EndnoteReference"/>
        </w:rPr>
        <w:endnoteReference w:id="40"/>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B02A19" w:rsidRPr="00B02A19">
        <w:trPr>
          <w:trHeight w:val="503"/>
        </w:trPr>
        <w:tc>
          <w:tcPr>
            <w:tcW w:w="9071" w:type="dxa"/>
            <w:shd w:val="clear" w:color="auto" w:fill="DAEEF3" w:themeFill="accent5" w:themeFillTint="33"/>
            <w:tcMar>
              <w:top w:w="227" w:type="dxa"/>
              <w:left w:w="227" w:type="dxa"/>
              <w:bottom w:w="255" w:type="dxa"/>
              <w:right w:w="227" w:type="dxa"/>
            </w:tcMar>
          </w:tcPr>
          <w:p w:rsidR="004746A8" w:rsidRPr="00B02A19" w:rsidRDefault="004746A8" w:rsidP="00683140">
            <w:pPr>
              <w:widowControl w:val="0"/>
              <w:tabs>
                <w:tab w:val="left" w:pos="3533"/>
                <w:tab w:val="center" w:pos="4308"/>
              </w:tabs>
              <w:suppressAutoHyphens/>
              <w:autoSpaceDE w:val="0"/>
              <w:autoSpaceDN w:val="0"/>
              <w:adjustRightInd w:val="0"/>
              <w:spacing w:before="170" w:after="0"/>
              <w:jc w:val="center"/>
              <w:textAlignment w:val="center"/>
              <w:rPr>
                <w:rFonts w:cs="Arial"/>
                <w:b/>
                <w:szCs w:val="22"/>
              </w:rPr>
            </w:pPr>
            <w:r w:rsidRPr="00B02A19">
              <w:rPr>
                <w:rFonts w:cs="Arial"/>
                <w:b/>
                <w:bCs/>
                <w:szCs w:val="22"/>
              </w:rPr>
              <w:t>Employees</w:t>
            </w:r>
            <w:r w:rsidR="00800F04" w:rsidRPr="00B02A19">
              <w:rPr>
                <w:rFonts w:cs="Arial"/>
                <w:b/>
                <w:bCs/>
                <w:szCs w:val="22"/>
              </w:rPr>
              <w:t xml:space="preserve">, </w:t>
            </w:r>
            <w:r w:rsidR="00437EF2" w:rsidRPr="00B02A19">
              <w:rPr>
                <w:rFonts w:cs="Arial"/>
                <w:b/>
                <w:bCs/>
                <w:szCs w:val="22"/>
              </w:rPr>
              <w:t xml:space="preserve">commission </w:t>
            </w:r>
            <w:r w:rsidRPr="00B02A19">
              <w:rPr>
                <w:rFonts w:cs="Arial"/>
                <w:b/>
                <w:bCs/>
                <w:szCs w:val="22"/>
              </w:rPr>
              <w:t>agents</w:t>
            </w:r>
            <w:r w:rsidR="00800F04" w:rsidRPr="00B02A19">
              <w:rPr>
                <w:rFonts w:cs="Arial"/>
                <w:b/>
                <w:bCs/>
                <w:szCs w:val="22"/>
              </w:rPr>
              <w:t xml:space="preserve"> and workplace participants</w:t>
            </w:r>
          </w:p>
          <w:p w:rsidR="004746A8" w:rsidRPr="00B02A19" w:rsidRDefault="004746A8" w:rsidP="00683140">
            <w:pPr>
              <w:pStyle w:val="SubmissionNormal"/>
              <w:numPr>
                <w:ilvl w:val="0"/>
                <w:numId w:val="0"/>
              </w:numPr>
              <w:rPr>
                <w:b/>
                <w:sz w:val="22"/>
                <w:szCs w:val="22"/>
              </w:rPr>
            </w:pPr>
            <w:r w:rsidRPr="00B02A19">
              <w:rPr>
                <w:b/>
                <w:sz w:val="22"/>
                <w:szCs w:val="22"/>
              </w:rPr>
              <w:t>Who is an employee?</w:t>
            </w:r>
          </w:p>
          <w:p w:rsidR="004746A8" w:rsidRPr="00B02A19" w:rsidRDefault="004746A8" w:rsidP="00683140">
            <w:pPr>
              <w:pStyle w:val="SubmissionNormal"/>
              <w:numPr>
                <w:ilvl w:val="0"/>
                <w:numId w:val="0"/>
              </w:numPr>
              <w:rPr>
                <w:sz w:val="22"/>
                <w:szCs w:val="22"/>
              </w:rPr>
            </w:pPr>
            <w:r w:rsidRPr="00B02A19">
              <w:rPr>
                <w:sz w:val="22"/>
                <w:szCs w:val="22"/>
              </w:rPr>
              <w:t>An employee includes full-time, part-time and casual workers as well as independent contractors.</w:t>
            </w:r>
            <w:r w:rsidRPr="00A95DB8">
              <w:rPr>
                <w:rFonts w:eastAsia="MS Mincho"/>
                <w:sz w:val="16"/>
                <w:szCs w:val="16"/>
              </w:rPr>
              <w:endnoteReference w:id="41"/>
            </w:r>
          </w:p>
          <w:p w:rsidR="0054681D" w:rsidRPr="00B02A19" w:rsidRDefault="0054681D" w:rsidP="00683140">
            <w:pPr>
              <w:rPr>
                <w:rFonts w:eastAsia="Times New Roman"/>
                <w:b/>
                <w:sz w:val="22"/>
                <w:szCs w:val="22"/>
              </w:rPr>
            </w:pPr>
            <w:r w:rsidRPr="00B02A19">
              <w:rPr>
                <w:rFonts w:eastAsia="Times New Roman"/>
                <w:b/>
                <w:sz w:val="22"/>
                <w:szCs w:val="22"/>
              </w:rPr>
              <w:t>Who is a commission agent?</w:t>
            </w:r>
          </w:p>
          <w:p w:rsidR="00087FA5" w:rsidRPr="00B02A19" w:rsidRDefault="00534640" w:rsidP="00683140">
            <w:pPr>
              <w:rPr>
                <w:sz w:val="22"/>
                <w:szCs w:val="22"/>
              </w:rPr>
            </w:pPr>
            <w:r>
              <w:rPr>
                <w:rFonts w:eastAsia="Times New Roman"/>
                <w:sz w:val="22"/>
                <w:szCs w:val="22"/>
              </w:rPr>
              <w:t>A c</w:t>
            </w:r>
            <w:r w:rsidR="0054681D" w:rsidRPr="00B02A19">
              <w:rPr>
                <w:rFonts w:eastAsia="Times New Roman"/>
                <w:sz w:val="22"/>
                <w:szCs w:val="22"/>
              </w:rPr>
              <w:t xml:space="preserve">ommission agent </w:t>
            </w:r>
            <w:r>
              <w:rPr>
                <w:rFonts w:eastAsia="Times New Roman"/>
                <w:sz w:val="22"/>
                <w:szCs w:val="22"/>
              </w:rPr>
              <w:t>is</w:t>
            </w:r>
            <w:r w:rsidR="0054681D" w:rsidRPr="00B02A19">
              <w:rPr>
                <w:rFonts w:eastAsia="Times New Roman"/>
                <w:sz w:val="22"/>
                <w:szCs w:val="22"/>
              </w:rPr>
              <w:t xml:space="preserve"> a person who does work for another person as the agent of that other person and who is remunerated, whether in whole or in part, by commission</w:t>
            </w:r>
            <w:r w:rsidR="00347AD4" w:rsidRPr="00B02A19">
              <w:rPr>
                <w:rStyle w:val="EndnoteReference"/>
                <w:rFonts w:eastAsia="Times New Roman"/>
                <w:szCs w:val="22"/>
              </w:rPr>
              <w:endnoteReference w:id="42"/>
            </w:r>
            <w:r w:rsidR="0054681D" w:rsidRPr="00B02A19">
              <w:rPr>
                <w:rFonts w:ascii="Times New Roman" w:eastAsia="Times New Roman" w:hAnsi="Times New Roman"/>
                <w:sz w:val="22"/>
                <w:szCs w:val="22"/>
              </w:rPr>
              <w:t>.</w:t>
            </w:r>
            <w:r w:rsidR="00BC4B7D" w:rsidRPr="00B02A19">
              <w:rPr>
                <w:sz w:val="22"/>
                <w:szCs w:val="22"/>
              </w:rPr>
              <w:t xml:space="preserve"> </w:t>
            </w:r>
          </w:p>
          <w:p w:rsidR="00970913" w:rsidRPr="00B02A19" w:rsidRDefault="00970913" w:rsidP="00683140">
            <w:pPr>
              <w:rPr>
                <w:b/>
                <w:sz w:val="22"/>
                <w:szCs w:val="22"/>
              </w:rPr>
            </w:pPr>
            <w:r w:rsidRPr="00B02A19">
              <w:rPr>
                <w:b/>
                <w:sz w:val="22"/>
                <w:szCs w:val="22"/>
              </w:rPr>
              <w:t>Who is a workplace participant?</w:t>
            </w:r>
          </w:p>
          <w:p w:rsidR="00970913" w:rsidRPr="00B02A19" w:rsidRDefault="00970913" w:rsidP="00970913">
            <w:pPr>
              <w:rPr>
                <w:sz w:val="22"/>
              </w:rPr>
            </w:pPr>
            <w:r w:rsidRPr="00B02A19">
              <w:rPr>
                <w:sz w:val="22"/>
                <w:szCs w:val="22"/>
              </w:rPr>
              <w:t>A workplace participant includes employers</w:t>
            </w:r>
            <w:r w:rsidR="008A30DE">
              <w:rPr>
                <w:sz w:val="22"/>
                <w:szCs w:val="22"/>
              </w:rPr>
              <w:t xml:space="preserve"> (</w:t>
            </w:r>
            <w:proofErr w:type="spellStart"/>
            <w:r w:rsidR="008A30DE">
              <w:rPr>
                <w:sz w:val="22"/>
                <w:szCs w:val="22"/>
              </w:rPr>
              <w:t>eg</w:t>
            </w:r>
            <w:proofErr w:type="spellEnd"/>
            <w:r w:rsidR="008A30DE">
              <w:rPr>
                <w:sz w:val="22"/>
                <w:szCs w:val="22"/>
              </w:rPr>
              <w:t xml:space="preserve"> sole trader)</w:t>
            </w:r>
            <w:r w:rsidRPr="00B02A19">
              <w:rPr>
                <w:sz w:val="22"/>
                <w:szCs w:val="22"/>
              </w:rPr>
              <w:t>, employees, commission agents, contract workers</w:t>
            </w:r>
            <w:r w:rsidR="00E54C96">
              <w:rPr>
                <w:sz w:val="22"/>
                <w:szCs w:val="22"/>
              </w:rPr>
              <w:t xml:space="preserve"> </w:t>
            </w:r>
            <w:r w:rsidR="00A76448" w:rsidRPr="00B02A19">
              <w:rPr>
                <w:sz w:val="22"/>
                <w:szCs w:val="22"/>
              </w:rPr>
              <w:t xml:space="preserve">and </w:t>
            </w:r>
            <w:r w:rsidRPr="00B02A19">
              <w:rPr>
                <w:sz w:val="22"/>
                <w:szCs w:val="22"/>
              </w:rPr>
              <w:t>partners in a partnership.</w:t>
            </w:r>
            <w:r w:rsidRPr="00B02A19">
              <w:rPr>
                <w:rStyle w:val="EndnoteReference"/>
                <w:sz w:val="22"/>
                <w:szCs w:val="22"/>
              </w:rPr>
              <w:endnoteReference w:id="43"/>
            </w:r>
          </w:p>
        </w:tc>
      </w:tr>
    </w:tbl>
    <w:p w:rsidR="003F1C37" w:rsidRDefault="00714D0D" w:rsidP="003B2B48">
      <w:pPr>
        <w:rPr>
          <w:rFonts w:cs="Arial"/>
        </w:rPr>
      </w:pPr>
      <w:r w:rsidRPr="003624E0">
        <w:rPr>
          <w:rFonts w:cs="Arial"/>
        </w:rPr>
        <w:t xml:space="preserve">It is </w:t>
      </w:r>
      <w:r w:rsidR="003F1C37">
        <w:rPr>
          <w:rFonts w:cs="Arial"/>
        </w:rPr>
        <w:t xml:space="preserve">unlawful for an employee to harass their employer, including sole trader employers.  </w:t>
      </w:r>
    </w:p>
    <w:p w:rsidR="00FF6237" w:rsidRPr="003624E0" w:rsidRDefault="003F1C37" w:rsidP="003B2B48">
      <w:r>
        <w:rPr>
          <w:rFonts w:cs="Arial"/>
        </w:rPr>
        <w:t xml:space="preserve">It is </w:t>
      </w:r>
      <w:r w:rsidR="00714D0D" w:rsidRPr="003624E0">
        <w:rPr>
          <w:rFonts w:cs="Arial"/>
        </w:rPr>
        <w:t>also unlawful to sexually harass:</w:t>
      </w:r>
    </w:p>
    <w:p w:rsidR="00A60EE2" w:rsidRPr="003624E0" w:rsidRDefault="00A60EE2" w:rsidP="00F84B07">
      <w:pPr>
        <w:pStyle w:val="ListParagraph"/>
        <w:numPr>
          <w:ilvl w:val="0"/>
          <w:numId w:val="31"/>
        </w:numPr>
        <w:ind w:left="567" w:hanging="567"/>
        <w:contextualSpacing w:val="0"/>
        <w:rPr>
          <w:rFonts w:cs="Arial"/>
        </w:rPr>
      </w:pPr>
      <w:r w:rsidRPr="003624E0">
        <w:rPr>
          <w:rFonts w:cs="Arial"/>
        </w:rPr>
        <w:t xml:space="preserve">a person seeking </w:t>
      </w:r>
      <w:r w:rsidR="00E40D2C">
        <w:rPr>
          <w:rFonts w:cs="Arial"/>
        </w:rPr>
        <w:t>approval</w:t>
      </w:r>
      <w:r w:rsidR="00E40D2C" w:rsidRPr="003624E0">
        <w:rPr>
          <w:rFonts w:cs="Arial"/>
        </w:rPr>
        <w:t xml:space="preserve"> </w:t>
      </w:r>
      <w:r w:rsidRPr="003624E0">
        <w:rPr>
          <w:rFonts w:cs="Arial"/>
        </w:rPr>
        <w:t>in connection with an occupational qualification (</w:t>
      </w:r>
      <w:proofErr w:type="spellStart"/>
      <w:r w:rsidRPr="003624E0">
        <w:rPr>
          <w:rFonts w:cs="Arial"/>
        </w:rPr>
        <w:t>eg</w:t>
      </w:r>
      <w:proofErr w:type="spellEnd"/>
      <w:r w:rsidRPr="003624E0">
        <w:rPr>
          <w:rFonts w:cs="Arial"/>
        </w:rPr>
        <w:t xml:space="preserve"> renewing a qualification needed to practice a profession or carry on a trade)</w:t>
      </w:r>
      <w:r w:rsidRPr="003624E0">
        <w:rPr>
          <w:rStyle w:val="EndnoteReference"/>
        </w:rPr>
        <w:endnoteReference w:id="44"/>
      </w:r>
    </w:p>
    <w:p w:rsidR="00A60EE2" w:rsidRPr="003624E0" w:rsidRDefault="00A60EE2" w:rsidP="00F84B07">
      <w:pPr>
        <w:pStyle w:val="ListParagraph"/>
        <w:numPr>
          <w:ilvl w:val="0"/>
          <w:numId w:val="31"/>
        </w:numPr>
        <w:ind w:left="567" w:hanging="567"/>
        <w:contextualSpacing w:val="0"/>
        <w:rPr>
          <w:rFonts w:cs="Arial"/>
        </w:rPr>
      </w:pPr>
      <w:r w:rsidRPr="003624E0">
        <w:rPr>
          <w:rFonts w:cs="Arial"/>
        </w:rPr>
        <w:t>a member or prospective member of a registered organisation (</w:t>
      </w:r>
      <w:proofErr w:type="spellStart"/>
      <w:r w:rsidRPr="003624E0">
        <w:rPr>
          <w:rFonts w:cs="Arial"/>
        </w:rPr>
        <w:t>eg</w:t>
      </w:r>
      <w:proofErr w:type="spellEnd"/>
      <w:r w:rsidRPr="003624E0">
        <w:rPr>
          <w:rFonts w:cs="Arial"/>
        </w:rPr>
        <w:t xml:space="preserve"> union)</w:t>
      </w:r>
      <w:r w:rsidRPr="003624E0">
        <w:rPr>
          <w:rStyle w:val="EndnoteReference"/>
        </w:rPr>
        <w:endnoteReference w:id="45"/>
      </w:r>
    </w:p>
    <w:p w:rsidR="00A60EE2" w:rsidRPr="003624E0" w:rsidRDefault="00A60EE2" w:rsidP="00F84B07">
      <w:pPr>
        <w:pStyle w:val="ListParagraph"/>
        <w:numPr>
          <w:ilvl w:val="0"/>
          <w:numId w:val="31"/>
        </w:numPr>
        <w:ind w:left="567" w:hanging="567"/>
        <w:contextualSpacing w:val="0"/>
        <w:rPr>
          <w:rFonts w:cs="Arial"/>
        </w:rPr>
      </w:pPr>
      <w:proofErr w:type="gramStart"/>
      <w:r w:rsidRPr="003624E0">
        <w:rPr>
          <w:rFonts w:cs="Arial"/>
        </w:rPr>
        <w:t>a</w:t>
      </w:r>
      <w:proofErr w:type="gramEnd"/>
      <w:r w:rsidRPr="003624E0">
        <w:rPr>
          <w:rFonts w:cs="Arial"/>
        </w:rPr>
        <w:t xml:space="preserve"> person in the course of providing, or offering to provide, services of an employment agency.</w:t>
      </w:r>
      <w:r w:rsidRPr="003624E0">
        <w:rPr>
          <w:rStyle w:val="EndnoteReference"/>
        </w:rPr>
        <w:endnoteReference w:id="46"/>
      </w:r>
      <w:r w:rsidRPr="003624E0">
        <w:rPr>
          <w:rFonts w:cs="Arial"/>
        </w:rPr>
        <w:t xml:space="preserve">     </w:t>
      </w:r>
    </w:p>
    <w:p w:rsidR="00A60EE2" w:rsidRPr="003624E0" w:rsidRDefault="00723C0A" w:rsidP="00A60EE2">
      <w:r w:rsidRPr="003624E0">
        <w:t xml:space="preserve">It is </w:t>
      </w:r>
      <w:r>
        <w:t>unlawful</w:t>
      </w:r>
      <w:r w:rsidRPr="003624E0">
        <w:t xml:space="preserve"> </w:t>
      </w:r>
      <w:r w:rsidR="00DE54E0">
        <w:t xml:space="preserve">for a workplace participant </w:t>
      </w:r>
      <w:r w:rsidRPr="003624E0">
        <w:t xml:space="preserve">to engage in sexual harassment in the </w:t>
      </w:r>
      <w:r w:rsidRPr="003624E0">
        <w:rPr>
          <w:i/>
        </w:rPr>
        <w:t>workplace</w:t>
      </w:r>
      <w:r w:rsidRPr="003624E0">
        <w:t xml:space="preserve">. </w:t>
      </w:r>
      <w:r w:rsidR="00A60EE2" w:rsidRPr="003624E0">
        <w:t>The term ‘workplace’ refers to ‘a place at which a workplace participant works or otherwise carries out functions in connection with</w:t>
      </w:r>
      <w:r w:rsidR="0024673F" w:rsidRPr="003624E0">
        <w:t xml:space="preserve"> being a workplace participant’.</w:t>
      </w:r>
      <w:r w:rsidR="00A60EE2" w:rsidRPr="003624E0">
        <w:rPr>
          <w:rStyle w:val="EndnoteReference"/>
        </w:rPr>
        <w:endnoteReference w:id="47"/>
      </w:r>
      <w:r w:rsidR="00A60EE2" w:rsidRPr="003624E0">
        <w:t xml:space="preserve">  </w:t>
      </w:r>
    </w:p>
    <w:p w:rsidR="00A60EE2" w:rsidRPr="003624E0" w:rsidRDefault="00A60EE2" w:rsidP="00F84B07">
      <w:pPr>
        <w:pStyle w:val="ListParagraph"/>
        <w:numPr>
          <w:ilvl w:val="0"/>
          <w:numId w:val="32"/>
        </w:numPr>
        <w:ind w:left="567" w:hanging="567"/>
        <w:contextualSpacing w:val="0"/>
      </w:pPr>
      <w:r w:rsidRPr="003624E0">
        <w:t xml:space="preserve">A </w:t>
      </w:r>
      <w:proofErr w:type="gramStart"/>
      <w:r w:rsidRPr="003624E0">
        <w:t>place</w:t>
      </w:r>
      <w:proofErr w:type="gramEnd"/>
      <w:r w:rsidRPr="003624E0">
        <w:t xml:space="preserve"> at which a workplace participant works might, for instance, be an office, a building site, a factory, a supermarket, a hospital, a ship, an aircraft or a vehicle.</w:t>
      </w:r>
      <w:r w:rsidRPr="003624E0">
        <w:rPr>
          <w:rStyle w:val="EndnoteReference"/>
        </w:rPr>
        <w:endnoteReference w:id="48"/>
      </w:r>
      <w:r w:rsidRPr="003624E0">
        <w:t xml:space="preserve">  </w:t>
      </w:r>
    </w:p>
    <w:p w:rsidR="00E5621F" w:rsidRPr="001C4299" w:rsidRDefault="00A60EE2" w:rsidP="00F84B07">
      <w:pPr>
        <w:pStyle w:val="ListParagraph"/>
        <w:numPr>
          <w:ilvl w:val="0"/>
          <w:numId w:val="32"/>
        </w:numPr>
        <w:ind w:left="567" w:hanging="567"/>
        <w:contextualSpacing w:val="0"/>
      </w:pPr>
      <w:r w:rsidRPr="003624E0">
        <w:t>A place at which a workplace participant carries out functions in connection with being a workforce participant might include conferences and training centres, restaurants for work lunches, hotels for work trips and office parties.</w:t>
      </w:r>
      <w:r w:rsidR="00E5621F" w:rsidRPr="003624E0">
        <w:t xml:space="preserve">  </w:t>
      </w:r>
      <w:r w:rsidR="00B64B16">
        <w:t xml:space="preserve">It is likely that it will </w:t>
      </w:r>
      <w:r w:rsidR="00E5621F" w:rsidRPr="003624E0">
        <w:t xml:space="preserve">also include </w:t>
      </w:r>
      <w:r w:rsidR="00B64B16">
        <w:t xml:space="preserve">the </w:t>
      </w:r>
      <w:r w:rsidR="00E5621F" w:rsidRPr="003624E0">
        <w:t>online</w:t>
      </w:r>
      <w:r w:rsidR="00B64B16">
        <w:t xml:space="preserve"> environment</w:t>
      </w:r>
      <w:r w:rsidR="00E5621F" w:rsidRPr="003624E0">
        <w:t xml:space="preserve">, where there is a sufficient </w:t>
      </w:r>
      <w:r w:rsidR="00E5621F" w:rsidRPr="006721D3">
        <w:t xml:space="preserve">connection </w:t>
      </w:r>
      <w:r w:rsidR="00B64B16" w:rsidRPr="006721D3">
        <w:t xml:space="preserve">between this environment and the </w:t>
      </w:r>
      <w:r w:rsidR="00E5621F" w:rsidRPr="001C4299">
        <w:t xml:space="preserve">workplace. </w:t>
      </w:r>
    </w:p>
    <w:p w:rsidR="00DE54E0" w:rsidRDefault="00E5621F" w:rsidP="00E5621F">
      <w:r w:rsidRPr="006721D3">
        <w:t>In this context, employees should be made aware that the employer’s responsibility for sexual harassment extends to conduct that occurs beyond the normal workplace and normal working hours.</w:t>
      </w:r>
      <w:r w:rsidRPr="003624E0">
        <w:t xml:space="preserve">  This is particularly important at high-risk events, such as work functions involving alcohol.</w:t>
      </w:r>
      <w:r w:rsidR="00A60EE2" w:rsidRPr="003624E0">
        <w:t xml:space="preserv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DE54E0" w:rsidRPr="003624E0" w:rsidTr="00DE54E0">
        <w:trPr>
          <w:trHeight w:val="60"/>
        </w:trPr>
        <w:tc>
          <w:tcPr>
            <w:tcW w:w="9071" w:type="dxa"/>
            <w:shd w:val="clear" w:color="0078C1" w:fill="C6D9F1" w:themeFill="text2" w:themeFillTint="33"/>
            <w:tcMar>
              <w:top w:w="227" w:type="dxa"/>
              <w:left w:w="227" w:type="dxa"/>
              <w:bottom w:w="255" w:type="dxa"/>
              <w:right w:w="227" w:type="dxa"/>
            </w:tcMar>
          </w:tcPr>
          <w:p w:rsidR="00DE54E0" w:rsidRPr="003624E0" w:rsidRDefault="00DE54E0" w:rsidP="00DE54E0">
            <w:pPr>
              <w:keepNext/>
              <w:widowControl w:val="0"/>
              <w:suppressAutoHyphens/>
              <w:autoSpaceDE w:val="0"/>
              <w:autoSpaceDN w:val="0"/>
              <w:adjustRightInd w:val="0"/>
              <w:spacing w:before="170" w:after="113"/>
              <w:ind w:left="567" w:hanging="567"/>
              <w:jc w:val="center"/>
              <w:textAlignment w:val="center"/>
              <w:rPr>
                <w:rFonts w:cs="Arial"/>
                <w:b/>
                <w:color w:val="000000"/>
              </w:rPr>
            </w:pPr>
            <w:r>
              <w:rPr>
                <w:rFonts w:cs="Arial"/>
                <w:b/>
                <w:bCs/>
                <w:color w:val="000000"/>
                <w:szCs w:val="22"/>
              </w:rPr>
              <w:t xml:space="preserve">Case study: </w:t>
            </w:r>
            <w:r w:rsidRPr="003624E0">
              <w:rPr>
                <w:rFonts w:cs="Arial"/>
                <w:b/>
                <w:bCs/>
                <w:color w:val="000000"/>
              </w:rPr>
              <w:t>sexual harassment by a co-worker</w:t>
            </w:r>
            <w:r w:rsidRPr="00D72C6C">
              <w:rPr>
                <w:rStyle w:val="EndnoteReference"/>
                <w:rFonts w:cs="Arial"/>
                <w:bCs/>
                <w:color w:val="000000"/>
              </w:rPr>
              <w:endnoteReference w:id="49"/>
            </w:r>
          </w:p>
          <w:p w:rsidR="00DE54E0" w:rsidRPr="003624E0" w:rsidRDefault="00DE54E0" w:rsidP="00DE54E0">
            <w:pPr>
              <w:spacing w:after="113"/>
              <w:rPr>
                <w:sz w:val="22"/>
                <w:szCs w:val="22"/>
              </w:rPr>
            </w:pPr>
            <w:r w:rsidRPr="003624E0">
              <w:rPr>
                <w:sz w:val="22"/>
                <w:szCs w:val="22"/>
              </w:rPr>
              <w:t>The complainant was employed as a tradesman / bricklayer with the respondent construction company.  The complainant claimed a male co-worker sexually harassed him during a social gathering at a work campsite.  The complainant claimed the co-worker grabbed his chest, stomach, testicles, buttocks and penis.  The complainant had not returned to work since the incident.</w:t>
            </w:r>
          </w:p>
          <w:p w:rsidR="00DE54E0" w:rsidRPr="003624E0" w:rsidRDefault="00DE54E0" w:rsidP="00DE54E0">
            <w:pPr>
              <w:spacing w:after="113"/>
              <w:rPr>
                <w:sz w:val="22"/>
                <w:szCs w:val="22"/>
              </w:rPr>
            </w:pPr>
            <w:r w:rsidRPr="003624E0">
              <w:rPr>
                <w:sz w:val="22"/>
                <w:szCs w:val="22"/>
              </w:rPr>
              <w:t>The respondent company confirmed that an incident occurred on a work campsite between the complainant and his co-worker.  The company submitted that it could not determine from its investigations what had happened and whether the complainant was sexually harassed.  The company advised that it offered to move the complainant to a different worksite the day after the alleged incident.</w:t>
            </w:r>
          </w:p>
          <w:p w:rsidR="00DE54E0" w:rsidRPr="003624E0" w:rsidRDefault="00DE54E0" w:rsidP="00DE54E0">
            <w:pPr>
              <w:spacing w:after="170"/>
              <w:rPr>
                <w:sz w:val="22"/>
                <w:szCs w:val="22"/>
              </w:rPr>
            </w:pPr>
            <w:r w:rsidRPr="003624E0">
              <w:rPr>
                <w:sz w:val="22"/>
                <w:szCs w:val="22"/>
              </w:rPr>
              <w:t>The complaint was resolved with an agreement that the parties continue the employment relationship with assurances that the complainant would not have to work with the co-worker who was alleged to have sexually harassed him.  The company also agreed to pay the complainant $20,000 compensation for his hurt and distress.</w:t>
            </w:r>
          </w:p>
        </w:tc>
      </w:tr>
    </w:tbl>
    <w:p w:rsidR="00DE54E0" w:rsidRPr="003624E0" w:rsidRDefault="00DE54E0" w:rsidP="00E5621F"/>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A60EE2" w:rsidRPr="003624E0">
        <w:trPr>
          <w:trHeight w:val="60"/>
        </w:trPr>
        <w:tc>
          <w:tcPr>
            <w:tcW w:w="9071" w:type="dxa"/>
            <w:shd w:val="clear" w:color="0078C1" w:fill="C6D9F1" w:themeFill="text2" w:themeFillTint="33"/>
            <w:tcMar>
              <w:top w:w="227" w:type="dxa"/>
              <w:left w:w="227" w:type="dxa"/>
              <w:bottom w:w="255" w:type="dxa"/>
              <w:right w:w="227" w:type="dxa"/>
            </w:tcMar>
          </w:tcPr>
          <w:p w:rsidR="00A60EE2" w:rsidRPr="003624E0" w:rsidRDefault="00C55D44" w:rsidP="00A60EE2">
            <w:pPr>
              <w:keepNext/>
              <w:widowControl w:val="0"/>
              <w:suppressAutoHyphens/>
              <w:autoSpaceDE w:val="0"/>
              <w:autoSpaceDN w:val="0"/>
              <w:adjustRightInd w:val="0"/>
              <w:spacing w:before="170" w:after="113"/>
              <w:ind w:left="567" w:hanging="567"/>
              <w:jc w:val="center"/>
              <w:textAlignment w:val="center"/>
              <w:rPr>
                <w:rFonts w:cs="Arial"/>
                <w:color w:val="000000"/>
                <w:sz w:val="22"/>
                <w:szCs w:val="22"/>
              </w:rPr>
            </w:pPr>
            <w:r>
              <w:rPr>
                <w:rFonts w:cs="Arial"/>
                <w:b/>
                <w:bCs/>
                <w:color w:val="000000"/>
                <w:szCs w:val="22"/>
              </w:rPr>
              <w:t>Case study</w:t>
            </w:r>
            <w:r w:rsidR="006A611F">
              <w:rPr>
                <w:rFonts w:cs="Arial"/>
                <w:b/>
                <w:bCs/>
                <w:color w:val="000000"/>
                <w:szCs w:val="22"/>
              </w:rPr>
              <w:t>: S</w:t>
            </w:r>
            <w:r w:rsidR="006A611F" w:rsidRPr="003624E0">
              <w:rPr>
                <w:rFonts w:cs="Arial"/>
                <w:b/>
                <w:bCs/>
                <w:color w:val="000000"/>
                <w:szCs w:val="22"/>
              </w:rPr>
              <w:t xml:space="preserve">exual </w:t>
            </w:r>
            <w:r w:rsidR="009D5D9C" w:rsidRPr="003624E0">
              <w:rPr>
                <w:rFonts w:cs="Arial"/>
                <w:b/>
                <w:bCs/>
                <w:color w:val="000000"/>
                <w:szCs w:val="22"/>
              </w:rPr>
              <w:t>harassment during interstate training</w:t>
            </w:r>
            <w:r w:rsidR="009D5D9C" w:rsidRPr="00D72C6C">
              <w:rPr>
                <w:rStyle w:val="EndnoteReference"/>
                <w:rFonts w:cs="Arial"/>
                <w:bCs/>
                <w:color w:val="000000"/>
                <w:szCs w:val="22"/>
              </w:rPr>
              <w:endnoteReference w:id="50"/>
            </w:r>
          </w:p>
          <w:p w:rsidR="009D5D9C" w:rsidRPr="003624E0" w:rsidRDefault="009D5D9C" w:rsidP="009D5D9C">
            <w:pPr>
              <w:spacing w:before="225" w:after="225"/>
              <w:rPr>
                <w:rFonts w:cs="Arial"/>
                <w:sz w:val="22"/>
                <w:szCs w:val="22"/>
              </w:rPr>
            </w:pPr>
            <w:r w:rsidRPr="003624E0">
              <w:rPr>
                <w:rFonts w:cs="Arial"/>
                <w:sz w:val="22"/>
                <w:szCs w:val="22"/>
              </w:rPr>
              <w:t xml:space="preserve">A woman travelled interstate to participate in a training course for work.  After a dinner, a work colleague sent her inappropriate text messages indicating that he wanted to have sex with her. </w:t>
            </w:r>
            <w:r w:rsidR="00087F62" w:rsidRPr="003624E0">
              <w:rPr>
                <w:rFonts w:cs="Arial"/>
                <w:sz w:val="22"/>
                <w:szCs w:val="22"/>
              </w:rPr>
              <w:t xml:space="preserve"> </w:t>
            </w:r>
            <w:r w:rsidRPr="003624E0">
              <w:rPr>
                <w:rFonts w:cs="Arial"/>
                <w:sz w:val="22"/>
                <w:szCs w:val="22"/>
              </w:rPr>
              <w:t xml:space="preserve">The woman said she lodged an internal complaint about the matter. </w:t>
            </w:r>
          </w:p>
          <w:p w:rsidR="009D5D9C" w:rsidRPr="003624E0" w:rsidRDefault="009D5D9C" w:rsidP="009D5D9C">
            <w:pPr>
              <w:spacing w:before="225" w:after="225"/>
              <w:rPr>
                <w:rFonts w:cs="Arial"/>
                <w:sz w:val="22"/>
                <w:szCs w:val="22"/>
              </w:rPr>
            </w:pPr>
            <w:r w:rsidRPr="003624E0">
              <w:rPr>
                <w:rFonts w:cs="Arial"/>
                <w:sz w:val="22"/>
                <w:szCs w:val="22"/>
              </w:rPr>
              <w:t xml:space="preserve">The work colleague argued that the woman had invited him back to her room and he gave her a back rub.  He said he had apologised for the text messages the next day and the woman had accepted his apology.  The work colleague’s employment was terminated due to the incident. </w:t>
            </w:r>
          </w:p>
          <w:p w:rsidR="00A60EE2" w:rsidRPr="003624E0" w:rsidRDefault="009D5D9C" w:rsidP="009D5D9C">
            <w:pPr>
              <w:spacing w:after="170"/>
              <w:rPr>
                <w:i/>
                <w:sz w:val="22"/>
                <w:szCs w:val="22"/>
              </w:rPr>
            </w:pPr>
            <w:r w:rsidRPr="003624E0">
              <w:rPr>
                <w:rFonts w:cs="Arial"/>
                <w:sz w:val="22"/>
                <w:szCs w:val="22"/>
              </w:rPr>
              <w:t>The complaint was resolved with an agreement that the employer would provide the woman with an apology and pay her $1,500.</w:t>
            </w:r>
          </w:p>
        </w:tc>
      </w:tr>
    </w:tbl>
    <w:p w:rsidR="00087F62" w:rsidRPr="003624E0" w:rsidRDefault="00087F62" w:rsidP="00087F62">
      <w:r w:rsidRPr="003624E0">
        <w:t xml:space="preserve">The wide use of technologies such as mobile phones, email and social networking websites creates new spaces where sexual harassment may occur.  With employees increasingly working remotely and using work phones and laptops for personal use, employers should make it clear to their staff that </w:t>
      </w:r>
      <w:r w:rsidR="00FF5BC5">
        <w:t>laws</w:t>
      </w:r>
      <w:r w:rsidRPr="003624E0">
        <w:t xml:space="preserve"> about sexual harassment apply equally in the virtual world.</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087F62" w:rsidRPr="003624E0">
        <w:trPr>
          <w:trHeight w:val="60"/>
        </w:trPr>
        <w:tc>
          <w:tcPr>
            <w:tcW w:w="9071" w:type="dxa"/>
            <w:shd w:val="clear" w:color="0078C1" w:fill="C6D9F1" w:themeFill="text2" w:themeFillTint="33"/>
            <w:tcMar>
              <w:top w:w="227" w:type="dxa"/>
              <w:left w:w="227" w:type="dxa"/>
              <w:bottom w:w="255" w:type="dxa"/>
              <w:right w:w="227" w:type="dxa"/>
            </w:tcMar>
          </w:tcPr>
          <w:p w:rsidR="00087F62" w:rsidRPr="003624E0" w:rsidRDefault="00C55D44" w:rsidP="00AA691E">
            <w:pPr>
              <w:keepNext/>
              <w:widowControl w:val="0"/>
              <w:suppressAutoHyphens/>
              <w:autoSpaceDE w:val="0"/>
              <w:autoSpaceDN w:val="0"/>
              <w:adjustRightInd w:val="0"/>
              <w:spacing w:before="170" w:after="113"/>
              <w:ind w:left="567" w:hanging="567"/>
              <w:jc w:val="center"/>
              <w:textAlignment w:val="center"/>
              <w:rPr>
                <w:rFonts w:cs="Arial"/>
                <w:b/>
                <w:color w:val="000000"/>
                <w:szCs w:val="22"/>
              </w:rPr>
            </w:pPr>
            <w:r>
              <w:rPr>
                <w:rFonts w:cs="Arial"/>
                <w:b/>
                <w:bCs/>
                <w:color w:val="000000"/>
                <w:szCs w:val="22"/>
              </w:rPr>
              <w:t>Case study</w:t>
            </w:r>
            <w:r w:rsidR="006A611F">
              <w:rPr>
                <w:rFonts w:cs="Arial"/>
                <w:b/>
                <w:bCs/>
                <w:color w:val="000000"/>
                <w:szCs w:val="22"/>
              </w:rPr>
              <w:t>: S</w:t>
            </w:r>
            <w:r w:rsidR="006A611F" w:rsidRPr="003624E0">
              <w:rPr>
                <w:rFonts w:cs="Arial"/>
                <w:b/>
                <w:bCs/>
                <w:color w:val="000000"/>
                <w:szCs w:val="22"/>
              </w:rPr>
              <w:t xml:space="preserve">exual </w:t>
            </w:r>
            <w:r w:rsidR="00087F62" w:rsidRPr="003624E0">
              <w:rPr>
                <w:rFonts w:cs="Arial"/>
                <w:b/>
                <w:bCs/>
                <w:color w:val="000000"/>
                <w:szCs w:val="22"/>
              </w:rPr>
              <w:t>harassment through email and text messages</w:t>
            </w:r>
            <w:r w:rsidR="00087F62" w:rsidRPr="003624E0">
              <w:rPr>
                <w:rStyle w:val="EndnoteReference"/>
                <w:rFonts w:cs="Arial"/>
                <w:bCs/>
                <w:color w:val="000000"/>
                <w:szCs w:val="22"/>
              </w:rPr>
              <w:endnoteReference w:id="51"/>
            </w:r>
          </w:p>
          <w:p w:rsidR="00087F62" w:rsidRPr="003624E0" w:rsidRDefault="00087F62" w:rsidP="00AA691E">
            <w:pPr>
              <w:spacing w:before="180" w:after="100" w:afterAutospacing="1"/>
              <w:rPr>
                <w:rFonts w:cs="Arial"/>
                <w:sz w:val="22"/>
                <w:szCs w:val="22"/>
              </w:rPr>
            </w:pPr>
            <w:r w:rsidRPr="003624E0">
              <w:rPr>
                <w:rFonts w:cs="Arial"/>
                <w:sz w:val="22"/>
                <w:szCs w:val="22"/>
              </w:rPr>
              <w:t>A man alleged that he was sexual</w:t>
            </w:r>
            <w:r w:rsidR="00A94395" w:rsidRPr="003624E0">
              <w:rPr>
                <w:rFonts w:cs="Arial"/>
                <w:sz w:val="22"/>
                <w:szCs w:val="22"/>
              </w:rPr>
              <w:t>ly</w:t>
            </w:r>
            <w:r w:rsidRPr="003624E0">
              <w:rPr>
                <w:rFonts w:cs="Arial"/>
                <w:sz w:val="22"/>
                <w:szCs w:val="22"/>
              </w:rPr>
              <w:t xml:space="preserve"> harassed by a female co-worker who sent him sexually explicit text messages and pornographic emails.  The man claimed that after he made a complaint about his co-worker's conduct, other staff members isolated him in the workplace and his employment was terminated.</w:t>
            </w:r>
          </w:p>
          <w:p w:rsidR="00087F62" w:rsidRPr="003624E0" w:rsidRDefault="00087F62" w:rsidP="00AA691E">
            <w:pPr>
              <w:spacing w:before="180" w:after="100" w:afterAutospacing="1"/>
              <w:rPr>
                <w:rFonts w:cs="Arial"/>
                <w:sz w:val="22"/>
                <w:szCs w:val="22"/>
              </w:rPr>
            </w:pPr>
            <w:r w:rsidRPr="003624E0">
              <w:rPr>
                <w:rFonts w:cs="Arial"/>
                <w:sz w:val="22"/>
                <w:szCs w:val="22"/>
              </w:rPr>
              <w:t>The complaint was resolved with an agreement that the employer would provide the man with a written letter of apology, a statement of service and pay him $8,500 financial compensation.</w:t>
            </w:r>
            <w:r w:rsidRPr="003624E0">
              <w:rPr>
                <w:rStyle w:val="EndnoteReference"/>
                <w:rFonts w:cs="Arial"/>
                <w:szCs w:val="22"/>
              </w:rPr>
              <w:endnoteReference w:id="52"/>
            </w:r>
          </w:p>
        </w:tc>
      </w:tr>
    </w:tbl>
    <w:p w:rsidR="00A60EE2" w:rsidRPr="003624E0" w:rsidRDefault="00A60EE2" w:rsidP="00A60EE2">
      <w:r w:rsidRPr="003624E0">
        <w:t>Sexual harassment may also be covered by the Sex Discrimination Act if it occurs away from the particular workplace (</w:t>
      </w:r>
      <w:proofErr w:type="spellStart"/>
      <w:r w:rsidRPr="003624E0">
        <w:t>eg</w:t>
      </w:r>
      <w:proofErr w:type="spellEnd"/>
      <w:r w:rsidRPr="003624E0">
        <w:t xml:space="preserve"> at a private function), but is the culmination or extension of events that occurred within the workplace.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A60EE2" w:rsidRPr="003624E0">
        <w:trPr>
          <w:trHeight w:val="60"/>
        </w:trPr>
        <w:tc>
          <w:tcPr>
            <w:tcW w:w="9071" w:type="dxa"/>
            <w:shd w:val="clear" w:color="0078C1" w:fill="C6D9F1" w:themeFill="text2" w:themeFillTint="33"/>
            <w:tcMar>
              <w:top w:w="227" w:type="dxa"/>
              <w:left w:w="227" w:type="dxa"/>
              <w:bottom w:w="255" w:type="dxa"/>
              <w:right w:w="227" w:type="dxa"/>
            </w:tcMar>
          </w:tcPr>
          <w:p w:rsidR="00F72EC5" w:rsidRPr="003624E0" w:rsidRDefault="006A611F" w:rsidP="00F72EC5">
            <w:pPr>
              <w:keepNext/>
              <w:widowControl w:val="0"/>
              <w:suppressAutoHyphens/>
              <w:autoSpaceDE w:val="0"/>
              <w:autoSpaceDN w:val="0"/>
              <w:adjustRightInd w:val="0"/>
              <w:spacing w:before="170" w:after="113"/>
              <w:ind w:left="567" w:hanging="567"/>
              <w:jc w:val="center"/>
              <w:textAlignment w:val="center"/>
              <w:rPr>
                <w:rFonts w:cs="Arial"/>
                <w:b/>
                <w:color w:val="000000"/>
                <w:szCs w:val="22"/>
              </w:rPr>
            </w:pPr>
            <w:r>
              <w:rPr>
                <w:rFonts w:cs="Arial"/>
                <w:b/>
                <w:bCs/>
                <w:color w:val="000000"/>
                <w:szCs w:val="22"/>
              </w:rPr>
              <w:t xml:space="preserve">Case study: </w:t>
            </w:r>
            <w:r w:rsidR="00F72EC5" w:rsidRPr="003624E0">
              <w:rPr>
                <w:rFonts w:cs="Arial"/>
                <w:b/>
                <w:bCs/>
                <w:color w:val="000000"/>
                <w:szCs w:val="22"/>
              </w:rPr>
              <w:t>Sexual harassment ‘in connection with’ the workplace</w:t>
            </w:r>
            <w:r w:rsidR="00F72EC5" w:rsidRPr="003624E0">
              <w:rPr>
                <w:rStyle w:val="EndnoteReference"/>
                <w:rFonts w:cs="Arial"/>
                <w:bCs/>
                <w:color w:val="000000"/>
                <w:szCs w:val="22"/>
              </w:rPr>
              <w:endnoteReference w:id="53"/>
            </w:r>
          </w:p>
          <w:p w:rsidR="00F72EC5" w:rsidRPr="003624E0" w:rsidRDefault="00F72EC5" w:rsidP="00F72EC5">
            <w:pPr>
              <w:rPr>
                <w:rFonts w:cs="Arial"/>
                <w:sz w:val="22"/>
                <w:szCs w:val="22"/>
              </w:rPr>
            </w:pPr>
            <w:r w:rsidRPr="003624E0">
              <w:rPr>
                <w:rFonts w:cs="Arial"/>
                <w:sz w:val="22"/>
                <w:szCs w:val="22"/>
              </w:rPr>
              <w:t>A woman accepted an invitation to attend after-work drinks at the home of a colleague. She became intoxicated and passed out.  When she woke up the next day, she was being raped by another colleague.  The rape followed a series of sexual harassment incidents, including the display of pornography in the workplace and unwanted sexual advances.</w:t>
            </w:r>
          </w:p>
          <w:p w:rsidR="00F72EC5" w:rsidRPr="003624E0" w:rsidRDefault="0002677A" w:rsidP="00F72EC5">
            <w:pPr>
              <w:rPr>
                <w:rFonts w:cs="Arial"/>
                <w:sz w:val="22"/>
                <w:szCs w:val="22"/>
              </w:rPr>
            </w:pPr>
            <w:r>
              <w:rPr>
                <w:rFonts w:cs="Arial"/>
                <w:sz w:val="22"/>
                <w:szCs w:val="22"/>
              </w:rPr>
              <w:t>The Court</w:t>
            </w:r>
            <w:r w:rsidR="00F72EC5" w:rsidRPr="003624E0">
              <w:rPr>
                <w:rFonts w:cs="Arial"/>
                <w:sz w:val="22"/>
                <w:szCs w:val="22"/>
              </w:rPr>
              <w:t xml:space="preserve"> found that the woman’s employer was vicariously liable for the rape. </w:t>
            </w:r>
            <w:r w:rsidR="00D32D19" w:rsidRPr="003624E0">
              <w:rPr>
                <w:rFonts w:cs="Arial"/>
                <w:sz w:val="22"/>
                <w:szCs w:val="22"/>
              </w:rPr>
              <w:t xml:space="preserve"> </w:t>
            </w:r>
            <w:r w:rsidR="00F72EC5" w:rsidRPr="003624E0">
              <w:rPr>
                <w:rFonts w:cs="Arial"/>
                <w:sz w:val="22"/>
                <w:szCs w:val="22"/>
              </w:rPr>
              <w:t>The rape occurred ‘in connection’ with the colleague’s employment as it ‘…was an extension or continuation of his pattern of behaviour that started and continued to develop in the workplace’</w:t>
            </w:r>
            <w:r w:rsidR="00D32D19" w:rsidRPr="003624E0">
              <w:rPr>
                <w:rFonts w:cs="Arial"/>
                <w:sz w:val="22"/>
                <w:szCs w:val="22"/>
              </w:rPr>
              <w:t>.</w:t>
            </w:r>
            <w:r w:rsidR="00F72EC5" w:rsidRPr="003624E0">
              <w:rPr>
                <w:rStyle w:val="EndnoteReference"/>
                <w:rFonts w:cs="Arial"/>
                <w:sz w:val="22"/>
                <w:szCs w:val="22"/>
              </w:rPr>
              <w:endnoteReference w:id="54"/>
            </w:r>
          </w:p>
          <w:p w:rsidR="00A60EE2" w:rsidRPr="003624E0" w:rsidRDefault="0002677A" w:rsidP="0005030A">
            <w:pPr>
              <w:rPr>
                <w:rFonts w:cs="Arial"/>
                <w:sz w:val="22"/>
                <w:szCs w:val="22"/>
              </w:rPr>
            </w:pPr>
            <w:r>
              <w:rPr>
                <w:rFonts w:cs="Arial"/>
                <w:sz w:val="22"/>
                <w:szCs w:val="22"/>
              </w:rPr>
              <w:t>The Court</w:t>
            </w:r>
            <w:r w:rsidR="00F72EC5" w:rsidRPr="003624E0">
              <w:rPr>
                <w:rFonts w:cs="Arial"/>
                <w:sz w:val="22"/>
                <w:szCs w:val="22"/>
              </w:rPr>
              <w:t xml:space="preserve"> rejected the employer’s argument that it had taken all reasonable steps to prevent the conduct. </w:t>
            </w:r>
            <w:r w:rsidR="0005030A" w:rsidRPr="003624E0">
              <w:rPr>
                <w:rFonts w:cs="Arial"/>
                <w:sz w:val="22"/>
                <w:szCs w:val="22"/>
              </w:rPr>
              <w:t xml:space="preserve"> </w:t>
            </w:r>
            <w:r w:rsidR="00F72EC5" w:rsidRPr="003624E0">
              <w:rPr>
                <w:rFonts w:cs="Arial"/>
                <w:sz w:val="22"/>
                <w:szCs w:val="22"/>
              </w:rPr>
              <w:t>While the employer had appropriate equity and diversity guidelines in place, these were not followed</w:t>
            </w:r>
            <w:r w:rsidR="0005030A" w:rsidRPr="003624E0">
              <w:rPr>
                <w:rFonts w:cs="Arial"/>
                <w:sz w:val="22"/>
                <w:szCs w:val="22"/>
              </w:rPr>
              <w:t xml:space="preserve"> </w:t>
            </w:r>
            <w:r w:rsidR="0005030A" w:rsidRPr="007E23AD">
              <w:rPr>
                <w:rFonts w:cs="Arial"/>
                <w:sz w:val="22"/>
                <w:szCs w:val="22"/>
              </w:rPr>
              <w:t>in this particular case</w:t>
            </w:r>
            <w:r w:rsidR="00F72EC5" w:rsidRPr="003624E0">
              <w:rPr>
                <w:rFonts w:cs="Arial"/>
                <w:sz w:val="22"/>
                <w:szCs w:val="22"/>
              </w:rPr>
              <w:t xml:space="preserve">. </w:t>
            </w:r>
            <w:r w:rsidR="0005030A" w:rsidRPr="003624E0">
              <w:rPr>
                <w:rFonts w:cs="Arial"/>
                <w:sz w:val="22"/>
                <w:szCs w:val="22"/>
              </w:rPr>
              <w:t xml:space="preserve"> </w:t>
            </w:r>
            <w:r w:rsidR="00F72EC5" w:rsidRPr="003624E0">
              <w:rPr>
                <w:rFonts w:cs="Arial"/>
                <w:sz w:val="22"/>
                <w:szCs w:val="22"/>
              </w:rPr>
              <w:t>It was noted that the rape may have been avoided if the woman had received training on reporting incidents of sexual harassment.</w:t>
            </w:r>
          </w:p>
        </w:tc>
      </w:tr>
    </w:tbl>
    <w:p w:rsidR="00EE1214" w:rsidRPr="003624E0" w:rsidRDefault="00A60EE2" w:rsidP="00041902">
      <w:pPr>
        <w:rPr>
          <w:rFonts w:cs="Arial"/>
        </w:rPr>
      </w:pPr>
      <w:r w:rsidRPr="003624E0">
        <w:rPr>
          <w:rFonts w:cs="Arial"/>
        </w:rPr>
        <w:t>Sexual harassment between workplace participants may occur at the workplace of one or both workplace participants.</w:t>
      </w:r>
      <w:r w:rsidRPr="003624E0">
        <w:rPr>
          <w:rStyle w:val="EndnoteReference"/>
          <w:rFonts w:cs="Arial"/>
        </w:rPr>
        <w:endnoteReference w:id="55"/>
      </w:r>
      <w:r w:rsidRPr="003624E0">
        <w:rPr>
          <w:rFonts w:cs="Arial"/>
        </w:rPr>
        <w:t xml:space="preserve">  Sexual harassment may, for example, occur in the same small business site or in the workplace of a client, an advisor, a colleague at a different company or a service provider.</w:t>
      </w:r>
      <w:r w:rsidR="00D05813" w:rsidRPr="003624E0">
        <w:t xml:space="preserve"> </w:t>
      </w:r>
    </w:p>
    <w:p w:rsidR="00BE1E08" w:rsidRPr="003624E0" w:rsidRDefault="00BE1E08" w:rsidP="00041902">
      <w:pPr>
        <w:rPr>
          <w:b/>
          <w:bCs/>
          <w:sz w:val="36"/>
          <w:szCs w:val="36"/>
        </w:rPr>
      </w:pPr>
      <w:r w:rsidRPr="003624E0">
        <w:rPr>
          <w:sz w:val="36"/>
          <w:szCs w:val="36"/>
        </w:rPr>
        <w:br w:type="page"/>
      </w:r>
    </w:p>
    <w:p w:rsidR="005C0134" w:rsidRPr="003B2B48" w:rsidRDefault="00041902" w:rsidP="00B06E28">
      <w:pPr>
        <w:pStyle w:val="Heading1"/>
        <w:numPr>
          <w:ilvl w:val="0"/>
          <w:numId w:val="0"/>
        </w:numPr>
        <w:ind w:left="518" w:hanging="518"/>
        <w:rPr>
          <w:sz w:val="36"/>
          <w:szCs w:val="36"/>
        </w:rPr>
      </w:pPr>
      <w:bookmarkStart w:id="24" w:name="_Toc362446678"/>
      <w:bookmarkStart w:id="25" w:name="_Toc388023525"/>
      <w:r w:rsidRPr="003624E0">
        <w:rPr>
          <w:sz w:val="36"/>
          <w:szCs w:val="36"/>
        </w:rPr>
        <w:t>3</w:t>
      </w:r>
      <w:r w:rsidR="00BE1E08" w:rsidRPr="003624E0">
        <w:rPr>
          <w:sz w:val="36"/>
          <w:szCs w:val="36"/>
        </w:rPr>
        <w:t xml:space="preserve">. </w:t>
      </w:r>
      <w:r w:rsidR="00832AFF" w:rsidRPr="003624E0">
        <w:rPr>
          <w:sz w:val="36"/>
          <w:szCs w:val="36"/>
        </w:rPr>
        <w:t xml:space="preserve"> </w:t>
      </w:r>
      <w:r w:rsidR="00C55D44" w:rsidRPr="00A95DB8">
        <w:rPr>
          <w:sz w:val="36"/>
          <w:szCs w:val="36"/>
        </w:rPr>
        <w:t>C</w:t>
      </w:r>
      <w:r w:rsidR="006703CB" w:rsidRPr="00A95DB8">
        <w:rPr>
          <w:sz w:val="36"/>
          <w:szCs w:val="36"/>
        </w:rPr>
        <w:t>auses of action</w:t>
      </w:r>
      <w:r w:rsidR="00B06E28" w:rsidRPr="00A95DB8">
        <w:rPr>
          <w:sz w:val="36"/>
          <w:szCs w:val="36"/>
        </w:rPr>
        <w:t xml:space="preserve"> and</w:t>
      </w:r>
      <w:r w:rsidR="00594045" w:rsidRPr="00A95DB8">
        <w:rPr>
          <w:sz w:val="36"/>
          <w:szCs w:val="36"/>
        </w:rPr>
        <w:t xml:space="preserve"> </w:t>
      </w:r>
      <w:r w:rsidR="00852AFB" w:rsidRPr="00A95DB8">
        <w:rPr>
          <w:sz w:val="36"/>
          <w:szCs w:val="36"/>
        </w:rPr>
        <w:t>types</w:t>
      </w:r>
      <w:r w:rsidR="00594045" w:rsidRPr="00A95DB8">
        <w:rPr>
          <w:sz w:val="36"/>
          <w:szCs w:val="36"/>
        </w:rPr>
        <w:t xml:space="preserve"> of</w:t>
      </w:r>
      <w:r w:rsidR="0010760A" w:rsidRPr="00A95DB8">
        <w:rPr>
          <w:sz w:val="36"/>
          <w:szCs w:val="36"/>
        </w:rPr>
        <w:t xml:space="preserve"> </w:t>
      </w:r>
      <w:r w:rsidR="00B06E28" w:rsidRPr="00A95DB8">
        <w:rPr>
          <w:sz w:val="36"/>
          <w:szCs w:val="36"/>
        </w:rPr>
        <w:t>liability</w:t>
      </w:r>
      <w:r w:rsidR="00C55D44" w:rsidRPr="00A95DB8">
        <w:rPr>
          <w:sz w:val="36"/>
          <w:szCs w:val="36"/>
        </w:rPr>
        <w:t xml:space="preserve"> </w:t>
      </w:r>
      <w:r w:rsidR="00C370E3" w:rsidRPr="00A95DB8">
        <w:rPr>
          <w:sz w:val="36"/>
          <w:szCs w:val="36"/>
        </w:rPr>
        <w:t xml:space="preserve">under the </w:t>
      </w:r>
      <w:r w:rsidR="00C370E3" w:rsidRPr="00A95DB8">
        <w:rPr>
          <w:i/>
          <w:sz w:val="36"/>
          <w:szCs w:val="36"/>
        </w:rPr>
        <w:t>Sex Discrimination Act</w:t>
      </w:r>
      <w:bookmarkEnd w:id="24"/>
      <w:bookmarkEnd w:id="25"/>
    </w:p>
    <w:p w:rsidR="001F0E2C" w:rsidRPr="003624E0" w:rsidRDefault="00FC0FBA" w:rsidP="00B474BC">
      <w:pPr>
        <w:pStyle w:val="SubmissionNormal"/>
        <w:numPr>
          <w:ilvl w:val="0"/>
          <w:numId w:val="0"/>
        </w:numPr>
      </w:pPr>
      <w:r w:rsidRPr="00A95DB8">
        <w:t xml:space="preserve">Sexual harassment </w:t>
      </w:r>
      <w:r w:rsidR="00DF1C6A" w:rsidRPr="00A95DB8">
        <w:t xml:space="preserve">in the workplace </w:t>
      </w:r>
      <w:r w:rsidR="008A56B2" w:rsidRPr="00A95DB8">
        <w:t xml:space="preserve">may </w:t>
      </w:r>
      <w:r w:rsidRPr="00A95DB8">
        <w:t xml:space="preserve">give rise to various causes of action under the </w:t>
      </w:r>
      <w:r w:rsidR="000C5C4E" w:rsidRPr="00A95DB8">
        <w:rPr>
          <w:i/>
        </w:rPr>
        <w:t>Sex Discrimination Act</w:t>
      </w:r>
      <w:r w:rsidR="00631FAE" w:rsidRPr="00A95DB8">
        <w:rPr>
          <w:i/>
        </w:rPr>
        <w:t xml:space="preserve"> </w:t>
      </w:r>
      <w:r w:rsidR="000C5C4E" w:rsidRPr="00A95DB8">
        <w:rPr>
          <w:i/>
        </w:rPr>
        <w:t xml:space="preserve">1984 </w:t>
      </w:r>
      <w:r w:rsidR="00631FAE" w:rsidRPr="00A95DB8">
        <w:t>(</w:t>
      </w:r>
      <w:proofErr w:type="spellStart"/>
      <w:r w:rsidR="00631FAE" w:rsidRPr="00A95DB8">
        <w:t>Cth</w:t>
      </w:r>
      <w:proofErr w:type="spellEnd"/>
      <w:r w:rsidR="00631FAE" w:rsidRPr="00A95DB8">
        <w:t>)</w:t>
      </w:r>
      <w:r w:rsidRPr="00A95DB8">
        <w:t xml:space="preserve">. </w:t>
      </w:r>
      <w:r w:rsidR="00DF61FB" w:rsidRPr="00714D0D">
        <w:t xml:space="preserve">Chapter </w:t>
      </w:r>
      <w:r w:rsidR="00213506" w:rsidRPr="00714D0D">
        <w:t>3</w:t>
      </w:r>
      <w:r w:rsidR="00DF61FB" w:rsidRPr="00714D0D">
        <w:t xml:space="preserve"> </w:t>
      </w:r>
      <w:r w:rsidR="00B474BC" w:rsidRPr="00714D0D">
        <w:t xml:space="preserve">identifies and explains </w:t>
      </w:r>
      <w:r w:rsidR="00A60EE2" w:rsidRPr="00714D0D">
        <w:t>the</w:t>
      </w:r>
      <w:r w:rsidR="00B474BC" w:rsidRPr="00714D0D">
        <w:t>se causes of action</w:t>
      </w:r>
      <w:r w:rsidR="00975FF1" w:rsidRPr="00714D0D">
        <w:t>, namely:</w:t>
      </w:r>
      <w:r w:rsidR="00DF61FB" w:rsidRPr="00714D0D">
        <w:t xml:space="preserve"> </w:t>
      </w:r>
      <w:r w:rsidR="00975FF1" w:rsidRPr="00714D0D">
        <w:t>sexual harassment</w:t>
      </w:r>
      <w:r w:rsidR="00B474BC" w:rsidRPr="00714D0D">
        <w:t xml:space="preserve">; </w:t>
      </w:r>
      <w:r w:rsidR="00975FF1" w:rsidRPr="00714D0D">
        <w:t>sex disc</w:t>
      </w:r>
      <w:r w:rsidR="00975FF1" w:rsidRPr="003624E0">
        <w:t>rimination</w:t>
      </w:r>
      <w:r w:rsidR="00B474BC" w:rsidRPr="003624E0">
        <w:t xml:space="preserve">; and </w:t>
      </w:r>
      <w:r w:rsidR="00975FF1" w:rsidRPr="003624E0">
        <w:t>victimi</w:t>
      </w:r>
      <w:r w:rsidR="00FE19E0">
        <w:t>s</w:t>
      </w:r>
      <w:r w:rsidR="00975FF1" w:rsidRPr="003624E0">
        <w:t>ation</w:t>
      </w:r>
      <w:r w:rsidR="00A93DE2" w:rsidRPr="003624E0">
        <w:t>.</w:t>
      </w:r>
      <w:r w:rsidR="00B474BC" w:rsidRPr="003624E0">
        <w:t xml:space="preserve">  It also explains how </w:t>
      </w:r>
      <w:r w:rsidR="00EC07B8" w:rsidRPr="003624E0">
        <w:t>employers can be held legally liable for sexual harassment in the workplace</w:t>
      </w:r>
      <w:r w:rsidR="00D70DC3" w:rsidRPr="003624E0">
        <w:t>.</w:t>
      </w:r>
      <w:r w:rsidR="00B474BC" w:rsidRPr="003624E0">
        <w:t xml:space="preserve"> </w:t>
      </w:r>
    </w:p>
    <w:p w:rsidR="007E220D" w:rsidRPr="003624E0" w:rsidRDefault="00B06E28" w:rsidP="00AE2C1C">
      <w:pPr>
        <w:pStyle w:val="Heading2"/>
        <w:numPr>
          <w:ilvl w:val="0"/>
          <w:numId w:val="0"/>
        </w:numPr>
        <w:ind w:left="851" w:hanging="851"/>
      </w:pPr>
      <w:bookmarkStart w:id="26" w:name="_Toc388023526"/>
      <w:bookmarkStart w:id="27" w:name="_Toc362446679"/>
      <w:proofErr w:type="gramStart"/>
      <w:r w:rsidRPr="003624E0">
        <w:t>3.1  Causes</w:t>
      </w:r>
      <w:proofErr w:type="gramEnd"/>
      <w:r w:rsidRPr="003624E0">
        <w:t xml:space="preserve"> of action</w:t>
      </w:r>
      <w:bookmarkEnd w:id="26"/>
      <w:r w:rsidRPr="003624E0">
        <w:t xml:space="preserve"> </w:t>
      </w:r>
      <w:bookmarkEnd w:id="27"/>
    </w:p>
    <w:p w:rsidR="000B3949" w:rsidRPr="003624E0" w:rsidRDefault="00B06E28" w:rsidP="00B06E28">
      <w:pPr>
        <w:pStyle w:val="Heading3"/>
        <w:numPr>
          <w:ilvl w:val="0"/>
          <w:numId w:val="0"/>
        </w:numPr>
        <w:ind w:left="851" w:hanging="851"/>
      </w:pPr>
      <w:bookmarkStart w:id="28" w:name="_Toc362446680"/>
      <w:r w:rsidRPr="003624E0">
        <w:t xml:space="preserve">(a) </w:t>
      </w:r>
      <w:r w:rsidR="001E04D4" w:rsidRPr="003624E0">
        <w:t>Sexual harassment</w:t>
      </w:r>
      <w:bookmarkEnd w:id="28"/>
    </w:p>
    <w:p w:rsidR="00A048F1" w:rsidRPr="003624E0" w:rsidRDefault="00B30F4A" w:rsidP="000B3949">
      <w:r w:rsidRPr="003624E0">
        <w:t xml:space="preserve">Sexual harassment is </w:t>
      </w:r>
      <w:r w:rsidR="00631FAE">
        <w:t>unlawful</w:t>
      </w:r>
      <w:r w:rsidR="00135F33">
        <w:t xml:space="preserve"> </w:t>
      </w:r>
      <w:r w:rsidR="00631FAE">
        <w:t>u</w:t>
      </w:r>
      <w:r w:rsidRPr="003624E0">
        <w:t>nder t</w:t>
      </w:r>
      <w:r w:rsidR="002D316B" w:rsidRPr="003624E0">
        <w:t>he Sex Discrimination Act</w:t>
      </w:r>
      <w:r w:rsidRPr="003624E0">
        <w:t xml:space="preserve">.  </w:t>
      </w:r>
    </w:p>
    <w:p w:rsidR="00B57290" w:rsidRPr="003624E0" w:rsidRDefault="00104995" w:rsidP="000B3949">
      <w:r w:rsidRPr="003624E0">
        <w:t xml:space="preserve">A </w:t>
      </w:r>
      <w:r w:rsidR="00073CCB" w:rsidRPr="003624E0">
        <w:t>person who alleges sexual harassment</w:t>
      </w:r>
      <w:r w:rsidR="00C43157" w:rsidRPr="003624E0">
        <w:t>, including</w:t>
      </w:r>
      <w:r w:rsidR="00073CCB" w:rsidRPr="003624E0">
        <w:t xml:space="preserve"> in the workplace</w:t>
      </w:r>
      <w:r w:rsidR="00C43157" w:rsidRPr="003624E0">
        <w:t>,</w:t>
      </w:r>
      <w:r w:rsidR="00073CCB" w:rsidRPr="003624E0">
        <w:t xml:space="preserve"> </w:t>
      </w:r>
      <w:r w:rsidR="00091E00" w:rsidRPr="003624E0">
        <w:t xml:space="preserve">can </w:t>
      </w:r>
      <w:r w:rsidR="00073CCB" w:rsidRPr="003624E0">
        <w:t>submit a complaint to the Commissi</w:t>
      </w:r>
      <w:r w:rsidR="00934922" w:rsidRPr="003624E0">
        <w:t>on</w:t>
      </w:r>
      <w:r w:rsidR="00830947" w:rsidRPr="003624E0">
        <w:t>.</w:t>
      </w:r>
      <w:r w:rsidR="00C43157" w:rsidRPr="003624E0">
        <w:t xml:space="preserve"> </w:t>
      </w:r>
    </w:p>
    <w:p w:rsidR="006C4123" w:rsidRPr="003624E0" w:rsidRDefault="000A233B" w:rsidP="00214B8C">
      <w:r w:rsidRPr="003624E0">
        <w:t xml:space="preserve">When the Commission receives a complaint alleging sexual harassment covered by the Sex Discrimination Act, it </w:t>
      </w:r>
      <w:r w:rsidR="00191EE9">
        <w:t xml:space="preserve">can inquire into </w:t>
      </w:r>
      <w:r w:rsidR="000C50DA">
        <w:t xml:space="preserve">and attempt to conciliate </w:t>
      </w:r>
      <w:r w:rsidR="00191EE9">
        <w:t>the complaint</w:t>
      </w:r>
      <w:r w:rsidR="00843E0B" w:rsidRPr="003624E0">
        <w:t xml:space="preserve">.  </w:t>
      </w:r>
      <w:r w:rsidRPr="003624E0">
        <w:t>Th</w:t>
      </w:r>
      <w:r w:rsidR="00843E0B" w:rsidRPr="003624E0">
        <w:t>is means that the Commission</w:t>
      </w:r>
      <w:r w:rsidRPr="003624E0">
        <w:t xml:space="preserve"> </w:t>
      </w:r>
      <w:r w:rsidR="00843E0B" w:rsidRPr="003624E0">
        <w:t xml:space="preserve">will try to help the </w:t>
      </w:r>
      <w:r w:rsidR="00B23494" w:rsidRPr="003624E0">
        <w:t>complainant (</w:t>
      </w:r>
      <w:proofErr w:type="spellStart"/>
      <w:r w:rsidR="00B23494" w:rsidRPr="003624E0">
        <w:t>ie</w:t>
      </w:r>
      <w:proofErr w:type="spellEnd"/>
      <w:r w:rsidR="00B23494" w:rsidRPr="003624E0">
        <w:t xml:space="preserve"> the person alleging harassment) and the</w:t>
      </w:r>
      <w:r w:rsidR="00B23494" w:rsidRPr="003624E0">
        <w:rPr>
          <w:i/>
        </w:rPr>
        <w:t xml:space="preserve"> </w:t>
      </w:r>
      <w:r w:rsidR="00B23494" w:rsidRPr="003624E0">
        <w:t>respondent (</w:t>
      </w:r>
      <w:proofErr w:type="spellStart"/>
      <w:r w:rsidR="00843E0B" w:rsidRPr="003624E0">
        <w:t>ie</w:t>
      </w:r>
      <w:proofErr w:type="spellEnd"/>
      <w:r w:rsidR="00843E0B" w:rsidRPr="003624E0">
        <w:t xml:space="preserve"> the person or organisation about whom there has been a complaint) </w:t>
      </w:r>
      <w:r w:rsidRPr="003624E0">
        <w:t xml:space="preserve">resolve the complaint.  </w:t>
      </w:r>
    </w:p>
    <w:p w:rsidR="00214B8C" w:rsidRPr="003624E0" w:rsidRDefault="00214B8C" w:rsidP="00214B8C">
      <w:r w:rsidRPr="003624E0">
        <w:t>The Commission is not a court and therefore cannot determine whether or not sexual harassment has occurred.</w:t>
      </w:r>
      <w:r w:rsidR="0093665C" w:rsidRPr="003624E0">
        <w:t xml:space="preserve">  Instead, the </w:t>
      </w:r>
      <w:r w:rsidR="005F4F80">
        <w:t>Commission’s role</w:t>
      </w:r>
      <w:r w:rsidR="00B54A79" w:rsidRPr="003624E0">
        <w:t xml:space="preserve"> in individual cases</w:t>
      </w:r>
      <w:r w:rsidR="0093665C" w:rsidRPr="003624E0">
        <w:t xml:space="preserve"> is </w:t>
      </w:r>
      <w:r w:rsidR="005F4F80">
        <w:t>to get both sides of the story and help those involved try to resolve the complaint</w:t>
      </w:r>
      <w:r w:rsidR="00B54A79" w:rsidRPr="003624E0">
        <w:t xml:space="preserve"> </w:t>
      </w:r>
      <w:r w:rsidR="00BE1BAF" w:rsidRPr="003624E0">
        <w:t>(</w:t>
      </w:r>
      <w:r w:rsidR="00B54A79" w:rsidRPr="003624E0">
        <w:t>s</w:t>
      </w:r>
      <w:r w:rsidR="0033793A" w:rsidRPr="003624E0">
        <w:t xml:space="preserve">ee Appendix 2 for </w:t>
      </w:r>
      <w:r w:rsidR="00BE1BAF" w:rsidRPr="003624E0">
        <w:t>further information about the Commission’s complaint process</w:t>
      </w:r>
      <w:r w:rsidR="000E75FF">
        <w:t>)</w:t>
      </w:r>
      <w:r w:rsidR="0033793A" w:rsidRPr="003624E0">
        <w:t>.</w:t>
      </w:r>
      <w:r w:rsidRPr="003624E0">
        <w:t xml:space="preserve">  </w:t>
      </w:r>
    </w:p>
    <w:p w:rsidR="00714D0D" w:rsidRDefault="005B54A5" w:rsidP="00843E0B">
      <w:r w:rsidRPr="003624E0">
        <w:t xml:space="preserve">Resolutions </w:t>
      </w:r>
      <w:r w:rsidR="000E010F" w:rsidRPr="003624E0">
        <w:t xml:space="preserve">reached during conciliation </w:t>
      </w:r>
      <w:r w:rsidRPr="003624E0">
        <w:t>vary, but might include</w:t>
      </w:r>
      <w:r w:rsidR="00E41CDA" w:rsidRPr="003624E0">
        <w:t xml:space="preserve"> compensation or</w:t>
      </w:r>
      <w:r w:rsidRPr="003624E0">
        <w:t xml:space="preserve"> an apology</w:t>
      </w:r>
      <w:r w:rsidR="009E5492" w:rsidRPr="003624E0">
        <w:t xml:space="preserve"> </w:t>
      </w:r>
      <w:r w:rsidR="000E010F" w:rsidRPr="003624E0">
        <w:t>from the employer</w:t>
      </w:r>
      <w:r w:rsidR="00E41CDA" w:rsidRPr="003624E0">
        <w:t xml:space="preserve">.  They might also include </w:t>
      </w:r>
      <w:r w:rsidR="009E5492" w:rsidRPr="003624E0">
        <w:t xml:space="preserve">an agreement from the employer to create or amend its sexual harassment policy or conduct workplace training on sexual harassment. </w:t>
      </w:r>
    </w:p>
    <w:p w:rsidR="009E5492" w:rsidRPr="003624E0" w:rsidRDefault="00714D0D" w:rsidP="00843E0B">
      <w:r w:rsidRPr="005A205D">
        <w:t xml:space="preserve">If a resolution cannot be reached the Commission will ‘terminate’ the complaint.  </w:t>
      </w:r>
    </w:p>
    <w:p w:rsidR="00450186" w:rsidRPr="003624E0" w:rsidRDefault="00B57290" w:rsidP="008B3FD3">
      <w:r w:rsidRPr="003624E0">
        <w:t>The complainant</w:t>
      </w:r>
      <w:r w:rsidR="00214B8C" w:rsidRPr="003624E0">
        <w:t xml:space="preserve"> can </w:t>
      </w:r>
      <w:r w:rsidR="007F51FD">
        <w:t>then take the matter to</w:t>
      </w:r>
      <w:r w:rsidR="00214B8C" w:rsidRPr="003624E0">
        <w:t xml:space="preserve"> the Federal </w:t>
      </w:r>
      <w:r w:rsidR="00FA70AC" w:rsidRPr="003624E0">
        <w:t xml:space="preserve">Circuit </w:t>
      </w:r>
      <w:r w:rsidR="00214B8C" w:rsidRPr="003624E0">
        <w:t xml:space="preserve">Court </w:t>
      </w:r>
      <w:r w:rsidR="00FA70AC" w:rsidRPr="003624E0">
        <w:t xml:space="preserve">of Australia </w:t>
      </w:r>
      <w:r w:rsidR="00214B8C" w:rsidRPr="003624E0">
        <w:t xml:space="preserve">or the Federal Court of Australia within 60 days of the complaint being </w:t>
      </w:r>
      <w:r w:rsidR="007F51FD">
        <w:t>‘terminated’</w:t>
      </w:r>
      <w:r w:rsidR="007F51FD" w:rsidRPr="003624E0">
        <w:t xml:space="preserve"> </w:t>
      </w:r>
      <w:r w:rsidR="00214B8C" w:rsidRPr="003624E0">
        <w:t>by the Commission.  If the complainant cho</w:t>
      </w:r>
      <w:r w:rsidR="00660B4A">
        <w:t>o</w:t>
      </w:r>
      <w:r w:rsidR="00214B8C" w:rsidRPr="003624E0">
        <w:t>ses to proceed to court, he or she will need to prove sexual harassment ‘on the balance of proba</w:t>
      </w:r>
      <w:r w:rsidR="008B3FD3" w:rsidRPr="003624E0">
        <w:t>bilities’.</w:t>
      </w:r>
      <w:r w:rsidR="00214B8C" w:rsidRPr="003624E0">
        <w:t xml:space="preserve">  </w:t>
      </w:r>
      <w:r w:rsidR="008B3FD3" w:rsidRPr="003624E0">
        <w:t xml:space="preserve">This is the standard of proof applied to civil </w:t>
      </w:r>
      <w:r w:rsidR="00D24020">
        <w:t>matters</w:t>
      </w:r>
      <w:r w:rsidR="00410505" w:rsidRPr="003624E0">
        <w:t xml:space="preserve"> in Australia</w:t>
      </w:r>
      <w:r w:rsidR="008B3FD3" w:rsidRPr="003624E0">
        <w:t xml:space="preserve">. </w:t>
      </w:r>
    </w:p>
    <w:p w:rsidR="00E32DA0" w:rsidRPr="00E32DA0" w:rsidRDefault="00576FB9" w:rsidP="00E32DA0">
      <w:pPr>
        <w:rPr>
          <w:rFonts w:cs="Arial"/>
        </w:rPr>
      </w:pPr>
      <w:r w:rsidRPr="003624E0">
        <w:t xml:space="preserve">If the complainant succeeds in proving </w:t>
      </w:r>
      <w:r w:rsidR="00F2754B" w:rsidRPr="003624E0">
        <w:t xml:space="preserve">his or </w:t>
      </w:r>
      <w:r w:rsidRPr="003624E0">
        <w:t xml:space="preserve">her claim </w:t>
      </w:r>
      <w:r w:rsidR="00F2754B" w:rsidRPr="003624E0">
        <w:t xml:space="preserve">of sexual harassment </w:t>
      </w:r>
      <w:r w:rsidRPr="003624E0">
        <w:t>on the balance of probabilities, the Court may</w:t>
      </w:r>
      <w:r w:rsidR="00D24020">
        <w:t xml:space="preserve"> make a range of orders</w:t>
      </w:r>
      <w:r w:rsidR="002B5143" w:rsidRPr="003624E0">
        <w:t>.</w:t>
      </w:r>
      <w:r w:rsidR="002B16B4">
        <w:t xml:space="preserve"> </w:t>
      </w:r>
      <w:r w:rsidR="002B5143" w:rsidRPr="003624E0">
        <w:t xml:space="preserve">These </w:t>
      </w:r>
      <w:r w:rsidR="00D24020">
        <w:t>orders</w:t>
      </w:r>
      <w:r w:rsidR="00135F33">
        <w:t xml:space="preserve"> </w:t>
      </w:r>
      <w:r w:rsidR="002B5143" w:rsidRPr="003624E0">
        <w:t>may vary, depending on the seriousness of the particular act or acts of sexual harassment and the particular circumstances of the case</w:t>
      </w:r>
      <w:r w:rsidR="002B5143" w:rsidRPr="000B2162">
        <w:t>.</w:t>
      </w:r>
      <w:r w:rsidR="00E32DA0" w:rsidRPr="00E32DA0">
        <w:t xml:space="preserve"> </w:t>
      </w:r>
      <w:r w:rsidR="005C5D7C">
        <w:t>For e</w:t>
      </w:r>
      <w:r w:rsidR="00E32DA0">
        <w:t xml:space="preserve">xample, orders may declare that no further action is to be taken, or they could require the respondent </w:t>
      </w:r>
      <w:r w:rsidR="000D6B48">
        <w:t xml:space="preserve">to </w:t>
      </w:r>
      <w:r w:rsidR="00E32DA0">
        <w:t xml:space="preserve">employ or re-employ an applicant, </w:t>
      </w:r>
      <w:r w:rsidR="000D6B48">
        <w:t xml:space="preserve">to </w:t>
      </w:r>
      <w:r w:rsidR="00E32DA0">
        <w:t>pay damages, or to redress any loss or damage suffered by an applicant in other ways.</w:t>
      </w:r>
      <w:r w:rsidR="008641F6">
        <w:rPr>
          <w:rStyle w:val="EndnoteReference"/>
        </w:rPr>
        <w:endnoteReference w:id="56"/>
      </w:r>
      <w:r w:rsidR="00E32DA0">
        <w:t xml:space="preserve"> </w:t>
      </w:r>
    </w:p>
    <w:p w:rsidR="00A146FA" w:rsidRPr="003624E0" w:rsidRDefault="00B06E28" w:rsidP="00B06E28">
      <w:pPr>
        <w:pStyle w:val="Heading3"/>
        <w:numPr>
          <w:ilvl w:val="0"/>
          <w:numId w:val="0"/>
        </w:numPr>
        <w:ind w:left="851" w:hanging="851"/>
      </w:pPr>
      <w:bookmarkStart w:id="29" w:name="_Toc362446681"/>
      <w:r w:rsidRPr="003624E0">
        <w:t xml:space="preserve">(b) </w:t>
      </w:r>
      <w:r w:rsidR="00A146FA" w:rsidRPr="003624E0">
        <w:t>Sex</w:t>
      </w:r>
      <w:r w:rsidR="00064F5B" w:rsidRPr="003624E0">
        <w:t>ual harassment as sex</w:t>
      </w:r>
      <w:r w:rsidR="00A146FA" w:rsidRPr="003624E0">
        <w:t xml:space="preserve"> discrimination</w:t>
      </w:r>
      <w:bookmarkEnd w:id="29"/>
      <w:r w:rsidR="00A146FA" w:rsidRPr="003624E0">
        <w:t xml:space="preserve"> </w:t>
      </w:r>
    </w:p>
    <w:p w:rsidR="00D82D25" w:rsidRPr="003624E0" w:rsidRDefault="00803B6B" w:rsidP="00A146FA">
      <w:pPr>
        <w:pStyle w:val="SubmissionNormal"/>
        <w:numPr>
          <w:ilvl w:val="0"/>
          <w:numId w:val="0"/>
        </w:numPr>
      </w:pPr>
      <w:r w:rsidRPr="003624E0">
        <w:t xml:space="preserve">In addition to </w:t>
      </w:r>
      <w:r w:rsidR="00D24020">
        <w:t>being unlawful</w:t>
      </w:r>
      <w:r w:rsidRPr="003624E0">
        <w:t xml:space="preserve"> in its own right, s</w:t>
      </w:r>
      <w:r w:rsidR="00A146FA" w:rsidRPr="003624E0">
        <w:t xml:space="preserve">exual harassment is recognised as a form of sex discrimination </w:t>
      </w:r>
      <w:r w:rsidR="00A146FA" w:rsidRPr="000B2162">
        <w:t>against women</w:t>
      </w:r>
      <w:r w:rsidR="00564A96" w:rsidRPr="003624E0">
        <w:t>.</w:t>
      </w:r>
      <w:r w:rsidR="00D82D25" w:rsidRPr="003624E0">
        <w:t xml:space="preserve">  Like sexual harassment, sex discrimination </w:t>
      </w:r>
      <w:r w:rsidR="00D24020">
        <w:t>is unlawful</w:t>
      </w:r>
      <w:r w:rsidR="00134875">
        <w:t>.</w:t>
      </w:r>
      <w:r w:rsidR="005C5D7C">
        <w:t xml:space="preserve"> </w:t>
      </w:r>
    </w:p>
    <w:p w:rsidR="00182A07" w:rsidRPr="0052773F" w:rsidRDefault="00D82D25" w:rsidP="00A146FA">
      <w:pPr>
        <w:pStyle w:val="SubmissionNormal"/>
        <w:numPr>
          <w:ilvl w:val="0"/>
          <w:numId w:val="0"/>
        </w:numPr>
      </w:pPr>
      <w:r w:rsidRPr="000B2162">
        <w:t xml:space="preserve">Sexual harassment is recognised </w:t>
      </w:r>
      <w:r w:rsidR="001B40DA" w:rsidRPr="000B2162">
        <w:t xml:space="preserve">as a form of discrimination </w:t>
      </w:r>
      <w:r w:rsidR="00A146FA" w:rsidRPr="000B2162">
        <w:t xml:space="preserve">because women are harassed in </w:t>
      </w:r>
      <w:r w:rsidR="00E1677B">
        <w:t>far</w:t>
      </w:r>
      <w:r w:rsidR="00E1677B" w:rsidRPr="000B2162">
        <w:t xml:space="preserve"> </w:t>
      </w:r>
      <w:r w:rsidR="00A146FA" w:rsidRPr="000B2162">
        <w:t>greater numbers than men</w:t>
      </w:r>
      <w:r w:rsidR="001B40DA" w:rsidRPr="000B2162">
        <w:t xml:space="preserve">.  This fact is </w:t>
      </w:r>
      <w:r w:rsidR="00CD01A0" w:rsidRPr="000B2162">
        <w:t>supported by t</w:t>
      </w:r>
      <w:r w:rsidR="001B40DA" w:rsidRPr="000B2162">
        <w:t>he Commission’s national survey</w:t>
      </w:r>
      <w:r w:rsidR="00A146FA" w:rsidRPr="000B2162">
        <w:t>.</w:t>
      </w:r>
    </w:p>
    <w:tbl>
      <w:tblPr>
        <w:tblStyle w:val="TableGrid"/>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751"/>
      </w:tblGrid>
      <w:tr w:rsidR="00182A07" w:rsidRPr="003624E0">
        <w:trPr>
          <w:trHeight w:val="2717"/>
        </w:trPr>
        <w:tc>
          <w:tcPr>
            <w:tcW w:w="4754" w:type="dxa"/>
          </w:tcPr>
          <w:p w:rsidR="00182A07" w:rsidRPr="003624E0" w:rsidRDefault="007B044C" w:rsidP="00A146FA">
            <w:pPr>
              <w:pStyle w:val="SubmissionNormal"/>
              <w:numPr>
                <w:ilvl w:val="0"/>
                <w:numId w:val="0"/>
              </w:numPr>
              <w:rPr>
                <w:rStyle w:val="EndnoteReference"/>
              </w:rPr>
            </w:pPr>
            <w:r w:rsidRPr="003624E0">
              <w:rPr>
                <w:noProof/>
                <w:sz w:val="20"/>
                <w:vertAlign w:val="superscript"/>
              </w:rPr>
              <w:drawing>
                <wp:inline distT="0" distB="0" distL="0" distR="0" wp14:anchorId="5DC9A25B" wp14:editId="1B667027">
                  <wp:extent cx="2872663" cy="140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 4 wom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72663" cy="1407900"/>
                          </a:xfrm>
                          <a:prstGeom prst="rect">
                            <a:avLst/>
                          </a:prstGeom>
                        </pic:spPr>
                      </pic:pic>
                    </a:graphicData>
                  </a:graphic>
                </wp:inline>
              </w:drawing>
            </w:r>
          </w:p>
        </w:tc>
        <w:tc>
          <w:tcPr>
            <w:tcW w:w="4751" w:type="dxa"/>
          </w:tcPr>
          <w:p w:rsidR="00182A07" w:rsidRPr="003624E0" w:rsidRDefault="007B044C" w:rsidP="00A146FA">
            <w:pPr>
              <w:pStyle w:val="SubmissionNormal"/>
              <w:numPr>
                <w:ilvl w:val="0"/>
                <w:numId w:val="0"/>
              </w:numPr>
              <w:rPr>
                <w:rStyle w:val="EndnoteReference"/>
              </w:rPr>
            </w:pPr>
            <w:r w:rsidRPr="003624E0">
              <w:rPr>
                <w:noProof/>
                <w:sz w:val="20"/>
                <w:vertAlign w:val="superscript"/>
              </w:rPr>
              <w:drawing>
                <wp:inline distT="0" distB="0" distL="0" distR="0" wp14:anchorId="43E93BA5" wp14:editId="65A1FA9C">
                  <wp:extent cx="2870397" cy="13943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 6 m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70397" cy="1394322"/>
                          </a:xfrm>
                          <a:prstGeom prst="rect">
                            <a:avLst/>
                          </a:prstGeom>
                        </pic:spPr>
                      </pic:pic>
                    </a:graphicData>
                  </a:graphic>
                </wp:inline>
              </w:drawing>
            </w:r>
          </w:p>
        </w:tc>
      </w:tr>
    </w:tbl>
    <w:p w:rsidR="003D18F7" w:rsidRPr="003624E0" w:rsidRDefault="001B40DA" w:rsidP="00A146FA">
      <w:pPr>
        <w:pStyle w:val="SubmissionNormal"/>
        <w:numPr>
          <w:ilvl w:val="0"/>
          <w:numId w:val="0"/>
        </w:numPr>
      </w:pPr>
      <w:r w:rsidRPr="003624E0">
        <w:t>The Federal Court of Australia</w:t>
      </w:r>
      <w:r w:rsidR="00422EBD" w:rsidRPr="003624E0">
        <w:t xml:space="preserve"> has also recognised the discriminatory impact of sexual harassment.  </w:t>
      </w:r>
      <w:r w:rsidR="00A146FA" w:rsidRPr="003624E0">
        <w:t xml:space="preserv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3D18F7" w:rsidRPr="003624E0">
        <w:trPr>
          <w:trHeight w:val="503"/>
        </w:trPr>
        <w:tc>
          <w:tcPr>
            <w:tcW w:w="9071" w:type="dxa"/>
            <w:shd w:val="clear" w:color="0078C1" w:fill="C6D9F1" w:themeFill="text2" w:themeFillTint="33"/>
            <w:tcMar>
              <w:top w:w="227" w:type="dxa"/>
              <w:left w:w="227" w:type="dxa"/>
              <w:bottom w:w="255" w:type="dxa"/>
              <w:right w:w="227" w:type="dxa"/>
            </w:tcMar>
          </w:tcPr>
          <w:p w:rsidR="003D18F7" w:rsidRPr="003624E0" w:rsidRDefault="006A611F" w:rsidP="00637ECB">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Pr>
                <w:rFonts w:cs="Arial"/>
                <w:b/>
                <w:bCs/>
                <w:color w:val="000000"/>
                <w:szCs w:val="22"/>
              </w:rPr>
              <w:t xml:space="preserve">Case study: </w:t>
            </w:r>
            <w:r w:rsidR="001B40DA" w:rsidRPr="003624E0">
              <w:rPr>
                <w:rFonts w:cs="Arial"/>
                <w:b/>
                <w:bCs/>
                <w:color w:val="000000"/>
                <w:szCs w:val="22"/>
              </w:rPr>
              <w:t>S</w:t>
            </w:r>
            <w:r w:rsidR="003D18F7" w:rsidRPr="003624E0">
              <w:rPr>
                <w:rFonts w:cs="Arial"/>
                <w:b/>
                <w:bCs/>
                <w:color w:val="000000"/>
                <w:szCs w:val="22"/>
              </w:rPr>
              <w:t>ex</w:t>
            </w:r>
            <w:r w:rsidR="00637ECB" w:rsidRPr="003624E0">
              <w:rPr>
                <w:rFonts w:cs="Arial"/>
                <w:b/>
                <w:bCs/>
                <w:color w:val="000000"/>
                <w:szCs w:val="22"/>
              </w:rPr>
              <w:t xml:space="preserve">ual </w:t>
            </w:r>
            <w:r w:rsidR="003D18F7" w:rsidRPr="003624E0">
              <w:rPr>
                <w:rFonts w:cs="Arial"/>
                <w:b/>
                <w:bCs/>
                <w:color w:val="000000"/>
                <w:szCs w:val="22"/>
              </w:rPr>
              <w:t xml:space="preserve">harassment </w:t>
            </w:r>
            <w:r w:rsidR="00722840" w:rsidRPr="003624E0">
              <w:rPr>
                <w:rFonts w:cs="Arial"/>
                <w:b/>
                <w:bCs/>
                <w:color w:val="000000"/>
                <w:szCs w:val="22"/>
              </w:rPr>
              <w:t>a</w:t>
            </w:r>
            <w:r w:rsidR="00D45822" w:rsidRPr="003624E0">
              <w:rPr>
                <w:rFonts w:cs="Arial"/>
                <w:b/>
                <w:bCs/>
                <w:color w:val="000000"/>
                <w:szCs w:val="22"/>
              </w:rPr>
              <w:t>s a</w:t>
            </w:r>
            <w:r w:rsidR="00722840" w:rsidRPr="003624E0">
              <w:rPr>
                <w:rFonts w:cs="Arial"/>
                <w:b/>
                <w:bCs/>
                <w:color w:val="000000"/>
                <w:szCs w:val="22"/>
              </w:rPr>
              <w:t xml:space="preserve"> form of </w:t>
            </w:r>
            <w:r w:rsidR="003D18F7" w:rsidRPr="003624E0">
              <w:rPr>
                <w:rFonts w:cs="Arial"/>
                <w:b/>
                <w:bCs/>
                <w:color w:val="000000"/>
                <w:szCs w:val="22"/>
              </w:rPr>
              <w:t>sex discrimination</w:t>
            </w:r>
            <w:r w:rsidR="003D18F7" w:rsidRPr="003624E0">
              <w:rPr>
                <w:rStyle w:val="EndnoteReference"/>
                <w:sz w:val="24"/>
                <w:szCs w:val="22"/>
              </w:rPr>
              <w:endnoteReference w:id="57"/>
            </w:r>
          </w:p>
          <w:p w:rsidR="003D18F7" w:rsidRPr="003624E0" w:rsidRDefault="003D18F7" w:rsidP="00637ECB">
            <w:pPr>
              <w:rPr>
                <w:sz w:val="22"/>
              </w:rPr>
            </w:pPr>
            <w:r w:rsidRPr="003624E0">
              <w:rPr>
                <w:sz w:val="22"/>
              </w:rPr>
              <w:t>In</w:t>
            </w:r>
            <w:r w:rsidR="00D45822" w:rsidRPr="003624E0">
              <w:rPr>
                <w:sz w:val="22"/>
              </w:rPr>
              <w:t xml:space="preserve"> </w:t>
            </w:r>
            <w:r w:rsidR="00D45822" w:rsidRPr="003624E0">
              <w:rPr>
                <w:i/>
                <w:sz w:val="22"/>
              </w:rPr>
              <w:t>Aldri</w:t>
            </w:r>
            <w:r w:rsidR="00D42B71" w:rsidRPr="003624E0">
              <w:rPr>
                <w:i/>
                <w:sz w:val="22"/>
              </w:rPr>
              <w:t>d</w:t>
            </w:r>
            <w:r w:rsidR="00D45822" w:rsidRPr="003624E0">
              <w:rPr>
                <w:i/>
                <w:sz w:val="22"/>
              </w:rPr>
              <w:t xml:space="preserve">ge v Booth, </w:t>
            </w:r>
            <w:r w:rsidR="00D45822" w:rsidRPr="003624E0">
              <w:rPr>
                <w:sz w:val="22"/>
              </w:rPr>
              <w:t xml:space="preserve">Justice Spender </w:t>
            </w:r>
            <w:r w:rsidR="00D42B71" w:rsidRPr="003624E0">
              <w:rPr>
                <w:sz w:val="22"/>
              </w:rPr>
              <w:t>explained</w:t>
            </w:r>
            <w:r w:rsidR="00D45822" w:rsidRPr="003624E0">
              <w:rPr>
                <w:sz w:val="22"/>
              </w:rPr>
              <w:t xml:space="preserve"> that</w:t>
            </w:r>
            <w:r w:rsidR="00722840" w:rsidRPr="003624E0">
              <w:rPr>
                <w:sz w:val="22"/>
              </w:rPr>
              <w:t xml:space="preserve"> </w:t>
            </w:r>
            <w:r w:rsidRPr="003624E0">
              <w:rPr>
                <w:sz w:val="22"/>
              </w:rPr>
              <w:t xml:space="preserve"> </w:t>
            </w:r>
          </w:p>
          <w:p w:rsidR="003D18F7" w:rsidRPr="00F16D2F" w:rsidRDefault="003D18F7" w:rsidP="00D45822">
            <w:pPr>
              <w:ind w:left="557"/>
              <w:rPr>
                <w:i/>
                <w:sz w:val="22"/>
                <w:szCs w:val="22"/>
              </w:rPr>
            </w:pPr>
            <w:proofErr w:type="gramStart"/>
            <w:r w:rsidRPr="00F16D2F">
              <w:rPr>
                <w:i/>
                <w:sz w:val="22"/>
                <w:szCs w:val="22"/>
              </w:rPr>
              <w:t>when</w:t>
            </w:r>
            <w:proofErr w:type="gramEnd"/>
            <w:r w:rsidRPr="00F16D2F">
              <w:rPr>
                <w:i/>
                <w:sz w:val="22"/>
                <w:szCs w:val="22"/>
              </w:rPr>
              <w:t xml:space="preserve"> a woman is subjected to sexual harassment … she is subjected to that conduct because she is a woman, and a male employee would not be so harassed: the discrimination is on the basis of sex.  The woman employee would not have been subjected to the advance, request or conduct but for the fact that she was a woman. </w:t>
            </w:r>
          </w:p>
        </w:tc>
      </w:tr>
    </w:tbl>
    <w:p w:rsidR="0027613D" w:rsidRPr="003624E0" w:rsidRDefault="003D18F7" w:rsidP="00CD01A0">
      <w:pPr>
        <w:pStyle w:val="SubmissionNormal"/>
        <w:numPr>
          <w:ilvl w:val="0"/>
          <w:numId w:val="0"/>
        </w:numPr>
      </w:pPr>
      <w:r w:rsidRPr="003624E0">
        <w:t>C</w:t>
      </w:r>
      <w:r w:rsidR="00FB4404" w:rsidRPr="003624E0">
        <w:t>onduct that falls short of sexual harassment (</w:t>
      </w:r>
      <w:proofErr w:type="spellStart"/>
      <w:r w:rsidR="00FB4404" w:rsidRPr="003624E0">
        <w:t>eg</w:t>
      </w:r>
      <w:proofErr w:type="spellEnd"/>
      <w:r w:rsidR="00FB4404" w:rsidRPr="003624E0">
        <w:t xml:space="preserve"> because the conduct was found not to be </w:t>
      </w:r>
      <w:r w:rsidR="00530585" w:rsidRPr="003624E0">
        <w:t>‘</w:t>
      </w:r>
      <w:r w:rsidR="00FB4404" w:rsidRPr="003624E0">
        <w:t>sexual</w:t>
      </w:r>
      <w:r w:rsidR="00530585" w:rsidRPr="003624E0">
        <w:t>’</w:t>
      </w:r>
      <w:r w:rsidR="00FB4404" w:rsidRPr="003624E0">
        <w:t xml:space="preserve"> in nature) may nevertheless constitute sex discrimination if it amounts to less favourable treatment by reason of sex.</w:t>
      </w:r>
      <w:r w:rsidR="00583693" w:rsidRPr="003624E0">
        <w:t xml:space="preserve">  Such conduct is sometimes referred to as sex-based harass</w:t>
      </w:r>
      <w:r w:rsidR="00D42B71" w:rsidRPr="003624E0">
        <w:t xml:space="preserve">ment.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530585" w:rsidRPr="003624E0">
        <w:trPr>
          <w:trHeight w:val="503"/>
        </w:trPr>
        <w:tc>
          <w:tcPr>
            <w:tcW w:w="9071" w:type="dxa"/>
            <w:shd w:val="clear" w:color="0078C1" w:fill="C6D9F1" w:themeFill="text2" w:themeFillTint="33"/>
            <w:tcMar>
              <w:top w:w="227" w:type="dxa"/>
              <w:left w:w="227" w:type="dxa"/>
              <w:bottom w:w="255" w:type="dxa"/>
              <w:right w:w="227" w:type="dxa"/>
            </w:tcMar>
          </w:tcPr>
          <w:p w:rsidR="00530585" w:rsidRPr="003624E0" w:rsidRDefault="006A611F" w:rsidP="00637ECB">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Pr>
                <w:rFonts w:cs="Arial"/>
                <w:b/>
                <w:bCs/>
                <w:color w:val="000000"/>
                <w:szCs w:val="22"/>
              </w:rPr>
              <w:t xml:space="preserve">Case study: </w:t>
            </w:r>
            <w:r w:rsidR="00426740" w:rsidRPr="003624E0">
              <w:rPr>
                <w:rFonts w:cs="Arial"/>
                <w:b/>
                <w:bCs/>
                <w:color w:val="000000"/>
                <w:szCs w:val="22"/>
              </w:rPr>
              <w:t>S</w:t>
            </w:r>
            <w:r w:rsidR="00530585" w:rsidRPr="003624E0">
              <w:rPr>
                <w:rFonts w:cs="Arial"/>
                <w:b/>
                <w:bCs/>
                <w:color w:val="000000"/>
                <w:szCs w:val="22"/>
              </w:rPr>
              <w:t>ex-based harassment and sex discrimination</w:t>
            </w:r>
            <w:r w:rsidR="00530585" w:rsidRPr="003624E0">
              <w:rPr>
                <w:rStyle w:val="EndnoteReference"/>
                <w:sz w:val="24"/>
                <w:szCs w:val="22"/>
              </w:rPr>
              <w:endnoteReference w:id="58"/>
            </w:r>
          </w:p>
          <w:p w:rsidR="003D18F7" w:rsidRPr="003624E0" w:rsidRDefault="00D42B71" w:rsidP="003D18F7">
            <w:pPr>
              <w:rPr>
                <w:sz w:val="22"/>
              </w:rPr>
            </w:pPr>
            <w:r w:rsidRPr="003624E0">
              <w:rPr>
                <w:sz w:val="22"/>
              </w:rPr>
              <w:t xml:space="preserve">A woman </w:t>
            </w:r>
            <w:r w:rsidR="003D18F7" w:rsidRPr="003624E0">
              <w:rPr>
                <w:sz w:val="22"/>
              </w:rPr>
              <w:t xml:space="preserve">complained </w:t>
            </w:r>
            <w:r w:rsidRPr="003624E0">
              <w:rPr>
                <w:sz w:val="22"/>
              </w:rPr>
              <w:t xml:space="preserve">about her supervisor’s </w:t>
            </w:r>
            <w:r w:rsidR="003D18F7" w:rsidRPr="003624E0">
              <w:rPr>
                <w:sz w:val="22"/>
              </w:rPr>
              <w:t xml:space="preserve">behaviour.  </w:t>
            </w:r>
            <w:r w:rsidR="00493D69" w:rsidRPr="003624E0">
              <w:rPr>
                <w:sz w:val="22"/>
              </w:rPr>
              <w:t xml:space="preserve">Federal Magistrate Driver found that the </w:t>
            </w:r>
            <w:r w:rsidRPr="003624E0">
              <w:rPr>
                <w:sz w:val="22"/>
              </w:rPr>
              <w:t>behaviour</w:t>
            </w:r>
            <w:r w:rsidR="003D18F7" w:rsidRPr="003624E0">
              <w:rPr>
                <w:sz w:val="22"/>
              </w:rPr>
              <w:t xml:space="preserve"> </w:t>
            </w:r>
            <w:r w:rsidR="00493D69" w:rsidRPr="003624E0">
              <w:rPr>
                <w:sz w:val="22"/>
              </w:rPr>
              <w:t xml:space="preserve">did not </w:t>
            </w:r>
            <w:r w:rsidR="003D18F7" w:rsidRPr="003624E0">
              <w:rPr>
                <w:sz w:val="22"/>
              </w:rPr>
              <w:t>constitute sexual harassment</w:t>
            </w:r>
            <w:r w:rsidRPr="003624E0">
              <w:rPr>
                <w:sz w:val="22"/>
              </w:rPr>
              <w:t xml:space="preserve"> but did constitute </w:t>
            </w:r>
            <w:r w:rsidR="003D18F7" w:rsidRPr="003624E0">
              <w:rPr>
                <w:sz w:val="22"/>
              </w:rPr>
              <w:t>sex discrimination</w:t>
            </w:r>
            <w:r w:rsidRPr="003624E0">
              <w:rPr>
                <w:sz w:val="22"/>
              </w:rPr>
              <w:t>.</w:t>
            </w:r>
          </w:p>
          <w:p w:rsidR="003D18F7" w:rsidRPr="005C5D7C" w:rsidRDefault="003D18F7" w:rsidP="00F7332F">
            <w:pPr>
              <w:ind w:left="557"/>
              <w:rPr>
                <w:i/>
                <w:sz w:val="22"/>
              </w:rPr>
            </w:pPr>
            <w:r w:rsidRPr="005C5D7C">
              <w:rPr>
                <w:i/>
                <w:sz w:val="22"/>
              </w:rPr>
              <w:t xml:space="preserve">I find that Mr </w:t>
            </w:r>
            <w:proofErr w:type="spellStart"/>
            <w:r w:rsidRPr="005C5D7C">
              <w:rPr>
                <w:i/>
                <w:sz w:val="22"/>
              </w:rPr>
              <w:t>Ong</w:t>
            </w:r>
            <w:proofErr w:type="spellEnd"/>
            <w:r w:rsidRPr="005C5D7C">
              <w:rPr>
                <w:i/>
                <w:sz w:val="22"/>
              </w:rPr>
              <w:t xml:space="preserve"> subjected Ms Cooke to a detriment by reason of her sex in the course of his supervision of her. </w:t>
            </w:r>
            <w:r w:rsidR="00493D69" w:rsidRPr="005C5D7C">
              <w:rPr>
                <w:i/>
                <w:sz w:val="22"/>
              </w:rPr>
              <w:t xml:space="preserve"> </w:t>
            </w:r>
            <w:r w:rsidRPr="005C5D7C">
              <w:rPr>
                <w:i/>
                <w:sz w:val="22"/>
              </w:rPr>
              <w:t xml:space="preserve">Mr </w:t>
            </w:r>
            <w:proofErr w:type="spellStart"/>
            <w:r w:rsidRPr="005C5D7C">
              <w:rPr>
                <w:i/>
                <w:sz w:val="22"/>
              </w:rPr>
              <w:t>Ong</w:t>
            </w:r>
            <w:r w:rsidR="00F7332F">
              <w:rPr>
                <w:i/>
                <w:sz w:val="22"/>
              </w:rPr>
              <w:t>’</w:t>
            </w:r>
            <w:r w:rsidRPr="005C5D7C">
              <w:rPr>
                <w:i/>
                <w:sz w:val="22"/>
              </w:rPr>
              <w:t>s</w:t>
            </w:r>
            <w:proofErr w:type="spellEnd"/>
            <w:r w:rsidRPr="005C5D7C">
              <w:rPr>
                <w:i/>
                <w:sz w:val="22"/>
              </w:rPr>
              <w:t xml:space="preserve"> supervision of Ms Cooke was more objectionable and more vexing than it would have been if she had been a man. </w:t>
            </w:r>
            <w:r w:rsidR="00493D69" w:rsidRPr="005C5D7C">
              <w:rPr>
                <w:i/>
                <w:sz w:val="22"/>
              </w:rPr>
              <w:t xml:space="preserve"> …  </w:t>
            </w:r>
            <w:r w:rsidRPr="005C5D7C">
              <w:rPr>
                <w:i/>
                <w:sz w:val="22"/>
              </w:rPr>
              <w:t xml:space="preserve">Part of the reason for Mr </w:t>
            </w:r>
            <w:proofErr w:type="spellStart"/>
            <w:r w:rsidRPr="005C5D7C">
              <w:rPr>
                <w:i/>
                <w:sz w:val="22"/>
              </w:rPr>
              <w:t>Ong</w:t>
            </w:r>
            <w:r w:rsidR="00F7332F">
              <w:rPr>
                <w:i/>
                <w:sz w:val="22"/>
              </w:rPr>
              <w:t>’</w:t>
            </w:r>
            <w:r w:rsidRPr="005C5D7C">
              <w:rPr>
                <w:i/>
                <w:sz w:val="22"/>
              </w:rPr>
              <w:t>s</w:t>
            </w:r>
            <w:proofErr w:type="spellEnd"/>
            <w:r w:rsidRPr="005C5D7C">
              <w:rPr>
                <w:i/>
                <w:sz w:val="22"/>
              </w:rPr>
              <w:t xml:space="preserve"> conduct was that he had very poor human relations skills, although he was technically highly competent.  However, part of the reason for his treatment of Ms Cooke was that she was a woman</w:t>
            </w:r>
            <w:r w:rsidR="00FF2F06" w:rsidRPr="005C5D7C">
              <w:rPr>
                <w:i/>
                <w:sz w:val="22"/>
              </w:rPr>
              <w:t>…</w:t>
            </w:r>
          </w:p>
        </w:tc>
      </w:tr>
    </w:tbl>
    <w:p w:rsidR="008A3FB9" w:rsidRPr="003624E0" w:rsidRDefault="00B06E28" w:rsidP="00B06E28">
      <w:pPr>
        <w:pStyle w:val="Heading3"/>
        <w:numPr>
          <w:ilvl w:val="0"/>
          <w:numId w:val="0"/>
        </w:numPr>
        <w:ind w:left="851" w:hanging="851"/>
      </w:pPr>
      <w:bookmarkStart w:id="30" w:name="_Toc362446682"/>
      <w:r w:rsidRPr="003624E0">
        <w:t xml:space="preserve">(c) </w:t>
      </w:r>
      <w:r w:rsidR="008A3FB9" w:rsidRPr="003624E0">
        <w:t>Victimi</w:t>
      </w:r>
      <w:r w:rsidR="00FE19E0">
        <w:t>s</w:t>
      </w:r>
      <w:r w:rsidR="008A3FB9" w:rsidRPr="003624E0">
        <w:t>ation</w:t>
      </w:r>
      <w:bookmarkEnd w:id="30"/>
    </w:p>
    <w:p w:rsidR="00C53CA0" w:rsidRPr="003624E0" w:rsidRDefault="009A6BFA" w:rsidP="00C53CA0">
      <w:r w:rsidRPr="003624E0">
        <w:t>It is a</w:t>
      </w:r>
      <w:r w:rsidR="00382719" w:rsidRPr="003624E0">
        <w:t xml:space="preserve">n </w:t>
      </w:r>
      <w:r w:rsidRPr="003624E0">
        <w:t>offence under the Sex Discrimination Act to victimi</w:t>
      </w:r>
      <w:r w:rsidR="00FE19E0">
        <w:t>s</w:t>
      </w:r>
      <w:r w:rsidRPr="003624E0">
        <w:t>e another person.</w:t>
      </w:r>
      <w:r w:rsidRPr="003624E0">
        <w:rPr>
          <w:rStyle w:val="EndnoteReference"/>
        </w:rPr>
        <w:endnoteReference w:id="59"/>
      </w:r>
      <w:r w:rsidR="00C53CA0" w:rsidRPr="003624E0">
        <w:t xml:space="preserve">  Victimi</w:t>
      </w:r>
      <w:r w:rsidR="00FE19E0">
        <w:t>s</w:t>
      </w:r>
      <w:r w:rsidR="00C53CA0" w:rsidRPr="003624E0">
        <w:t>ation is punishable by a fine and/or imprisonment.</w:t>
      </w:r>
    </w:p>
    <w:p w:rsidR="00551E60" w:rsidRPr="003624E0" w:rsidRDefault="00383401" w:rsidP="008A3FB9">
      <w:r w:rsidRPr="003624E0">
        <w:t>Victimi</w:t>
      </w:r>
      <w:r w:rsidR="00FE19E0">
        <w:t>s</w:t>
      </w:r>
      <w:r w:rsidRPr="003624E0">
        <w:t>ation means subjecting</w:t>
      </w:r>
      <w:r w:rsidR="002A6A6C" w:rsidRPr="003624E0">
        <w:t>, or threatening to subject,</w:t>
      </w:r>
      <w:r w:rsidRPr="003624E0">
        <w:t xml:space="preserve"> a</w:t>
      </w:r>
      <w:r w:rsidR="002A6A6C" w:rsidRPr="003624E0">
        <w:t>nother</w:t>
      </w:r>
      <w:r w:rsidRPr="003624E0">
        <w:t xml:space="preserve"> person to </w:t>
      </w:r>
      <w:r w:rsidR="002A6A6C" w:rsidRPr="003624E0">
        <w:t>a</w:t>
      </w:r>
      <w:r w:rsidRPr="003624E0">
        <w:t xml:space="preserve"> detriment if she</w:t>
      </w:r>
      <w:r w:rsidR="00F433DA">
        <w:t xml:space="preserve"> or </w:t>
      </w:r>
      <w:r w:rsidRPr="003624E0">
        <w:t>he has</w:t>
      </w:r>
      <w:r w:rsidR="00325F48">
        <w:t xml:space="preserve"> or proposes to</w:t>
      </w:r>
      <w:r w:rsidRPr="003624E0">
        <w:t>:</w:t>
      </w:r>
    </w:p>
    <w:p w:rsidR="00993B72" w:rsidRPr="003624E0" w:rsidRDefault="00D107A0" w:rsidP="00F84B07">
      <w:pPr>
        <w:pStyle w:val="ListParagraph"/>
        <w:numPr>
          <w:ilvl w:val="0"/>
          <w:numId w:val="25"/>
        </w:numPr>
        <w:ind w:left="567" w:hanging="567"/>
        <w:contextualSpacing w:val="0"/>
      </w:pPr>
      <w:r>
        <w:t>m</w:t>
      </w:r>
      <w:r w:rsidR="00383401" w:rsidRPr="003624E0">
        <w:t>ake</w:t>
      </w:r>
      <w:r>
        <w:t xml:space="preserve"> </w:t>
      </w:r>
      <w:r w:rsidR="00383401" w:rsidRPr="003624E0">
        <w:t xml:space="preserve">a complaint </w:t>
      </w:r>
      <w:r w:rsidR="00325F48">
        <w:t>to the Commission</w:t>
      </w:r>
    </w:p>
    <w:p w:rsidR="00993B72" w:rsidRPr="003624E0" w:rsidRDefault="00993B72" w:rsidP="00F84B07">
      <w:pPr>
        <w:pStyle w:val="ListParagraph"/>
        <w:numPr>
          <w:ilvl w:val="0"/>
          <w:numId w:val="25"/>
        </w:numPr>
        <w:ind w:left="567" w:hanging="567"/>
        <w:contextualSpacing w:val="0"/>
      </w:pPr>
      <w:r w:rsidRPr="003624E0">
        <w:t>provide information or documents to the Commission</w:t>
      </w:r>
    </w:p>
    <w:p w:rsidR="00993B72" w:rsidRPr="003624E0" w:rsidRDefault="00993B72" w:rsidP="00F84B07">
      <w:pPr>
        <w:pStyle w:val="ListParagraph"/>
        <w:numPr>
          <w:ilvl w:val="0"/>
          <w:numId w:val="25"/>
        </w:numPr>
        <w:ind w:left="567" w:hanging="567"/>
        <w:contextualSpacing w:val="0"/>
      </w:pPr>
      <w:r w:rsidRPr="003624E0">
        <w:t xml:space="preserve">attend a conciliation conference or appear as a witness </w:t>
      </w:r>
      <w:r w:rsidR="000D1155">
        <w:t>before the Commission</w:t>
      </w:r>
    </w:p>
    <w:p w:rsidR="00993B72" w:rsidRPr="003624E0" w:rsidRDefault="00993B72" w:rsidP="00F84B07">
      <w:pPr>
        <w:pStyle w:val="ListParagraph"/>
        <w:numPr>
          <w:ilvl w:val="0"/>
          <w:numId w:val="25"/>
        </w:numPr>
        <w:ind w:left="567" w:hanging="567"/>
        <w:contextualSpacing w:val="0"/>
      </w:pPr>
      <w:r w:rsidRPr="003624E0">
        <w:t xml:space="preserve">reasonably assert any rights under the Sex Discrimination Act </w:t>
      </w:r>
      <w:r w:rsidR="00E65CBE">
        <w:t xml:space="preserve">or the </w:t>
      </w:r>
      <w:r w:rsidR="00B05A2B" w:rsidRPr="005C5D7C">
        <w:rPr>
          <w:i/>
        </w:rPr>
        <w:t>Australian Human Rights Commission Act</w:t>
      </w:r>
      <w:r w:rsidR="000836B7">
        <w:rPr>
          <w:i/>
        </w:rPr>
        <w:t xml:space="preserve"> 1986 </w:t>
      </w:r>
      <w:r w:rsidR="000836B7" w:rsidRPr="005C5D7C">
        <w:t>(</w:t>
      </w:r>
      <w:proofErr w:type="spellStart"/>
      <w:r w:rsidR="000836B7" w:rsidRPr="005C5D7C">
        <w:t>Cth</w:t>
      </w:r>
      <w:proofErr w:type="spellEnd"/>
      <w:r w:rsidR="000836B7" w:rsidRPr="005C5D7C">
        <w:t>)</w:t>
      </w:r>
      <w:r w:rsidR="00B05A2B" w:rsidRPr="005C5D7C">
        <w:rPr>
          <w:i/>
        </w:rPr>
        <w:t xml:space="preserve"> </w:t>
      </w:r>
    </w:p>
    <w:p w:rsidR="00383401" w:rsidRPr="003624E0" w:rsidRDefault="00993B72" w:rsidP="00F84B07">
      <w:pPr>
        <w:pStyle w:val="ListParagraph"/>
        <w:numPr>
          <w:ilvl w:val="0"/>
          <w:numId w:val="25"/>
        </w:numPr>
        <w:ind w:left="567" w:hanging="567"/>
        <w:contextualSpacing w:val="0"/>
      </w:pPr>
      <w:proofErr w:type="gramStart"/>
      <w:r w:rsidRPr="003624E0">
        <w:t>ma</w:t>
      </w:r>
      <w:r w:rsidR="000836B7">
        <w:t>ke</w:t>
      </w:r>
      <w:proofErr w:type="gramEnd"/>
      <w:r w:rsidRPr="003624E0">
        <w:t xml:space="preserve"> an allegation that a person has done an act that is unlawful under the Sex Discrimination Act.</w:t>
      </w:r>
      <w:r w:rsidR="00383401" w:rsidRPr="003624E0">
        <w:t xml:space="preserve"> </w:t>
      </w:r>
      <w:r w:rsidRPr="003624E0">
        <w:t xml:space="preserve"> </w:t>
      </w:r>
    </w:p>
    <w:p w:rsidR="002A6A6C" w:rsidRPr="003624E0" w:rsidRDefault="002A6A6C" w:rsidP="002A6A6C">
      <w:r w:rsidRPr="003624E0">
        <w:t>Examples of victimi</w:t>
      </w:r>
      <w:r w:rsidR="00FE19E0">
        <w:t>s</w:t>
      </w:r>
      <w:r w:rsidRPr="003624E0">
        <w:t>ation may include:</w:t>
      </w:r>
    </w:p>
    <w:p w:rsidR="002A6A6C" w:rsidRPr="003624E0" w:rsidRDefault="002A6A6C" w:rsidP="00F84B07">
      <w:pPr>
        <w:pStyle w:val="ListParagraph"/>
        <w:numPr>
          <w:ilvl w:val="0"/>
          <w:numId w:val="25"/>
        </w:numPr>
        <w:ind w:left="567" w:hanging="567"/>
        <w:contextualSpacing w:val="0"/>
      </w:pPr>
      <w:r w:rsidRPr="003624E0">
        <w:t xml:space="preserve">an employee being moved to a position with lesser responsibilities while </w:t>
      </w:r>
      <w:r w:rsidR="006B75E7">
        <w:t xml:space="preserve">his or </w:t>
      </w:r>
      <w:r w:rsidRPr="003624E0">
        <w:t>her complaint is being considered</w:t>
      </w:r>
    </w:p>
    <w:p w:rsidR="002A6A6C" w:rsidRDefault="002A6A6C" w:rsidP="00F84B07">
      <w:pPr>
        <w:pStyle w:val="ListParagraph"/>
        <w:numPr>
          <w:ilvl w:val="0"/>
          <w:numId w:val="25"/>
        </w:numPr>
        <w:ind w:left="567" w:hanging="567"/>
        <w:contextualSpacing w:val="0"/>
      </w:pPr>
      <w:proofErr w:type="gramStart"/>
      <w:r w:rsidRPr="003624E0">
        <w:t>an</w:t>
      </w:r>
      <w:proofErr w:type="gramEnd"/>
      <w:r w:rsidRPr="003624E0">
        <w:t xml:space="preserve"> employee being denied the opportunity of a promotion after unsuccessfully lodging a sexual harassment complaint against </w:t>
      </w:r>
      <w:r w:rsidR="005E2B15">
        <w:t xml:space="preserve">his or </w:t>
      </w:r>
      <w:r w:rsidRPr="003624E0">
        <w:t>her supervisors.</w:t>
      </w:r>
    </w:p>
    <w:p w:rsidR="00E65CBE" w:rsidRPr="003624E0" w:rsidRDefault="001B5B6E" w:rsidP="00F84B07">
      <w:pPr>
        <w:pStyle w:val="ListParagraph"/>
        <w:numPr>
          <w:ilvl w:val="0"/>
          <w:numId w:val="25"/>
        </w:numPr>
        <w:ind w:left="567" w:hanging="567"/>
        <w:contextualSpacing w:val="0"/>
      </w:pPr>
      <w:proofErr w:type="gramStart"/>
      <w:r>
        <w:t>an</w:t>
      </w:r>
      <w:proofErr w:type="gramEnd"/>
      <w:r>
        <w:t xml:space="preserve"> employee receiving a critical</w:t>
      </w:r>
      <w:r w:rsidR="00E65CBE">
        <w:t xml:space="preserve"> reference from </w:t>
      </w:r>
      <w:r w:rsidR="002B541A">
        <w:t>his or her former employer because she or he made a complaint of sexual harassment.</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7333F0" w:rsidRPr="003624E0">
        <w:trPr>
          <w:trHeight w:val="503"/>
        </w:trPr>
        <w:tc>
          <w:tcPr>
            <w:tcW w:w="9071" w:type="dxa"/>
            <w:shd w:val="clear" w:color="0078C1" w:fill="C6D9F1" w:themeFill="text2" w:themeFillTint="33"/>
            <w:tcMar>
              <w:top w:w="227" w:type="dxa"/>
              <w:left w:w="227" w:type="dxa"/>
              <w:bottom w:w="255" w:type="dxa"/>
              <w:right w:w="227" w:type="dxa"/>
            </w:tcMar>
          </w:tcPr>
          <w:p w:rsidR="007333F0" w:rsidRPr="003624E0" w:rsidRDefault="006A611F" w:rsidP="00683140">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 w:val="22"/>
                <w:szCs w:val="22"/>
              </w:rPr>
            </w:pPr>
            <w:r>
              <w:rPr>
                <w:rFonts w:cs="Arial"/>
                <w:b/>
                <w:bCs/>
                <w:color w:val="000000"/>
                <w:szCs w:val="22"/>
              </w:rPr>
              <w:t xml:space="preserve">Case study: </w:t>
            </w:r>
            <w:r w:rsidR="007333F0" w:rsidRPr="00B611D7">
              <w:rPr>
                <w:rFonts w:cs="Arial"/>
                <w:b/>
                <w:bCs/>
                <w:color w:val="000000"/>
              </w:rPr>
              <w:t>Victimi</w:t>
            </w:r>
            <w:r w:rsidR="00851C1A">
              <w:rPr>
                <w:rFonts w:cs="Arial"/>
                <w:b/>
                <w:bCs/>
                <w:color w:val="000000"/>
              </w:rPr>
              <w:t>s</w:t>
            </w:r>
            <w:r w:rsidR="007333F0" w:rsidRPr="00B611D7">
              <w:rPr>
                <w:rFonts w:cs="Arial"/>
                <w:b/>
                <w:bCs/>
                <w:color w:val="000000"/>
              </w:rPr>
              <w:t>ation</w:t>
            </w:r>
            <w:r w:rsidR="007333F0" w:rsidRPr="003624E0">
              <w:rPr>
                <w:rStyle w:val="EndnoteReference"/>
                <w:rFonts w:cs="Arial"/>
                <w:bCs/>
                <w:color w:val="000000"/>
                <w:szCs w:val="22"/>
              </w:rPr>
              <w:endnoteReference w:id="60"/>
            </w:r>
          </w:p>
          <w:p w:rsidR="00917824" w:rsidRPr="003624E0" w:rsidRDefault="00917824" w:rsidP="00683140">
            <w:pPr>
              <w:rPr>
                <w:sz w:val="22"/>
              </w:rPr>
            </w:pPr>
            <w:r w:rsidRPr="003624E0">
              <w:rPr>
                <w:sz w:val="22"/>
              </w:rPr>
              <w:t xml:space="preserve">The complainant, who was employed by the respondent community organisation, alleged she was sexually harassed by a male co-worker.  The complainant said the co-worker sent her sexually explicit emails that she found offensive.  She claimed that she complained to her manager about the emails and was then ostracised.  The complainant said she resigned from her employment. </w:t>
            </w:r>
            <w:r w:rsidRPr="003624E0">
              <w:rPr>
                <w:sz w:val="22"/>
              </w:rPr>
              <w:br/>
            </w:r>
            <w:r w:rsidRPr="003624E0">
              <w:rPr>
                <w:sz w:val="22"/>
              </w:rPr>
              <w:br/>
              <w:t xml:space="preserve">The respondent organisation did not dispute that sexually explicit emails were sent to the complainant.  However, the organisation denied that the complainant was victimised because she complained about the emails. </w:t>
            </w:r>
            <w:r w:rsidRPr="003624E0">
              <w:rPr>
                <w:sz w:val="22"/>
              </w:rPr>
              <w:br/>
            </w:r>
            <w:r w:rsidRPr="003624E0">
              <w:rPr>
                <w:sz w:val="22"/>
              </w:rPr>
              <w:br/>
              <w:t xml:space="preserve">The complaint was resolved with an agreement that the respondent would pay the complainant $4,000, which represented compensation for hurt and embarrassment. </w:t>
            </w:r>
          </w:p>
        </w:tc>
      </w:tr>
    </w:tbl>
    <w:p w:rsidR="0075572E" w:rsidRPr="003624E0" w:rsidRDefault="007524C5" w:rsidP="00584760">
      <w:pPr>
        <w:widowControl w:val="0"/>
        <w:autoSpaceDE w:val="0"/>
        <w:autoSpaceDN w:val="0"/>
        <w:adjustRightInd w:val="0"/>
        <w:textAlignment w:val="center"/>
      </w:pPr>
      <w:r w:rsidRPr="003624E0">
        <w:t>Evidence shows that employers need to take victimi</w:t>
      </w:r>
      <w:r w:rsidR="00851C1A">
        <w:t>s</w:t>
      </w:r>
      <w:r w:rsidRPr="003624E0">
        <w:t xml:space="preserve">ation </w:t>
      </w:r>
      <w:r w:rsidR="009F5FC7" w:rsidRPr="003624E0">
        <w:t xml:space="preserve">related to sexual harassment </w:t>
      </w:r>
      <w:r w:rsidRPr="003624E0">
        <w:t>seriously.  According to t</w:t>
      </w:r>
      <w:r w:rsidR="00584760" w:rsidRPr="003624E0">
        <w:t xml:space="preserve">he Commission’s </w:t>
      </w:r>
      <w:r w:rsidR="00A104EC" w:rsidRPr="003624E0">
        <w:t xml:space="preserve">2012 national </w:t>
      </w:r>
      <w:r w:rsidR="009F5FC7" w:rsidRPr="003624E0">
        <w:t xml:space="preserve">telephone survey on </w:t>
      </w:r>
      <w:r w:rsidR="00A104EC" w:rsidRPr="003624E0">
        <w:t>sexual harassment</w:t>
      </w:r>
      <w:r w:rsidR="009F5FC7" w:rsidRPr="003624E0">
        <w:t>,</w:t>
      </w:r>
      <w:r w:rsidR="00A104EC" w:rsidRPr="003624E0">
        <w:t xml:space="preserve"> </w:t>
      </w:r>
      <w:r w:rsidR="00584760" w:rsidRPr="003624E0">
        <w:t>there has been a significant increase in the number of people reporting negative consequences</w:t>
      </w:r>
      <w:r w:rsidR="009F5FC7" w:rsidRPr="003624E0">
        <w:t xml:space="preserve">, such as </w:t>
      </w:r>
      <w:r w:rsidR="00584760" w:rsidRPr="003624E0">
        <w:t>victimi</w:t>
      </w:r>
      <w:r w:rsidR="00851C1A">
        <w:t>s</w:t>
      </w:r>
      <w:r w:rsidR="00584760" w:rsidRPr="003624E0">
        <w:t>ation</w:t>
      </w:r>
      <w:r w:rsidR="009F5FC7" w:rsidRPr="003624E0">
        <w:t>,</w:t>
      </w:r>
      <w:r w:rsidR="00584760" w:rsidRPr="003624E0">
        <w:t xml:space="preserve"> after making a complaint of sexual harassment</w:t>
      </w:r>
      <w:r w:rsidR="00176FCF" w:rsidRPr="003624E0">
        <w:t xml:space="preserve">.  </w:t>
      </w:r>
    </w:p>
    <w:p w:rsidR="0075572E" w:rsidRPr="003624E0" w:rsidRDefault="0075572E" w:rsidP="0075572E">
      <w:pPr>
        <w:widowControl w:val="0"/>
        <w:autoSpaceDE w:val="0"/>
        <w:autoSpaceDN w:val="0"/>
        <w:adjustRightInd w:val="0"/>
        <w:jc w:val="center"/>
        <w:textAlignment w:val="center"/>
      </w:pPr>
      <w:r w:rsidRPr="003624E0">
        <w:rPr>
          <w:noProof/>
        </w:rPr>
        <w:drawing>
          <wp:inline distT="0" distB="0" distL="0" distR="0" wp14:anchorId="1218326E" wp14:editId="45534DD3">
            <wp:extent cx="4546898" cy="3410174"/>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hare\users\cussi\Desktop\Infographic 2 - negative consequences.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550603" cy="3412953"/>
                    </a:xfrm>
                    <a:prstGeom prst="rect">
                      <a:avLst/>
                    </a:prstGeom>
                    <a:noFill/>
                    <a:ln>
                      <a:noFill/>
                    </a:ln>
                  </pic:spPr>
                </pic:pic>
              </a:graphicData>
            </a:graphic>
          </wp:inline>
        </w:drawing>
      </w:r>
    </w:p>
    <w:p w:rsidR="00584760" w:rsidRPr="003624E0" w:rsidRDefault="00584760" w:rsidP="0075572E">
      <w:pPr>
        <w:widowControl w:val="0"/>
        <w:autoSpaceDE w:val="0"/>
        <w:autoSpaceDN w:val="0"/>
        <w:adjustRightInd w:val="0"/>
        <w:textAlignment w:val="center"/>
      </w:pPr>
      <w:r w:rsidRPr="003624E0">
        <w:t xml:space="preserve">Whilst internal complaints mechanisms offer an important tool for addressing workplace sexual harassment, employers need to </w:t>
      </w:r>
      <w:r w:rsidR="006318A4" w:rsidRPr="003624E0">
        <w:t>ensure</w:t>
      </w:r>
      <w:r w:rsidRPr="003624E0">
        <w:t xml:space="preserve"> </w:t>
      </w:r>
      <w:r w:rsidR="006318A4" w:rsidRPr="003624E0">
        <w:t xml:space="preserve">appropriate </w:t>
      </w:r>
      <w:r w:rsidRPr="003624E0">
        <w:t xml:space="preserve">safeguards </w:t>
      </w:r>
      <w:r w:rsidR="006318A4" w:rsidRPr="003624E0">
        <w:t xml:space="preserve">are in place </w:t>
      </w:r>
      <w:r w:rsidRPr="003624E0">
        <w:t>to protect individuals against victimi</w:t>
      </w:r>
      <w:r w:rsidR="00851C1A">
        <w:t>s</w:t>
      </w:r>
      <w:r w:rsidRPr="003624E0">
        <w:t>ation and other negative consequences that can occur when they make a complaint of sexual harassment.</w:t>
      </w:r>
    </w:p>
    <w:p w:rsidR="00916154" w:rsidRPr="003624E0" w:rsidRDefault="00916154" w:rsidP="00916154">
      <w:pPr>
        <w:autoSpaceDE w:val="0"/>
        <w:autoSpaceDN w:val="0"/>
        <w:adjustRightInd w:val="0"/>
        <w:textAlignment w:val="center"/>
      </w:pPr>
      <w:r w:rsidRPr="003624E0">
        <w:t xml:space="preserve">See </w:t>
      </w:r>
      <w:r w:rsidR="0090497F">
        <w:t xml:space="preserve">also </w:t>
      </w:r>
      <w:r w:rsidRPr="003624E0">
        <w:t xml:space="preserve">section </w:t>
      </w:r>
      <w:r w:rsidR="00707351" w:rsidRPr="003624E0">
        <w:t>4.2</w:t>
      </w:r>
      <w:r w:rsidRPr="003624E0">
        <w:t xml:space="preserve"> below on </w:t>
      </w:r>
      <w:r w:rsidR="00731595">
        <w:t>’General Protections’</w:t>
      </w:r>
      <w:r w:rsidRPr="003624E0">
        <w:t xml:space="preserve"> claims under the </w:t>
      </w:r>
      <w:r w:rsidRPr="003624E0">
        <w:rPr>
          <w:i/>
        </w:rPr>
        <w:t>Fair Work Act 2009</w:t>
      </w:r>
      <w:r w:rsidRPr="003624E0">
        <w:t xml:space="preserve"> (</w:t>
      </w:r>
      <w:proofErr w:type="spellStart"/>
      <w:r w:rsidRPr="003624E0">
        <w:t>Cth</w:t>
      </w:r>
      <w:proofErr w:type="spellEnd"/>
      <w:r w:rsidRPr="003624E0">
        <w:t>).</w:t>
      </w:r>
    </w:p>
    <w:p w:rsidR="00A3178E" w:rsidRPr="003624E0" w:rsidRDefault="00A3178E">
      <w:pPr>
        <w:pStyle w:val="Heading2"/>
        <w:numPr>
          <w:ilvl w:val="0"/>
          <w:numId w:val="0"/>
        </w:numPr>
      </w:pPr>
      <w:bookmarkStart w:id="31" w:name="_Toc362446683"/>
      <w:bookmarkStart w:id="32" w:name="_Toc388023527"/>
      <w:proofErr w:type="gramStart"/>
      <w:r w:rsidRPr="003624E0">
        <w:t>3.2  Employers’</w:t>
      </w:r>
      <w:proofErr w:type="gramEnd"/>
      <w:r w:rsidRPr="003624E0">
        <w:t xml:space="preserve"> legal liability</w:t>
      </w:r>
      <w:bookmarkEnd w:id="31"/>
      <w:bookmarkEnd w:id="32"/>
    </w:p>
    <w:p w:rsidR="00A3178E" w:rsidRPr="003624E0" w:rsidRDefault="00B310A6" w:rsidP="00A3178E">
      <w:r w:rsidRPr="003624E0">
        <w:t>There are a number of different ways that e</w:t>
      </w:r>
      <w:r w:rsidR="00A3178E" w:rsidRPr="003624E0">
        <w:t xml:space="preserve">mployers </w:t>
      </w:r>
      <w:r w:rsidR="00707351" w:rsidRPr="003624E0">
        <w:t xml:space="preserve">may </w:t>
      </w:r>
      <w:r w:rsidR="00A3178E" w:rsidRPr="003624E0">
        <w:t xml:space="preserve">be held liable </w:t>
      </w:r>
      <w:r w:rsidRPr="003624E0">
        <w:t xml:space="preserve">under </w:t>
      </w:r>
      <w:r w:rsidR="0090497F">
        <w:t xml:space="preserve">the </w:t>
      </w:r>
      <w:r w:rsidRPr="003624E0">
        <w:t xml:space="preserve">Sex Discrimination Act </w:t>
      </w:r>
      <w:r w:rsidR="00A3178E" w:rsidRPr="003624E0">
        <w:t xml:space="preserve">for </w:t>
      </w:r>
      <w:r w:rsidRPr="003624E0">
        <w:t xml:space="preserve">workplace </w:t>
      </w:r>
      <w:r w:rsidR="00A3178E" w:rsidRPr="003624E0">
        <w:t>sexual harassment</w:t>
      </w:r>
      <w:r w:rsidR="00ED5827" w:rsidRPr="003624E0">
        <w:t>,</w:t>
      </w:r>
      <w:r w:rsidR="00A3178E" w:rsidRPr="003624E0">
        <w:t xml:space="preserve"> namely:</w:t>
      </w:r>
    </w:p>
    <w:p w:rsidR="00A3178E" w:rsidRPr="003624E0" w:rsidRDefault="00A3178E" w:rsidP="00A3178E">
      <w:pPr>
        <w:pStyle w:val="ListParagraph"/>
        <w:numPr>
          <w:ilvl w:val="0"/>
          <w:numId w:val="26"/>
        </w:numPr>
        <w:ind w:left="567" w:hanging="567"/>
        <w:contextualSpacing w:val="0"/>
      </w:pPr>
      <w:r w:rsidRPr="003624E0">
        <w:rPr>
          <w:i/>
        </w:rPr>
        <w:t xml:space="preserve">personal liability </w:t>
      </w:r>
      <w:r w:rsidRPr="003624E0">
        <w:t xml:space="preserve">for sexual harassment </w:t>
      </w:r>
    </w:p>
    <w:p w:rsidR="00A3178E" w:rsidRPr="003624E0" w:rsidRDefault="00A3178E" w:rsidP="00A3178E">
      <w:pPr>
        <w:pStyle w:val="ListParagraph"/>
        <w:numPr>
          <w:ilvl w:val="0"/>
          <w:numId w:val="26"/>
        </w:numPr>
        <w:ind w:left="567" w:hanging="567"/>
        <w:contextualSpacing w:val="0"/>
      </w:pPr>
      <w:r w:rsidRPr="003624E0">
        <w:rPr>
          <w:i/>
        </w:rPr>
        <w:t>accessory liability</w:t>
      </w:r>
      <w:r w:rsidRPr="003624E0">
        <w:t xml:space="preserve"> for sexual harassment </w:t>
      </w:r>
    </w:p>
    <w:p w:rsidR="00A3178E" w:rsidRPr="003624E0" w:rsidRDefault="00A3178E" w:rsidP="00A3178E">
      <w:pPr>
        <w:pStyle w:val="ListParagraph"/>
        <w:numPr>
          <w:ilvl w:val="0"/>
          <w:numId w:val="26"/>
        </w:numPr>
        <w:ind w:left="567" w:hanging="567"/>
        <w:contextualSpacing w:val="0"/>
      </w:pPr>
      <w:r w:rsidRPr="003624E0">
        <w:rPr>
          <w:i/>
        </w:rPr>
        <w:t>vicarious liability</w:t>
      </w:r>
      <w:r w:rsidRPr="003624E0">
        <w:t xml:space="preserve"> for sexual harassment</w:t>
      </w:r>
    </w:p>
    <w:p w:rsidR="00A3178E" w:rsidRPr="003624E0" w:rsidRDefault="00A3178E" w:rsidP="00A3178E">
      <w:pPr>
        <w:pStyle w:val="ListParagraph"/>
        <w:numPr>
          <w:ilvl w:val="0"/>
          <w:numId w:val="26"/>
        </w:numPr>
        <w:ind w:left="567" w:hanging="567"/>
        <w:contextualSpacing w:val="0"/>
      </w:pPr>
      <w:proofErr w:type="gramStart"/>
      <w:r w:rsidRPr="003624E0">
        <w:rPr>
          <w:i/>
        </w:rPr>
        <w:t>liability</w:t>
      </w:r>
      <w:proofErr w:type="gramEnd"/>
      <w:r w:rsidRPr="003624E0">
        <w:rPr>
          <w:i/>
        </w:rPr>
        <w:t xml:space="preserve"> for victimi</w:t>
      </w:r>
      <w:r w:rsidR="00851C1A">
        <w:rPr>
          <w:i/>
        </w:rPr>
        <w:t>s</w:t>
      </w:r>
      <w:r w:rsidRPr="003624E0">
        <w:rPr>
          <w:i/>
        </w:rPr>
        <w:t xml:space="preserve">ation </w:t>
      </w:r>
      <w:r w:rsidRPr="003624E0">
        <w:t>of a person in connection with a complaint of sexual harassment.</w:t>
      </w:r>
    </w:p>
    <w:p w:rsidR="00A3178E" w:rsidRPr="003624E0" w:rsidRDefault="00A3178E" w:rsidP="00A3178E">
      <w:r w:rsidRPr="003624E0">
        <w:t>Employers should be aware that they may be held liable for workplace sexual harassment under other federal laws as well as state and territory laws related to sexual harassment</w:t>
      </w:r>
      <w:r w:rsidR="00ED5827" w:rsidRPr="003624E0">
        <w:t xml:space="preserve"> (see </w:t>
      </w:r>
      <w:r w:rsidR="00E10AD9">
        <w:t>chapter</w:t>
      </w:r>
      <w:r w:rsidR="00ED5827" w:rsidRPr="003624E0">
        <w:t xml:space="preserve"> 4 below)</w:t>
      </w:r>
      <w:r w:rsidRPr="003624E0">
        <w:t xml:space="preserve">.   </w:t>
      </w:r>
    </w:p>
    <w:p w:rsidR="00A3178E" w:rsidRPr="003624E0" w:rsidRDefault="00A3178E" w:rsidP="00A3178E">
      <w:pPr>
        <w:pStyle w:val="Heading3"/>
        <w:numPr>
          <w:ilvl w:val="0"/>
          <w:numId w:val="0"/>
        </w:numPr>
        <w:ind w:left="851" w:hanging="851"/>
      </w:pPr>
      <w:bookmarkStart w:id="33" w:name="_Toc362446684"/>
      <w:r w:rsidRPr="003624E0">
        <w:t>(a) Personal liability</w:t>
      </w:r>
      <w:bookmarkEnd w:id="33"/>
    </w:p>
    <w:p w:rsidR="00A3178E" w:rsidRPr="003624E0" w:rsidRDefault="00A3178E" w:rsidP="00A3178E">
      <w:r w:rsidRPr="003624E0">
        <w:t xml:space="preserve">Employers </w:t>
      </w:r>
      <w:r w:rsidR="0080362A" w:rsidRPr="003624E0">
        <w:t>(</w:t>
      </w:r>
      <w:proofErr w:type="spellStart"/>
      <w:r w:rsidR="0080362A" w:rsidRPr="003624E0">
        <w:t>eg</w:t>
      </w:r>
      <w:proofErr w:type="spellEnd"/>
      <w:r w:rsidR="0080362A" w:rsidRPr="003624E0">
        <w:t xml:space="preserve"> </w:t>
      </w:r>
      <w:r w:rsidR="00BD5A3C">
        <w:t xml:space="preserve">a sole trader or </w:t>
      </w:r>
      <w:r w:rsidR="006B257B">
        <w:t xml:space="preserve">a partner in a </w:t>
      </w:r>
      <w:r w:rsidR="00BD5A3C">
        <w:t>partnership</w:t>
      </w:r>
      <w:r w:rsidR="0080362A" w:rsidRPr="003624E0">
        <w:t xml:space="preserve">) </w:t>
      </w:r>
      <w:r w:rsidR="002B16B4">
        <w:t>individual managers and employees</w:t>
      </w:r>
      <w:r w:rsidR="002B16B4" w:rsidRPr="003624E0">
        <w:t xml:space="preserve"> </w:t>
      </w:r>
      <w:r w:rsidRPr="003624E0">
        <w:t>are liable for their own acts of sexual harassment.  This is known as ‘personal liability’.</w:t>
      </w:r>
    </w:p>
    <w:p w:rsidR="00A3178E" w:rsidRPr="003624E0" w:rsidRDefault="00A3178E" w:rsidP="00A3178E">
      <w:r w:rsidRPr="003624E0">
        <w:t xml:space="preserve">An employer may be found personally liable for sexual harassment if </w:t>
      </w:r>
      <w:r w:rsidR="0080362A" w:rsidRPr="003624E0">
        <w:t>he or she</w:t>
      </w:r>
      <w:r w:rsidRPr="003624E0">
        <w:t xml:space="preserve"> made an unwelcome sexual advance, unwelcome request for sexual favours or engaged in other unwelcome conduct of a sexual nature in circumstances in which a reasonable person, having regard to all the circumstances, would have anticipated the possibility that the person harassed would be offended, humiliated or intimidated.</w:t>
      </w:r>
      <w:r w:rsidRPr="003624E0">
        <w:rPr>
          <w:rStyle w:val="EndnoteReference"/>
        </w:rPr>
        <w:endnoteReference w:id="61"/>
      </w:r>
      <w:r w:rsidRPr="003624E0">
        <w:t xml:space="preserve">   </w:t>
      </w:r>
    </w:p>
    <w:p w:rsidR="00A3178E" w:rsidRPr="003624E0" w:rsidRDefault="00A3178E" w:rsidP="00A3178E">
      <w:pPr>
        <w:pStyle w:val="Heading3"/>
        <w:numPr>
          <w:ilvl w:val="0"/>
          <w:numId w:val="0"/>
        </w:numPr>
        <w:ind w:left="851" w:hanging="851"/>
      </w:pPr>
      <w:bookmarkStart w:id="34" w:name="_Toc362446685"/>
      <w:r w:rsidRPr="003624E0">
        <w:t>(b) Accessory liability</w:t>
      </w:r>
      <w:bookmarkEnd w:id="34"/>
    </w:p>
    <w:p w:rsidR="00A3178E" w:rsidRPr="003624E0" w:rsidRDefault="00A3178E" w:rsidP="00A3178E">
      <w:r w:rsidRPr="003624E0">
        <w:t xml:space="preserve">Employers are liable under the Sex Discrimination Act if they cause, instruct, induce, aid or permit another person to engage in sexual harassment.  This is known as accessory </w:t>
      </w:r>
      <w:r w:rsidR="002F4AD3">
        <w:t xml:space="preserve">or ancillary </w:t>
      </w:r>
      <w:r w:rsidRPr="003624E0">
        <w:t xml:space="preserve">liability.  </w:t>
      </w:r>
    </w:p>
    <w:p w:rsidR="00A3178E" w:rsidRPr="003624E0" w:rsidRDefault="00A3178E" w:rsidP="00A3178E">
      <w:r w:rsidRPr="003624E0">
        <w:t xml:space="preserve">An employer </w:t>
      </w:r>
      <w:r w:rsidR="00247F93">
        <w:t>is likely to</w:t>
      </w:r>
      <w:r w:rsidR="001F143D">
        <w:t xml:space="preserve"> </w:t>
      </w:r>
      <w:r w:rsidR="00247F93">
        <w:t>have</w:t>
      </w:r>
      <w:r w:rsidR="008C24A0">
        <w:t xml:space="preserve"> </w:t>
      </w:r>
      <w:r w:rsidRPr="003624E0">
        <w:t xml:space="preserve">accessory </w:t>
      </w:r>
      <w:r w:rsidR="00247F93">
        <w:t>or ancillary liability for</w:t>
      </w:r>
      <w:r w:rsidRPr="003624E0">
        <w:t xml:space="preserve"> sexual harassment if it was aware or should have been aware that sexual harassment was occurring or there was a real possibility that sexual harassment was occurring and it failed to act.</w:t>
      </w:r>
      <w:r w:rsidRPr="003624E0">
        <w:rPr>
          <w:rStyle w:val="EndnoteReference"/>
        </w:rPr>
        <w:endnoteReference w:id="62"/>
      </w:r>
      <w:r w:rsidRPr="003624E0">
        <w:t xml:space="preserve">   </w:t>
      </w:r>
    </w:p>
    <w:p w:rsidR="00A3178E" w:rsidRPr="003624E0" w:rsidRDefault="00A3178E" w:rsidP="00A3178E">
      <w:r w:rsidRPr="003624E0">
        <w:t xml:space="preserve">In order to be held liable as an accessory to sexual harassment, an employer must have contributed to the sexual harassment either knowingly, recklessly or through wilful blindness.  For instance, an employer permits another person to engage in sexual harassment if, before the harassment occurs, the employer knowingly places the </w:t>
      </w:r>
      <w:r w:rsidR="002B16B4">
        <w:t xml:space="preserve">person </w:t>
      </w:r>
      <w:r w:rsidR="0099374A">
        <w:t xml:space="preserve">subjected to the </w:t>
      </w:r>
      <w:r w:rsidRPr="003624E0">
        <w:t xml:space="preserve"> unlawful conduct in a situation where there is a real, and more than </w:t>
      </w:r>
      <w:r w:rsidR="00E12EFC">
        <w:t xml:space="preserve">a </w:t>
      </w:r>
      <w:r w:rsidRPr="003624E0">
        <w:t>remote, possibility that the unlawful conduct will occur.</w:t>
      </w:r>
      <w:r w:rsidRPr="003624E0">
        <w:rPr>
          <w:rStyle w:val="EndnoteReference"/>
          <w:szCs w:val="20"/>
        </w:rPr>
        <w:endnoteReference w:id="63"/>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A3178E" w:rsidRPr="003624E0">
        <w:trPr>
          <w:trHeight w:val="503"/>
        </w:trPr>
        <w:tc>
          <w:tcPr>
            <w:tcW w:w="9071" w:type="dxa"/>
            <w:shd w:val="clear" w:color="0078C1" w:fill="C6D9F1" w:themeFill="text2" w:themeFillTint="33"/>
            <w:tcMar>
              <w:top w:w="227" w:type="dxa"/>
              <w:left w:w="227" w:type="dxa"/>
              <w:bottom w:w="255" w:type="dxa"/>
              <w:right w:w="227" w:type="dxa"/>
            </w:tcMar>
          </w:tcPr>
          <w:p w:rsidR="00A3178E" w:rsidRPr="003624E0" w:rsidRDefault="006A611F" w:rsidP="00594045">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 w:val="22"/>
                <w:szCs w:val="22"/>
              </w:rPr>
            </w:pPr>
            <w:r>
              <w:rPr>
                <w:rFonts w:cs="Arial"/>
                <w:b/>
                <w:bCs/>
                <w:color w:val="000000"/>
                <w:szCs w:val="22"/>
              </w:rPr>
              <w:t xml:space="preserve">Case study: </w:t>
            </w:r>
            <w:r w:rsidR="00A3178E" w:rsidRPr="00D72C6C">
              <w:rPr>
                <w:rFonts w:cs="Arial"/>
                <w:b/>
                <w:bCs/>
                <w:color w:val="000000"/>
              </w:rPr>
              <w:t>Employment agency’s accessory liability for sexual harassment</w:t>
            </w:r>
            <w:r w:rsidR="00A3178E" w:rsidRPr="003624E0">
              <w:rPr>
                <w:rStyle w:val="EndnoteReference"/>
                <w:rFonts w:cs="Arial"/>
                <w:bCs/>
                <w:color w:val="000000"/>
                <w:szCs w:val="22"/>
              </w:rPr>
              <w:endnoteReference w:id="64"/>
            </w:r>
          </w:p>
          <w:p w:rsidR="00A3178E" w:rsidRPr="003624E0" w:rsidRDefault="00A3178E" w:rsidP="00594045">
            <w:pPr>
              <w:rPr>
                <w:sz w:val="22"/>
              </w:rPr>
            </w:pPr>
            <w:r w:rsidRPr="003624E0">
              <w:rPr>
                <w:sz w:val="22"/>
              </w:rPr>
              <w:t>An employment agency referred a young woman to a doctor’s office for employment, despite previous complaints of sexual harassment against the doctor from earlier clients of the agency.  The young woman was later sexually harassed by the doctor.</w:t>
            </w:r>
          </w:p>
          <w:p w:rsidR="00A3178E" w:rsidRPr="003624E0" w:rsidRDefault="00A3178E" w:rsidP="00594045">
            <w:pPr>
              <w:rPr>
                <w:sz w:val="22"/>
              </w:rPr>
            </w:pPr>
            <w:r w:rsidRPr="003624E0">
              <w:rPr>
                <w:sz w:val="22"/>
              </w:rPr>
              <w:t>The Federal Court of Australia found that the employment agency had permitted the sexual harassment to take place.  Justice Moore found that the caseworker who referred the woman for employment did not have to know about the past complaints of sexual harassment, as the collective knowledge of the employment agency’s officers was sufficient to establish liability.  Justice Moore went on to identify a number of actions that the employment agency could have taken to address the situation.</w:t>
            </w:r>
          </w:p>
          <w:p w:rsidR="00A3178E" w:rsidRPr="00F16D2F" w:rsidRDefault="00A3178E" w:rsidP="00594045">
            <w:pPr>
              <w:ind w:left="529"/>
              <w:rPr>
                <w:i/>
                <w:sz w:val="22"/>
              </w:rPr>
            </w:pPr>
            <w:r w:rsidRPr="00F16D2F">
              <w:rPr>
                <w:i/>
                <w:sz w:val="22"/>
              </w:rPr>
              <w:t>There is no reason apparent to me why an employment agency, to whom several complaints had been made about sexual harassment … by one of the employers it serviced …, could not either terminate the service or inform the employer that the agency would tell, as a condition of maintaining the service, potential employees that complaints had been made and the nature of the complaints or at least require the employer to put in place measures at the workplace to stop or at least influence the potentially unlawful conduct.</w:t>
            </w:r>
          </w:p>
        </w:tc>
      </w:tr>
    </w:tbl>
    <w:p w:rsidR="00A3178E" w:rsidRPr="003624E0" w:rsidRDefault="00A3178E" w:rsidP="00A3178E"/>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A3178E" w:rsidRPr="003624E0">
        <w:trPr>
          <w:trHeight w:val="503"/>
        </w:trPr>
        <w:tc>
          <w:tcPr>
            <w:tcW w:w="9071" w:type="dxa"/>
            <w:shd w:val="clear" w:color="0078C1" w:fill="C6D9F1" w:themeFill="text2" w:themeFillTint="33"/>
            <w:tcMar>
              <w:top w:w="227" w:type="dxa"/>
              <w:left w:w="227" w:type="dxa"/>
              <w:bottom w:w="255" w:type="dxa"/>
              <w:right w:w="227" w:type="dxa"/>
            </w:tcMar>
          </w:tcPr>
          <w:p w:rsidR="00A3178E" w:rsidRPr="003624E0" w:rsidRDefault="006A611F" w:rsidP="00594045">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 w:val="22"/>
                <w:szCs w:val="22"/>
              </w:rPr>
            </w:pPr>
            <w:r>
              <w:rPr>
                <w:rFonts w:cs="Arial"/>
                <w:b/>
                <w:bCs/>
                <w:color w:val="000000"/>
                <w:szCs w:val="22"/>
              </w:rPr>
              <w:t xml:space="preserve">Case study: </w:t>
            </w:r>
            <w:r w:rsidR="00A3178E" w:rsidRPr="00D72C6C">
              <w:rPr>
                <w:rFonts w:cs="Arial"/>
                <w:b/>
                <w:bCs/>
                <w:color w:val="000000"/>
              </w:rPr>
              <w:t>Employment agency’s accessory liability for sexual harassment complaint</w:t>
            </w:r>
            <w:r w:rsidR="00A3178E" w:rsidRPr="003624E0">
              <w:rPr>
                <w:rStyle w:val="EndnoteReference"/>
                <w:rFonts w:cs="Arial"/>
                <w:bCs/>
                <w:color w:val="000000"/>
                <w:szCs w:val="22"/>
              </w:rPr>
              <w:endnoteReference w:id="65"/>
            </w:r>
          </w:p>
          <w:p w:rsidR="00A3178E" w:rsidRPr="003624E0" w:rsidRDefault="00A3178E" w:rsidP="00594045">
            <w:pPr>
              <w:rPr>
                <w:sz w:val="22"/>
              </w:rPr>
            </w:pPr>
            <w:r w:rsidRPr="003624E0">
              <w:rPr>
                <w:sz w:val="22"/>
              </w:rPr>
              <w:t xml:space="preserve">The complainant alleged disability discrimination and sexual harassment in employment.  The complainant has a learning disability and was employed by the respondent company to do landscaping duties.  </w:t>
            </w:r>
          </w:p>
          <w:p w:rsidR="00A3178E" w:rsidRPr="003624E0" w:rsidRDefault="00A3178E" w:rsidP="00594045">
            <w:pPr>
              <w:rPr>
                <w:sz w:val="22"/>
              </w:rPr>
            </w:pPr>
            <w:r w:rsidRPr="003624E0">
              <w:rPr>
                <w:sz w:val="22"/>
              </w:rPr>
              <w:t xml:space="preserve">The complainant alleged that his co-workers harassed him because of his disability and also made frequent sexual comments to him.  The complainant said he complained about this to the recruitment agency that placed him with the company, but his complaints were not taken seriously. </w:t>
            </w:r>
          </w:p>
          <w:p w:rsidR="00A3178E" w:rsidRPr="003624E0" w:rsidRDefault="00A3178E" w:rsidP="00594045">
            <w:pPr>
              <w:rPr>
                <w:sz w:val="22"/>
              </w:rPr>
            </w:pPr>
            <w:r w:rsidRPr="003624E0">
              <w:rPr>
                <w:sz w:val="22"/>
              </w:rPr>
              <w:t xml:space="preserve">The recruitment company denied that the complainant had made an internal complaint.  In addition, the employer denied that the complainant had been harassed in his employment.  </w:t>
            </w:r>
          </w:p>
          <w:p w:rsidR="00A3178E" w:rsidRPr="003624E0" w:rsidRDefault="00A3178E" w:rsidP="000B7352">
            <w:pPr>
              <w:rPr>
                <w:sz w:val="22"/>
              </w:rPr>
            </w:pPr>
            <w:r w:rsidRPr="003624E0">
              <w:rPr>
                <w:sz w:val="22"/>
              </w:rPr>
              <w:t>The complaint was resolved with an agreement that the recruitment agency would pay the complainant the equivalent of 13 weeks</w:t>
            </w:r>
            <w:r w:rsidR="000B7352">
              <w:rPr>
                <w:sz w:val="22"/>
              </w:rPr>
              <w:t xml:space="preserve"> of</w:t>
            </w:r>
            <w:r w:rsidRPr="003624E0">
              <w:rPr>
                <w:sz w:val="22"/>
              </w:rPr>
              <w:t xml:space="preserve"> wages and place him in suitable alternative employment.  In addition, the employer agreed to pay the complainant $1,500 and provide him with a reference.</w:t>
            </w:r>
          </w:p>
        </w:tc>
      </w:tr>
    </w:tbl>
    <w:p w:rsidR="00A3178E" w:rsidRPr="003624E0" w:rsidRDefault="00A3178E" w:rsidP="00FC123D">
      <w:r w:rsidRPr="003624E0">
        <w:t>There is no defence available for accessory liability.</w:t>
      </w:r>
    </w:p>
    <w:p w:rsidR="00A3178E" w:rsidRPr="003624E0" w:rsidRDefault="00A3178E" w:rsidP="00A3178E">
      <w:pPr>
        <w:pStyle w:val="Heading3"/>
        <w:numPr>
          <w:ilvl w:val="0"/>
          <w:numId w:val="0"/>
        </w:numPr>
        <w:ind w:left="851" w:hanging="851"/>
      </w:pPr>
      <w:bookmarkStart w:id="35" w:name="_Toc362446686"/>
      <w:r w:rsidRPr="003624E0">
        <w:t>(c) Vicarious liability</w:t>
      </w:r>
      <w:bookmarkEnd w:id="35"/>
    </w:p>
    <w:p w:rsidR="00A3178E" w:rsidRPr="003624E0" w:rsidRDefault="00A3178E" w:rsidP="00A3178E">
      <w:r w:rsidRPr="003624E0">
        <w:t xml:space="preserve">Employers can be held liable under the Sex Discrimination Act for sexual harassment committed by their employees in connection with their employment and by their agents in connection with their duties as agents.  This is known as vicarious liability.   </w:t>
      </w:r>
    </w:p>
    <w:p w:rsidR="00A3178E" w:rsidRPr="003624E0" w:rsidRDefault="00A3178E" w:rsidP="00A3178E">
      <w:r w:rsidRPr="003624E0">
        <w:t xml:space="preserve">Employers can only be held vicariously liable for sexual harassment if there is an employment or agency relationship between the organisation and the </w:t>
      </w:r>
      <w:r w:rsidR="000D2DF9">
        <w:t xml:space="preserve">person who was found to have committed the </w:t>
      </w:r>
      <w:r w:rsidRPr="00F16D2F">
        <w:t>harass</w:t>
      </w:r>
      <w:r w:rsidR="000D2DF9">
        <w:t>ment</w:t>
      </w:r>
      <w:r w:rsidRPr="00F16D2F">
        <w:t>.</w:t>
      </w:r>
      <w:r w:rsidRPr="003624E0">
        <w:t xml:space="preserve">  No such relationship is required for an employer to be found an accessory to sexual harassment.</w:t>
      </w:r>
    </w:p>
    <w:p w:rsidR="00A3178E" w:rsidRPr="003624E0" w:rsidRDefault="00A3178E" w:rsidP="00A3178E">
      <w:pPr>
        <w:pStyle w:val="SubmissionNormal"/>
        <w:numPr>
          <w:ilvl w:val="0"/>
          <w:numId w:val="0"/>
        </w:numPr>
      </w:pPr>
      <w:r w:rsidRPr="003624E0">
        <w:t>An employer will be found vicariously liable for sexual harassment committed by one of their employees or agents if they failed to take ‘all reasonable steps’ to prevent the sexual harassment from occurring.</w:t>
      </w:r>
      <w:r w:rsidRPr="003624E0">
        <w:rPr>
          <w:rStyle w:val="EndnoteReference"/>
        </w:rPr>
        <w:endnoteReference w:id="66"/>
      </w:r>
      <w:r w:rsidRPr="003624E0">
        <w:t xml:space="preserv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A3178E" w:rsidRPr="003624E0">
        <w:trPr>
          <w:trHeight w:val="503"/>
        </w:trPr>
        <w:tc>
          <w:tcPr>
            <w:tcW w:w="9071" w:type="dxa"/>
            <w:shd w:val="clear" w:color="0078C1" w:fill="C6D9F1" w:themeFill="text2" w:themeFillTint="33"/>
            <w:tcMar>
              <w:top w:w="227" w:type="dxa"/>
              <w:left w:w="227" w:type="dxa"/>
              <w:bottom w:w="255" w:type="dxa"/>
              <w:right w:w="227" w:type="dxa"/>
            </w:tcMar>
          </w:tcPr>
          <w:p w:rsidR="00E85180" w:rsidRDefault="006A611F" w:rsidP="00E85180">
            <w:pPr>
              <w:widowControl w:val="0"/>
              <w:tabs>
                <w:tab w:val="left" w:pos="3533"/>
                <w:tab w:val="center" w:pos="4308"/>
              </w:tabs>
              <w:suppressAutoHyphens/>
              <w:autoSpaceDE w:val="0"/>
              <w:autoSpaceDN w:val="0"/>
              <w:adjustRightInd w:val="0"/>
              <w:spacing w:before="170" w:after="0"/>
              <w:jc w:val="center"/>
              <w:textAlignment w:val="center"/>
              <w:rPr>
                <w:rFonts w:cs="Arial"/>
                <w:b/>
                <w:bCs/>
                <w:color w:val="000000"/>
                <w:sz w:val="22"/>
                <w:szCs w:val="22"/>
              </w:rPr>
            </w:pPr>
            <w:r>
              <w:rPr>
                <w:rFonts w:cs="Arial"/>
                <w:b/>
                <w:bCs/>
                <w:color w:val="000000"/>
                <w:szCs w:val="22"/>
              </w:rPr>
              <w:t xml:space="preserve">Case study: </w:t>
            </w:r>
            <w:r w:rsidR="00E85180">
              <w:rPr>
                <w:rFonts w:cs="Arial"/>
                <w:b/>
                <w:bCs/>
                <w:color w:val="000000"/>
                <w:sz w:val="22"/>
                <w:szCs w:val="22"/>
              </w:rPr>
              <w:t>Vicarious liability for sexual harassment</w:t>
            </w:r>
          </w:p>
          <w:p w:rsidR="00DE6D93" w:rsidRDefault="00B05A2B" w:rsidP="00F16D2F">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sidRPr="00F16D2F">
              <w:rPr>
                <w:rFonts w:cs="Arial"/>
                <w:bCs/>
                <w:color w:val="000000"/>
                <w:sz w:val="22"/>
                <w:szCs w:val="22"/>
              </w:rPr>
              <w:t xml:space="preserve">The </w:t>
            </w:r>
            <w:r w:rsidR="00FB0685">
              <w:rPr>
                <w:rFonts w:cs="Arial"/>
                <w:bCs/>
                <w:color w:val="000000"/>
                <w:sz w:val="22"/>
                <w:szCs w:val="22"/>
              </w:rPr>
              <w:t>applicant</w:t>
            </w:r>
            <w:r w:rsidR="00761C1E">
              <w:rPr>
                <w:rFonts w:cs="Arial"/>
                <w:bCs/>
                <w:color w:val="000000"/>
                <w:sz w:val="22"/>
                <w:szCs w:val="22"/>
              </w:rPr>
              <w:t xml:space="preserve"> was employed </w:t>
            </w:r>
            <w:r w:rsidR="0004520B">
              <w:rPr>
                <w:rFonts w:cs="Arial"/>
                <w:bCs/>
                <w:color w:val="000000"/>
                <w:sz w:val="22"/>
                <w:szCs w:val="22"/>
              </w:rPr>
              <w:t xml:space="preserve">as a management consultant </w:t>
            </w:r>
            <w:r w:rsidR="00FB0685">
              <w:rPr>
                <w:rFonts w:cs="Arial"/>
                <w:bCs/>
                <w:color w:val="000000"/>
                <w:sz w:val="22"/>
                <w:szCs w:val="22"/>
              </w:rPr>
              <w:t xml:space="preserve">and the </w:t>
            </w:r>
            <w:r w:rsidR="0004520B">
              <w:rPr>
                <w:rFonts w:cs="Arial"/>
                <w:bCs/>
                <w:color w:val="000000"/>
                <w:sz w:val="22"/>
                <w:szCs w:val="22"/>
              </w:rPr>
              <w:t>individual respondent was employed as a sales representative</w:t>
            </w:r>
            <w:r w:rsidR="00FB0685">
              <w:rPr>
                <w:rFonts w:cs="Arial"/>
                <w:bCs/>
                <w:color w:val="000000"/>
                <w:sz w:val="22"/>
                <w:szCs w:val="22"/>
              </w:rPr>
              <w:t xml:space="preserve"> by the respondent software company. The complainant and respondent </w:t>
            </w:r>
            <w:r w:rsidR="00F95D44">
              <w:rPr>
                <w:rFonts w:cs="Arial"/>
                <w:bCs/>
                <w:color w:val="000000"/>
                <w:sz w:val="22"/>
                <w:szCs w:val="22"/>
              </w:rPr>
              <w:t>worked together on a project</w:t>
            </w:r>
            <w:r w:rsidR="00FB0685">
              <w:rPr>
                <w:rFonts w:cs="Arial"/>
                <w:bCs/>
                <w:color w:val="000000"/>
                <w:sz w:val="22"/>
                <w:szCs w:val="22"/>
              </w:rPr>
              <w:t xml:space="preserve">. </w:t>
            </w:r>
            <w:r w:rsidR="00E32AD3">
              <w:rPr>
                <w:rFonts w:cs="Arial"/>
                <w:bCs/>
                <w:color w:val="000000"/>
                <w:sz w:val="22"/>
                <w:szCs w:val="22"/>
              </w:rPr>
              <w:t>The applicant was based in Sydney but frequently travelled to Melbourne</w:t>
            </w:r>
            <w:r w:rsidR="00ED2AC1">
              <w:rPr>
                <w:rFonts w:cs="Arial"/>
                <w:bCs/>
                <w:color w:val="000000"/>
                <w:sz w:val="22"/>
                <w:szCs w:val="22"/>
              </w:rPr>
              <w:t>, where the respondent was based,</w:t>
            </w:r>
            <w:r w:rsidR="00E32AD3">
              <w:rPr>
                <w:rFonts w:cs="Arial"/>
                <w:bCs/>
                <w:color w:val="000000"/>
                <w:sz w:val="22"/>
                <w:szCs w:val="22"/>
              </w:rPr>
              <w:t xml:space="preserve"> because of the project. </w:t>
            </w:r>
          </w:p>
          <w:p w:rsidR="00DE6D93" w:rsidRDefault="00FB0685" w:rsidP="00F16D2F">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 xml:space="preserve">The applicant claimed that </w:t>
            </w:r>
            <w:r w:rsidR="00C62653">
              <w:rPr>
                <w:rFonts w:cs="Arial"/>
                <w:bCs/>
                <w:color w:val="000000"/>
                <w:sz w:val="22"/>
                <w:szCs w:val="22"/>
              </w:rPr>
              <w:t>she was subjected to a b</w:t>
            </w:r>
            <w:r w:rsidR="00277A34">
              <w:rPr>
                <w:rFonts w:cs="Arial"/>
                <w:bCs/>
                <w:color w:val="000000"/>
                <w:sz w:val="22"/>
                <w:szCs w:val="22"/>
              </w:rPr>
              <w:t>arrage of sexual slurs over a period of over six months</w:t>
            </w:r>
            <w:r w:rsidR="00C62653">
              <w:rPr>
                <w:rFonts w:cs="Arial"/>
                <w:bCs/>
                <w:color w:val="000000"/>
                <w:sz w:val="22"/>
                <w:szCs w:val="22"/>
              </w:rPr>
              <w:t xml:space="preserve"> including:</w:t>
            </w:r>
          </w:p>
          <w:p w:rsidR="00DE6D93" w:rsidRDefault="002B0D9F" w:rsidP="002B1169">
            <w:pPr>
              <w:pStyle w:val="ListParagraph"/>
              <w:widowControl w:val="0"/>
              <w:numPr>
                <w:ilvl w:val="0"/>
                <w:numId w:val="47"/>
              </w:numPr>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persistent comments about what the applicant</w:t>
            </w:r>
            <w:r w:rsidR="00403164">
              <w:rPr>
                <w:rFonts w:cs="Arial"/>
                <w:bCs/>
                <w:color w:val="000000"/>
                <w:sz w:val="22"/>
                <w:szCs w:val="22"/>
              </w:rPr>
              <w:t xml:space="preserve"> was wearing and how she looked, often made in front of colleagues or clients</w:t>
            </w:r>
            <w:r w:rsidR="00ED2AC1">
              <w:rPr>
                <w:rFonts w:cs="Arial"/>
                <w:bCs/>
                <w:color w:val="000000"/>
                <w:sz w:val="22"/>
                <w:szCs w:val="22"/>
              </w:rPr>
              <w:t>;</w:t>
            </w:r>
          </w:p>
          <w:p w:rsidR="00DE6D93" w:rsidRDefault="00F95D44" w:rsidP="002B1169">
            <w:pPr>
              <w:pStyle w:val="ListParagraph"/>
              <w:widowControl w:val="0"/>
              <w:numPr>
                <w:ilvl w:val="0"/>
                <w:numId w:val="47"/>
              </w:numPr>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persistent</w:t>
            </w:r>
            <w:r w:rsidR="002B0D9F">
              <w:rPr>
                <w:rFonts w:cs="Arial"/>
                <w:bCs/>
                <w:color w:val="000000"/>
                <w:sz w:val="22"/>
                <w:szCs w:val="22"/>
              </w:rPr>
              <w:t xml:space="preserve"> sexual </w:t>
            </w:r>
            <w:r w:rsidR="00ED2AC1">
              <w:rPr>
                <w:rFonts w:cs="Arial"/>
                <w:bCs/>
                <w:color w:val="000000"/>
                <w:sz w:val="22"/>
                <w:szCs w:val="22"/>
              </w:rPr>
              <w:t xml:space="preserve">comments and </w:t>
            </w:r>
            <w:r w:rsidR="002B0D9F">
              <w:rPr>
                <w:rFonts w:cs="Arial"/>
                <w:bCs/>
                <w:color w:val="000000"/>
                <w:sz w:val="22"/>
                <w:szCs w:val="22"/>
              </w:rPr>
              <w:t>innuendo</w:t>
            </w:r>
            <w:r w:rsidR="00ED2AC1">
              <w:rPr>
                <w:rFonts w:cs="Arial"/>
                <w:bCs/>
                <w:color w:val="000000"/>
                <w:sz w:val="22"/>
                <w:szCs w:val="22"/>
              </w:rPr>
              <w:t>;</w:t>
            </w:r>
          </w:p>
          <w:p w:rsidR="00DE6D93" w:rsidRDefault="007A5150" w:rsidP="002B1169">
            <w:pPr>
              <w:pStyle w:val="ListParagraph"/>
              <w:widowControl w:val="0"/>
              <w:numPr>
                <w:ilvl w:val="0"/>
                <w:numId w:val="47"/>
              </w:numPr>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 xml:space="preserve">invitations to go </w:t>
            </w:r>
            <w:r w:rsidR="00ED2AC1">
              <w:rPr>
                <w:rFonts w:cs="Arial"/>
                <w:bCs/>
                <w:color w:val="000000"/>
                <w:sz w:val="22"/>
                <w:szCs w:val="22"/>
              </w:rPr>
              <w:t xml:space="preserve">out and to go </w:t>
            </w:r>
            <w:r>
              <w:rPr>
                <w:rFonts w:cs="Arial"/>
                <w:bCs/>
                <w:color w:val="000000"/>
                <w:sz w:val="22"/>
                <w:szCs w:val="22"/>
              </w:rPr>
              <w:t>away for the weekend</w:t>
            </w:r>
            <w:r w:rsidR="00ED2AC1">
              <w:rPr>
                <w:rFonts w:cs="Arial"/>
                <w:bCs/>
                <w:color w:val="000000"/>
                <w:sz w:val="22"/>
                <w:szCs w:val="22"/>
              </w:rPr>
              <w:t>; and</w:t>
            </w:r>
          </w:p>
          <w:p w:rsidR="00DE6D93" w:rsidRDefault="00ED2AC1" w:rsidP="002B1169">
            <w:pPr>
              <w:pStyle w:val="ListParagraph"/>
              <w:widowControl w:val="0"/>
              <w:numPr>
                <w:ilvl w:val="0"/>
                <w:numId w:val="47"/>
              </w:numPr>
              <w:tabs>
                <w:tab w:val="left" w:pos="3533"/>
                <w:tab w:val="center" w:pos="4308"/>
              </w:tabs>
              <w:suppressAutoHyphens/>
              <w:autoSpaceDE w:val="0"/>
              <w:autoSpaceDN w:val="0"/>
              <w:adjustRightInd w:val="0"/>
              <w:spacing w:before="170" w:after="0"/>
              <w:textAlignment w:val="center"/>
              <w:rPr>
                <w:rFonts w:cs="Arial"/>
                <w:bCs/>
                <w:color w:val="000000"/>
                <w:sz w:val="22"/>
                <w:szCs w:val="22"/>
              </w:rPr>
            </w:pPr>
            <w:proofErr w:type="gramStart"/>
            <w:r>
              <w:rPr>
                <w:rFonts w:cs="Arial"/>
                <w:bCs/>
                <w:color w:val="000000"/>
                <w:sz w:val="22"/>
                <w:szCs w:val="22"/>
              </w:rPr>
              <w:t>repeated</w:t>
            </w:r>
            <w:proofErr w:type="gramEnd"/>
            <w:r>
              <w:rPr>
                <w:rFonts w:cs="Arial"/>
                <w:bCs/>
                <w:color w:val="000000"/>
                <w:sz w:val="22"/>
                <w:szCs w:val="22"/>
              </w:rPr>
              <w:t xml:space="preserve"> references to the applicant and respondent having sex.</w:t>
            </w:r>
          </w:p>
          <w:p w:rsidR="002B1169" w:rsidRDefault="00403164" w:rsidP="00F16D2F">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The applicant resigned from her employment as a result of the respondent’s behaviour and made a complaint of sexual harassment</w:t>
            </w:r>
            <w:r w:rsidR="00B60A2A">
              <w:rPr>
                <w:rFonts w:cs="Arial"/>
                <w:bCs/>
                <w:color w:val="000000"/>
                <w:sz w:val="22"/>
                <w:szCs w:val="22"/>
              </w:rPr>
              <w:t xml:space="preserve"> against the individual respondent and her employer.</w:t>
            </w:r>
          </w:p>
          <w:p w:rsidR="00DE6D93" w:rsidRDefault="00B05A2B" w:rsidP="00F16D2F">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sidRPr="002B1169">
              <w:rPr>
                <w:rFonts w:cs="Arial"/>
                <w:bCs/>
                <w:color w:val="000000"/>
                <w:sz w:val="22"/>
                <w:szCs w:val="22"/>
              </w:rPr>
              <w:t xml:space="preserve">When considering </w:t>
            </w:r>
            <w:r w:rsidR="00B60A2A">
              <w:rPr>
                <w:rFonts w:cs="Arial"/>
                <w:bCs/>
                <w:color w:val="000000"/>
                <w:sz w:val="22"/>
                <w:szCs w:val="22"/>
              </w:rPr>
              <w:t xml:space="preserve">the liability of the employer, </w:t>
            </w:r>
            <w:r w:rsidR="00263D86">
              <w:rPr>
                <w:rFonts w:cs="Arial"/>
                <w:bCs/>
                <w:color w:val="000000"/>
                <w:sz w:val="22"/>
                <w:szCs w:val="22"/>
              </w:rPr>
              <w:t>the court consider</w:t>
            </w:r>
            <w:r w:rsidR="00E12EFC">
              <w:rPr>
                <w:rFonts w:cs="Arial"/>
                <w:bCs/>
                <w:color w:val="000000"/>
                <w:sz w:val="22"/>
                <w:szCs w:val="22"/>
              </w:rPr>
              <w:t>ed</w:t>
            </w:r>
            <w:r w:rsidR="00263D86">
              <w:rPr>
                <w:rFonts w:cs="Arial"/>
                <w:bCs/>
                <w:color w:val="000000"/>
                <w:sz w:val="22"/>
                <w:szCs w:val="22"/>
              </w:rPr>
              <w:t xml:space="preserve"> that the sexual ha</w:t>
            </w:r>
            <w:r w:rsidR="00C57E45">
              <w:rPr>
                <w:rFonts w:cs="Arial"/>
                <w:bCs/>
                <w:color w:val="000000"/>
                <w:sz w:val="22"/>
                <w:szCs w:val="22"/>
              </w:rPr>
              <w:t xml:space="preserve">rassment training that the employer required its employees to complete every two years was adequate </w:t>
            </w:r>
            <w:r w:rsidR="00E12EFC">
              <w:rPr>
                <w:rFonts w:cs="Arial"/>
                <w:bCs/>
                <w:color w:val="000000"/>
                <w:sz w:val="22"/>
                <w:szCs w:val="22"/>
              </w:rPr>
              <w:t xml:space="preserve">even though </w:t>
            </w:r>
            <w:r w:rsidR="00263D86">
              <w:rPr>
                <w:rFonts w:cs="Arial"/>
                <w:bCs/>
                <w:color w:val="000000"/>
                <w:sz w:val="22"/>
                <w:szCs w:val="22"/>
              </w:rPr>
              <w:t xml:space="preserve">it </w:t>
            </w:r>
            <w:r w:rsidR="00C57E45">
              <w:rPr>
                <w:rFonts w:cs="Arial"/>
                <w:bCs/>
                <w:color w:val="000000"/>
                <w:sz w:val="22"/>
                <w:szCs w:val="22"/>
              </w:rPr>
              <w:t>involved the giving of yes/no a</w:t>
            </w:r>
            <w:r w:rsidR="00F95D44">
              <w:rPr>
                <w:rFonts w:cs="Arial"/>
                <w:bCs/>
                <w:color w:val="000000"/>
                <w:sz w:val="22"/>
                <w:szCs w:val="22"/>
              </w:rPr>
              <w:t xml:space="preserve">nswers that could be changed </w:t>
            </w:r>
            <w:r w:rsidR="00E12EFC">
              <w:rPr>
                <w:rFonts w:cs="Arial"/>
                <w:bCs/>
                <w:color w:val="000000"/>
                <w:sz w:val="22"/>
                <w:szCs w:val="22"/>
              </w:rPr>
              <w:t>and</w:t>
            </w:r>
            <w:r w:rsidR="00C57E45">
              <w:rPr>
                <w:rFonts w:cs="Arial"/>
                <w:bCs/>
                <w:color w:val="000000"/>
                <w:sz w:val="22"/>
                <w:szCs w:val="22"/>
              </w:rPr>
              <w:t xml:space="preserve"> the training did not involve a face to face component</w:t>
            </w:r>
            <w:r w:rsidR="002B1169">
              <w:rPr>
                <w:rFonts w:cs="Arial"/>
                <w:bCs/>
                <w:color w:val="000000"/>
                <w:sz w:val="22"/>
                <w:szCs w:val="22"/>
              </w:rPr>
              <w:t>.</w:t>
            </w:r>
          </w:p>
          <w:p w:rsidR="00DE6D93" w:rsidRDefault="00374625" w:rsidP="00F16D2F">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However, the court found that the respondent employer did not take all reasonable steps to prevent the sexual harassment</w:t>
            </w:r>
            <w:r w:rsidR="00D374FC">
              <w:rPr>
                <w:rFonts w:cs="Arial"/>
                <w:bCs/>
                <w:color w:val="000000"/>
                <w:sz w:val="22"/>
                <w:szCs w:val="22"/>
              </w:rPr>
              <w:t xml:space="preserve"> because the online training package completed by the individual respondent made:</w:t>
            </w:r>
          </w:p>
          <w:p w:rsidR="00DE6D93" w:rsidRDefault="00D374FC" w:rsidP="002B1169">
            <w:pPr>
              <w:pStyle w:val="ListParagraph"/>
              <w:widowControl w:val="0"/>
              <w:numPr>
                <w:ilvl w:val="0"/>
                <w:numId w:val="48"/>
              </w:numPr>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no reference to the legislative foundation in Australia for the prohibition of sexual harassment;</w:t>
            </w:r>
          </w:p>
          <w:p w:rsidR="00DE6D93" w:rsidRDefault="00D374FC" w:rsidP="002B1169">
            <w:pPr>
              <w:pStyle w:val="ListParagraph"/>
              <w:widowControl w:val="0"/>
              <w:numPr>
                <w:ilvl w:val="0"/>
                <w:numId w:val="48"/>
              </w:numPr>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no clear statement that sexual harassment is unlawful; and</w:t>
            </w:r>
          </w:p>
          <w:p w:rsidR="00DE6D93" w:rsidRDefault="00D374FC" w:rsidP="002B1169">
            <w:pPr>
              <w:pStyle w:val="ListParagraph"/>
              <w:widowControl w:val="0"/>
              <w:numPr>
                <w:ilvl w:val="0"/>
                <w:numId w:val="48"/>
              </w:numPr>
              <w:tabs>
                <w:tab w:val="left" w:pos="3533"/>
                <w:tab w:val="center" w:pos="4308"/>
              </w:tabs>
              <w:suppressAutoHyphens/>
              <w:autoSpaceDE w:val="0"/>
              <w:autoSpaceDN w:val="0"/>
              <w:adjustRightInd w:val="0"/>
              <w:spacing w:before="170" w:after="0"/>
              <w:textAlignment w:val="center"/>
              <w:rPr>
                <w:rFonts w:cs="Arial"/>
                <w:bCs/>
                <w:color w:val="000000"/>
                <w:sz w:val="22"/>
                <w:szCs w:val="22"/>
              </w:rPr>
            </w:pPr>
            <w:proofErr w:type="gramStart"/>
            <w:r>
              <w:rPr>
                <w:rFonts w:cs="Arial"/>
                <w:bCs/>
                <w:color w:val="000000"/>
                <w:sz w:val="22"/>
                <w:szCs w:val="22"/>
              </w:rPr>
              <w:t>no</w:t>
            </w:r>
            <w:proofErr w:type="gramEnd"/>
            <w:r>
              <w:rPr>
                <w:rFonts w:cs="Arial"/>
                <w:bCs/>
                <w:color w:val="000000"/>
                <w:sz w:val="22"/>
                <w:szCs w:val="22"/>
              </w:rPr>
              <w:t xml:space="preserve"> statement that an employer might also be vicariously liable.</w:t>
            </w:r>
          </w:p>
          <w:p w:rsidR="00DE6D93" w:rsidRDefault="00C15781" w:rsidP="00F16D2F">
            <w:pPr>
              <w:widowControl w:val="0"/>
              <w:tabs>
                <w:tab w:val="left" w:pos="3533"/>
                <w:tab w:val="center" w:pos="4308"/>
              </w:tabs>
              <w:suppressAutoHyphens/>
              <w:autoSpaceDE w:val="0"/>
              <w:autoSpaceDN w:val="0"/>
              <w:adjustRightInd w:val="0"/>
              <w:spacing w:before="170" w:after="0"/>
              <w:textAlignment w:val="center"/>
              <w:rPr>
                <w:rFonts w:cs="Arial"/>
                <w:bCs/>
                <w:color w:val="000000"/>
                <w:sz w:val="22"/>
                <w:szCs w:val="22"/>
              </w:rPr>
            </w:pPr>
            <w:r>
              <w:rPr>
                <w:rFonts w:cs="Arial"/>
                <w:bCs/>
                <w:color w:val="000000"/>
                <w:sz w:val="22"/>
                <w:szCs w:val="22"/>
              </w:rPr>
              <w:t>Buchanan J stated</w:t>
            </w:r>
          </w:p>
          <w:p w:rsidR="00A3178E" w:rsidRPr="003624E0" w:rsidRDefault="00C15781" w:rsidP="00A95DB8">
            <w:pPr>
              <w:widowControl w:val="0"/>
              <w:tabs>
                <w:tab w:val="left" w:pos="3533"/>
                <w:tab w:val="center" w:pos="4308"/>
              </w:tabs>
              <w:suppressAutoHyphens/>
              <w:autoSpaceDE w:val="0"/>
              <w:autoSpaceDN w:val="0"/>
              <w:adjustRightInd w:val="0"/>
              <w:spacing w:before="170" w:after="0"/>
              <w:ind w:left="766"/>
              <w:textAlignment w:val="center"/>
              <w:rPr>
                <w:sz w:val="22"/>
              </w:rPr>
            </w:pPr>
            <w:r w:rsidRPr="00F16D2F">
              <w:rPr>
                <w:rFonts w:cs="Arial"/>
                <w:bCs/>
                <w:i/>
                <w:color w:val="000000"/>
                <w:sz w:val="22"/>
                <w:szCs w:val="22"/>
              </w:rPr>
              <w:t xml:space="preserve">In my view, advice in clear terms that sexual harassment is against the law, and identification of the source of the relevant legal standard, is a significant additional element to bring to the attention of employees </w:t>
            </w:r>
            <w:r w:rsidR="00575546" w:rsidRPr="00F16D2F">
              <w:rPr>
                <w:rFonts w:cs="Arial"/>
                <w:bCs/>
                <w:i/>
                <w:color w:val="000000"/>
                <w:sz w:val="22"/>
                <w:szCs w:val="22"/>
              </w:rPr>
              <w:t>in addition to a statement that sexual harassment is against company policy, no matter how firmly that consequences for breach of company policy might be stated. I take the same view about advice that an employer might also be liable for sexual harassment by an employee. That is an additional element emphasising the lively and real interest that an employer will have in scrupulous adherence to its warnings.</w:t>
            </w:r>
            <w:r w:rsidR="00575546" w:rsidRPr="00F16D2F">
              <w:rPr>
                <w:rStyle w:val="EndnoteReference"/>
                <w:rFonts w:cs="Arial"/>
                <w:bCs/>
                <w:i/>
                <w:color w:val="000000"/>
                <w:szCs w:val="22"/>
              </w:rPr>
              <w:endnoteReference w:id="67"/>
            </w:r>
          </w:p>
        </w:tc>
      </w:tr>
    </w:tbl>
    <w:p w:rsidR="00A3178E" w:rsidRPr="003624E0" w:rsidRDefault="00A3178E" w:rsidP="00A3178E">
      <w:pPr>
        <w:pStyle w:val="SubmissionNormal"/>
        <w:numPr>
          <w:ilvl w:val="0"/>
          <w:numId w:val="0"/>
        </w:numPr>
      </w:pPr>
      <w:r w:rsidRPr="003624E0">
        <w:t>It is becoming more common for people with different employers to be located in the same workplace.  The person responsible for the workplace is not always the employer of the people working in it.  In these situations, it is important for workplace participants to be clear about their responsibility for sexual harassment.</w:t>
      </w:r>
    </w:p>
    <w:p w:rsidR="00A3178E" w:rsidRPr="003624E0" w:rsidRDefault="00A3178E" w:rsidP="00A3178E">
      <w:pPr>
        <w:pStyle w:val="SubmissionNormal"/>
        <w:numPr>
          <w:ilvl w:val="0"/>
          <w:numId w:val="0"/>
        </w:numPr>
      </w:pPr>
      <w:r w:rsidRPr="003624E0">
        <w:t xml:space="preserve">An employer will not be vicariously liable for sexual harassment if it is established that it took ‘all reasonable steps’ to prevent the sexual harassment (see section </w:t>
      </w:r>
      <w:r w:rsidR="006F7CA5">
        <w:t>5</w:t>
      </w:r>
      <w:r w:rsidRPr="003624E0">
        <w:t>.1).</w:t>
      </w:r>
      <w:r w:rsidRPr="003624E0">
        <w:rPr>
          <w:rStyle w:val="EndnoteReference"/>
        </w:rPr>
        <w:endnoteReference w:id="68"/>
      </w:r>
      <w:r w:rsidRPr="003624E0">
        <w:t xml:space="preserve">  However, it is not a defence to vicarious liability to claim a lack of awareness of the sexual harassment.    </w:t>
      </w:r>
    </w:p>
    <w:p w:rsidR="00A3178E" w:rsidRPr="003624E0" w:rsidRDefault="00A3178E" w:rsidP="00A3178E">
      <w:pPr>
        <w:pStyle w:val="SubmissionNormal"/>
        <w:numPr>
          <w:ilvl w:val="0"/>
          <w:numId w:val="0"/>
        </w:numPr>
      </w:pPr>
      <w:r w:rsidRPr="003624E0">
        <w:t xml:space="preserve">Even when an employer or principal is found to be vicariously liable for sexual harassment committed by individual </w:t>
      </w:r>
      <w:r w:rsidR="002A0420">
        <w:t>workplace participants</w:t>
      </w:r>
      <w:r w:rsidRPr="003624E0">
        <w:t xml:space="preserve">, the </w:t>
      </w:r>
      <w:r w:rsidR="00016F18">
        <w:t>person who committed the harassment</w:t>
      </w:r>
      <w:r w:rsidR="00016F18" w:rsidRPr="003624E0">
        <w:t xml:space="preserve"> </w:t>
      </w:r>
      <w:r w:rsidRPr="003624E0">
        <w:t xml:space="preserve">remains personally liable for their unlawful acts.   </w:t>
      </w:r>
    </w:p>
    <w:p w:rsidR="00A3178E" w:rsidRPr="003624E0" w:rsidRDefault="00A3178E" w:rsidP="00A3178E">
      <w:pPr>
        <w:pStyle w:val="Heading3"/>
        <w:numPr>
          <w:ilvl w:val="0"/>
          <w:numId w:val="0"/>
        </w:numPr>
        <w:ind w:left="851" w:hanging="851"/>
      </w:pPr>
      <w:bookmarkStart w:id="36" w:name="_Toc362446687"/>
      <w:r w:rsidRPr="003624E0">
        <w:t>(d) Victimi</w:t>
      </w:r>
      <w:r w:rsidR="00B45198">
        <w:t>s</w:t>
      </w:r>
      <w:r w:rsidRPr="003624E0">
        <w:t>ation</w:t>
      </w:r>
      <w:bookmarkEnd w:id="36"/>
    </w:p>
    <w:p w:rsidR="00A3178E" w:rsidRPr="003624E0" w:rsidRDefault="00D072E6" w:rsidP="00A3178E">
      <w:r>
        <w:t>I</w:t>
      </w:r>
      <w:r w:rsidR="00F93410">
        <w:t>t is unlawful to victimise a person</w:t>
      </w:r>
      <w:r w:rsidR="006C5E38">
        <w:t xml:space="preserve"> if he or she has</w:t>
      </w:r>
      <w:r w:rsidR="00026CDC">
        <w:t xml:space="preserve"> taken</w:t>
      </w:r>
      <w:r w:rsidR="006C5E38">
        <w:t xml:space="preserve"> (or proposes to</w:t>
      </w:r>
      <w:r w:rsidR="00026CDC">
        <w:t xml:space="preserve"> take) action in relation to a discrimination claim. Victimisation includes subjecting or threatening to subject another person to detriment in the workplace.</w:t>
      </w:r>
      <w:r w:rsidR="00A3178E" w:rsidRPr="003624E0">
        <w:rPr>
          <w:rStyle w:val="EndnoteReference"/>
        </w:rPr>
        <w:endnoteReference w:id="69"/>
      </w:r>
      <w:r w:rsidR="00A3178E" w:rsidRPr="003624E0">
        <w:t xml:space="preserve">  The penalty for victimi</w:t>
      </w:r>
      <w:r w:rsidR="00B45198">
        <w:t>s</w:t>
      </w:r>
      <w:r w:rsidR="00A3178E" w:rsidRPr="003624E0">
        <w:t xml:space="preserve">ation is a fine and/or three months’ imprisonment in the case of a natural person and a fine in the case of a body corporate.   </w:t>
      </w:r>
    </w:p>
    <w:p w:rsidR="00A3178E" w:rsidRPr="003624E0" w:rsidRDefault="00A3178E" w:rsidP="00A3178E">
      <w:r w:rsidRPr="003624E0">
        <w:t>It is a defence to a prosecution for victimi</w:t>
      </w:r>
      <w:r w:rsidR="00B45198">
        <w:t>s</w:t>
      </w:r>
      <w:r w:rsidRPr="003624E0">
        <w:t>ation if it is proved that the person’s allegation of sex discrimination, including sexual harassment, was false and not made in good faith.</w:t>
      </w:r>
      <w:r w:rsidRPr="003624E0">
        <w:rPr>
          <w:rStyle w:val="EndnoteReference"/>
        </w:rPr>
        <w:endnoteReference w:id="70"/>
      </w:r>
      <w:r w:rsidRPr="003624E0">
        <w:t xml:space="preserv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A3178E" w:rsidRPr="003624E0">
        <w:trPr>
          <w:trHeight w:val="503"/>
        </w:trPr>
        <w:tc>
          <w:tcPr>
            <w:tcW w:w="9071" w:type="dxa"/>
            <w:shd w:val="clear" w:color="0078C1" w:fill="C6D9F1" w:themeFill="text2" w:themeFillTint="33"/>
            <w:tcMar>
              <w:top w:w="227" w:type="dxa"/>
              <w:left w:w="227" w:type="dxa"/>
              <w:bottom w:w="255" w:type="dxa"/>
              <w:right w:w="227" w:type="dxa"/>
            </w:tcMar>
          </w:tcPr>
          <w:p w:rsidR="00A3178E" w:rsidRPr="003624E0" w:rsidRDefault="006A611F" w:rsidP="00594045">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 w:val="22"/>
                <w:szCs w:val="22"/>
              </w:rPr>
            </w:pPr>
            <w:r>
              <w:rPr>
                <w:rFonts w:cs="Arial"/>
                <w:b/>
                <w:bCs/>
                <w:color w:val="000000"/>
                <w:szCs w:val="22"/>
              </w:rPr>
              <w:t xml:space="preserve">Case study: </w:t>
            </w:r>
            <w:r w:rsidR="00EA3C1D">
              <w:rPr>
                <w:rFonts w:cs="Arial"/>
                <w:b/>
                <w:bCs/>
                <w:color w:val="000000"/>
                <w:sz w:val="22"/>
                <w:szCs w:val="22"/>
              </w:rPr>
              <w:t>Victimisation of b</w:t>
            </w:r>
            <w:r w:rsidR="00A3178E" w:rsidRPr="003624E0">
              <w:rPr>
                <w:rFonts w:cs="Arial"/>
                <w:b/>
                <w:bCs/>
                <w:color w:val="000000"/>
                <w:sz w:val="22"/>
                <w:szCs w:val="22"/>
              </w:rPr>
              <w:t>ystander</w:t>
            </w:r>
            <w:r w:rsidR="00A3178E" w:rsidRPr="003624E0">
              <w:rPr>
                <w:rStyle w:val="EndnoteReference"/>
                <w:rFonts w:cs="Arial"/>
                <w:bCs/>
                <w:color w:val="000000"/>
                <w:szCs w:val="22"/>
              </w:rPr>
              <w:endnoteReference w:id="71"/>
            </w:r>
          </w:p>
          <w:p w:rsidR="004D56E0" w:rsidRPr="00A95DB8" w:rsidRDefault="00A3178E" w:rsidP="004D56E0">
            <w:pPr>
              <w:rPr>
                <w:rFonts w:cs="Arial"/>
                <w:sz w:val="22"/>
                <w:szCs w:val="22"/>
              </w:rPr>
            </w:pPr>
            <w:r w:rsidRPr="003624E0">
              <w:rPr>
                <w:sz w:val="22"/>
              </w:rPr>
              <w:t xml:space="preserve">The complainant worked as a consultant with the respondent </w:t>
            </w:r>
            <w:r w:rsidRPr="00BF07F3">
              <w:rPr>
                <w:sz w:val="22"/>
                <w:szCs w:val="22"/>
              </w:rPr>
              <w:t xml:space="preserve">company. </w:t>
            </w:r>
            <w:r w:rsidR="004D56E0" w:rsidRPr="00A95DB8">
              <w:rPr>
                <w:rFonts w:cs="Arial"/>
                <w:sz w:val="22"/>
                <w:szCs w:val="22"/>
              </w:rPr>
              <w:t>He alleged he was victimised because the respondent company terminated his contract after he raised allegations of sexual harassment on behalf of his colleague.</w:t>
            </w:r>
          </w:p>
          <w:p w:rsidR="00A3178E" w:rsidRPr="003624E0" w:rsidRDefault="00A3178E" w:rsidP="00594045">
            <w:pPr>
              <w:rPr>
                <w:sz w:val="22"/>
              </w:rPr>
            </w:pPr>
            <w:r w:rsidRPr="003624E0">
              <w:rPr>
                <w:sz w:val="22"/>
              </w:rPr>
              <w:t>The respondents denied victimisation.  The respondents claimed the complainant's contract was terminated because of loss of confidence in his abilities to perform his role.</w:t>
            </w:r>
          </w:p>
          <w:p w:rsidR="00A3178E" w:rsidRPr="003624E0" w:rsidRDefault="00A3178E" w:rsidP="00594045">
            <w:pPr>
              <w:rPr>
                <w:sz w:val="22"/>
              </w:rPr>
            </w:pPr>
            <w:r w:rsidRPr="003624E0">
              <w:rPr>
                <w:sz w:val="22"/>
              </w:rPr>
              <w:t>The complaint was resolved with an agreement that the respondents pay the complainant $7,500 and provide him with a statement of regret.</w:t>
            </w:r>
          </w:p>
        </w:tc>
      </w:tr>
    </w:tbl>
    <w:p w:rsidR="005B18A9" w:rsidRDefault="005B18A9">
      <w:pPr>
        <w:spacing w:before="0" w:after="0"/>
        <w:rPr>
          <w:b/>
          <w:bCs/>
          <w:sz w:val="28"/>
          <w:szCs w:val="28"/>
        </w:rPr>
      </w:pPr>
      <w:bookmarkStart w:id="37" w:name="_Toc362446688"/>
      <w:r>
        <w:br w:type="page"/>
      </w:r>
    </w:p>
    <w:p w:rsidR="00B415A3" w:rsidRPr="00B611D7" w:rsidRDefault="007E220D" w:rsidP="007E220D">
      <w:pPr>
        <w:pStyle w:val="Heading1"/>
        <w:numPr>
          <w:ilvl w:val="0"/>
          <w:numId w:val="0"/>
        </w:numPr>
        <w:ind w:left="851" w:hanging="851"/>
        <w:rPr>
          <w:sz w:val="36"/>
          <w:szCs w:val="36"/>
        </w:rPr>
      </w:pPr>
      <w:bookmarkStart w:id="38" w:name="_Toc388023528"/>
      <w:r w:rsidRPr="00B611D7">
        <w:rPr>
          <w:sz w:val="36"/>
          <w:szCs w:val="36"/>
        </w:rPr>
        <w:t xml:space="preserve">4.  </w:t>
      </w:r>
      <w:r w:rsidR="00B415A3" w:rsidRPr="00B611D7">
        <w:rPr>
          <w:sz w:val="36"/>
          <w:szCs w:val="36"/>
        </w:rPr>
        <w:t xml:space="preserve">Other </w:t>
      </w:r>
      <w:r w:rsidR="009D7199" w:rsidRPr="00B611D7">
        <w:rPr>
          <w:sz w:val="36"/>
          <w:szCs w:val="36"/>
        </w:rPr>
        <w:t>causes of action</w:t>
      </w:r>
      <w:r w:rsidR="00C41B7D" w:rsidRPr="00B611D7">
        <w:rPr>
          <w:sz w:val="36"/>
          <w:szCs w:val="36"/>
        </w:rPr>
        <w:t xml:space="preserve"> and </w:t>
      </w:r>
      <w:r w:rsidR="00852AFB" w:rsidRPr="00B611D7">
        <w:rPr>
          <w:sz w:val="36"/>
          <w:szCs w:val="36"/>
        </w:rPr>
        <w:t xml:space="preserve">types </w:t>
      </w:r>
      <w:r w:rsidR="00C41B7D" w:rsidRPr="00B611D7">
        <w:rPr>
          <w:sz w:val="36"/>
          <w:szCs w:val="36"/>
        </w:rPr>
        <w:t>of liability</w:t>
      </w:r>
      <w:bookmarkEnd w:id="37"/>
      <w:bookmarkEnd w:id="38"/>
      <w:r w:rsidR="00C41B7D" w:rsidRPr="00B611D7">
        <w:rPr>
          <w:sz w:val="36"/>
          <w:szCs w:val="36"/>
        </w:rPr>
        <w:t xml:space="preserve"> </w:t>
      </w:r>
    </w:p>
    <w:p w:rsidR="00ED6380" w:rsidRPr="003624E0" w:rsidRDefault="005D2261" w:rsidP="00ED6380">
      <w:pPr>
        <w:pStyle w:val="SubmissionNormal"/>
        <w:numPr>
          <w:ilvl w:val="0"/>
          <w:numId w:val="0"/>
        </w:numPr>
      </w:pPr>
      <w:r w:rsidRPr="003624E0">
        <w:t xml:space="preserve">Chapter 4 identifies some of the other legal causes of action </w:t>
      </w:r>
      <w:r w:rsidR="00852AFB" w:rsidRPr="003624E0">
        <w:t xml:space="preserve">and </w:t>
      </w:r>
      <w:r w:rsidR="001A622E" w:rsidRPr="003624E0">
        <w:t>types</w:t>
      </w:r>
      <w:r w:rsidR="00852AFB" w:rsidRPr="003624E0">
        <w:t xml:space="preserve"> of liability </w:t>
      </w:r>
      <w:r w:rsidRPr="003624E0">
        <w:t>that may arise as a result of sexual harassment in the workplace.</w:t>
      </w:r>
      <w:r w:rsidR="00FC0FBA" w:rsidRPr="003624E0">
        <w:t xml:space="preserve"> </w:t>
      </w:r>
      <w:r w:rsidR="001A622E" w:rsidRPr="003624E0">
        <w:t xml:space="preserve"> </w:t>
      </w:r>
      <w:r w:rsidR="00ED6380" w:rsidRPr="003624E0">
        <w:t xml:space="preserve">It </w:t>
      </w:r>
      <w:r w:rsidR="002128B5" w:rsidRPr="003624E0">
        <w:t xml:space="preserve">addresses: </w:t>
      </w:r>
    </w:p>
    <w:p w:rsidR="00ED6380" w:rsidRPr="003624E0" w:rsidRDefault="00ED6380" w:rsidP="007F2316">
      <w:pPr>
        <w:pStyle w:val="SubmissionNormal"/>
        <w:numPr>
          <w:ilvl w:val="0"/>
          <w:numId w:val="35"/>
        </w:numPr>
        <w:ind w:left="567" w:hanging="567"/>
      </w:pPr>
      <w:r w:rsidRPr="003624E0">
        <w:t>criminal offences related to sexual harassment</w:t>
      </w:r>
    </w:p>
    <w:p w:rsidR="002F71F2" w:rsidRPr="003624E0" w:rsidRDefault="00421DFB" w:rsidP="007F2316">
      <w:pPr>
        <w:pStyle w:val="SubmissionNormal"/>
        <w:numPr>
          <w:ilvl w:val="0"/>
          <w:numId w:val="35"/>
        </w:numPr>
        <w:ind w:left="567" w:hanging="567"/>
      </w:pPr>
      <w:r w:rsidRPr="003624E0">
        <w:t xml:space="preserve">claims under the Fair Work Act, including </w:t>
      </w:r>
      <w:r w:rsidR="00731595">
        <w:t>’General Protections’ claims</w:t>
      </w:r>
      <w:r w:rsidRPr="003624E0">
        <w:t xml:space="preserve"> and unfair dismissal</w:t>
      </w:r>
    </w:p>
    <w:p w:rsidR="00421DFB" w:rsidRPr="003624E0" w:rsidRDefault="002F71F2" w:rsidP="007F2316">
      <w:pPr>
        <w:pStyle w:val="SubmissionNormal"/>
        <w:numPr>
          <w:ilvl w:val="0"/>
          <w:numId w:val="35"/>
        </w:numPr>
        <w:ind w:left="567" w:hanging="567"/>
      </w:pPr>
      <w:r w:rsidRPr="003624E0">
        <w:t>breach of contract</w:t>
      </w:r>
      <w:r w:rsidR="00421DFB" w:rsidRPr="003624E0">
        <w:t xml:space="preserve"> </w:t>
      </w:r>
    </w:p>
    <w:p w:rsidR="00ED6380" w:rsidRPr="003624E0" w:rsidRDefault="00ED6380" w:rsidP="007F2316">
      <w:pPr>
        <w:pStyle w:val="SubmissionNormal"/>
        <w:numPr>
          <w:ilvl w:val="0"/>
          <w:numId w:val="35"/>
        </w:numPr>
        <w:ind w:left="567" w:hanging="567"/>
      </w:pPr>
      <w:r w:rsidRPr="003624E0">
        <w:t xml:space="preserve">breaches of work, health and safety requirements </w:t>
      </w:r>
    </w:p>
    <w:p w:rsidR="00C1563D" w:rsidRPr="003624E0" w:rsidRDefault="00421DFB" w:rsidP="00C1563D">
      <w:r w:rsidRPr="003624E0">
        <w:t xml:space="preserve">Employers should be aware that </w:t>
      </w:r>
      <w:r w:rsidR="00452B28" w:rsidRPr="003624E0">
        <w:t xml:space="preserve">individuals who allege that they have been sexually harassed in the workplace </w:t>
      </w:r>
      <w:r w:rsidRPr="003624E0">
        <w:t xml:space="preserve">may rely on </w:t>
      </w:r>
      <w:r w:rsidR="00DB2D58" w:rsidRPr="003624E0">
        <w:t>one or more of these</w:t>
      </w:r>
      <w:r w:rsidR="00452B28" w:rsidRPr="003624E0">
        <w:t xml:space="preserve"> causes of action </w:t>
      </w:r>
      <w:r w:rsidRPr="003624E0">
        <w:t xml:space="preserve">in addition to the causes of action under </w:t>
      </w:r>
      <w:r w:rsidRPr="003B2B48">
        <w:t xml:space="preserve">the </w:t>
      </w:r>
      <w:r w:rsidR="0099374A" w:rsidRPr="00A95DB8">
        <w:t>Sex Discrimination</w:t>
      </w:r>
      <w:r w:rsidR="00137103" w:rsidRPr="003B2B48">
        <w:t xml:space="preserve"> Act</w:t>
      </w:r>
      <w:r w:rsidR="00EB0B2F" w:rsidRPr="0099374A">
        <w:t>.</w:t>
      </w:r>
      <w:r w:rsidR="00AC3998" w:rsidRPr="0099374A">
        <w:t xml:space="preserve"> </w:t>
      </w:r>
      <w:r w:rsidR="002F06DF" w:rsidRPr="0099374A">
        <w:t xml:space="preserve"> </w:t>
      </w:r>
      <w:r w:rsidR="00AC3998" w:rsidRPr="0099374A">
        <w:t>Employers</w:t>
      </w:r>
      <w:r w:rsidR="00AC3998" w:rsidRPr="003624E0">
        <w:t xml:space="preserve"> need to </w:t>
      </w:r>
      <w:r w:rsidR="00D54B1F" w:rsidRPr="003624E0">
        <w:t xml:space="preserve">ensure that they </w:t>
      </w:r>
      <w:r w:rsidR="00AC3998" w:rsidRPr="003624E0">
        <w:t>understand</w:t>
      </w:r>
      <w:r w:rsidR="00D54B1F" w:rsidRPr="003624E0">
        <w:t xml:space="preserve"> all</w:t>
      </w:r>
      <w:r w:rsidR="00B929A8" w:rsidRPr="003624E0">
        <w:t xml:space="preserve"> of their obligations </w:t>
      </w:r>
      <w:r w:rsidR="00A163F9" w:rsidRPr="003624E0">
        <w:t>and</w:t>
      </w:r>
      <w:r w:rsidR="000A43B9" w:rsidRPr="003624E0">
        <w:t xml:space="preserve"> </w:t>
      </w:r>
      <w:r w:rsidR="008D27EA" w:rsidRPr="003624E0">
        <w:t xml:space="preserve">are aware of the full range of potential legal consequences </w:t>
      </w:r>
      <w:r w:rsidR="006D4988" w:rsidRPr="003624E0">
        <w:t xml:space="preserve">that may flow </w:t>
      </w:r>
      <w:r w:rsidR="008D27EA" w:rsidRPr="003624E0">
        <w:t xml:space="preserve">from </w:t>
      </w:r>
      <w:r w:rsidR="006D4988" w:rsidRPr="003624E0">
        <w:t xml:space="preserve">a claim of </w:t>
      </w:r>
      <w:r w:rsidR="008D27EA" w:rsidRPr="003624E0">
        <w:t xml:space="preserve">sexual harassment </w:t>
      </w:r>
      <w:r w:rsidR="006D4988" w:rsidRPr="003624E0">
        <w:t>in the workplace</w:t>
      </w:r>
      <w:r w:rsidR="008D27EA" w:rsidRPr="003624E0">
        <w:t xml:space="preserve">.  </w:t>
      </w:r>
      <w:r w:rsidR="00A163F9" w:rsidRPr="003624E0">
        <w:t xml:space="preserve"> </w:t>
      </w:r>
      <w:r w:rsidR="00D54B1F" w:rsidRPr="003624E0">
        <w:t xml:space="preserve"> </w:t>
      </w:r>
      <w:r w:rsidR="00AC3998" w:rsidRPr="003624E0">
        <w:t xml:space="preserve">  </w:t>
      </w:r>
      <w:r w:rsidR="00AB763D" w:rsidRPr="003624E0">
        <w:t xml:space="preserve">  </w:t>
      </w:r>
    </w:p>
    <w:p w:rsidR="00BB6974" w:rsidRPr="003624E0" w:rsidRDefault="00BB6974" w:rsidP="00BB6974">
      <w:pPr>
        <w:pStyle w:val="Heading2"/>
        <w:numPr>
          <w:ilvl w:val="0"/>
          <w:numId w:val="0"/>
        </w:numPr>
        <w:ind w:left="567" w:hanging="567"/>
      </w:pPr>
      <w:bookmarkStart w:id="39" w:name="_Toc362446689"/>
      <w:bookmarkStart w:id="40" w:name="_Toc388023529"/>
      <w:proofErr w:type="gramStart"/>
      <w:r w:rsidRPr="003624E0">
        <w:t>4.1  Criminal</w:t>
      </w:r>
      <w:proofErr w:type="gramEnd"/>
      <w:r w:rsidRPr="003624E0">
        <w:t xml:space="preserve"> offences related to sexual harassment</w:t>
      </w:r>
      <w:bookmarkEnd w:id="39"/>
      <w:bookmarkEnd w:id="40"/>
    </w:p>
    <w:p w:rsidR="00BB6974" w:rsidRPr="003624E0" w:rsidRDefault="00BB6974" w:rsidP="00BB6974">
      <w:pPr>
        <w:pStyle w:val="SubmissionNormal"/>
        <w:numPr>
          <w:ilvl w:val="0"/>
          <w:numId w:val="0"/>
        </w:numPr>
      </w:pPr>
      <w:r w:rsidRPr="003624E0">
        <w:t>In addition to</w:t>
      </w:r>
      <w:r w:rsidR="003C3C0A">
        <w:t xml:space="preserve"> </w:t>
      </w:r>
      <w:r w:rsidR="00137103">
        <w:t xml:space="preserve">being unlawful under the Sex </w:t>
      </w:r>
      <w:r w:rsidR="00E244EC">
        <w:t>D</w:t>
      </w:r>
      <w:r w:rsidR="00137103">
        <w:t>iscrimination Act</w:t>
      </w:r>
      <w:r w:rsidRPr="003624E0">
        <w:t>, some types of sexual harassment may also be offences under criminal law.  Relevant criminal offences include: physical assault; indecent exposure</w:t>
      </w:r>
      <w:r w:rsidR="006F1AC0">
        <w:t xml:space="preserve"> and</w:t>
      </w:r>
      <w:r w:rsidRPr="003624E0">
        <w:t xml:space="preserve"> sexual assault</w:t>
      </w:r>
      <w:r w:rsidR="006F1AC0">
        <w:t>.</w:t>
      </w:r>
      <w:r w:rsidRPr="003624E0">
        <w:t xml:space="preserve"> </w:t>
      </w:r>
    </w:p>
    <w:p w:rsidR="00BB6974" w:rsidRPr="003624E0" w:rsidRDefault="00BB6974" w:rsidP="00BB6974">
      <w:pPr>
        <w:pStyle w:val="SubmissionNormal"/>
        <w:numPr>
          <w:ilvl w:val="0"/>
          <w:numId w:val="0"/>
        </w:numPr>
      </w:pPr>
      <w:r w:rsidRPr="003624E0">
        <w:t>A criminal offence is prosecuted under the relevant state criminal law and not under the Sex Discrimination Act.  The alleged perpetrator is prosecuted by the Crown, who must prove that the alleged perpetrator committed the alleged offence ‘beyond reasonable doubt’.  This is a higher standard of proof than in civil proceedings.</w:t>
      </w:r>
    </w:p>
    <w:p w:rsidR="00F86B5F" w:rsidRPr="003624E0" w:rsidRDefault="00BB6974" w:rsidP="00F86B5F">
      <w:pPr>
        <w:pStyle w:val="SubmissionNormal"/>
        <w:numPr>
          <w:ilvl w:val="0"/>
          <w:numId w:val="0"/>
        </w:numPr>
        <w:rPr>
          <w:szCs w:val="22"/>
        </w:rPr>
      </w:pPr>
      <w:r w:rsidRPr="003624E0">
        <w:t xml:space="preserve">Employers should be aware that </w:t>
      </w:r>
      <w:r w:rsidRPr="003624E0">
        <w:rPr>
          <w:szCs w:val="22"/>
        </w:rPr>
        <w:t xml:space="preserve">a single incident of sexual harassment in the workplace may give rise to both civil and criminal proceedings.  </w:t>
      </w:r>
      <w:r w:rsidR="00F86B5F" w:rsidRPr="003624E0">
        <w:rPr>
          <w:szCs w:val="22"/>
        </w:rPr>
        <w:t xml:space="preserve">Allegations of criminal conduct do not </w:t>
      </w:r>
      <w:r w:rsidR="00C860C8" w:rsidRPr="003624E0">
        <w:rPr>
          <w:szCs w:val="22"/>
        </w:rPr>
        <w:t xml:space="preserve">prevent </w:t>
      </w:r>
      <w:r w:rsidR="00F86B5F" w:rsidRPr="003624E0">
        <w:rPr>
          <w:szCs w:val="22"/>
        </w:rPr>
        <w:t xml:space="preserve">the Commission from considering sexual harassment complaints under the Sex Discrimination Act. </w:t>
      </w:r>
    </w:p>
    <w:p w:rsidR="00BB6974" w:rsidRPr="003624E0" w:rsidRDefault="00BB6974" w:rsidP="00BB6974">
      <w:pPr>
        <w:pStyle w:val="SubmissionNormal"/>
        <w:numPr>
          <w:ilvl w:val="0"/>
          <w:numId w:val="0"/>
        </w:numPr>
      </w:pPr>
      <w:r w:rsidRPr="003624E0">
        <w:t>If employers suspect that a criminal offence has occurred, they should:</w:t>
      </w:r>
    </w:p>
    <w:p w:rsidR="00BB6974" w:rsidRPr="003624E0" w:rsidRDefault="00BB6974" w:rsidP="00BB6974">
      <w:pPr>
        <w:pStyle w:val="SubmissionNormal"/>
        <w:numPr>
          <w:ilvl w:val="0"/>
          <w:numId w:val="23"/>
        </w:numPr>
        <w:ind w:left="567" w:hanging="567"/>
      </w:pPr>
      <w:r w:rsidRPr="003624E0">
        <w:t>advise the target to report the incident to the police as soon as possible</w:t>
      </w:r>
    </w:p>
    <w:p w:rsidR="00BB6974" w:rsidRPr="003624E0" w:rsidRDefault="00BB6974" w:rsidP="00BB6974">
      <w:pPr>
        <w:pStyle w:val="SubmissionNormal"/>
        <w:numPr>
          <w:ilvl w:val="0"/>
          <w:numId w:val="23"/>
        </w:numPr>
        <w:ind w:left="567" w:hanging="567"/>
      </w:pPr>
      <w:r w:rsidRPr="003624E0">
        <w:t>provide the target with the necessary support and assistance</w:t>
      </w:r>
    </w:p>
    <w:p w:rsidR="00BB6974" w:rsidRPr="003624E0" w:rsidRDefault="00BB6974" w:rsidP="00BB6974">
      <w:pPr>
        <w:pStyle w:val="SubmissionNormal"/>
        <w:numPr>
          <w:ilvl w:val="0"/>
          <w:numId w:val="23"/>
        </w:numPr>
        <w:ind w:left="567" w:hanging="567"/>
      </w:pPr>
      <w:proofErr w:type="gramStart"/>
      <w:r w:rsidRPr="003624E0">
        <w:t>proceed</w:t>
      </w:r>
      <w:proofErr w:type="gramEnd"/>
      <w:r w:rsidRPr="003624E0">
        <w:t xml:space="preserve"> with an internal investigation into the alleged sexual harassment, even if the police decide not to pursue the allegations.</w:t>
      </w:r>
    </w:p>
    <w:p w:rsidR="00C1563D" w:rsidRPr="003624E0" w:rsidRDefault="007E220D" w:rsidP="007E220D">
      <w:pPr>
        <w:pStyle w:val="Heading2"/>
        <w:numPr>
          <w:ilvl w:val="0"/>
          <w:numId w:val="0"/>
        </w:numPr>
        <w:ind w:left="851" w:hanging="851"/>
      </w:pPr>
      <w:bookmarkStart w:id="41" w:name="_Toc362446690"/>
      <w:bookmarkStart w:id="42" w:name="_Toc388023530"/>
      <w:proofErr w:type="gramStart"/>
      <w:r w:rsidRPr="003624E0">
        <w:t>4.</w:t>
      </w:r>
      <w:r w:rsidR="00BB6974" w:rsidRPr="003624E0">
        <w:t>2</w:t>
      </w:r>
      <w:r w:rsidRPr="003624E0">
        <w:t xml:space="preserve">  </w:t>
      </w:r>
      <w:r w:rsidR="00AF4C75">
        <w:t>General</w:t>
      </w:r>
      <w:proofErr w:type="gramEnd"/>
      <w:r w:rsidR="00AF4C75">
        <w:t xml:space="preserve"> protections claim based on exercise of a workplace right</w:t>
      </w:r>
      <w:bookmarkEnd w:id="41"/>
      <w:bookmarkEnd w:id="42"/>
    </w:p>
    <w:p w:rsidR="00ED425A" w:rsidRDefault="001018BC" w:rsidP="00292127">
      <w:pPr>
        <w:rPr>
          <w:rFonts w:cs="Arial"/>
        </w:rPr>
      </w:pPr>
      <w:r>
        <w:rPr>
          <w:rFonts w:cs="Arial"/>
        </w:rPr>
        <w:t xml:space="preserve">An action similar to a victimisation action may be taken under the </w:t>
      </w:r>
      <w:r w:rsidR="00B05A2B" w:rsidRPr="00E86E71">
        <w:rPr>
          <w:rFonts w:cs="Arial"/>
          <w:i/>
        </w:rPr>
        <w:t>Fair Work Act 2009</w:t>
      </w:r>
      <w:r>
        <w:rPr>
          <w:rFonts w:cs="Arial"/>
        </w:rPr>
        <w:t xml:space="preserve"> (</w:t>
      </w:r>
      <w:proofErr w:type="spellStart"/>
      <w:r>
        <w:rPr>
          <w:rFonts w:cs="Arial"/>
        </w:rPr>
        <w:t>Cth</w:t>
      </w:r>
      <w:proofErr w:type="spellEnd"/>
      <w:r>
        <w:rPr>
          <w:rFonts w:cs="Arial"/>
        </w:rPr>
        <w:t>). Under the Fair Work Act</w:t>
      </w:r>
      <w:r w:rsidR="00A16C47">
        <w:rPr>
          <w:rFonts w:cs="Arial"/>
        </w:rPr>
        <w:t>,</w:t>
      </w:r>
      <w:r>
        <w:rPr>
          <w:rFonts w:cs="Arial"/>
        </w:rPr>
        <w:t xml:space="preserve"> a person must not take ‘adverse action’ against another person</w:t>
      </w:r>
      <w:r w:rsidR="000678D7">
        <w:rPr>
          <w:rFonts w:cs="Arial"/>
        </w:rPr>
        <w:t xml:space="preserve"> </w:t>
      </w:r>
      <w:r w:rsidR="00AB0910">
        <w:rPr>
          <w:rFonts w:cs="Arial"/>
        </w:rPr>
        <w:t xml:space="preserve">to prevent that other person from exercising a ‘workplace right’, or </w:t>
      </w:r>
      <w:r w:rsidR="000678D7">
        <w:rPr>
          <w:rFonts w:cs="Arial"/>
        </w:rPr>
        <w:t xml:space="preserve">because </w:t>
      </w:r>
      <w:r w:rsidR="00AB0910">
        <w:rPr>
          <w:rFonts w:cs="Arial"/>
        </w:rPr>
        <w:t xml:space="preserve">that </w:t>
      </w:r>
      <w:r w:rsidR="000678D7">
        <w:rPr>
          <w:rFonts w:cs="Arial"/>
        </w:rPr>
        <w:t>other person</w:t>
      </w:r>
      <w:r w:rsidR="00ED425A">
        <w:rPr>
          <w:rFonts w:cs="Arial"/>
        </w:rPr>
        <w:t>:</w:t>
      </w:r>
      <w:r w:rsidR="000678D7">
        <w:rPr>
          <w:rFonts w:cs="Arial"/>
        </w:rPr>
        <w:t xml:space="preserve"> </w:t>
      </w:r>
    </w:p>
    <w:p w:rsidR="00ED425A" w:rsidRPr="00BB5633" w:rsidRDefault="000678D7" w:rsidP="00BB5633">
      <w:pPr>
        <w:pStyle w:val="ListParagraph"/>
        <w:numPr>
          <w:ilvl w:val="0"/>
          <w:numId w:val="66"/>
        </w:numPr>
        <w:rPr>
          <w:rFonts w:cs="Arial"/>
        </w:rPr>
      </w:pPr>
      <w:r w:rsidRPr="00C75E0F">
        <w:rPr>
          <w:rFonts w:cs="Arial"/>
        </w:rPr>
        <w:t>has a ‘workplace right’</w:t>
      </w:r>
      <w:r w:rsidR="00ED425A" w:rsidRPr="00C75E0F">
        <w:rPr>
          <w:rFonts w:cs="Arial"/>
        </w:rPr>
        <w:t>;</w:t>
      </w:r>
      <w:r w:rsidRPr="00BB5633">
        <w:rPr>
          <w:rFonts w:cs="Arial"/>
        </w:rPr>
        <w:t xml:space="preserve"> </w:t>
      </w:r>
    </w:p>
    <w:p w:rsidR="00ED425A" w:rsidRPr="00BB5633" w:rsidRDefault="000678D7" w:rsidP="00BB5633">
      <w:pPr>
        <w:pStyle w:val="ListParagraph"/>
        <w:numPr>
          <w:ilvl w:val="0"/>
          <w:numId w:val="66"/>
        </w:numPr>
        <w:rPr>
          <w:rFonts w:cs="Arial"/>
        </w:rPr>
      </w:pPr>
      <w:r w:rsidRPr="00BB5633">
        <w:rPr>
          <w:rFonts w:cs="Arial"/>
        </w:rPr>
        <w:t>has or has not exercised a workplace right</w:t>
      </w:r>
      <w:r w:rsidR="00ED425A" w:rsidRPr="00BB5633">
        <w:rPr>
          <w:rFonts w:cs="Arial"/>
        </w:rPr>
        <w:t>;</w:t>
      </w:r>
      <w:r w:rsidRPr="00BB5633">
        <w:rPr>
          <w:rFonts w:cs="Arial"/>
        </w:rPr>
        <w:t xml:space="preserve"> or </w:t>
      </w:r>
    </w:p>
    <w:p w:rsidR="00331575" w:rsidRPr="00C75E0F" w:rsidRDefault="000678D7" w:rsidP="00BB5633">
      <w:pPr>
        <w:pStyle w:val="ListParagraph"/>
        <w:numPr>
          <w:ilvl w:val="0"/>
          <w:numId w:val="66"/>
        </w:numPr>
        <w:rPr>
          <w:rFonts w:cs="Arial"/>
        </w:rPr>
      </w:pPr>
      <w:proofErr w:type="gramStart"/>
      <w:r w:rsidRPr="00BB5633">
        <w:rPr>
          <w:rFonts w:cs="Arial"/>
        </w:rPr>
        <w:t>proposes</w:t>
      </w:r>
      <w:proofErr w:type="gramEnd"/>
      <w:r w:rsidRPr="00BB5633">
        <w:rPr>
          <w:rFonts w:cs="Arial"/>
        </w:rPr>
        <w:t xml:space="preserve"> or proposes not to exercise a workplace right</w:t>
      </w:r>
      <w:r w:rsidR="00AB0910" w:rsidRPr="00BB5633">
        <w:rPr>
          <w:rFonts w:cs="Arial"/>
        </w:rPr>
        <w:t>.</w:t>
      </w:r>
      <w:r w:rsidR="00E861DB">
        <w:rPr>
          <w:rStyle w:val="EndnoteReference"/>
          <w:rFonts w:cs="Arial"/>
        </w:rPr>
        <w:endnoteReference w:id="72"/>
      </w:r>
    </w:p>
    <w:p w:rsidR="00CF07F4" w:rsidRDefault="00E861DB" w:rsidP="00292127">
      <w:pPr>
        <w:rPr>
          <w:rFonts w:cs="Arial"/>
        </w:rPr>
      </w:pPr>
      <w:r>
        <w:rPr>
          <w:rFonts w:cs="Arial"/>
        </w:rPr>
        <w:t xml:space="preserve">‘Workplace right’ is broadly defined and would appear to encompass making a complaint of sexual harassment under </w:t>
      </w:r>
      <w:r w:rsidRPr="003B2B48">
        <w:rPr>
          <w:rFonts w:cs="Arial"/>
        </w:rPr>
        <w:t xml:space="preserve">the </w:t>
      </w:r>
      <w:r w:rsidR="00B77866" w:rsidRPr="00A95DB8">
        <w:rPr>
          <w:rFonts w:cs="Arial"/>
        </w:rPr>
        <w:t>Sex Discrimination</w:t>
      </w:r>
      <w:r w:rsidR="005A5C0F" w:rsidRPr="003B2B48">
        <w:rPr>
          <w:rFonts w:cs="Arial"/>
        </w:rPr>
        <w:t xml:space="preserve"> </w:t>
      </w:r>
      <w:r w:rsidRPr="0099374A">
        <w:rPr>
          <w:rFonts w:cs="Arial"/>
        </w:rPr>
        <w:t>Act.</w:t>
      </w:r>
      <w:r w:rsidR="00B62108">
        <w:rPr>
          <w:rFonts w:cs="Arial"/>
        </w:rPr>
        <w:t xml:space="preserve"> </w:t>
      </w:r>
    </w:p>
    <w:p w:rsidR="00D77353" w:rsidRPr="0099374A" w:rsidRDefault="005A5C0F" w:rsidP="00C76B1F">
      <w:r>
        <w:t xml:space="preserve">These claims </w:t>
      </w:r>
      <w:r w:rsidR="00165ED4">
        <w:t xml:space="preserve">are </w:t>
      </w:r>
      <w:r w:rsidR="00EA1FF4">
        <w:t xml:space="preserve">included within the type of claim known as </w:t>
      </w:r>
      <w:r w:rsidR="00DC1A18">
        <w:t xml:space="preserve">‘General Protections’ claims </w:t>
      </w:r>
      <w:r>
        <w:t xml:space="preserve">and </w:t>
      </w:r>
      <w:r w:rsidR="00DC1A18">
        <w:t xml:space="preserve">are considered by the Fair Work Commission. </w:t>
      </w:r>
      <w:r w:rsidR="0003326D" w:rsidRPr="003624E0">
        <w:t xml:space="preserve">Employers should also be aware that </w:t>
      </w:r>
      <w:r w:rsidR="00F70D2F" w:rsidRPr="003624E0">
        <w:t xml:space="preserve">the </w:t>
      </w:r>
      <w:r w:rsidR="0003326D" w:rsidRPr="003624E0">
        <w:t xml:space="preserve">burden </w:t>
      </w:r>
      <w:r w:rsidR="00F70D2F" w:rsidRPr="003624E0">
        <w:t xml:space="preserve">of proof is reversed in </w:t>
      </w:r>
      <w:r w:rsidR="003E6BE4">
        <w:t>general protections</w:t>
      </w:r>
      <w:r w:rsidR="00F70D2F" w:rsidRPr="003624E0">
        <w:t xml:space="preserve"> claims.  This means that </w:t>
      </w:r>
      <w:r w:rsidR="0003326D" w:rsidRPr="003624E0">
        <w:t xml:space="preserve">an </w:t>
      </w:r>
      <w:r w:rsidR="00F70D2F" w:rsidRPr="003624E0">
        <w:t xml:space="preserve">employer must prove that </w:t>
      </w:r>
      <w:r w:rsidR="0003326D" w:rsidRPr="003624E0">
        <w:t xml:space="preserve">the exercise of </w:t>
      </w:r>
      <w:r w:rsidR="00F70D2F" w:rsidRPr="003624E0">
        <w:t>a workplace right</w:t>
      </w:r>
      <w:r w:rsidR="0003326D" w:rsidRPr="003624E0">
        <w:t xml:space="preserve"> by an employee </w:t>
      </w:r>
      <w:r w:rsidR="00F400C5" w:rsidRPr="003624E0">
        <w:t>(</w:t>
      </w:r>
      <w:proofErr w:type="spellStart"/>
      <w:r w:rsidR="00F400C5" w:rsidRPr="003624E0">
        <w:t>eg</w:t>
      </w:r>
      <w:proofErr w:type="spellEnd"/>
      <w:r w:rsidR="00F400C5" w:rsidRPr="003624E0">
        <w:t xml:space="preserve"> making a sexual harassment complaint) </w:t>
      </w:r>
      <w:r w:rsidR="0003326D" w:rsidRPr="003624E0">
        <w:t xml:space="preserve">was not the reason that the employer </w:t>
      </w:r>
      <w:r w:rsidR="0003326D" w:rsidRPr="003B2B48">
        <w:t>took the action in question</w:t>
      </w:r>
      <w:r w:rsidR="00F70D2F" w:rsidRPr="0099374A">
        <w:t xml:space="preserve">. </w:t>
      </w:r>
    </w:p>
    <w:p w:rsidR="00F70D2F" w:rsidRPr="003624E0" w:rsidRDefault="0099374A" w:rsidP="00C76B1F">
      <w:r w:rsidRPr="00A95DB8">
        <w:t>Generally, c</w:t>
      </w:r>
      <w:r w:rsidR="007A62A1" w:rsidRPr="00A95DB8">
        <w:t>laims c</w:t>
      </w:r>
      <w:r w:rsidR="009B3F69" w:rsidRPr="00A95DB8">
        <w:t>annot be made simultaneously u</w:t>
      </w:r>
      <w:r w:rsidR="007A62A1" w:rsidRPr="00A95DB8">
        <w:t>n</w:t>
      </w:r>
      <w:r w:rsidR="009B3F69" w:rsidRPr="00A95DB8">
        <w:t>d</w:t>
      </w:r>
      <w:r w:rsidR="007A62A1" w:rsidRPr="00A95DB8">
        <w:t xml:space="preserve">er the </w:t>
      </w:r>
      <w:r w:rsidR="009B3F69" w:rsidRPr="00A95DB8">
        <w:t>F</w:t>
      </w:r>
      <w:r w:rsidR="007A62A1" w:rsidRPr="00A95DB8">
        <w:t>air Work Act</w:t>
      </w:r>
      <w:r w:rsidR="009B3F69" w:rsidRPr="00A95DB8">
        <w:t xml:space="preserve"> a</w:t>
      </w:r>
      <w:r w:rsidR="007A62A1" w:rsidRPr="00A95DB8">
        <w:t>n</w:t>
      </w:r>
      <w:r w:rsidR="009B3F69" w:rsidRPr="00A95DB8">
        <w:t>d</w:t>
      </w:r>
      <w:r w:rsidR="007A62A1" w:rsidRPr="00A95DB8">
        <w:t xml:space="preserve"> the S</w:t>
      </w:r>
      <w:r w:rsidR="009B3F69" w:rsidRPr="00A95DB8">
        <w:t>e</w:t>
      </w:r>
      <w:r w:rsidR="007A62A1" w:rsidRPr="00A95DB8">
        <w:t xml:space="preserve">x Discrimination Act.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7A1D1D" w:rsidRPr="003624E0">
        <w:trPr>
          <w:trHeight w:val="503"/>
        </w:trPr>
        <w:tc>
          <w:tcPr>
            <w:tcW w:w="9071" w:type="dxa"/>
            <w:shd w:val="clear" w:color="auto" w:fill="DAEEF3" w:themeFill="accent5" w:themeFillTint="33"/>
            <w:tcMar>
              <w:top w:w="227" w:type="dxa"/>
              <w:left w:w="227" w:type="dxa"/>
              <w:bottom w:w="255" w:type="dxa"/>
              <w:right w:w="227" w:type="dxa"/>
            </w:tcMar>
          </w:tcPr>
          <w:p w:rsidR="007A1D1D" w:rsidRPr="003624E0" w:rsidRDefault="007A1D1D" w:rsidP="00616F11">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sidRPr="003624E0">
              <w:rPr>
                <w:rFonts w:cs="Arial"/>
                <w:b/>
                <w:bCs/>
                <w:color w:val="000000"/>
                <w:szCs w:val="22"/>
              </w:rPr>
              <w:t>Further information</w:t>
            </w:r>
          </w:p>
          <w:p w:rsidR="00EE1039" w:rsidRPr="003624E0" w:rsidRDefault="007A1D1D" w:rsidP="00025992">
            <w:pPr>
              <w:rPr>
                <w:sz w:val="22"/>
                <w:szCs w:val="22"/>
              </w:rPr>
            </w:pPr>
            <w:r w:rsidRPr="003624E0">
              <w:rPr>
                <w:sz w:val="22"/>
                <w:szCs w:val="22"/>
              </w:rPr>
              <w:t xml:space="preserve">For further information about what to do if an employee makes </w:t>
            </w:r>
            <w:r w:rsidR="00731595">
              <w:rPr>
                <w:sz w:val="22"/>
                <w:szCs w:val="22"/>
              </w:rPr>
              <w:t>a General Protections</w:t>
            </w:r>
            <w:r w:rsidRPr="003624E0">
              <w:rPr>
                <w:sz w:val="22"/>
                <w:szCs w:val="22"/>
              </w:rPr>
              <w:t xml:space="preserve"> </w:t>
            </w:r>
            <w:r w:rsidR="00025992" w:rsidRPr="003624E0">
              <w:rPr>
                <w:sz w:val="22"/>
                <w:szCs w:val="22"/>
              </w:rPr>
              <w:t>claim</w:t>
            </w:r>
            <w:r w:rsidRPr="003624E0">
              <w:rPr>
                <w:sz w:val="22"/>
                <w:szCs w:val="22"/>
              </w:rPr>
              <w:t>, see</w:t>
            </w:r>
            <w:r w:rsidR="00B16BE2" w:rsidRPr="003624E0">
              <w:rPr>
                <w:sz w:val="22"/>
                <w:szCs w:val="22"/>
              </w:rPr>
              <w:t>:</w:t>
            </w:r>
            <w:r w:rsidRPr="003624E0">
              <w:rPr>
                <w:sz w:val="22"/>
                <w:szCs w:val="22"/>
              </w:rPr>
              <w:t xml:space="preserve"> </w:t>
            </w:r>
          </w:p>
          <w:p w:rsidR="007A1D1D" w:rsidRPr="003624E0" w:rsidRDefault="00EE1039" w:rsidP="007F2316">
            <w:pPr>
              <w:pStyle w:val="ListParagraph"/>
              <w:numPr>
                <w:ilvl w:val="0"/>
                <w:numId w:val="37"/>
              </w:numPr>
              <w:ind w:left="573" w:hanging="573"/>
              <w:contextualSpacing w:val="0"/>
              <w:rPr>
                <w:sz w:val="22"/>
              </w:rPr>
            </w:pPr>
            <w:r w:rsidRPr="003624E0">
              <w:rPr>
                <w:sz w:val="22"/>
              </w:rPr>
              <w:t>Fair Work Ombudsman</w:t>
            </w:r>
            <w:r w:rsidR="00904F71" w:rsidRPr="003624E0">
              <w:rPr>
                <w:sz w:val="22"/>
              </w:rPr>
              <w:t xml:space="preserve">, </w:t>
            </w:r>
            <w:r w:rsidR="00904F71" w:rsidRPr="003624E0">
              <w:rPr>
                <w:i/>
                <w:sz w:val="22"/>
              </w:rPr>
              <w:t>General Workplace Protections Factsheet</w:t>
            </w:r>
            <w:r w:rsidR="00904F71" w:rsidRPr="003624E0">
              <w:rPr>
                <w:sz w:val="22"/>
              </w:rPr>
              <w:t xml:space="preserve"> (2013)</w:t>
            </w:r>
            <w:r w:rsidRPr="003624E0">
              <w:rPr>
                <w:sz w:val="22"/>
              </w:rPr>
              <w:br/>
            </w:r>
            <w:hyperlink r:id="rId23" w:history="1">
              <w:r w:rsidR="00A30449" w:rsidRPr="003624E0">
                <w:rPr>
                  <w:rStyle w:val="Hyperlink"/>
                  <w:sz w:val="22"/>
                </w:rPr>
                <w:t>www.fairwork.gov.au/complaints/someones-made-a-complaint-about-my-business/pages/default.aspx</w:t>
              </w:r>
            </w:hyperlink>
          </w:p>
          <w:p w:rsidR="001A6E48" w:rsidRPr="003624E0" w:rsidRDefault="00EE1039" w:rsidP="007F2316">
            <w:pPr>
              <w:pStyle w:val="ListParagraph"/>
              <w:numPr>
                <w:ilvl w:val="0"/>
                <w:numId w:val="37"/>
              </w:numPr>
              <w:ind w:left="573" w:hanging="573"/>
              <w:contextualSpacing w:val="0"/>
              <w:rPr>
                <w:sz w:val="22"/>
              </w:rPr>
            </w:pPr>
            <w:r w:rsidRPr="003624E0">
              <w:rPr>
                <w:sz w:val="22"/>
              </w:rPr>
              <w:t>Fair Work Commission</w:t>
            </w:r>
            <w:r w:rsidR="00904F71" w:rsidRPr="003624E0">
              <w:rPr>
                <w:sz w:val="22"/>
              </w:rPr>
              <w:t xml:space="preserve">, </w:t>
            </w:r>
            <w:r w:rsidR="00904F71" w:rsidRPr="003624E0">
              <w:rPr>
                <w:i/>
                <w:sz w:val="22"/>
              </w:rPr>
              <w:t xml:space="preserve">General Protections Guide </w:t>
            </w:r>
            <w:r w:rsidR="00904F71" w:rsidRPr="003624E0">
              <w:rPr>
                <w:sz w:val="22"/>
              </w:rPr>
              <w:t>(2013</w:t>
            </w:r>
            <w:proofErr w:type="gramStart"/>
            <w:r w:rsidR="00904F71" w:rsidRPr="003624E0">
              <w:rPr>
                <w:sz w:val="22"/>
              </w:rPr>
              <w:t>)</w:t>
            </w:r>
            <w:proofErr w:type="gramEnd"/>
            <w:r w:rsidRPr="003624E0">
              <w:rPr>
                <w:sz w:val="22"/>
              </w:rPr>
              <w:br/>
            </w:r>
            <w:hyperlink r:id="rId24" w:history="1">
              <w:r w:rsidR="00A30449" w:rsidRPr="003624E0">
                <w:rPr>
                  <w:rStyle w:val="Hyperlink"/>
                  <w:sz w:val="22"/>
                </w:rPr>
                <w:t>www.fwc.gov.au/documents/factsheets/GeneralProtectionsGuide.pdf</w:t>
              </w:r>
            </w:hyperlink>
            <w:r w:rsidRPr="003624E0">
              <w:rPr>
                <w:sz w:val="22"/>
              </w:rPr>
              <w:t>.</w:t>
            </w:r>
            <w:r w:rsidR="001A6E48" w:rsidRPr="003624E0">
              <w:rPr>
                <w:sz w:val="22"/>
              </w:rPr>
              <w:t xml:space="preserve"> </w:t>
            </w:r>
          </w:p>
        </w:tc>
      </w:tr>
    </w:tbl>
    <w:p w:rsidR="00780F2E" w:rsidRPr="003624E0" w:rsidRDefault="007E220D" w:rsidP="007E220D">
      <w:pPr>
        <w:pStyle w:val="Heading2"/>
        <w:numPr>
          <w:ilvl w:val="0"/>
          <w:numId w:val="0"/>
        </w:numPr>
        <w:ind w:left="851" w:hanging="851"/>
      </w:pPr>
      <w:bookmarkStart w:id="43" w:name="_Toc362446691"/>
      <w:bookmarkStart w:id="44" w:name="_Toc388023531"/>
      <w:proofErr w:type="gramStart"/>
      <w:r w:rsidRPr="003624E0">
        <w:t>4.</w:t>
      </w:r>
      <w:r w:rsidR="00BB6974" w:rsidRPr="003624E0">
        <w:t>3</w:t>
      </w:r>
      <w:r w:rsidRPr="003624E0">
        <w:t xml:space="preserve">  </w:t>
      </w:r>
      <w:r w:rsidR="00AD12D8" w:rsidRPr="003624E0">
        <w:t>Unfair</w:t>
      </w:r>
      <w:proofErr w:type="gramEnd"/>
      <w:r w:rsidR="00AD12D8" w:rsidRPr="003624E0">
        <w:t xml:space="preserve"> dismissal</w:t>
      </w:r>
      <w:bookmarkEnd w:id="43"/>
      <w:bookmarkEnd w:id="44"/>
    </w:p>
    <w:p w:rsidR="00EF62DA" w:rsidRPr="003624E0" w:rsidRDefault="00B575E5" w:rsidP="00EF62DA">
      <w:r>
        <w:t>Where an employer is a national system employer</w:t>
      </w:r>
      <w:r w:rsidR="00673853">
        <w:rPr>
          <w:rStyle w:val="EndnoteReference"/>
        </w:rPr>
        <w:endnoteReference w:id="73"/>
      </w:r>
      <w:r w:rsidR="0055363A">
        <w:t xml:space="preserve"> </w:t>
      </w:r>
      <w:r w:rsidR="00EF62DA">
        <w:t>and</w:t>
      </w:r>
      <w:r w:rsidR="00EF62DA" w:rsidRPr="003624E0">
        <w:t xml:space="preserve"> decides to dismiss an employee </w:t>
      </w:r>
      <w:r w:rsidR="00EF62DA">
        <w:t>because it is satisfied that he or she engaged in sexual harassment,</w:t>
      </w:r>
      <w:r w:rsidR="00EF62DA" w:rsidRPr="003624E0">
        <w:t xml:space="preserve"> </w:t>
      </w:r>
      <w:r w:rsidR="00EF62DA">
        <w:t>the employer</w:t>
      </w:r>
      <w:r w:rsidR="00EF62DA" w:rsidRPr="003624E0">
        <w:t xml:space="preserve"> must ensure that any subsequent action complies with: </w:t>
      </w:r>
    </w:p>
    <w:p w:rsidR="00EF62DA" w:rsidRPr="003624E0" w:rsidRDefault="00EF62DA" w:rsidP="00EF62DA">
      <w:pPr>
        <w:pStyle w:val="ListParagraph"/>
        <w:numPr>
          <w:ilvl w:val="0"/>
          <w:numId w:val="36"/>
        </w:numPr>
        <w:ind w:left="567" w:hanging="567"/>
        <w:contextualSpacing w:val="0"/>
      </w:pPr>
      <w:r w:rsidRPr="003624E0">
        <w:t>the Fair Work Act (or the state or territory equivalent) and any relevant award or enterprise agreement</w:t>
      </w:r>
      <w:r>
        <w:t>; and</w:t>
      </w:r>
    </w:p>
    <w:p w:rsidR="00EF62DA" w:rsidRPr="003624E0" w:rsidRDefault="00EF62DA" w:rsidP="00EF62DA">
      <w:pPr>
        <w:pStyle w:val="ListParagraph"/>
        <w:numPr>
          <w:ilvl w:val="0"/>
          <w:numId w:val="36"/>
        </w:numPr>
        <w:ind w:left="567" w:hanging="567"/>
        <w:contextualSpacing w:val="0"/>
      </w:pPr>
      <w:proofErr w:type="gramStart"/>
      <w:r w:rsidRPr="003624E0">
        <w:t>the</w:t>
      </w:r>
      <w:proofErr w:type="gramEnd"/>
      <w:r w:rsidRPr="003624E0">
        <w:t xml:space="preserve"> Small Business Fair Dismissal Code, in the case of a small business (</w:t>
      </w:r>
      <w:proofErr w:type="spellStart"/>
      <w:r w:rsidRPr="003624E0">
        <w:t>ie</w:t>
      </w:r>
      <w:proofErr w:type="spellEnd"/>
      <w:r w:rsidRPr="003624E0">
        <w:t xml:space="preserve"> a business with fewer than 15 employees).  </w:t>
      </w:r>
    </w:p>
    <w:p w:rsidR="00EF62DA" w:rsidRPr="003624E0" w:rsidRDefault="00EF62DA" w:rsidP="00EF62DA">
      <w:r w:rsidRPr="003624E0">
        <w:t>Failure to comply with the instruments above may give rise to a claim for unfair dismissal.  The term ‘unfair dismissal’ refers to a termination of employment that is harsh, unjust or unreasonable</w:t>
      </w:r>
      <w:r>
        <w:t>, is not consistent with the Small Business Unfair Dismissal Code (if applicable), and is not a genuine redundancy.</w:t>
      </w:r>
      <w:r>
        <w:rPr>
          <w:rStyle w:val="EndnoteReference"/>
        </w:rPr>
        <w:endnoteReference w:id="74"/>
      </w:r>
    </w:p>
    <w:p w:rsidR="00EF62DA" w:rsidRDefault="00EF62DA" w:rsidP="00EF62DA"/>
    <w:p w:rsidR="00753021" w:rsidRDefault="00753021" w:rsidP="00A95DB8">
      <w:pPr>
        <w:widowControl w:val="0"/>
        <w:shd w:val="clear" w:color="auto" w:fill="DAEEF3" w:themeFill="accent5" w:themeFillTint="33"/>
        <w:tabs>
          <w:tab w:val="left" w:pos="3533"/>
          <w:tab w:val="center" w:pos="4308"/>
        </w:tabs>
        <w:suppressAutoHyphens/>
        <w:autoSpaceDE w:val="0"/>
        <w:autoSpaceDN w:val="0"/>
        <w:adjustRightInd w:val="0"/>
        <w:spacing w:before="170" w:after="0"/>
        <w:textAlignment w:val="center"/>
        <w:rPr>
          <w:rFonts w:cs="Arial"/>
          <w:b/>
          <w:bCs/>
          <w:color w:val="000000"/>
          <w:szCs w:val="22"/>
        </w:rPr>
      </w:pPr>
    </w:p>
    <w:p w:rsidR="00753021" w:rsidRPr="003624E0" w:rsidRDefault="00753021" w:rsidP="00A95DB8">
      <w:pPr>
        <w:widowControl w:val="0"/>
        <w:shd w:val="clear" w:color="auto" w:fill="DAEEF3" w:themeFill="accent5" w:themeFillTint="33"/>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Pr>
          <w:rFonts w:cs="Arial"/>
          <w:b/>
          <w:bCs/>
          <w:color w:val="000000"/>
          <w:szCs w:val="22"/>
        </w:rPr>
        <w:t>National System Employer</w:t>
      </w:r>
    </w:p>
    <w:p w:rsidR="00753021" w:rsidRDefault="00753021" w:rsidP="00A95DB8">
      <w:pPr>
        <w:shd w:val="clear" w:color="auto" w:fill="DAEEF3" w:themeFill="accent5" w:themeFillTint="33"/>
      </w:pPr>
      <w:r>
        <w:rPr>
          <w:sz w:val="22"/>
        </w:rPr>
        <w:t xml:space="preserve">A national system employer is a </w:t>
      </w:r>
      <w:r>
        <w:t xml:space="preserve">constitutional corporation, the Commonwealth, or a Commonwealth authority </w:t>
      </w:r>
      <w:proofErr w:type="gramStart"/>
      <w:r>
        <w:t>which  employs</w:t>
      </w:r>
      <w:proofErr w:type="gramEnd"/>
      <w:r>
        <w:t xml:space="preserve"> staff. </w:t>
      </w:r>
    </w:p>
    <w:p w:rsidR="00753021" w:rsidRDefault="00753021" w:rsidP="00A95DB8">
      <w:pPr>
        <w:shd w:val="clear" w:color="auto" w:fill="DAEEF3" w:themeFill="accent5" w:themeFillTint="33"/>
      </w:pPr>
      <w:r>
        <w:t>The definition also includes a person who, in connection with constitutional trade or commerce, employs staff to do particular roles such as flight crew, maritime officer or waterside worker.</w:t>
      </w:r>
    </w:p>
    <w:p w:rsidR="00753021" w:rsidRDefault="00753021" w:rsidP="00A95DB8">
      <w:pPr>
        <w:shd w:val="clear" w:color="auto" w:fill="DAEEF3" w:themeFill="accent5" w:themeFillTint="33"/>
      </w:pPr>
    </w:p>
    <w:p w:rsidR="00753021" w:rsidRPr="003624E0" w:rsidRDefault="00753021" w:rsidP="00EF62DA"/>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8722A8" w:rsidRPr="003624E0">
        <w:trPr>
          <w:trHeight w:val="503"/>
        </w:trPr>
        <w:tc>
          <w:tcPr>
            <w:tcW w:w="9071" w:type="dxa"/>
            <w:shd w:val="clear" w:color="0078C1" w:fill="C6D9F1" w:themeFill="text2" w:themeFillTint="33"/>
            <w:tcMar>
              <w:top w:w="227" w:type="dxa"/>
              <w:left w:w="227" w:type="dxa"/>
              <w:bottom w:w="255" w:type="dxa"/>
              <w:right w:w="227" w:type="dxa"/>
            </w:tcMar>
          </w:tcPr>
          <w:p w:rsidR="008722A8" w:rsidRPr="003624E0" w:rsidRDefault="00EA3C1D" w:rsidP="00377603">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 w:val="22"/>
                <w:szCs w:val="22"/>
              </w:rPr>
            </w:pPr>
            <w:r>
              <w:rPr>
                <w:rFonts w:cs="Arial"/>
                <w:b/>
                <w:bCs/>
                <w:color w:val="000000"/>
                <w:szCs w:val="22"/>
              </w:rPr>
              <w:t xml:space="preserve">Case study: </w:t>
            </w:r>
            <w:r w:rsidR="008722A8" w:rsidRPr="003624E0">
              <w:rPr>
                <w:rFonts w:cs="Arial"/>
                <w:b/>
                <w:bCs/>
                <w:color w:val="000000"/>
                <w:szCs w:val="22"/>
              </w:rPr>
              <w:t>Unfair dismissal</w:t>
            </w:r>
            <w:r w:rsidR="008722A8" w:rsidRPr="003624E0">
              <w:rPr>
                <w:rStyle w:val="EndnoteReference"/>
                <w:rFonts w:cs="Arial"/>
                <w:bCs/>
                <w:color w:val="000000"/>
                <w:szCs w:val="22"/>
              </w:rPr>
              <w:endnoteReference w:id="75"/>
            </w:r>
          </w:p>
          <w:p w:rsidR="00A567FA" w:rsidRPr="003624E0" w:rsidRDefault="00802BA4" w:rsidP="00A567FA">
            <w:pPr>
              <w:rPr>
                <w:sz w:val="22"/>
              </w:rPr>
            </w:pPr>
            <w:r w:rsidRPr="003624E0">
              <w:rPr>
                <w:sz w:val="22"/>
              </w:rPr>
              <w:t xml:space="preserve">An </w:t>
            </w:r>
            <w:r w:rsidR="008722A8" w:rsidRPr="003624E0">
              <w:rPr>
                <w:sz w:val="22"/>
              </w:rPr>
              <w:t>employee was accused of misconduct</w:t>
            </w:r>
            <w:r w:rsidRPr="003624E0">
              <w:rPr>
                <w:sz w:val="22"/>
              </w:rPr>
              <w:t>,</w:t>
            </w:r>
            <w:r w:rsidR="008722A8" w:rsidRPr="003624E0">
              <w:rPr>
                <w:sz w:val="22"/>
              </w:rPr>
              <w:t xml:space="preserve"> including </w:t>
            </w:r>
            <w:r w:rsidRPr="003624E0">
              <w:rPr>
                <w:sz w:val="22"/>
              </w:rPr>
              <w:t>sexually harassing his</w:t>
            </w:r>
            <w:r w:rsidR="008722A8" w:rsidRPr="003624E0">
              <w:rPr>
                <w:sz w:val="22"/>
              </w:rPr>
              <w:t xml:space="preserve"> </w:t>
            </w:r>
            <w:r w:rsidRPr="003624E0">
              <w:rPr>
                <w:sz w:val="22"/>
              </w:rPr>
              <w:t>co-workers</w:t>
            </w:r>
            <w:r w:rsidR="008722A8" w:rsidRPr="003624E0">
              <w:rPr>
                <w:sz w:val="22"/>
              </w:rPr>
              <w:t xml:space="preserve">. </w:t>
            </w:r>
            <w:r w:rsidR="00910A91" w:rsidRPr="003624E0">
              <w:rPr>
                <w:sz w:val="22"/>
              </w:rPr>
              <w:t xml:space="preserve"> </w:t>
            </w:r>
            <w:r w:rsidR="00A65D6B" w:rsidRPr="003624E0">
              <w:rPr>
                <w:sz w:val="22"/>
              </w:rPr>
              <w:t>N</w:t>
            </w:r>
            <w:r w:rsidR="00A567FA" w:rsidRPr="003624E0">
              <w:rPr>
                <w:sz w:val="22"/>
              </w:rPr>
              <w:t xml:space="preserve">umerous complaints </w:t>
            </w:r>
            <w:r w:rsidR="00A65D6B" w:rsidRPr="003624E0">
              <w:rPr>
                <w:sz w:val="22"/>
              </w:rPr>
              <w:t>had been made against him by his colleagues</w:t>
            </w:r>
            <w:r w:rsidR="00A567FA" w:rsidRPr="003624E0">
              <w:rPr>
                <w:sz w:val="22"/>
              </w:rPr>
              <w:t xml:space="preserve">, but the employee was not aware of these complaints and did not receive any </w:t>
            </w:r>
            <w:r w:rsidR="00A65D6B" w:rsidRPr="003624E0">
              <w:rPr>
                <w:sz w:val="22"/>
              </w:rPr>
              <w:t xml:space="preserve">official </w:t>
            </w:r>
            <w:r w:rsidR="00A567FA" w:rsidRPr="003624E0">
              <w:rPr>
                <w:sz w:val="22"/>
              </w:rPr>
              <w:t xml:space="preserve">warnings about his conduct.  </w:t>
            </w:r>
            <w:r w:rsidR="000E7201" w:rsidRPr="003624E0">
              <w:rPr>
                <w:sz w:val="22"/>
              </w:rPr>
              <w:t>Unrelatedly</w:t>
            </w:r>
            <w:r w:rsidR="00547D5F">
              <w:rPr>
                <w:sz w:val="22"/>
              </w:rPr>
              <w:t>,</w:t>
            </w:r>
            <w:r w:rsidR="000E7201" w:rsidRPr="003624E0">
              <w:rPr>
                <w:sz w:val="22"/>
              </w:rPr>
              <w:t xml:space="preserve"> but whilst employed by the company, t</w:t>
            </w:r>
            <w:r w:rsidR="00A65D6B" w:rsidRPr="003624E0">
              <w:rPr>
                <w:sz w:val="22"/>
              </w:rPr>
              <w:t xml:space="preserve">he employee </w:t>
            </w:r>
            <w:r w:rsidR="000E7201" w:rsidRPr="003624E0">
              <w:rPr>
                <w:sz w:val="22"/>
              </w:rPr>
              <w:t xml:space="preserve">was </w:t>
            </w:r>
            <w:r w:rsidR="00A567FA" w:rsidRPr="003624E0">
              <w:rPr>
                <w:sz w:val="22"/>
              </w:rPr>
              <w:t>convicted of several criminal offences</w:t>
            </w:r>
            <w:r w:rsidR="000E7201" w:rsidRPr="003624E0">
              <w:rPr>
                <w:sz w:val="22"/>
              </w:rPr>
              <w:t xml:space="preserve">, including </w:t>
            </w:r>
            <w:r w:rsidR="00A567FA" w:rsidRPr="003624E0">
              <w:rPr>
                <w:sz w:val="22"/>
              </w:rPr>
              <w:t>stalking, harassment and child pornography.  The employee was dismissed and subsequently lodged an unfair dismissal application.</w:t>
            </w:r>
          </w:p>
          <w:p w:rsidR="00890B23" w:rsidRPr="003624E0" w:rsidRDefault="00802BA4" w:rsidP="006B68BE">
            <w:pPr>
              <w:rPr>
                <w:sz w:val="22"/>
              </w:rPr>
            </w:pPr>
            <w:r w:rsidRPr="003624E0">
              <w:rPr>
                <w:sz w:val="22"/>
              </w:rPr>
              <w:t xml:space="preserve">Fair Work </w:t>
            </w:r>
            <w:r w:rsidR="006B68BE" w:rsidRPr="003624E0">
              <w:rPr>
                <w:sz w:val="22"/>
              </w:rPr>
              <w:t xml:space="preserve">Australia </w:t>
            </w:r>
            <w:r w:rsidRPr="003624E0">
              <w:rPr>
                <w:sz w:val="22"/>
              </w:rPr>
              <w:t xml:space="preserve">held that </w:t>
            </w:r>
            <w:r w:rsidR="00B15C6B" w:rsidRPr="003624E0">
              <w:rPr>
                <w:sz w:val="22"/>
              </w:rPr>
              <w:t xml:space="preserve">the dismissal of the employee was justified insofar as the employee’s criminal convictions </w:t>
            </w:r>
            <w:r w:rsidR="000E7201" w:rsidRPr="003624E0">
              <w:rPr>
                <w:sz w:val="22"/>
              </w:rPr>
              <w:t xml:space="preserve">for offences of a sexual nature </w:t>
            </w:r>
            <w:r w:rsidR="00B15C6B" w:rsidRPr="003624E0">
              <w:rPr>
                <w:sz w:val="22"/>
              </w:rPr>
              <w:t xml:space="preserve">were </w:t>
            </w:r>
            <w:r w:rsidR="008722A8" w:rsidRPr="003624E0">
              <w:rPr>
                <w:sz w:val="22"/>
              </w:rPr>
              <w:t xml:space="preserve">a valid reason for </w:t>
            </w:r>
            <w:r w:rsidR="00B15C6B" w:rsidRPr="003624E0">
              <w:rPr>
                <w:sz w:val="22"/>
              </w:rPr>
              <w:t>dismissing an employee</w:t>
            </w:r>
            <w:r w:rsidRPr="003624E0">
              <w:rPr>
                <w:sz w:val="22"/>
              </w:rPr>
              <w:t xml:space="preserve">.  However, it </w:t>
            </w:r>
            <w:r w:rsidR="00B15C6B" w:rsidRPr="003624E0">
              <w:rPr>
                <w:sz w:val="22"/>
              </w:rPr>
              <w:t xml:space="preserve">ultimately held that the dismissal was ‘unfair’ </w:t>
            </w:r>
            <w:r w:rsidR="000535FF" w:rsidRPr="003624E0">
              <w:rPr>
                <w:sz w:val="22"/>
              </w:rPr>
              <w:t>(</w:t>
            </w:r>
            <w:proofErr w:type="spellStart"/>
            <w:r w:rsidR="000535FF" w:rsidRPr="003624E0">
              <w:rPr>
                <w:sz w:val="22"/>
              </w:rPr>
              <w:t>ie</w:t>
            </w:r>
            <w:proofErr w:type="spellEnd"/>
            <w:r w:rsidR="000535FF" w:rsidRPr="003624E0">
              <w:rPr>
                <w:sz w:val="22"/>
              </w:rPr>
              <w:t xml:space="preserve"> harsh, unjust and unreasonable) </w:t>
            </w:r>
            <w:r w:rsidR="00B15C6B" w:rsidRPr="003624E0">
              <w:rPr>
                <w:sz w:val="22"/>
              </w:rPr>
              <w:t xml:space="preserve">as the </w:t>
            </w:r>
            <w:r w:rsidRPr="003624E0">
              <w:rPr>
                <w:sz w:val="22"/>
              </w:rPr>
              <w:t xml:space="preserve">employer had not notified </w:t>
            </w:r>
            <w:r w:rsidR="008722A8" w:rsidRPr="003624E0">
              <w:rPr>
                <w:sz w:val="22"/>
              </w:rPr>
              <w:t xml:space="preserve">the employee of the reason for </w:t>
            </w:r>
            <w:r w:rsidR="00B15C6B" w:rsidRPr="003624E0">
              <w:rPr>
                <w:sz w:val="22"/>
              </w:rPr>
              <w:t>his dismissal</w:t>
            </w:r>
            <w:r w:rsidR="008722A8" w:rsidRPr="003624E0">
              <w:rPr>
                <w:sz w:val="22"/>
              </w:rPr>
              <w:t xml:space="preserve"> </w:t>
            </w:r>
            <w:r w:rsidRPr="003624E0">
              <w:rPr>
                <w:sz w:val="22"/>
              </w:rPr>
              <w:t xml:space="preserve">or </w:t>
            </w:r>
            <w:r w:rsidR="008722A8" w:rsidRPr="003624E0">
              <w:rPr>
                <w:sz w:val="22"/>
              </w:rPr>
              <w:t xml:space="preserve">given </w:t>
            </w:r>
            <w:r w:rsidRPr="003624E0">
              <w:rPr>
                <w:sz w:val="22"/>
              </w:rPr>
              <w:t>him an</w:t>
            </w:r>
            <w:r w:rsidR="008722A8" w:rsidRPr="003624E0">
              <w:rPr>
                <w:sz w:val="22"/>
              </w:rPr>
              <w:t xml:space="preserve"> opportunity to respond</w:t>
            </w:r>
            <w:r w:rsidRPr="003624E0">
              <w:rPr>
                <w:sz w:val="22"/>
              </w:rPr>
              <w:t xml:space="preserve"> to the allegations</w:t>
            </w:r>
            <w:r w:rsidR="000535FF" w:rsidRPr="003624E0">
              <w:rPr>
                <w:sz w:val="22"/>
              </w:rPr>
              <w:t>.</w:t>
            </w:r>
            <w:r w:rsidRPr="003624E0">
              <w:rPr>
                <w:sz w:val="22"/>
              </w:rPr>
              <w:t xml:space="preserve"> </w:t>
            </w:r>
            <w:r w:rsidR="000535FF" w:rsidRPr="003624E0">
              <w:rPr>
                <w:sz w:val="22"/>
              </w:rPr>
              <w:t xml:space="preserve"> </w:t>
            </w:r>
            <w:r w:rsidR="00890B23" w:rsidRPr="003624E0">
              <w:rPr>
                <w:sz w:val="22"/>
              </w:rPr>
              <w:t>The employee was awarded 10 days’ salary.</w:t>
            </w:r>
          </w:p>
        </w:tc>
      </w:tr>
    </w:tbl>
    <w:p w:rsidR="00F452C5" w:rsidRPr="003624E0" w:rsidRDefault="00F452C5" w:rsidP="008722A8"/>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685C42" w:rsidRPr="003624E0">
        <w:trPr>
          <w:trHeight w:val="503"/>
        </w:trPr>
        <w:tc>
          <w:tcPr>
            <w:tcW w:w="9071" w:type="dxa"/>
            <w:shd w:val="clear" w:color="auto" w:fill="DAEEF3" w:themeFill="accent5" w:themeFillTint="33"/>
            <w:tcMar>
              <w:top w:w="227" w:type="dxa"/>
              <w:left w:w="227" w:type="dxa"/>
              <w:bottom w:w="255" w:type="dxa"/>
              <w:right w:w="227" w:type="dxa"/>
            </w:tcMar>
          </w:tcPr>
          <w:p w:rsidR="00685C42" w:rsidRPr="003624E0" w:rsidRDefault="00685C42" w:rsidP="004D06A3">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sidRPr="003624E0">
              <w:rPr>
                <w:rFonts w:cs="Arial"/>
                <w:b/>
                <w:bCs/>
                <w:color w:val="000000"/>
                <w:szCs w:val="22"/>
              </w:rPr>
              <w:t>Further information</w:t>
            </w:r>
          </w:p>
          <w:p w:rsidR="00E7777F" w:rsidRPr="003624E0" w:rsidRDefault="00685C42" w:rsidP="00E7777F">
            <w:pPr>
              <w:rPr>
                <w:sz w:val="22"/>
                <w:szCs w:val="22"/>
              </w:rPr>
            </w:pPr>
            <w:r w:rsidRPr="003624E0">
              <w:rPr>
                <w:sz w:val="22"/>
                <w:szCs w:val="22"/>
              </w:rPr>
              <w:t xml:space="preserve">For further information about </w:t>
            </w:r>
            <w:r w:rsidR="004D06A3" w:rsidRPr="003624E0">
              <w:rPr>
                <w:sz w:val="22"/>
                <w:szCs w:val="22"/>
              </w:rPr>
              <w:t>unfair dismissal claim</w:t>
            </w:r>
            <w:r w:rsidR="00EA7BC7" w:rsidRPr="003624E0">
              <w:rPr>
                <w:sz w:val="22"/>
                <w:szCs w:val="22"/>
              </w:rPr>
              <w:t>s</w:t>
            </w:r>
            <w:r w:rsidR="004D06A3" w:rsidRPr="003624E0">
              <w:rPr>
                <w:sz w:val="22"/>
                <w:szCs w:val="22"/>
              </w:rPr>
              <w:t xml:space="preserve"> under the Fair Work Act, see</w:t>
            </w:r>
            <w:r w:rsidR="00E7777F" w:rsidRPr="003624E0">
              <w:rPr>
                <w:sz w:val="22"/>
                <w:szCs w:val="22"/>
              </w:rPr>
              <w:t>:</w:t>
            </w:r>
          </w:p>
          <w:p w:rsidR="00E7777F" w:rsidRPr="003624E0" w:rsidRDefault="004D06A3" w:rsidP="007F2316">
            <w:pPr>
              <w:pStyle w:val="ListParagraph"/>
              <w:numPr>
                <w:ilvl w:val="0"/>
                <w:numId w:val="38"/>
              </w:numPr>
              <w:ind w:left="573" w:hanging="573"/>
              <w:contextualSpacing w:val="0"/>
              <w:rPr>
                <w:sz w:val="22"/>
                <w:szCs w:val="22"/>
              </w:rPr>
            </w:pPr>
            <w:r w:rsidRPr="003624E0">
              <w:rPr>
                <w:sz w:val="22"/>
                <w:szCs w:val="22"/>
              </w:rPr>
              <w:t>Fair Work Commission</w:t>
            </w:r>
            <w:r w:rsidR="00377603" w:rsidRPr="003624E0">
              <w:rPr>
                <w:sz w:val="22"/>
                <w:szCs w:val="22"/>
              </w:rPr>
              <w:t>,</w:t>
            </w:r>
            <w:r w:rsidRPr="003624E0">
              <w:rPr>
                <w:sz w:val="22"/>
                <w:szCs w:val="22"/>
              </w:rPr>
              <w:t xml:space="preserve"> </w:t>
            </w:r>
            <w:r w:rsidRPr="003624E0">
              <w:rPr>
                <w:i/>
                <w:sz w:val="22"/>
                <w:szCs w:val="22"/>
              </w:rPr>
              <w:t xml:space="preserve">Unfair Dismissals </w:t>
            </w:r>
            <w:proofErr w:type="spellStart"/>
            <w:r w:rsidRPr="003624E0">
              <w:rPr>
                <w:i/>
                <w:sz w:val="22"/>
                <w:szCs w:val="22"/>
              </w:rPr>
              <w:t>Benchbook</w:t>
            </w:r>
            <w:proofErr w:type="spellEnd"/>
            <w:r w:rsidRPr="003624E0">
              <w:rPr>
                <w:sz w:val="22"/>
                <w:szCs w:val="22"/>
              </w:rPr>
              <w:t xml:space="preserve"> </w:t>
            </w:r>
            <w:r w:rsidR="00B16BE2" w:rsidRPr="003624E0">
              <w:rPr>
                <w:sz w:val="22"/>
                <w:szCs w:val="22"/>
              </w:rPr>
              <w:t xml:space="preserve">(2013) </w:t>
            </w:r>
            <w:hyperlink r:id="rId25" w:history="1">
              <w:r w:rsidRPr="003624E0">
                <w:rPr>
                  <w:rStyle w:val="Hyperlink"/>
                  <w:sz w:val="22"/>
                </w:rPr>
                <w:t>benchbooks.fwc.gov.au/unfair/</w:t>
              </w:r>
            </w:hyperlink>
            <w:r w:rsidRPr="003624E0">
              <w:rPr>
                <w:sz w:val="22"/>
              </w:rPr>
              <w:t xml:space="preserve"> </w:t>
            </w:r>
          </w:p>
          <w:p w:rsidR="00E7777F" w:rsidRPr="003624E0" w:rsidRDefault="00377603" w:rsidP="007F2316">
            <w:pPr>
              <w:pStyle w:val="ListParagraph"/>
              <w:numPr>
                <w:ilvl w:val="0"/>
                <w:numId w:val="38"/>
              </w:numPr>
              <w:ind w:left="573" w:hanging="573"/>
              <w:contextualSpacing w:val="0"/>
              <w:rPr>
                <w:sz w:val="22"/>
                <w:szCs w:val="22"/>
              </w:rPr>
            </w:pPr>
            <w:r w:rsidRPr="003624E0">
              <w:rPr>
                <w:sz w:val="22"/>
                <w:szCs w:val="22"/>
              </w:rPr>
              <w:t xml:space="preserve">Small Business Fair Dismissal Code </w:t>
            </w:r>
            <w:hyperlink r:id="rId26" w:history="1"/>
            <w:r w:rsidR="00E32284" w:rsidRPr="003624E0">
              <w:rPr>
                <w:rFonts w:cs="Arial"/>
                <w:sz w:val="22"/>
                <w:szCs w:val="22"/>
              </w:rPr>
              <w:t xml:space="preserve"> </w:t>
            </w:r>
            <w:hyperlink r:id="rId27" w:history="1">
              <w:r w:rsidR="00A30449" w:rsidRPr="003624E0">
                <w:rPr>
                  <w:rStyle w:val="Hyperlink"/>
                  <w:rFonts w:cs="Arial"/>
                  <w:sz w:val="22"/>
                  <w:szCs w:val="22"/>
                </w:rPr>
                <w:t>www.fwc.gov.au/documents/legislation/download/dismissal_code.doc</w:t>
              </w:r>
            </w:hyperlink>
            <w:r w:rsidR="00E32284" w:rsidRPr="003624E0">
              <w:rPr>
                <w:rFonts w:cs="Arial"/>
                <w:sz w:val="22"/>
                <w:szCs w:val="22"/>
              </w:rPr>
              <w:t xml:space="preserve">  </w:t>
            </w:r>
          </w:p>
          <w:p w:rsidR="00E32284" w:rsidRPr="003624E0" w:rsidRDefault="00E32284" w:rsidP="007F2316">
            <w:pPr>
              <w:pStyle w:val="ListParagraph"/>
              <w:numPr>
                <w:ilvl w:val="0"/>
                <w:numId w:val="38"/>
              </w:numPr>
              <w:ind w:left="573" w:hanging="573"/>
              <w:contextualSpacing w:val="0"/>
              <w:rPr>
                <w:sz w:val="22"/>
                <w:szCs w:val="22"/>
              </w:rPr>
            </w:pPr>
            <w:r w:rsidRPr="003624E0">
              <w:rPr>
                <w:sz w:val="22"/>
                <w:szCs w:val="22"/>
              </w:rPr>
              <w:t>Fair Work Ombudsman</w:t>
            </w:r>
            <w:r w:rsidR="00904F71" w:rsidRPr="003624E0">
              <w:rPr>
                <w:sz w:val="22"/>
                <w:szCs w:val="22"/>
              </w:rPr>
              <w:t>,</w:t>
            </w:r>
            <w:r w:rsidRPr="003624E0">
              <w:rPr>
                <w:sz w:val="22"/>
                <w:szCs w:val="22"/>
              </w:rPr>
              <w:t xml:space="preserve"> </w:t>
            </w:r>
            <w:r w:rsidRPr="003624E0">
              <w:rPr>
                <w:i/>
                <w:sz w:val="22"/>
                <w:szCs w:val="22"/>
              </w:rPr>
              <w:t>Small Business Fair Dismissal Code Checklist</w:t>
            </w:r>
            <w:r w:rsidRPr="003624E0">
              <w:rPr>
                <w:sz w:val="22"/>
                <w:szCs w:val="22"/>
              </w:rPr>
              <w:t xml:space="preserve"> </w:t>
            </w:r>
            <w:hyperlink r:id="rId28" w:history="1">
              <w:r w:rsidR="00A30449" w:rsidRPr="003624E0">
                <w:rPr>
                  <w:rStyle w:val="Hyperlink"/>
                  <w:sz w:val="22"/>
                  <w:szCs w:val="22"/>
                </w:rPr>
                <w:t>www.fairwork.gov.au/Templatesformschecklists/Small-Business-Fair-Dismissal-Code-2011.rtf</w:t>
              </w:r>
            </w:hyperlink>
            <w:r w:rsidR="002C1BEF">
              <w:rPr>
                <w:sz w:val="22"/>
                <w:szCs w:val="22"/>
              </w:rPr>
              <w:t>.</w:t>
            </w:r>
          </w:p>
        </w:tc>
      </w:tr>
    </w:tbl>
    <w:p w:rsidR="00FC64AF" w:rsidRPr="003624E0" w:rsidRDefault="00FC64AF" w:rsidP="00FC64AF">
      <w:pPr>
        <w:pStyle w:val="Heading2"/>
        <w:numPr>
          <w:ilvl w:val="0"/>
          <w:numId w:val="0"/>
        </w:numPr>
        <w:ind w:left="851" w:hanging="851"/>
      </w:pPr>
      <w:bookmarkStart w:id="45" w:name="_Toc362446692"/>
      <w:bookmarkStart w:id="46" w:name="_Toc388023532"/>
      <w:proofErr w:type="gramStart"/>
      <w:r w:rsidRPr="003624E0">
        <w:t>4.6  Breach</w:t>
      </w:r>
      <w:proofErr w:type="gramEnd"/>
      <w:r w:rsidRPr="003624E0">
        <w:t xml:space="preserve"> of </w:t>
      </w:r>
      <w:r w:rsidR="00A208DC" w:rsidRPr="003624E0">
        <w:t>c</w:t>
      </w:r>
      <w:r w:rsidRPr="003624E0">
        <w:t>ontract</w:t>
      </w:r>
      <w:bookmarkEnd w:id="45"/>
      <w:bookmarkEnd w:id="46"/>
    </w:p>
    <w:p w:rsidR="00C9267C" w:rsidRPr="003624E0" w:rsidRDefault="00016A5B" w:rsidP="00FC64AF">
      <w:r w:rsidRPr="003624E0">
        <w:t xml:space="preserve">An employee who </w:t>
      </w:r>
      <w:r w:rsidR="00FF71B1" w:rsidRPr="003624E0">
        <w:t xml:space="preserve">alleges that he or she has </w:t>
      </w:r>
      <w:r w:rsidRPr="003624E0">
        <w:t>been sexually harassed in the workplace could potentially sue his or her e</w:t>
      </w:r>
      <w:r w:rsidR="002F71F2" w:rsidRPr="003624E0">
        <w:t xml:space="preserve">mployer for breach of contract.  An employee might, for </w:t>
      </w:r>
      <w:r w:rsidR="00E27F5C" w:rsidRPr="003624E0">
        <w:t>instance</w:t>
      </w:r>
      <w:r w:rsidR="002F71F2" w:rsidRPr="003624E0">
        <w:t>, claim that</w:t>
      </w:r>
      <w:r w:rsidR="00DA107F" w:rsidRPr="003624E0">
        <w:t xml:space="preserve"> the failure</w:t>
      </w:r>
      <w:r w:rsidR="002F71F2" w:rsidRPr="003624E0">
        <w:t xml:space="preserve"> to prevent or redress sexual harassment</w:t>
      </w:r>
      <w:r w:rsidR="00DA107F" w:rsidRPr="003624E0">
        <w:t xml:space="preserve"> was contrary to </w:t>
      </w:r>
      <w:r w:rsidR="00E27F5C" w:rsidRPr="003624E0">
        <w:t xml:space="preserve">an </w:t>
      </w:r>
      <w:r w:rsidR="008E191C" w:rsidRPr="003624E0">
        <w:t xml:space="preserve">express or </w:t>
      </w:r>
      <w:r w:rsidR="00090468" w:rsidRPr="003624E0">
        <w:t xml:space="preserve">implied term </w:t>
      </w:r>
      <w:r w:rsidR="00FC64AF" w:rsidRPr="003624E0">
        <w:t>of the employment contract</w:t>
      </w:r>
      <w:r w:rsidR="00E27F5C" w:rsidRPr="003624E0">
        <w:t>.</w:t>
      </w:r>
      <w:r w:rsidR="008E191C" w:rsidRPr="003624E0">
        <w:rPr>
          <w:rStyle w:val="EndnoteReference"/>
        </w:rPr>
        <w:endnoteReference w:id="76"/>
      </w:r>
      <w:r w:rsidR="002F71F2" w:rsidRPr="003624E0">
        <w:t xml:space="preserve">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C9267C" w:rsidRPr="003624E0">
        <w:trPr>
          <w:trHeight w:val="503"/>
        </w:trPr>
        <w:tc>
          <w:tcPr>
            <w:tcW w:w="9071" w:type="dxa"/>
            <w:shd w:val="clear" w:color="0078C1" w:fill="C6D9F1" w:themeFill="text2" w:themeFillTint="33"/>
            <w:tcMar>
              <w:top w:w="227" w:type="dxa"/>
              <w:left w:w="227" w:type="dxa"/>
              <w:bottom w:w="255" w:type="dxa"/>
              <w:right w:w="227" w:type="dxa"/>
            </w:tcMar>
          </w:tcPr>
          <w:p w:rsidR="00C9267C" w:rsidRPr="003624E0" w:rsidRDefault="00EA3C1D" w:rsidP="00C9267C">
            <w:pPr>
              <w:widowControl w:val="0"/>
              <w:tabs>
                <w:tab w:val="left" w:pos="3533"/>
                <w:tab w:val="center" w:pos="4308"/>
              </w:tabs>
              <w:suppressAutoHyphens/>
              <w:autoSpaceDE w:val="0"/>
              <w:autoSpaceDN w:val="0"/>
              <w:adjustRightInd w:val="0"/>
              <w:spacing w:before="170" w:after="0"/>
              <w:jc w:val="center"/>
              <w:textAlignment w:val="center"/>
              <w:rPr>
                <w:rFonts w:cs="Arial"/>
                <w:b/>
                <w:bCs/>
                <w:color w:val="000000"/>
                <w:sz w:val="22"/>
                <w:szCs w:val="22"/>
              </w:rPr>
            </w:pPr>
            <w:r>
              <w:rPr>
                <w:rFonts w:cs="Arial"/>
                <w:b/>
                <w:bCs/>
                <w:color w:val="000000"/>
                <w:szCs w:val="22"/>
              </w:rPr>
              <w:t xml:space="preserve">Case study: </w:t>
            </w:r>
            <w:r w:rsidR="00C9267C" w:rsidRPr="003624E0">
              <w:rPr>
                <w:rFonts w:cs="Arial"/>
                <w:b/>
                <w:bCs/>
                <w:color w:val="000000"/>
                <w:szCs w:val="22"/>
              </w:rPr>
              <w:t>Breach of contract</w:t>
            </w:r>
            <w:r w:rsidR="00C9267C" w:rsidRPr="003624E0">
              <w:rPr>
                <w:rStyle w:val="EndnoteReference"/>
                <w:rFonts w:cs="Arial"/>
              </w:rPr>
              <w:endnoteReference w:id="77"/>
            </w:r>
          </w:p>
          <w:p w:rsidR="00714D7A" w:rsidRPr="003624E0" w:rsidRDefault="00714D7A" w:rsidP="00714D7A">
            <w:pPr>
              <w:widowControl w:val="0"/>
              <w:tabs>
                <w:tab w:val="left" w:pos="3533"/>
                <w:tab w:val="center" w:pos="4308"/>
              </w:tabs>
              <w:suppressAutoHyphens/>
              <w:autoSpaceDE w:val="0"/>
              <w:autoSpaceDN w:val="0"/>
              <w:adjustRightInd w:val="0"/>
              <w:textAlignment w:val="center"/>
              <w:rPr>
                <w:rFonts w:cs="Arial"/>
                <w:sz w:val="22"/>
              </w:rPr>
            </w:pPr>
            <w:r w:rsidRPr="003624E0">
              <w:rPr>
                <w:rFonts w:cs="Arial"/>
                <w:sz w:val="22"/>
                <w:szCs w:val="22"/>
              </w:rPr>
              <w:t xml:space="preserve">A woman was employed as a building consultant selling house and land packages on behalf of her employer.  She alleged that a co-worker had sexually harassed her in the workplace.  The woman’s employment was subsequently terminated and she alleged that the termination was due to her sexual harassment complaint. </w:t>
            </w:r>
          </w:p>
          <w:p w:rsidR="00714D7A" w:rsidRPr="003624E0" w:rsidRDefault="00714D7A" w:rsidP="00714D7A">
            <w:pPr>
              <w:widowControl w:val="0"/>
              <w:tabs>
                <w:tab w:val="left" w:pos="3533"/>
                <w:tab w:val="center" w:pos="4308"/>
              </w:tabs>
              <w:suppressAutoHyphens/>
              <w:autoSpaceDE w:val="0"/>
              <w:autoSpaceDN w:val="0"/>
              <w:adjustRightInd w:val="0"/>
              <w:textAlignment w:val="center"/>
              <w:rPr>
                <w:rFonts w:cs="Arial"/>
                <w:sz w:val="22"/>
                <w:szCs w:val="22"/>
              </w:rPr>
            </w:pPr>
            <w:r w:rsidRPr="003624E0">
              <w:rPr>
                <w:rFonts w:cs="Arial"/>
                <w:sz w:val="22"/>
                <w:szCs w:val="22"/>
              </w:rPr>
              <w:t>Breach of contract was one of the causes of action relied on by the woman.  She argued that her contract of employment contained an implied term that her employer would not conduct itself in a manner likely to destroy or seriously damage the relationship of confidence and trust between herself and the employer.  She alleged that her employer breached this implied term by discriminating against her and terminating her employment following the sexual harassment complaint.</w:t>
            </w:r>
          </w:p>
          <w:p w:rsidR="00714D7A" w:rsidRPr="003624E0" w:rsidRDefault="00714D7A" w:rsidP="00714D7A">
            <w:pPr>
              <w:widowControl w:val="0"/>
              <w:tabs>
                <w:tab w:val="left" w:pos="3533"/>
                <w:tab w:val="center" w:pos="4308"/>
              </w:tabs>
              <w:suppressAutoHyphens/>
              <w:autoSpaceDE w:val="0"/>
              <w:autoSpaceDN w:val="0"/>
              <w:adjustRightInd w:val="0"/>
              <w:textAlignment w:val="center"/>
              <w:rPr>
                <w:rFonts w:cs="Arial"/>
                <w:sz w:val="22"/>
                <w:szCs w:val="22"/>
              </w:rPr>
            </w:pPr>
            <w:r w:rsidRPr="003624E0">
              <w:rPr>
                <w:rFonts w:cs="Arial"/>
                <w:sz w:val="22"/>
                <w:szCs w:val="22"/>
              </w:rPr>
              <w:t xml:space="preserve">The Federal Court of Australia noted that the question of whether such terms can be implied in employment contracts is controversial.   However, the Court decided the case on other grounds and did not deal with the breach of contract claim.  </w:t>
            </w:r>
          </w:p>
        </w:tc>
      </w:tr>
    </w:tbl>
    <w:p w:rsidR="0041672C" w:rsidRPr="00626C2C" w:rsidRDefault="009D639E" w:rsidP="007E220D">
      <w:pPr>
        <w:pStyle w:val="Heading2"/>
        <w:numPr>
          <w:ilvl w:val="0"/>
          <w:numId w:val="0"/>
        </w:numPr>
        <w:ind w:left="851" w:hanging="851"/>
        <w:rPr>
          <w:color w:val="auto"/>
        </w:rPr>
      </w:pPr>
      <w:r>
        <w:t xml:space="preserve"> </w:t>
      </w:r>
      <w:bookmarkStart w:id="47" w:name="_Toc362446694"/>
      <w:bookmarkStart w:id="48" w:name="_Toc388023533"/>
      <w:proofErr w:type="gramStart"/>
      <w:r w:rsidR="00B05A2B" w:rsidRPr="00626C2C">
        <w:rPr>
          <w:color w:val="auto"/>
        </w:rPr>
        <w:t>4.6  Work</w:t>
      </w:r>
      <w:proofErr w:type="gramEnd"/>
      <w:r w:rsidR="00B05A2B" w:rsidRPr="00626C2C">
        <w:rPr>
          <w:color w:val="auto"/>
        </w:rPr>
        <w:t>, health and safety requirements</w:t>
      </w:r>
      <w:bookmarkEnd w:id="47"/>
      <w:bookmarkEnd w:id="48"/>
    </w:p>
    <w:p w:rsidR="00787331" w:rsidRPr="003624E0" w:rsidRDefault="00C4731C" w:rsidP="00C4731C">
      <w:r>
        <w:t xml:space="preserve">An employer must ensure, </w:t>
      </w:r>
      <w:proofErr w:type="gramStart"/>
      <w:r>
        <w:t>so</w:t>
      </w:r>
      <w:proofErr w:type="gramEnd"/>
      <w:r>
        <w:t xml:space="preserve"> far as is reasonably practicable, the health and safety of its workers. An employer </w:t>
      </w:r>
      <w:r w:rsidR="00B96B3B">
        <w:t xml:space="preserve">who fails to maintain a safe workplace </w:t>
      </w:r>
      <w:r w:rsidR="007A44AA" w:rsidRPr="003624E0">
        <w:t xml:space="preserve">may </w:t>
      </w:r>
      <w:r w:rsidR="00787331" w:rsidRPr="003624E0">
        <w:t>be held liable</w:t>
      </w:r>
      <w:r w:rsidR="00652CAD" w:rsidRPr="003624E0">
        <w:t xml:space="preserve"> </w:t>
      </w:r>
      <w:r w:rsidR="00787331" w:rsidRPr="003624E0">
        <w:t xml:space="preserve">under the common law or </w:t>
      </w:r>
      <w:r w:rsidR="00652CAD" w:rsidRPr="003624E0">
        <w:t xml:space="preserve">under </w:t>
      </w:r>
      <w:r w:rsidR="00787331" w:rsidRPr="003624E0">
        <w:t xml:space="preserve">the </w:t>
      </w:r>
      <w:r w:rsidR="00787331" w:rsidRPr="003624E0">
        <w:rPr>
          <w:i/>
        </w:rPr>
        <w:t xml:space="preserve">Work Health and Safety Act 2011 </w:t>
      </w:r>
      <w:r w:rsidR="00787331" w:rsidRPr="003624E0">
        <w:t>(</w:t>
      </w:r>
      <w:proofErr w:type="spellStart"/>
      <w:r w:rsidR="00787331" w:rsidRPr="003624E0">
        <w:t>Cth</w:t>
      </w:r>
      <w:proofErr w:type="spellEnd"/>
      <w:r w:rsidR="00787331" w:rsidRPr="003624E0">
        <w:t xml:space="preserve">) </w:t>
      </w:r>
      <w:r w:rsidR="007A44AA" w:rsidRPr="003624E0">
        <w:t>or</w:t>
      </w:r>
      <w:r w:rsidR="00787331" w:rsidRPr="003624E0">
        <w:t xml:space="preserve"> equivalent state </w:t>
      </w:r>
      <w:r w:rsidR="00CC6EF1">
        <w:t>or</w:t>
      </w:r>
      <w:r w:rsidR="00787331" w:rsidRPr="003624E0">
        <w:t xml:space="preserve"> territory </w:t>
      </w:r>
      <w:r w:rsidR="00316A08" w:rsidRPr="003624E0">
        <w:t>law</w:t>
      </w:r>
      <w:r w:rsidR="00787331" w:rsidRPr="003624E0">
        <w:t>.</w:t>
      </w:r>
      <w:r w:rsidR="00787331" w:rsidRPr="003624E0">
        <w:rPr>
          <w:rStyle w:val="EndnoteReference"/>
        </w:rPr>
        <w:endnoteReference w:id="78"/>
      </w:r>
      <w:r w:rsidR="00787331" w:rsidRPr="003624E0">
        <w:t xml:space="preserve">  </w:t>
      </w:r>
    </w:p>
    <w:p w:rsidR="00A30449" w:rsidRPr="003624E0" w:rsidRDefault="00BE68C6" w:rsidP="0041672C">
      <w:r w:rsidRPr="003624E0">
        <w:t xml:space="preserve">The </w:t>
      </w:r>
      <w:r w:rsidR="002D0F00" w:rsidRPr="003624E0">
        <w:t>physical and psychological harm</w:t>
      </w:r>
      <w:r w:rsidR="00DD1FC1" w:rsidRPr="003624E0">
        <w:t>s of sexual harassment</w:t>
      </w:r>
      <w:r w:rsidR="00EE4D16" w:rsidRPr="003624E0">
        <w:t>—</w:t>
      </w:r>
      <w:r w:rsidR="002D0F00" w:rsidRPr="003624E0">
        <w:t>both</w:t>
      </w:r>
      <w:r w:rsidR="00EE4D16" w:rsidRPr="003624E0">
        <w:t xml:space="preserve"> </w:t>
      </w:r>
      <w:r w:rsidR="00DD1FC1" w:rsidRPr="003624E0">
        <w:t xml:space="preserve">for </w:t>
      </w:r>
      <w:r w:rsidR="006F3AFF" w:rsidRPr="003624E0">
        <w:t xml:space="preserve">employees who are sexually </w:t>
      </w:r>
      <w:r w:rsidR="002D0F00" w:rsidRPr="003624E0">
        <w:t>harassed and any bystanders</w:t>
      </w:r>
      <w:r w:rsidR="00EE4D16" w:rsidRPr="003624E0">
        <w:t>—</w:t>
      </w:r>
      <w:r w:rsidR="00DD1FC1" w:rsidRPr="003624E0">
        <w:t>have</w:t>
      </w:r>
      <w:r w:rsidR="00EE4D16" w:rsidRPr="003624E0">
        <w:t xml:space="preserve"> </w:t>
      </w:r>
      <w:r w:rsidR="00DD1FC1" w:rsidRPr="003624E0">
        <w:t>been widely documented</w:t>
      </w:r>
      <w:r w:rsidR="002D0F00" w:rsidRPr="003624E0">
        <w:t>.</w:t>
      </w:r>
      <w:r w:rsidR="00EE4D16" w:rsidRPr="003624E0">
        <w:t xml:space="preserve">  Accordingly, e</w:t>
      </w:r>
      <w:r w:rsidR="00A64AA8" w:rsidRPr="003624E0">
        <w:t>mployer</w:t>
      </w:r>
      <w:r w:rsidR="00F4283B" w:rsidRPr="003624E0">
        <w:t>s</w:t>
      </w:r>
      <w:r w:rsidR="00A64AA8" w:rsidRPr="003624E0">
        <w:t xml:space="preserve"> </w:t>
      </w:r>
      <w:r w:rsidR="00635F54">
        <w:t>who</w:t>
      </w:r>
      <w:r w:rsidR="00F4283B" w:rsidRPr="003624E0">
        <w:t xml:space="preserve"> fail to take reasonable steps </w:t>
      </w:r>
      <w:r w:rsidR="00A64AA8" w:rsidRPr="003624E0">
        <w:t xml:space="preserve">to prevent </w:t>
      </w:r>
      <w:r w:rsidR="00F4283B" w:rsidRPr="003624E0">
        <w:t xml:space="preserve">the </w:t>
      </w:r>
      <w:r w:rsidR="00A64AA8" w:rsidRPr="003624E0">
        <w:t xml:space="preserve">foreseeable risk </w:t>
      </w:r>
      <w:r w:rsidR="00F4283B" w:rsidRPr="003624E0">
        <w:t xml:space="preserve">of such harm may </w:t>
      </w:r>
      <w:r w:rsidR="00EE4D16" w:rsidRPr="003624E0">
        <w:t>be in breach of the</w:t>
      </w:r>
      <w:r w:rsidR="00F4283B" w:rsidRPr="003624E0">
        <w:t xml:space="preserve"> </w:t>
      </w:r>
      <w:r w:rsidR="00EE4D16" w:rsidRPr="003624E0">
        <w:t>obligation</w:t>
      </w:r>
      <w:r w:rsidR="00F4283B" w:rsidRPr="003624E0">
        <w:t xml:space="preserve"> to ensure a healthy and safe </w:t>
      </w:r>
      <w:r w:rsidR="00EE4D16" w:rsidRPr="003624E0">
        <w:t>work</w:t>
      </w:r>
      <w:r w:rsidR="00F4283B" w:rsidRPr="003624E0">
        <w:t xml:space="preserve"> environment and safe systems of work.  </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A30449" w:rsidRPr="003624E0">
        <w:trPr>
          <w:trHeight w:val="503"/>
        </w:trPr>
        <w:tc>
          <w:tcPr>
            <w:tcW w:w="9071" w:type="dxa"/>
            <w:shd w:val="clear" w:color="auto" w:fill="DAEEF3" w:themeFill="accent5" w:themeFillTint="33"/>
            <w:tcMar>
              <w:top w:w="227" w:type="dxa"/>
              <w:left w:w="227" w:type="dxa"/>
              <w:bottom w:w="255" w:type="dxa"/>
              <w:right w:w="227" w:type="dxa"/>
            </w:tcMar>
          </w:tcPr>
          <w:p w:rsidR="00A30449" w:rsidRPr="003624E0" w:rsidRDefault="00A30449" w:rsidP="00592FB9">
            <w:pPr>
              <w:widowControl w:val="0"/>
              <w:tabs>
                <w:tab w:val="left" w:pos="3533"/>
                <w:tab w:val="center" w:pos="4308"/>
              </w:tabs>
              <w:suppressAutoHyphens/>
              <w:autoSpaceDE w:val="0"/>
              <w:autoSpaceDN w:val="0"/>
              <w:adjustRightInd w:val="0"/>
              <w:spacing w:before="170" w:after="0"/>
              <w:jc w:val="center"/>
              <w:textAlignment w:val="center"/>
              <w:rPr>
                <w:rFonts w:cs="Arial"/>
                <w:b/>
                <w:color w:val="000000"/>
                <w:szCs w:val="22"/>
              </w:rPr>
            </w:pPr>
            <w:r w:rsidRPr="003624E0">
              <w:rPr>
                <w:rFonts w:cs="Arial"/>
                <w:b/>
                <w:bCs/>
                <w:color w:val="000000"/>
                <w:szCs w:val="22"/>
              </w:rPr>
              <w:t>Further information</w:t>
            </w:r>
          </w:p>
          <w:p w:rsidR="004F59CF" w:rsidRPr="003624E0" w:rsidRDefault="00A30449" w:rsidP="004F59CF">
            <w:pPr>
              <w:rPr>
                <w:sz w:val="22"/>
                <w:szCs w:val="22"/>
              </w:rPr>
            </w:pPr>
            <w:r w:rsidRPr="003624E0">
              <w:rPr>
                <w:sz w:val="22"/>
                <w:szCs w:val="22"/>
              </w:rPr>
              <w:t>For further information about work, heal</w:t>
            </w:r>
            <w:r w:rsidR="0097218F" w:rsidRPr="003624E0">
              <w:rPr>
                <w:sz w:val="22"/>
                <w:szCs w:val="22"/>
              </w:rPr>
              <w:t>th and safety requirements, see</w:t>
            </w:r>
            <w:r w:rsidR="004F59CF" w:rsidRPr="003624E0">
              <w:rPr>
                <w:sz w:val="22"/>
                <w:szCs w:val="22"/>
              </w:rPr>
              <w:t>:</w:t>
            </w:r>
          </w:p>
          <w:p w:rsidR="004F59CF" w:rsidRPr="003624E0" w:rsidRDefault="00A30449" w:rsidP="007F2316">
            <w:pPr>
              <w:pStyle w:val="ListParagraph"/>
              <w:numPr>
                <w:ilvl w:val="0"/>
                <w:numId w:val="39"/>
              </w:numPr>
              <w:ind w:left="556" w:hanging="556"/>
              <w:contextualSpacing w:val="0"/>
              <w:rPr>
                <w:sz w:val="22"/>
              </w:rPr>
            </w:pPr>
            <w:r w:rsidRPr="003624E0">
              <w:rPr>
                <w:sz w:val="22"/>
              </w:rPr>
              <w:t>Safe Work Australia</w:t>
            </w:r>
            <w:r w:rsidR="00690176" w:rsidRPr="003624E0">
              <w:rPr>
                <w:sz w:val="22"/>
              </w:rPr>
              <w:br/>
            </w:r>
            <w:hyperlink r:id="rId29" w:history="1">
              <w:r w:rsidRPr="003624E0">
                <w:rPr>
                  <w:rStyle w:val="Hyperlink"/>
                  <w:sz w:val="22"/>
                </w:rPr>
                <w:t>www.safeworkaustralia.gov.au</w:t>
              </w:r>
            </w:hyperlink>
          </w:p>
          <w:p w:rsidR="00A30449" w:rsidRPr="003624E0" w:rsidRDefault="004F59CF" w:rsidP="00077DF1">
            <w:pPr>
              <w:pStyle w:val="ListParagraph"/>
              <w:numPr>
                <w:ilvl w:val="0"/>
                <w:numId w:val="39"/>
              </w:numPr>
              <w:ind w:left="556" w:hanging="556"/>
              <w:contextualSpacing w:val="0"/>
              <w:rPr>
                <w:i/>
                <w:sz w:val="22"/>
              </w:rPr>
            </w:pPr>
            <w:r w:rsidRPr="003624E0">
              <w:rPr>
                <w:i/>
                <w:sz w:val="22"/>
              </w:rPr>
              <w:t>Australian Work Health and Safety Strategy 2012–2022</w:t>
            </w:r>
            <w:r w:rsidRPr="003624E0">
              <w:rPr>
                <w:i/>
                <w:sz w:val="22"/>
              </w:rPr>
              <w:br/>
            </w:r>
            <w:hyperlink r:id="rId30" w:history="1">
              <w:r w:rsidRPr="003624E0">
                <w:rPr>
                  <w:rStyle w:val="Hyperlink"/>
                  <w:sz w:val="22"/>
                </w:rPr>
                <w:t>www.safeworkaustralia.gov.au/sites/SWA/about/Publications/Documents/719/Australian-WHS-Strategy-2012-2022.pdf</w:t>
              </w:r>
            </w:hyperlink>
            <w:r w:rsidR="00077DF1" w:rsidRPr="003624E0">
              <w:t>.</w:t>
            </w:r>
            <w:r w:rsidR="00077DF1" w:rsidRPr="003624E0">
              <w:rPr>
                <w:rStyle w:val="CommentReference"/>
                <w:rFonts w:eastAsia="Times New Roman"/>
              </w:rPr>
              <w:t xml:space="preserve"> </w:t>
            </w:r>
          </w:p>
        </w:tc>
      </w:tr>
    </w:tbl>
    <w:p w:rsidR="00C370E3" w:rsidRDefault="00C370E3" w:rsidP="00EF39B8">
      <w:pPr>
        <w:pStyle w:val="Heading1"/>
        <w:numPr>
          <w:ilvl w:val="0"/>
          <w:numId w:val="0"/>
        </w:numPr>
        <w:ind w:left="567" w:hanging="567"/>
        <w:rPr>
          <w:sz w:val="36"/>
          <w:szCs w:val="36"/>
        </w:rPr>
      </w:pPr>
    </w:p>
    <w:p w:rsidR="00C370E3" w:rsidRDefault="00C370E3">
      <w:pPr>
        <w:spacing w:before="0" w:after="0"/>
        <w:rPr>
          <w:b/>
          <w:bCs/>
          <w:sz w:val="36"/>
          <w:szCs w:val="36"/>
        </w:rPr>
      </w:pPr>
      <w:r>
        <w:rPr>
          <w:sz w:val="36"/>
          <w:szCs w:val="36"/>
        </w:rPr>
        <w:br w:type="page"/>
      </w:r>
    </w:p>
    <w:p w:rsidR="00F17913" w:rsidRPr="003624E0" w:rsidRDefault="00041902" w:rsidP="00EF39B8">
      <w:pPr>
        <w:pStyle w:val="Heading1"/>
        <w:numPr>
          <w:ilvl w:val="0"/>
          <w:numId w:val="0"/>
        </w:numPr>
        <w:ind w:left="567" w:hanging="567"/>
        <w:rPr>
          <w:sz w:val="36"/>
          <w:szCs w:val="36"/>
        </w:rPr>
      </w:pPr>
      <w:bookmarkStart w:id="49" w:name="_Toc362446697"/>
      <w:bookmarkStart w:id="50" w:name="_Toc388023534"/>
      <w:r w:rsidRPr="003624E0">
        <w:rPr>
          <w:sz w:val="36"/>
          <w:szCs w:val="36"/>
        </w:rPr>
        <w:t>5</w:t>
      </w:r>
      <w:r w:rsidR="00F17913" w:rsidRPr="003624E0">
        <w:rPr>
          <w:sz w:val="36"/>
          <w:szCs w:val="36"/>
        </w:rPr>
        <w:t xml:space="preserve">. </w:t>
      </w:r>
      <w:r w:rsidR="00F17913" w:rsidRPr="003624E0">
        <w:rPr>
          <w:sz w:val="36"/>
          <w:szCs w:val="36"/>
        </w:rPr>
        <w:tab/>
      </w:r>
      <w:r w:rsidR="0078753E" w:rsidRPr="003624E0">
        <w:rPr>
          <w:sz w:val="36"/>
          <w:szCs w:val="36"/>
        </w:rPr>
        <w:t>P</w:t>
      </w:r>
      <w:r w:rsidR="00C222D7" w:rsidRPr="003624E0">
        <w:rPr>
          <w:sz w:val="36"/>
          <w:szCs w:val="36"/>
        </w:rPr>
        <w:t>revent</w:t>
      </w:r>
      <w:r w:rsidR="0078753E" w:rsidRPr="003624E0">
        <w:rPr>
          <w:sz w:val="36"/>
          <w:szCs w:val="36"/>
        </w:rPr>
        <w:t>ing</w:t>
      </w:r>
      <w:r w:rsidR="00C222D7" w:rsidRPr="003624E0">
        <w:rPr>
          <w:sz w:val="36"/>
          <w:szCs w:val="36"/>
        </w:rPr>
        <w:t xml:space="preserve"> and redress</w:t>
      </w:r>
      <w:r w:rsidR="0078753E" w:rsidRPr="003624E0">
        <w:rPr>
          <w:sz w:val="36"/>
          <w:szCs w:val="36"/>
        </w:rPr>
        <w:t>ing</w:t>
      </w:r>
      <w:r w:rsidR="00C222D7" w:rsidRPr="003624E0">
        <w:rPr>
          <w:sz w:val="36"/>
          <w:szCs w:val="36"/>
        </w:rPr>
        <w:t xml:space="preserve"> sexual harassment</w:t>
      </w:r>
      <w:bookmarkEnd w:id="49"/>
      <w:bookmarkEnd w:id="50"/>
    </w:p>
    <w:p w:rsidR="00A761E8" w:rsidRPr="003624E0" w:rsidRDefault="00AE10C6" w:rsidP="00AE10C6">
      <w:pPr>
        <w:pStyle w:val="SubmissionNormal"/>
        <w:numPr>
          <w:ilvl w:val="0"/>
          <w:numId w:val="0"/>
        </w:numPr>
      </w:pPr>
      <w:r w:rsidRPr="003624E0">
        <w:t>Chapter 5</w:t>
      </w:r>
      <w:r w:rsidRPr="003624E0">
        <w:rPr>
          <w:b/>
        </w:rPr>
        <w:t xml:space="preserve"> </w:t>
      </w:r>
      <w:r w:rsidRPr="003624E0">
        <w:t>identifies practical steps that small, medium and large employers can take to help ensure their workplaces are free of sexual harassment.</w:t>
      </w:r>
      <w:r w:rsidR="00B94F77" w:rsidRPr="003624E0">
        <w:t xml:space="preserve">  It outlines a range of measures that employers can take to help prevent sexual harassment in the workplace.  It also </w:t>
      </w:r>
      <w:r w:rsidR="00F40E8B" w:rsidRPr="003624E0">
        <w:t>identifies a number of steps employer</w:t>
      </w:r>
      <w:r w:rsidR="007C67E7" w:rsidRPr="003624E0">
        <w:t xml:space="preserve">s should take to ensure they respond effectively to allegations of workplace sexual harassment. </w:t>
      </w:r>
      <w:r w:rsidR="00F40E8B" w:rsidRPr="003624E0">
        <w:t xml:space="preserve"> </w:t>
      </w:r>
      <w:r w:rsidRPr="003624E0">
        <w:t xml:space="preserve">  </w:t>
      </w:r>
    </w:p>
    <w:p w:rsidR="00A761E8" w:rsidRPr="003624E0" w:rsidRDefault="00041902" w:rsidP="00BE1E08">
      <w:pPr>
        <w:pStyle w:val="Heading2"/>
        <w:numPr>
          <w:ilvl w:val="0"/>
          <w:numId w:val="0"/>
        </w:numPr>
        <w:ind w:left="567" w:hanging="567"/>
      </w:pPr>
      <w:bookmarkStart w:id="51" w:name="_Toc362446698"/>
      <w:bookmarkStart w:id="52" w:name="_Toc388023535"/>
      <w:proofErr w:type="gramStart"/>
      <w:r w:rsidRPr="003624E0">
        <w:t>5</w:t>
      </w:r>
      <w:r w:rsidR="00BE1E08" w:rsidRPr="003624E0">
        <w:t>.1</w:t>
      </w:r>
      <w:r w:rsidR="00244AE3" w:rsidRPr="003624E0">
        <w:t xml:space="preserve">  </w:t>
      </w:r>
      <w:r w:rsidR="00A761E8" w:rsidRPr="003624E0">
        <w:t>Preventing</w:t>
      </w:r>
      <w:proofErr w:type="gramEnd"/>
      <w:r w:rsidR="00A761E8" w:rsidRPr="003624E0">
        <w:t xml:space="preserve"> sexual harassment</w:t>
      </w:r>
      <w:bookmarkEnd w:id="51"/>
      <w:bookmarkEnd w:id="52"/>
      <w:r w:rsidR="00A761E8" w:rsidRPr="003624E0">
        <w:t xml:space="preserve"> </w:t>
      </w:r>
    </w:p>
    <w:p w:rsidR="00935FD9" w:rsidRPr="003624E0" w:rsidRDefault="00BB0727" w:rsidP="006F5029">
      <w:r w:rsidRPr="003624E0">
        <w:t xml:space="preserve">Every employer, regardless of size, has a duty to take all reasonable steps to prevent sexual harassment in the workplace.  </w:t>
      </w:r>
      <w:r w:rsidR="00400812" w:rsidRPr="003624E0">
        <w:t xml:space="preserve">This means that employers must actively minimise the risk of sexual harassment and respond appropriately when harassment does occur.  </w:t>
      </w:r>
    </w:p>
    <w:p w:rsidR="000139AF" w:rsidRPr="003624E0" w:rsidRDefault="00400812" w:rsidP="006F5029">
      <w:r w:rsidRPr="003624E0">
        <w:t xml:space="preserve">What constitutes reasonable steps is not defined </w:t>
      </w:r>
      <w:r w:rsidR="00043478" w:rsidRPr="003624E0">
        <w:t xml:space="preserve">in </w:t>
      </w:r>
      <w:r w:rsidRPr="003624E0">
        <w:t>the</w:t>
      </w:r>
      <w:r w:rsidR="00662249" w:rsidRPr="003624E0">
        <w:t xml:space="preserve"> Sex Discrimination Act and may</w:t>
      </w:r>
      <w:r w:rsidRPr="003624E0">
        <w:t xml:space="preserve"> vary depending </w:t>
      </w:r>
      <w:r w:rsidR="00662249" w:rsidRPr="003624E0">
        <w:t xml:space="preserve">upon the size, structure and resources of </w:t>
      </w:r>
      <w:r w:rsidR="00AA25A3" w:rsidRPr="003624E0">
        <w:t xml:space="preserve">a particular </w:t>
      </w:r>
      <w:r w:rsidR="00662249" w:rsidRPr="003624E0">
        <w:t>workplace.</w:t>
      </w:r>
      <w:r w:rsidR="00935FD9" w:rsidRPr="003624E0">
        <w:t xml:space="preserve">  However, </w:t>
      </w:r>
      <w:r w:rsidR="007F2316" w:rsidRPr="003624E0">
        <w:t xml:space="preserve">all employers should </w:t>
      </w:r>
      <w:r w:rsidR="00935FD9" w:rsidRPr="003624E0">
        <w:t>adopt a number of essential preventative measures</w:t>
      </w:r>
      <w:r w:rsidR="007F2316" w:rsidRPr="003624E0">
        <w:t>, including:</w:t>
      </w:r>
    </w:p>
    <w:p w:rsidR="007F2316" w:rsidRPr="003624E0" w:rsidRDefault="007F2316" w:rsidP="00935FD9">
      <w:pPr>
        <w:pStyle w:val="ListParagraph"/>
        <w:numPr>
          <w:ilvl w:val="0"/>
          <w:numId w:val="40"/>
        </w:numPr>
        <w:ind w:left="567" w:hanging="567"/>
        <w:contextualSpacing w:val="0"/>
      </w:pPr>
      <w:r w:rsidRPr="003624E0">
        <w:t>creating a healthy and safe wo</w:t>
      </w:r>
      <w:r w:rsidR="00D041F6" w:rsidRPr="003624E0">
        <w:t>rk environment based on respect</w:t>
      </w:r>
    </w:p>
    <w:p w:rsidR="007F2316" w:rsidRPr="003624E0" w:rsidRDefault="007F2316" w:rsidP="00935FD9">
      <w:pPr>
        <w:pStyle w:val="ListParagraph"/>
        <w:numPr>
          <w:ilvl w:val="0"/>
          <w:numId w:val="40"/>
        </w:numPr>
        <w:ind w:left="567" w:hanging="567"/>
        <w:contextualSpacing w:val="0"/>
      </w:pPr>
      <w:r w:rsidRPr="003624E0">
        <w:t>developing and implementing</w:t>
      </w:r>
      <w:r w:rsidR="00D041F6" w:rsidRPr="003624E0">
        <w:t xml:space="preserve"> a sexual harassment policy</w:t>
      </w:r>
    </w:p>
    <w:p w:rsidR="00465E6F" w:rsidRPr="003624E0" w:rsidRDefault="007F2316" w:rsidP="00465E6F">
      <w:pPr>
        <w:pStyle w:val="ListParagraph"/>
        <w:numPr>
          <w:ilvl w:val="0"/>
          <w:numId w:val="40"/>
        </w:numPr>
        <w:ind w:left="567" w:hanging="567"/>
        <w:contextualSpacing w:val="0"/>
      </w:pPr>
      <w:proofErr w:type="gramStart"/>
      <w:r w:rsidRPr="003624E0">
        <w:t>providing</w:t>
      </w:r>
      <w:proofErr w:type="gramEnd"/>
      <w:r w:rsidRPr="003624E0">
        <w:t xml:space="preserve"> or facilitating education and training on sexual harassment</w:t>
      </w:r>
      <w:r w:rsidR="00BF4FA4" w:rsidRPr="003624E0">
        <w:t>.</w:t>
      </w:r>
    </w:p>
    <w:p w:rsidR="009D61F6" w:rsidRPr="003624E0" w:rsidRDefault="009D61F6" w:rsidP="009D61F6">
      <w:pPr>
        <w:pStyle w:val="Heading3"/>
        <w:numPr>
          <w:ilvl w:val="0"/>
          <w:numId w:val="0"/>
        </w:numPr>
        <w:ind w:left="851" w:hanging="851"/>
      </w:pPr>
      <w:bookmarkStart w:id="53" w:name="_Toc362446699"/>
      <w:r w:rsidRPr="003624E0">
        <w:t xml:space="preserve">(a) </w:t>
      </w:r>
      <w:r w:rsidR="00937CDF" w:rsidRPr="003624E0">
        <w:t>Create a healthy and safe work environment based on respect</w:t>
      </w:r>
      <w:bookmarkEnd w:id="53"/>
      <w:r w:rsidR="00937CDF" w:rsidRPr="003624E0">
        <w:t xml:space="preserve"> </w:t>
      </w:r>
    </w:p>
    <w:p w:rsidR="00A5643B" w:rsidRPr="003624E0" w:rsidRDefault="00193796" w:rsidP="0065662A">
      <w:r w:rsidRPr="003624E0">
        <w:t xml:space="preserve">The key to preventing sexual harassment is for employers to </w:t>
      </w:r>
      <w:r w:rsidR="008048D7" w:rsidRPr="003624E0">
        <w:t>send an unequivocal message to</w:t>
      </w:r>
      <w:r w:rsidRPr="003624E0">
        <w:t xml:space="preserve"> every workplace participant that sexual harassment is unacceptable in </w:t>
      </w:r>
      <w:r w:rsidR="00D041F6" w:rsidRPr="003624E0">
        <w:t>the workplace.  The first step toward sending this message is</w:t>
      </w:r>
      <w:r w:rsidRPr="003624E0">
        <w:t xml:space="preserve"> creating a work environment that is healthy, safe and based on </w:t>
      </w:r>
      <w:r w:rsidR="006D1FE7" w:rsidRPr="003624E0">
        <w:t xml:space="preserve">courtesy and </w:t>
      </w:r>
      <w:r w:rsidRPr="003624E0">
        <w:t xml:space="preserve">respect.  </w:t>
      </w:r>
    </w:p>
    <w:p w:rsidR="0065662A" w:rsidRPr="003624E0" w:rsidRDefault="00A5643B" w:rsidP="0065662A">
      <w:r w:rsidRPr="003624E0">
        <w:t>Permitting or ignoring sexist, intimidating or offensive beha</w:t>
      </w:r>
      <w:r w:rsidR="00043478" w:rsidRPr="003624E0">
        <w:t xml:space="preserve">viour creates a </w:t>
      </w:r>
      <w:r w:rsidR="00635F54">
        <w:t xml:space="preserve">chilly or </w:t>
      </w:r>
      <w:r w:rsidR="00043478" w:rsidRPr="003624E0">
        <w:t xml:space="preserve">hostile </w:t>
      </w:r>
      <w:r w:rsidRPr="003624E0">
        <w:t>environment</w:t>
      </w:r>
      <w:r w:rsidR="00B64266" w:rsidRPr="003624E0">
        <w:t xml:space="preserve">.  This can increase the </w:t>
      </w:r>
      <w:r w:rsidR="001E09F8">
        <w:t xml:space="preserve">risk of </w:t>
      </w:r>
      <w:r w:rsidR="00B64266" w:rsidRPr="003624E0">
        <w:t>sexual harassment and have a significant and ongoing negat</w:t>
      </w:r>
      <w:r w:rsidR="00190C7D" w:rsidRPr="003624E0">
        <w:t xml:space="preserve">ive impact on employees and </w:t>
      </w:r>
      <w:r w:rsidR="00B64266" w:rsidRPr="003624E0">
        <w:t xml:space="preserve">business as a whole.  </w:t>
      </w:r>
      <w:r w:rsidR="006D1FE7" w:rsidRPr="003624E0">
        <w:t>By taking positi</w:t>
      </w:r>
      <w:r w:rsidR="00C73761" w:rsidRPr="003624E0">
        <w:t xml:space="preserve">ve steps to create a </w:t>
      </w:r>
      <w:r w:rsidR="006D1FE7" w:rsidRPr="003624E0">
        <w:t>work environment</w:t>
      </w:r>
      <w:r w:rsidR="00C73761" w:rsidRPr="003624E0">
        <w:t xml:space="preserve"> that takes sexual harassment seriously</w:t>
      </w:r>
      <w:r w:rsidR="006D1FE7" w:rsidRPr="003624E0">
        <w:t>, employers can both significantly reduce the instances of sexual harassment in the</w:t>
      </w:r>
      <w:r w:rsidR="00C73761" w:rsidRPr="003624E0">
        <w:t>ir</w:t>
      </w:r>
      <w:r w:rsidR="006D1FE7" w:rsidRPr="003624E0">
        <w:t xml:space="preserve"> workplace and increase the productivity and self-esteem of their employees.</w:t>
      </w:r>
      <w:r w:rsidR="000C43E1" w:rsidRPr="003624E0">
        <w:t xml:space="preserve">  </w:t>
      </w:r>
    </w:p>
    <w:p w:rsidR="000C43E1" w:rsidRPr="003624E0" w:rsidRDefault="000C43E1" w:rsidP="0065662A">
      <w:r w:rsidRPr="003624E0">
        <w:t>Some key steps toward creating a healthy and safe work environment include:</w:t>
      </w:r>
    </w:p>
    <w:p w:rsidR="00127E7E" w:rsidRDefault="00F57886" w:rsidP="000926F1">
      <w:pPr>
        <w:pStyle w:val="ListParagraph"/>
        <w:numPr>
          <w:ilvl w:val="0"/>
          <w:numId w:val="40"/>
        </w:numPr>
        <w:ind w:left="567" w:hanging="567"/>
        <w:contextualSpacing w:val="0"/>
      </w:pPr>
      <w:r>
        <w:t xml:space="preserve">distributing </w:t>
      </w:r>
      <w:r w:rsidR="00127E7E">
        <w:t>communications from senior leaders that sexual harassment is unlawful and will not be tolerated in the workplace</w:t>
      </w:r>
    </w:p>
    <w:p w:rsidR="00C73761" w:rsidRPr="003624E0" w:rsidRDefault="000C43E1" w:rsidP="000926F1">
      <w:pPr>
        <w:pStyle w:val="ListParagraph"/>
        <w:numPr>
          <w:ilvl w:val="0"/>
          <w:numId w:val="40"/>
        </w:numPr>
        <w:ind w:left="567" w:hanging="567"/>
        <w:contextualSpacing w:val="0"/>
      </w:pPr>
      <w:r w:rsidRPr="003624E0">
        <w:t xml:space="preserve">setting expectations for senior leaders to model appropriate behaviour </w:t>
      </w:r>
      <w:r w:rsidR="00C73761" w:rsidRPr="003624E0">
        <w:t>and respond swiftly and effectively to sexual harassment complaints</w:t>
      </w:r>
    </w:p>
    <w:p w:rsidR="000361E0" w:rsidRDefault="000361E0" w:rsidP="000926F1">
      <w:pPr>
        <w:pStyle w:val="ListParagraph"/>
        <w:numPr>
          <w:ilvl w:val="0"/>
          <w:numId w:val="40"/>
        </w:numPr>
        <w:ind w:left="567" w:hanging="567"/>
        <w:contextualSpacing w:val="0"/>
      </w:pPr>
      <w:r>
        <w:t>responding promptly to any concerns raised</w:t>
      </w:r>
    </w:p>
    <w:p w:rsidR="000C43E1" w:rsidRPr="003624E0" w:rsidRDefault="00C73761" w:rsidP="000926F1">
      <w:pPr>
        <w:pStyle w:val="ListParagraph"/>
        <w:numPr>
          <w:ilvl w:val="0"/>
          <w:numId w:val="40"/>
        </w:numPr>
        <w:ind w:left="567" w:hanging="567"/>
        <w:contextualSpacing w:val="0"/>
      </w:pPr>
      <w:r w:rsidRPr="003624E0">
        <w:t>supporting and encouraging bystand</w:t>
      </w:r>
      <w:r w:rsidR="00A5643B" w:rsidRPr="003624E0">
        <w:t>ers to report any inappropriate or sexist behaviour</w:t>
      </w:r>
    </w:p>
    <w:p w:rsidR="0080736A" w:rsidRPr="003624E0" w:rsidRDefault="000926F1" w:rsidP="0080736A">
      <w:pPr>
        <w:pStyle w:val="ListParagraph"/>
        <w:numPr>
          <w:ilvl w:val="0"/>
          <w:numId w:val="40"/>
        </w:numPr>
        <w:ind w:left="567" w:hanging="567"/>
        <w:contextualSpacing w:val="0"/>
      </w:pPr>
      <w:r w:rsidRPr="003624E0">
        <w:t>removing offensive, sexually explicit or po</w:t>
      </w:r>
      <w:r w:rsidR="0080736A" w:rsidRPr="003624E0">
        <w:t>rnographic materials</w:t>
      </w:r>
      <w:r w:rsidRPr="003624E0">
        <w:t xml:space="preserve"> from the workplace</w:t>
      </w:r>
    </w:p>
    <w:p w:rsidR="0080736A" w:rsidRPr="003624E0" w:rsidRDefault="00005E54" w:rsidP="0080736A">
      <w:pPr>
        <w:pStyle w:val="ListParagraph"/>
        <w:numPr>
          <w:ilvl w:val="0"/>
          <w:numId w:val="40"/>
        </w:numPr>
        <w:ind w:left="567" w:hanging="567"/>
        <w:contextualSpacing w:val="0"/>
      </w:pPr>
      <w:r w:rsidRPr="003624E0">
        <w:t>ensuring workplace polic</w:t>
      </w:r>
      <w:r w:rsidR="004C2E89">
        <w:t>ies</w:t>
      </w:r>
      <w:r w:rsidRPr="003624E0">
        <w:t xml:space="preserve"> </w:t>
      </w:r>
      <w:r w:rsidR="0080736A" w:rsidRPr="003624E0">
        <w:t>prohibiting inappropriate use of technology</w:t>
      </w:r>
      <w:r w:rsidRPr="003624E0">
        <w:t xml:space="preserve"> address sexual harassment</w:t>
      </w:r>
    </w:p>
    <w:p w:rsidR="000926F1" w:rsidRPr="003624E0" w:rsidRDefault="000926F1" w:rsidP="000926F1">
      <w:pPr>
        <w:pStyle w:val="ListParagraph"/>
        <w:numPr>
          <w:ilvl w:val="0"/>
          <w:numId w:val="40"/>
        </w:numPr>
        <w:ind w:left="567" w:hanging="567"/>
        <w:contextualSpacing w:val="0"/>
      </w:pPr>
      <w:r w:rsidRPr="003624E0">
        <w:t xml:space="preserve">distributing and displaying posters and pamphlets </w:t>
      </w:r>
      <w:r w:rsidR="00C73761" w:rsidRPr="003624E0">
        <w:t>that explain rights and obligations around sexual harassment</w:t>
      </w:r>
    </w:p>
    <w:p w:rsidR="00634629" w:rsidRPr="003624E0" w:rsidRDefault="00634629" w:rsidP="000926F1">
      <w:pPr>
        <w:pStyle w:val="ListParagraph"/>
        <w:numPr>
          <w:ilvl w:val="0"/>
          <w:numId w:val="40"/>
        </w:numPr>
        <w:ind w:left="567" w:hanging="567"/>
        <w:contextualSpacing w:val="0"/>
      </w:pPr>
      <w:proofErr w:type="gramStart"/>
      <w:r w:rsidRPr="003624E0">
        <w:t>conducting</w:t>
      </w:r>
      <w:proofErr w:type="gramEnd"/>
      <w:r w:rsidRPr="003624E0">
        <w:t xml:space="preserve"> regular audits to monitor the incidence of sexual harassment and effectiveness of the complaint process</w:t>
      </w:r>
      <w:r w:rsidR="00BF4FA4" w:rsidRPr="003624E0">
        <w:t>.</w:t>
      </w:r>
    </w:p>
    <w:p w:rsidR="003A71F7" w:rsidRPr="003624E0" w:rsidRDefault="003A71F7" w:rsidP="003A71F7">
      <w:pPr>
        <w:pStyle w:val="Heading3"/>
        <w:numPr>
          <w:ilvl w:val="0"/>
          <w:numId w:val="0"/>
        </w:numPr>
        <w:ind w:left="851" w:hanging="851"/>
      </w:pPr>
      <w:bookmarkStart w:id="54" w:name="_Toc362446700"/>
      <w:r w:rsidRPr="003624E0">
        <w:t>(</w:t>
      </w:r>
      <w:r w:rsidR="009D61F6" w:rsidRPr="003624E0">
        <w:t>b</w:t>
      </w:r>
      <w:r w:rsidRPr="003624E0">
        <w:t>) Develop and implement a sexual harassment policy</w:t>
      </w:r>
      <w:bookmarkEnd w:id="54"/>
    </w:p>
    <w:p w:rsidR="0062278C" w:rsidRPr="003624E0" w:rsidRDefault="0062278C" w:rsidP="003A71F7">
      <w:r w:rsidRPr="003624E0">
        <w:t xml:space="preserve">A </w:t>
      </w:r>
      <w:r w:rsidR="00193796" w:rsidRPr="003624E0">
        <w:t>crucial</w:t>
      </w:r>
      <w:r w:rsidRPr="003624E0">
        <w:t xml:space="preserve"> aspect of prevention is the development and implementation of a written </w:t>
      </w:r>
      <w:r w:rsidR="008B7C03" w:rsidRPr="003624E0">
        <w:t xml:space="preserve">workplace </w:t>
      </w:r>
      <w:r w:rsidRPr="003624E0">
        <w:t xml:space="preserve">policy that makes it clear that sexual harassment </w:t>
      </w:r>
      <w:r w:rsidR="008B7C03" w:rsidRPr="003624E0">
        <w:t xml:space="preserve">is unlawful and </w:t>
      </w:r>
      <w:r w:rsidRPr="003624E0">
        <w:t>will not be tolerated under any circumstances.</w:t>
      </w:r>
      <w:r w:rsidR="00FE74DA" w:rsidRPr="003624E0">
        <w:t xml:space="preserve">  </w:t>
      </w:r>
      <w:r w:rsidR="00F30173" w:rsidRPr="003624E0">
        <w:t xml:space="preserve">Employers might develop </w:t>
      </w:r>
      <w:r w:rsidR="00FE74DA" w:rsidRPr="003624E0">
        <w:t>a stand</w:t>
      </w:r>
      <w:r w:rsidR="00D35032" w:rsidRPr="003624E0">
        <w:t>-</w:t>
      </w:r>
      <w:r w:rsidR="00FE74DA" w:rsidRPr="003624E0">
        <w:t xml:space="preserve">alone </w:t>
      </w:r>
      <w:r w:rsidRPr="003624E0">
        <w:t>policy</w:t>
      </w:r>
      <w:r w:rsidR="00FE74DA" w:rsidRPr="003624E0">
        <w:t xml:space="preserve"> on </w:t>
      </w:r>
      <w:r w:rsidR="00F30173" w:rsidRPr="003624E0">
        <w:t xml:space="preserve">workplace </w:t>
      </w:r>
      <w:r w:rsidR="00FE74DA" w:rsidRPr="003624E0">
        <w:t xml:space="preserve">sexual harassment or </w:t>
      </w:r>
      <w:r w:rsidR="00F30173" w:rsidRPr="003624E0">
        <w:t xml:space="preserve">incorporate sexual harassment into </w:t>
      </w:r>
      <w:r w:rsidR="00FE74DA" w:rsidRPr="003624E0">
        <w:t>a</w:t>
      </w:r>
      <w:r w:rsidRPr="003624E0">
        <w:t xml:space="preserve"> </w:t>
      </w:r>
      <w:r w:rsidR="00FE74DA" w:rsidRPr="003624E0">
        <w:t xml:space="preserve">broader </w:t>
      </w:r>
      <w:r w:rsidRPr="003624E0">
        <w:t>policy on workplace harassment</w:t>
      </w:r>
      <w:r w:rsidR="00FE74DA" w:rsidRPr="003624E0">
        <w:t>.</w:t>
      </w:r>
      <w:r w:rsidR="00A066E4" w:rsidRPr="003624E0">
        <w:t xml:space="preserve">  </w:t>
      </w:r>
      <w:r w:rsidR="00AB035C">
        <w:t>For businesses ope</w:t>
      </w:r>
      <w:r w:rsidR="00DF0F1C">
        <w:t>rating internationally, it may</w:t>
      </w:r>
      <w:r w:rsidR="00AB035C">
        <w:t xml:space="preserve"> be important to consider how</w:t>
      </w:r>
      <w:r w:rsidR="00B611D7">
        <w:t xml:space="preserve"> to maximise the safety of workplace participants and how</w:t>
      </w:r>
      <w:r w:rsidR="00AB035C">
        <w:t xml:space="preserve"> the policy does or does not apply in foreign countries.  Further, </w:t>
      </w:r>
      <w:r w:rsidR="00CB095C">
        <w:t>a</w:t>
      </w:r>
      <w:r w:rsidR="00A066E4" w:rsidRPr="003624E0">
        <w:t xml:space="preserve">s the </w:t>
      </w:r>
      <w:r w:rsidR="00190C7D" w:rsidRPr="003624E0">
        <w:t>range of technologies used</w:t>
      </w:r>
      <w:r w:rsidR="00A066E4" w:rsidRPr="003624E0">
        <w:t xml:space="preserve"> in the workpla</w:t>
      </w:r>
      <w:r w:rsidR="00190C7D" w:rsidRPr="003624E0">
        <w:t>ce expands</w:t>
      </w:r>
      <w:r w:rsidR="00A066E4" w:rsidRPr="003624E0">
        <w:t xml:space="preserve">, employers should also consider </w:t>
      </w:r>
      <w:r w:rsidR="009622C6" w:rsidRPr="003624E0">
        <w:t>addressing sexual harassment in their internet policy.</w:t>
      </w:r>
    </w:p>
    <w:p w:rsidR="00177217" w:rsidRPr="003624E0" w:rsidRDefault="00177217" w:rsidP="003A71F7">
      <w:r w:rsidRPr="003624E0">
        <w:t>Sexual harassment policies can vary between workplaces.  However, there are a number of key elements that should be included in any sexual harassment policy.</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177217" w:rsidRPr="003624E0">
        <w:trPr>
          <w:trHeight w:val="503"/>
        </w:trPr>
        <w:tc>
          <w:tcPr>
            <w:tcW w:w="9071" w:type="dxa"/>
            <w:shd w:val="clear" w:color="auto" w:fill="DAEEF3" w:themeFill="accent5" w:themeFillTint="33"/>
            <w:tcMar>
              <w:top w:w="227" w:type="dxa"/>
              <w:left w:w="227" w:type="dxa"/>
              <w:bottom w:w="255" w:type="dxa"/>
              <w:right w:w="227" w:type="dxa"/>
            </w:tcMar>
          </w:tcPr>
          <w:p w:rsidR="00177217" w:rsidRPr="003624E0" w:rsidRDefault="00177217" w:rsidP="005240C6">
            <w:pPr>
              <w:rPr>
                <w:b/>
              </w:rPr>
            </w:pPr>
            <w:r w:rsidRPr="003624E0">
              <w:rPr>
                <w:b/>
              </w:rPr>
              <w:t>1. Recognise that sexual harassment will not be tolerated</w:t>
            </w:r>
          </w:p>
          <w:p w:rsidR="00177217" w:rsidRPr="003624E0" w:rsidRDefault="00177217" w:rsidP="005240C6">
            <w:pPr>
              <w:rPr>
                <w:sz w:val="22"/>
              </w:rPr>
            </w:pPr>
            <w:r w:rsidRPr="003624E0">
              <w:rPr>
                <w:sz w:val="22"/>
              </w:rPr>
              <w:t xml:space="preserve">A sexual </w:t>
            </w:r>
            <w:r w:rsidR="009F6A40" w:rsidRPr="003624E0">
              <w:rPr>
                <w:sz w:val="22"/>
              </w:rPr>
              <w:t xml:space="preserve">harassment </w:t>
            </w:r>
            <w:r w:rsidRPr="003624E0">
              <w:rPr>
                <w:sz w:val="22"/>
              </w:rPr>
              <w:t>policy should include an opening statement from the chief executive officer that recognises that:</w:t>
            </w:r>
          </w:p>
          <w:p w:rsidR="00177217" w:rsidRPr="003624E0" w:rsidRDefault="00177217" w:rsidP="007F2316">
            <w:pPr>
              <w:pStyle w:val="ListParagraph"/>
              <w:numPr>
                <w:ilvl w:val="0"/>
                <w:numId w:val="42"/>
              </w:numPr>
              <w:ind w:left="556" w:hanging="499"/>
              <w:contextualSpacing w:val="0"/>
              <w:rPr>
                <w:b/>
                <w:i/>
                <w:sz w:val="22"/>
              </w:rPr>
            </w:pPr>
            <w:r w:rsidRPr="003624E0">
              <w:rPr>
                <w:sz w:val="22"/>
              </w:rPr>
              <w:t>the employer is committed to ensuring a safe work environment free from sexual harassment</w:t>
            </w:r>
          </w:p>
          <w:p w:rsidR="00177217" w:rsidRPr="003624E0" w:rsidRDefault="00177217" w:rsidP="007F2316">
            <w:pPr>
              <w:pStyle w:val="ListParagraph"/>
              <w:numPr>
                <w:ilvl w:val="0"/>
                <w:numId w:val="42"/>
              </w:numPr>
              <w:ind w:left="556" w:hanging="499"/>
              <w:contextualSpacing w:val="0"/>
              <w:rPr>
                <w:b/>
                <w:i/>
                <w:sz w:val="22"/>
              </w:rPr>
            </w:pPr>
            <w:r w:rsidRPr="003624E0">
              <w:rPr>
                <w:sz w:val="22"/>
              </w:rPr>
              <w:t>sexual harassment will not be tolerated under any circumstance</w:t>
            </w:r>
          </w:p>
          <w:p w:rsidR="00177217" w:rsidRPr="003624E0" w:rsidRDefault="00177217" w:rsidP="007F2316">
            <w:pPr>
              <w:pStyle w:val="ListParagraph"/>
              <w:numPr>
                <w:ilvl w:val="0"/>
                <w:numId w:val="42"/>
              </w:numPr>
              <w:ind w:left="556" w:hanging="499"/>
              <w:contextualSpacing w:val="0"/>
              <w:rPr>
                <w:b/>
                <w:i/>
                <w:sz w:val="22"/>
              </w:rPr>
            </w:pPr>
            <w:r w:rsidRPr="003624E0">
              <w:rPr>
                <w:sz w:val="22"/>
              </w:rPr>
              <w:t xml:space="preserve">swift disciplinary action will be taken against </w:t>
            </w:r>
            <w:r w:rsidR="00D84330" w:rsidRPr="003624E0">
              <w:rPr>
                <w:sz w:val="22"/>
              </w:rPr>
              <w:t>anyone who breaches the policy</w:t>
            </w:r>
          </w:p>
          <w:p w:rsidR="00D84330" w:rsidRPr="003624E0" w:rsidRDefault="00D84330" w:rsidP="007F2316">
            <w:pPr>
              <w:pStyle w:val="ListParagraph"/>
              <w:numPr>
                <w:ilvl w:val="0"/>
                <w:numId w:val="42"/>
              </w:numPr>
              <w:ind w:left="556" w:hanging="499"/>
              <w:contextualSpacing w:val="0"/>
              <w:rPr>
                <w:b/>
                <w:i/>
                <w:sz w:val="22"/>
              </w:rPr>
            </w:pPr>
            <w:r w:rsidRPr="003624E0">
              <w:rPr>
                <w:sz w:val="22"/>
              </w:rPr>
              <w:t>bystanders will be supported</w:t>
            </w:r>
            <w:r w:rsidR="00A066E4" w:rsidRPr="003624E0">
              <w:rPr>
                <w:sz w:val="22"/>
              </w:rPr>
              <w:t xml:space="preserve"> </w:t>
            </w:r>
            <w:r w:rsidR="009F6A40" w:rsidRPr="003624E0">
              <w:rPr>
                <w:sz w:val="22"/>
              </w:rPr>
              <w:t>to take action against sexual harassment</w:t>
            </w:r>
          </w:p>
          <w:p w:rsidR="00177217" w:rsidRPr="003624E0" w:rsidRDefault="00177217" w:rsidP="007F2316">
            <w:pPr>
              <w:pStyle w:val="ListParagraph"/>
              <w:numPr>
                <w:ilvl w:val="0"/>
                <w:numId w:val="42"/>
              </w:numPr>
              <w:ind w:left="556" w:hanging="499"/>
              <w:contextualSpacing w:val="0"/>
              <w:rPr>
                <w:b/>
                <w:i/>
                <w:sz w:val="22"/>
              </w:rPr>
            </w:pPr>
            <w:proofErr w:type="gramStart"/>
            <w:r w:rsidRPr="003624E0">
              <w:rPr>
                <w:sz w:val="22"/>
              </w:rPr>
              <w:t>appropriate</w:t>
            </w:r>
            <w:proofErr w:type="gramEnd"/>
            <w:r w:rsidRPr="003624E0">
              <w:rPr>
                <w:sz w:val="22"/>
              </w:rPr>
              <w:t xml:space="preserve"> stan</w:t>
            </w:r>
            <w:r w:rsidR="00190C7D" w:rsidRPr="003624E0">
              <w:rPr>
                <w:sz w:val="22"/>
              </w:rPr>
              <w:t xml:space="preserve">dards of conduct </w:t>
            </w:r>
            <w:r w:rsidR="00D23DE0" w:rsidRPr="003624E0">
              <w:rPr>
                <w:sz w:val="22"/>
              </w:rPr>
              <w:t xml:space="preserve">apply </w:t>
            </w:r>
            <w:r w:rsidR="00190C7D" w:rsidRPr="003624E0">
              <w:rPr>
                <w:sz w:val="22"/>
              </w:rPr>
              <w:t>at all times</w:t>
            </w:r>
            <w:r w:rsidR="00BF4FA4" w:rsidRPr="003624E0">
              <w:rPr>
                <w:sz w:val="22"/>
              </w:rPr>
              <w:t>.</w:t>
            </w:r>
          </w:p>
        </w:tc>
      </w:tr>
    </w:tbl>
    <w:p w:rsidR="00177217" w:rsidRPr="003624E0" w:rsidRDefault="00177217" w:rsidP="003A71F7"/>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762380" w:rsidRPr="003624E0">
        <w:trPr>
          <w:trHeight w:val="503"/>
        </w:trPr>
        <w:tc>
          <w:tcPr>
            <w:tcW w:w="9071" w:type="dxa"/>
            <w:shd w:val="clear" w:color="auto" w:fill="DAEEF3" w:themeFill="accent5" w:themeFillTint="33"/>
            <w:tcMar>
              <w:top w:w="227" w:type="dxa"/>
              <w:left w:w="227" w:type="dxa"/>
              <w:bottom w:w="255" w:type="dxa"/>
              <w:right w:w="227" w:type="dxa"/>
            </w:tcMar>
          </w:tcPr>
          <w:p w:rsidR="00513A3F" w:rsidRPr="003624E0" w:rsidRDefault="008F1C5F" w:rsidP="00513A3F">
            <w:pPr>
              <w:rPr>
                <w:b/>
              </w:rPr>
            </w:pPr>
            <w:r w:rsidRPr="003624E0">
              <w:rPr>
                <w:b/>
              </w:rPr>
              <w:t xml:space="preserve">2. </w:t>
            </w:r>
            <w:r w:rsidR="00376C38" w:rsidRPr="003624E0">
              <w:rPr>
                <w:b/>
              </w:rPr>
              <w:t>Recognise</w:t>
            </w:r>
            <w:r w:rsidR="00513A3F" w:rsidRPr="003624E0">
              <w:rPr>
                <w:b/>
              </w:rPr>
              <w:t xml:space="preserve"> that sexual harassment is unlawful </w:t>
            </w:r>
          </w:p>
          <w:p w:rsidR="00762380" w:rsidRPr="003624E0" w:rsidRDefault="00513A3F" w:rsidP="00EE22BF">
            <w:pPr>
              <w:rPr>
                <w:sz w:val="22"/>
              </w:rPr>
            </w:pPr>
            <w:r w:rsidRPr="003624E0">
              <w:rPr>
                <w:sz w:val="22"/>
              </w:rPr>
              <w:t>A sexual harassment policy should inform staff that</w:t>
            </w:r>
            <w:r w:rsidR="00166096" w:rsidRPr="003624E0">
              <w:rPr>
                <w:sz w:val="22"/>
              </w:rPr>
              <w:t xml:space="preserve"> </w:t>
            </w:r>
            <w:r w:rsidRPr="003624E0">
              <w:rPr>
                <w:sz w:val="22"/>
              </w:rPr>
              <w:t>sexual harassment is prohibited under federal and state law</w:t>
            </w:r>
            <w:r w:rsidR="00166096" w:rsidRPr="003624E0">
              <w:rPr>
                <w:sz w:val="22"/>
              </w:rPr>
              <w:t xml:space="preserve">.  It should also inform staff that </w:t>
            </w:r>
            <w:r w:rsidRPr="003624E0">
              <w:rPr>
                <w:sz w:val="22"/>
              </w:rPr>
              <w:t>legal action can be taken against individual employees and the employer for</w:t>
            </w:r>
            <w:r w:rsidR="0061229E" w:rsidRPr="003624E0">
              <w:rPr>
                <w:sz w:val="22"/>
              </w:rPr>
              <w:t xml:space="preserve"> workplace sexual harassment.  </w:t>
            </w:r>
          </w:p>
        </w:tc>
      </w:tr>
    </w:tbl>
    <w:p w:rsidR="00762380" w:rsidRPr="003624E0" w:rsidRDefault="00762380" w:rsidP="003A71F7"/>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5240C6" w:rsidRPr="003624E0">
        <w:trPr>
          <w:trHeight w:val="503"/>
        </w:trPr>
        <w:tc>
          <w:tcPr>
            <w:tcW w:w="9071" w:type="dxa"/>
            <w:shd w:val="clear" w:color="auto" w:fill="DAEEF3" w:themeFill="accent5" w:themeFillTint="33"/>
            <w:tcMar>
              <w:top w:w="227" w:type="dxa"/>
              <w:left w:w="227" w:type="dxa"/>
              <w:bottom w:w="255" w:type="dxa"/>
              <w:right w:w="227" w:type="dxa"/>
            </w:tcMar>
          </w:tcPr>
          <w:p w:rsidR="005240C6" w:rsidRPr="003624E0" w:rsidRDefault="005240C6" w:rsidP="0061229E">
            <w:pPr>
              <w:rPr>
                <w:b/>
              </w:rPr>
            </w:pPr>
            <w:r w:rsidRPr="003624E0">
              <w:rPr>
                <w:b/>
              </w:rPr>
              <w:t>3. Identify</w:t>
            </w:r>
            <w:r w:rsidR="00DF0F1C">
              <w:rPr>
                <w:b/>
              </w:rPr>
              <w:t xml:space="preserve"> the</w:t>
            </w:r>
            <w:r w:rsidRPr="003624E0">
              <w:rPr>
                <w:b/>
              </w:rPr>
              <w:t xml:space="preserve"> strategy for addressing sexual harassment </w:t>
            </w:r>
          </w:p>
          <w:p w:rsidR="005240C6" w:rsidRPr="003624E0" w:rsidRDefault="005240C6" w:rsidP="0061229E">
            <w:pPr>
              <w:rPr>
                <w:sz w:val="22"/>
              </w:rPr>
            </w:pPr>
            <w:r w:rsidRPr="003624E0">
              <w:rPr>
                <w:sz w:val="22"/>
              </w:rPr>
              <w:t>A sexual harassment policy should identify the organisation’s strategy for preventing and redressing sexual harassment.  The policy could note, for instance, that the organisation is committed to</w:t>
            </w:r>
            <w:r w:rsidR="001D468B" w:rsidRPr="003624E0">
              <w:rPr>
                <w:sz w:val="22"/>
              </w:rPr>
              <w:t>:</w:t>
            </w:r>
          </w:p>
          <w:p w:rsidR="005240C6" w:rsidRPr="003624E0" w:rsidRDefault="005240C6" w:rsidP="007F2316">
            <w:pPr>
              <w:pStyle w:val="ListParagraph"/>
              <w:numPr>
                <w:ilvl w:val="0"/>
                <w:numId w:val="42"/>
              </w:numPr>
              <w:ind w:left="556" w:hanging="499"/>
              <w:contextualSpacing w:val="0"/>
              <w:rPr>
                <w:b/>
                <w:i/>
                <w:sz w:val="22"/>
              </w:rPr>
            </w:pPr>
            <w:r w:rsidRPr="003624E0">
              <w:rPr>
                <w:sz w:val="22"/>
              </w:rPr>
              <w:t>creating a working environment that is free from sexual harassment and where all staff members are treated with dignity, courtesy and respect</w:t>
            </w:r>
          </w:p>
          <w:p w:rsidR="005240C6" w:rsidRPr="003624E0" w:rsidRDefault="005240C6" w:rsidP="007F2316">
            <w:pPr>
              <w:pStyle w:val="ListParagraph"/>
              <w:numPr>
                <w:ilvl w:val="0"/>
                <w:numId w:val="42"/>
              </w:numPr>
              <w:ind w:left="556" w:hanging="499"/>
              <w:contextualSpacing w:val="0"/>
              <w:rPr>
                <w:b/>
                <w:i/>
                <w:sz w:val="22"/>
              </w:rPr>
            </w:pPr>
            <w:r w:rsidRPr="003624E0">
              <w:rPr>
                <w:sz w:val="22"/>
              </w:rPr>
              <w:t>implementing training and awareness-raising strategies to ensure that all employees know their rights and responsibilities with respect to sexual harassment</w:t>
            </w:r>
          </w:p>
          <w:p w:rsidR="005240C6" w:rsidRPr="003624E0" w:rsidRDefault="005240C6" w:rsidP="007F2316">
            <w:pPr>
              <w:pStyle w:val="ListParagraph"/>
              <w:numPr>
                <w:ilvl w:val="0"/>
                <w:numId w:val="42"/>
              </w:numPr>
              <w:ind w:left="556" w:hanging="499"/>
              <w:contextualSpacing w:val="0"/>
              <w:rPr>
                <w:b/>
                <w:i/>
                <w:sz w:val="22"/>
              </w:rPr>
            </w:pPr>
            <w:r w:rsidRPr="003624E0">
              <w:rPr>
                <w:sz w:val="22"/>
              </w:rPr>
              <w:t>providing an effective procedure for complaints based on the principle of procedural fairness</w:t>
            </w:r>
          </w:p>
          <w:p w:rsidR="005240C6" w:rsidRPr="003624E0" w:rsidRDefault="005240C6" w:rsidP="007F2316">
            <w:pPr>
              <w:pStyle w:val="ListParagraph"/>
              <w:numPr>
                <w:ilvl w:val="0"/>
                <w:numId w:val="42"/>
              </w:numPr>
              <w:ind w:left="556" w:hanging="499"/>
              <w:contextualSpacing w:val="0"/>
              <w:rPr>
                <w:b/>
                <w:i/>
                <w:sz w:val="22"/>
              </w:rPr>
            </w:pPr>
            <w:r w:rsidRPr="003624E0">
              <w:rPr>
                <w:sz w:val="22"/>
              </w:rPr>
              <w:t>treating all complaints in a sensitive, fair, timely and confidential manner</w:t>
            </w:r>
          </w:p>
          <w:p w:rsidR="005240C6" w:rsidRPr="003624E0" w:rsidRDefault="005240C6" w:rsidP="007F2316">
            <w:pPr>
              <w:pStyle w:val="ListParagraph"/>
              <w:numPr>
                <w:ilvl w:val="0"/>
                <w:numId w:val="42"/>
              </w:numPr>
              <w:ind w:left="556" w:hanging="499"/>
              <w:contextualSpacing w:val="0"/>
              <w:rPr>
                <w:b/>
                <w:i/>
                <w:sz w:val="22"/>
              </w:rPr>
            </w:pPr>
            <w:r w:rsidRPr="003624E0">
              <w:rPr>
                <w:sz w:val="22"/>
              </w:rPr>
              <w:t xml:space="preserve">guaranteeing protection </w:t>
            </w:r>
            <w:r w:rsidR="004C2E89">
              <w:rPr>
                <w:sz w:val="22"/>
              </w:rPr>
              <w:t xml:space="preserve">again </w:t>
            </w:r>
            <w:r w:rsidRPr="003624E0">
              <w:rPr>
                <w:sz w:val="22"/>
              </w:rPr>
              <w:t>any victimi</w:t>
            </w:r>
            <w:r w:rsidR="00FE19E0">
              <w:rPr>
                <w:sz w:val="22"/>
              </w:rPr>
              <w:t>s</w:t>
            </w:r>
            <w:r w:rsidRPr="003624E0">
              <w:rPr>
                <w:sz w:val="22"/>
              </w:rPr>
              <w:t>ation or reprisals</w:t>
            </w:r>
          </w:p>
          <w:p w:rsidR="00FA1AC8" w:rsidRPr="003624E0" w:rsidRDefault="005240C6" w:rsidP="007F2316">
            <w:pPr>
              <w:pStyle w:val="ListParagraph"/>
              <w:numPr>
                <w:ilvl w:val="0"/>
                <w:numId w:val="42"/>
              </w:numPr>
              <w:ind w:left="556" w:hanging="499"/>
              <w:contextualSpacing w:val="0"/>
              <w:rPr>
                <w:b/>
                <w:i/>
                <w:sz w:val="22"/>
              </w:rPr>
            </w:pPr>
            <w:r w:rsidRPr="003624E0">
              <w:rPr>
                <w:sz w:val="22"/>
              </w:rPr>
              <w:t>encouraging the reporting of behaviour that breaches the policy</w:t>
            </w:r>
          </w:p>
          <w:p w:rsidR="005240C6" w:rsidRPr="003624E0" w:rsidRDefault="005240C6" w:rsidP="007F2316">
            <w:pPr>
              <w:pStyle w:val="ListParagraph"/>
              <w:numPr>
                <w:ilvl w:val="0"/>
                <w:numId w:val="42"/>
              </w:numPr>
              <w:ind w:left="556" w:hanging="499"/>
              <w:contextualSpacing w:val="0"/>
              <w:rPr>
                <w:b/>
                <w:i/>
                <w:sz w:val="22"/>
              </w:rPr>
            </w:pPr>
            <w:proofErr w:type="gramStart"/>
            <w:r w:rsidRPr="003624E0">
              <w:rPr>
                <w:sz w:val="22"/>
              </w:rPr>
              <w:t>promoting</w:t>
            </w:r>
            <w:proofErr w:type="gramEnd"/>
            <w:r w:rsidRPr="003624E0">
              <w:rPr>
                <w:sz w:val="22"/>
              </w:rPr>
              <w:t xml:space="preserve"> appropriate standards of conduct at all times.  </w:t>
            </w:r>
          </w:p>
        </w:tc>
      </w:tr>
    </w:tbl>
    <w:p w:rsidR="005240C6" w:rsidRPr="003624E0" w:rsidRDefault="005240C6" w:rsidP="003A71F7"/>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5240C6" w:rsidRPr="003624E0">
        <w:trPr>
          <w:trHeight w:val="503"/>
        </w:trPr>
        <w:tc>
          <w:tcPr>
            <w:tcW w:w="9071" w:type="dxa"/>
            <w:shd w:val="clear" w:color="auto" w:fill="DAEEF3" w:themeFill="accent5" w:themeFillTint="33"/>
            <w:tcMar>
              <w:top w:w="227" w:type="dxa"/>
              <w:left w:w="227" w:type="dxa"/>
              <w:bottom w:w="255" w:type="dxa"/>
              <w:right w:w="227" w:type="dxa"/>
            </w:tcMar>
          </w:tcPr>
          <w:p w:rsidR="005240C6" w:rsidRPr="003624E0" w:rsidRDefault="00BF0A3D" w:rsidP="005240C6">
            <w:pPr>
              <w:rPr>
                <w:b/>
              </w:rPr>
            </w:pPr>
            <w:r w:rsidRPr="003624E0">
              <w:rPr>
                <w:b/>
              </w:rPr>
              <w:t>4. Clearly d</w:t>
            </w:r>
            <w:r w:rsidR="005240C6" w:rsidRPr="003624E0">
              <w:rPr>
                <w:b/>
              </w:rPr>
              <w:t>efine</w:t>
            </w:r>
            <w:r w:rsidRPr="003624E0">
              <w:rPr>
                <w:b/>
              </w:rPr>
              <w:t xml:space="preserve"> </w:t>
            </w:r>
            <w:r w:rsidR="005240C6" w:rsidRPr="003624E0">
              <w:rPr>
                <w:b/>
              </w:rPr>
              <w:t>sexual harassment</w:t>
            </w:r>
          </w:p>
          <w:p w:rsidR="004C363B" w:rsidRPr="003624E0" w:rsidRDefault="004C363B" w:rsidP="005240C6">
            <w:pPr>
              <w:rPr>
                <w:sz w:val="22"/>
              </w:rPr>
            </w:pPr>
            <w:r w:rsidRPr="003624E0">
              <w:rPr>
                <w:sz w:val="22"/>
              </w:rPr>
              <w:t>Workplace participants need to have a clear understanding of sexual harassment.  It is therefore important that employers include a definition of</w:t>
            </w:r>
            <w:r w:rsidR="005240C6" w:rsidRPr="003624E0">
              <w:rPr>
                <w:sz w:val="22"/>
              </w:rPr>
              <w:t xml:space="preserve"> sexual harassment </w:t>
            </w:r>
            <w:r w:rsidRPr="003624E0">
              <w:rPr>
                <w:sz w:val="22"/>
              </w:rPr>
              <w:t xml:space="preserve">in their </w:t>
            </w:r>
            <w:r w:rsidR="005240C6" w:rsidRPr="003624E0">
              <w:rPr>
                <w:sz w:val="22"/>
              </w:rPr>
              <w:t>policy</w:t>
            </w:r>
            <w:r w:rsidR="005B54F9" w:rsidRPr="003624E0">
              <w:rPr>
                <w:sz w:val="22"/>
              </w:rPr>
              <w:t>.  The definition</w:t>
            </w:r>
            <w:r w:rsidR="00343E14" w:rsidRPr="003624E0">
              <w:rPr>
                <w:sz w:val="22"/>
              </w:rPr>
              <w:t xml:space="preserve"> should emphasise </w:t>
            </w:r>
            <w:r w:rsidR="005B54F9" w:rsidRPr="003624E0">
              <w:rPr>
                <w:sz w:val="22"/>
              </w:rPr>
              <w:t xml:space="preserve">that </w:t>
            </w:r>
            <w:r w:rsidR="00343E14" w:rsidRPr="003624E0">
              <w:rPr>
                <w:sz w:val="22"/>
              </w:rPr>
              <w:t>sexual harassment is unwelcome conduct of a sexual nature</w:t>
            </w:r>
            <w:r w:rsidRPr="003624E0">
              <w:rPr>
                <w:sz w:val="22"/>
              </w:rPr>
              <w:t xml:space="preserve">.  It may also be useful to </w:t>
            </w:r>
            <w:r w:rsidR="00343E14" w:rsidRPr="003624E0">
              <w:rPr>
                <w:sz w:val="22"/>
              </w:rPr>
              <w:t xml:space="preserve">provide </w:t>
            </w:r>
            <w:r w:rsidR="000128D6">
              <w:rPr>
                <w:sz w:val="22"/>
              </w:rPr>
              <w:t xml:space="preserve">behavioural based </w:t>
            </w:r>
            <w:r w:rsidR="00343E14" w:rsidRPr="003624E0">
              <w:rPr>
                <w:sz w:val="22"/>
              </w:rPr>
              <w:t xml:space="preserve">examples </w:t>
            </w:r>
            <w:r w:rsidRPr="003624E0">
              <w:rPr>
                <w:sz w:val="22"/>
              </w:rPr>
              <w:t xml:space="preserve">of sexual harassment </w:t>
            </w:r>
            <w:r w:rsidR="00343E14" w:rsidRPr="003624E0">
              <w:rPr>
                <w:sz w:val="22"/>
              </w:rPr>
              <w:t>that may be relevant to the particular working environment.</w:t>
            </w:r>
            <w:r w:rsidR="00F55BF9" w:rsidRPr="003624E0">
              <w:rPr>
                <w:sz w:val="22"/>
              </w:rPr>
              <w:t xml:space="preserve"> </w:t>
            </w:r>
            <w:r w:rsidR="00D93C05" w:rsidRPr="003624E0">
              <w:rPr>
                <w:sz w:val="22"/>
              </w:rPr>
              <w:t xml:space="preserve"> </w:t>
            </w:r>
          </w:p>
          <w:p w:rsidR="00343E14" w:rsidRPr="003624E0" w:rsidRDefault="004C363B" w:rsidP="005240C6">
            <w:pPr>
              <w:rPr>
                <w:sz w:val="22"/>
              </w:rPr>
            </w:pPr>
            <w:r w:rsidRPr="003624E0">
              <w:rPr>
                <w:sz w:val="22"/>
              </w:rPr>
              <w:t>S</w:t>
            </w:r>
            <w:r w:rsidR="006E6EDB" w:rsidRPr="003624E0">
              <w:rPr>
                <w:sz w:val="22"/>
              </w:rPr>
              <w:t>exual harassment could</w:t>
            </w:r>
            <w:r w:rsidRPr="003624E0">
              <w:rPr>
                <w:sz w:val="22"/>
              </w:rPr>
              <w:t>, for instance,</w:t>
            </w:r>
            <w:r w:rsidR="00343E14" w:rsidRPr="003624E0">
              <w:rPr>
                <w:sz w:val="22"/>
              </w:rPr>
              <w:t xml:space="preserve"> be defined </w:t>
            </w:r>
            <w:r w:rsidRPr="003624E0">
              <w:rPr>
                <w:sz w:val="22"/>
              </w:rPr>
              <w:t>as follows.</w:t>
            </w:r>
          </w:p>
          <w:p w:rsidR="00D34AD4" w:rsidRPr="003624E0" w:rsidRDefault="00343E14" w:rsidP="004C363B">
            <w:pPr>
              <w:ind w:left="543"/>
              <w:rPr>
                <w:i/>
                <w:sz w:val="22"/>
              </w:rPr>
            </w:pPr>
            <w:r w:rsidRPr="003624E0">
              <w:rPr>
                <w:i/>
                <w:sz w:val="22"/>
              </w:rPr>
              <w:t xml:space="preserve">Sexual harassment is </w:t>
            </w:r>
            <w:r w:rsidR="00D34AD4" w:rsidRPr="003624E0">
              <w:rPr>
                <w:i/>
                <w:sz w:val="22"/>
              </w:rPr>
              <w:t xml:space="preserve">unwelcome conduct of a sexual nature that a reasonable person anticipates could possibly make the recipient feel offended, humiliated and/or intimidated.  </w:t>
            </w:r>
          </w:p>
          <w:p w:rsidR="00097E02" w:rsidRPr="003624E0" w:rsidRDefault="00D34AD4" w:rsidP="004C363B">
            <w:pPr>
              <w:ind w:left="543"/>
              <w:rPr>
                <w:i/>
                <w:sz w:val="22"/>
              </w:rPr>
            </w:pPr>
            <w:r w:rsidRPr="003624E0">
              <w:rPr>
                <w:i/>
                <w:sz w:val="22"/>
              </w:rPr>
              <w:t>Sexual harassment can take various forms.  It can involve: unwelcom</w:t>
            </w:r>
            <w:r w:rsidR="00F00C8F">
              <w:rPr>
                <w:i/>
                <w:sz w:val="22"/>
              </w:rPr>
              <w:t>e</w:t>
            </w:r>
            <w:r w:rsidRPr="003624E0">
              <w:rPr>
                <w:i/>
                <w:sz w:val="22"/>
              </w:rPr>
              <w:t xml:space="preserve"> touching, hugging or kissing; staring </w:t>
            </w:r>
            <w:r w:rsidR="00F00C8F">
              <w:rPr>
                <w:i/>
                <w:sz w:val="22"/>
              </w:rPr>
              <w:t xml:space="preserve">or </w:t>
            </w:r>
            <w:r w:rsidRPr="003624E0">
              <w:rPr>
                <w:i/>
                <w:sz w:val="22"/>
              </w:rPr>
              <w:t xml:space="preserve">leering; suggestive comments or jokes; sexually explicit pictures, screen savers or posters; unwanted invitations to go out on dates or requests for sex; intrusive questions about an employee’s private life or body; unnecessary familiarity; insults or taunts based on sex; sexually explicit emails or text messages; suggestive or sexually explicit comments or references on social media networks; accessing sexually explicit internet sites; and behaviour which would also be an offence under the criminal law, such as physical assault, indecent exposure, sexual assault, stalking or obscene communications.    </w:t>
            </w:r>
          </w:p>
          <w:p w:rsidR="00DB5C42" w:rsidRPr="003624E0" w:rsidRDefault="00DB5C42" w:rsidP="005240C6">
            <w:pPr>
              <w:rPr>
                <w:sz w:val="22"/>
              </w:rPr>
            </w:pPr>
            <w:r w:rsidRPr="003624E0">
              <w:rPr>
                <w:sz w:val="22"/>
              </w:rPr>
              <w:t xml:space="preserve">The policy could also clarify that sexual interaction, flirtation, attraction or friendship that is invited, mutual, consensual or reciprocated does not constitute sexual harassment.  </w:t>
            </w:r>
          </w:p>
          <w:p w:rsidR="005240C6" w:rsidRPr="003624E0" w:rsidRDefault="00097E02" w:rsidP="005541F8">
            <w:pPr>
              <w:rPr>
                <w:sz w:val="22"/>
              </w:rPr>
            </w:pPr>
            <w:r w:rsidRPr="003624E0">
              <w:rPr>
                <w:sz w:val="22"/>
              </w:rPr>
              <w:t xml:space="preserve">The policy </w:t>
            </w:r>
            <w:r w:rsidR="00627C70" w:rsidRPr="003624E0">
              <w:rPr>
                <w:sz w:val="22"/>
              </w:rPr>
              <w:t>should also make it clear that s</w:t>
            </w:r>
            <w:r w:rsidR="0045420F" w:rsidRPr="003624E0">
              <w:rPr>
                <w:sz w:val="22"/>
              </w:rPr>
              <w:t>exual harassment can occur</w:t>
            </w:r>
            <w:r w:rsidRPr="003624E0">
              <w:rPr>
                <w:sz w:val="22"/>
              </w:rPr>
              <w:t xml:space="preserve"> </w:t>
            </w:r>
            <w:r w:rsidR="005541F8" w:rsidRPr="003624E0">
              <w:rPr>
                <w:sz w:val="22"/>
              </w:rPr>
              <w:t xml:space="preserve">in any work-related context, including conferences, work functions, office Christmas parties or business trips.  </w:t>
            </w:r>
            <w:r w:rsidR="00627C70" w:rsidRPr="003624E0">
              <w:rPr>
                <w:sz w:val="22"/>
              </w:rPr>
              <w:t>Such</w:t>
            </w:r>
            <w:r w:rsidR="00960FC0" w:rsidRPr="003624E0">
              <w:rPr>
                <w:sz w:val="22"/>
              </w:rPr>
              <w:t xml:space="preserve"> behaviour is also unlawful when it occurs away from the workplace but is a culmination or extension of events in the workplace.  This includes the private use of wo</w:t>
            </w:r>
            <w:r w:rsidR="00A066E4" w:rsidRPr="003624E0">
              <w:rPr>
                <w:sz w:val="22"/>
              </w:rPr>
              <w:t xml:space="preserve">rk mobile phones or comments through email or </w:t>
            </w:r>
            <w:r w:rsidR="00960FC0" w:rsidRPr="003624E0">
              <w:rPr>
                <w:sz w:val="22"/>
              </w:rPr>
              <w:t>social media.</w:t>
            </w:r>
          </w:p>
          <w:p w:rsidR="00393F64" w:rsidRPr="003624E0" w:rsidRDefault="00393F64" w:rsidP="005541F8">
            <w:pPr>
              <w:rPr>
                <w:sz w:val="22"/>
              </w:rPr>
            </w:pPr>
            <w:r w:rsidRPr="003624E0">
              <w:rPr>
                <w:sz w:val="22"/>
              </w:rPr>
              <w:t>(See chapter 2 for further information)</w:t>
            </w:r>
          </w:p>
        </w:tc>
      </w:tr>
    </w:tbl>
    <w:p w:rsidR="0061229E" w:rsidRPr="003624E0" w:rsidRDefault="0061229E" w:rsidP="003A71F7"/>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61229E" w:rsidRPr="003624E0">
        <w:trPr>
          <w:trHeight w:val="503"/>
        </w:trPr>
        <w:tc>
          <w:tcPr>
            <w:tcW w:w="9071" w:type="dxa"/>
            <w:shd w:val="clear" w:color="auto" w:fill="DAEEF3" w:themeFill="accent5" w:themeFillTint="33"/>
            <w:tcMar>
              <w:top w:w="227" w:type="dxa"/>
              <w:left w:w="227" w:type="dxa"/>
              <w:bottom w:w="255" w:type="dxa"/>
              <w:right w:w="227" w:type="dxa"/>
            </w:tcMar>
          </w:tcPr>
          <w:p w:rsidR="0061229E" w:rsidRPr="003624E0" w:rsidRDefault="0061229E" w:rsidP="0061229E">
            <w:pPr>
              <w:rPr>
                <w:b/>
                <w:sz w:val="22"/>
              </w:rPr>
            </w:pPr>
            <w:r w:rsidRPr="003624E0">
              <w:rPr>
                <w:b/>
              </w:rPr>
              <w:t>5. Explain the conseq</w:t>
            </w:r>
            <w:r w:rsidR="00CD2966" w:rsidRPr="003624E0">
              <w:rPr>
                <w:b/>
              </w:rPr>
              <w:t xml:space="preserve">uences of breaching the policy </w:t>
            </w:r>
            <w:r w:rsidRPr="003624E0">
              <w:rPr>
                <w:b/>
                <w:sz w:val="22"/>
              </w:rPr>
              <w:t xml:space="preserve"> </w:t>
            </w:r>
          </w:p>
          <w:p w:rsidR="00F97D4F" w:rsidRPr="003624E0" w:rsidRDefault="0045420F" w:rsidP="00F97D4F">
            <w:pPr>
              <w:rPr>
                <w:sz w:val="22"/>
                <w:szCs w:val="22"/>
              </w:rPr>
            </w:pPr>
            <w:r w:rsidRPr="003624E0">
              <w:rPr>
                <w:sz w:val="22"/>
                <w:szCs w:val="22"/>
              </w:rPr>
              <w:t xml:space="preserve">A sexual harassment policy should operate as a general warning </w:t>
            </w:r>
            <w:r w:rsidR="00A52D99" w:rsidRPr="003624E0">
              <w:rPr>
                <w:sz w:val="22"/>
                <w:szCs w:val="22"/>
              </w:rPr>
              <w:t xml:space="preserve">to all employees of the consequences of non-compliance.  </w:t>
            </w:r>
            <w:r w:rsidR="00B90EC1" w:rsidRPr="003624E0">
              <w:rPr>
                <w:sz w:val="22"/>
                <w:szCs w:val="22"/>
              </w:rPr>
              <w:t xml:space="preserve">The policy should therefore clearly identify the various consequences of breaching the policy.  </w:t>
            </w:r>
            <w:r w:rsidR="0062104F" w:rsidRPr="003624E0">
              <w:rPr>
                <w:sz w:val="22"/>
                <w:szCs w:val="22"/>
              </w:rPr>
              <w:t xml:space="preserve">Depending on the severity of the case, </w:t>
            </w:r>
            <w:r w:rsidR="00B90EC1" w:rsidRPr="003624E0">
              <w:rPr>
                <w:sz w:val="22"/>
                <w:szCs w:val="22"/>
              </w:rPr>
              <w:t xml:space="preserve">this might </w:t>
            </w:r>
            <w:r w:rsidR="0062104F" w:rsidRPr="003624E0">
              <w:rPr>
                <w:sz w:val="22"/>
                <w:szCs w:val="22"/>
              </w:rPr>
              <w:t xml:space="preserve">include </w:t>
            </w:r>
            <w:r w:rsidR="00B90EC1" w:rsidRPr="003624E0">
              <w:rPr>
                <w:sz w:val="22"/>
                <w:szCs w:val="22"/>
              </w:rPr>
              <w:t xml:space="preserve">making an </w:t>
            </w:r>
            <w:r w:rsidR="0062104F" w:rsidRPr="003624E0">
              <w:rPr>
                <w:sz w:val="22"/>
                <w:szCs w:val="22"/>
              </w:rPr>
              <w:t>apology, counselling, transfer, dismissal or demotion.</w:t>
            </w:r>
          </w:p>
          <w:p w:rsidR="00393F64" w:rsidRPr="003624E0" w:rsidRDefault="00393F64" w:rsidP="00F97D4F">
            <w:pPr>
              <w:rPr>
                <w:sz w:val="22"/>
                <w:szCs w:val="22"/>
              </w:rPr>
            </w:pPr>
            <w:r w:rsidRPr="003624E0">
              <w:rPr>
                <w:sz w:val="22"/>
                <w:szCs w:val="22"/>
              </w:rPr>
              <w:t>(See chapters 3 and 4 for further information)</w:t>
            </w:r>
          </w:p>
        </w:tc>
      </w:tr>
    </w:tbl>
    <w:p w:rsidR="0061229E" w:rsidRPr="003624E0" w:rsidRDefault="0061229E" w:rsidP="003A71F7"/>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61229E" w:rsidRPr="003624E0">
        <w:trPr>
          <w:trHeight w:val="503"/>
        </w:trPr>
        <w:tc>
          <w:tcPr>
            <w:tcW w:w="9071" w:type="dxa"/>
            <w:shd w:val="clear" w:color="auto" w:fill="DAEEF3" w:themeFill="accent5" w:themeFillTint="33"/>
            <w:tcMar>
              <w:top w:w="227" w:type="dxa"/>
              <w:left w:w="227" w:type="dxa"/>
              <w:bottom w:w="255" w:type="dxa"/>
              <w:right w:w="227" w:type="dxa"/>
            </w:tcMar>
          </w:tcPr>
          <w:p w:rsidR="0061229E" w:rsidRPr="003624E0" w:rsidRDefault="0061229E" w:rsidP="0061229E">
            <w:pPr>
              <w:rPr>
                <w:b/>
                <w:sz w:val="22"/>
              </w:rPr>
            </w:pPr>
            <w:r w:rsidRPr="003624E0">
              <w:rPr>
                <w:b/>
              </w:rPr>
              <w:t>6. Identify the responsibi</w:t>
            </w:r>
            <w:r w:rsidR="00FA1AC8" w:rsidRPr="003624E0">
              <w:rPr>
                <w:b/>
              </w:rPr>
              <w:t xml:space="preserve">lities of management and staff </w:t>
            </w:r>
            <w:r w:rsidRPr="003624E0">
              <w:rPr>
                <w:b/>
                <w:sz w:val="22"/>
              </w:rPr>
              <w:t xml:space="preserve"> </w:t>
            </w:r>
          </w:p>
          <w:p w:rsidR="00BC7769" w:rsidRPr="003624E0" w:rsidRDefault="009E3B20" w:rsidP="00BC7769">
            <w:pPr>
              <w:rPr>
                <w:sz w:val="22"/>
              </w:rPr>
            </w:pPr>
            <w:r w:rsidRPr="003624E0">
              <w:rPr>
                <w:sz w:val="22"/>
              </w:rPr>
              <w:t>A sexual harassment policy should make it clear that a</w:t>
            </w:r>
            <w:r w:rsidR="00505E46" w:rsidRPr="003624E0">
              <w:rPr>
                <w:sz w:val="22"/>
              </w:rPr>
              <w:t xml:space="preserve">ll staff have responsibilities </w:t>
            </w:r>
            <w:r w:rsidR="00BC7769" w:rsidRPr="003624E0">
              <w:rPr>
                <w:sz w:val="22"/>
              </w:rPr>
              <w:t>to comply with the sexual harassment policy</w:t>
            </w:r>
            <w:r w:rsidR="00505E46" w:rsidRPr="003624E0">
              <w:rPr>
                <w:sz w:val="22"/>
              </w:rPr>
              <w:t>.</w:t>
            </w:r>
            <w:r w:rsidR="00C015A6" w:rsidRPr="003624E0">
              <w:rPr>
                <w:sz w:val="22"/>
              </w:rPr>
              <w:t xml:space="preserve">  </w:t>
            </w:r>
            <w:r w:rsidR="0000343B" w:rsidRPr="003624E0">
              <w:rPr>
                <w:sz w:val="22"/>
              </w:rPr>
              <w:t xml:space="preserve">The policy should also identify the responsibilities of specific staff, for example complaints and contact officers (see section 5.2(a) below) and managers and supervisors.  </w:t>
            </w:r>
            <w:r w:rsidR="00BC7769" w:rsidRPr="003624E0">
              <w:rPr>
                <w:sz w:val="22"/>
              </w:rPr>
              <w:t xml:space="preserve">Additional manager and supervisor responsibilities </w:t>
            </w:r>
            <w:r w:rsidR="0000343B" w:rsidRPr="003624E0">
              <w:rPr>
                <w:sz w:val="22"/>
              </w:rPr>
              <w:t xml:space="preserve">should </w:t>
            </w:r>
            <w:r w:rsidR="00BC7769" w:rsidRPr="003624E0">
              <w:rPr>
                <w:sz w:val="22"/>
              </w:rPr>
              <w:t>include:</w:t>
            </w:r>
          </w:p>
          <w:p w:rsidR="00BC7769" w:rsidRPr="003624E0" w:rsidRDefault="00BC7769" w:rsidP="007F2316">
            <w:pPr>
              <w:pStyle w:val="ListParagraph"/>
              <w:numPr>
                <w:ilvl w:val="0"/>
                <w:numId w:val="42"/>
              </w:numPr>
              <w:ind w:left="556" w:hanging="499"/>
              <w:contextualSpacing w:val="0"/>
              <w:rPr>
                <w:sz w:val="22"/>
              </w:rPr>
            </w:pPr>
            <w:r w:rsidRPr="003624E0">
              <w:rPr>
                <w:sz w:val="22"/>
              </w:rPr>
              <w:t xml:space="preserve">monitoring the working environment to ensure </w:t>
            </w:r>
            <w:r w:rsidR="00D041F6" w:rsidRPr="003624E0">
              <w:rPr>
                <w:sz w:val="22"/>
              </w:rPr>
              <w:t>acceptable standards of conduct</w:t>
            </w:r>
          </w:p>
          <w:p w:rsidR="00BC7769" w:rsidRPr="003624E0" w:rsidRDefault="00BC7769" w:rsidP="007F2316">
            <w:pPr>
              <w:pStyle w:val="ListParagraph"/>
              <w:numPr>
                <w:ilvl w:val="0"/>
                <w:numId w:val="42"/>
              </w:numPr>
              <w:ind w:left="556" w:hanging="499"/>
              <w:contextualSpacing w:val="0"/>
              <w:rPr>
                <w:sz w:val="22"/>
              </w:rPr>
            </w:pPr>
            <w:r w:rsidRPr="003624E0">
              <w:rPr>
                <w:sz w:val="22"/>
              </w:rPr>
              <w:t>modelling appropriate behaviours themselve</w:t>
            </w:r>
            <w:r w:rsidR="00D041F6" w:rsidRPr="003624E0">
              <w:rPr>
                <w:sz w:val="22"/>
              </w:rPr>
              <w:t>s</w:t>
            </w:r>
          </w:p>
          <w:p w:rsidR="00BC7769" w:rsidRPr="003624E0" w:rsidRDefault="00BC7769" w:rsidP="007F2316">
            <w:pPr>
              <w:pStyle w:val="ListParagraph"/>
              <w:numPr>
                <w:ilvl w:val="0"/>
                <w:numId w:val="42"/>
              </w:numPr>
              <w:ind w:left="556" w:hanging="499"/>
              <w:contextualSpacing w:val="0"/>
              <w:rPr>
                <w:sz w:val="22"/>
              </w:rPr>
            </w:pPr>
            <w:r w:rsidRPr="003624E0">
              <w:rPr>
                <w:sz w:val="22"/>
              </w:rPr>
              <w:t>promoting the sexual harassment</w:t>
            </w:r>
            <w:r w:rsidR="00684E66" w:rsidRPr="003624E0">
              <w:rPr>
                <w:sz w:val="22"/>
              </w:rPr>
              <w:t xml:space="preserve"> policy within their work areas</w:t>
            </w:r>
          </w:p>
          <w:p w:rsidR="00505E46" w:rsidRPr="003624E0" w:rsidRDefault="00BC7769" w:rsidP="00505E46">
            <w:pPr>
              <w:pStyle w:val="ListParagraph"/>
              <w:numPr>
                <w:ilvl w:val="0"/>
                <w:numId w:val="42"/>
              </w:numPr>
              <w:ind w:left="556" w:hanging="499"/>
              <w:contextualSpacing w:val="0"/>
              <w:rPr>
                <w:sz w:val="22"/>
              </w:rPr>
            </w:pPr>
            <w:proofErr w:type="gramStart"/>
            <w:r w:rsidRPr="003624E0">
              <w:rPr>
                <w:sz w:val="22"/>
              </w:rPr>
              <w:t>treating</w:t>
            </w:r>
            <w:proofErr w:type="gramEnd"/>
            <w:r w:rsidRPr="003624E0">
              <w:rPr>
                <w:sz w:val="22"/>
              </w:rPr>
              <w:t xml:space="preserve"> all complaints seriously and taking immediate action to resolve matt</w:t>
            </w:r>
            <w:r w:rsidR="00505E46" w:rsidRPr="003624E0">
              <w:rPr>
                <w:sz w:val="22"/>
              </w:rPr>
              <w:t>ers or refer to another officer</w:t>
            </w:r>
            <w:r w:rsidR="00684E66" w:rsidRPr="003624E0">
              <w:rPr>
                <w:sz w:val="22"/>
              </w:rPr>
              <w:t>.</w:t>
            </w:r>
          </w:p>
          <w:p w:rsidR="00863923" w:rsidRPr="003624E0" w:rsidRDefault="00863923" w:rsidP="00863923">
            <w:pPr>
              <w:ind w:left="57"/>
              <w:rPr>
                <w:sz w:val="22"/>
              </w:rPr>
            </w:pPr>
            <w:r w:rsidRPr="003624E0">
              <w:rPr>
                <w:sz w:val="22"/>
              </w:rPr>
              <w:t xml:space="preserve">The policy should also include information about the role, rights and responsibilities of bystanders. </w:t>
            </w:r>
          </w:p>
        </w:tc>
      </w:tr>
    </w:tbl>
    <w:p w:rsidR="0061229E" w:rsidRPr="003624E0" w:rsidRDefault="0061229E" w:rsidP="003A71F7"/>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CD2966" w:rsidRPr="003624E0">
        <w:trPr>
          <w:trHeight w:val="503"/>
        </w:trPr>
        <w:tc>
          <w:tcPr>
            <w:tcW w:w="9071" w:type="dxa"/>
            <w:shd w:val="clear" w:color="auto" w:fill="DAEEF3" w:themeFill="accent5" w:themeFillTint="33"/>
            <w:tcMar>
              <w:top w:w="227" w:type="dxa"/>
              <w:left w:w="227" w:type="dxa"/>
              <w:bottom w:w="255" w:type="dxa"/>
              <w:right w:w="227" w:type="dxa"/>
            </w:tcMar>
          </w:tcPr>
          <w:p w:rsidR="00CD2966" w:rsidRPr="003624E0" w:rsidRDefault="00CD2966" w:rsidP="00CD2966">
            <w:pPr>
              <w:rPr>
                <w:b/>
              </w:rPr>
            </w:pPr>
            <w:r w:rsidRPr="003624E0">
              <w:rPr>
                <w:b/>
              </w:rPr>
              <w:t>7.</w:t>
            </w:r>
            <w:r w:rsidR="00DF6C74" w:rsidRPr="003624E0">
              <w:rPr>
                <w:b/>
              </w:rPr>
              <w:t xml:space="preserve"> Outline the available options for dealing with sexual harassment </w:t>
            </w:r>
          </w:p>
          <w:p w:rsidR="00B71707" w:rsidRPr="003624E0" w:rsidRDefault="008C1163" w:rsidP="004C4FA8">
            <w:pPr>
              <w:rPr>
                <w:sz w:val="22"/>
                <w:szCs w:val="22"/>
              </w:rPr>
            </w:pPr>
            <w:r w:rsidRPr="003624E0">
              <w:rPr>
                <w:sz w:val="22"/>
                <w:szCs w:val="22"/>
              </w:rPr>
              <w:t xml:space="preserve">The sexual harassment policy should tell </w:t>
            </w:r>
            <w:r w:rsidR="00B71707" w:rsidRPr="003624E0">
              <w:rPr>
                <w:sz w:val="22"/>
                <w:szCs w:val="22"/>
              </w:rPr>
              <w:t xml:space="preserve">workplace participants </w:t>
            </w:r>
            <w:r w:rsidRPr="003624E0">
              <w:rPr>
                <w:sz w:val="22"/>
                <w:szCs w:val="22"/>
              </w:rPr>
              <w:t>where they can</w:t>
            </w:r>
            <w:r w:rsidR="00B71707" w:rsidRPr="003624E0">
              <w:rPr>
                <w:sz w:val="22"/>
                <w:szCs w:val="22"/>
              </w:rPr>
              <w:t xml:space="preserve"> go to</w:t>
            </w:r>
            <w:r w:rsidRPr="003624E0">
              <w:rPr>
                <w:sz w:val="22"/>
                <w:szCs w:val="22"/>
              </w:rPr>
              <w:t xml:space="preserve"> get help if they are </w:t>
            </w:r>
            <w:r w:rsidR="00C815D0" w:rsidRPr="003624E0">
              <w:rPr>
                <w:sz w:val="22"/>
                <w:szCs w:val="22"/>
              </w:rPr>
              <w:t xml:space="preserve">sexually </w:t>
            </w:r>
            <w:r w:rsidRPr="003624E0">
              <w:rPr>
                <w:sz w:val="22"/>
                <w:szCs w:val="22"/>
              </w:rPr>
              <w:t>harassed</w:t>
            </w:r>
            <w:r w:rsidR="00B71707" w:rsidRPr="003624E0">
              <w:rPr>
                <w:sz w:val="22"/>
                <w:szCs w:val="22"/>
              </w:rPr>
              <w:t xml:space="preserve"> in the workplace or witness sexual harassment</w:t>
            </w:r>
            <w:r w:rsidRPr="003624E0">
              <w:rPr>
                <w:sz w:val="22"/>
                <w:szCs w:val="22"/>
              </w:rPr>
              <w:t xml:space="preserve">.  </w:t>
            </w:r>
            <w:r w:rsidR="00B71707" w:rsidRPr="003624E0">
              <w:rPr>
                <w:sz w:val="22"/>
                <w:szCs w:val="22"/>
              </w:rPr>
              <w:t>At a minimum, the policy should refer</w:t>
            </w:r>
            <w:r w:rsidR="00C815D0" w:rsidRPr="003624E0">
              <w:rPr>
                <w:sz w:val="22"/>
                <w:szCs w:val="22"/>
              </w:rPr>
              <w:t xml:space="preserve"> to the organisation’s sexual </w:t>
            </w:r>
            <w:r w:rsidR="004A07A6" w:rsidRPr="003624E0">
              <w:rPr>
                <w:sz w:val="22"/>
                <w:szCs w:val="22"/>
              </w:rPr>
              <w:t>harassment complaint process</w:t>
            </w:r>
            <w:r w:rsidR="009C16A9" w:rsidRPr="003624E0">
              <w:rPr>
                <w:sz w:val="22"/>
                <w:szCs w:val="22"/>
              </w:rPr>
              <w:t xml:space="preserve"> (see section 5.2(a) below).</w:t>
            </w:r>
            <w:r w:rsidR="00B71707" w:rsidRPr="003624E0">
              <w:rPr>
                <w:sz w:val="22"/>
                <w:szCs w:val="22"/>
              </w:rPr>
              <w:t xml:space="preserve">  Additional sources of support and advice might include the Commission and its state and territory equivalents and the police.</w:t>
            </w:r>
          </w:p>
        </w:tc>
      </w:tr>
    </w:tbl>
    <w:p w:rsidR="003A71F7" w:rsidRPr="003624E0" w:rsidRDefault="003A71F7" w:rsidP="004355A0">
      <w:pPr>
        <w:pStyle w:val="Heading3"/>
        <w:numPr>
          <w:ilvl w:val="0"/>
          <w:numId w:val="0"/>
        </w:numPr>
        <w:ind w:left="851" w:hanging="851"/>
      </w:pPr>
      <w:bookmarkStart w:id="55" w:name="_Toc362446701"/>
      <w:r w:rsidRPr="003624E0">
        <w:t>(</w:t>
      </w:r>
      <w:r w:rsidR="009D61F6" w:rsidRPr="003624E0">
        <w:t>c</w:t>
      </w:r>
      <w:r w:rsidRPr="003624E0">
        <w:t>) Provide or facilitate</w:t>
      </w:r>
      <w:r w:rsidR="00C446D8" w:rsidRPr="003624E0">
        <w:t xml:space="preserve"> education and</w:t>
      </w:r>
      <w:r w:rsidRPr="003624E0">
        <w:t xml:space="preserve"> training on sexual harassment</w:t>
      </w:r>
      <w:bookmarkEnd w:id="55"/>
      <w:r w:rsidR="004355A0" w:rsidRPr="003624E0">
        <w:t xml:space="preserve">  </w:t>
      </w:r>
    </w:p>
    <w:p w:rsidR="004355A0" w:rsidRPr="003624E0" w:rsidRDefault="004355A0" w:rsidP="004355A0">
      <w:r w:rsidRPr="003624E0">
        <w:t xml:space="preserve">A written policy can only be effective in </w:t>
      </w:r>
      <w:r w:rsidR="00884595" w:rsidRPr="003624E0">
        <w:t xml:space="preserve">addressing </w:t>
      </w:r>
      <w:r w:rsidR="00F44F12" w:rsidRPr="003624E0">
        <w:t>sexual harassment if it is implemented</w:t>
      </w:r>
      <w:r w:rsidR="00884595" w:rsidRPr="003624E0">
        <w:t xml:space="preserve"> effectively</w:t>
      </w:r>
      <w:r w:rsidR="00F44F12" w:rsidRPr="003624E0">
        <w:t>.  All workforce participants should be made aware of the policy</w:t>
      </w:r>
      <w:r w:rsidR="00EC1DE1" w:rsidRPr="003624E0">
        <w:t xml:space="preserve"> and their rights and obligations in relation to sexual harassment.  Employers should </w:t>
      </w:r>
      <w:r w:rsidR="00DF6A8F" w:rsidRPr="003624E0">
        <w:t xml:space="preserve">distribute the sexual harassment policy </w:t>
      </w:r>
      <w:r w:rsidR="00821850" w:rsidRPr="003624E0">
        <w:t xml:space="preserve">widely </w:t>
      </w:r>
      <w:r w:rsidR="00EC1DE1" w:rsidRPr="003624E0">
        <w:t xml:space="preserve">and </w:t>
      </w:r>
      <w:r w:rsidR="00FB06C7" w:rsidRPr="003624E0">
        <w:t xml:space="preserve">conduct </w:t>
      </w:r>
      <w:r w:rsidR="00821850" w:rsidRPr="003624E0">
        <w:t xml:space="preserve">regular </w:t>
      </w:r>
      <w:r w:rsidR="00EC1DE1" w:rsidRPr="003624E0">
        <w:t xml:space="preserve">information sessions on </w:t>
      </w:r>
      <w:r w:rsidR="00DF6A8F" w:rsidRPr="003624E0">
        <w:t>compliance</w:t>
      </w:r>
      <w:r w:rsidR="00EC1DE1" w:rsidRPr="003624E0">
        <w:t>.</w:t>
      </w:r>
      <w:r w:rsidR="009D0A8D" w:rsidRPr="003624E0">
        <w:t xml:space="preserve">  This may be achieved by</w:t>
      </w:r>
      <w:r w:rsidR="005704C5" w:rsidRPr="003624E0">
        <w:t>:</w:t>
      </w:r>
    </w:p>
    <w:p w:rsidR="005704C5" w:rsidRPr="003624E0" w:rsidRDefault="005704C5" w:rsidP="009D0A8D">
      <w:pPr>
        <w:pStyle w:val="ListParagraph"/>
        <w:numPr>
          <w:ilvl w:val="0"/>
          <w:numId w:val="30"/>
        </w:numPr>
        <w:ind w:left="567" w:hanging="567"/>
        <w:contextualSpacing w:val="0"/>
      </w:pPr>
      <w:r w:rsidRPr="003624E0">
        <w:t>officially launching the sexual harassment policy at a full staff meeting</w:t>
      </w:r>
      <w:r w:rsidR="00AD5E2D" w:rsidRPr="003624E0">
        <w:t xml:space="preserve"> with endorsement from senior management</w:t>
      </w:r>
    </w:p>
    <w:p w:rsidR="005704C5" w:rsidRPr="003624E0" w:rsidRDefault="00AD5E2D" w:rsidP="009D0A8D">
      <w:pPr>
        <w:pStyle w:val="ListParagraph"/>
        <w:numPr>
          <w:ilvl w:val="0"/>
          <w:numId w:val="30"/>
        </w:numPr>
        <w:ind w:left="567" w:hanging="567"/>
        <w:contextualSpacing w:val="0"/>
      </w:pPr>
      <w:r w:rsidRPr="003624E0">
        <w:t>emailing copies of the policy to all staff members</w:t>
      </w:r>
      <w:r w:rsidR="009D0A8D" w:rsidRPr="003624E0">
        <w:t xml:space="preserve"> and </w:t>
      </w:r>
      <w:r w:rsidR="00261B8E" w:rsidRPr="003624E0">
        <w:t>clearly explaining any new responsibilities to staff members that are promoted to management positions</w:t>
      </w:r>
    </w:p>
    <w:p w:rsidR="009D0A8D" w:rsidRPr="003624E0" w:rsidRDefault="009D0A8D" w:rsidP="009D0A8D">
      <w:pPr>
        <w:pStyle w:val="ListParagraph"/>
        <w:numPr>
          <w:ilvl w:val="0"/>
          <w:numId w:val="30"/>
        </w:numPr>
        <w:ind w:left="567" w:hanging="567"/>
        <w:contextualSpacing w:val="0"/>
      </w:pPr>
      <w:r w:rsidRPr="003624E0">
        <w:t>displaying</w:t>
      </w:r>
      <w:r w:rsidR="00261B8E" w:rsidRPr="003624E0">
        <w:t xml:space="preserve"> the policy on the intranet, </w:t>
      </w:r>
      <w:r w:rsidRPr="003624E0">
        <w:t>office noticeboards</w:t>
      </w:r>
      <w:r w:rsidR="00261B8E" w:rsidRPr="003624E0">
        <w:t xml:space="preserve"> and in induction manuals for new staff members</w:t>
      </w:r>
    </w:p>
    <w:p w:rsidR="00AD5E2D" w:rsidRPr="003624E0" w:rsidRDefault="00AD5E2D" w:rsidP="009D0A8D">
      <w:pPr>
        <w:pStyle w:val="ListParagraph"/>
        <w:numPr>
          <w:ilvl w:val="0"/>
          <w:numId w:val="30"/>
        </w:numPr>
        <w:ind w:left="567" w:hanging="567"/>
        <w:contextualSpacing w:val="0"/>
      </w:pPr>
      <w:r w:rsidRPr="003624E0">
        <w:t xml:space="preserve">ensuring that the policy is accessible to employees from different cultural backgrounds, </w:t>
      </w:r>
      <w:r w:rsidR="004E4684" w:rsidRPr="003624E0">
        <w:t xml:space="preserve">employees </w:t>
      </w:r>
      <w:r w:rsidRPr="003624E0">
        <w:t xml:space="preserve">with disabilities or </w:t>
      </w:r>
      <w:r w:rsidR="004E4684" w:rsidRPr="003624E0">
        <w:t xml:space="preserve">those </w:t>
      </w:r>
      <w:r w:rsidRPr="003624E0">
        <w:t xml:space="preserve">working in remote </w:t>
      </w:r>
      <w:r w:rsidR="004E4684" w:rsidRPr="003624E0">
        <w:t>areas</w:t>
      </w:r>
    </w:p>
    <w:p w:rsidR="00E0593A" w:rsidRPr="003624E0" w:rsidRDefault="00AD5E2D" w:rsidP="00261B8E">
      <w:pPr>
        <w:pStyle w:val="ListParagraph"/>
        <w:numPr>
          <w:ilvl w:val="0"/>
          <w:numId w:val="30"/>
        </w:numPr>
        <w:ind w:left="567" w:hanging="567"/>
        <w:contextualSpacing w:val="0"/>
      </w:pPr>
      <w:r w:rsidRPr="003624E0">
        <w:t>requiring all staff to sign a copy of the policy acknowledging that they understood the content</w:t>
      </w:r>
    </w:p>
    <w:p w:rsidR="00BB0727" w:rsidRPr="003624E0" w:rsidRDefault="00BB0727" w:rsidP="00261B8E">
      <w:pPr>
        <w:pStyle w:val="ListParagraph"/>
        <w:numPr>
          <w:ilvl w:val="0"/>
          <w:numId w:val="30"/>
        </w:numPr>
        <w:ind w:left="567" w:hanging="567"/>
        <w:contextualSpacing w:val="0"/>
      </w:pPr>
      <w:proofErr w:type="gramStart"/>
      <w:r w:rsidRPr="003624E0">
        <w:t>periodically</w:t>
      </w:r>
      <w:proofErr w:type="gramEnd"/>
      <w:r w:rsidRPr="003624E0">
        <w:t xml:space="preserve"> reviewing the policy to ensure it is operating effectively and contains </w:t>
      </w:r>
      <w:r w:rsidR="00821850" w:rsidRPr="003624E0">
        <w:t>current</w:t>
      </w:r>
      <w:r w:rsidRPr="003624E0">
        <w:t xml:space="preserve"> information</w:t>
      </w:r>
      <w:r w:rsidR="00821850" w:rsidRPr="003624E0">
        <w:t xml:space="preserve"> (</w:t>
      </w:r>
      <w:proofErr w:type="spellStart"/>
      <w:r w:rsidR="00821850" w:rsidRPr="003624E0">
        <w:t>eg</w:t>
      </w:r>
      <w:proofErr w:type="spellEnd"/>
      <w:r w:rsidR="00821850" w:rsidRPr="003624E0">
        <w:t xml:space="preserve"> about the law, contact </w:t>
      </w:r>
      <w:r w:rsidR="008E7BC9" w:rsidRPr="003624E0">
        <w:t>and complaint officers)</w:t>
      </w:r>
      <w:r w:rsidR="0074638B" w:rsidRPr="003624E0">
        <w:t>.</w:t>
      </w:r>
    </w:p>
    <w:p w:rsidR="005704C5" w:rsidRPr="003624E0" w:rsidRDefault="00FE3ADA" w:rsidP="00FE3ADA">
      <w:r w:rsidRPr="003624E0">
        <w:t xml:space="preserve">Ongoing training is also important </w:t>
      </w:r>
      <w:r w:rsidR="00DD1D10" w:rsidRPr="003624E0">
        <w:t>in effectively implementing a</w:t>
      </w:r>
      <w:r w:rsidRPr="003624E0">
        <w:t xml:space="preserve"> sexual harassment policy.  Employers should ensure that sexual harassment training forms part of the organisation’s core training, including workplace induction.  </w:t>
      </w:r>
      <w:r w:rsidR="008E7BC9" w:rsidRPr="003624E0">
        <w:t xml:space="preserve"> </w:t>
      </w:r>
    </w:p>
    <w:p w:rsidR="00A761E8" w:rsidRPr="003624E0" w:rsidRDefault="0092616C" w:rsidP="0092616C">
      <w:pPr>
        <w:pStyle w:val="Heading2"/>
        <w:numPr>
          <w:ilvl w:val="0"/>
          <w:numId w:val="0"/>
        </w:numPr>
        <w:ind w:left="851" w:hanging="851"/>
      </w:pPr>
      <w:bookmarkStart w:id="56" w:name="_Toc362446702"/>
      <w:bookmarkStart w:id="57" w:name="_Toc388023536"/>
      <w:proofErr w:type="gramStart"/>
      <w:r w:rsidRPr="003624E0">
        <w:t xml:space="preserve">5.2  </w:t>
      </w:r>
      <w:r w:rsidR="00A761E8" w:rsidRPr="003624E0">
        <w:t>Responding</w:t>
      </w:r>
      <w:proofErr w:type="gramEnd"/>
      <w:r w:rsidR="00A761E8" w:rsidRPr="003624E0">
        <w:t xml:space="preserve"> to sexual harassment</w:t>
      </w:r>
      <w:bookmarkEnd w:id="56"/>
      <w:bookmarkEnd w:id="57"/>
    </w:p>
    <w:p w:rsidR="00DF1928" w:rsidRPr="003624E0" w:rsidRDefault="00DF1928" w:rsidP="00DF1928">
      <w:r w:rsidRPr="003624E0">
        <w:t xml:space="preserve">Employers are required to provide a safe workplace for their employees and, accordingly, must respond effectively to sexual harassment in the workplace.  It is therefore vital that employers develop and implement robust procedures for dealing with sexual harassment complaints.  </w:t>
      </w:r>
    </w:p>
    <w:p w:rsidR="00DF1928" w:rsidRPr="003624E0" w:rsidRDefault="00DF1928" w:rsidP="00DF1928">
      <w:r w:rsidRPr="003624E0">
        <w:t>There are a number of steps that employers can take to enhance the effectiveness of their responses to workplace sexual harassment.  These steps include:</w:t>
      </w:r>
    </w:p>
    <w:p w:rsidR="00DF1928" w:rsidRPr="003624E0" w:rsidRDefault="00DF1928" w:rsidP="00124C0B">
      <w:pPr>
        <w:pStyle w:val="SubmissionNormal"/>
        <w:numPr>
          <w:ilvl w:val="0"/>
          <w:numId w:val="43"/>
        </w:numPr>
        <w:ind w:left="567" w:hanging="567"/>
      </w:pPr>
      <w:r w:rsidRPr="003624E0">
        <w:t xml:space="preserve">establishing and implementing an internal complaint procedure </w:t>
      </w:r>
    </w:p>
    <w:p w:rsidR="00DF1928" w:rsidRDefault="00DF1928" w:rsidP="00124C0B">
      <w:pPr>
        <w:pStyle w:val="SubmissionNormal"/>
        <w:numPr>
          <w:ilvl w:val="0"/>
          <w:numId w:val="43"/>
        </w:numPr>
        <w:ind w:left="567" w:hanging="567"/>
      </w:pPr>
      <w:r w:rsidRPr="003624E0">
        <w:t xml:space="preserve">investigating sexual harassment complaints and taking appropriate remedial action </w:t>
      </w:r>
    </w:p>
    <w:p w:rsidR="00DF1928" w:rsidRPr="003624E0" w:rsidRDefault="00DF1928" w:rsidP="00124C0B">
      <w:pPr>
        <w:pStyle w:val="SubmissionNormal"/>
        <w:numPr>
          <w:ilvl w:val="0"/>
          <w:numId w:val="43"/>
        </w:numPr>
        <w:ind w:left="567" w:hanging="567"/>
      </w:pPr>
      <w:proofErr w:type="gramStart"/>
      <w:r w:rsidRPr="003624E0">
        <w:t>keeping</w:t>
      </w:r>
      <w:proofErr w:type="gramEnd"/>
      <w:r w:rsidRPr="003624E0">
        <w:t xml:space="preserve"> confidential records of complaints.</w:t>
      </w:r>
    </w:p>
    <w:p w:rsidR="005C0134" w:rsidRPr="003624E0" w:rsidRDefault="00DF1928" w:rsidP="00DF1928">
      <w:r w:rsidRPr="003624E0">
        <w:t>Establishing effective procedures for dealing with sexual harassment enables employers to respond to complaints efficiently and fairly and, at the same time, affords employees the opportunity to seek redress for alleged sexual harassment.  An effective complaint procedure also affords employers the opportunity to resolve complaints internally and will likely play an important role in preventing other incidences of sexual harassment.</w:t>
      </w:r>
    </w:p>
    <w:p w:rsidR="009F68F4" w:rsidRPr="003624E0" w:rsidRDefault="00F42CAB" w:rsidP="00F42CAB">
      <w:pPr>
        <w:pStyle w:val="Heading3"/>
        <w:numPr>
          <w:ilvl w:val="0"/>
          <w:numId w:val="0"/>
        </w:numPr>
        <w:ind w:left="851" w:hanging="851"/>
      </w:pPr>
      <w:bookmarkStart w:id="58" w:name="_Toc362446703"/>
      <w:r w:rsidRPr="003624E0">
        <w:t xml:space="preserve">(a) </w:t>
      </w:r>
      <w:r w:rsidR="003A71F7" w:rsidRPr="003624E0">
        <w:t xml:space="preserve">Establish </w:t>
      </w:r>
      <w:r w:rsidR="003C619D" w:rsidRPr="003624E0">
        <w:t>an</w:t>
      </w:r>
      <w:r w:rsidR="0005171C" w:rsidRPr="003624E0">
        <w:t xml:space="preserve">d implement an </w:t>
      </w:r>
      <w:r w:rsidR="003A71F7" w:rsidRPr="003624E0">
        <w:t>i</w:t>
      </w:r>
      <w:r w:rsidR="009F68F4" w:rsidRPr="003624E0">
        <w:t xml:space="preserve">nternal complaint </w:t>
      </w:r>
      <w:r w:rsidR="0005171C" w:rsidRPr="003624E0">
        <w:t>procedure</w:t>
      </w:r>
      <w:bookmarkEnd w:id="58"/>
    </w:p>
    <w:p w:rsidR="0005171C" w:rsidRPr="003624E0" w:rsidRDefault="0005171C" w:rsidP="0005171C">
      <w:r w:rsidRPr="003624E0">
        <w:t xml:space="preserve">Employers should establish an internal complaint procedure for addressing sexual harassment.  This might be a stand-alone procedure for sexual harassment complaints or a broader procedure that deals with a range of workplace complaints, including sexual harassment.  </w:t>
      </w:r>
    </w:p>
    <w:p w:rsidR="00FC2CDA" w:rsidRDefault="0005171C" w:rsidP="0005171C">
      <w:r w:rsidRPr="003624E0">
        <w:t>Employers are free to develop a flexible procedure that suits their organisation’s size, structure and resources.  However, when deciding which type of procedure to establish, it is important that employers keep in mind the potential sensitivities associated with complaints concerning alleged conduct of a sexual nature.</w:t>
      </w:r>
    </w:p>
    <w:p w:rsidR="00BC33C1" w:rsidRDefault="001615EA" w:rsidP="00626C2C">
      <w:pPr>
        <w:rPr>
          <w:color w:val="000000" w:themeColor="text1"/>
        </w:rPr>
      </w:pPr>
      <w:r w:rsidRPr="00650547">
        <w:rPr>
          <w:color w:val="000000" w:themeColor="text1"/>
        </w:rPr>
        <w:t>The purpose of an internal complaint mechanism is to provide an opportunity for a complaint to be made by an employee and for the employer to investigate the complaint, take action to address the situation and resolve the complaint, where this is appropriate. An investigation will usually involve gathering the relevant information, assessing whether or not sexual harassment has occurred and taking appropriate remedial action as needed.</w:t>
      </w:r>
    </w:p>
    <w:p w:rsidR="00626C2C" w:rsidRPr="00A95DB8" w:rsidRDefault="00294CDC" w:rsidP="00626C2C">
      <w:pPr>
        <w:rPr>
          <w:color w:val="000000" w:themeColor="text1"/>
        </w:rPr>
      </w:pPr>
      <w:r w:rsidRPr="00A95DB8">
        <w:rPr>
          <w:color w:val="000000" w:themeColor="text1"/>
        </w:rPr>
        <w:t>A complaint procedure</w:t>
      </w:r>
      <w:r w:rsidR="00626C2C" w:rsidRPr="00A95DB8">
        <w:rPr>
          <w:color w:val="000000" w:themeColor="text1"/>
        </w:rPr>
        <w:t xml:space="preserve"> should be a staged process. Employees should </w:t>
      </w:r>
      <w:r w:rsidR="007E107C" w:rsidRPr="00A95DB8">
        <w:rPr>
          <w:color w:val="000000" w:themeColor="text1"/>
        </w:rPr>
        <w:t xml:space="preserve">be made aware of their right </w:t>
      </w:r>
      <w:r w:rsidR="00626C2C" w:rsidRPr="00A95DB8">
        <w:rPr>
          <w:color w:val="000000" w:themeColor="text1"/>
        </w:rPr>
        <w:t xml:space="preserve">to </w:t>
      </w:r>
      <w:r w:rsidR="007E107C" w:rsidRPr="00A95DB8">
        <w:rPr>
          <w:color w:val="000000" w:themeColor="text1"/>
        </w:rPr>
        <w:t xml:space="preserve">raise an issue with their </w:t>
      </w:r>
      <w:r w:rsidR="00626C2C" w:rsidRPr="00A95DB8">
        <w:rPr>
          <w:color w:val="000000" w:themeColor="text1"/>
        </w:rPr>
        <w:t xml:space="preserve">manager, supervisor, member of the Human Resources team or an equal </w:t>
      </w:r>
      <w:r w:rsidR="007E107C" w:rsidRPr="00A95DB8">
        <w:rPr>
          <w:color w:val="000000" w:themeColor="text1"/>
        </w:rPr>
        <w:t xml:space="preserve">employment opportunity/harassment/equal opportunity </w:t>
      </w:r>
      <w:r w:rsidR="00626C2C" w:rsidRPr="00A95DB8">
        <w:rPr>
          <w:color w:val="000000" w:themeColor="text1"/>
        </w:rPr>
        <w:t xml:space="preserve">or complaints officer as well as the opportunity to lodge a </w:t>
      </w:r>
      <w:r w:rsidR="007E107C" w:rsidRPr="00A95DB8">
        <w:rPr>
          <w:color w:val="000000" w:themeColor="text1"/>
        </w:rPr>
        <w:t xml:space="preserve"> complaint and work through the complaints process should they choose.</w:t>
      </w:r>
      <w:r w:rsidR="00626C2C" w:rsidRPr="00A95DB8">
        <w:rPr>
          <w:color w:val="000000" w:themeColor="text1"/>
        </w:rPr>
        <w:t xml:space="preserve"> </w:t>
      </w:r>
    </w:p>
    <w:p w:rsidR="007E107C" w:rsidRPr="00A95DB8" w:rsidRDefault="00037AE9" w:rsidP="00626C2C">
      <w:pPr>
        <w:rPr>
          <w:color w:val="000000" w:themeColor="text1"/>
        </w:rPr>
      </w:pPr>
      <w:r w:rsidRPr="00A95DB8">
        <w:rPr>
          <w:color w:val="000000" w:themeColor="text1"/>
        </w:rPr>
        <w:t xml:space="preserve">However, employees should </w:t>
      </w:r>
      <w:r w:rsidR="005F46CD" w:rsidRPr="00A95DB8">
        <w:rPr>
          <w:color w:val="000000" w:themeColor="text1"/>
        </w:rPr>
        <w:t xml:space="preserve">be </w:t>
      </w:r>
      <w:r w:rsidRPr="00A95DB8">
        <w:rPr>
          <w:color w:val="000000" w:themeColor="text1"/>
        </w:rPr>
        <w:t>clear</w:t>
      </w:r>
      <w:r w:rsidR="007E107C" w:rsidRPr="00A95DB8">
        <w:rPr>
          <w:color w:val="000000" w:themeColor="text1"/>
        </w:rPr>
        <w:t xml:space="preserve"> that the initial contact person cannot be the same person who investigates or makes decisions in relation to complaints. This initial contact person can only act in a supportive capacity to the person making the complaint.</w:t>
      </w:r>
    </w:p>
    <w:p w:rsidR="00B35EBA" w:rsidRPr="00A95DB8" w:rsidRDefault="00626C2C" w:rsidP="00626C2C">
      <w:pPr>
        <w:rPr>
          <w:color w:val="000000" w:themeColor="text1"/>
        </w:rPr>
      </w:pPr>
      <w:r w:rsidRPr="00A95DB8">
        <w:rPr>
          <w:color w:val="000000" w:themeColor="text1"/>
        </w:rPr>
        <w:t xml:space="preserve">Employers should keep a confidential record of </w:t>
      </w:r>
      <w:r w:rsidR="007E107C" w:rsidRPr="00A95DB8">
        <w:rPr>
          <w:color w:val="000000" w:themeColor="text1"/>
        </w:rPr>
        <w:t>all reports and complaints of sexual harassment, even where those do not proceed through the full complaints process (including investigation).</w:t>
      </w:r>
    </w:p>
    <w:p w:rsidR="007E107C" w:rsidRPr="00A95DB8" w:rsidRDefault="007E107C" w:rsidP="007E107C">
      <w:pPr>
        <w:rPr>
          <w:color w:val="000000" w:themeColor="text1"/>
        </w:rPr>
      </w:pPr>
      <w:r w:rsidRPr="00A95DB8">
        <w:rPr>
          <w:color w:val="000000" w:themeColor="text1"/>
        </w:rPr>
        <w:t xml:space="preserve">Employers should note that </w:t>
      </w:r>
      <w:r w:rsidR="00037AE9" w:rsidRPr="00A95DB8">
        <w:rPr>
          <w:color w:val="000000" w:themeColor="text1"/>
        </w:rPr>
        <w:t xml:space="preserve">if </w:t>
      </w:r>
      <w:r w:rsidRPr="00A95DB8">
        <w:rPr>
          <w:color w:val="000000" w:themeColor="text1"/>
        </w:rPr>
        <w:t xml:space="preserve">an employer is aware of an allegation of sexual harassment or has observed sexual harassment in the workplace </w:t>
      </w:r>
      <w:r w:rsidR="00037AE9" w:rsidRPr="00A95DB8">
        <w:rPr>
          <w:color w:val="000000" w:themeColor="text1"/>
        </w:rPr>
        <w:t>but</w:t>
      </w:r>
      <w:r w:rsidRPr="00A95DB8">
        <w:rPr>
          <w:color w:val="000000" w:themeColor="text1"/>
        </w:rPr>
        <w:t xml:space="preserve"> does not take any action</w:t>
      </w:r>
      <w:r w:rsidR="00037AE9" w:rsidRPr="00A95DB8">
        <w:rPr>
          <w:color w:val="000000" w:themeColor="text1"/>
        </w:rPr>
        <w:t>, the employer</w:t>
      </w:r>
      <w:r w:rsidRPr="00A95DB8">
        <w:rPr>
          <w:color w:val="000000" w:themeColor="text1"/>
        </w:rPr>
        <w:t xml:space="preserve"> may be found </w:t>
      </w:r>
      <w:r w:rsidR="00037AE9" w:rsidRPr="00A95DB8">
        <w:rPr>
          <w:color w:val="000000" w:themeColor="text1"/>
        </w:rPr>
        <w:t>to have neglected to take</w:t>
      </w:r>
      <w:r w:rsidRPr="00A95DB8">
        <w:rPr>
          <w:color w:val="000000" w:themeColor="text1"/>
        </w:rPr>
        <w:t xml:space="preserve"> all reasonable steps to prevent the sexual harassment</w:t>
      </w:r>
      <w:r w:rsidR="00037AE9" w:rsidRPr="00A95DB8">
        <w:rPr>
          <w:color w:val="000000" w:themeColor="text1"/>
        </w:rPr>
        <w:t>,</w:t>
      </w:r>
      <w:r w:rsidRPr="00A95DB8">
        <w:rPr>
          <w:color w:val="000000" w:themeColor="text1"/>
        </w:rPr>
        <w:t xml:space="preserve"> even if the complainant did not want the respondent to take any action at the time of making the complaint</w:t>
      </w:r>
      <w:r w:rsidRPr="00A95DB8">
        <w:rPr>
          <w:rStyle w:val="EndnoteReference"/>
          <w:color w:val="000000" w:themeColor="text1"/>
          <w:sz w:val="24"/>
        </w:rPr>
        <w:endnoteReference w:id="79"/>
      </w:r>
    </w:p>
    <w:p w:rsidR="007D7A9A" w:rsidRPr="003624E0" w:rsidRDefault="0005171C" w:rsidP="007D7A9A">
      <w:pPr>
        <w:spacing w:line="240" w:lineRule="atLeast"/>
        <w:rPr>
          <w:szCs w:val="22"/>
        </w:rPr>
      </w:pPr>
      <w:r w:rsidRPr="003624E0">
        <w:rPr>
          <w:szCs w:val="22"/>
        </w:rPr>
        <w:t>While there is a degree of flexibility, there are a number of key elements that employers should incorporate into their internal complaint procedures.</w:t>
      </w:r>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05171C" w:rsidRPr="003624E0">
        <w:trPr>
          <w:trHeight w:val="503"/>
        </w:trPr>
        <w:tc>
          <w:tcPr>
            <w:tcW w:w="9071" w:type="dxa"/>
            <w:shd w:val="clear" w:color="auto" w:fill="DAEEF3" w:themeFill="accent5" w:themeFillTint="33"/>
            <w:tcMar>
              <w:top w:w="227" w:type="dxa"/>
              <w:left w:w="227" w:type="dxa"/>
              <w:bottom w:w="255" w:type="dxa"/>
              <w:right w:w="227" w:type="dxa"/>
            </w:tcMar>
          </w:tcPr>
          <w:p w:rsidR="0005171C" w:rsidRPr="003624E0" w:rsidRDefault="0005171C" w:rsidP="00020B4F">
            <w:pPr>
              <w:pStyle w:val="VEOHRCListBullet"/>
              <w:numPr>
                <w:ilvl w:val="0"/>
                <w:numId w:val="0"/>
              </w:numPr>
              <w:spacing w:before="240" w:after="240" w:line="240" w:lineRule="auto"/>
              <w:rPr>
                <w:szCs w:val="22"/>
              </w:rPr>
            </w:pPr>
            <w:r w:rsidRPr="003624E0">
              <w:rPr>
                <w:b/>
                <w:szCs w:val="22"/>
              </w:rPr>
              <w:t>1. Establish a complaint procedure that is transparent, efficient</w:t>
            </w:r>
            <w:r w:rsidR="00A85762">
              <w:rPr>
                <w:b/>
                <w:szCs w:val="22"/>
              </w:rPr>
              <w:t>, confidential</w:t>
            </w:r>
            <w:r w:rsidRPr="003624E0">
              <w:rPr>
                <w:b/>
                <w:szCs w:val="22"/>
              </w:rPr>
              <w:t xml:space="preserve"> and fair</w:t>
            </w:r>
          </w:p>
          <w:p w:rsidR="0005171C" w:rsidRPr="003624E0" w:rsidRDefault="0005171C" w:rsidP="00020B4F">
            <w:pPr>
              <w:pStyle w:val="VEOHRCListBullet"/>
              <w:numPr>
                <w:ilvl w:val="0"/>
                <w:numId w:val="0"/>
              </w:numPr>
              <w:spacing w:before="240" w:after="240" w:line="240" w:lineRule="auto"/>
              <w:rPr>
                <w:sz w:val="22"/>
                <w:szCs w:val="22"/>
              </w:rPr>
            </w:pPr>
            <w:r w:rsidRPr="003624E0">
              <w:rPr>
                <w:sz w:val="22"/>
                <w:szCs w:val="22"/>
              </w:rPr>
              <w:t xml:space="preserve">Employers should establish a procedure for receiving internal complaints related to sexual harassment.  They should also ensure that </w:t>
            </w:r>
            <w:r w:rsidRPr="003624E0">
              <w:rPr>
                <w:sz w:val="22"/>
              </w:rPr>
              <w:t>the procedure is implemented and operational in practice.</w:t>
            </w:r>
            <w:r w:rsidRPr="003624E0">
              <w:rPr>
                <w:rStyle w:val="EndnoteReference"/>
                <w:sz w:val="18"/>
              </w:rPr>
              <w:endnoteReference w:id="80"/>
            </w:r>
            <w:r w:rsidRPr="003624E0">
              <w:rPr>
                <w:sz w:val="22"/>
              </w:rPr>
              <w:t xml:space="preserve">  </w:t>
            </w:r>
          </w:p>
          <w:p w:rsidR="0005171C" w:rsidRPr="003624E0" w:rsidRDefault="0005171C" w:rsidP="00020B4F">
            <w:pPr>
              <w:pStyle w:val="VEOHRCListBullet"/>
              <w:numPr>
                <w:ilvl w:val="0"/>
                <w:numId w:val="0"/>
              </w:numPr>
              <w:spacing w:before="240" w:after="240" w:line="240" w:lineRule="auto"/>
              <w:rPr>
                <w:sz w:val="22"/>
                <w:szCs w:val="22"/>
              </w:rPr>
            </w:pPr>
            <w:r w:rsidRPr="003624E0">
              <w:rPr>
                <w:sz w:val="22"/>
                <w:szCs w:val="22"/>
              </w:rPr>
              <w:t>Employers should take care to ensure that the procedure is transparent, efficient</w:t>
            </w:r>
            <w:r w:rsidR="00A85762">
              <w:rPr>
                <w:sz w:val="22"/>
                <w:szCs w:val="22"/>
              </w:rPr>
              <w:t>, confidential</w:t>
            </w:r>
            <w:r w:rsidRPr="003624E0">
              <w:rPr>
                <w:sz w:val="22"/>
                <w:szCs w:val="22"/>
              </w:rPr>
              <w:t xml:space="preserve"> and fair.  For instance, employers should ensure that:</w:t>
            </w:r>
          </w:p>
          <w:p w:rsidR="0005171C" w:rsidRPr="003624E0" w:rsidRDefault="001D7292" w:rsidP="0052233A">
            <w:pPr>
              <w:pStyle w:val="VEOHRCListBullet"/>
              <w:numPr>
                <w:ilvl w:val="0"/>
                <w:numId w:val="45"/>
              </w:numPr>
              <w:spacing w:before="240" w:after="240" w:line="240" w:lineRule="auto"/>
              <w:ind w:left="624" w:hanging="567"/>
              <w:rPr>
                <w:sz w:val="22"/>
                <w:szCs w:val="22"/>
              </w:rPr>
            </w:pPr>
            <w:r>
              <w:rPr>
                <w:sz w:val="22"/>
                <w:szCs w:val="22"/>
              </w:rPr>
              <w:t>workplace participants</w:t>
            </w:r>
            <w:r w:rsidR="0005171C" w:rsidRPr="003624E0">
              <w:rPr>
                <w:sz w:val="22"/>
                <w:szCs w:val="22"/>
              </w:rPr>
              <w:t xml:space="preserve"> are notified of any allegations made against them and are afforded the opportunity to respond to those allegations </w:t>
            </w:r>
          </w:p>
          <w:p w:rsidR="0005171C" w:rsidRPr="003624E0" w:rsidRDefault="001D7292" w:rsidP="0052233A">
            <w:pPr>
              <w:pStyle w:val="VEOHRCListBullet"/>
              <w:numPr>
                <w:ilvl w:val="0"/>
                <w:numId w:val="45"/>
              </w:numPr>
              <w:spacing w:before="240" w:after="240" w:line="240" w:lineRule="auto"/>
              <w:ind w:left="624" w:hanging="567"/>
              <w:rPr>
                <w:sz w:val="22"/>
                <w:szCs w:val="22"/>
              </w:rPr>
            </w:pPr>
            <w:r>
              <w:rPr>
                <w:sz w:val="22"/>
                <w:szCs w:val="22"/>
              </w:rPr>
              <w:t>workplace participants</w:t>
            </w:r>
            <w:r w:rsidR="0005171C" w:rsidRPr="003624E0">
              <w:rPr>
                <w:sz w:val="22"/>
                <w:szCs w:val="22"/>
              </w:rPr>
              <w:t xml:space="preserve"> are informed about the process for resolving complaints</w:t>
            </w:r>
          </w:p>
          <w:p w:rsidR="00B22B84" w:rsidRDefault="0005171C" w:rsidP="00A95DB8">
            <w:pPr>
              <w:pStyle w:val="VEOHRCListBullet"/>
              <w:numPr>
                <w:ilvl w:val="0"/>
                <w:numId w:val="45"/>
              </w:numPr>
              <w:spacing w:before="240" w:after="240" w:line="240" w:lineRule="auto"/>
              <w:ind w:left="624" w:hanging="567"/>
              <w:rPr>
                <w:sz w:val="22"/>
                <w:szCs w:val="22"/>
              </w:rPr>
            </w:pPr>
            <w:r w:rsidRPr="003624E0">
              <w:rPr>
                <w:sz w:val="22"/>
                <w:szCs w:val="22"/>
              </w:rPr>
              <w:t>complaints of sexual harassment are dealt with impartially and without bias</w:t>
            </w:r>
          </w:p>
          <w:p w:rsidR="00B22B84" w:rsidRPr="00A95DB8" w:rsidRDefault="00B22B84" w:rsidP="00A95DB8">
            <w:pPr>
              <w:pStyle w:val="VEOHRCListBullet"/>
              <w:numPr>
                <w:ilvl w:val="0"/>
                <w:numId w:val="45"/>
              </w:numPr>
              <w:spacing w:before="240" w:after="240" w:line="240" w:lineRule="auto"/>
              <w:ind w:left="624" w:hanging="567"/>
              <w:rPr>
                <w:sz w:val="22"/>
                <w:szCs w:val="22"/>
              </w:rPr>
            </w:pPr>
            <w:proofErr w:type="gramStart"/>
            <w:r w:rsidRPr="00A95DB8">
              <w:rPr>
                <w:sz w:val="22"/>
                <w:szCs w:val="22"/>
              </w:rPr>
              <w:t>information</w:t>
            </w:r>
            <w:proofErr w:type="gramEnd"/>
            <w:r w:rsidRPr="00A95DB8">
              <w:rPr>
                <w:sz w:val="22"/>
                <w:szCs w:val="22"/>
              </w:rPr>
              <w:t xml:space="preserve"> about a complaint is only provided to those people who need to know in order for the complaint to be actioned properly</w:t>
            </w:r>
            <w:r>
              <w:t xml:space="preserve">. </w:t>
            </w:r>
          </w:p>
          <w:p w:rsidR="0005171C" w:rsidRPr="003624E0" w:rsidRDefault="00FE0D6B" w:rsidP="0052233A">
            <w:pPr>
              <w:pStyle w:val="VEOHRCListBullet"/>
              <w:numPr>
                <w:ilvl w:val="0"/>
                <w:numId w:val="45"/>
              </w:numPr>
              <w:spacing w:before="240" w:after="240" w:line="240" w:lineRule="auto"/>
              <w:ind w:left="624" w:hanging="567"/>
              <w:rPr>
                <w:sz w:val="22"/>
                <w:szCs w:val="22"/>
              </w:rPr>
            </w:pPr>
            <w:proofErr w:type="gramStart"/>
            <w:r>
              <w:rPr>
                <w:sz w:val="22"/>
                <w:szCs w:val="22"/>
              </w:rPr>
              <w:t>there</w:t>
            </w:r>
            <w:proofErr w:type="gramEnd"/>
            <w:r>
              <w:rPr>
                <w:sz w:val="22"/>
                <w:szCs w:val="22"/>
              </w:rPr>
              <w:t xml:space="preserve"> is</w:t>
            </w:r>
            <w:r w:rsidR="0005171C" w:rsidRPr="003624E0">
              <w:rPr>
                <w:sz w:val="22"/>
                <w:szCs w:val="22"/>
              </w:rPr>
              <w:t xml:space="preserve"> a clearly defined </w:t>
            </w:r>
            <w:r w:rsidR="007F45A7">
              <w:rPr>
                <w:sz w:val="22"/>
                <w:szCs w:val="22"/>
              </w:rPr>
              <w:t xml:space="preserve">review </w:t>
            </w:r>
            <w:r w:rsidR="0005171C" w:rsidRPr="003624E0">
              <w:rPr>
                <w:sz w:val="22"/>
                <w:szCs w:val="22"/>
              </w:rPr>
              <w:t xml:space="preserve">process. </w:t>
            </w:r>
          </w:p>
        </w:tc>
      </w:tr>
    </w:tbl>
    <w:p w:rsidR="0005171C" w:rsidRPr="003624E0" w:rsidRDefault="0005171C" w:rsidP="0005171C"/>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05171C" w:rsidRPr="003624E0">
        <w:trPr>
          <w:trHeight w:val="503"/>
        </w:trPr>
        <w:tc>
          <w:tcPr>
            <w:tcW w:w="9071" w:type="dxa"/>
            <w:shd w:val="clear" w:color="auto" w:fill="DAEEF3" w:themeFill="accent5" w:themeFillTint="33"/>
            <w:tcMar>
              <w:top w:w="227" w:type="dxa"/>
              <w:left w:w="227" w:type="dxa"/>
              <w:bottom w:w="255" w:type="dxa"/>
              <w:right w:w="227" w:type="dxa"/>
            </w:tcMar>
          </w:tcPr>
          <w:p w:rsidR="0005171C" w:rsidRPr="003624E0" w:rsidRDefault="0005171C" w:rsidP="00020B4F">
            <w:pPr>
              <w:pStyle w:val="VEOHRCListBullet2ndlevel"/>
              <w:tabs>
                <w:tab w:val="clear" w:pos="360"/>
              </w:tabs>
              <w:spacing w:before="240"/>
              <w:ind w:left="0" w:firstLine="0"/>
              <w:rPr>
                <w:b/>
                <w:szCs w:val="22"/>
              </w:rPr>
            </w:pPr>
            <w:r w:rsidRPr="003624E0">
              <w:rPr>
                <w:b/>
                <w:szCs w:val="22"/>
              </w:rPr>
              <w:t>2.  Educate workplace participants about the complaint procedure</w:t>
            </w:r>
          </w:p>
          <w:p w:rsidR="0005171C" w:rsidRPr="003624E0" w:rsidRDefault="0005171C" w:rsidP="00020B4F">
            <w:pPr>
              <w:pStyle w:val="VEOHRCListBullet2ndlevel"/>
              <w:tabs>
                <w:tab w:val="clear" w:pos="360"/>
              </w:tabs>
              <w:spacing w:before="240"/>
              <w:ind w:left="0" w:firstLine="0"/>
              <w:rPr>
                <w:sz w:val="22"/>
                <w:szCs w:val="22"/>
              </w:rPr>
            </w:pPr>
            <w:r w:rsidRPr="003624E0">
              <w:rPr>
                <w:sz w:val="22"/>
                <w:szCs w:val="22"/>
              </w:rPr>
              <w:t xml:space="preserve">Workplace participants must be aware of complaint procedures before they can use them to seek redress for sexual harassment.  Employers should therefore regularly inform workforce participants about the existence of internal (and external) complaint procedures and how they can be used to address sexual harassment in the workplace.  </w:t>
            </w:r>
          </w:p>
          <w:p w:rsidR="0005171C" w:rsidRPr="003624E0" w:rsidRDefault="0005171C" w:rsidP="00020B4F">
            <w:pPr>
              <w:pStyle w:val="VEOHRCListBullet2ndlevel"/>
              <w:tabs>
                <w:tab w:val="clear" w:pos="360"/>
              </w:tabs>
              <w:spacing w:before="240"/>
              <w:ind w:left="0" w:firstLine="0"/>
              <w:rPr>
                <w:sz w:val="22"/>
                <w:szCs w:val="22"/>
              </w:rPr>
            </w:pPr>
            <w:r w:rsidRPr="003624E0">
              <w:rPr>
                <w:sz w:val="22"/>
                <w:szCs w:val="22"/>
              </w:rPr>
              <w:t>Employers could, for instance, include information about complaint procedures in induction materials, in workplace training and education and in sexual harassment and other workplace policies.  They could also post information about complaint procedures on the intranet, around the workplace and in bulletins.</w:t>
            </w:r>
          </w:p>
        </w:tc>
      </w:tr>
    </w:tbl>
    <w:p w:rsidR="0005171C" w:rsidRPr="003624E0" w:rsidRDefault="0005171C" w:rsidP="0005171C"/>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05171C" w:rsidRPr="003624E0">
        <w:trPr>
          <w:trHeight w:val="503"/>
        </w:trPr>
        <w:tc>
          <w:tcPr>
            <w:tcW w:w="9071" w:type="dxa"/>
            <w:shd w:val="clear" w:color="auto" w:fill="DAEEF3" w:themeFill="accent5" w:themeFillTint="33"/>
            <w:tcMar>
              <w:top w:w="227" w:type="dxa"/>
              <w:left w:w="227" w:type="dxa"/>
              <w:bottom w:w="255" w:type="dxa"/>
              <w:right w:w="227" w:type="dxa"/>
            </w:tcMar>
          </w:tcPr>
          <w:p w:rsidR="0005171C" w:rsidRPr="003624E0" w:rsidRDefault="0005171C" w:rsidP="00020B4F">
            <w:pPr>
              <w:spacing w:after="0"/>
              <w:rPr>
                <w:b/>
                <w:szCs w:val="22"/>
              </w:rPr>
            </w:pPr>
            <w:r w:rsidRPr="003624E0">
              <w:rPr>
                <w:b/>
                <w:szCs w:val="22"/>
              </w:rPr>
              <w:t xml:space="preserve">3. Appoint and train contact and complaint officers </w:t>
            </w:r>
          </w:p>
          <w:p w:rsidR="0005171C" w:rsidRPr="003624E0" w:rsidRDefault="0005171C" w:rsidP="00020B4F">
            <w:pPr>
              <w:spacing w:after="0"/>
              <w:rPr>
                <w:sz w:val="22"/>
                <w:szCs w:val="22"/>
              </w:rPr>
            </w:pPr>
            <w:r w:rsidRPr="003624E0">
              <w:rPr>
                <w:sz w:val="22"/>
                <w:szCs w:val="22"/>
              </w:rPr>
              <w:t xml:space="preserve">Employers often encourage a person with a complaint to raise it with their immediate supervisor (or another manager if the supervisor is the alleged harasser).  Employers should also identify employees to act as contact or complaint officers.  </w:t>
            </w:r>
          </w:p>
          <w:p w:rsidR="0005171C" w:rsidRPr="003624E0" w:rsidRDefault="0005171C" w:rsidP="00020B4F">
            <w:pPr>
              <w:rPr>
                <w:b/>
                <w:sz w:val="22"/>
                <w:szCs w:val="22"/>
              </w:rPr>
            </w:pPr>
            <w:r w:rsidRPr="003624E0">
              <w:rPr>
                <w:b/>
                <w:sz w:val="22"/>
                <w:szCs w:val="22"/>
              </w:rPr>
              <w:t>Contact officers</w:t>
            </w:r>
          </w:p>
          <w:p w:rsidR="0005171C" w:rsidRPr="003624E0" w:rsidRDefault="0005171C" w:rsidP="00020B4F">
            <w:pPr>
              <w:rPr>
                <w:sz w:val="22"/>
              </w:rPr>
            </w:pPr>
            <w:r w:rsidRPr="003624E0">
              <w:rPr>
                <w:sz w:val="22"/>
                <w:szCs w:val="22"/>
              </w:rPr>
              <w:t xml:space="preserve">Contact officers are </w:t>
            </w:r>
            <w:r w:rsidRPr="003624E0">
              <w:rPr>
                <w:sz w:val="22"/>
              </w:rPr>
              <w:t xml:space="preserve">the first point of contact for a person who alleges sexual harassment and are usually selected from various areas and levels of an organisation.  </w:t>
            </w:r>
          </w:p>
          <w:p w:rsidR="0005171C" w:rsidRPr="003624E0" w:rsidRDefault="0005171C" w:rsidP="00020B4F">
            <w:pPr>
              <w:rPr>
                <w:sz w:val="22"/>
                <w:szCs w:val="22"/>
              </w:rPr>
            </w:pPr>
            <w:r w:rsidRPr="003624E0">
              <w:rPr>
                <w:sz w:val="22"/>
              </w:rPr>
              <w:t xml:space="preserve">Contact officers should: listen to the complaint; provide information about the available avenues of redress; and </w:t>
            </w:r>
            <w:r w:rsidRPr="003624E0">
              <w:rPr>
                <w:sz w:val="22"/>
                <w:szCs w:val="22"/>
              </w:rPr>
              <w:t>assist the complainant or the alleged harasser by acting as a support person</w:t>
            </w:r>
            <w:r w:rsidRPr="003624E0">
              <w:rPr>
                <w:sz w:val="22"/>
              </w:rPr>
              <w:t xml:space="preserve">.  </w:t>
            </w:r>
          </w:p>
          <w:p w:rsidR="0005171C" w:rsidRPr="003624E0" w:rsidRDefault="0005171C" w:rsidP="00020B4F">
            <w:pPr>
              <w:rPr>
                <w:sz w:val="22"/>
                <w:szCs w:val="22"/>
              </w:rPr>
            </w:pPr>
            <w:r w:rsidRPr="003624E0">
              <w:rPr>
                <w:sz w:val="22"/>
              </w:rPr>
              <w:t xml:space="preserve">Contact officers should not: investigate the complaint; counsel the complainant or alleged harasser; present the case for the complainant or alleged harasser at meetings or inquiries; support both parties at the same time; recommend a particular course of action or pre-empt outcomes; or unnecessarily disclose information about the complaint. </w:t>
            </w:r>
          </w:p>
          <w:p w:rsidR="0005171C" w:rsidRPr="003624E0" w:rsidRDefault="0005171C" w:rsidP="00020B4F">
            <w:pPr>
              <w:rPr>
                <w:sz w:val="22"/>
                <w:szCs w:val="22"/>
              </w:rPr>
            </w:pPr>
            <w:r w:rsidRPr="003624E0">
              <w:rPr>
                <w:b/>
                <w:sz w:val="22"/>
                <w:szCs w:val="22"/>
              </w:rPr>
              <w:t>Complaint officers</w:t>
            </w:r>
          </w:p>
          <w:p w:rsidR="0005171C" w:rsidRPr="003624E0" w:rsidRDefault="0005171C" w:rsidP="00020B4F">
            <w:pPr>
              <w:rPr>
                <w:sz w:val="22"/>
                <w:szCs w:val="22"/>
              </w:rPr>
            </w:pPr>
            <w:r w:rsidRPr="003624E0">
              <w:rPr>
                <w:sz w:val="22"/>
                <w:szCs w:val="22"/>
              </w:rPr>
              <w:t xml:space="preserve">Complaint officers take an active role in </w:t>
            </w:r>
            <w:r w:rsidR="00ED29B7">
              <w:rPr>
                <w:sz w:val="22"/>
                <w:szCs w:val="22"/>
              </w:rPr>
              <w:t>managing</w:t>
            </w:r>
            <w:r w:rsidR="00ED29B7" w:rsidRPr="003624E0">
              <w:rPr>
                <w:sz w:val="22"/>
                <w:szCs w:val="22"/>
              </w:rPr>
              <w:t xml:space="preserve"> </w:t>
            </w:r>
            <w:r w:rsidRPr="003624E0">
              <w:rPr>
                <w:sz w:val="22"/>
                <w:szCs w:val="22"/>
              </w:rPr>
              <w:t xml:space="preserve">sexual harassment </w:t>
            </w:r>
            <w:r w:rsidRPr="003624E0">
              <w:rPr>
                <w:sz w:val="22"/>
              </w:rPr>
              <w:t xml:space="preserve">complaints and usually have a relatively senior status within an organisation.  Some organisations contract out formal complaint procedures to professional consultants.  </w:t>
            </w:r>
            <w:r w:rsidRPr="003624E0">
              <w:rPr>
                <w:sz w:val="22"/>
                <w:szCs w:val="22"/>
              </w:rPr>
              <w:t>Owners and employers in small businesses should appoint themselves or a senior employee as the complaint officer</w:t>
            </w:r>
            <w:r w:rsidR="00BC33C1">
              <w:rPr>
                <w:sz w:val="22"/>
                <w:szCs w:val="22"/>
              </w:rPr>
              <w:t>, provided they are not the alleged harasser</w:t>
            </w:r>
            <w:r w:rsidRPr="003624E0">
              <w:rPr>
                <w:sz w:val="22"/>
                <w:szCs w:val="22"/>
              </w:rPr>
              <w:t xml:space="preserve">.   </w:t>
            </w:r>
          </w:p>
          <w:p w:rsidR="0005171C" w:rsidRPr="003624E0" w:rsidRDefault="0005171C" w:rsidP="00020B4F">
            <w:pPr>
              <w:pStyle w:val="VEOHRCListBullet2ndlevel"/>
              <w:tabs>
                <w:tab w:val="clear" w:pos="360"/>
              </w:tabs>
              <w:spacing w:before="240"/>
              <w:ind w:left="0" w:firstLine="0"/>
              <w:rPr>
                <w:sz w:val="22"/>
              </w:rPr>
            </w:pPr>
            <w:r w:rsidRPr="003624E0">
              <w:rPr>
                <w:sz w:val="22"/>
              </w:rPr>
              <w:t xml:space="preserve">Wherever possible, employers should try to appoint and train both male and female sexual harassment complaints and contact officers.  </w:t>
            </w:r>
          </w:p>
          <w:p w:rsidR="0005171C" w:rsidRPr="003624E0" w:rsidRDefault="0005171C" w:rsidP="00020B4F">
            <w:pPr>
              <w:pStyle w:val="VEOHRCListBullet2ndlevel"/>
              <w:tabs>
                <w:tab w:val="clear" w:pos="360"/>
              </w:tabs>
              <w:spacing w:before="240"/>
              <w:ind w:left="0" w:firstLine="0"/>
              <w:rPr>
                <w:b/>
                <w:sz w:val="22"/>
              </w:rPr>
            </w:pPr>
            <w:r w:rsidRPr="003624E0">
              <w:rPr>
                <w:b/>
                <w:sz w:val="22"/>
              </w:rPr>
              <w:t>Training</w:t>
            </w:r>
          </w:p>
          <w:p w:rsidR="0005171C" w:rsidRPr="003624E0" w:rsidRDefault="0005171C" w:rsidP="00ED29B7">
            <w:pPr>
              <w:pStyle w:val="VEOHRCListBullet2ndlevel"/>
              <w:tabs>
                <w:tab w:val="clear" w:pos="360"/>
              </w:tabs>
              <w:spacing w:before="240"/>
              <w:ind w:left="0" w:firstLine="0"/>
              <w:rPr>
                <w:sz w:val="22"/>
              </w:rPr>
            </w:pPr>
            <w:r w:rsidRPr="003624E0">
              <w:rPr>
                <w:sz w:val="22"/>
              </w:rPr>
              <w:t>Sexual harassment complaints may be complex, sensitive and potentially volatile.  Anyone who has responsibility for dealing with complaints should receive specialist training in complaint handling</w:t>
            </w:r>
            <w:r w:rsidR="00ED29B7">
              <w:rPr>
                <w:sz w:val="22"/>
              </w:rPr>
              <w:t xml:space="preserve"> in the area of sexual harassment</w:t>
            </w:r>
            <w:r w:rsidRPr="003624E0">
              <w:rPr>
                <w:sz w:val="22"/>
              </w:rPr>
              <w:t>.</w:t>
            </w:r>
            <w:r w:rsidR="00ED29B7">
              <w:rPr>
                <w:sz w:val="22"/>
              </w:rPr>
              <w:t xml:space="preserve">  Contact the Commission or state or territory anti-discrimination agencies for information about who may be able to assist with training.</w:t>
            </w:r>
            <w:r w:rsidRPr="003624E0">
              <w:rPr>
                <w:sz w:val="22"/>
              </w:rPr>
              <w:t xml:space="preserve">  </w:t>
            </w:r>
          </w:p>
        </w:tc>
      </w:tr>
    </w:tbl>
    <w:p w:rsidR="0005171C" w:rsidRPr="003624E0" w:rsidRDefault="0005171C" w:rsidP="0005171C"/>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05171C" w:rsidRPr="003624E0">
        <w:trPr>
          <w:trHeight w:val="503"/>
        </w:trPr>
        <w:tc>
          <w:tcPr>
            <w:tcW w:w="9071" w:type="dxa"/>
            <w:shd w:val="clear" w:color="auto" w:fill="DAEEF3" w:themeFill="accent5" w:themeFillTint="33"/>
            <w:tcMar>
              <w:top w:w="227" w:type="dxa"/>
              <w:left w:w="227" w:type="dxa"/>
              <w:bottom w:w="255" w:type="dxa"/>
              <w:right w:w="227" w:type="dxa"/>
            </w:tcMar>
          </w:tcPr>
          <w:p w:rsidR="0005171C" w:rsidRPr="003624E0" w:rsidRDefault="0005171C" w:rsidP="00020B4F">
            <w:pPr>
              <w:pStyle w:val="VEOHRCListBullet2ndlevel"/>
              <w:tabs>
                <w:tab w:val="clear" w:pos="360"/>
              </w:tabs>
              <w:spacing w:before="240" w:after="240" w:line="240" w:lineRule="auto"/>
              <w:ind w:left="0" w:firstLine="0"/>
              <w:rPr>
                <w:b/>
                <w:szCs w:val="22"/>
              </w:rPr>
            </w:pPr>
            <w:r w:rsidRPr="003624E0">
              <w:rPr>
                <w:b/>
                <w:szCs w:val="22"/>
              </w:rPr>
              <w:t>4. Establish safeguards to protect against victimi</w:t>
            </w:r>
            <w:r w:rsidR="00FE19E0">
              <w:rPr>
                <w:b/>
                <w:szCs w:val="22"/>
              </w:rPr>
              <w:t>s</w:t>
            </w:r>
            <w:r w:rsidRPr="003624E0">
              <w:rPr>
                <w:b/>
                <w:szCs w:val="22"/>
              </w:rPr>
              <w:t>ation</w:t>
            </w:r>
          </w:p>
          <w:p w:rsidR="0005171C" w:rsidRPr="003624E0" w:rsidRDefault="0005171C" w:rsidP="00020B4F">
            <w:pPr>
              <w:pStyle w:val="VEOHRCListBullet2ndlevel"/>
              <w:tabs>
                <w:tab w:val="clear" w:pos="360"/>
              </w:tabs>
              <w:spacing w:before="240" w:after="240" w:line="240" w:lineRule="auto"/>
              <w:ind w:left="0" w:firstLine="0"/>
              <w:rPr>
                <w:sz w:val="22"/>
                <w:szCs w:val="22"/>
              </w:rPr>
            </w:pPr>
            <w:r w:rsidRPr="003624E0">
              <w:rPr>
                <w:sz w:val="22"/>
                <w:szCs w:val="22"/>
              </w:rPr>
              <w:t>Employers should put in place safeguards to ensure that individuals associated with a sexual harassment complaint, including the complainant and any bystanders, are not victimi</w:t>
            </w:r>
            <w:r w:rsidR="00FE19E0">
              <w:rPr>
                <w:sz w:val="22"/>
                <w:szCs w:val="22"/>
              </w:rPr>
              <w:t>s</w:t>
            </w:r>
            <w:r w:rsidRPr="003624E0">
              <w:rPr>
                <w:sz w:val="22"/>
                <w:szCs w:val="22"/>
              </w:rPr>
              <w:t xml:space="preserve">ed. </w:t>
            </w:r>
          </w:p>
        </w:tc>
      </w:tr>
    </w:tbl>
    <w:p w:rsidR="009D633B" w:rsidRPr="00A95DB8" w:rsidRDefault="009D633B" w:rsidP="00A95DB8">
      <w:bookmarkStart w:id="59" w:name="_Toc362446704"/>
      <w:r w:rsidRPr="00A95DB8">
        <w:t xml:space="preserve">See Appendix 4 for </w:t>
      </w:r>
      <w:r w:rsidRPr="003B2B48">
        <w:t xml:space="preserve">good practice guidelines </w:t>
      </w:r>
      <w:r w:rsidR="00C46D44" w:rsidRPr="00A95DB8">
        <w:t>on</w:t>
      </w:r>
      <w:r w:rsidRPr="003B2B48">
        <w:t xml:space="preserve"> internal complaint processes.</w:t>
      </w:r>
    </w:p>
    <w:p w:rsidR="009F68F4" w:rsidRPr="003624E0" w:rsidRDefault="00F42CAB" w:rsidP="004E4927">
      <w:pPr>
        <w:pStyle w:val="Heading3"/>
        <w:numPr>
          <w:ilvl w:val="0"/>
          <w:numId w:val="0"/>
        </w:numPr>
      </w:pPr>
      <w:r w:rsidRPr="00A95DB8">
        <w:t>(</w:t>
      </w:r>
      <w:r w:rsidR="004E4927" w:rsidRPr="00A95DB8">
        <w:t>b</w:t>
      </w:r>
      <w:r w:rsidRPr="00A95DB8">
        <w:t xml:space="preserve">) </w:t>
      </w:r>
      <w:r w:rsidR="004E4927" w:rsidRPr="00A95DB8">
        <w:t>Investigate sexual harassment complaints and take appropriate remedial action</w:t>
      </w:r>
      <w:bookmarkEnd w:id="59"/>
      <w:r w:rsidR="004E4927" w:rsidRPr="00A95DB8">
        <w:t xml:space="preserve"> </w:t>
      </w:r>
    </w:p>
    <w:p w:rsidR="009002BE" w:rsidRPr="003624E0" w:rsidRDefault="009002BE" w:rsidP="009002BE">
      <w:r w:rsidRPr="003624E0">
        <w:t>It is crucial that employers act immediately to conduct effective investigations into</w:t>
      </w:r>
      <w:r w:rsidR="00DE16C0" w:rsidRPr="003624E0">
        <w:t xml:space="preserve"> individual</w:t>
      </w:r>
      <w:r w:rsidRPr="003624E0">
        <w:t xml:space="preserve"> complaints </w:t>
      </w:r>
      <w:r w:rsidR="00DE16C0" w:rsidRPr="003624E0">
        <w:t xml:space="preserve">of sexual harassment </w:t>
      </w:r>
      <w:r w:rsidRPr="003624E0">
        <w:t>and</w:t>
      </w:r>
      <w:r w:rsidR="00DE16C0" w:rsidRPr="003624E0">
        <w:t>, where appropriate, provide</w:t>
      </w:r>
      <w:r w:rsidRPr="003624E0">
        <w:t xml:space="preserve"> remedial action.  Investigations may be undertaken by a complaint officer, or in </w:t>
      </w:r>
      <w:r w:rsidR="00E31719" w:rsidRPr="003624E0">
        <w:t xml:space="preserve">certain </w:t>
      </w:r>
      <w:r w:rsidRPr="003624E0">
        <w:t xml:space="preserve">cases </w:t>
      </w:r>
      <w:r w:rsidR="00E31719" w:rsidRPr="003624E0">
        <w:t>(</w:t>
      </w:r>
      <w:proofErr w:type="spellStart"/>
      <w:r w:rsidR="00E31719" w:rsidRPr="003624E0">
        <w:t>eg</w:t>
      </w:r>
      <w:proofErr w:type="spellEnd"/>
      <w:r w:rsidR="00E31719" w:rsidRPr="003624E0">
        <w:t xml:space="preserve"> when allegations have been made against </w:t>
      </w:r>
      <w:r w:rsidRPr="003624E0">
        <w:t xml:space="preserve">senior </w:t>
      </w:r>
      <w:r w:rsidR="00E31719" w:rsidRPr="003624E0">
        <w:t xml:space="preserve">staff </w:t>
      </w:r>
      <w:r w:rsidRPr="003624E0">
        <w:t>members</w:t>
      </w:r>
      <w:r w:rsidR="00E31719" w:rsidRPr="003624E0">
        <w:t>)</w:t>
      </w:r>
      <w:r w:rsidRPr="003624E0">
        <w:t>, an external consultant.</w:t>
      </w:r>
    </w:p>
    <w:p w:rsidR="009002BE" w:rsidRPr="003624E0" w:rsidRDefault="009002BE" w:rsidP="009002BE">
      <w:r w:rsidRPr="003624E0">
        <w:t xml:space="preserve">To ensure consistency and fairness, employers should document the steps involved in a formal complaint investigation and clearly inform the parties about the complaint process in advance.  The usual process involves interviewing the parties and examining relevant evidence to determine whether </w:t>
      </w:r>
      <w:r w:rsidR="00C74BC9" w:rsidRPr="003624E0">
        <w:t xml:space="preserve">or not </w:t>
      </w:r>
      <w:r w:rsidRPr="003624E0">
        <w:t xml:space="preserve">the complaint has </w:t>
      </w:r>
      <w:r w:rsidR="007D602F">
        <w:t xml:space="preserve">sufficient </w:t>
      </w:r>
      <w:r w:rsidRPr="003624E0">
        <w:t>substance and what</w:t>
      </w:r>
      <w:r w:rsidR="00C74BC9" w:rsidRPr="003624E0">
        <w:t>, if any,</w:t>
      </w:r>
      <w:r w:rsidRPr="003624E0">
        <w:t xml:space="preserve"> remedial action is appropriate.  A confidential report is then compiled documenting the complaint, the investigation, the finding and the recommended outcome.</w:t>
      </w:r>
      <w:r w:rsidRPr="003624E0">
        <w:rPr>
          <w:rStyle w:val="EndnoteReference"/>
        </w:rPr>
        <w:endnoteReference w:id="81"/>
      </w:r>
      <w:r w:rsidRPr="003624E0">
        <w:t xml:space="preserve">  It is important to explain to both the complainant and </w:t>
      </w:r>
      <w:r w:rsidR="00F61F15">
        <w:t>respondent</w:t>
      </w:r>
      <w:r w:rsidRPr="003624E0">
        <w:t xml:space="preserve"> that they will be allowed the opportunity to respond to any allegations made against them</w:t>
      </w:r>
      <w:r w:rsidR="007D602F">
        <w:t xml:space="preserve"> before the report is finalised and a final decision is made</w:t>
      </w:r>
      <w:r w:rsidRPr="003624E0">
        <w:t>.</w:t>
      </w:r>
    </w:p>
    <w:p w:rsidR="009002BE" w:rsidRPr="003624E0" w:rsidRDefault="009002BE" w:rsidP="009002BE">
      <w:r w:rsidRPr="003624E0">
        <w:t>Those responsible for investigating complaints should consider all available evidence and make their finding on the balance of probabilities</w:t>
      </w:r>
      <w:r w:rsidR="00C74BC9" w:rsidRPr="003624E0">
        <w:t xml:space="preserve"> (</w:t>
      </w:r>
      <w:proofErr w:type="spellStart"/>
      <w:r w:rsidR="00C74BC9" w:rsidRPr="003624E0">
        <w:t>ie</w:t>
      </w:r>
      <w:proofErr w:type="spellEnd"/>
      <w:r w:rsidR="00C74BC9" w:rsidRPr="003624E0">
        <w:t xml:space="preserve"> </w:t>
      </w:r>
      <w:r w:rsidRPr="003624E0">
        <w:t>that it is more probable than not that the harassment did or did not occur</w:t>
      </w:r>
      <w:r w:rsidR="00C74BC9" w:rsidRPr="003624E0">
        <w:t>)</w:t>
      </w:r>
      <w:r w:rsidRPr="003624E0">
        <w:t xml:space="preserve">.  Relevant evidence might include supervisor reports, emails, text messages or the complainant’s personal records.  It is important to note that even if there is insufficient evidence for a complaint to be substantiated, it does not mean that the discrimination did not occur or that the </w:t>
      </w:r>
      <w:r w:rsidR="007D602F">
        <w:t>allegations are untrue</w:t>
      </w:r>
      <w:r w:rsidRPr="003624E0">
        <w:t xml:space="preserve">.  </w:t>
      </w:r>
      <w:r w:rsidRPr="00A95DB8">
        <w:t>Findings may be that harassment did or did not occur, or that it was not possible to make a conclusive finding.</w:t>
      </w:r>
    </w:p>
    <w:p w:rsidR="009002BE" w:rsidRPr="003624E0" w:rsidRDefault="009002BE" w:rsidP="009002BE">
      <w:r w:rsidRPr="003624E0">
        <w:t xml:space="preserve">Remedial actions following a finding of sexual harassment can range from an apology to disciplinary action against the </w:t>
      </w:r>
      <w:r w:rsidR="007D602F">
        <w:t xml:space="preserve">person found to have engaged in harassment </w:t>
      </w:r>
      <w:r w:rsidRPr="003624E0">
        <w:t xml:space="preserve">(such as demotion, transfer, suspension, probation or dismissal).  Disturbingly, in recent years, </w:t>
      </w:r>
      <w:r w:rsidR="00B7550B">
        <w:t>we</w:t>
      </w:r>
      <w:r w:rsidR="00B7550B" w:rsidRPr="003624E0">
        <w:t xml:space="preserve"> </w:t>
      </w:r>
      <w:r w:rsidRPr="003624E0">
        <w:t xml:space="preserve">have seen an increase in the number of people </w:t>
      </w:r>
      <w:r w:rsidR="00F61F15">
        <w:t>alleging</w:t>
      </w:r>
      <w:r w:rsidR="00F61F15" w:rsidRPr="003624E0">
        <w:t xml:space="preserve"> </w:t>
      </w:r>
      <w:r w:rsidRPr="003624E0">
        <w:t xml:space="preserve">negative consequences as a result of reporting sexual </w:t>
      </w:r>
      <w:r w:rsidRPr="00A95DB8">
        <w:t>harassment,</w:t>
      </w:r>
      <w:r w:rsidRPr="003624E0">
        <w:rPr>
          <w:rStyle w:val="EndnoteReference"/>
        </w:rPr>
        <w:endnoteReference w:id="82"/>
      </w:r>
      <w:r w:rsidRPr="003624E0">
        <w:t xml:space="preserve"> for example, through a reduction in hours, demotion or workplace bullying.  Employers should implement safeguards against victimi</w:t>
      </w:r>
      <w:r w:rsidR="00FE19E0">
        <w:t>s</w:t>
      </w:r>
      <w:r w:rsidRPr="003624E0">
        <w:t xml:space="preserve">ation to ensure that the outcome of a complaint does not disadvantage the complainant in any way. </w:t>
      </w:r>
    </w:p>
    <w:p w:rsidR="0084762B" w:rsidRDefault="009002BE" w:rsidP="004653B4">
      <w:r w:rsidRPr="003624E0">
        <w:t xml:space="preserve">In addition to taking remedial action in the individual case, </w:t>
      </w:r>
      <w:r w:rsidR="007D602F">
        <w:t>it is good practice</w:t>
      </w:r>
      <w:r w:rsidR="000A3759" w:rsidRPr="003624E0">
        <w:t xml:space="preserve"> </w:t>
      </w:r>
      <w:r w:rsidR="007D602F">
        <w:t xml:space="preserve">for employers to make </w:t>
      </w:r>
      <w:r w:rsidRPr="003624E0">
        <w:t xml:space="preserve">systemic changes to </w:t>
      </w:r>
      <w:r w:rsidR="000A3759" w:rsidRPr="003624E0">
        <w:t>their workplace to prevent the recurrence of sexual harassment and to avoid any perception that sexual harassment is condoned by them</w:t>
      </w:r>
      <w:r w:rsidRPr="003624E0">
        <w:t xml:space="preserve">. </w:t>
      </w:r>
      <w:r w:rsidR="00C250C0">
        <w:t xml:space="preserve">For example, reissue discrimination and harassment policies or </w:t>
      </w:r>
      <w:r w:rsidR="00C250C0" w:rsidRPr="009D3818">
        <w:t>codes of conduct</w:t>
      </w:r>
      <w:r w:rsidR="00C250C0">
        <w:t xml:space="preserve"> to all employees. </w:t>
      </w:r>
      <w:r w:rsidR="006225ED" w:rsidRPr="003624E0">
        <w:t>Employers should also follow up with the person who reported their concerns a few months later, to check whether their concerns remain, and to monitor the relationships involved.</w:t>
      </w:r>
      <w:r w:rsidR="000361E0">
        <w:t xml:space="preserve"> </w:t>
      </w:r>
    </w:p>
    <w:p w:rsidR="004653B4" w:rsidRDefault="009002BE" w:rsidP="004653B4">
      <w:r w:rsidRPr="003624E0">
        <w:t xml:space="preserve">Whenever a complaint is made, </w:t>
      </w:r>
      <w:r w:rsidR="00087853">
        <w:t>even where allegations have not been admitted or substantiated</w:t>
      </w:r>
      <w:r w:rsidRPr="003624E0">
        <w:t xml:space="preserve">, </w:t>
      </w:r>
      <w:r w:rsidR="00087853">
        <w:t xml:space="preserve">it may still be appropriate for an employer to </w:t>
      </w:r>
      <w:r w:rsidR="006225ED">
        <w:t>take action to prevent future sexual harassment in the workplace. For instance, i</w:t>
      </w:r>
      <w:r w:rsidR="006225ED" w:rsidRPr="003624E0">
        <w:t xml:space="preserve">t is a good time </w:t>
      </w:r>
      <w:r w:rsidR="006225ED">
        <w:t xml:space="preserve">to </w:t>
      </w:r>
      <w:r w:rsidRPr="003624E0">
        <w:t xml:space="preserve">consider the internal processes for preventing and responding to sexual harassment, provide training and remind employees of their general obligations not to sexually harass others.  </w:t>
      </w:r>
    </w:p>
    <w:p w:rsidR="00D7653A" w:rsidRPr="003624E0" w:rsidRDefault="00F42CAB" w:rsidP="00F42CAB">
      <w:pPr>
        <w:pStyle w:val="Heading3"/>
        <w:numPr>
          <w:ilvl w:val="0"/>
          <w:numId w:val="0"/>
        </w:numPr>
        <w:ind w:left="851" w:hanging="851"/>
      </w:pPr>
      <w:bookmarkStart w:id="60" w:name="_Toc362446705"/>
      <w:r w:rsidRPr="003624E0">
        <w:t>(</w:t>
      </w:r>
      <w:r w:rsidR="00FC4F1C">
        <w:t>d</w:t>
      </w:r>
      <w:r w:rsidRPr="003624E0">
        <w:t xml:space="preserve">) </w:t>
      </w:r>
      <w:r w:rsidR="00306D2B" w:rsidRPr="003624E0">
        <w:t>Keep confidential records of complaints</w:t>
      </w:r>
      <w:bookmarkEnd w:id="60"/>
      <w:r w:rsidR="00306D2B" w:rsidRPr="003624E0">
        <w:t xml:space="preserve"> </w:t>
      </w:r>
    </w:p>
    <w:p w:rsidR="008731D7" w:rsidRPr="003624E0" w:rsidRDefault="00C21220" w:rsidP="00D7653A">
      <w:r w:rsidRPr="003624E0">
        <w:t xml:space="preserve">Employers </w:t>
      </w:r>
      <w:r w:rsidR="007622EB" w:rsidRPr="003624E0">
        <w:t xml:space="preserve">should </w:t>
      </w:r>
      <w:r w:rsidR="00E92696" w:rsidRPr="003624E0">
        <w:t xml:space="preserve">keep </w:t>
      </w:r>
      <w:r w:rsidRPr="00FC30F8">
        <w:t>record</w:t>
      </w:r>
      <w:r w:rsidR="00E92696" w:rsidRPr="00FC30F8">
        <w:t xml:space="preserve">s </w:t>
      </w:r>
      <w:r w:rsidR="00E92696" w:rsidRPr="003624E0">
        <w:t>of any</w:t>
      </w:r>
      <w:r w:rsidRPr="003624E0">
        <w:t xml:space="preserve"> complaints </w:t>
      </w:r>
      <w:r w:rsidR="00120972" w:rsidRPr="003624E0">
        <w:t xml:space="preserve">of </w:t>
      </w:r>
      <w:r w:rsidR="00BF7CCC" w:rsidRPr="003624E0">
        <w:t xml:space="preserve">workplace </w:t>
      </w:r>
      <w:r w:rsidRPr="003624E0">
        <w:t>sexual harassment</w:t>
      </w:r>
      <w:r w:rsidR="00120972" w:rsidRPr="003624E0">
        <w:t xml:space="preserve"> and must ensure that such records </w:t>
      </w:r>
      <w:r w:rsidR="002B1716" w:rsidRPr="003624E0">
        <w:t xml:space="preserve">comply with </w:t>
      </w:r>
      <w:r w:rsidR="00894D0D">
        <w:t>any relevant laws</w:t>
      </w:r>
      <w:r w:rsidR="002B1716" w:rsidRPr="003624E0">
        <w:t>.</w:t>
      </w:r>
      <w:r w:rsidR="00894D0D">
        <w:rPr>
          <w:rStyle w:val="EndnoteReference"/>
        </w:rPr>
        <w:endnoteReference w:id="83"/>
      </w:r>
      <w:r w:rsidR="00120972" w:rsidRPr="003624E0">
        <w:t xml:space="preserve">  </w:t>
      </w:r>
      <w:r w:rsidR="008731D7" w:rsidRPr="003624E0">
        <w:t xml:space="preserve">Employers should also develop clear </w:t>
      </w:r>
      <w:r w:rsidR="008731D7" w:rsidRPr="00FC30F8">
        <w:t>guidelines</w:t>
      </w:r>
      <w:r w:rsidR="008731D7" w:rsidRPr="003624E0">
        <w:t xml:space="preserve"> on how to document and record sexual harassment complaints</w:t>
      </w:r>
      <w:r w:rsidR="008731D7" w:rsidRPr="003624E0">
        <w:rPr>
          <w:b/>
        </w:rPr>
        <w:t xml:space="preserve"> </w:t>
      </w:r>
      <w:r w:rsidR="008731D7" w:rsidRPr="003624E0">
        <w:t xml:space="preserve">and ensure that all employees understand their obligations under the guidelines.  </w:t>
      </w:r>
    </w:p>
    <w:p w:rsidR="009446D6" w:rsidRPr="003B2B48" w:rsidRDefault="008229E8" w:rsidP="00D7653A">
      <w:r w:rsidRPr="00A95DB8">
        <w:t xml:space="preserve">The </w:t>
      </w:r>
      <w:r w:rsidR="00120972" w:rsidRPr="00A95DB8">
        <w:t xml:space="preserve">type </w:t>
      </w:r>
      <w:r w:rsidRPr="00A95DB8">
        <w:t xml:space="preserve">and extent of </w:t>
      </w:r>
      <w:r w:rsidR="00120972" w:rsidRPr="00A95DB8">
        <w:t xml:space="preserve">information recorded </w:t>
      </w:r>
      <w:r w:rsidR="00EA52EB" w:rsidRPr="00A95DB8">
        <w:t xml:space="preserve">by employers </w:t>
      </w:r>
      <w:r w:rsidR="003C479E" w:rsidRPr="00A95DB8">
        <w:t>will be influenced by a range of factors, including the level of formality of the complaint</w:t>
      </w:r>
      <w:r w:rsidRPr="00A95DB8">
        <w:t>.</w:t>
      </w:r>
      <w:r w:rsidR="008E5F47" w:rsidRPr="00A95DB8">
        <w:t xml:space="preserve">  </w:t>
      </w:r>
      <w:r w:rsidR="00F235AC" w:rsidRPr="00A95DB8">
        <w:t xml:space="preserve"> </w:t>
      </w:r>
    </w:p>
    <w:p w:rsidR="00596FA9" w:rsidRPr="003624E0" w:rsidRDefault="00596FA9" w:rsidP="00D7653A">
      <w:r w:rsidRPr="00A95DB8">
        <w:t xml:space="preserve">In cases where a </w:t>
      </w:r>
      <w:r w:rsidRPr="003B2B48">
        <w:rPr>
          <w:i/>
        </w:rPr>
        <w:t>formal complaint</w:t>
      </w:r>
      <w:r w:rsidRPr="00A95DB8">
        <w:t xml:space="preserve"> of sexual harassment is received, employer</w:t>
      </w:r>
      <w:r w:rsidR="00A501F6" w:rsidRPr="00A95DB8">
        <w:t>s</w:t>
      </w:r>
      <w:r w:rsidRPr="00A95DB8">
        <w:t xml:space="preserve"> should</w:t>
      </w:r>
      <w:r w:rsidR="006F3017" w:rsidRPr="00A95DB8">
        <w:t>, at a minimum, keep a record of</w:t>
      </w:r>
      <w:r w:rsidRPr="00A95DB8">
        <w:t>:</w:t>
      </w:r>
    </w:p>
    <w:p w:rsidR="006B6520" w:rsidRPr="003624E0" w:rsidRDefault="006B6520" w:rsidP="00F84B07">
      <w:pPr>
        <w:pStyle w:val="ListParagraph"/>
        <w:numPr>
          <w:ilvl w:val="0"/>
          <w:numId w:val="29"/>
        </w:numPr>
        <w:ind w:left="567" w:hanging="567"/>
        <w:contextualSpacing w:val="0"/>
      </w:pPr>
      <w:r w:rsidRPr="003624E0">
        <w:t>the complaint</w:t>
      </w:r>
      <w:r w:rsidR="00C9039E" w:rsidRPr="003624E0">
        <w:t xml:space="preserve"> from the </w:t>
      </w:r>
      <w:r w:rsidR="003916BA" w:rsidRPr="003624E0">
        <w:t>target of the alleged sexual harassment</w:t>
      </w:r>
    </w:p>
    <w:p w:rsidR="00596FA9" w:rsidRPr="003624E0" w:rsidRDefault="00D61BF7" w:rsidP="00F84B07">
      <w:pPr>
        <w:pStyle w:val="ListParagraph"/>
        <w:numPr>
          <w:ilvl w:val="0"/>
          <w:numId w:val="29"/>
        </w:numPr>
        <w:ind w:left="567" w:hanging="567"/>
        <w:contextualSpacing w:val="0"/>
      </w:pPr>
      <w:r w:rsidRPr="003624E0">
        <w:t xml:space="preserve">statements </w:t>
      </w:r>
      <w:r w:rsidR="00596FA9" w:rsidRPr="003624E0">
        <w:t>from the alleged target</w:t>
      </w:r>
      <w:r w:rsidR="00AC306B" w:rsidRPr="003624E0">
        <w:t xml:space="preserve">, </w:t>
      </w:r>
      <w:r w:rsidR="00596FA9" w:rsidRPr="003624E0">
        <w:t>the alleged harasser</w:t>
      </w:r>
      <w:r w:rsidR="00AC306B" w:rsidRPr="003624E0">
        <w:t xml:space="preserve">, </w:t>
      </w:r>
      <w:r w:rsidR="00B54FE8" w:rsidRPr="003624E0">
        <w:t xml:space="preserve">alleged </w:t>
      </w:r>
      <w:r w:rsidR="000A2ADD" w:rsidRPr="003624E0">
        <w:t xml:space="preserve">witnesses </w:t>
      </w:r>
      <w:r w:rsidR="006F3017" w:rsidRPr="003624E0">
        <w:t xml:space="preserve">and </w:t>
      </w:r>
      <w:r w:rsidR="00AC306B" w:rsidRPr="003624E0">
        <w:t xml:space="preserve">any </w:t>
      </w:r>
      <w:r w:rsidR="006F3017" w:rsidRPr="003624E0">
        <w:t>other relevant individuals</w:t>
      </w:r>
      <w:r w:rsidR="000A2ADD" w:rsidRPr="003624E0">
        <w:t>, which have been reviewed and endorsed by the relevant person</w:t>
      </w:r>
      <w:r w:rsidR="002A53DE" w:rsidRPr="003624E0">
        <w:rPr>
          <w:rStyle w:val="EndnoteReference"/>
        </w:rPr>
        <w:endnoteReference w:id="84"/>
      </w:r>
      <w:r w:rsidR="000A2ADD" w:rsidRPr="003624E0">
        <w:t xml:space="preserve"> </w:t>
      </w:r>
    </w:p>
    <w:p w:rsidR="006F3017" w:rsidRPr="003624E0" w:rsidRDefault="00D61BF7" w:rsidP="00F84B07">
      <w:pPr>
        <w:pStyle w:val="ListParagraph"/>
        <w:numPr>
          <w:ilvl w:val="0"/>
          <w:numId w:val="29"/>
        </w:numPr>
        <w:ind w:left="567" w:hanging="567"/>
        <w:contextualSpacing w:val="0"/>
      </w:pPr>
      <w:r w:rsidRPr="003624E0">
        <w:t xml:space="preserve">interviews </w:t>
      </w:r>
      <w:r w:rsidR="006F3017" w:rsidRPr="003624E0">
        <w:t xml:space="preserve">conducted by </w:t>
      </w:r>
      <w:r w:rsidRPr="003624E0">
        <w:t>the investigation officer</w:t>
      </w:r>
      <w:r w:rsidR="005F52F9" w:rsidRPr="003624E0">
        <w:t>, using the interviewee’s own words as far as possible</w:t>
      </w:r>
    </w:p>
    <w:p w:rsidR="00596FA9" w:rsidRPr="003624E0" w:rsidRDefault="00620598" w:rsidP="00F84B07">
      <w:pPr>
        <w:pStyle w:val="ListParagraph"/>
        <w:numPr>
          <w:ilvl w:val="0"/>
          <w:numId w:val="29"/>
        </w:numPr>
        <w:ind w:left="567" w:hanging="567"/>
        <w:contextualSpacing w:val="0"/>
      </w:pPr>
      <w:proofErr w:type="gramStart"/>
      <w:r w:rsidRPr="003624E0">
        <w:t>other</w:t>
      </w:r>
      <w:proofErr w:type="gramEnd"/>
      <w:r w:rsidRPr="003624E0">
        <w:t xml:space="preserve"> key </w:t>
      </w:r>
      <w:r w:rsidR="006B6520" w:rsidRPr="003624E0">
        <w:t xml:space="preserve">documentation related to </w:t>
      </w:r>
      <w:r w:rsidR="00A501F6" w:rsidRPr="003624E0">
        <w:t xml:space="preserve">the </w:t>
      </w:r>
      <w:r w:rsidR="006B6520" w:rsidRPr="003624E0">
        <w:t>investigation</w:t>
      </w:r>
      <w:r w:rsidR="00C9039E" w:rsidRPr="003624E0">
        <w:t xml:space="preserve">, including </w:t>
      </w:r>
      <w:r w:rsidR="003916BA" w:rsidRPr="003624E0">
        <w:t>any</w:t>
      </w:r>
      <w:r w:rsidR="00C9039E" w:rsidRPr="003624E0">
        <w:t xml:space="preserve"> findings of t</w:t>
      </w:r>
      <w:r w:rsidR="00F32B9A" w:rsidRPr="003624E0">
        <w:t>he investigation and any action</w:t>
      </w:r>
      <w:r w:rsidR="00C9039E" w:rsidRPr="003624E0">
        <w:t xml:space="preserve"> taken in response to the allegations</w:t>
      </w:r>
      <w:r w:rsidR="006B6520" w:rsidRPr="003624E0">
        <w:t>.</w:t>
      </w:r>
      <w:r w:rsidR="00D61BF7" w:rsidRPr="003624E0">
        <w:t xml:space="preserve"> </w:t>
      </w:r>
    </w:p>
    <w:p w:rsidR="00B54FE8" w:rsidRPr="003624E0" w:rsidRDefault="001E62D3" w:rsidP="00D7653A">
      <w:r w:rsidRPr="003624E0">
        <w:t>If a</w:t>
      </w:r>
      <w:r w:rsidR="000B2861" w:rsidRPr="003624E0">
        <w:t>n employer determines that an employee sexually harassed another person</w:t>
      </w:r>
      <w:r w:rsidRPr="003624E0">
        <w:t>,</w:t>
      </w:r>
      <w:r w:rsidR="000B2861" w:rsidRPr="003624E0">
        <w:t xml:space="preserve"> it should</w:t>
      </w:r>
      <w:r w:rsidR="002C16D2" w:rsidRPr="003624E0">
        <w:t xml:space="preserve"> </w:t>
      </w:r>
      <w:r w:rsidR="003916BA" w:rsidRPr="003624E0">
        <w:t xml:space="preserve">also </w:t>
      </w:r>
      <w:r w:rsidR="002C16D2" w:rsidRPr="003624E0">
        <w:t>record its finding</w:t>
      </w:r>
      <w:r w:rsidR="003916BA" w:rsidRPr="003624E0">
        <w:t>s</w:t>
      </w:r>
      <w:r w:rsidR="002C16D2" w:rsidRPr="003624E0">
        <w:t xml:space="preserve"> and </w:t>
      </w:r>
      <w:r w:rsidR="009D7AD0" w:rsidRPr="003624E0">
        <w:t xml:space="preserve">subsequent </w:t>
      </w:r>
      <w:r w:rsidR="003916BA" w:rsidRPr="003624E0">
        <w:t xml:space="preserve">response </w:t>
      </w:r>
      <w:r w:rsidR="005C5742" w:rsidRPr="003624E0">
        <w:t xml:space="preserve">in the employee’s </w:t>
      </w:r>
      <w:r w:rsidRPr="003624E0">
        <w:t xml:space="preserve">personnel file.  </w:t>
      </w:r>
      <w:r w:rsidR="000B2861" w:rsidRPr="003624E0">
        <w:t>An employer</w:t>
      </w:r>
      <w:r w:rsidRPr="003624E0">
        <w:t xml:space="preserve"> can </w:t>
      </w:r>
      <w:r w:rsidR="000B2861" w:rsidRPr="003624E0">
        <w:t xml:space="preserve">remove the </w:t>
      </w:r>
      <w:r w:rsidR="0046734D" w:rsidRPr="003624E0">
        <w:t>record</w:t>
      </w:r>
      <w:r w:rsidRPr="003624E0">
        <w:t xml:space="preserve"> </w:t>
      </w:r>
      <w:r w:rsidR="000B2861" w:rsidRPr="003624E0">
        <w:t xml:space="preserve">from the </w:t>
      </w:r>
      <w:r w:rsidR="00E6149C" w:rsidRPr="003624E0">
        <w:t xml:space="preserve">personnel </w:t>
      </w:r>
      <w:r w:rsidR="000B2861" w:rsidRPr="003624E0">
        <w:t xml:space="preserve">file </w:t>
      </w:r>
      <w:r w:rsidRPr="003624E0">
        <w:t>after a reasonable period of time</w:t>
      </w:r>
      <w:r w:rsidR="006205F0" w:rsidRPr="003624E0">
        <w:t>,</w:t>
      </w:r>
      <w:r w:rsidRPr="003624E0">
        <w:t xml:space="preserve"> </w:t>
      </w:r>
      <w:r w:rsidR="00B54FE8" w:rsidRPr="003624E0">
        <w:t xml:space="preserve">provided </w:t>
      </w:r>
      <w:r w:rsidR="000B2861" w:rsidRPr="003624E0">
        <w:t xml:space="preserve">it is satisfied that </w:t>
      </w:r>
      <w:r w:rsidRPr="003624E0">
        <w:t xml:space="preserve">there has </w:t>
      </w:r>
      <w:r w:rsidR="00B54FE8" w:rsidRPr="003624E0">
        <w:t>been no further harassment</w:t>
      </w:r>
      <w:r w:rsidRPr="003624E0">
        <w:t xml:space="preserve">.  </w:t>
      </w:r>
    </w:p>
    <w:p w:rsidR="00F21A22" w:rsidRPr="003624E0" w:rsidRDefault="006205F0" w:rsidP="006205F0">
      <w:r w:rsidRPr="003624E0">
        <w:t xml:space="preserve">Employers should </w:t>
      </w:r>
      <w:r w:rsidRPr="00D32914">
        <w:t>retain records</w:t>
      </w:r>
      <w:r w:rsidRPr="003624E0">
        <w:t xml:space="preserve"> related to investigations into sexual harassment for a reasonable period of time.  If a</w:t>
      </w:r>
      <w:r w:rsidR="00512950" w:rsidRPr="003624E0">
        <w:t>n alleged target</w:t>
      </w:r>
      <w:r w:rsidRPr="003624E0">
        <w:t xml:space="preserve"> subsequently lodges a complaint under the Sex Discrimination Act, the Commission may request a copy of the employer’s records to assist it in its investigation</w:t>
      </w:r>
      <w:r w:rsidR="00846867" w:rsidRPr="003624E0">
        <w:t xml:space="preserve"> of</w:t>
      </w:r>
      <w:r w:rsidRPr="003624E0">
        <w:t xml:space="preserve"> the complaint.</w:t>
      </w:r>
      <w:r w:rsidR="00BB1F76" w:rsidRPr="003624E0">
        <w:t xml:space="preserve">  Records </w:t>
      </w:r>
      <w:r w:rsidRPr="003624E0">
        <w:t xml:space="preserve">will help employers to establish what actions they took in response to the initial complaint and may assist in discharging or reducing their liability </w:t>
      </w:r>
      <w:r w:rsidR="005F7B15" w:rsidRPr="003624E0">
        <w:t>for sexual harassment</w:t>
      </w:r>
      <w:r w:rsidRPr="003624E0">
        <w:t>.</w:t>
      </w:r>
      <w:r w:rsidR="006C264C" w:rsidRPr="003624E0">
        <w:t xml:space="preserve">  Employers should also be aware that they may be required to produce records related to sexual harassment complaints under freedom of information laws.</w:t>
      </w:r>
      <w:r w:rsidRPr="003624E0">
        <w:t xml:space="preserve">  </w:t>
      </w:r>
      <w:r w:rsidR="005F7B15" w:rsidRPr="003624E0">
        <w:t xml:space="preserve"> </w:t>
      </w:r>
    </w:p>
    <w:p w:rsidR="009D4D54" w:rsidRPr="003624E0" w:rsidRDefault="009D4D54" w:rsidP="009D4D54">
      <w:r w:rsidRPr="003624E0">
        <w:t>At the very minimum, employers should store any written records related to allegations of sexual harassment in locked storage and restrict access to the records to authorised personnel.  In addition, employers should ensure that they put appropriate safeguards in place to secure electronic records related to allegations of sexual harassment (</w:t>
      </w:r>
      <w:proofErr w:type="spellStart"/>
      <w:r w:rsidRPr="003624E0">
        <w:t>eg</w:t>
      </w:r>
      <w:proofErr w:type="spellEnd"/>
      <w:r w:rsidRPr="003624E0">
        <w:t xml:space="preserve"> emails, electronic files).</w:t>
      </w:r>
    </w:p>
    <w:p w:rsidR="000F2436" w:rsidRPr="003624E0" w:rsidRDefault="000F2436">
      <w:pPr>
        <w:spacing w:before="0" w:after="0"/>
        <w:rPr>
          <w:rFonts w:eastAsia="Times New Roman"/>
          <w:b/>
          <w:sz w:val="36"/>
          <w:szCs w:val="36"/>
        </w:rPr>
      </w:pPr>
      <w:r w:rsidRPr="003624E0">
        <w:rPr>
          <w:b/>
          <w:sz w:val="36"/>
          <w:szCs w:val="36"/>
        </w:rPr>
        <w:br w:type="page"/>
      </w:r>
    </w:p>
    <w:p w:rsidR="00F17913" w:rsidRPr="003624E0" w:rsidRDefault="00F17913" w:rsidP="00F17913">
      <w:pPr>
        <w:pStyle w:val="Heading1"/>
        <w:numPr>
          <w:ilvl w:val="0"/>
          <w:numId w:val="0"/>
        </w:numPr>
        <w:rPr>
          <w:sz w:val="36"/>
          <w:szCs w:val="36"/>
        </w:rPr>
      </w:pPr>
      <w:bookmarkStart w:id="61" w:name="_Toc362446706"/>
      <w:bookmarkStart w:id="62" w:name="_Toc388023537"/>
      <w:r w:rsidRPr="003624E0">
        <w:rPr>
          <w:sz w:val="36"/>
          <w:szCs w:val="36"/>
        </w:rPr>
        <w:t xml:space="preserve">Appendix </w:t>
      </w:r>
      <w:r w:rsidR="00C820FD" w:rsidRPr="003624E0">
        <w:rPr>
          <w:sz w:val="36"/>
          <w:szCs w:val="36"/>
        </w:rPr>
        <w:t>1</w:t>
      </w:r>
      <w:r w:rsidRPr="003624E0">
        <w:rPr>
          <w:sz w:val="36"/>
          <w:szCs w:val="36"/>
        </w:rPr>
        <w:t xml:space="preserve">: </w:t>
      </w:r>
      <w:r w:rsidR="00F95F16">
        <w:rPr>
          <w:sz w:val="36"/>
          <w:szCs w:val="36"/>
        </w:rPr>
        <w:t>Sources of a</w:t>
      </w:r>
      <w:r w:rsidR="00272A18" w:rsidRPr="003624E0">
        <w:rPr>
          <w:sz w:val="36"/>
          <w:szCs w:val="36"/>
        </w:rPr>
        <w:t>ssistance</w:t>
      </w:r>
      <w:bookmarkEnd w:id="61"/>
      <w:r w:rsidR="00A96150">
        <w:rPr>
          <w:sz w:val="36"/>
          <w:szCs w:val="36"/>
        </w:rPr>
        <w:t xml:space="preserve"> and </w:t>
      </w:r>
      <w:r w:rsidR="00F95F16">
        <w:rPr>
          <w:sz w:val="36"/>
          <w:szCs w:val="36"/>
        </w:rPr>
        <w:t>information</w:t>
      </w:r>
      <w:bookmarkEnd w:id="62"/>
    </w:p>
    <w:p w:rsidR="00A96150" w:rsidRDefault="00A96150" w:rsidP="00666C18">
      <w:pPr>
        <w:rPr>
          <w:b/>
          <w:sz w:val="28"/>
          <w:szCs w:val="28"/>
        </w:rPr>
      </w:pPr>
    </w:p>
    <w:p w:rsidR="00B25501" w:rsidRDefault="00272A18" w:rsidP="00666C18">
      <w:pPr>
        <w:rPr>
          <w:b/>
          <w:szCs w:val="28"/>
        </w:rPr>
      </w:pPr>
      <w:r w:rsidRPr="003624E0">
        <w:rPr>
          <w:b/>
          <w:sz w:val="28"/>
          <w:szCs w:val="28"/>
        </w:rPr>
        <w:t>Assistance</w:t>
      </w:r>
    </w:p>
    <w:p w:rsidR="00B25501" w:rsidRDefault="00B25501" w:rsidP="00666C18">
      <w:pPr>
        <w:rPr>
          <w:b/>
          <w:szCs w:val="28"/>
        </w:rPr>
      </w:pPr>
      <w:r>
        <w:rPr>
          <w:b/>
          <w:szCs w:val="28"/>
        </w:rPr>
        <w:t>Australian Human Rights Commission</w:t>
      </w:r>
    </w:p>
    <w:p w:rsidR="00B25501" w:rsidRDefault="00B25501" w:rsidP="00B25501">
      <w:r>
        <w:rPr>
          <w:b/>
        </w:rPr>
        <w:t>Telephone</w:t>
      </w:r>
      <w:r>
        <w:rPr>
          <w:b/>
        </w:rPr>
        <w:br/>
      </w:r>
      <w:r w:rsidR="0069006C">
        <w:t>National Information Service</w:t>
      </w:r>
      <w:r>
        <w:t>: 1300 656 419 (local call</w:t>
      </w:r>
      <w:proofErr w:type="gramStart"/>
      <w:r>
        <w:t>)</w:t>
      </w:r>
      <w:proofErr w:type="gramEnd"/>
      <w:r>
        <w:br/>
        <w:t>TTY: 1800 620 241 (toll free)</w:t>
      </w:r>
    </w:p>
    <w:p w:rsidR="00B25501" w:rsidRDefault="00B25501" w:rsidP="00B25501">
      <w:r>
        <w:t xml:space="preserve">NRS: </w:t>
      </w:r>
      <w:r>
        <w:rPr>
          <w:b/>
        </w:rPr>
        <w:t xml:space="preserve">133 677 </w:t>
      </w:r>
      <w:r>
        <w:t xml:space="preserve">(TTY/Voice) or </w:t>
      </w:r>
      <w:r>
        <w:rPr>
          <w:b/>
        </w:rPr>
        <w:t>1300 555 727</w:t>
      </w:r>
      <w:r>
        <w:t xml:space="preserve"> (Speak &amp; Listen</w:t>
      </w:r>
      <w:proofErr w:type="gramStart"/>
      <w:r>
        <w:t>)</w:t>
      </w:r>
      <w:proofErr w:type="gramEnd"/>
      <w:r>
        <w:br/>
        <w:t>Fax: (02) 9284 9611</w:t>
      </w:r>
    </w:p>
    <w:p w:rsidR="00B25501" w:rsidRDefault="00B25501" w:rsidP="00B25501">
      <w:r>
        <w:rPr>
          <w:b/>
        </w:rPr>
        <w:t>Post</w:t>
      </w:r>
      <w:r>
        <w:rPr>
          <w:b/>
        </w:rPr>
        <w:br/>
      </w:r>
      <w:r>
        <w:t xml:space="preserve">Australian Human Rights Commission </w:t>
      </w:r>
      <w:r>
        <w:br/>
        <w:t>GPO Box 5218</w:t>
      </w:r>
      <w:r>
        <w:br/>
        <w:t>Sydney NSW 2001</w:t>
      </w:r>
    </w:p>
    <w:p w:rsidR="00B25501" w:rsidRDefault="00B25501" w:rsidP="00B25501">
      <w:r>
        <w:rPr>
          <w:b/>
        </w:rPr>
        <w:t>Online</w:t>
      </w:r>
      <w:r>
        <w:rPr>
          <w:b/>
        </w:rPr>
        <w:br/>
      </w:r>
      <w:r>
        <w:t xml:space="preserve">Email: </w:t>
      </w:r>
      <w:hyperlink r:id="rId31" w:history="1">
        <w:r w:rsidR="0069006C">
          <w:rPr>
            <w:rStyle w:val="Hyperlink"/>
          </w:rPr>
          <w:t>infoservice@humanrights.gov.au</w:t>
        </w:r>
      </w:hyperlink>
      <w:r>
        <w:rPr>
          <w:rStyle w:val="Hyperlink"/>
        </w:rPr>
        <w:t xml:space="preserve"> </w:t>
      </w:r>
      <w:r>
        <w:br/>
        <w:t xml:space="preserve">Website: </w:t>
      </w:r>
      <w:hyperlink r:id="rId32" w:history="1">
        <w:r>
          <w:rPr>
            <w:rStyle w:val="Hyperlink"/>
          </w:rPr>
          <w:t>www.humanrights.gov.au</w:t>
        </w:r>
      </w:hyperlink>
      <w:r>
        <w:rPr>
          <w:rStyle w:val="Hyperlink"/>
        </w:rPr>
        <w:t xml:space="preserve"> </w:t>
      </w:r>
    </w:p>
    <w:p w:rsidR="00B25501" w:rsidRDefault="00B25501" w:rsidP="00B25501">
      <w:r>
        <w:t xml:space="preserve">If you need an interpreter you can call the Translating and Interpreting Service (TIS) on </w:t>
      </w:r>
      <w:r>
        <w:rPr>
          <w:b/>
        </w:rPr>
        <w:t>131 450</w:t>
      </w:r>
      <w:r>
        <w:t xml:space="preserve"> and ask to be connected to the Australian Human Rights Commission.</w:t>
      </w:r>
    </w:p>
    <w:p w:rsidR="00B25501" w:rsidRPr="003624E0" w:rsidRDefault="000859DB" w:rsidP="00666C18">
      <w:pPr>
        <w:rPr>
          <w:b/>
          <w:szCs w:val="28"/>
        </w:rPr>
      </w:pPr>
      <w:r>
        <w:rPr>
          <w:b/>
          <w:szCs w:val="28"/>
        </w:rPr>
        <w:t>Other federal agencies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83893" w:rsidRPr="003624E0">
        <w:tc>
          <w:tcPr>
            <w:tcW w:w="4643" w:type="dxa"/>
            <w:shd w:val="clear" w:color="auto" w:fill="DAEEF3" w:themeFill="accent5" w:themeFillTint="33"/>
          </w:tcPr>
          <w:p w:rsidR="00483893" w:rsidRPr="003624E0" w:rsidRDefault="000859DB" w:rsidP="00391CDF">
            <w:pPr>
              <w:spacing w:before="120" w:after="120"/>
              <w:rPr>
                <w:b/>
                <w:bCs/>
                <w:sz w:val="22"/>
                <w:szCs w:val="22"/>
              </w:rPr>
            </w:pPr>
            <w:r>
              <w:rPr>
                <w:b/>
                <w:bCs/>
                <w:sz w:val="22"/>
                <w:szCs w:val="22"/>
              </w:rPr>
              <w:t>Fair Work Commission</w:t>
            </w:r>
          </w:p>
          <w:p w:rsidR="000859DB" w:rsidRDefault="00BB5633" w:rsidP="008F78D7">
            <w:pPr>
              <w:spacing w:before="120" w:after="120"/>
              <w:rPr>
                <w:sz w:val="22"/>
                <w:szCs w:val="22"/>
              </w:rPr>
            </w:pPr>
            <w:r w:rsidRPr="00BB5633">
              <w:rPr>
                <w:rFonts w:ascii="Helvetica" w:hAnsi="Helvetica"/>
                <w:sz w:val="21"/>
                <w:szCs w:val="21"/>
                <w:lang w:val="en"/>
              </w:rPr>
              <w:t>1300 799 675</w:t>
            </w:r>
            <w:r w:rsidRPr="00BB5633">
              <w:rPr>
                <w:sz w:val="21"/>
                <w:szCs w:val="21"/>
                <w:lang w:val="en"/>
              </w:rPr>
              <w:t>.</w:t>
            </w:r>
          </w:p>
          <w:p w:rsidR="00483893" w:rsidRPr="003624E0" w:rsidRDefault="00BB5633" w:rsidP="008F78D7">
            <w:pPr>
              <w:spacing w:before="120" w:after="120"/>
              <w:rPr>
                <w:sz w:val="22"/>
                <w:szCs w:val="22"/>
              </w:rPr>
            </w:pPr>
            <w:r w:rsidRPr="00BB5633">
              <w:rPr>
                <w:sz w:val="22"/>
                <w:szCs w:val="22"/>
              </w:rPr>
              <w:t>https://www.fwc.gov.au/</w:t>
            </w:r>
          </w:p>
        </w:tc>
        <w:tc>
          <w:tcPr>
            <w:tcW w:w="4643" w:type="dxa"/>
            <w:shd w:val="clear" w:color="auto" w:fill="C6D9F1" w:themeFill="text2" w:themeFillTint="33"/>
          </w:tcPr>
          <w:p w:rsidR="00391CDF" w:rsidRPr="003624E0" w:rsidRDefault="000E42F8" w:rsidP="000E42F8">
            <w:pPr>
              <w:spacing w:before="120" w:after="120"/>
              <w:rPr>
                <w:b/>
                <w:sz w:val="22"/>
                <w:szCs w:val="22"/>
              </w:rPr>
            </w:pPr>
            <w:r w:rsidRPr="003624E0">
              <w:rPr>
                <w:b/>
                <w:sz w:val="22"/>
                <w:szCs w:val="22"/>
              </w:rPr>
              <w:t>Fair Work Ombudsman</w:t>
            </w:r>
          </w:p>
          <w:p w:rsidR="000E42F8" w:rsidRPr="003624E0" w:rsidRDefault="000E42F8" w:rsidP="000E42F8">
            <w:pPr>
              <w:spacing w:before="120" w:after="120"/>
              <w:rPr>
                <w:sz w:val="22"/>
                <w:szCs w:val="22"/>
              </w:rPr>
            </w:pPr>
            <w:r w:rsidRPr="003624E0">
              <w:rPr>
                <w:sz w:val="22"/>
                <w:szCs w:val="22"/>
              </w:rPr>
              <w:t>13 13 94</w:t>
            </w:r>
          </w:p>
          <w:p w:rsidR="000E42F8" w:rsidRPr="003624E0" w:rsidRDefault="00E240B4" w:rsidP="000E42F8">
            <w:pPr>
              <w:spacing w:before="120" w:after="120"/>
              <w:rPr>
                <w:sz w:val="22"/>
                <w:szCs w:val="22"/>
              </w:rPr>
            </w:pPr>
            <w:hyperlink r:id="rId33" w:history="1">
              <w:r w:rsidR="000E42F8" w:rsidRPr="003624E0">
                <w:rPr>
                  <w:rStyle w:val="Hyperlink"/>
                  <w:sz w:val="22"/>
                </w:rPr>
                <w:t>http://www.fairwork.gov.au</w:t>
              </w:r>
            </w:hyperlink>
          </w:p>
        </w:tc>
      </w:tr>
      <w:tr w:rsidR="00E6578E" w:rsidRPr="003624E0">
        <w:tc>
          <w:tcPr>
            <w:tcW w:w="4643" w:type="dxa"/>
            <w:shd w:val="clear" w:color="auto" w:fill="auto"/>
          </w:tcPr>
          <w:p w:rsidR="00E6578E" w:rsidRPr="003624E0" w:rsidRDefault="00A04A5F" w:rsidP="000E42F8">
            <w:pPr>
              <w:rPr>
                <w:b/>
                <w:bCs/>
                <w:sz w:val="22"/>
                <w:szCs w:val="22"/>
              </w:rPr>
            </w:pPr>
            <w:r>
              <w:rPr>
                <w:b/>
                <w:bCs/>
                <w:szCs w:val="22"/>
              </w:rPr>
              <w:t>S</w:t>
            </w:r>
            <w:r w:rsidR="00E6578E" w:rsidRPr="003624E0">
              <w:rPr>
                <w:b/>
                <w:bCs/>
                <w:szCs w:val="22"/>
              </w:rPr>
              <w:t>tate and territory</w:t>
            </w:r>
            <w:r w:rsidR="000859DB">
              <w:rPr>
                <w:b/>
                <w:bCs/>
                <w:szCs w:val="22"/>
              </w:rPr>
              <w:t xml:space="preserve"> agencies</w:t>
            </w:r>
          </w:p>
        </w:tc>
        <w:tc>
          <w:tcPr>
            <w:tcW w:w="4643" w:type="dxa"/>
            <w:shd w:val="clear" w:color="auto" w:fill="auto"/>
          </w:tcPr>
          <w:p w:rsidR="00E6578E" w:rsidRPr="003624E0" w:rsidRDefault="00E6578E" w:rsidP="00391CDF">
            <w:pPr>
              <w:spacing w:before="120" w:after="120"/>
              <w:rPr>
                <w:b/>
                <w:bCs/>
                <w:sz w:val="22"/>
                <w:szCs w:val="22"/>
              </w:rPr>
            </w:pPr>
          </w:p>
        </w:tc>
      </w:tr>
      <w:tr w:rsidR="00483893" w:rsidRPr="003624E0">
        <w:tc>
          <w:tcPr>
            <w:tcW w:w="4643" w:type="dxa"/>
            <w:shd w:val="clear" w:color="auto" w:fill="C6D9F1" w:themeFill="text2" w:themeFillTint="33"/>
          </w:tcPr>
          <w:p w:rsidR="00E6578E" w:rsidRPr="003624E0" w:rsidRDefault="00E6578E" w:rsidP="000E42F8">
            <w:pPr>
              <w:spacing w:after="120"/>
              <w:rPr>
                <w:sz w:val="22"/>
                <w:szCs w:val="22"/>
              </w:rPr>
            </w:pPr>
            <w:r w:rsidRPr="003624E0">
              <w:rPr>
                <w:b/>
                <w:bCs/>
                <w:sz w:val="22"/>
                <w:szCs w:val="22"/>
              </w:rPr>
              <w:t>ACT Human Rights Commission</w:t>
            </w:r>
          </w:p>
          <w:p w:rsidR="00E6578E" w:rsidRPr="003624E0" w:rsidRDefault="00E6578E" w:rsidP="00E6578E">
            <w:pPr>
              <w:spacing w:before="120" w:after="120"/>
              <w:rPr>
                <w:sz w:val="22"/>
                <w:szCs w:val="22"/>
              </w:rPr>
            </w:pPr>
            <w:r w:rsidRPr="003624E0">
              <w:rPr>
                <w:sz w:val="22"/>
                <w:szCs w:val="22"/>
              </w:rPr>
              <w:t xml:space="preserve">(02) 6205 2222 or  </w:t>
            </w:r>
            <w:r w:rsidRPr="003624E0">
              <w:rPr>
                <w:rFonts w:cs="Arial"/>
                <w:color w:val="323232"/>
                <w:sz w:val="22"/>
                <w:szCs w:val="22"/>
              </w:rPr>
              <w:t>(02) 6205 1666 (</w:t>
            </w:r>
            <w:r w:rsidRPr="003624E0">
              <w:rPr>
                <w:sz w:val="22"/>
                <w:szCs w:val="22"/>
              </w:rPr>
              <w:t>TTY</w:t>
            </w:r>
            <w:r w:rsidRPr="003624E0">
              <w:rPr>
                <w:rFonts w:cs="Arial"/>
                <w:color w:val="323232"/>
                <w:sz w:val="22"/>
                <w:szCs w:val="22"/>
              </w:rPr>
              <w:t>)</w:t>
            </w:r>
          </w:p>
          <w:p w:rsidR="00483893" w:rsidRPr="003624E0" w:rsidRDefault="00E240B4" w:rsidP="008F78D7">
            <w:pPr>
              <w:spacing w:before="120" w:after="120"/>
              <w:rPr>
                <w:sz w:val="22"/>
                <w:szCs w:val="22"/>
              </w:rPr>
            </w:pPr>
            <w:hyperlink r:id="rId34" w:history="1">
              <w:r w:rsidR="00E6578E" w:rsidRPr="003624E0">
                <w:rPr>
                  <w:rStyle w:val="Hyperlink"/>
                  <w:sz w:val="22"/>
                  <w:szCs w:val="22"/>
                </w:rPr>
                <w:t>www.hrc.act.gov.au/</w:t>
              </w:r>
            </w:hyperlink>
          </w:p>
        </w:tc>
        <w:tc>
          <w:tcPr>
            <w:tcW w:w="4643" w:type="dxa"/>
            <w:shd w:val="clear" w:color="auto" w:fill="DAEEF3" w:themeFill="accent5" w:themeFillTint="33"/>
          </w:tcPr>
          <w:p w:rsidR="00E6578E" w:rsidRPr="003624E0" w:rsidRDefault="00E6578E" w:rsidP="000E42F8">
            <w:pPr>
              <w:spacing w:after="120"/>
              <w:rPr>
                <w:b/>
                <w:bCs/>
                <w:sz w:val="22"/>
                <w:szCs w:val="22"/>
              </w:rPr>
            </w:pPr>
            <w:r w:rsidRPr="003624E0">
              <w:rPr>
                <w:b/>
                <w:bCs/>
                <w:sz w:val="22"/>
                <w:szCs w:val="22"/>
              </w:rPr>
              <w:t>Anti-Discrimination Board of New South Wales</w:t>
            </w:r>
          </w:p>
          <w:p w:rsidR="00E6578E" w:rsidRPr="003624E0" w:rsidRDefault="00E6578E" w:rsidP="00E6578E">
            <w:pPr>
              <w:spacing w:before="120" w:after="120"/>
              <w:rPr>
                <w:sz w:val="22"/>
                <w:szCs w:val="22"/>
              </w:rPr>
            </w:pPr>
            <w:r w:rsidRPr="003624E0">
              <w:rPr>
                <w:sz w:val="22"/>
                <w:szCs w:val="22"/>
              </w:rPr>
              <w:t>(02) 9268 5544 or 1800 670 812</w:t>
            </w:r>
          </w:p>
          <w:p w:rsidR="00483893" w:rsidRPr="003624E0" w:rsidRDefault="00E240B4" w:rsidP="00E6578E">
            <w:pPr>
              <w:spacing w:before="120" w:after="120"/>
              <w:rPr>
                <w:b/>
                <w:bCs/>
                <w:sz w:val="22"/>
                <w:szCs w:val="22"/>
              </w:rPr>
            </w:pPr>
            <w:hyperlink r:id="rId35" w:history="1">
              <w:r w:rsidR="00E6578E" w:rsidRPr="003624E0">
                <w:rPr>
                  <w:rStyle w:val="Hyperlink"/>
                  <w:bCs/>
                  <w:sz w:val="22"/>
                  <w:szCs w:val="22"/>
                </w:rPr>
                <w:t>www.lawlink.nsw.gov.au/adb</w:t>
              </w:r>
            </w:hyperlink>
          </w:p>
        </w:tc>
      </w:tr>
      <w:tr w:rsidR="00483893" w:rsidRPr="003624E0">
        <w:tc>
          <w:tcPr>
            <w:tcW w:w="4643" w:type="dxa"/>
            <w:shd w:val="clear" w:color="auto" w:fill="DAEEF3" w:themeFill="accent5" w:themeFillTint="33"/>
          </w:tcPr>
          <w:p w:rsidR="00483893" w:rsidRPr="003624E0" w:rsidRDefault="00483893" w:rsidP="000E42F8">
            <w:pPr>
              <w:spacing w:after="120"/>
              <w:rPr>
                <w:sz w:val="22"/>
                <w:szCs w:val="22"/>
              </w:rPr>
            </w:pPr>
            <w:r w:rsidRPr="003624E0">
              <w:rPr>
                <w:b/>
                <w:bCs/>
                <w:sz w:val="22"/>
                <w:szCs w:val="22"/>
              </w:rPr>
              <w:t>Anti-Discrimination Commission Queensland</w:t>
            </w:r>
          </w:p>
          <w:p w:rsidR="00483893" w:rsidRPr="003624E0" w:rsidRDefault="00483893" w:rsidP="00391CDF">
            <w:pPr>
              <w:spacing w:before="120" w:after="120"/>
              <w:rPr>
                <w:sz w:val="22"/>
                <w:szCs w:val="22"/>
              </w:rPr>
            </w:pPr>
            <w:r w:rsidRPr="003624E0">
              <w:rPr>
                <w:sz w:val="22"/>
                <w:szCs w:val="22"/>
              </w:rPr>
              <w:t>1300 130 670</w:t>
            </w:r>
            <w:r w:rsidR="008F78D7" w:rsidRPr="003624E0">
              <w:rPr>
                <w:sz w:val="22"/>
                <w:szCs w:val="22"/>
              </w:rPr>
              <w:t xml:space="preserve"> </w:t>
            </w:r>
          </w:p>
          <w:p w:rsidR="00483893" w:rsidRPr="003624E0" w:rsidRDefault="00E240B4" w:rsidP="00391CDF">
            <w:pPr>
              <w:spacing w:before="120" w:after="120"/>
              <w:rPr>
                <w:sz w:val="22"/>
                <w:szCs w:val="22"/>
              </w:rPr>
            </w:pPr>
            <w:hyperlink r:id="rId36" w:history="1">
              <w:r w:rsidR="008F78D7" w:rsidRPr="003624E0">
                <w:rPr>
                  <w:rStyle w:val="Hyperlink"/>
                  <w:sz w:val="22"/>
                  <w:szCs w:val="22"/>
                </w:rPr>
                <w:t>www.adcq.qld.gov.au</w:t>
              </w:r>
            </w:hyperlink>
          </w:p>
        </w:tc>
        <w:tc>
          <w:tcPr>
            <w:tcW w:w="4643" w:type="dxa"/>
            <w:shd w:val="clear" w:color="auto" w:fill="C6D9F1" w:themeFill="text2" w:themeFillTint="33"/>
          </w:tcPr>
          <w:p w:rsidR="00483893" w:rsidRPr="003624E0" w:rsidRDefault="00483893" w:rsidP="000E42F8">
            <w:pPr>
              <w:spacing w:after="120"/>
              <w:rPr>
                <w:b/>
                <w:bCs/>
                <w:sz w:val="22"/>
                <w:szCs w:val="22"/>
              </w:rPr>
            </w:pPr>
            <w:r w:rsidRPr="003624E0">
              <w:rPr>
                <w:b/>
                <w:bCs/>
                <w:sz w:val="22"/>
                <w:szCs w:val="22"/>
              </w:rPr>
              <w:t>Equal Opportunity Commission (South Australia)</w:t>
            </w:r>
          </w:p>
          <w:p w:rsidR="00483893" w:rsidRPr="003624E0" w:rsidRDefault="00483893" w:rsidP="00391CDF">
            <w:pPr>
              <w:spacing w:before="120" w:after="120"/>
              <w:rPr>
                <w:sz w:val="22"/>
                <w:szCs w:val="22"/>
              </w:rPr>
            </w:pPr>
            <w:r w:rsidRPr="003624E0">
              <w:rPr>
                <w:sz w:val="22"/>
                <w:szCs w:val="22"/>
              </w:rPr>
              <w:t xml:space="preserve">1800 188 163 </w:t>
            </w:r>
            <w:r w:rsidR="008F78D7" w:rsidRPr="003624E0">
              <w:rPr>
                <w:sz w:val="22"/>
                <w:szCs w:val="22"/>
              </w:rPr>
              <w:t>or</w:t>
            </w:r>
            <w:r w:rsidRPr="003624E0">
              <w:rPr>
                <w:sz w:val="22"/>
                <w:szCs w:val="22"/>
              </w:rPr>
              <w:t xml:space="preserve"> (08) 8207 1911</w:t>
            </w:r>
            <w:r w:rsidR="008F78D7" w:rsidRPr="003624E0">
              <w:rPr>
                <w:sz w:val="22"/>
                <w:szCs w:val="22"/>
              </w:rPr>
              <w:t xml:space="preserve"> (TTY)</w:t>
            </w:r>
          </w:p>
          <w:p w:rsidR="00483893" w:rsidRPr="003624E0" w:rsidRDefault="00E240B4" w:rsidP="00391CDF">
            <w:pPr>
              <w:spacing w:before="120" w:after="120"/>
              <w:rPr>
                <w:sz w:val="22"/>
                <w:szCs w:val="22"/>
              </w:rPr>
            </w:pPr>
            <w:hyperlink r:id="rId37" w:history="1">
              <w:r w:rsidR="008F78D7" w:rsidRPr="003624E0">
                <w:rPr>
                  <w:rStyle w:val="Hyperlink"/>
                  <w:sz w:val="22"/>
                  <w:szCs w:val="22"/>
                </w:rPr>
                <w:t>www.eoc.sa.gov.au</w:t>
              </w:r>
            </w:hyperlink>
            <w:r w:rsidR="008F78D7" w:rsidRPr="003624E0">
              <w:rPr>
                <w:sz w:val="22"/>
                <w:szCs w:val="22"/>
              </w:rPr>
              <w:t xml:space="preserve"> </w:t>
            </w:r>
          </w:p>
        </w:tc>
      </w:tr>
      <w:tr w:rsidR="00483893" w:rsidRPr="003624E0">
        <w:tc>
          <w:tcPr>
            <w:tcW w:w="4643" w:type="dxa"/>
            <w:shd w:val="clear" w:color="auto" w:fill="C6D9F1" w:themeFill="text2" w:themeFillTint="33"/>
          </w:tcPr>
          <w:p w:rsidR="000E42F8" w:rsidRPr="003624E0" w:rsidRDefault="000E42F8" w:rsidP="000E42F8">
            <w:pPr>
              <w:spacing w:after="120"/>
              <w:rPr>
                <w:b/>
                <w:bCs/>
                <w:sz w:val="22"/>
                <w:szCs w:val="22"/>
              </w:rPr>
            </w:pPr>
            <w:r w:rsidRPr="003624E0">
              <w:rPr>
                <w:b/>
                <w:bCs/>
                <w:sz w:val="22"/>
                <w:szCs w:val="22"/>
              </w:rPr>
              <w:t>Equal Opportunity Commission – Western Australia</w:t>
            </w:r>
          </w:p>
          <w:p w:rsidR="000E42F8" w:rsidRPr="003624E0" w:rsidRDefault="000E42F8" w:rsidP="000E42F8">
            <w:pPr>
              <w:spacing w:before="120" w:after="120"/>
              <w:rPr>
                <w:sz w:val="22"/>
                <w:szCs w:val="22"/>
              </w:rPr>
            </w:pPr>
            <w:r w:rsidRPr="003624E0">
              <w:rPr>
                <w:sz w:val="22"/>
                <w:szCs w:val="22"/>
              </w:rPr>
              <w:t>1800 198 149 or (08) 9216 3963 (TTY)</w:t>
            </w:r>
          </w:p>
          <w:p w:rsidR="00483893" w:rsidRPr="003624E0" w:rsidRDefault="00E240B4" w:rsidP="000E42F8">
            <w:pPr>
              <w:spacing w:before="120" w:after="120"/>
              <w:rPr>
                <w:b/>
                <w:bCs/>
                <w:sz w:val="22"/>
                <w:szCs w:val="22"/>
              </w:rPr>
            </w:pPr>
            <w:hyperlink r:id="rId38" w:history="1">
              <w:r w:rsidR="000E42F8" w:rsidRPr="003624E0">
                <w:rPr>
                  <w:rStyle w:val="Hyperlink"/>
                  <w:sz w:val="22"/>
                  <w:szCs w:val="22"/>
                </w:rPr>
                <w:t>www.equalopportunity.wa.gov.au</w:t>
              </w:r>
            </w:hyperlink>
            <w:r w:rsidR="000E42F8" w:rsidRPr="003624E0">
              <w:rPr>
                <w:sz w:val="22"/>
                <w:szCs w:val="22"/>
              </w:rPr>
              <w:t xml:space="preserve">  </w:t>
            </w:r>
          </w:p>
        </w:tc>
        <w:tc>
          <w:tcPr>
            <w:tcW w:w="4643" w:type="dxa"/>
            <w:shd w:val="clear" w:color="auto" w:fill="DAEEF3" w:themeFill="accent5" w:themeFillTint="33"/>
          </w:tcPr>
          <w:p w:rsidR="000E42F8" w:rsidRPr="003624E0" w:rsidRDefault="000E42F8" w:rsidP="000E42F8">
            <w:pPr>
              <w:spacing w:after="120"/>
              <w:rPr>
                <w:sz w:val="22"/>
                <w:szCs w:val="22"/>
              </w:rPr>
            </w:pPr>
            <w:r w:rsidRPr="003624E0">
              <w:rPr>
                <w:b/>
                <w:bCs/>
                <w:sz w:val="22"/>
                <w:szCs w:val="22"/>
              </w:rPr>
              <w:t>Northern Territory</w:t>
            </w:r>
            <w:r w:rsidRPr="003624E0">
              <w:rPr>
                <w:sz w:val="22"/>
                <w:szCs w:val="22"/>
              </w:rPr>
              <w:t xml:space="preserve"> </w:t>
            </w:r>
            <w:r w:rsidRPr="003624E0">
              <w:rPr>
                <w:b/>
                <w:bCs/>
                <w:sz w:val="22"/>
                <w:szCs w:val="22"/>
              </w:rPr>
              <w:t>Anti-Discrimination Commission</w:t>
            </w:r>
          </w:p>
          <w:p w:rsidR="000E42F8" w:rsidRPr="003624E0" w:rsidRDefault="000E42F8" w:rsidP="000E42F8">
            <w:pPr>
              <w:spacing w:before="120" w:after="120"/>
              <w:rPr>
                <w:sz w:val="22"/>
                <w:szCs w:val="22"/>
              </w:rPr>
            </w:pPr>
            <w:r w:rsidRPr="003624E0">
              <w:rPr>
                <w:sz w:val="22"/>
                <w:szCs w:val="22"/>
              </w:rPr>
              <w:t>1800 813 846 or (08) 8999 1466 (TTY)</w:t>
            </w:r>
          </w:p>
          <w:p w:rsidR="00483893" w:rsidRPr="003624E0" w:rsidRDefault="00E240B4" w:rsidP="00391CDF">
            <w:pPr>
              <w:spacing w:before="120" w:after="120"/>
              <w:rPr>
                <w:sz w:val="22"/>
                <w:szCs w:val="22"/>
              </w:rPr>
            </w:pPr>
            <w:hyperlink r:id="rId39" w:history="1">
              <w:r w:rsidR="000E42F8" w:rsidRPr="003624E0">
                <w:rPr>
                  <w:rStyle w:val="Hyperlink"/>
                  <w:sz w:val="22"/>
                  <w:szCs w:val="22"/>
                </w:rPr>
                <w:t>www.adc.nt.gov.au/</w:t>
              </w:r>
            </w:hyperlink>
            <w:r w:rsidR="000E42F8" w:rsidRPr="003624E0">
              <w:rPr>
                <w:sz w:val="22"/>
                <w:szCs w:val="22"/>
              </w:rPr>
              <w:t xml:space="preserve"> </w:t>
            </w:r>
          </w:p>
        </w:tc>
      </w:tr>
      <w:tr w:rsidR="00483893" w:rsidRPr="003624E0">
        <w:tc>
          <w:tcPr>
            <w:tcW w:w="4643" w:type="dxa"/>
            <w:shd w:val="clear" w:color="auto" w:fill="DAEEF3" w:themeFill="accent5" w:themeFillTint="33"/>
          </w:tcPr>
          <w:p w:rsidR="00E6578E" w:rsidRPr="003624E0" w:rsidRDefault="00E6578E" w:rsidP="000E42F8">
            <w:pPr>
              <w:spacing w:after="120"/>
              <w:rPr>
                <w:b/>
                <w:sz w:val="22"/>
                <w:szCs w:val="22"/>
              </w:rPr>
            </w:pPr>
            <w:r w:rsidRPr="003624E0">
              <w:rPr>
                <w:b/>
                <w:sz w:val="22"/>
                <w:szCs w:val="22"/>
              </w:rPr>
              <w:t>Office of the Anti-Discrimination Commissioner – Tasmania</w:t>
            </w:r>
          </w:p>
          <w:p w:rsidR="00E6578E" w:rsidRPr="003624E0" w:rsidRDefault="00E6578E" w:rsidP="00E6578E">
            <w:pPr>
              <w:spacing w:before="120" w:after="120"/>
              <w:rPr>
                <w:sz w:val="22"/>
                <w:szCs w:val="22"/>
              </w:rPr>
            </w:pPr>
            <w:r w:rsidRPr="003624E0">
              <w:rPr>
                <w:sz w:val="22"/>
                <w:szCs w:val="22"/>
              </w:rPr>
              <w:t xml:space="preserve">(03) 6233 4841 or 1300 305 062 </w:t>
            </w:r>
          </w:p>
          <w:p w:rsidR="00E6578E" w:rsidRPr="003624E0" w:rsidRDefault="00E240B4" w:rsidP="00E6578E">
            <w:pPr>
              <w:spacing w:before="120" w:after="120"/>
              <w:rPr>
                <w:sz w:val="22"/>
                <w:szCs w:val="22"/>
              </w:rPr>
            </w:pPr>
            <w:hyperlink r:id="rId40" w:history="1">
              <w:r w:rsidR="00E6578E" w:rsidRPr="003624E0">
                <w:rPr>
                  <w:rStyle w:val="Hyperlink"/>
                  <w:sz w:val="22"/>
                  <w:szCs w:val="22"/>
                </w:rPr>
                <w:t>www.antidiscrimination.tas.gov.au</w:t>
              </w:r>
            </w:hyperlink>
            <w:r w:rsidR="00E6578E" w:rsidRPr="003624E0">
              <w:rPr>
                <w:sz w:val="22"/>
                <w:szCs w:val="22"/>
              </w:rPr>
              <w:t xml:space="preserve"> </w:t>
            </w:r>
          </w:p>
          <w:p w:rsidR="00483893" w:rsidRPr="003624E0" w:rsidRDefault="00483893" w:rsidP="00E6578E">
            <w:pPr>
              <w:spacing w:before="120" w:after="120"/>
              <w:rPr>
                <w:b/>
                <w:bCs/>
                <w:sz w:val="22"/>
                <w:szCs w:val="22"/>
              </w:rPr>
            </w:pPr>
          </w:p>
        </w:tc>
        <w:tc>
          <w:tcPr>
            <w:tcW w:w="4643" w:type="dxa"/>
            <w:shd w:val="clear" w:color="auto" w:fill="C6D9F1" w:themeFill="text2" w:themeFillTint="33"/>
          </w:tcPr>
          <w:p w:rsidR="00E6578E" w:rsidRPr="003624E0" w:rsidRDefault="00E6578E" w:rsidP="000E42F8">
            <w:pPr>
              <w:spacing w:after="120"/>
              <w:rPr>
                <w:b/>
                <w:sz w:val="22"/>
                <w:szCs w:val="22"/>
              </w:rPr>
            </w:pPr>
            <w:r w:rsidRPr="003624E0">
              <w:rPr>
                <w:b/>
                <w:sz w:val="22"/>
                <w:szCs w:val="22"/>
              </w:rPr>
              <w:t>Victorian Equal Opportunity and Human Rights Commission</w:t>
            </w:r>
          </w:p>
          <w:p w:rsidR="00E6578E" w:rsidRPr="003624E0" w:rsidRDefault="00E6578E" w:rsidP="00E6578E">
            <w:pPr>
              <w:spacing w:before="120" w:after="120"/>
              <w:rPr>
                <w:sz w:val="22"/>
                <w:szCs w:val="22"/>
              </w:rPr>
            </w:pPr>
            <w:r w:rsidRPr="003624E0">
              <w:rPr>
                <w:sz w:val="22"/>
                <w:szCs w:val="22"/>
              </w:rPr>
              <w:t>1300 891 848 or 1300 289 621 (TTY)</w:t>
            </w:r>
          </w:p>
          <w:p w:rsidR="00483893" w:rsidRPr="003624E0" w:rsidRDefault="00E240B4" w:rsidP="00E6578E">
            <w:pPr>
              <w:spacing w:before="120" w:after="120"/>
              <w:rPr>
                <w:b/>
                <w:bCs/>
                <w:sz w:val="22"/>
                <w:szCs w:val="22"/>
              </w:rPr>
            </w:pPr>
            <w:hyperlink r:id="rId41" w:history="1">
              <w:r w:rsidR="00E6578E" w:rsidRPr="003624E0">
                <w:rPr>
                  <w:rStyle w:val="Hyperlink"/>
                  <w:sz w:val="22"/>
                  <w:szCs w:val="22"/>
                </w:rPr>
                <w:t>www.humanrightscommission.vic.gov.au</w:t>
              </w:r>
            </w:hyperlink>
          </w:p>
        </w:tc>
      </w:tr>
    </w:tbl>
    <w:p w:rsidR="00C820FD" w:rsidRDefault="00C820FD" w:rsidP="00592FB3"/>
    <w:p w:rsidR="00A96150" w:rsidRPr="003624E0" w:rsidRDefault="00F95F16" w:rsidP="00A96150">
      <w:pPr>
        <w:rPr>
          <w:b/>
          <w:sz w:val="28"/>
          <w:szCs w:val="28"/>
        </w:rPr>
      </w:pPr>
      <w:r>
        <w:rPr>
          <w:b/>
          <w:sz w:val="28"/>
          <w:szCs w:val="28"/>
        </w:rPr>
        <w:t>Information</w:t>
      </w:r>
    </w:p>
    <w:p w:rsidR="00383395" w:rsidRPr="00383395" w:rsidRDefault="00383395">
      <w:pPr>
        <w:ind w:left="567" w:hanging="567"/>
        <w:rPr>
          <w:rFonts w:cs="Arial"/>
        </w:rPr>
      </w:pPr>
      <w:r>
        <w:rPr>
          <w:rFonts w:cs="Arial"/>
        </w:rPr>
        <w:t xml:space="preserve">Australian Human Rights Commission, </w:t>
      </w:r>
      <w:r w:rsidRPr="00804959">
        <w:rPr>
          <w:rFonts w:cs="Arial"/>
          <w:i/>
        </w:rPr>
        <w:t xml:space="preserve">Know where </w:t>
      </w:r>
      <w:r w:rsidRPr="004264C7">
        <w:rPr>
          <w:rFonts w:cs="Arial"/>
          <w:i/>
        </w:rPr>
        <w:t>the</w:t>
      </w:r>
      <w:r w:rsidRPr="003E41AF">
        <w:rPr>
          <w:rFonts w:cs="Arial"/>
          <w:i/>
        </w:rPr>
        <w:t xml:space="preserve"> </w:t>
      </w:r>
      <w:r w:rsidRPr="003B2B48">
        <w:rPr>
          <w:rFonts w:cs="Arial"/>
          <w:i/>
        </w:rPr>
        <w:t>line is: A</w:t>
      </w:r>
      <w:r>
        <w:rPr>
          <w:rFonts w:cs="Arial"/>
          <w:i/>
        </w:rPr>
        <w:t>wareness Raising Strategy</w:t>
      </w:r>
      <w:r>
        <w:rPr>
          <w:rFonts w:cs="Arial"/>
        </w:rPr>
        <w:br/>
      </w:r>
      <w:hyperlink r:id="rId42" w:history="1">
        <w:r w:rsidRPr="003B6FFF">
          <w:rPr>
            <w:rStyle w:val="Hyperlink"/>
            <w:rFonts w:cs="Arial"/>
          </w:rPr>
          <w:t>www.knowtheline.com.au</w:t>
        </w:r>
      </w:hyperlink>
      <w:r>
        <w:rPr>
          <w:rFonts w:cs="Arial"/>
        </w:rPr>
        <w:t xml:space="preserve"> </w:t>
      </w:r>
    </w:p>
    <w:p w:rsidR="00A96150" w:rsidRPr="003624E0" w:rsidRDefault="00A96150" w:rsidP="00A96150">
      <w:pPr>
        <w:ind w:left="567" w:hanging="567"/>
        <w:rPr>
          <w:rFonts w:eastAsiaTheme="minorHAnsi" w:cs="Arial"/>
        </w:rPr>
      </w:pPr>
      <w:r w:rsidRPr="003624E0">
        <w:rPr>
          <w:rFonts w:cs="Arial"/>
        </w:rPr>
        <w:t xml:space="preserve">Australian Human Rights Commission, </w:t>
      </w:r>
      <w:r w:rsidRPr="003624E0">
        <w:rPr>
          <w:rFonts w:cs="Arial"/>
          <w:i/>
          <w:iCs/>
        </w:rPr>
        <w:t xml:space="preserve">Working without Fear: Results of the Sexual Harassment National Telephone Survey </w:t>
      </w:r>
      <w:r w:rsidRPr="003624E0">
        <w:rPr>
          <w:rFonts w:cs="Arial"/>
        </w:rPr>
        <w:t xml:space="preserve">(2012) </w:t>
      </w:r>
      <w:r w:rsidRPr="003624E0">
        <w:rPr>
          <w:rFonts w:cs="Arial"/>
        </w:rPr>
        <w:br/>
      </w:r>
      <w:hyperlink r:id="rId43" w:history="1">
        <w:r w:rsidRPr="003624E0">
          <w:rPr>
            <w:rStyle w:val="Hyperlink"/>
          </w:rPr>
          <w:t>www.humanrights.gov.au/sexualharassment/survey/index.html</w:t>
        </w:r>
      </w:hyperlink>
      <w:r w:rsidRPr="003624E0">
        <w:rPr>
          <w:rFonts w:cs="Arial"/>
        </w:rPr>
        <w:t xml:space="preserve"> </w:t>
      </w:r>
    </w:p>
    <w:p w:rsidR="00A96150" w:rsidRPr="003624E0" w:rsidRDefault="00CB6F05" w:rsidP="00A96150">
      <w:pPr>
        <w:ind w:left="567" w:hanging="567"/>
        <w:rPr>
          <w:rFonts w:cs="Arial"/>
          <w:i/>
          <w:iCs/>
        </w:rPr>
      </w:pPr>
      <w:r>
        <w:rPr>
          <w:rFonts w:cs="Arial"/>
        </w:rPr>
        <w:t xml:space="preserve">M Flood and P McDonald, </w:t>
      </w:r>
      <w:r w:rsidR="00A96150" w:rsidRPr="003624E0">
        <w:rPr>
          <w:rFonts w:cs="Arial"/>
          <w:i/>
          <w:iCs/>
        </w:rPr>
        <w:t xml:space="preserve">Encourage. </w:t>
      </w:r>
      <w:proofErr w:type="gramStart"/>
      <w:r w:rsidR="00A96150" w:rsidRPr="003624E0">
        <w:rPr>
          <w:rFonts w:cs="Arial"/>
          <w:i/>
          <w:iCs/>
        </w:rPr>
        <w:t>Support.</w:t>
      </w:r>
      <w:proofErr w:type="gramEnd"/>
      <w:r w:rsidR="00A96150" w:rsidRPr="003624E0">
        <w:rPr>
          <w:rFonts w:cs="Arial"/>
          <w:i/>
          <w:iCs/>
        </w:rPr>
        <w:t xml:space="preserve"> Act! Bystander Approaches to Sexual Harassment in the Workplace </w:t>
      </w:r>
      <w:r w:rsidR="00A96150" w:rsidRPr="003624E0">
        <w:rPr>
          <w:rFonts w:cs="Arial"/>
        </w:rPr>
        <w:t>(2012)</w:t>
      </w:r>
      <w:r>
        <w:rPr>
          <w:rFonts w:cs="Arial"/>
        </w:rPr>
        <w:t>,</w:t>
      </w:r>
      <w:r w:rsidR="00A96150" w:rsidRPr="003624E0">
        <w:rPr>
          <w:rFonts w:cs="Arial"/>
        </w:rPr>
        <w:t xml:space="preserve"> </w:t>
      </w:r>
      <w:r w:rsidRPr="003624E0">
        <w:rPr>
          <w:rFonts w:cs="Arial"/>
        </w:rPr>
        <w:t xml:space="preserve">Australian Human Rights Commission, </w:t>
      </w:r>
      <w:hyperlink r:id="rId44" w:history="1">
        <w:r w:rsidR="00A96150" w:rsidRPr="003624E0">
          <w:rPr>
            <w:rStyle w:val="Hyperlink"/>
            <w:rFonts w:cs="Arial"/>
          </w:rPr>
          <w:t>www.</w:t>
        </w:r>
        <w:r w:rsidR="00A96150" w:rsidRPr="003624E0">
          <w:rPr>
            <w:rStyle w:val="Hyperlink"/>
          </w:rPr>
          <w:t>humanrights.gov.au/sexualharassment/bystander/index.html</w:t>
        </w:r>
      </w:hyperlink>
      <w:r w:rsidR="00A96150" w:rsidRPr="003624E0">
        <w:rPr>
          <w:rFonts w:cs="Arial"/>
          <w:i/>
          <w:iCs/>
        </w:rPr>
        <w:t xml:space="preserve"> </w:t>
      </w:r>
    </w:p>
    <w:p w:rsidR="00A96150" w:rsidRPr="003624E0" w:rsidRDefault="00A96150" w:rsidP="00A96150">
      <w:pPr>
        <w:ind w:left="567" w:hanging="567"/>
        <w:rPr>
          <w:rFonts w:cs="Arial"/>
          <w:sz w:val="20"/>
          <w:szCs w:val="20"/>
        </w:rPr>
      </w:pPr>
      <w:r w:rsidRPr="003624E0">
        <w:rPr>
          <w:rFonts w:cs="Arial"/>
        </w:rPr>
        <w:t xml:space="preserve">Australian Human Rights Commission, </w:t>
      </w:r>
      <w:r w:rsidRPr="003624E0">
        <w:rPr>
          <w:rFonts w:cs="Arial"/>
          <w:i/>
          <w:iCs/>
        </w:rPr>
        <w:t xml:space="preserve">Federal Discrimination Law </w:t>
      </w:r>
      <w:r w:rsidRPr="003624E0">
        <w:rPr>
          <w:rFonts w:cs="Arial"/>
        </w:rPr>
        <w:t xml:space="preserve">(updated 2011), </w:t>
      </w:r>
      <w:proofErr w:type="spellStart"/>
      <w:r w:rsidR="007A44F9">
        <w:rPr>
          <w:rFonts w:cs="Arial"/>
        </w:rPr>
        <w:t>pp</w:t>
      </w:r>
      <w:proofErr w:type="spellEnd"/>
      <w:r w:rsidR="007A44F9">
        <w:rPr>
          <w:rFonts w:cs="Arial"/>
        </w:rPr>
        <w:t xml:space="preserve"> </w:t>
      </w:r>
      <w:r w:rsidRPr="003624E0">
        <w:rPr>
          <w:rFonts w:cs="Arial"/>
        </w:rPr>
        <w:t xml:space="preserve">47-59 </w:t>
      </w:r>
      <w:r w:rsidRPr="003624E0">
        <w:rPr>
          <w:rFonts w:cs="Arial"/>
        </w:rPr>
        <w:br/>
      </w:r>
      <w:hyperlink r:id="rId45" w:history="1">
        <w:r w:rsidRPr="003624E0">
          <w:rPr>
            <w:rStyle w:val="Hyperlink"/>
          </w:rPr>
          <w:t>www.humanrights.gov.au/legal/FDL/index.html</w:t>
        </w:r>
      </w:hyperlink>
    </w:p>
    <w:p w:rsidR="00A96150" w:rsidRPr="003624E0" w:rsidRDefault="00A96150" w:rsidP="00F042B7">
      <w:pPr>
        <w:ind w:left="567" w:hanging="567"/>
        <w:rPr>
          <w:rFonts w:cs="Arial"/>
        </w:rPr>
      </w:pPr>
      <w:r w:rsidRPr="003624E0">
        <w:rPr>
          <w:rFonts w:cs="Arial"/>
        </w:rPr>
        <w:t xml:space="preserve">Charlesworth, Sara </w:t>
      </w:r>
      <w:r w:rsidRPr="00A95DB8">
        <w:rPr>
          <w:rFonts w:cs="Arial"/>
          <w:iCs/>
        </w:rPr>
        <w:t>et al</w:t>
      </w:r>
      <w:r w:rsidRPr="00A95DB8">
        <w:rPr>
          <w:rFonts w:cs="Arial"/>
        </w:rPr>
        <w:t xml:space="preserve">, </w:t>
      </w:r>
      <w:r w:rsidRPr="003624E0">
        <w:rPr>
          <w:rFonts w:cs="Arial"/>
          <w:i/>
          <w:iCs/>
        </w:rPr>
        <w:t>Formal Complaints of Workplace Sexual Harassment Lodged with Australian Human Rights and Equal Opportunity Commissions 1 July 2009 – 31 December 2009</w:t>
      </w:r>
      <w:r w:rsidRPr="003624E0">
        <w:rPr>
          <w:rFonts w:cs="Arial"/>
        </w:rPr>
        <w:t xml:space="preserve"> (2012)</w:t>
      </w:r>
      <w:r w:rsidRPr="003624E0">
        <w:rPr>
          <w:rFonts w:cs="Arial"/>
        </w:rPr>
        <w:br/>
      </w:r>
      <w:hyperlink r:id="rId46" w:history="1">
        <w:r w:rsidRPr="003624E0">
          <w:rPr>
            <w:rStyle w:val="Hyperlink"/>
          </w:rPr>
          <w:t>www.sexualharassmentinaustralia.org/wp-content/uploads/2012/04/SH-Report.pdf</w:t>
        </w:r>
      </w:hyperlink>
    </w:p>
    <w:p w:rsidR="00A96150" w:rsidRPr="003624E0" w:rsidRDefault="00A96150" w:rsidP="00A96150">
      <w:pPr>
        <w:ind w:left="567" w:hanging="567"/>
        <w:rPr>
          <w:rFonts w:cs="Arial"/>
          <w:sz w:val="22"/>
          <w:szCs w:val="22"/>
        </w:rPr>
      </w:pPr>
      <w:r w:rsidRPr="003624E0">
        <w:rPr>
          <w:rFonts w:cs="Arial"/>
        </w:rPr>
        <w:t>Sexual Harassment in Australia</w:t>
      </w:r>
      <w:r w:rsidR="00F95F16">
        <w:rPr>
          <w:rFonts w:cs="Arial"/>
        </w:rPr>
        <w:t xml:space="preserve"> </w:t>
      </w:r>
      <w:r w:rsidR="00CB6F05">
        <w:rPr>
          <w:rFonts w:cs="Arial"/>
        </w:rPr>
        <w:t xml:space="preserve">Project Website </w:t>
      </w:r>
      <w:r w:rsidR="00F95F16">
        <w:rPr>
          <w:rFonts w:cs="Arial"/>
        </w:rPr>
        <w:t>(</w:t>
      </w:r>
      <w:r w:rsidR="00F95F16">
        <w:rPr>
          <w:lang w:val="en"/>
        </w:rPr>
        <w:t xml:space="preserve">Associate Professor Paula McDonald, Associate Professor Sara Charlesworth, Tina Graham, </w:t>
      </w:r>
      <w:proofErr w:type="spellStart"/>
      <w:r w:rsidR="00F95F16">
        <w:rPr>
          <w:lang w:val="en"/>
        </w:rPr>
        <w:t>Anthea</w:t>
      </w:r>
      <w:proofErr w:type="spellEnd"/>
      <w:r w:rsidR="00F95F16">
        <w:rPr>
          <w:lang w:val="en"/>
        </w:rPr>
        <w:t xml:space="preserve"> Worley</w:t>
      </w:r>
      <w:proofErr w:type="gramStart"/>
      <w:r w:rsidR="00F95F16">
        <w:rPr>
          <w:lang w:val="en"/>
        </w:rPr>
        <w:t>)</w:t>
      </w:r>
      <w:proofErr w:type="gramEnd"/>
      <w:r w:rsidRPr="003624E0">
        <w:rPr>
          <w:rFonts w:cs="Arial"/>
        </w:rPr>
        <w:br/>
      </w:r>
      <w:hyperlink r:id="rId47" w:history="1">
        <w:r w:rsidRPr="003624E0">
          <w:rPr>
            <w:rStyle w:val="Hyperlink"/>
          </w:rPr>
          <w:t>www.sexualharassmentinaustralia.org/</w:t>
        </w:r>
      </w:hyperlink>
    </w:p>
    <w:p w:rsidR="00A96150" w:rsidRPr="003624E0" w:rsidRDefault="00A96150" w:rsidP="00A96150">
      <w:pPr>
        <w:ind w:left="567" w:hanging="567"/>
        <w:rPr>
          <w:rFonts w:cs="Arial"/>
        </w:rPr>
      </w:pPr>
      <w:r w:rsidRPr="003624E0">
        <w:rPr>
          <w:rFonts w:cs="Arial"/>
        </w:rPr>
        <w:t xml:space="preserve">Victorian Equal Opportunity &amp; Human Rights Commission, </w:t>
      </w:r>
      <w:r w:rsidRPr="003624E0">
        <w:rPr>
          <w:rFonts w:cs="Arial"/>
          <w:i/>
          <w:iCs/>
        </w:rPr>
        <w:t xml:space="preserve">Guideline: Sexual Harassment. Complying with the Equal Opportunity Act 2010 </w:t>
      </w:r>
      <w:r w:rsidRPr="003624E0">
        <w:rPr>
          <w:rFonts w:cs="Arial"/>
        </w:rPr>
        <w:t xml:space="preserve">(2013) </w:t>
      </w:r>
      <w:hyperlink r:id="rId48" w:history="1">
        <w:r w:rsidRPr="003624E0">
          <w:rPr>
            <w:rStyle w:val="Hyperlink"/>
          </w:rPr>
          <w:t>www.humanrightscommission.vic.gov.au/index.php/our-resources-and-publications/eoa-practice-guidelines</w:t>
        </w:r>
      </w:hyperlink>
    </w:p>
    <w:p w:rsidR="00A96150" w:rsidRPr="003624E0" w:rsidRDefault="00A96150" w:rsidP="00A96150">
      <w:pPr>
        <w:spacing w:after="0"/>
      </w:pPr>
      <w:r w:rsidRPr="003624E0">
        <w:t>Victorian Equal Opportunity &amp; Human Rights Commission,</w:t>
      </w:r>
      <w:r>
        <w:t xml:space="preserve"> </w:t>
      </w:r>
      <w:r w:rsidRPr="003624E0">
        <w:rPr>
          <w:i/>
        </w:rPr>
        <w:t xml:space="preserve">Employer’s </w:t>
      </w:r>
      <w:r>
        <w:rPr>
          <w:i/>
        </w:rPr>
        <w:t>C</w:t>
      </w:r>
      <w:r w:rsidRPr="003624E0">
        <w:rPr>
          <w:i/>
        </w:rPr>
        <w:t xml:space="preserve">hecklist: Preventing </w:t>
      </w:r>
      <w:r>
        <w:rPr>
          <w:i/>
        </w:rPr>
        <w:t>S</w:t>
      </w:r>
      <w:r w:rsidRPr="003624E0">
        <w:rPr>
          <w:i/>
        </w:rPr>
        <w:t xml:space="preserve">exual </w:t>
      </w:r>
      <w:r>
        <w:rPr>
          <w:i/>
        </w:rPr>
        <w:t>H</w:t>
      </w:r>
      <w:r w:rsidRPr="003624E0">
        <w:rPr>
          <w:i/>
        </w:rPr>
        <w:t xml:space="preserve">arassment </w:t>
      </w:r>
      <w:r w:rsidRPr="003624E0">
        <w:t>(2011)</w:t>
      </w:r>
      <w:r>
        <w:t xml:space="preserve"> </w:t>
      </w:r>
    </w:p>
    <w:p w:rsidR="00C123C3" w:rsidRDefault="00E240B4" w:rsidP="00A95DB8">
      <w:pPr>
        <w:spacing w:before="0"/>
        <w:ind w:left="567"/>
        <w:rPr>
          <w:rStyle w:val="Hyperlink"/>
        </w:rPr>
      </w:pPr>
      <w:hyperlink r:id="rId49" w:history="1">
        <w:r w:rsidR="00A96150" w:rsidRPr="003624E0">
          <w:rPr>
            <w:rStyle w:val="Hyperlink"/>
          </w:rPr>
          <w:t>www.victorianhumanrightscommission.com/www/files/Employers%20Toolkits/Sexual%20harassment%20-%20Employers%20checklist.pdf</w:t>
        </w:r>
      </w:hyperlink>
    </w:p>
    <w:p w:rsidR="001C28D0" w:rsidRPr="00A95DB8" w:rsidRDefault="001C28D0" w:rsidP="00A95DB8">
      <w:pPr>
        <w:spacing w:before="0"/>
        <w:ind w:left="709" w:hanging="709"/>
        <w:rPr>
          <w:rFonts w:cs="Arial"/>
          <w:i/>
          <w:iCs/>
          <w:color w:val="000000" w:themeColor="text1"/>
          <w:lang w:val="en-US"/>
        </w:rPr>
      </w:pPr>
      <w:r w:rsidRPr="00A95DB8">
        <w:rPr>
          <w:rStyle w:val="Hyperlink"/>
          <w:color w:val="000000" w:themeColor="text1"/>
          <w:u w:val="none"/>
        </w:rPr>
        <w:t>Women’s L</w:t>
      </w:r>
      <w:r w:rsidR="00C123C3" w:rsidRPr="00A95DB8">
        <w:rPr>
          <w:rStyle w:val="Hyperlink"/>
          <w:color w:val="000000" w:themeColor="text1"/>
          <w:u w:val="none"/>
        </w:rPr>
        <w:t xml:space="preserve">egal </w:t>
      </w:r>
      <w:r w:rsidR="007A44F9" w:rsidRPr="00A95DB8">
        <w:rPr>
          <w:rStyle w:val="Hyperlink"/>
          <w:color w:val="000000" w:themeColor="text1"/>
          <w:u w:val="none"/>
        </w:rPr>
        <w:t>S</w:t>
      </w:r>
      <w:r w:rsidR="00C123C3" w:rsidRPr="00A95DB8">
        <w:rPr>
          <w:rStyle w:val="Hyperlink"/>
          <w:color w:val="000000" w:themeColor="text1"/>
          <w:u w:val="none"/>
        </w:rPr>
        <w:t>ervices NSW</w:t>
      </w:r>
      <w:r w:rsidRPr="00A95DB8">
        <w:rPr>
          <w:rStyle w:val="Hyperlink"/>
          <w:rFonts w:cs="Arial"/>
          <w:color w:val="000000" w:themeColor="text1"/>
          <w:u w:val="none"/>
        </w:rPr>
        <w:t xml:space="preserve">, </w:t>
      </w:r>
      <w:r w:rsidRPr="00A95DB8">
        <w:rPr>
          <w:rStyle w:val="Emphasis"/>
          <w:rFonts w:cs="Arial" w:hint="eastAsia"/>
          <w:color w:val="000000" w:themeColor="text1"/>
          <w:lang w:val="en-US"/>
        </w:rPr>
        <w:t xml:space="preserve">My work </w:t>
      </w:r>
      <w:proofErr w:type="gramStart"/>
      <w:r w:rsidRPr="00A95DB8">
        <w:rPr>
          <w:rStyle w:val="Emphasis"/>
          <w:rFonts w:cs="Arial" w:hint="eastAsia"/>
          <w:color w:val="000000" w:themeColor="text1"/>
          <w:lang w:val="en-US"/>
        </w:rPr>
        <w:t>My</w:t>
      </w:r>
      <w:proofErr w:type="gramEnd"/>
      <w:r w:rsidRPr="00A95DB8">
        <w:rPr>
          <w:rStyle w:val="Emphasis"/>
          <w:rFonts w:cs="Arial" w:hint="eastAsia"/>
          <w:color w:val="000000" w:themeColor="text1"/>
          <w:lang w:val="en-US"/>
        </w:rPr>
        <w:t xml:space="preserve"> rights My life</w:t>
      </w:r>
      <w:r w:rsidR="007A44F9" w:rsidRPr="00A95DB8">
        <w:rPr>
          <w:rStyle w:val="Emphasis"/>
          <w:rFonts w:cs="Arial" w:hint="eastAsia"/>
          <w:color w:val="000000" w:themeColor="text1"/>
          <w:lang w:val="en-US"/>
        </w:rPr>
        <w:br/>
      </w:r>
      <w:hyperlink r:id="rId50" w:history="1">
        <w:r w:rsidR="00B936CF" w:rsidRPr="00F7332F">
          <w:rPr>
            <w:rStyle w:val="Hyperlink"/>
            <w:rFonts w:cs="Arial"/>
          </w:rPr>
          <w:t>http://www.womenslegalnsw.asn.au/wlsnsw/our-services/wwls/</w:t>
        </w:r>
      </w:hyperlink>
      <w:r w:rsidR="00B936CF">
        <w:rPr>
          <w:rStyle w:val="Hyperlink"/>
          <w:rFonts w:cs="Arial"/>
          <w:color w:val="000000" w:themeColor="text1"/>
        </w:rPr>
        <w:t xml:space="preserve"> </w:t>
      </w:r>
    </w:p>
    <w:p w:rsidR="0031253B" w:rsidRDefault="0031253B">
      <w:pPr>
        <w:spacing w:before="0" w:after="0"/>
        <w:rPr>
          <w:b/>
          <w:bCs/>
          <w:sz w:val="28"/>
          <w:szCs w:val="28"/>
        </w:rPr>
      </w:pPr>
      <w:r>
        <w:br w:type="page"/>
      </w:r>
    </w:p>
    <w:p w:rsidR="007B294D" w:rsidRPr="003624E0" w:rsidRDefault="00C820FD" w:rsidP="00C820FD">
      <w:pPr>
        <w:pStyle w:val="Heading1"/>
        <w:numPr>
          <w:ilvl w:val="0"/>
          <w:numId w:val="0"/>
        </w:numPr>
        <w:rPr>
          <w:sz w:val="36"/>
          <w:szCs w:val="36"/>
        </w:rPr>
      </w:pPr>
      <w:bookmarkStart w:id="63" w:name="_Toc162769295"/>
      <w:bookmarkStart w:id="64" w:name="_Toc207761836"/>
      <w:bookmarkStart w:id="65" w:name="_Toc209578272"/>
      <w:bookmarkStart w:id="66" w:name="_Toc362446707"/>
      <w:bookmarkStart w:id="67" w:name="_Toc388023538"/>
      <w:r w:rsidRPr="003624E0">
        <w:rPr>
          <w:sz w:val="36"/>
          <w:szCs w:val="36"/>
        </w:rPr>
        <w:t>Appendix</w:t>
      </w:r>
      <w:bookmarkEnd w:id="63"/>
      <w:bookmarkEnd w:id="64"/>
      <w:bookmarkEnd w:id="65"/>
      <w:r w:rsidRPr="003624E0">
        <w:rPr>
          <w:sz w:val="36"/>
          <w:szCs w:val="36"/>
        </w:rPr>
        <w:t xml:space="preserve"> 2: Complaints to the Australian Human Rights Commission</w:t>
      </w:r>
      <w:bookmarkEnd w:id="66"/>
      <w:bookmarkEnd w:id="67"/>
    </w:p>
    <w:p w:rsidR="001339EC" w:rsidRDefault="001339EC" w:rsidP="001339EC">
      <w:r>
        <w:t xml:space="preserve">A person who believes he or she has been sexually harassed in the workplace can make a complaint to the Australian Human Rights Commission alleging sexual harassment under the </w:t>
      </w:r>
      <w:r>
        <w:rPr>
          <w:i/>
        </w:rPr>
        <w:t xml:space="preserve">Sex Discrimination Act 1984 </w:t>
      </w:r>
      <w:r>
        <w:t>(</w:t>
      </w:r>
      <w:proofErr w:type="spellStart"/>
      <w:r>
        <w:t>Cth</w:t>
      </w:r>
      <w:proofErr w:type="spellEnd"/>
      <w:r>
        <w:t>).</w:t>
      </w:r>
    </w:p>
    <w:p w:rsidR="001339EC" w:rsidRPr="00D95020" w:rsidRDefault="001339EC" w:rsidP="001339EC">
      <w:r w:rsidRPr="00D95020">
        <w:t>A person who makes a complaint to the Commission is known as a complainant. A complainant can make a complaint about an individual and/or an organisation</w:t>
      </w:r>
      <w:r>
        <w:t>,</w:t>
      </w:r>
      <w:r w:rsidRPr="00D95020">
        <w:t xml:space="preserve"> for example </w:t>
      </w:r>
      <w:r>
        <w:t>an</w:t>
      </w:r>
      <w:r w:rsidRPr="00D95020">
        <w:t xml:space="preserve"> employer. This means that the complainant may consider</w:t>
      </w:r>
      <w:r>
        <w:t xml:space="preserve"> </w:t>
      </w:r>
      <w:r w:rsidRPr="00D95020">
        <w:t xml:space="preserve">both an individual and/or organisation responsible for the alleged sexual harassment. The person or organisation a complaint is about is known as </w:t>
      </w:r>
      <w:r>
        <w:t xml:space="preserve">a </w:t>
      </w:r>
      <w:r w:rsidRPr="00D95020">
        <w:t xml:space="preserve">respondent.  </w:t>
      </w:r>
    </w:p>
    <w:p w:rsidR="001339EC" w:rsidRPr="00D95020" w:rsidRDefault="001339EC" w:rsidP="001339EC">
      <w:pPr>
        <w:rPr>
          <w:b/>
        </w:rPr>
      </w:pPr>
      <w:r w:rsidRPr="00D95020">
        <w:rPr>
          <w:b/>
        </w:rPr>
        <w:t>What is the Commission’s role in relation to complaints?</w:t>
      </w:r>
    </w:p>
    <w:p w:rsidR="001339EC" w:rsidRPr="00D95020" w:rsidRDefault="001339EC" w:rsidP="001339EC">
      <w:r w:rsidRPr="00D95020">
        <w:t xml:space="preserve">When the Commission receives a complaint alleging sexual harassment under the </w:t>
      </w:r>
      <w:r w:rsidRPr="00D95020">
        <w:rPr>
          <w:i/>
        </w:rPr>
        <w:t xml:space="preserve">Sex Discrimination Act 1984 </w:t>
      </w:r>
      <w:r w:rsidRPr="00D95020">
        <w:t>(</w:t>
      </w:r>
      <w:proofErr w:type="spellStart"/>
      <w:r w:rsidRPr="00D95020">
        <w:t>Cth</w:t>
      </w:r>
      <w:proofErr w:type="spellEnd"/>
      <w:r w:rsidRPr="00D95020">
        <w:t xml:space="preserve">), the President of the Commission can inquire into the complaint and try to resolve it by conciliation. </w:t>
      </w:r>
    </w:p>
    <w:p w:rsidR="001339EC" w:rsidRPr="00D95020" w:rsidRDefault="001339EC" w:rsidP="001339EC">
      <w:r w:rsidRPr="00D95020">
        <w:t xml:space="preserve">Commission </w:t>
      </w:r>
      <w:proofErr w:type="gramStart"/>
      <w:r w:rsidRPr="00D95020">
        <w:t>staff</w:t>
      </w:r>
      <w:proofErr w:type="gramEnd"/>
      <w:r w:rsidRPr="00D95020">
        <w:t xml:space="preserve"> who deal with complaints on behalf of the President are not advocates for the complainant or respondent.</w:t>
      </w:r>
    </w:p>
    <w:p w:rsidR="001339EC" w:rsidRPr="00D95020" w:rsidRDefault="001339EC" w:rsidP="001339EC">
      <w:r w:rsidRPr="00D95020">
        <w:t xml:space="preserve">The Commission is not a court and cannot decide if </w:t>
      </w:r>
      <w:r>
        <w:t>a complainant has been sexually harassed</w:t>
      </w:r>
      <w:r w:rsidRPr="00D95020">
        <w:t xml:space="preserve">. The Commission’s role is to get both sides of the story and help those involved try to resolve the complaint. </w:t>
      </w:r>
    </w:p>
    <w:p w:rsidR="001339EC" w:rsidRPr="00D95020" w:rsidRDefault="001339EC" w:rsidP="001339EC">
      <w:pPr>
        <w:rPr>
          <w:b/>
        </w:rPr>
      </w:pPr>
      <w:r w:rsidRPr="00D95020">
        <w:rPr>
          <w:b/>
        </w:rPr>
        <w:t xml:space="preserve">What happens when the Commission receives a complaint? </w:t>
      </w:r>
    </w:p>
    <w:p w:rsidR="001339EC" w:rsidRPr="00DB6968" w:rsidRDefault="001339EC" w:rsidP="001339EC">
      <w:r w:rsidRPr="00D95020">
        <w:t>The Commission</w:t>
      </w:r>
      <w:r w:rsidRPr="00DB6968">
        <w:t xml:space="preserve"> will </w:t>
      </w:r>
      <w:r>
        <w:t xml:space="preserve">advise a respondent that a complaint has been received and provide them with a </w:t>
      </w:r>
      <w:r w:rsidRPr="00DB6968">
        <w:t xml:space="preserve">copy of the complaint. The Commission wants to hear </w:t>
      </w:r>
      <w:r>
        <w:t>a respondent’s</w:t>
      </w:r>
      <w:r w:rsidRPr="00DB6968">
        <w:t xml:space="preserve"> views on the matter and wants to make sure </w:t>
      </w:r>
      <w:r>
        <w:t>they</w:t>
      </w:r>
      <w:r w:rsidRPr="00DB6968">
        <w:t xml:space="preserve"> have a fair opportunity to respond </w:t>
      </w:r>
      <w:r>
        <w:t xml:space="preserve">to </w:t>
      </w:r>
      <w:r w:rsidRPr="00DB6968">
        <w:t>and resolve the complaint.</w:t>
      </w:r>
    </w:p>
    <w:p w:rsidR="001339EC" w:rsidRPr="00DB6968" w:rsidRDefault="001339EC" w:rsidP="001339EC">
      <w:r w:rsidRPr="00DB6968">
        <w:t xml:space="preserve">Where appropriate, the Commission will invite </w:t>
      </w:r>
      <w:r>
        <w:t xml:space="preserve">the complainant and respondent </w:t>
      </w:r>
      <w:r w:rsidRPr="00DB6968">
        <w:t>to participate in conciliation.</w:t>
      </w:r>
    </w:p>
    <w:p w:rsidR="001339EC" w:rsidRPr="00DB6968" w:rsidRDefault="001339EC" w:rsidP="001339EC">
      <w:r w:rsidRPr="00DB6968">
        <w:t xml:space="preserve">If the Commission asks </w:t>
      </w:r>
      <w:r>
        <w:t>a respondent</w:t>
      </w:r>
      <w:r w:rsidRPr="00DB6968">
        <w:t xml:space="preserve"> to provide information or documents, </w:t>
      </w:r>
      <w:r>
        <w:t>they</w:t>
      </w:r>
      <w:r w:rsidRPr="00DB6968">
        <w:t xml:space="preserve"> will also be asked to provide this within a specific timeframe. If </w:t>
      </w:r>
      <w:r>
        <w:t>the respondent</w:t>
      </w:r>
      <w:r w:rsidRPr="00DB6968">
        <w:t xml:space="preserve"> do</w:t>
      </w:r>
      <w:r>
        <w:t>es</w:t>
      </w:r>
      <w:r w:rsidRPr="00DB6968">
        <w:t xml:space="preserve"> not provide the information in the timeframe or do</w:t>
      </w:r>
      <w:r>
        <w:t>es</w:t>
      </w:r>
      <w:r w:rsidRPr="00DB6968">
        <w:t xml:space="preserve"> not respond at all, the President of the Commission has power under the law to compel </w:t>
      </w:r>
      <w:r>
        <w:t>the respondent</w:t>
      </w:r>
      <w:r w:rsidRPr="00DB6968">
        <w:t xml:space="preserve"> to provide the information. The law also says that the President can compel people and organisations to attend conciliation.</w:t>
      </w:r>
    </w:p>
    <w:p w:rsidR="001339EC" w:rsidRPr="00DB6968" w:rsidRDefault="001339EC" w:rsidP="001339EC">
      <w:r w:rsidRPr="00DB6968">
        <w:t xml:space="preserve">It is the Commission’s usual practice to give the complainant a copy of information and documents that </w:t>
      </w:r>
      <w:r>
        <w:t>a respondent</w:t>
      </w:r>
      <w:r w:rsidRPr="00DB6968">
        <w:t xml:space="preserve"> provide</w:t>
      </w:r>
      <w:r>
        <w:t>s</w:t>
      </w:r>
      <w:r w:rsidRPr="00DB6968">
        <w:t xml:space="preserve"> to the Commission. This can help the complainant understand how </w:t>
      </w:r>
      <w:r>
        <w:t>the respondent</w:t>
      </w:r>
      <w:r w:rsidRPr="00DB6968">
        <w:t xml:space="preserve"> see</w:t>
      </w:r>
      <w:r>
        <w:t>s</w:t>
      </w:r>
      <w:r w:rsidRPr="00DB6968">
        <w:t xml:space="preserve"> things. </w:t>
      </w:r>
    </w:p>
    <w:p w:rsidR="001339EC" w:rsidRPr="00DB6968" w:rsidRDefault="001339EC" w:rsidP="001339EC">
      <w:r>
        <w:t>Complainants and respondents</w:t>
      </w:r>
      <w:r w:rsidRPr="00DB6968">
        <w:t xml:space="preserve"> do not need a lawyer to</w:t>
      </w:r>
      <w:r>
        <w:t xml:space="preserve"> make or </w:t>
      </w:r>
      <w:r w:rsidRPr="00DB6968">
        <w:t xml:space="preserve">respond to a complaint. If </w:t>
      </w:r>
      <w:r>
        <w:t>complainants or respondents want</w:t>
      </w:r>
      <w:r w:rsidRPr="00DB6968">
        <w:t xml:space="preserve"> a lawyer, </w:t>
      </w:r>
      <w:r>
        <w:t>they</w:t>
      </w:r>
      <w:r w:rsidRPr="00DB6968">
        <w:t xml:space="preserve"> need to organise this </w:t>
      </w:r>
      <w:r>
        <w:t>themselves</w:t>
      </w:r>
      <w:r w:rsidRPr="00DB6968">
        <w:t xml:space="preserve">. </w:t>
      </w:r>
      <w:r>
        <w:t>Complainants</w:t>
      </w:r>
      <w:r w:rsidRPr="00DB6968">
        <w:t xml:space="preserve"> </w:t>
      </w:r>
      <w:r w:rsidR="0069006C">
        <w:t xml:space="preserve">and respondents </w:t>
      </w:r>
      <w:r w:rsidRPr="00DB6968">
        <w:t>can also seek advice from other organisations such as industry groups</w:t>
      </w:r>
      <w:r>
        <w:t>, advocacy organisation and trade unions</w:t>
      </w:r>
      <w:r w:rsidRPr="00DB6968">
        <w:t>.</w:t>
      </w:r>
    </w:p>
    <w:p w:rsidR="001339EC" w:rsidRDefault="001339EC" w:rsidP="001339EC">
      <w:pPr>
        <w:rPr>
          <w:b/>
        </w:rPr>
      </w:pPr>
    </w:p>
    <w:p w:rsidR="001339EC" w:rsidRPr="0010249F" w:rsidRDefault="001339EC" w:rsidP="001339EC">
      <w:pPr>
        <w:rPr>
          <w:b/>
        </w:rPr>
      </w:pPr>
      <w:r w:rsidRPr="0010249F">
        <w:rPr>
          <w:b/>
        </w:rPr>
        <w:t>What is conciliation?</w:t>
      </w:r>
    </w:p>
    <w:p w:rsidR="001339EC" w:rsidRPr="00DB6968" w:rsidRDefault="001339EC" w:rsidP="001339EC">
      <w:r w:rsidRPr="00DB6968">
        <w:t xml:space="preserve">Conciliation is an informal process that allows </w:t>
      </w:r>
      <w:r>
        <w:t xml:space="preserve">the complainant and respondent </w:t>
      </w:r>
      <w:r w:rsidRPr="00DB6968">
        <w:t>to talk about the issues in the complaint and try to find a way to resolve the matter.</w:t>
      </w:r>
    </w:p>
    <w:p w:rsidR="001339EC" w:rsidRPr="00DB6968" w:rsidRDefault="001339EC" w:rsidP="001339EC">
      <w:r w:rsidRPr="00DB6968">
        <w:t>Conciliation is not like a court hearing. The conciliator does not decide who is right or wrong and the conciliator does not decide how the complaint should be resolved.</w:t>
      </w:r>
    </w:p>
    <w:p w:rsidR="001339EC" w:rsidRPr="00DB6968" w:rsidRDefault="001339EC" w:rsidP="001339EC">
      <w:r w:rsidRPr="00DB6968">
        <w:t xml:space="preserve">The conciliator is there to help ensure that the process is fair and to help </w:t>
      </w:r>
      <w:r>
        <w:t xml:space="preserve">the complainant and respondent </w:t>
      </w:r>
      <w:r w:rsidRPr="00DB6968">
        <w:t>discuss and negotiate an outcome. The conciliator can also provide information about the law and how it has been interpreted.</w:t>
      </w:r>
    </w:p>
    <w:p w:rsidR="001339EC" w:rsidRPr="00DB6968" w:rsidRDefault="001339EC" w:rsidP="001339EC">
      <w:r w:rsidRPr="00DB6968">
        <w:t>Conciliation can take place in a face-to-face meeting called a ‘conciliation conference’ or through a telephone conference. In some cases complaints can be resolved through an exchange of letters or by passing messages through the conciliator.</w:t>
      </w:r>
    </w:p>
    <w:p w:rsidR="001339EC" w:rsidRPr="00DB6968" w:rsidRDefault="001339EC" w:rsidP="001339EC">
      <w:r w:rsidRPr="00DB6968">
        <w:t xml:space="preserve">The conciliator decides how the conciliation process will run and who will participate. </w:t>
      </w:r>
      <w:r>
        <w:t xml:space="preserve">Complainants and respondents </w:t>
      </w:r>
      <w:r w:rsidRPr="00DB6968">
        <w:t xml:space="preserve">can ask to bring a support person or an advocate to assist </w:t>
      </w:r>
      <w:r>
        <w:t>them</w:t>
      </w:r>
      <w:r w:rsidRPr="00DB6968">
        <w:t xml:space="preserve"> in the conciliation process. If </w:t>
      </w:r>
      <w:r>
        <w:t xml:space="preserve">a person </w:t>
      </w:r>
      <w:r w:rsidRPr="00DB6968">
        <w:t>need</w:t>
      </w:r>
      <w:r>
        <w:t>s</w:t>
      </w:r>
      <w:r w:rsidRPr="00DB6968">
        <w:t xml:space="preserve"> special assistance such as a language or sign language interpreter, the Commission can arrange this. </w:t>
      </w:r>
    </w:p>
    <w:p w:rsidR="001339EC" w:rsidRDefault="001339EC" w:rsidP="001339EC">
      <w:r w:rsidRPr="00DB6968">
        <w:t xml:space="preserve">Conciliation is a confidential process in that the Commission cannot provide information about anything that is said or done in conciliation to the court, if further legal action is taken in relation to the complaint. </w:t>
      </w:r>
    </w:p>
    <w:p w:rsidR="001339EC" w:rsidRDefault="001339EC" w:rsidP="001339EC">
      <w:r w:rsidRPr="00DB6968">
        <w:t xml:space="preserve">Complaints can be resolved in many different ways and the officer who is handling the complaint can provide </w:t>
      </w:r>
      <w:r>
        <w:t xml:space="preserve">complainants and respondents with </w:t>
      </w:r>
      <w:r w:rsidRPr="00DB6968">
        <w:t>information about how other complaints have been resolved.</w:t>
      </w:r>
    </w:p>
    <w:p w:rsidR="001339EC" w:rsidRDefault="001339EC" w:rsidP="001339EC">
      <w:r w:rsidRPr="00D95020">
        <w:t xml:space="preserve">More information about conciliation </w:t>
      </w:r>
      <w:r w:rsidR="00334E72">
        <w:t xml:space="preserve">(including examples of outcomes) </w:t>
      </w:r>
      <w:r w:rsidRPr="00D95020">
        <w:t xml:space="preserve">is available on the Investigation and Conciliation Service’s section of the website – </w:t>
      </w:r>
      <w:hyperlink r:id="rId51" w:history="1">
        <w:r w:rsidRPr="003F1BB0">
          <w:rPr>
            <w:rStyle w:val="Hyperlink"/>
          </w:rPr>
          <w:t>http://www.humanrights.gov.au/complaints-information</w:t>
        </w:r>
      </w:hyperlink>
      <w:r w:rsidRPr="00D95020">
        <w:t>.</w:t>
      </w:r>
      <w:r>
        <w:t xml:space="preserve"> </w:t>
      </w:r>
      <w:r w:rsidRPr="00D95020">
        <w:t xml:space="preserve">The Commission has a DVD about conciliation. This DVD can be obtained by contacting the Commission or can be viewed online – </w:t>
      </w:r>
      <w:hyperlink r:id="rId52" w:history="1">
        <w:r w:rsidRPr="00D95020">
          <w:rPr>
            <w:rStyle w:val="Hyperlink"/>
          </w:rPr>
          <w:t>www.humanrights.gov.au/complaints_information/pathways_to_resolution/index.html</w:t>
        </w:r>
      </w:hyperlink>
    </w:p>
    <w:p w:rsidR="001339EC" w:rsidRPr="00F6183A" w:rsidRDefault="001339EC" w:rsidP="001339EC">
      <w:pPr>
        <w:rPr>
          <w:b/>
        </w:rPr>
      </w:pPr>
      <w:r w:rsidRPr="00F6183A">
        <w:rPr>
          <w:b/>
        </w:rPr>
        <w:t>What happens if the complaint is not resolved?</w:t>
      </w:r>
    </w:p>
    <w:p w:rsidR="001339EC" w:rsidRPr="00DB6968" w:rsidRDefault="001339EC" w:rsidP="001339EC">
      <w:r w:rsidRPr="00DB6968">
        <w:t xml:space="preserve">If the complaint is not resolved, the Commission may request more information from </w:t>
      </w:r>
      <w:r>
        <w:t xml:space="preserve">the complainant and respondent </w:t>
      </w:r>
      <w:r w:rsidRPr="00DB6968">
        <w:t xml:space="preserve">before making a final decision about the complaint. </w:t>
      </w:r>
    </w:p>
    <w:p w:rsidR="001339EC" w:rsidRPr="00DB6968" w:rsidRDefault="001339EC" w:rsidP="001339EC">
      <w:r w:rsidRPr="00DB6968">
        <w:t xml:space="preserve">If the President of the Commission is satisfied that the complaint cannot be resolved, the complaint will be terminated. Once a complaint is terminated, the complainant has the option of applying to the Federal </w:t>
      </w:r>
      <w:r>
        <w:t>Circuit</w:t>
      </w:r>
      <w:r w:rsidRPr="00DB6968">
        <w:t xml:space="preserve"> Court or the Federal Court of Australia for the court to hear the allegations in the complaint. The complainant must make this application within 60 days of the date of termination.</w:t>
      </w:r>
    </w:p>
    <w:p w:rsidR="001339EC" w:rsidRPr="00DB6968" w:rsidRDefault="001339EC" w:rsidP="001339EC">
      <w:r w:rsidRPr="00DB6968">
        <w:t>The complainant can also make an application to the court if the President terminates the complaint for some other reason. For example, because the President is satisfied the complaint is lacking in substance or is satisfied that the complaint has already been adequately dealt with.</w:t>
      </w:r>
    </w:p>
    <w:p w:rsidR="001339EC" w:rsidRDefault="001339EC" w:rsidP="001339EC">
      <w:pPr>
        <w:rPr>
          <w:b/>
        </w:rPr>
      </w:pPr>
    </w:p>
    <w:p w:rsidR="001339EC" w:rsidRDefault="001339EC" w:rsidP="001339EC">
      <w:pPr>
        <w:rPr>
          <w:b/>
        </w:rPr>
      </w:pPr>
      <w:r>
        <w:rPr>
          <w:b/>
        </w:rPr>
        <w:t>Where can I get more information?</w:t>
      </w:r>
    </w:p>
    <w:p w:rsidR="001339EC" w:rsidRDefault="001339EC" w:rsidP="001339EC">
      <w:r w:rsidRPr="00D95020">
        <w:t xml:space="preserve">If you would like more information about federal anti-discrimination law, including the sexual harassment provisions in the </w:t>
      </w:r>
      <w:r w:rsidRPr="00D95020">
        <w:rPr>
          <w:i/>
        </w:rPr>
        <w:t xml:space="preserve">Sex Discrimination Act 1984 </w:t>
      </w:r>
      <w:r w:rsidRPr="00D95020">
        <w:t>(</w:t>
      </w:r>
      <w:proofErr w:type="spellStart"/>
      <w:r w:rsidRPr="00D95020">
        <w:t>Cth</w:t>
      </w:r>
      <w:proofErr w:type="spellEnd"/>
      <w:r w:rsidRPr="00D95020">
        <w:t xml:space="preserve">), or the Commission’s investigation and conciliation process, you can contact the Commission’s </w:t>
      </w:r>
      <w:r w:rsidR="00B02028">
        <w:t xml:space="preserve">National </w:t>
      </w:r>
      <w:r w:rsidRPr="00D95020">
        <w:t xml:space="preserve">Information Service. </w:t>
      </w:r>
    </w:p>
    <w:p w:rsidR="001339EC" w:rsidRPr="00DB6968" w:rsidRDefault="001339EC" w:rsidP="001339EC">
      <w:r w:rsidRPr="00D95020">
        <w:t xml:space="preserve">If you are a </w:t>
      </w:r>
      <w:r>
        <w:t>party</w:t>
      </w:r>
      <w:r w:rsidRPr="00D95020">
        <w:t xml:space="preserve"> to a complaint that is currently being dealt with by the Commission and have more questions about the complaint process and conciliation you can contact the officer who is handling the complaint.</w:t>
      </w:r>
    </w:p>
    <w:p w:rsidR="001339EC" w:rsidRPr="00FE2C3E" w:rsidRDefault="001339EC" w:rsidP="001339EC">
      <w:pPr>
        <w:rPr>
          <w:b/>
        </w:rPr>
      </w:pPr>
      <w:r w:rsidRPr="00FE2C3E">
        <w:rPr>
          <w:b/>
        </w:rPr>
        <w:t>Call us</w:t>
      </w:r>
    </w:p>
    <w:p w:rsidR="001339EC" w:rsidRPr="00FE2C3E" w:rsidRDefault="001339EC" w:rsidP="001339EC">
      <w:proofErr w:type="spellStart"/>
      <w:r>
        <w:t>Infoline</w:t>
      </w:r>
      <w:proofErr w:type="spellEnd"/>
      <w:r w:rsidRPr="00FE2C3E">
        <w:t xml:space="preserve">: 1300 656 419 or (02) 9284 9888 </w:t>
      </w:r>
      <w:r w:rsidRPr="00FE2C3E">
        <w:br/>
        <w:t>TTY: 1800 620 241</w:t>
      </w:r>
    </w:p>
    <w:p w:rsidR="001339EC" w:rsidRPr="00FE2C3E" w:rsidRDefault="001339EC" w:rsidP="001339EC">
      <w:r w:rsidRPr="00FE2C3E">
        <w:t xml:space="preserve">If you need an interpreter you can call the Translating and Interpreting Service (TIS) on </w:t>
      </w:r>
      <w:r w:rsidRPr="00FE2C3E">
        <w:rPr>
          <w:b/>
        </w:rPr>
        <w:t>131 450</w:t>
      </w:r>
      <w:r w:rsidRPr="00FE2C3E">
        <w:t xml:space="preserve"> and ask to be connected to the Australian Human Rights Commission.</w:t>
      </w:r>
    </w:p>
    <w:p w:rsidR="001339EC" w:rsidRPr="00FE2C3E" w:rsidRDefault="001339EC" w:rsidP="001339EC">
      <w:r w:rsidRPr="00FE2C3E">
        <w:t xml:space="preserve">If you are deaf or have a hearing or speech impairment you can contact the National Relay Service (NRS) on </w:t>
      </w:r>
      <w:r w:rsidRPr="00FE2C3E">
        <w:rPr>
          <w:b/>
        </w:rPr>
        <w:t xml:space="preserve">133 677 </w:t>
      </w:r>
      <w:r w:rsidRPr="00FE2C3E">
        <w:t xml:space="preserve">(TTY/Voice) or </w:t>
      </w:r>
      <w:r w:rsidRPr="00FE2C3E">
        <w:rPr>
          <w:b/>
        </w:rPr>
        <w:t>1300 555 727</w:t>
      </w:r>
      <w:r w:rsidRPr="00FE2C3E">
        <w:t xml:space="preserve"> (Speak &amp; Listen) and ask to be connected to the Australian Human Rights Commission.</w:t>
      </w:r>
    </w:p>
    <w:p w:rsidR="001339EC" w:rsidRPr="00FE2C3E" w:rsidRDefault="001339EC" w:rsidP="001339EC">
      <w:pPr>
        <w:rPr>
          <w:b/>
        </w:rPr>
      </w:pPr>
      <w:r w:rsidRPr="00FE2C3E">
        <w:rPr>
          <w:b/>
        </w:rPr>
        <w:t>Write to us</w:t>
      </w:r>
    </w:p>
    <w:p w:rsidR="001339EC" w:rsidRPr="00FE2C3E" w:rsidRDefault="001339EC" w:rsidP="001339EC">
      <w:r w:rsidRPr="00FE2C3E">
        <w:t>Postal Address: GPO Box 5218, Sydney NSW 2001</w:t>
      </w:r>
      <w:r w:rsidRPr="00FE2C3E">
        <w:br/>
        <w:t xml:space="preserve">Email: </w:t>
      </w:r>
      <w:hyperlink r:id="rId53" w:history="1">
        <w:r w:rsidR="00B02028">
          <w:rPr>
            <w:rStyle w:val="Hyperlink"/>
          </w:rPr>
          <w:t>infoservice</w:t>
        </w:r>
        <w:r w:rsidR="00B02028" w:rsidRPr="00FE2C3E">
          <w:rPr>
            <w:rStyle w:val="Hyperlink"/>
          </w:rPr>
          <w:t>@humanrights.gov.au</w:t>
        </w:r>
      </w:hyperlink>
      <w:r w:rsidRPr="00FE2C3E">
        <w:rPr>
          <w:u w:val="single"/>
        </w:rPr>
        <w:t xml:space="preserve"> </w:t>
      </w:r>
      <w:r w:rsidRPr="00FE2C3E">
        <w:br/>
        <w:t>Fax: (02) 9284 9611</w:t>
      </w:r>
    </w:p>
    <w:p w:rsidR="001339EC" w:rsidRPr="00FE2C3E" w:rsidRDefault="001339EC" w:rsidP="001339EC">
      <w:pPr>
        <w:rPr>
          <w:b/>
        </w:rPr>
      </w:pPr>
      <w:r w:rsidRPr="00FE2C3E">
        <w:rPr>
          <w:b/>
        </w:rPr>
        <w:t>Go online</w:t>
      </w:r>
    </w:p>
    <w:p w:rsidR="001339EC" w:rsidRPr="00FE2C3E" w:rsidRDefault="001339EC" w:rsidP="001339EC">
      <w:r w:rsidRPr="00FE2C3E">
        <w:t xml:space="preserve">Website: </w:t>
      </w:r>
      <w:hyperlink r:id="rId54" w:history="1">
        <w:r w:rsidRPr="00FE2C3E">
          <w:rPr>
            <w:rStyle w:val="Hyperlink"/>
          </w:rPr>
          <w:t>www.humanrights.gov.au</w:t>
        </w:r>
      </w:hyperlink>
      <w:r w:rsidRPr="00FE2C3E">
        <w:rPr>
          <w:u w:val="single"/>
        </w:rPr>
        <w:t xml:space="preserve"> </w:t>
      </w:r>
      <w:r w:rsidRPr="00FE2C3E">
        <w:br/>
        <w:t xml:space="preserve">Make a complaint: </w:t>
      </w:r>
      <w:hyperlink r:id="rId55" w:history="1">
        <w:r w:rsidRPr="00FE2C3E">
          <w:rPr>
            <w:rStyle w:val="Hyperlink"/>
          </w:rPr>
          <w:t>www.humanrights.gov.au/complaints/lodging-your-complaint</w:t>
        </w:r>
      </w:hyperlink>
    </w:p>
    <w:p w:rsidR="004E4CA1" w:rsidRPr="003624E0" w:rsidRDefault="004E4CA1">
      <w:pPr>
        <w:spacing w:before="0" w:after="0"/>
        <w:rPr>
          <w:b/>
          <w:bCs/>
          <w:sz w:val="36"/>
          <w:szCs w:val="36"/>
        </w:rPr>
      </w:pPr>
      <w:r w:rsidRPr="003624E0">
        <w:rPr>
          <w:sz w:val="36"/>
          <w:szCs w:val="36"/>
        </w:rPr>
        <w:br w:type="page"/>
      </w:r>
    </w:p>
    <w:p w:rsidR="00C820FD" w:rsidRPr="003624E0" w:rsidRDefault="007B294D" w:rsidP="00C820FD">
      <w:pPr>
        <w:pStyle w:val="Heading1"/>
        <w:numPr>
          <w:ilvl w:val="0"/>
          <w:numId w:val="0"/>
        </w:numPr>
        <w:rPr>
          <w:sz w:val="36"/>
          <w:szCs w:val="36"/>
        </w:rPr>
      </w:pPr>
      <w:bookmarkStart w:id="68" w:name="_Toc362446708"/>
      <w:bookmarkStart w:id="69" w:name="_Toc388023539"/>
      <w:r w:rsidRPr="003624E0">
        <w:rPr>
          <w:sz w:val="36"/>
          <w:szCs w:val="36"/>
        </w:rPr>
        <w:t>Appendix 3: Sex Discrimination Act</w:t>
      </w:r>
      <w:bookmarkEnd w:id="68"/>
      <w:bookmarkEnd w:id="69"/>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842860" w:rsidRPr="003624E0">
        <w:trPr>
          <w:trHeight w:val="503"/>
        </w:trPr>
        <w:tc>
          <w:tcPr>
            <w:tcW w:w="9071" w:type="dxa"/>
            <w:shd w:val="clear" w:color="0078C1" w:fill="C6D9F1" w:themeFill="text2" w:themeFillTint="33"/>
            <w:tcMar>
              <w:top w:w="227" w:type="dxa"/>
              <w:left w:w="227" w:type="dxa"/>
              <w:bottom w:w="255" w:type="dxa"/>
              <w:right w:w="227" w:type="dxa"/>
            </w:tcMar>
          </w:tcPr>
          <w:p w:rsidR="00842860" w:rsidRPr="003624E0" w:rsidRDefault="00842860" w:rsidP="005C3760">
            <w:r w:rsidRPr="003624E0">
              <w:rPr>
                <w:sz w:val="22"/>
              </w:rPr>
              <w:t xml:space="preserve">For ease of reference, Appendix 3 </w:t>
            </w:r>
            <w:r w:rsidR="005C3760">
              <w:rPr>
                <w:sz w:val="22"/>
              </w:rPr>
              <w:t>outlines</w:t>
            </w:r>
            <w:r w:rsidR="005C3760" w:rsidRPr="003624E0">
              <w:rPr>
                <w:sz w:val="22"/>
              </w:rPr>
              <w:t xml:space="preserve"> </w:t>
            </w:r>
            <w:r w:rsidR="005C3760">
              <w:rPr>
                <w:sz w:val="22"/>
              </w:rPr>
              <w:t>key</w:t>
            </w:r>
            <w:r w:rsidRPr="003624E0">
              <w:rPr>
                <w:sz w:val="22"/>
              </w:rPr>
              <w:t xml:space="preserve"> provisions </w:t>
            </w:r>
            <w:r w:rsidR="005C3760">
              <w:rPr>
                <w:sz w:val="22"/>
              </w:rPr>
              <w:t>of</w:t>
            </w:r>
            <w:r w:rsidRPr="003624E0">
              <w:rPr>
                <w:sz w:val="22"/>
              </w:rPr>
              <w:t xml:space="preserve"> the Sex Discrimination Act related to sexual harassment in the workplace.  The provisions are current as at the time </w:t>
            </w:r>
            <w:r w:rsidRPr="00A95DB8">
              <w:rPr>
                <w:sz w:val="22"/>
                <w:shd w:val="clear" w:color="auto" w:fill="C6D9F1" w:themeFill="text2" w:themeFillTint="33"/>
              </w:rPr>
              <w:t>of publication (</w:t>
            </w:r>
            <w:proofErr w:type="spellStart"/>
            <w:r w:rsidRPr="00A95DB8">
              <w:rPr>
                <w:sz w:val="22"/>
                <w:shd w:val="clear" w:color="auto" w:fill="C6D9F1" w:themeFill="text2" w:themeFillTint="33"/>
              </w:rPr>
              <w:t>ie</w:t>
            </w:r>
            <w:proofErr w:type="spellEnd"/>
            <w:r w:rsidRPr="00A95DB8">
              <w:rPr>
                <w:sz w:val="22"/>
                <w:shd w:val="clear" w:color="auto" w:fill="C6D9F1" w:themeFill="text2" w:themeFillTint="33"/>
              </w:rPr>
              <w:t xml:space="preserve"> </w:t>
            </w:r>
            <w:r w:rsidR="00286F50" w:rsidRPr="00A95DB8">
              <w:rPr>
                <w:sz w:val="22"/>
                <w:shd w:val="clear" w:color="auto" w:fill="C6D9F1" w:themeFill="text2" w:themeFillTint="33"/>
              </w:rPr>
              <w:t xml:space="preserve">May </w:t>
            </w:r>
            <w:r w:rsidRPr="00A95DB8">
              <w:rPr>
                <w:sz w:val="22"/>
                <w:shd w:val="clear" w:color="auto" w:fill="C6D9F1" w:themeFill="text2" w:themeFillTint="33"/>
              </w:rPr>
              <w:t>201</w:t>
            </w:r>
            <w:r w:rsidR="00286F50" w:rsidRPr="00A95DB8">
              <w:rPr>
                <w:sz w:val="22"/>
                <w:shd w:val="clear" w:color="auto" w:fill="C6D9F1" w:themeFill="text2" w:themeFillTint="33"/>
              </w:rPr>
              <w:t>4</w:t>
            </w:r>
            <w:r w:rsidRPr="00A95DB8">
              <w:rPr>
                <w:sz w:val="22"/>
                <w:shd w:val="clear" w:color="auto" w:fill="C6D9F1" w:themeFill="text2" w:themeFillTint="33"/>
              </w:rPr>
              <w:t xml:space="preserve">).  </w:t>
            </w:r>
            <w:r w:rsidRPr="003624E0">
              <w:rPr>
                <w:sz w:val="22"/>
              </w:rPr>
              <w:t>Employers should always consult the latest version of the Sex Discrimination</w:t>
            </w:r>
            <w:r w:rsidR="00C802B8">
              <w:rPr>
                <w:sz w:val="22"/>
              </w:rPr>
              <w:t xml:space="preserve"> Act</w:t>
            </w:r>
            <w:r w:rsidRPr="003624E0">
              <w:rPr>
                <w:sz w:val="22"/>
              </w:rPr>
              <w:t xml:space="preserve">, which is available at </w:t>
            </w:r>
            <w:hyperlink r:id="rId56" w:history="1">
              <w:r w:rsidRPr="003624E0">
                <w:rPr>
                  <w:rStyle w:val="Hyperlink"/>
                  <w:sz w:val="22"/>
                </w:rPr>
                <w:t>http://www.comlaw.gov.au/</w:t>
              </w:r>
            </w:hyperlink>
            <w:r w:rsidRPr="003624E0">
              <w:rPr>
                <w:sz w:val="22"/>
              </w:rPr>
              <w:t xml:space="preserve">. </w:t>
            </w:r>
          </w:p>
        </w:tc>
      </w:tr>
    </w:tbl>
    <w:p w:rsidR="00CC69B1" w:rsidRPr="003624E0" w:rsidRDefault="00CC69B1" w:rsidP="00FD507E">
      <w:pPr>
        <w:pStyle w:val="acthead5"/>
        <w:spacing w:before="240" w:beforeAutospacing="0" w:after="120" w:afterAutospacing="0"/>
        <w:rPr>
          <w:rFonts w:ascii="Arial" w:hAnsi="Arial" w:cs="Arial"/>
          <w:b/>
          <w:sz w:val="22"/>
          <w:szCs w:val="20"/>
        </w:rPr>
      </w:pPr>
      <w:bookmarkStart w:id="70" w:name="_Toc345321019"/>
      <w:r w:rsidRPr="003624E0">
        <w:rPr>
          <w:rStyle w:val="charsectno"/>
          <w:rFonts w:ascii="Arial" w:eastAsia="MS Mincho" w:hAnsi="Arial" w:cs="Arial"/>
          <w:b/>
          <w:sz w:val="22"/>
          <w:szCs w:val="20"/>
        </w:rPr>
        <w:t>5</w:t>
      </w:r>
      <w:r w:rsidRPr="003624E0">
        <w:rPr>
          <w:rFonts w:ascii="Arial" w:hAnsi="Arial" w:cs="Arial"/>
          <w:b/>
          <w:sz w:val="22"/>
          <w:szCs w:val="20"/>
        </w:rPr>
        <w:t xml:space="preserve"> </w:t>
      </w:r>
      <w:r w:rsidRPr="003624E0">
        <w:rPr>
          <w:rFonts w:ascii="Arial" w:hAnsi="Arial" w:cs="Arial"/>
          <w:b/>
          <w:sz w:val="22"/>
          <w:szCs w:val="20"/>
        </w:rPr>
        <w:tab/>
        <w:t>Sex discrimination</w:t>
      </w:r>
      <w:bookmarkEnd w:id="70"/>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 xml:space="preserve">(1) For the purposes of this Act, a person (in this subsection referred to as the </w:t>
      </w:r>
      <w:r w:rsidRPr="003624E0">
        <w:rPr>
          <w:rFonts w:ascii="Arial" w:hAnsi="Arial" w:cs="Arial"/>
          <w:bCs/>
          <w:i/>
          <w:iCs/>
          <w:sz w:val="20"/>
          <w:szCs w:val="20"/>
        </w:rPr>
        <w:t>discriminator</w:t>
      </w:r>
      <w:r w:rsidRPr="003624E0">
        <w:rPr>
          <w:rFonts w:ascii="Arial" w:hAnsi="Arial" w:cs="Arial"/>
          <w:sz w:val="20"/>
          <w:szCs w:val="20"/>
        </w:rPr>
        <w:t xml:space="preserve">) discriminates against another person (in this subsection referred to as the </w:t>
      </w:r>
      <w:r w:rsidRPr="003624E0">
        <w:rPr>
          <w:rFonts w:ascii="Arial" w:hAnsi="Arial" w:cs="Arial"/>
          <w:bCs/>
          <w:i/>
          <w:iCs/>
          <w:sz w:val="20"/>
          <w:szCs w:val="20"/>
        </w:rPr>
        <w:t>aggrieved person</w:t>
      </w:r>
      <w:r w:rsidRPr="003624E0">
        <w:rPr>
          <w:rFonts w:ascii="Arial" w:hAnsi="Arial" w:cs="Arial"/>
          <w:sz w:val="20"/>
          <w:szCs w:val="20"/>
        </w:rPr>
        <w:t>) on the ground of the sex of the aggrieved person if, by reason of:</w:t>
      </w:r>
    </w:p>
    <w:p w:rsidR="00CC69B1" w:rsidRPr="003624E0" w:rsidRDefault="00CC69B1" w:rsidP="00FD507E">
      <w:pPr>
        <w:pStyle w:val="paragraph"/>
        <w:spacing w:before="120" w:beforeAutospacing="0" w:after="120" w:afterAutospacing="0"/>
        <w:ind w:firstLine="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the</w:t>
      </w:r>
      <w:proofErr w:type="gramEnd"/>
      <w:r w:rsidRPr="003624E0">
        <w:rPr>
          <w:rFonts w:ascii="Arial" w:hAnsi="Arial" w:cs="Arial"/>
          <w:sz w:val="20"/>
          <w:szCs w:val="20"/>
        </w:rPr>
        <w:t xml:space="preserve"> sex of the aggrieved person;</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characteristic that appertains generally to persons of the sex of the aggrieved person;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(c) </w:t>
      </w:r>
      <w:proofErr w:type="gramStart"/>
      <w:r w:rsidRPr="003624E0">
        <w:rPr>
          <w:rFonts w:ascii="Arial" w:hAnsi="Arial" w:cs="Arial"/>
          <w:sz w:val="20"/>
          <w:szCs w:val="20"/>
        </w:rPr>
        <w:t>a</w:t>
      </w:r>
      <w:proofErr w:type="gramEnd"/>
      <w:r w:rsidRPr="003624E0">
        <w:rPr>
          <w:rFonts w:ascii="Arial" w:hAnsi="Arial" w:cs="Arial"/>
          <w:sz w:val="20"/>
          <w:szCs w:val="20"/>
        </w:rPr>
        <w:t xml:space="preserve"> characteristic that is generally imputed to persons of the sex of the aggrieved person;</w:t>
      </w:r>
    </w:p>
    <w:p w:rsidR="00CC69B1" w:rsidRPr="003624E0" w:rsidRDefault="00CC69B1" w:rsidP="00FD507E">
      <w:pPr>
        <w:pStyle w:val="subsection2"/>
        <w:spacing w:before="120" w:beforeAutospacing="0" w:after="120" w:afterAutospacing="0"/>
        <w:rPr>
          <w:rFonts w:ascii="Arial" w:hAnsi="Arial" w:cs="Arial"/>
          <w:sz w:val="20"/>
          <w:szCs w:val="20"/>
        </w:rPr>
      </w:pPr>
      <w:proofErr w:type="gramStart"/>
      <w:r w:rsidRPr="003624E0">
        <w:rPr>
          <w:rFonts w:ascii="Arial" w:hAnsi="Arial" w:cs="Arial"/>
          <w:sz w:val="20"/>
          <w:szCs w:val="20"/>
        </w:rPr>
        <w:t>the</w:t>
      </w:r>
      <w:proofErr w:type="gramEnd"/>
      <w:r w:rsidRPr="003624E0">
        <w:rPr>
          <w:rFonts w:ascii="Arial" w:hAnsi="Arial" w:cs="Arial"/>
          <w:sz w:val="20"/>
          <w:szCs w:val="20"/>
        </w:rPr>
        <w:t xml:space="preserve"> discriminator treats the aggrieved person less favourably than, in circumstances that are the same or are not materially different, the discriminator treats or would treat a person of the opposite sex.</w:t>
      </w:r>
    </w:p>
    <w:p w:rsidR="00FD507E"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 xml:space="preserve">(2) For the purposes of this Act, a person (the </w:t>
      </w:r>
      <w:r w:rsidRPr="003624E0">
        <w:rPr>
          <w:rFonts w:ascii="Arial" w:hAnsi="Arial" w:cs="Arial"/>
          <w:bCs/>
          <w:i/>
          <w:iCs/>
          <w:sz w:val="20"/>
          <w:szCs w:val="20"/>
        </w:rPr>
        <w:t>discriminator</w:t>
      </w:r>
      <w:r w:rsidRPr="003624E0">
        <w:rPr>
          <w:rFonts w:ascii="Arial" w:hAnsi="Arial" w:cs="Arial"/>
          <w:sz w:val="20"/>
          <w:szCs w:val="20"/>
        </w:rPr>
        <w:t xml:space="preserve">) discriminates against another person (the </w:t>
      </w:r>
      <w:r w:rsidRPr="003624E0">
        <w:rPr>
          <w:rFonts w:ascii="Arial" w:hAnsi="Arial" w:cs="Arial"/>
          <w:bCs/>
          <w:i/>
          <w:iCs/>
          <w:sz w:val="20"/>
          <w:szCs w:val="20"/>
        </w:rPr>
        <w:t>aggrieved person</w:t>
      </w:r>
      <w:r w:rsidRPr="003624E0">
        <w:rPr>
          <w:rFonts w:ascii="Arial" w:hAnsi="Arial" w:cs="Arial"/>
          <w:sz w:val="20"/>
          <w:szCs w:val="20"/>
        </w:rPr>
        <w:t>) on the ground of the sex of the aggrieved person if the discriminator imposes, or proposes to impose, a condition, requirement or practice that has, or is likely to have, the effect of disadvantaging persons of the same sex as the aggrieve</w:t>
      </w:r>
      <w:r w:rsidR="00FD507E" w:rsidRPr="003624E0">
        <w:rPr>
          <w:rFonts w:ascii="Arial" w:hAnsi="Arial" w:cs="Arial"/>
          <w:sz w:val="20"/>
          <w:szCs w:val="20"/>
        </w:rPr>
        <w:t>d person.</w:t>
      </w:r>
    </w:p>
    <w:p w:rsidR="00CC69B1" w:rsidRPr="003624E0" w:rsidRDefault="00CC69B1" w:rsidP="00FD507E">
      <w:pPr>
        <w:pStyle w:val="subsection"/>
        <w:spacing w:before="120" w:beforeAutospacing="0" w:after="240" w:afterAutospacing="0"/>
        <w:rPr>
          <w:rFonts w:ascii="Arial" w:hAnsi="Arial" w:cs="Arial"/>
          <w:sz w:val="20"/>
          <w:szCs w:val="20"/>
        </w:rPr>
      </w:pPr>
      <w:r w:rsidRPr="003624E0">
        <w:rPr>
          <w:rFonts w:ascii="Arial" w:hAnsi="Arial" w:cs="Arial"/>
          <w:sz w:val="20"/>
          <w:szCs w:val="20"/>
        </w:rPr>
        <w:t>(3) This section has effect subject t</w:t>
      </w:r>
      <w:r w:rsidR="00842860" w:rsidRPr="003624E0">
        <w:rPr>
          <w:rFonts w:ascii="Arial" w:hAnsi="Arial" w:cs="Arial"/>
          <w:sz w:val="20"/>
          <w:szCs w:val="20"/>
        </w:rPr>
        <w:t>o sections 7B and 7D.</w:t>
      </w:r>
    </w:p>
    <w:p w:rsidR="00CC69B1" w:rsidRPr="003624E0" w:rsidRDefault="00CC69B1" w:rsidP="00FD507E">
      <w:pPr>
        <w:pStyle w:val="subsection"/>
        <w:spacing w:before="240" w:beforeAutospacing="0" w:after="120" w:afterAutospacing="0"/>
        <w:rPr>
          <w:rFonts w:ascii="Arial" w:hAnsi="Arial" w:cs="Arial"/>
          <w:b/>
          <w:sz w:val="22"/>
          <w:szCs w:val="20"/>
        </w:rPr>
      </w:pPr>
      <w:bookmarkStart w:id="71" w:name="_Toc345321032"/>
      <w:r w:rsidRPr="003624E0">
        <w:rPr>
          <w:rFonts w:ascii="Arial" w:hAnsi="Arial" w:cs="Arial"/>
          <w:b/>
          <w:sz w:val="22"/>
          <w:szCs w:val="20"/>
        </w:rPr>
        <w:t xml:space="preserve">13 </w:t>
      </w:r>
      <w:r w:rsidRPr="003624E0">
        <w:rPr>
          <w:rFonts w:ascii="Arial" w:hAnsi="Arial" w:cs="Arial"/>
          <w:b/>
          <w:sz w:val="22"/>
          <w:szCs w:val="20"/>
        </w:rPr>
        <w:tab/>
        <w:t>Extent to which Act applies to State instrumentalities</w:t>
      </w:r>
      <w:bookmarkEnd w:id="71"/>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(1) Section 14 does not apply in relation to employment by an instrumentality of a State.</w:t>
      </w:r>
    </w:p>
    <w:p w:rsidR="00CC69B1" w:rsidRPr="003624E0" w:rsidRDefault="00CC69B1" w:rsidP="00FD507E">
      <w:pPr>
        <w:pStyle w:val="subsection"/>
        <w:spacing w:before="120" w:beforeAutospacing="0" w:after="240" w:afterAutospacing="0"/>
        <w:rPr>
          <w:rFonts w:ascii="Arial" w:hAnsi="Arial" w:cs="Arial"/>
          <w:sz w:val="20"/>
          <w:szCs w:val="20"/>
        </w:rPr>
      </w:pPr>
      <w:r w:rsidRPr="003624E0">
        <w:rPr>
          <w:rFonts w:ascii="Arial" w:hAnsi="Arial" w:cs="Arial"/>
          <w:sz w:val="20"/>
          <w:szCs w:val="20"/>
        </w:rPr>
        <w:t>(2) Section 28B does not apply in relation to an act done by an employee of a State or of</w:t>
      </w:r>
      <w:r w:rsidR="00842860" w:rsidRPr="003624E0">
        <w:rPr>
          <w:rFonts w:ascii="Arial" w:hAnsi="Arial" w:cs="Arial"/>
          <w:sz w:val="20"/>
          <w:szCs w:val="20"/>
        </w:rPr>
        <w:t xml:space="preserve"> an instrumentality of a State.</w:t>
      </w:r>
    </w:p>
    <w:p w:rsidR="00CC69B1" w:rsidRPr="003624E0" w:rsidRDefault="00CC69B1" w:rsidP="00FD507E">
      <w:pPr>
        <w:pStyle w:val="subsection"/>
        <w:spacing w:before="240" w:beforeAutospacing="0" w:after="120" w:afterAutospacing="0"/>
        <w:rPr>
          <w:rFonts w:ascii="Arial" w:hAnsi="Arial" w:cs="Arial"/>
          <w:b/>
          <w:sz w:val="22"/>
          <w:szCs w:val="20"/>
        </w:rPr>
      </w:pPr>
      <w:bookmarkStart w:id="72" w:name="_Toc345321036"/>
      <w:r w:rsidRPr="003624E0">
        <w:rPr>
          <w:rFonts w:ascii="Arial" w:hAnsi="Arial" w:cs="Arial"/>
          <w:b/>
          <w:sz w:val="22"/>
          <w:szCs w:val="20"/>
        </w:rPr>
        <w:t xml:space="preserve">14 </w:t>
      </w:r>
      <w:r w:rsidRPr="003624E0">
        <w:rPr>
          <w:rFonts w:ascii="Arial" w:hAnsi="Arial" w:cs="Arial"/>
          <w:b/>
          <w:sz w:val="22"/>
          <w:szCs w:val="20"/>
        </w:rPr>
        <w:tab/>
        <w:t>Discrimination in employment or in superannuation</w:t>
      </w:r>
      <w:bookmarkEnd w:id="72"/>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(1) It is unlawful for an employer to discriminate against a person on the ground of the person’s sex, marital status, pregnancy or potential pregnancy, breastfeeding or family responsibilities:</w:t>
      </w:r>
    </w:p>
    <w:p w:rsidR="00CC69B1" w:rsidRPr="003624E0" w:rsidRDefault="00CC69B1" w:rsidP="00FD507E">
      <w:pPr>
        <w:pStyle w:val="subsection"/>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in</w:t>
      </w:r>
      <w:proofErr w:type="gramEnd"/>
      <w:r w:rsidRPr="003624E0">
        <w:rPr>
          <w:rFonts w:ascii="Arial" w:hAnsi="Arial" w:cs="Arial"/>
          <w:sz w:val="20"/>
          <w:szCs w:val="20"/>
        </w:rPr>
        <w:t xml:space="preserve"> the arrangements made for the purpose of determining who should be offered employment;</w:t>
      </w:r>
    </w:p>
    <w:p w:rsidR="00CC69B1" w:rsidRPr="003624E0" w:rsidRDefault="00CC69B1" w:rsidP="00FD507E">
      <w:pPr>
        <w:pStyle w:val="subsection"/>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in</w:t>
      </w:r>
      <w:proofErr w:type="gramEnd"/>
      <w:r w:rsidRPr="003624E0">
        <w:rPr>
          <w:rFonts w:ascii="Arial" w:hAnsi="Arial" w:cs="Arial"/>
          <w:sz w:val="20"/>
          <w:szCs w:val="20"/>
        </w:rPr>
        <w:t xml:space="preserve"> determining who should be offered employment; or</w:t>
      </w:r>
    </w:p>
    <w:p w:rsidR="00CC69B1" w:rsidRPr="003624E0" w:rsidRDefault="00CC69B1" w:rsidP="00FD507E">
      <w:pPr>
        <w:pStyle w:val="subsection"/>
        <w:spacing w:before="120" w:beforeAutospacing="0" w:after="120" w:afterAutospacing="0"/>
        <w:ind w:left="720"/>
        <w:rPr>
          <w:rFonts w:ascii="Arial" w:hAnsi="Arial" w:cs="Arial"/>
          <w:sz w:val="20"/>
          <w:szCs w:val="20"/>
        </w:rPr>
      </w:pPr>
      <w:r w:rsidRPr="003624E0">
        <w:rPr>
          <w:rFonts w:ascii="Arial" w:hAnsi="Arial" w:cs="Arial"/>
          <w:sz w:val="20"/>
          <w:szCs w:val="20"/>
        </w:rPr>
        <w:t xml:space="preserve">(c) </w:t>
      </w:r>
      <w:proofErr w:type="gramStart"/>
      <w:r w:rsidRPr="003624E0">
        <w:rPr>
          <w:rFonts w:ascii="Arial" w:hAnsi="Arial" w:cs="Arial"/>
          <w:sz w:val="20"/>
          <w:szCs w:val="20"/>
        </w:rPr>
        <w:t>in</w:t>
      </w:r>
      <w:proofErr w:type="gramEnd"/>
      <w:r w:rsidRPr="003624E0">
        <w:rPr>
          <w:rFonts w:ascii="Arial" w:hAnsi="Arial" w:cs="Arial"/>
          <w:sz w:val="20"/>
          <w:szCs w:val="20"/>
        </w:rPr>
        <w:t xml:space="preserve"> the terms or conditions on which employment is offered.</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(2) It is unlawful for an employer to discriminate against an employee on the ground of the employee’s sex, marital status, pregnancy or potential pregnancy, breastfeeding or family responsibilities:</w:t>
      </w:r>
    </w:p>
    <w:p w:rsidR="00CC69B1" w:rsidRPr="003624E0" w:rsidRDefault="00CC69B1" w:rsidP="00FD507E">
      <w:pPr>
        <w:pStyle w:val="subsection"/>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in</w:t>
      </w:r>
      <w:proofErr w:type="gramEnd"/>
      <w:r w:rsidRPr="003624E0">
        <w:rPr>
          <w:rFonts w:ascii="Arial" w:hAnsi="Arial" w:cs="Arial"/>
          <w:sz w:val="20"/>
          <w:szCs w:val="20"/>
        </w:rPr>
        <w:t xml:space="preserve"> the terms or conditions of employment that the employer affords the employee;</w:t>
      </w:r>
    </w:p>
    <w:p w:rsidR="00CC69B1" w:rsidRPr="003624E0" w:rsidRDefault="00CC69B1" w:rsidP="00FD507E">
      <w:pPr>
        <w:pStyle w:val="subsection"/>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by</w:t>
      </w:r>
      <w:proofErr w:type="gramEnd"/>
      <w:r w:rsidRPr="003624E0">
        <w:rPr>
          <w:rFonts w:ascii="Arial" w:hAnsi="Arial" w:cs="Arial"/>
          <w:sz w:val="20"/>
          <w:szCs w:val="20"/>
        </w:rPr>
        <w:t xml:space="preserve"> denying the employee access, or limiting the employee’s access, to opportunities for promotion, transfer or training, or to any other benefits associated with employment;</w:t>
      </w:r>
    </w:p>
    <w:p w:rsidR="00CC69B1" w:rsidRPr="003624E0" w:rsidRDefault="00CC69B1" w:rsidP="00FD507E">
      <w:pPr>
        <w:pStyle w:val="subsection"/>
        <w:spacing w:before="120" w:beforeAutospacing="0" w:after="120" w:afterAutospacing="0"/>
        <w:ind w:left="720"/>
        <w:rPr>
          <w:rFonts w:ascii="Arial" w:hAnsi="Arial" w:cs="Arial"/>
          <w:sz w:val="20"/>
          <w:szCs w:val="20"/>
        </w:rPr>
      </w:pPr>
      <w:r w:rsidRPr="003624E0">
        <w:rPr>
          <w:rFonts w:ascii="Arial" w:hAnsi="Arial" w:cs="Arial"/>
          <w:sz w:val="20"/>
          <w:szCs w:val="20"/>
        </w:rPr>
        <w:t xml:space="preserve">(c) </w:t>
      </w:r>
      <w:proofErr w:type="gramStart"/>
      <w:r w:rsidRPr="003624E0">
        <w:rPr>
          <w:rFonts w:ascii="Arial" w:hAnsi="Arial" w:cs="Arial"/>
          <w:sz w:val="20"/>
          <w:szCs w:val="20"/>
        </w:rPr>
        <w:t>by</w:t>
      </w:r>
      <w:proofErr w:type="gramEnd"/>
      <w:r w:rsidRPr="003624E0">
        <w:rPr>
          <w:rFonts w:ascii="Arial" w:hAnsi="Arial" w:cs="Arial"/>
          <w:sz w:val="20"/>
          <w:szCs w:val="20"/>
        </w:rPr>
        <w:t xml:space="preserve"> dismissing the employee; or</w:t>
      </w:r>
    </w:p>
    <w:p w:rsidR="00CC69B1" w:rsidRPr="003624E0" w:rsidRDefault="00CC69B1" w:rsidP="00FD507E">
      <w:pPr>
        <w:pStyle w:val="subsection"/>
        <w:spacing w:before="120" w:beforeAutospacing="0" w:after="120" w:afterAutospacing="0"/>
        <w:ind w:left="720"/>
        <w:rPr>
          <w:rFonts w:ascii="Arial" w:hAnsi="Arial" w:cs="Arial"/>
          <w:sz w:val="20"/>
          <w:szCs w:val="20"/>
        </w:rPr>
      </w:pPr>
      <w:r w:rsidRPr="003624E0">
        <w:rPr>
          <w:rFonts w:ascii="Arial" w:hAnsi="Arial" w:cs="Arial"/>
          <w:sz w:val="20"/>
          <w:szCs w:val="20"/>
        </w:rPr>
        <w:t xml:space="preserve">(d) </w:t>
      </w:r>
      <w:proofErr w:type="gramStart"/>
      <w:r w:rsidRPr="003624E0">
        <w:rPr>
          <w:rFonts w:ascii="Arial" w:hAnsi="Arial" w:cs="Arial"/>
          <w:sz w:val="20"/>
          <w:szCs w:val="20"/>
        </w:rPr>
        <w:t>by</w:t>
      </w:r>
      <w:proofErr w:type="gramEnd"/>
      <w:r w:rsidRPr="003624E0">
        <w:rPr>
          <w:rFonts w:ascii="Arial" w:hAnsi="Arial" w:cs="Arial"/>
          <w:sz w:val="20"/>
          <w:szCs w:val="20"/>
        </w:rPr>
        <w:t xml:space="preserve"> subjecting the employee to any other detriment.</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(3) Nothing in paragraph (1)(a) or (b) renders it unlawful for a person to discriminate against another person, on the ground of the other person’s sex, in connection with employment to perform domestic duties on the premises on which the first</w:t>
      </w:r>
      <w:r w:rsidRPr="003624E0">
        <w:rPr>
          <w:rFonts w:ascii="Arial" w:hAnsi="Arial" w:cs="Arial"/>
          <w:sz w:val="20"/>
          <w:szCs w:val="20"/>
        </w:rPr>
        <w:noBreakHyphen/>
        <w:t>mentioned person resides.</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(4) Where a person exercises a discretion in relation to the payment of a superannuation benefit to or in respect of a member of a superannuation fund, it is unlawful for the person to discriminate, in the exercise of the discretion, against the member or another person on the ground, in either case, of the sex or marital status of the member or that other person.</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(5) Subsection (4) does not apply if section 41B applies to that member in respect of that fund.</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(6) In this section:</w:t>
      </w:r>
    </w:p>
    <w:p w:rsidR="00CC69B1" w:rsidRPr="003624E0" w:rsidRDefault="00CC69B1" w:rsidP="00FD507E">
      <w:pPr>
        <w:pStyle w:val="subsection"/>
        <w:spacing w:before="120" w:beforeAutospacing="0" w:after="240" w:afterAutospacing="0"/>
        <w:rPr>
          <w:rFonts w:ascii="Arial" w:hAnsi="Arial" w:cs="Arial"/>
          <w:sz w:val="20"/>
          <w:szCs w:val="20"/>
        </w:rPr>
      </w:pPr>
      <w:proofErr w:type="gramStart"/>
      <w:r w:rsidRPr="003624E0">
        <w:rPr>
          <w:rFonts w:ascii="Arial" w:hAnsi="Arial" w:cs="Arial"/>
          <w:bCs/>
          <w:i/>
          <w:iCs/>
          <w:sz w:val="20"/>
          <w:szCs w:val="20"/>
        </w:rPr>
        <w:t>member</w:t>
      </w:r>
      <w:proofErr w:type="gramEnd"/>
      <w:r w:rsidRPr="003624E0">
        <w:rPr>
          <w:rFonts w:ascii="Arial" w:hAnsi="Arial" w:cs="Arial"/>
          <w:sz w:val="20"/>
          <w:szCs w:val="20"/>
        </w:rPr>
        <w:t xml:space="preserve">, in relation to a superannuation fund, includes a person who has been a </w:t>
      </w:r>
      <w:r w:rsidR="00842860" w:rsidRPr="003624E0">
        <w:rPr>
          <w:rFonts w:ascii="Arial" w:hAnsi="Arial" w:cs="Arial"/>
          <w:sz w:val="20"/>
          <w:szCs w:val="20"/>
        </w:rPr>
        <w:t>member of the fund at any time.</w:t>
      </w:r>
    </w:p>
    <w:p w:rsidR="00CC69B1" w:rsidRPr="003624E0" w:rsidRDefault="00CC69B1" w:rsidP="00FD507E">
      <w:pPr>
        <w:pStyle w:val="acthead5"/>
        <w:spacing w:before="240" w:beforeAutospacing="0" w:after="120" w:afterAutospacing="0"/>
        <w:rPr>
          <w:rFonts w:ascii="Arial" w:hAnsi="Arial" w:cs="Arial"/>
          <w:b/>
          <w:sz w:val="22"/>
          <w:szCs w:val="20"/>
        </w:rPr>
      </w:pPr>
      <w:bookmarkStart w:id="73" w:name="_Toc345321052"/>
      <w:r w:rsidRPr="003624E0">
        <w:rPr>
          <w:rStyle w:val="charsectno"/>
          <w:rFonts w:ascii="Arial" w:eastAsia="MS Mincho" w:hAnsi="Arial" w:cs="Arial"/>
          <w:b/>
          <w:sz w:val="22"/>
          <w:szCs w:val="20"/>
        </w:rPr>
        <w:t>28A</w:t>
      </w:r>
      <w:r w:rsidRPr="003624E0">
        <w:rPr>
          <w:rStyle w:val="charsectno"/>
          <w:rFonts w:ascii="Arial" w:eastAsia="MS Mincho" w:hAnsi="Arial" w:cs="Arial"/>
          <w:b/>
          <w:sz w:val="22"/>
          <w:szCs w:val="20"/>
        </w:rPr>
        <w:tab/>
      </w:r>
      <w:r w:rsidRPr="003624E0">
        <w:rPr>
          <w:rFonts w:ascii="Arial" w:hAnsi="Arial" w:cs="Arial"/>
          <w:b/>
          <w:sz w:val="22"/>
          <w:szCs w:val="20"/>
        </w:rPr>
        <w:t xml:space="preserve"> Meaning of </w:t>
      </w:r>
      <w:r w:rsidRPr="003624E0">
        <w:rPr>
          <w:rFonts w:ascii="Arial" w:hAnsi="Arial" w:cs="Arial"/>
          <w:b/>
          <w:i/>
          <w:iCs/>
          <w:sz w:val="22"/>
          <w:szCs w:val="20"/>
        </w:rPr>
        <w:t>sexual harassment</w:t>
      </w:r>
      <w:bookmarkEnd w:id="73"/>
      <w:r w:rsidRPr="003624E0">
        <w:rPr>
          <w:rFonts w:ascii="Arial" w:hAnsi="Arial" w:cs="Arial"/>
          <w:b/>
          <w:sz w:val="22"/>
          <w:szCs w:val="20"/>
        </w:rPr>
        <w:t xml:space="preserve"> </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 xml:space="preserve">(1) For the purposes of this Division, a person sexually harasses another person (the </w:t>
      </w:r>
      <w:r w:rsidRPr="003624E0">
        <w:rPr>
          <w:rFonts w:ascii="Arial" w:hAnsi="Arial" w:cs="Arial"/>
          <w:bCs/>
          <w:i/>
          <w:iCs/>
          <w:sz w:val="20"/>
          <w:szCs w:val="20"/>
        </w:rPr>
        <w:t>person harassed</w:t>
      </w:r>
      <w:r w:rsidRPr="003624E0">
        <w:rPr>
          <w:rFonts w:ascii="Arial" w:hAnsi="Arial" w:cs="Arial"/>
          <w:sz w:val="20"/>
          <w:szCs w:val="20"/>
        </w:rPr>
        <w:t>) if:</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the</w:t>
      </w:r>
      <w:proofErr w:type="gramEnd"/>
      <w:r w:rsidRPr="003624E0">
        <w:rPr>
          <w:rFonts w:ascii="Arial" w:hAnsi="Arial" w:cs="Arial"/>
          <w:sz w:val="20"/>
          <w:szCs w:val="20"/>
        </w:rPr>
        <w:t xml:space="preserve"> person makes an unwelcome sexual advance, or an unwelcome request for sexual favours, to the person harassed;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w:t>
      </w:r>
      <w:proofErr w:type="gramStart"/>
      <w:r w:rsidRPr="003624E0">
        <w:rPr>
          <w:rFonts w:ascii="Arial" w:hAnsi="Arial" w:cs="Arial"/>
          <w:sz w:val="20"/>
          <w:szCs w:val="20"/>
        </w:rPr>
        <w:t>b</w:t>
      </w:r>
      <w:proofErr w:type="gramEnd"/>
      <w:r w:rsidRPr="003624E0">
        <w:rPr>
          <w:rFonts w:ascii="Arial" w:hAnsi="Arial" w:cs="Arial"/>
          <w:sz w:val="20"/>
          <w:szCs w:val="20"/>
        </w:rPr>
        <w:t>) engages in other unwelcome conduct of a sexual nature in relation to the person harassed;</w:t>
      </w:r>
    </w:p>
    <w:p w:rsidR="00CC69B1" w:rsidRPr="003624E0" w:rsidRDefault="00CC69B1" w:rsidP="00FD507E">
      <w:pPr>
        <w:pStyle w:val="subsection2"/>
        <w:spacing w:before="120" w:beforeAutospacing="0" w:after="120" w:afterAutospacing="0"/>
        <w:rPr>
          <w:rFonts w:ascii="Arial" w:hAnsi="Arial" w:cs="Arial"/>
          <w:sz w:val="20"/>
          <w:szCs w:val="20"/>
        </w:rPr>
      </w:pPr>
      <w:proofErr w:type="gramStart"/>
      <w:r w:rsidRPr="003624E0">
        <w:rPr>
          <w:rFonts w:ascii="Arial" w:hAnsi="Arial" w:cs="Arial"/>
          <w:sz w:val="20"/>
          <w:szCs w:val="20"/>
        </w:rPr>
        <w:t>in</w:t>
      </w:r>
      <w:proofErr w:type="gramEnd"/>
      <w:r w:rsidRPr="003624E0">
        <w:rPr>
          <w:rFonts w:ascii="Arial" w:hAnsi="Arial" w:cs="Arial"/>
          <w:sz w:val="20"/>
          <w:szCs w:val="20"/>
        </w:rPr>
        <w:t xml:space="preserve"> circumstances in which a reasonable person, having regard to all the circumstances, would have anticipated the possibility that the person harassed would be offended, humiliated or intimidated.</w:t>
      </w:r>
    </w:p>
    <w:p w:rsidR="00DB5C3A" w:rsidRPr="003624E0" w:rsidRDefault="00CC69B1" w:rsidP="00DB5C3A">
      <w:pPr>
        <w:pStyle w:val="subsection"/>
        <w:spacing w:before="120" w:beforeAutospacing="0" w:after="120" w:afterAutospacing="0"/>
        <w:rPr>
          <w:rFonts w:ascii="Arial" w:hAnsi="Arial" w:cs="Arial"/>
          <w:sz w:val="20"/>
          <w:szCs w:val="20"/>
        </w:rPr>
      </w:pPr>
      <w:r w:rsidRPr="003624E0">
        <w:rPr>
          <w:rFonts w:ascii="Arial" w:hAnsi="Arial" w:cs="Arial"/>
          <w:sz w:val="20"/>
          <w:szCs w:val="20"/>
        </w:rPr>
        <w:t xml:space="preserve">(1A) </w:t>
      </w:r>
      <w:proofErr w:type="gramStart"/>
      <w:r w:rsidRPr="003624E0">
        <w:rPr>
          <w:rFonts w:ascii="Arial" w:hAnsi="Arial" w:cs="Arial"/>
          <w:sz w:val="20"/>
          <w:szCs w:val="20"/>
        </w:rPr>
        <w:t>For</w:t>
      </w:r>
      <w:proofErr w:type="gramEnd"/>
      <w:r w:rsidRPr="003624E0">
        <w:rPr>
          <w:rFonts w:ascii="Arial" w:hAnsi="Arial" w:cs="Arial"/>
          <w:sz w:val="20"/>
          <w:szCs w:val="20"/>
        </w:rPr>
        <w:t xml:space="preserve"> the purposes of subsection (1), the circumstances to be taken into account include, but are</w:t>
      </w:r>
      <w:r w:rsidR="00DB5C3A" w:rsidRPr="003624E0">
        <w:rPr>
          <w:rFonts w:ascii="Arial" w:hAnsi="Arial" w:cs="Arial"/>
          <w:sz w:val="20"/>
          <w:szCs w:val="20"/>
        </w:rPr>
        <w:t xml:space="preserve"> not limited to, the following:</w:t>
      </w:r>
    </w:p>
    <w:p w:rsidR="00F84B07" w:rsidRPr="003624E0" w:rsidRDefault="00DB5C3A" w:rsidP="00DB5C3A">
      <w:pPr>
        <w:pStyle w:val="subsection"/>
        <w:spacing w:before="120" w:beforeAutospacing="0" w:after="120" w:afterAutospacing="0"/>
        <w:ind w:left="709"/>
        <w:rPr>
          <w:rFonts w:ascii="Arial" w:hAnsi="Arial" w:cs="Arial"/>
          <w:sz w:val="20"/>
          <w:szCs w:val="20"/>
        </w:rPr>
      </w:pPr>
      <w:r w:rsidRPr="003624E0">
        <w:rPr>
          <w:rFonts w:ascii="Arial" w:hAnsi="Arial" w:cs="Arial"/>
          <w:sz w:val="20"/>
          <w:szCs w:val="20"/>
        </w:rPr>
        <w:t xml:space="preserve">(a) </w:t>
      </w:r>
      <w:proofErr w:type="gramStart"/>
      <w:r w:rsidR="00F84B07" w:rsidRPr="003624E0">
        <w:rPr>
          <w:rFonts w:ascii="Arial" w:hAnsi="Arial" w:cs="Arial"/>
          <w:sz w:val="20"/>
          <w:szCs w:val="20"/>
        </w:rPr>
        <w:t>the</w:t>
      </w:r>
      <w:proofErr w:type="gramEnd"/>
      <w:r w:rsidR="00F84B07" w:rsidRPr="003624E0">
        <w:rPr>
          <w:rFonts w:ascii="Arial" w:hAnsi="Arial" w:cs="Arial"/>
          <w:sz w:val="20"/>
          <w:szCs w:val="20"/>
        </w:rPr>
        <w:t xml:space="preserve"> sex, age, sexual orientation, gender identity, intersex status, marital or relationship status, religious belief, race, colour, or national or ethnic origin, of the person harassed</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the</w:t>
      </w:r>
      <w:proofErr w:type="gramEnd"/>
      <w:r w:rsidRPr="003624E0">
        <w:rPr>
          <w:rFonts w:ascii="Arial" w:hAnsi="Arial" w:cs="Arial"/>
          <w:sz w:val="20"/>
          <w:szCs w:val="20"/>
        </w:rPr>
        <w:t xml:space="preserve"> relationship between the person harassed and the person who made the advance or request or who engaged in the conduct;</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(c) </w:t>
      </w:r>
      <w:proofErr w:type="gramStart"/>
      <w:r w:rsidRPr="003624E0">
        <w:rPr>
          <w:rFonts w:ascii="Arial" w:hAnsi="Arial" w:cs="Arial"/>
          <w:sz w:val="20"/>
          <w:szCs w:val="20"/>
        </w:rPr>
        <w:t>any</w:t>
      </w:r>
      <w:proofErr w:type="gramEnd"/>
      <w:r w:rsidRPr="003624E0">
        <w:rPr>
          <w:rFonts w:ascii="Arial" w:hAnsi="Arial" w:cs="Arial"/>
          <w:sz w:val="20"/>
          <w:szCs w:val="20"/>
        </w:rPr>
        <w:t xml:space="preserve"> disability of the person harassed;</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(d) </w:t>
      </w:r>
      <w:proofErr w:type="gramStart"/>
      <w:r w:rsidRPr="003624E0">
        <w:rPr>
          <w:rFonts w:ascii="Arial" w:hAnsi="Arial" w:cs="Arial"/>
          <w:sz w:val="20"/>
          <w:szCs w:val="20"/>
        </w:rPr>
        <w:t>any</w:t>
      </w:r>
      <w:proofErr w:type="gramEnd"/>
      <w:r w:rsidRPr="003624E0">
        <w:rPr>
          <w:rFonts w:ascii="Arial" w:hAnsi="Arial" w:cs="Arial"/>
          <w:sz w:val="20"/>
          <w:szCs w:val="20"/>
        </w:rPr>
        <w:t xml:space="preserve"> other relevant circumstance.</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(2) In this section:</w:t>
      </w:r>
    </w:p>
    <w:p w:rsidR="00CC69B1" w:rsidRPr="003624E0" w:rsidRDefault="00CC69B1" w:rsidP="00FD507E">
      <w:pPr>
        <w:pStyle w:val="definition"/>
        <w:spacing w:before="120" w:beforeAutospacing="0" w:after="240" w:afterAutospacing="0"/>
        <w:rPr>
          <w:rStyle w:val="charsectno"/>
        </w:rPr>
      </w:pPr>
      <w:proofErr w:type="gramStart"/>
      <w:r w:rsidRPr="003624E0">
        <w:rPr>
          <w:rFonts w:ascii="Arial" w:hAnsi="Arial" w:cs="Arial"/>
          <w:bCs/>
          <w:i/>
          <w:iCs/>
          <w:sz w:val="20"/>
          <w:szCs w:val="20"/>
        </w:rPr>
        <w:t>conduct</w:t>
      </w:r>
      <w:proofErr w:type="gramEnd"/>
      <w:r w:rsidRPr="003624E0">
        <w:rPr>
          <w:rFonts w:ascii="Arial" w:hAnsi="Arial" w:cs="Arial"/>
          <w:bCs/>
          <w:i/>
          <w:iCs/>
          <w:sz w:val="20"/>
          <w:szCs w:val="20"/>
        </w:rPr>
        <w:t xml:space="preserve"> of a sexual nature</w:t>
      </w:r>
      <w:r w:rsidRPr="003624E0">
        <w:rPr>
          <w:rFonts w:ascii="Arial" w:hAnsi="Arial" w:cs="Arial"/>
          <w:sz w:val="20"/>
          <w:szCs w:val="20"/>
        </w:rPr>
        <w:t xml:space="preserve"> includes making a statement of a sexual nature to a person, or in the presence of a person, whether the statemen</w:t>
      </w:r>
      <w:bookmarkStart w:id="74" w:name="_Toc345321053"/>
      <w:r w:rsidR="00FD507E" w:rsidRPr="003624E0">
        <w:rPr>
          <w:rFonts w:ascii="Arial" w:hAnsi="Arial" w:cs="Arial"/>
          <w:sz w:val="20"/>
          <w:szCs w:val="20"/>
        </w:rPr>
        <w:t>t is made orally or in writing.</w:t>
      </w:r>
    </w:p>
    <w:p w:rsidR="00CC69B1" w:rsidRPr="003624E0" w:rsidRDefault="00CC69B1" w:rsidP="00FD507E">
      <w:pPr>
        <w:pStyle w:val="acthead5"/>
        <w:spacing w:before="240" w:beforeAutospacing="0" w:after="120" w:afterAutospacing="0"/>
        <w:rPr>
          <w:rFonts w:ascii="Arial" w:hAnsi="Arial" w:cs="Arial"/>
          <w:b/>
          <w:sz w:val="22"/>
          <w:szCs w:val="20"/>
        </w:rPr>
      </w:pPr>
      <w:proofErr w:type="gramStart"/>
      <w:r w:rsidRPr="003624E0">
        <w:rPr>
          <w:rStyle w:val="charsectno"/>
          <w:rFonts w:ascii="Arial" w:eastAsia="MS Mincho" w:hAnsi="Arial" w:cs="Arial"/>
          <w:b/>
          <w:sz w:val="22"/>
          <w:szCs w:val="20"/>
        </w:rPr>
        <w:t>28B</w:t>
      </w:r>
      <w:r w:rsidRPr="003624E0">
        <w:rPr>
          <w:rFonts w:ascii="Arial" w:hAnsi="Arial" w:cs="Arial"/>
          <w:b/>
          <w:sz w:val="22"/>
          <w:szCs w:val="20"/>
        </w:rPr>
        <w:t xml:space="preserve"> </w:t>
      </w:r>
      <w:r w:rsidRPr="003624E0">
        <w:rPr>
          <w:rFonts w:ascii="Arial" w:hAnsi="Arial" w:cs="Arial"/>
          <w:b/>
          <w:sz w:val="22"/>
          <w:szCs w:val="20"/>
        </w:rPr>
        <w:tab/>
        <w:t>Employment, partnerships etc.</w:t>
      </w:r>
      <w:bookmarkEnd w:id="74"/>
      <w:proofErr w:type="gramEnd"/>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(1) It is unlawful for a person to sexually harass:</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an</w:t>
      </w:r>
      <w:proofErr w:type="gramEnd"/>
      <w:r w:rsidRPr="003624E0">
        <w:rPr>
          <w:rFonts w:ascii="Arial" w:hAnsi="Arial" w:cs="Arial"/>
          <w:sz w:val="20"/>
          <w:szCs w:val="20"/>
        </w:rPr>
        <w:t xml:space="preserve"> employee of the person;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person who is seeking to become an employee of the person.</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(2) It is unlawful for an employee to sexually harass a fellow employee or a person who is seeking employment with the same employer.</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(3) It is unlawful for a person to sexually harass:</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a</w:t>
      </w:r>
      <w:proofErr w:type="gramEnd"/>
      <w:r w:rsidRPr="003624E0">
        <w:rPr>
          <w:rFonts w:ascii="Arial" w:hAnsi="Arial" w:cs="Arial"/>
          <w:sz w:val="20"/>
          <w:szCs w:val="20"/>
        </w:rPr>
        <w:t xml:space="preserve"> commission agent or contract worker of the person;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person who is seeking to become a commission agent or contract worker of the person.</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(4) It is unlawful for a commission agent or contract worker to sexually harass a fellow commission agent or fellow contract worker.</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(5) It is unlawful for a partner in a partnership to sexually harass another partner, or a person who is seeking to become a partner, in the same partnership.</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(6) It is unlawful for a workplace participant to sexually harass another workplace participant at a place that is a workplace of either or both of those persons.</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(7) In this section:</w:t>
      </w:r>
    </w:p>
    <w:p w:rsidR="00CC69B1" w:rsidRPr="003624E0" w:rsidRDefault="00CC69B1" w:rsidP="00FD507E">
      <w:pPr>
        <w:pStyle w:val="definition"/>
        <w:spacing w:before="120" w:beforeAutospacing="0" w:after="120" w:afterAutospacing="0"/>
        <w:rPr>
          <w:rFonts w:ascii="Arial" w:hAnsi="Arial" w:cs="Arial"/>
          <w:sz w:val="20"/>
          <w:szCs w:val="20"/>
        </w:rPr>
      </w:pPr>
      <w:proofErr w:type="gramStart"/>
      <w:r w:rsidRPr="003624E0">
        <w:rPr>
          <w:rFonts w:ascii="Arial" w:hAnsi="Arial" w:cs="Arial"/>
          <w:bCs/>
          <w:i/>
          <w:iCs/>
          <w:sz w:val="20"/>
          <w:szCs w:val="20"/>
        </w:rPr>
        <w:t>place</w:t>
      </w:r>
      <w:proofErr w:type="gramEnd"/>
      <w:r w:rsidRPr="003624E0">
        <w:rPr>
          <w:rFonts w:ascii="Arial" w:hAnsi="Arial" w:cs="Arial"/>
          <w:sz w:val="20"/>
          <w:szCs w:val="20"/>
        </w:rPr>
        <w:t xml:space="preserve"> includes a ship, aircraft or vehicle.</w:t>
      </w:r>
    </w:p>
    <w:p w:rsidR="00CC69B1" w:rsidRPr="003624E0" w:rsidRDefault="00CC69B1" w:rsidP="00FD507E">
      <w:pPr>
        <w:pStyle w:val="definition"/>
        <w:spacing w:before="120" w:beforeAutospacing="0" w:after="120" w:afterAutospacing="0"/>
        <w:rPr>
          <w:rFonts w:ascii="Arial" w:hAnsi="Arial" w:cs="Arial"/>
          <w:sz w:val="20"/>
          <w:szCs w:val="20"/>
        </w:rPr>
      </w:pPr>
      <w:proofErr w:type="gramStart"/>
      <w:r w:rsidRPr="003624E0">
        <w:rPr>
          <w:rFonts w:ascii="Arial" w:hAnsi="Arial" w:cs="Arial"/>
          <w:bCs/>
          <w:i/>
          <w:iCs/>
          <w:sz w:val="20"/>
          <w:szCs w:val="20"/>
        </w:rPr>
        <w:t>workplace</w:t>
      </w:r>
      <w:proofErr w:type="gramEnd"/>
      <w:r w:rsidRPr="003624E0">
        <w:rPr>
          <w:rFonts w:ascii="Arial" w:hAnsi="Arial" w:cs="Arial"/>
          <w:sz w:val="20"/>
          <w:szCs w:val="20"/>
        </w:rPr>
        <w:t xml:space="preserve"> means a place at which a workplace participant works or otherwise carries out functions in connection with being a workplace participant.</w:t>
      </w:r>
    </w:p>
    <w:p w:rsidR="00CC69B1" w:rsidRPr="003624E0" w:rsidRDefault="00CC69B1" w:rsidP="00FD507E">
      <w:pPr>
        <w:pStyle w:val="definition"/>
        <w:spacing w:before="120" w:beforeAutospacing="0" w:after="120" w:afterAutospacing="0"/>
        <w:rPr>
          <w:rFonts w:ascii="Arial" w:hAnsi="Arial" w:cs="Arial"/>
          <w:sz w:val="20"/>
          <w:szCs w:val="20"/>
        </w:rPr>
      </w:pPr>
      <w:proofErr w:type="gramStart"/>
      <w:r w:rsidRPr="003624E0">
        <w:rPr>
          <w:rFonts w:ascii="Arial" w:hAnsi="Arial" w:cs="Arial"/>
          <w:bCs/>
          <w:i/>
          <w:iCs/>
          <w:sz w:val="20"/>
          <w:szCs w:val="20"/>
        </w:rPr>
        <w:t>workplace</w:t>
      </w:r>
      <w:proofErr w:type="gramEnd"/>
      <w:r w:rsidRPr="003624E0">
        <w:rPr>
          <w:rFonts w:ascii="Arial" w:hAnsi="Arial" w:cs="Arial"/>
          <w:bCs/>
          <w:i/>
          <w:iCs/>
          <w:sz w:val="20"/>
          <w:szCs w:val="20"/>
        </w:rPr>
        <w:t xml:space="preserve"> participant</w:t>
      </w:r>
      <w:r w:rsidRPr="003624E0">
        <w:rPr>
          <w:rFonts w:ascii="Arial" w:hAnsi="Arial" w:cs="Arial"/>
          <w:sz w:val="20"/>
          <w:szCs w:val="20"/>
        </w:rPr>
        <w:t xml:space="preserve"> means any of the following:</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an</w:t>
      </w:r>
      <w:proofErr w:type="gramEnd"/>
      <w:r w:rsidRPr="003624E0">
        <w:rPr>
          <w:rFonts w:ascii="Arial" w:hAnsi="Arial" w:cs="Arial"/>
          <w:sz w:val="20"/>
          <w:szCs w:val="20"/>
        </w:rPr>
        <w:t xml:space="preserve"> employer or employee;</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commission agent or contract worker;</w:t>
      </w:r>
    </w:p>
    <w:p w:rsidR="00CC69B1" w:rsidRPr="003624E0" w:rsidRDefault="00CC69B1" w:rsidP="00FD507E">
      <w:pPr>
        <w:pStyle w:val="paragraph"/>
        <w:spacing w:before="120" w:beforeAutospacing="0" w:after="240" w:afterAutospacing="0"/>
        <w:ind w:left="720"/>
        <w:rPr>
          <w:rFonts w:ascii="Arial" w:hAnsi="Arial" w:cs="Arial"/>
          <w:sz w:val="20"/>
          <w:szCs w:val="20"/>
        </w:rPr>
      </w:pPr>
      <w:r w:rsidRPr="003624E0">
        <w:rPr>
          <w:rFonts w:ascii="Arial" w:hAnsi="Arial" w:cs="Arial"/>
          <w:sz w:val="20"/>
          <w:szCs w:val="20"/>
        </w:rPr>
        <w:t xml:space="preserve">(c) </w:t>
      </w:r>
      <w:proofErr w:type="gramStart"/>
      <w:r w:rsidRPr="003624E0">
        <w:rPr>
          <w:rFonts w:ascii="Arial" w:hAnsi="Arial" w:cs="Arial"/>
          <w:sz w:val="20"/>
          <w:szCs w:val="20"/>
        </w:rPr>
        <w:t>a</w:t>
      </w:r>
      <w:proofErr w:type="gramEnd"/>
      <w:r w:rsidRPr="003624E0">
        <w:rPr>
          <w:rFonts w:ascii="Arial" w:hAnsi="Arial" w:cs="Arial"/>
          <w:sz w:val="20"/>
          <w:szCs w:val="20"/>
        </w:rPr>
        <w:t xml:space="preserve"> partner in a partnership.</w:t>
      </w:r>
    </w:p>
    <w:p w:rsidR="00CC69B1" w:rsidRPr="003624E0" w:rsidRDefault="00CC69B1" w:rsidP="00FD507E">
      <w:pPr>
        <w:pStyle w:val="acthead5"/>
        <w:spacing w:before="240" w:beforeAutospacing="0" w:after="120" w:afterAutospacing="0"/>
        <w:rPr>
          <w:rFonts w:ascii="Arial" w:hAnsi="Arial" w:cs="Arial"/>
          <w:b/>
          <w:sz w:val="22"/>
          <w:szCs w:val="20"/>
        </w:rPr>
      </w:pPr>
      <w:bookmarkStart w:id="75" w:name="_Toc345321054"/>
      <w:proofErr w:type="gramStart"/>
      <w:r w:rsidRPr="003624E0">
        <w:rPr>
          <w:rStyle w:val="charsectno"/>
          <w:rFonts w:ascii="Arial" w:eastAsia="MS Mincho" w:hAnsi="Arial" w:cs="Arial"/>
          <w:b/>
          <w:sz w:val="22"/>
          <w:szCs w:val="20"/>
        </w:rPr>
        <w:t>28C</w:t>
      </w:r>
      <w:r w:rsidRPr="003624E0">
        <w:rPr>
          <w:rFonts w:ascii="Arial" w:hAnsi="Arial" w:cs="Arial"/>
          <w:b/>
          <w:sz w:val="22"/>
          <w:szCs w:val="20"/>
        </w:rPr>
        <w:t xml:space="preserve"> </w:t>
      </w:r>
      <w:r w:rsidRPr="003624E0">
        <w:rPr>
          <w:rFonts w:ascii="Arial" w:hAnsi="Arial" w:cs="Arial"/>
          <w:b/>
          <w:sz w:val="22"/>
          <w:szCs w:val="20"/>
        </w:rPr>
        <w:tab/>
        <w:t>Members of bodies with power to grant etc. occupational qualifications etc.</w:t>
      </w:r>
      <w:bookmarkEnd w:id="75"/>
      <w:proofErr w:type="gramEnd"/>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(1) It is unlawful for a member of an authority or body that has power to take action in connection with an occupational qualification to sexually harass a person seeking action in connection with an occupational qualification.</w:t>
      </w:r>
    </w:p>
    <w:p w:rsidR="00CC69B1" w:rsidRPr="003624E0" w:rsidRDefault="00CC69B1" w:rsidP="00FD507E">
      <w:pPr>
        <w:pStyle w:val="subsection"/>
        <w:keepNext/>
        <w:spacing w:before="120" w:beforeAutospacing="0" w:after="120" w:afterAutospacing="0"/>
        <w:rPr>
          <w:rFonts w:ascii="Arial" w:hAnsi="Arial" w:cs="Arial"/>
          <w:sz w:val="20"/>
          <w:szCs w:val="20"/>
        </w:rPr>
      </w:pPr>
      <w:r w:rsidRPr="003624E0">
        <w:rPr>
          <w:rFonts w:ascii="Arial" w:hAnsi="Arial" w:cs="Arial"/>
          <w:sz w:val="20"/>
          <w:szCs w:val="20"/>
        </w:rPr>
        <w:t>(2) In this section:</w:t>
      </w:r>
    </w:p>
    <w:p w:rsidR="00CC69B1" w:rsidRPr="003624E0" w:rsidRDefault="00CC69B1" w:rsidP="00FD507E">
      <w:pPr>
        <w:pStyle w:val="definition"/>
        <w:spacing w:before="120" w:beforeAutospacing="0" w:after="120" w:afterAutospacing="0"/>
        <w:rPr>
          <w:rFonts w:ascii="Arial" w:hAnsi="Arial" w:cs="Arial"/>
          <w:sz w:val="20"/>
          <w:szCs w:val="20"/>
        </w:rPr>
      </w:pPr>
      <w:proofErr w:type="gramStart"/>
      <w:r w:rsidRPr="003624E0">
        <w:rPr>
          <w:rFonts w:ascii="Arial" w:hAnsi="Arial" w:cs="Arial"/>
          <w:bCs/>
          <w:i/>
          <w:iCs/>
          <w:sz w:val="20"/>
          <w:szCs w:val="20"/>
        </w:rPr>
        <w:t>action</w:t>
      </w:r>
      <w:proofErr w:type="gramEnd"/>
      <w:r w:rsidRPr="003624E0">
        <w:rPr>
          <w:rFonts w:ascii="Arial" w:hAnsi="Arial" w:cs="Arial"/>
          <w:bCs/>
          <w:i/>
          <w:iCs/>
          <w:sz w:val="20"/>
          <w:szCs w:val="20"/>
        </w:rPr>
        <w:t xml:space="preserve"> in connection with an occupational qualification</w:t>
      </w:r>
      <w:r w:rsidRPr="003624E0">
        <w:rPr>
          <w:rFonts w:ascii="Arial" w:hAnsi="Arial" w:cs="Arial"/>
          <w:sz w:val="20"/>
          <w:szCs w:val="20"/>
        </w:rPr>
        <w:t xml:space="preserve"> means conferring, renewing, extending, revoking or withdrawing an authorisation or qualification that is needed for, or facilitates:</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practising</w:t>
      </w:r>
      <w:proofErr w:type="gramEnd"/>
      <w:r w:rsidRPr="003624E0">
        <w:rPr>
          <w:rFonts w:ascii="Arial" w:hAnsi="Arial" w:cs="Arial"/>
          <w:sz w:val="20"/>
          <w:szCs w:val="20"/>
        </w:rPr>
        <w:t xml:space="preserve"> a profession;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carrying</w:t>
      </w:r>
      <w:proofErr w:type="gramEnd"/>
      <w:r w:rsidRPr="003624E0">
        <w:rPr>
          <w:rFonts w:ascii="Arial" w:hAnsi="Arial" w:cs="Arial"/>
          <w:sz w:val="20"/>
          <w:szCs w:val="20"/>
        </w:rPr>
        <w:t xml:space="preserve"> on a trade; or</w:t>
      </w:r>
    </w:p>
    <w:p w:rsidR="00CC69B1" w:rsidRPr="003624E0" w:rsidRDefault="00CC69B1" w:rsidP="00FD507E">
      <w:pPr>
        <w:pStyle w:val="paragraph"/>
        <w:spacing w:before="120" w:beforeAutospacing="0" w:after="240" w:afterAutospacing="0"/>
        <w:ind w:left="720"/>
        <w:rPr>
          <w:rFonts w:ascii="Arial" w:hAnsi="Arial" w:cs="Arial"/>
          <w:sz w:val="20"/>
          <w:szCs w:val="20"/>
        </w:rPr>
      </w:pPr>
      <w:r w:rsidRPr="003624E0">
        <w:rPr>
          <w:rFonts w:ascii="Arial" w:hAnsi="Arial" w:cs="Arial"/>
          <w:sz w:val="20"/>
          <w:szCs w:val="20"/>
        </w:rPr>
        <w:t xml:space="preserve">(c) </w:t>
      </w:r>
      <w:proofErr w:type="gramStart"/>
      <w:r w:rsidRPr="003624E0">
        <w:rPr>
          <w:rFonts w:ascii="Arial" w:hAnsi="Arial" w:cs="Arial"/>
          <w:sz w:val="20"/>
          <w:szCs w:val="20"/>
        </w:rPr>
        <w:t>engaging</w:t>
      </w:r>
      <w:proofErr w:type="gramEnd"/>
      <w:r w:rsidRPr="003624E0">
        <w:rPr>
          <w:rFonts w:ascii="Arial" w:hAnsi="Arial" w:cs="Arial"/>
          <w:sz w:val="20"/>
          <w:szCs w:val="20"/>
        </w:rPr>
        <w:t xml:space="preserve"> in an occupation.</w:t>
      </w:r>
    </w:p>
    <w:p w:rsidR="00CC69B1" w:rsidRPr="003624E0" w:rsidRDefault="00CC69B1" w:rsidP="00FD507E">
      <w:pPr>
        <w:pStyle w:val="acthead5"/>
        <w:spacing w:before="240" w:beforeAutospacing="0" w:after="120" w:afterAutospacing="0"/>
        <w:rPr>
          <w:rFonts w:ascii="Arial" w:hAnsi="Arial" w:cs="Arial"/>
          <w:b/>
          <w:sz w:val="22"/>
          <w:szCs w:val="20"/>
        </w:rPr>
      </w:pPr>
      <w:bookmarkStart w:id="76" w:name="_Toc345321055"/>
      <w:r w:rsidRPr="003624E0">
        <w:rPr>
          <w:rStyle w:val="charsectno"/>
          <w:rFonts w:ascii="Arial" w:eastAsia="MS Mincho" w:hAnsi="Arial" w:cs="Arial"/>
          <w:b/>
          <w:sz w:val="22"/>
          <w:szCs w:val="20"/>
        </w:rPr>
        <w:t>28D</w:t>
      </w:r>
      <w:r w:rsidRPr="003624E0">
        <w:rPr>
          <w:rFonts w:ascii="Arial" w:hAnsi="Arial" w:cs="Arial"/>
          <w:b/>
          <w:sz w:val="22"/>
          <w:szCs w:val="20"/>
        </w:rPr>
        <w:t xml:space="preserve"> </w:t>
      </w:r>
      <w:r w:rsidRPr="003624E0">
        <w:rPr>
          <w:rFonts w:ascii="Arial" w:hAnsi="Arial" w:cs="Arial"/>
          <w:b/>
          <w:sz w:val="22"/>
          <w:szCs w:val="20"/>
        </w:rPr>
        <w:tab/>
        <w:t>Registered organisations</w:t>
      </w:r>
      <w:bookmarkEnd w:id="76"/>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It is unlawful for: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a</w:t>
      </w:r>
      <w:proofErr w:type="gramEnd"/>
      <w:r w:rsidRPr="003624E0">
        <w:rPr>
          <w:rFonts w:ascii="Arial" w:hAnsi="Arial" w:cs="Arial"/>
          <w:sz w:val="20"/>
          <w:szCs w:val="20"/>
        </w:rPr>
        <w:t xml:space="preserve"> member of a registered organisation;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member of the staff of a registered organisation;</w:t>
      </w:r>
    </w:p>
    <w:p w:rsidR="00CC69B1" w:rsidRPr="003624E0" w:rsidRDefault="00CC69B1" w:rsidP="00FD507E">
      <w:pPr>
        <w:pStyle w:val="subsection2"/>
        <w:spacing w:before="120" w:beforeAutospacing="0" w:after="240" w:afterAutospacing="0"/>
        <w:rPr>
          <w:rFonts w:ascii="Arial" w:hAnsi="Arial" w:cs="Arial"/>
          <w:sz w:val="20"/>
          <w:szCs w:val="20"/>
        </w:rPr>
      </w:pPr>
      <w:proofErr w:type="gramStart"/>
      <w:r w:rsidRPr="003624E0">
        <w:rPr>
          <w:rFonts w:ascii="Arial" w:hAnsi="Arial" w:cs="Arial"/>
          <w:sz w:val="20"/>
          <w:szCs w:val="20"/>
        </w:rPr>
        <w:t>to</w:t>
      </w:r>
      <w:proofErr w:type="gramEnd"/>
      <w:r w:rsidRPr="003624E0">
        <w:rPr>
          <w:rFonts w:ascii="Arial" w:hAnsi="Arial" w:cs="Arial"/>
          <w:sz w:val="20"/>
          <w:szCs w:val="20"/>
        </w:rPr>
        <w:t xml:space="preserve"> sexually harass a member of the organisation, or a person who is seeking to become a member of the organisation.</w:t>
      </w:r>
    </w:p>
    <w:p w:rsidR="00CC69B1" w:rsidRPr="003624E0" w:rsidRDefault="00CC69B1" w:rsidP="00FD507E">
      <w:pPr>
        <w:pStyle w:val="acthead5"/>
        <w:spacing w:before="240" w:beforeAutospacing="0" w:after="120" w:afterAutospacing="0"/>
        <w:rPr>
          <w:rFonts w:ascii="Arial" w:hAnsi="Arial" w:cs="Arial"/>
          <w:b/>
          <w:sz w:val="22"/>
          <w:szCs w:val="20"/>
        </w:rPr>
      </w:pPr>
      <w:bookmarkStart w:id="77" w:name="_Toc345321056"/>
      <w:r w:rsidRPr="003624E0">
        <w:rPr>
          <w:rStyle w:val="charsectno"/>
          <w:rFonts w:ascii="Arial" w:eastAsia="MS Mincho" w:hAnsi="Arial" w:cs="Arial"/>
          <w:b/>
          <w:sz w:val="22"/>
          <w:szCs w:val="20"/>
        </w:rPr>
        <w:t>28E</w:t>
      </w:r>
      <w:r w:rsidRPr="003624E0">
        <w:rPr>
          <w:rFonts w:ascii="Arial" w:hAnsi="Arial" w:cs="Arial"/>
          <w:b/>
          <w:sz w:val="22"/>
          <w:szCs w:val="20"/>
        </w:rPr>
        <w:t xml:space="preserve"> </w:t>
      </w:r>
      <w:r w:rsidRPr="003624E0">
        <w:rPr>
          <w:rFonts w:ascii="Arial" w:hAnsi="Arial" w:cs="Arial"/>
          <w:b/>
          <w:sz w:val="22"/>
          <w:szCs w:val="20"/>
        </w:rPr>
        <w:tab/>
        <w:t>Employment agencies</w:t>
      </w:r>
      <w:bookmarkEnd w:id="77"/>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It is unlawful for: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a</w:t>
      </w:r>
      <w:proofErr w:type="gramEnd"/>
      <w:r w:rsidRPr="003624E0">
        <w:rPr>
          <w:rFonts w:ascii="Arial" w:hAnsi="Arial" w:cs="Arial"/>
          <w:sz w:val="20"/>
          <w:szCs w:val="20"/>
        </w:rPr>
        <w:t xml:space="preserve"> person who operates an employment agency;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member of the staff of an employment agency;</w:t>
      </w:r>
    </w:p>
    <w:p w:rsidR="00CC69B1" w:rsidRPr="003624E0" w:rsidRDefault="00CC69B1" w:rsidP="00FD507E">
      <w:pPr>
        <w:pStyle w:val="subsection2"/>
        <w:spacing w:before="120" w:beforeAutospacing="0" w:after="240" w:afterAutospacing="0"/>
        <w:rPr>
          <w:rFonts w:ascii="Arial" w:hAnsi="Arial" w:cs="Arial"/>
          <w:sz w:val="20"/>
          <w:szCs w:val="20"/>
        </w:rPr>
      </w:pPr>
      <w:proofErr w:type="gramStart"/>
      <w:r w:rsidRPr="003624E0">
        <w:rPr>
          <w:rFonts w:ascii="Arial" w:hAnsi="Arial" w:cs="Arial"/>
          <w:sz w:val="20"/>
          <w:szCs w:val="20"/>
        </w:rPr>
        <w:t>to</w:t>
      </w:r>
      <w:proofErr w:type="gramEnd"/>
      <w:r w:rsidRPr="003624E0">
        <w:rPr>
          <w:rFonts w:ascii="Arial" w:hAnsi="Arial" w:cs="Arial"/>
          <w:sz w:val="20"/>
          <w:szCs w:val="20"/>
        </w:rPr>
        <w:t xml:space="preserve"> sexually harass another person in the course of providing, or offering to provide, any of the agency’s services to that other person.</w:t>
      </w:r>
    </w:p>
    <w:p w:rsidR="00CC69B1" w:rsidRPr="003624E0" w:rsidRDefault="00CC69B1" w:rsidP="00FD507E">
      <w:pPr>
        <w:pStyle w:val="acthead5"/>
        <w:spacing w:before="240" w:beforeAutospacing="0" w:after="120" w:afterAutospacing="0"/>
        <w:rPr>
          <w:rFonts w:ascii="Arial" w:hAnsi="Arial" w:cs="Arial"/>
          <w:b/>
          <w:sz w:val="20"/>
          <w:szCs w:val="20"/>
        </w:rPr>
      </w:pPr>
      <w:bookmarkStart w:id="78" w:name="_Toc345321057"/>
      <w:r w:rsidRPr="003624E0">
        <w:rPr>
          <w:rStyle w:val="charsectno"/>
          <w:rFonts w:ascii="Arial" w:eastAsia="MS Mincho" w:hAnsi="Arial" w:cs="Arial"/>
          <w:b/>
          <w:sz w:val="22"/>
          <w:szCs w:val="20"/>
        </w:rPr>
        <w:t>28F</w:t>
      </w:r>
      <w:r w:rsidRPr="003624E0">
        <w:rPr>
          <w:rFonts w:ascii="Arial" w:hAnsi="Arial" w:cs="Arial"/>
          <w:b/>
          <w:sz w:val="22"/>
          <w:szCs w:val="20"/>
        </w:rPr>
        <w:t xml:space="preserve"> </w:t>
      </w:r>
      <w:r w:rsidRPr="003624E0">
        <w:rPr>
          <w:rFonts w:ascii="Arial" w:hAnsi="Arial" w:cs="Arial"/>
          <w:b/>
          <w:sz w:val="22"/>
          <w:szCs w:val="20"/>
        </w:rPr>
        <w:tab/>
        <w:t>Educational institutions</w:t>
      </w:r>
      <w:bookmarkEnd w:id="78"/>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(1) It is unlawful for a member of the staff of an educational institution to sexually harass:</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a</w:t>
      </w:r>
      <w:proofErr w:type="gramEnd"/>
      <w:r w:rsidRPr="003624E0">
        <w:rPr>
          <w:rFonts w:ascii="Arial" w:hAnsi="Arial" w:cs="Arial"/>
          <w:sz w:val="20"/>
          <w:szCs w:val="20"/>
        </w:rPr>
        <w:t xml:space="preserve"> person who is a student at the institution;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person who is seeking to become a student at the institution.</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(2) It is unlawful for a person who is an adult student at an educational institution to sexually harass:</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a</w:t>
      </w:r>
      <w:proofErr w:type="gramEnd"/>
      <w:r w:rsidRPr="003624E0">
        <w:rPr>
          <w:rFonts w:ascii="Arial" w:hAnsi="Arial" w:cs="Arial"/>
          <w:sz w:val="20"/>
          <w:szCs w:val="20"/>
        </w:rPr>
        <w:t xml:space="preserve"> person who is a student at the institution;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member of the staff of the institution.</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 xml:space="preserve">(2A) It is unlawful for a person (the </w:t>
      </w:r>
      <w:r w:rsidRPr="003624E0">
        <w:rPr>
          <w:rFonts w:ascii="Arial" w:hAnsi="Arial" w:cs="Arial"/>
          <w:bCs/>
          <w:i/>
          <w:iCs/>
          <w:sz w:val="20"/>
          <w:szCs w:val="20"/>
        </w:rPr>
        <w:t>first person</w:t>
      </w:r>
      <w:r w:rsidRPr="003624E0">
        <w:rPr>
          <w:rFonts w:ascii="Arial" w:hAnsi="Arial" w:cs="Arial"/>
          <w:sz w:val="20"/>
          <w:szCs w:val="20"/>
        </w:rPr>
        <w:t xml:space="preserve">) who is a member of the staff of an educational institution (the </w:t>
      </w:r>
      <w:r w:rsidRPr="003624E0">
        <w:rPr>
          <w:rFonts w:ascii="Arial" w:hAnsi="Arial" w:cs="Arial"/>
          <w:bCs/>
          <w:i/>
          <w:iCs/>
          <w:sz w:val="20"/>
          <w:szCs w:val="20"/>
        </w:rPr>
        <w:t>first educational institution</w:t>
      </w:r>
      <w:r w:rsidRPr="003624E0">
        <w:rPr>
          <w:rFonts w:ascii="Arial" w:hAnsi="Arial" w:cs="Arial"/>
          <w:sz w:val="20"/>
          <w:szCs w:val="20"/>
        </w:rPr>
        <w:t>) to sexually harass a person who is a student at another educational institution if the sexual harassment occurs in connection with the first person being a member of staff of the first educational institution.</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 xml:space="preserve">(2B) </w:t>
      </w:r>
      <w:proofErr w:type="gramStart"/>
      <w:r w:rsidRPr="003624E0">
        <w:rPr>
          <w:rFonts w:ascii="Arial" w:hAnsi="Arial" w:cs="Arial"/>
          <w:sz w:val="20"/>
          <w:szCs w:val="20"/>
        </w:rPr>
        <w:t>It</w:t>
      </w:r>
      <w:proofErr w:type="gramEnd"/>
      <w:r w:rsidRPr="003624E0">
        <w:rPr>
          <w:rFonts w:ascii="Arial" w:hAnsi="Arial" w:cs="Arial"/>
          <w:sz w:val="20"/>
          <w:szCs w:val="20"/>
        </w:rPr>
        <w:t xml:space="preserve"> is unlawful for a person (the </w:t>
      </w:r>
      <w:r w:rsidRPr="003624E0">
        <w:rPr>
          <w:rFonts w:ascii="Arial" w:hAnsi="Arial" w:cs="Arial"/>
          <w:bCs/>
          <w:i/>
          <w:iCs/>
          <w:sz w:val="20"/>
          <w:szCs w:val="20"/>
        </w:rPr>
        <w:t>first person</w:t>
      </w:r>
      <w:r w:rsidRPr="003624E0">
        <w:rPr>
          <w:rFonts w:ascii="Arial" w:hAnsi="Arial" w:cs="Arial"/>
          <w:sz w:val="20"/>
          <w:szCs w:val="20"/>
        </w:rPr>
        <w:t xml:space="preserve">) who is an adult student at an educational institution (the </w:t>
      </w:r>
      <w:r w:rsidRPr="003624E0">
        <w:rPr>
          <w:rFonts w:ascii="Arial" w:hAnsi="Arial" w:cs="Arial"/>
          <w:bCs/>
          <w:i/>
          <w:iCs/>
          <w:sz w:val="20"/>
          <w:szCs w:val="20"/>
        </w:rPr>
        <w:t>first educational institution</w:t>
      </w:r>
      <w:r w:rsidRPr="003624E0">
        <w:rPr>
          <w:rFonts w:ascii="Arial" w:hAnsi="Arial" w:cs="Arial"/>
          <w:sz w:val="20"/>
          <w:szCs w:val="20"/>
        </w:rPr>
        <w:t>) to sexually harass:</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a</w:t>
      </w:r>
      <w:proofErr w:type="gramEnd"/>
      <w:r w:rsidRPr="003624E0">
        <w:rPr>
          <w:rFonts w:ascii="Arial" w:hAnsi="Arial" w:cs="Arial"/>
          <w:sz w:val="20"/>
          <w:szCs w:val="20"/>
        </w:rPr>
        <w:t xml:space="preserve"> person who is a student at another educational institution;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w:t>
      </w:r>
      <w:proofErr w:type="gramEnd"/>
      <w:r w:rsidRPr="003624E0">
        <w:rPr>
          <w:rFonts w:ascii="Arial" w:hAnsi="Arial" w:cs="Arial"/>
          <w:sz w:val="20"/>
          <w:szCs w:val="20"/>
        </w:rPr>
        <w:t xml:space="preserve"> member of the staff of another educational institution;</w:t>
      </w:r>
    </w:p>
    <w:p w:rsidR="00CC69B1" w:rsidRPr="003624E0" w:rsidRDefault="00CC69B1" w:rsidP="00FD507E">
      <w:pPr>
        <w:pStyle w:val="subsection2"/>
        <w:spacing w:before="120" w:beforeAutospacing="0" w:after="120" w:afterAutospacing="0"/>
        <w:rPr>
          <w:rFonts w:ascii="Arial" w:hAnsi="Arial" w:cs="Arial"/>
          <w:sz w:val="20"/>
          <w:szCs w:val="20"/>
        </w:rPr>
      </w:pPr>
      <w:proofErr w:type="gramStart"/>
      <w:r w:rsidRPr="003624E0">
        <w:rPr>
          <w:rFonts w:ascii="Arial" w:hAnsi="Arial" w:cs="Arial"/>
          <w:sz w:val="20"/>
          <w:szCs w:val="20"/>
        </w:rPr>
        <w:t>if</w:t>
      </w:r>
      <w:proofErr w:type="gramEnd"/>
      <w:r w:rsidRPr="003624E0">
        <w:rPr>
          <w:rFonts w:ascii="Arial" w:hAnsi="Arial" w:cs="Arial"/>
          <w:sz w:val="20"/>
          <w:szCs w:val="20"/>
        </w:rPr>
        <w:t xml:space="preserve"> the sexual harassment occurs in connection with the first person being a student at the first educational institution.</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(3) In this section:</w:t>
      </w:r>
    </w:p>
    <w:p w:rsidR="00CC69B1" w:rsidRPr="003624E0" w:rsidRDefault="00CC69B1" w:rsidP="00FD507E">
      <w:pPr>
        <w:pStyle w:val="definition"/>
        <w:spacing w:before="120" w:beforeAutospacing="0" w:after="240" w:afterAutospacing="0"/>
        <w:rPr>
          <w:rFonts w:ascii="Arial" w:hAnsi="Arial" w:cs="Arial"/>
          <w:sz w:val="20"/>
          <w:szCs w:val="20"/>
        </w:rPr>
      </w:pPr>
      <w:proofErr w:type="gramStart"/>
      <w:r w:rsidRPr="003624E0">
        <w:rPr>
          <w:rFonts w:ascii="Arial" w:hAnsi="Arial" w:cs="Arial"/>
          <w:bCs/>
          <w:i/>
          <w:iCs/>
          <w:sz w:val="20"/>
          <w:szCs w:val="20"/>
        </w:rPr>
        <w:t>adult</w:t>
      </w:r>
      <w:proofErr w:type="gramEnd"/>
      <w:r w:rsidRPr="003624E0">
        <w:rPr>
          <w:rFonts w:ascii="Arial" w:hAnsi="Arial" w:cs="Arial"/>
          <w:bCs/>
          <w:i/>
          <w:iCs/>
          <w:sz w:val="20"/>
          <w:szCs w:val="20"/>
        </w:rPr>
        <w:t xml:space="preserve"> student</w:t>
      </w:r>
      <w:r w:rsidRPr="003624E0">
        <w:rPr>
          <w:rFonts w:ascii="Arial" w:hAnsi="Arial" w:cs="Arial"/>
          <w:sz w:val="20"/>
          <w:szCs w:val="20"/>
        </w:rPr>
        <w:t xml:space="preserve"> means a student who has attained the age of 16 years.</w:t>
      </w:r>
    </w:p>
    <w:p w:rsidR="00CC69B1" w:rsidRPr="003624E0" w:rsidRDefault="00CC69B1" w:rsidP="00FD507E">
      <w:pPr>
        <w:pStyle w:val="acthead5"/>
        <w:spacing w:before="240" w:beforeAutospacing="0" w:after="120" w:afterAutospacing="0"/>
        <w:rPr>
          <w:rFonts w:ascii="Arial" w:hAnsi="Arial" w:cs="Arial"/>
          <w:b/>
          <w:sz w:val="22"/>
          <w:szCs w:val="20"/>
        </w:rPr>
      </w:pPr>
      <w:bookmarkStart w:id="79" w:name="_Toc345321058"/>
      <w:r w:rsidRPr="003624E0">
        <w:rPr>
          <w:rStyle w:val="charsectno"/>
          <w:rFonts w:ascii="Arial" w:eastAsia="MS Mincho" w:hAnsi="Arial" w:cs="Arial"/>
          <w:b/>
          <w:sz w:val="22"/>
          <w:szCs w:val="20"/>
        </w:rPr>
        <w:t>28G</w:t>
      </w:r>
      <w:r w:rsidRPr="003624E0">
        <w:rPr>
          <w:rStyle w:val="charsectno"/>
          <w:rFonts w:ascii="Arial" w:eastAsia="MS Mincho" w:hAnsi="Arial" w:cs="Arial"/>
          <w:b/>
          <w:sz w:val="22"/>
          <w:szCs w:val="20"/>
        </w:rPr>
        <w:tab/>
      </w:r>
      <w:r w:rsidRPr="003624E0">
        <w:rPr>
          <w:rFonts w:ascii="Arial" w:hAnsi="Arial" w:cs="Arial"/>
          <w:b/>
          <w:sz w:val="22"/>
          <w:szCs w:val="20"/>
        </w:rPr>
        <w:t xml:space="preserve"> Goods, services and facilities</w:t>
      </w:r>
      <w:bookmarkEnd w:id="79"/>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 xml:space="preserve">(1) It is unlawful for a person to sexually harass another person in the course of </w:t>
      </w:r>
      <w:proofErr w:type="gramStart"/>
      <w:r w:rsidRPr="003624E0">
        <w:rPr>
          <w:rFonts w:ascii="Arial" w:hAnsi="Arial" w:cs="Arial"/>
          <w:sz w:val="20"/>
          <w:szCs w:val="20"/>
        </w:rPr>
        <w:t>providing,</w:t>
      </w:r>
      <w:proofErr w:type="gramEnd"/>
      <w:r w:rsidRPr="003624E0">
        <w:rPr>
          <w:rFonts w:ascii="Arial" w:hAnsi="Arial" w:cs="Arial"/>
          <w:sz w:val="20"/>
          <w:szCs w:val="20"/>
        </w:rPr>
        <w:t xml:space="preserve"> or offering to provide, goods, services or facilities to that other person.</w:t>
      </w:r>
    </w:p>
    <w:p w:rsidR="00CC69B1" w:rsidRPr="003624E0" w:rsidRDefault="00CC69B1" w:rsidP="00FD507E">
      <w:pPr>
        <w:pStyle w:val="subsection"/>
        <w:spacing w:before="120" w:beforeAutospacing="0" w:after="240" w:afterAutospacing="0"/>
        <w:rPr>
          <w:rFonts w:ascii="Arial" w:hAnsi="Arial" w:cs="Arial"/>
          <w:sz w:val="20"/>
          <w:szCs w:val="20"/>
        </w:rPr>
      </w:pPr>
      <w:r w:rsidRPr="003624E0">
        <w:rPr>
          <w:rFonts w:ascii="Arial" w:hAnsi="Arial" w:cs="Arial"/>
          <w:sz w:val="20"/>
          <w:szCs w:val="20"/>
        </w:rPr>
        <w:t>(2) It is unlawful for a person to sexually harass another person in the course of seeking, or receiving, goods, services or facilities from that other person.</w:t>
      </w:r>
    </w:p>
    <w:p w:rsidR="00CC69B1" w:rsidRPr="003624E0" w:rsidRDefault="00CC69B1" w:rsidP="00FD507E">
      <w:pPr>
        <w:pStyle w:val="acthead5"/>
        <w:spacing w:before="240" w:beforeAutospacing="0" w:after="120" w:afterAutospacing="0"/>
        <w:rPr>
          <w:rFonts w:ascii="Arial" w:hAnsi="Arial" w:cs="Arial"/>
          <w:b/>
          <w:sz w:val="22"/>
          <w:szCs w:val="20"/>
        </w:rPr>
      </w:pPr>
      <w:bookmarkStart w:id="80" w:name="_Toc345321059"/>
      <w:r w:rsidRPr="003624E0">
        <w:rPr>
          <w:rStyle w:val="charsectno"/>
          <w:rFonts w:ascii="Arial" w:eastAsia="MS Mincho" w:hAnsi="Arial" w:cs="Arial"/>
          <w:b/>
          <w:sz w:val="22"/>
          <w:szCs w:val="20"/>
        </w:rPr>
        <w:t>28H</w:t>
      </w:r>
      <w:r w:rsidRPr="003624E0">
        <w:rPr>
          <w:rFonts w:ascii="Arial" w:hAnsi="Arial" w:cs="Arial"/>
          <w:b/>
          <w:sz w:val="22"/>
          <w:szCs w:val="20"/>
        </w:rPr>
        <w:t xml:space="preserve"> </w:t>
      </w:r>
      <w:r w:rsidRPr="003624E0">
        <w:rPr>
          <w:rFonts w:ascii="Arial" w:hAnsi="Arial" w:cs="Arial"/>
          <w:b/>
          <w:sz w:val="22"/>
          <w:szCs w:val="20"/>
        </w:rPr>
        <w:tab/>
        <w:t>Provision of accommodation</w:t>
      </w:r>
      <w:bookmarkEnd w:id="80"/>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(1) It is unlawful for a person to sexually harass another person in the course of providing, or offering to provide, (whether as principal or agent) accommodation to that other person.</w:t>
      </w:r>
    </w:p>
    <w:p w:rsidR="00CC69B1" w:rsidRPr="003624E0" w:rsidRDefault="00CC69B1" w:rsidP="006F70EA">
      <w:pPr>
        <w:pStyle w:val="subsection"/>
        <w:spacing w:before="120" w:beforeAutospacing="0" w:after="240" w:afterAutospacing="0"/>
        <w:rPr>
          <w:rFonts w:ascii="Arial" w:hAnsi="Arial" w:cs="Arial"/>
          <w:sz w:val="20"/>
          <w:szCs w:val="20"/>
        </w:rPr>
      </w:pPr>
      <w:r w:rsidRPr="003624E0">
        <w:rPr>
          <w:rFonts w:ascii="Arial" w:hAnsi="Arial" w:cs="Arial"/>
          <w:sz w:val="20"/>
          <w:szCs w:val="20"/>
        </w:rPr>
        <w:t xml:space="preserve">(2) This section does not apply to anything done by a person in the course of </w:t>
      </w:r>
      <w:proofErr w:type="gramStart"/>
      <w:r w:rsidRPr="003624E0">
        <w:rPr>
          <w:rFonts w:ascii="Arial" w:hAnsi="Arial" w:cs="Arial"/>
          <w:sz w:val="20"/>
          <w:szCs w:val="20"/>
        </w:rPr>
        <w:t>providing,</w:t>
      </w:r>
      <w:proofErr w:type="gramEnd"/>
      <w:r w:rsidRPr="003624E0">
        <w:rPr>
          <w:rFonts w:ascii="Arial" w:hAnsi="Arial" w:cs="Arial"/>
          <w:sz w:val="20"/>
          <w:szCs w:val="20"/>
        </w:rPr>
        <w:t xml:space="preserve"> or offering to provide, accommodation to a near relative.</w:t>
      </w:r>
    </w:p>
    <w:p w:rsidR="00CC69B1" w:rsidRPr="003624E0" w:rsidRDefault="00CC69B1" w:rsidP="006F70EA">
      <w:pPr>
        <w:pStyle w:val="acthead5"/>
        <w:spacing w:before="240" w:beforeAutospacing="0" w:after="120" w:afterAutospacing="0"/>
        <w:rPr>
          <w:rFonts w:ascii="Arial" w:hAnsi="Arial" w:cs="Arial"/>
          <w:b/>
          <w:sz w:val="22"/>
          <w:szCs w:val="20"/>
        </w:rPr>
      </w:pPr>
      <w:bookmarkStart w:id="81" w:name="_Toc345321060"/>
      <w:bookmarkEnd w:id="81"/>
      <w:r w:rsidRPr="003624E0">
        <w:rPr>
          <w:rStyle w:val="charsectno"/>
          <w:rFonts w:ascii="Arial" w:eastAsia="MS Mincho" w:hAnsi="Arial" w:cs="Arial"/>
          <w:b/>
          <w:sz w:val="22"/>
          <w:szCs w:val="20"/>
        </w:rPr>
        <w:t>28J</w:t>
      </w:r>
      <w:r w:rsidRPr="003624E0">
        <w:rPr>
          <w:rFonts w:ascii="Arial" w:hAnsi="Arial" w:cs="Arial"/>
          <w:b/>
          <w:sz w:val="22"/>
          <w:szCs w:val="20"/>
        </w:rPr>
        <w:t xml:space="preserve"> </w:t>
      </w:r>
      <w:r w:rsidRPr="003624E0">
        <w:rPr>
          <w:rFonts w:ascii="Arial" w:hAnsi="Arial" w:cs="Arial"/>
          <w:b/>
          <w:sz w:val="22"/>
          <w:szCs w:val="20"/>
        </w:rPr>
        <w:tab/>
        <w:t>Land</w:t>
      </w:r>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It is unlawful for a person to sexually harass another person in the course of dealing (whether as principal or agent) with that other person in connection with:</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disposing</w:t>
      </w:r>
      <w:proofErr w:type="gramEnd"/>
      <w:r w:rsidRPr="003624E0">
        <w:rPr>
          <w:rFonts w:ascii="Arial" w:hAnsi="Arial" w:cs="Arial"/>
          <w:sz w:val="20"/>
          <w:szCs w:val="20"/>
        </w:rPr>
        <w:t xml:space="preserve"> of, or offering to dispose of, an estate or interest in land to the other person; or</w:t>
      </w:r>
    </w:p>
    <w:p w:rsidR="00CC69B1" w:rsidRPr="003624E0" w:rsidRDefault="00CC69B1" w:rsidP="006F70EA">
      <w:pPr>
        <w:pStyle w:val="paragraph"/>
        <w:spacing w:before="120" w:beforeAutospacing="0" w:after="24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acquiring</w:t>
      </w:r>
      <w:proofErr w:type="gramEnd"/>
      <w:r w:rsidRPr="003624E0">
        <w:rPr>
          <w:rFonts w:ascii="Arial" w:hAnsi="Arial" w:cs="Arial"/>
          <w:sz w:val="20"/>
          <w:szCs w:val="20"/>
        </w:rPr>
        <w:t>, or offering to acquire, an estate or interest in land from the other person.</w:t>
      </w:r>
    </w:p>
    <w:p w:rsidR="00CC69B1" w:rsidRPr="003624E0" w:rsidRDefault="00CC69B1" w:rsidP="006F70EA">
      <w:pPr>
        <w:pStyle w:val="acthead5"/>
        <w:spacing w:before="240" w:beforeAutospacing="0" w:after="120" w:afterAutospacing="0"/>
        <w:rPr>
          <w:rFonts w:ascii="Arial" w:hAnsi="Arial" w:cs="Arial"/>
          <w:b/>
          <w:sz w:val="22"/>
          <w:szCs w:val="20"/>
        </w:rPr>
      </w:pPr>
      <w:bookmarkStart w:id="82" w:name="_Toc345321061"/>
      <w:r w:rsidRPr="003624E0">
        <w:rPr>
          <w:rStyle w:val="charsectno"/>
          <w:rFonts w:ascii="Arial" w:eastAsia="MS Mincho" w:hAnsi="Arial" w:cs="Arial"/>
          <w:b/>
          <w:sz w:val="22"/>
          <w:szCs w:val="20"/>
        </w:rPr>
        <w:t>28K</w:t>
      </w:r>
      <w:r w:rsidRPr="003624E0">
        <w:rPr>
          <w:rStyle w:val="charsectno"/>
          <w:rFonts w:ascii="Arial" w:eastAsia="MS Mincho" w:hAnsi="Arial" w:cs="Arial"/>
          <w:b/>
          <w:sz w:val="22"/>
          <w:szCs w:val="20"/>
        </w:rPr>
        <w:tab/>
      </w:r>
      <w:r w:rsidRPr="003624E0">
        <w:rPr>
          <w:rFonts w:ascii="Arial" w:hAnsi="Arial" w:cs="Arial"/>
          <w:b/>
          <w:sz w:val="22"/>
          <w:szCs w:val="20"/>
        </w:rPr>
        <w:t xml:space="preserve"> Clubs</w:t>
      </w:r>
      <w:bookmarkEnd w:id="82"/>
    </w:p>
    <w:p w:rsidR="00CC69B1" w:rsidRPr="003624E0" w:rsidRDefault="00CC69B1" w:rsidP="006F70EA">
      <w:pPr>
        <w:pStyle w:val="subsection"/>
        <w:spacing w:before="120" w:beforeAutospacing="0" w:after="240" w:afterAutospacing="0"/>
        <w:rPr>
          <w:rFonts w:ascii="Arial" w:hAnsi="Arial" w:cs="Arial"/>
          <w:sz w:val="20"/>
          <w:szCs w:val="20"/>
        </w:rPr>
      </w:pPr>
      <w:r w:rsidRPr="003624E0">
        <w:rPr>
          <w:rFonts w:ascii="Arial" w:hAnsi="Arial" w:cs="Arial"/>
          <w:sz w:val="20"/>
          <w:szCs w:val="20"/>
        </w:rPr>
        <w:t>It is unlawful for a member of the committee of management of a club to sexually harass a member of the club or a person seeking to become a member of the club.</w:t>
      </w:r>
    </w:p>
    <w:p w:rsidR="00CC69B1" w:rsidRPr="003624E0" w:rsidRDefault="00CC69B1" w:rsidP="006F70EA">
      <w:pPr>
        <w:pStyle w:val="acthead5"/>
        <w:spacing w:before="240" w:beforeAutospacing="0" w:after="120" w:afterAutospacing="0"/>
        <w:rPr>
          <w:rFonts w:ascii="Arial" w:hAnsi="Arial" w:cs="Arial"/>
          <w:b/>
          <w:sz w:val="22"/>
          <w:szCs w:val="20"/>
        </w:rPr>
      </w:pPr>
      <w:bookmarkStart w:id="83" w:name="_Toc345321062"/>
      <w:r w:rsidRPr="003624E0">
        <w:rPr>
          <w:rStyle w:val="charsectno"/>
          <w:rFonts w:ascii="Arial" w:eastAsia="MS Mincho" w:hAnsi="Arial" w:cs="Arial"/>
          <w:b/>
          <w:sz w:val="22"/>
          <w:szCs w:val="20"/>
        </w:rPr>
        <w:t>28L</w:t>
      </w:r>
      <w:r w:rsidRPr="003624E0">
        <w:rPr>
          <w:rFonts w:ascii="Arial" w:hAnsi="Arial" w:cs="Arial"/>
          <w:b/>
          <w:sz w:val="22"/>
          <w:szCs w:val="20"/>
        </w:rPr>
        <w:t xml:space="preserve"> </w:t>
      </w:r>
      <w:r w:rsidRPr="003624E0">
        <w:rPr>
          <w:rFonts w:ascii="Arial" w:hAnsi="Arial" w:cs="Arial"/>
          <w:b/>
          <w:sz w:val="22"/>
          <w:szCs w:val="20"/>
        </w:rPr>
        <w:tab/>
        <w:t>Commonwealth laws and programs</w:t>
      </w:r>
      <w:bookmarkEnd w:id="83"/>
    </w:p>
    <w:p w:rsidR="00CC69B1" w:rsidRPr="003624E0" w:rsidRDefault="00CC69B1" w:rsidP="00FD507E">
      <w:pPr>
        <w:pStyle w:val="subsection"/>
        <w:spacing w:before="120" w:beforeAutospacing="0" w:after="120" w:afterAutospacing="0"/>
        <w:rPr>
          <w:rFonts w:ascii="Arial" w:hAnsi="Arial" w:cs="Arial"/>
          <w:sz w:val="20"/>
          <w:szCs w:val="20"/>
        </w:rPr>
      </w:pPr>
      <w:r w:rsidRPr="003624E0">
        <w:rPr>
          <w:rFonts w:ascii="Arial" w:hAnsi="Arial" w:cs="Arial"/>
          <w:sz w:val="20"/>
          <w:szCs w:val="20"/>
        </w:rPr>
        <w:t>It is unlawful for a person:</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in</w:t>
      </w:r>
      <w:proofErr w:type="gramEnd"/>
      <w:r w:rsidRPr="003624E0">
        <w:rPr>
          <w:rFonts w:ascii="Arial" w:hAnsi="Arial" w:cs="Arial"/>
          <w:sz w:val="20"/>
          <w:szCs w:val="20"/>
        </w:rPr>
        <w:t xml:space="preserve"> the course of performing any function, or exercising any power, under a Commonwealth law or for the purposes of a Commonwealth program; or</w:t>
      </w:r>
    </w:p>
    <w:p w:rsidR="00CC69B1" w:rsidRPr="003624E0" w:rsidRDefault="00CC69B1" w:rsidP="00FD507E">
      <w:pPr>
        <w:pStyle w:val="paragraph"/>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in</w:t>
      </w:r>
      <w:proofErr w:type="gramEnd"/>
      <w:r w:rsidRPr="003624E0">
        <w:rPr>
          <w:rFonts w:ascii="Arial" w:hAnsi="Arial" w:cs="Arial"/>
          <w:sz w:val="20"/>
          <w:szCs w:val="20"/>
        </w:rPr>
        <w:t xml:space="preserve"> the course of carrying out any other responsibility for the administration of a Commonwealth law or the conduct of a Commonwealth program;</w:t>
      </w:r>
    </w:p>
    <w:p w:rsidR="00CC69B1" w:rsidRPr="003624E0" w:rsidRDefault="00CC69B1" w:rsidP="006F70EA">
      <w:pPr>
        <w:pStyle w:val="subsection2"/>
        <w:spacing w:before="120" w:beforeAutospacing="0" w:after="240" w:afterAutospacing="0"/>
        <w:rPr>
          <w:rFonts w:ascii="Arial" w:hAnsi="Arial" w:cs="Arial"/>
          <w:sz w:val="20"/>
          <w:szCs w:val="20"/>
        </w:rPr>
      </w:pPr>
      <w:proofErr w:type="gramStart"/>
      <w:r w:rsidRPr="003624E0">
        <w:rPr>
          <w:rFonts w:ascii="Arial" w:hAnsi="Arial" w:cs="Arial"/>
          <w:sz w:val="20"/>
          <w:szCs w:val="20"/>
        </w:rPr>
        <w:t>to</w:t>
      </w:r>
      <w:proofErr w:type="gramEnd"/>
      <w:r w:rsidRPr="003624E0">
        <w:rPr>
          <w:rFonts w:ascii="Arial" w:hAnsi="Arial" w:cs="Arial"/>
          <w:sz w:val="20"/>
          <w:szCs w:val="20"/>
        </w:rPr>
        <w:t xml:space="preserve"> sexually harass another person.</w:t>
      </w:r>
    </w:p>
    <w:p w:rsidR="00CC69B1" w:rsidRPr="003624E0" w:rsidRDefault="00CC69B1" w:rsidP="006F70EA">
      <w:pPr>
        <w:pStyle w:val="subsection2"/>
        <w:spacing w:before="240" w:beforeAutospacing="0" w:after="120" w:afterAutospacing="0"/>
        <w:rPr>
          <w:rFonts w:ascii="Arial" w:hAnsi="Arial" w:cs="Arial"/>
          <w:b/>
          <w:sz w:val="22"/>
          <w:szCs w:val="20"/>
        </w:rPr>
      </w:pPr>
      <w:bookmarkStart w:id="84" w:name="_Toc345321091"/>
      <w:r w:rsidRPr="003624E0">
        <w:rPr>
          <w:rFonts w:ascii="Arial" w:hAnsi="Arial" w:cs="Arial"/>
          <w:b/>
          <w:sz w:val="22"/>
          <w:szCs w:val="20"/>
        </w:rPr>
        <w:t xml:space="preserve">94 </w:t>
      </w:r>
      <w:r w:rsidRPr="003624E0">
        <w:rPr>
          <w:rFonts w:ascii="Arial" w:hAnsi="Arial" w:cs="Arial"/>
          <w:b/>
          <w:sz w:val="22"/>
          <w:szCs w:val="20"/>
        </w:rPr>
        <w:tab/>
        <w:t>Victimisation</w:t>
      </w:r>
      <w:bookmarkEnd w:id="84"/>
    </w:p>
    <w:p w:rsidR="00CC69B1" w:rsidRPr="003624E0" w:rsidRDefault="00CC69B1" w:rsidP="00FD507E">
      <w:pPr>
        <w:pStyle w:val="subsection2"/>
        <w:spacing w:before="120" w:beforeAutospacing="0" w:after="120" w:afterAutospacing="0"/>
        <w:rPr>
          <w:rFonts w:ascii="Arial" w:hAnsi="Arial" w:cs="Arial"/>
          <w:sz w:val="20"/>
          <w:szCs w:val="20"/>
        </w:rPr>
      </w:pPr>
      <w:r w:rsidRPr="003624E0">
        <w:rPr>
          <w:rFonts w:ascii="Arial" w:hAnsi="Arial" w:cs="Arial"/>
          <w:sz w:val="20"/>
          <w:szCs w:val="20"/>
        </w:rPr>
        <w:t>(1) A person shall not commit an act of victimi</w:t>
      </w:r>
      <w:r w:rsidR="009070CF">
        <w:rPr>
          <w:rFonts w:ascii="Arial" w:hAnsi="Arial" w:cs="Arial"/>
          <w:sz w:val="20"/>
          <w:szCs w:val="20"/>
        </w:rPr>
        <w:t>s</w:t>
      </w:r>
      <w:r w:rsidRPr="003624E0">
        <w:rPr>
          <w:rFonts w:ascii="Arial" w:hAnsi="Arial" w:cs="Arial"/>
          <w:sz w:val="20"/>
          <w:szCs w:val="20"/>
        </w:rPr>
        <w:t>ation against another person.</w:t>
      </w:r>
    </w:p>
    <w:p w:rsidR="00CC69B1" w:rsidRPr="003624E0" w:rsidRDefault="00CC69B1" w:rsidP="00FD507E">
      <w:pPr>
        <w:pStyle w:val="subsection2"/>
        <w:spacing w:before="120" w:beforeAutospacing="0" w:after="120" w:afterAutospacing="0"/>
        <w:rPr>
          <w:rFonts w:ascii="Arial" w:hAnsi="Arial" w:cs="Arial"/>
          <w:sz w:val="20"/>
          <w:szCs w:val="20"/>
        </w:rPr>
      </w:pPr>
      <w:r w:rsidRPr="003624E0">
        <w:rPr>
          <w:rFonts w:ascii="Arial" w:hAnsi="Arial" w:cs="Arial"/>
          <w:sz w:val="20"/>
          <w:szCs w:val="20"/>
        </w:rPr>
        <w:t>Penalty:</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in</w:t>
      </w:r>
      <w:proofErr w:type="gramEnd"/>
      <w:r w:rsidRPr="003624E0">
        <w:rPr>
          <w:rFonts w:ascii="Arial" w:hAnsi="Arial" w:cs="Arial"/>
          <w:sz w:val="20"/>
          <w:szCs w:val="20"/>
        </w:rPr>
        <w:t xml:space="preserve"> the case of a natural person—25 penalty units or imprisonment for 3 months, or both; or</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in</w:t>
      </w:r>
      <w:proofErr w:type="gramEnd"/>
      <w:r w:rsidRPr="003624E0">
        <w:rPr>
          <w:rFonts w:ascii="Arial" w:hAnsi="Arial" w:cs="Arial"/>
          <w:sz w:val="20"/>
          <w:szCs w:val="20"/>
        </w:rPr>
        <w:t xml:space="preserve"> the case of a body corporate—100 penalty units.</w:t>
      </w:r>
    </w:p>
    <w:p w:rsidR="00CC69B1" w:rsidRPr="003624E0" w:rsidRDefault="00CC69B1" w:rsidP="00FD507E">
      <w:pPr>
        <w:pStyle w:val="subsection2"/>
        <w:spacing w:before="120" w:beforeAutospacing="0" w:after="120" w:afterAutospacing="0"/>
        <w:rPr>
          <w:rFonts w:ascii="Arial" w:hAnsi="Arial" w:cs="Arial"/>
          <w:sz w:val="20"/>
          <w:szCs w:val="20"/>
        </w:rPr>
      </w:pPr>
      <w:r w:rsidRPr="003624E0">
        <w:rPr>
          <w:rFonts w:ascii="Arial" w:hAnsi="Arial" w:cs="Arial"/>
          <w:sz w:val="20"/>
          <w:szCs w:val="20"/>
        </w:rPr>
        <w:t>(2) For the purposes of subsection (1), a person shall be taken to commit an act of victimization against another person if the first</w:t>
      </w:r>
      <w:r w:rsidRPr="003624E0">
        <w:rPr>
          <w:rFonts w:ascii="Arial" w:hAnsi="Arial" w:cs="Arial"/>
          <w:sz w:val="20"/>
          <w:szCs w:val="20"/>
        </w:rPr>
        <w:noBreakHyphen/>
        <w:t>mentioned person subjects, or threatens to subject, the other person to any detriment on the ground that the other person:</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(a) </w:t>
      </w:r>
      <w:proofErr w:type="gramStart"/>
      <w:r w:rsidRPr="003624E0">
        <w:rPr>
          <w:rFonts w:ascii="Arial" w:hAnsi="Arial" w:cs="Arial"/>
          <w:sz w:val="20"/>
          <w:szCs w:val="20"/>
        </w:rPr>
        <w:t>has</w:t>
      </w:r>
      <w:proofErr w:type="gramEnd"/>
      <w:r w:rsidRPr="003624E0">
        <w:rPr>
          <w:rFonts w:ascii="Arial" w:hAnsi="Arial" w:cs="Arial"/>
          <w:sz w:val="20"/>
          <w:szCs w:val="20"/>
        </w:rPr>
        <w:t xml:space="preserve"> made, or proposes to make, a complaint under this Act or the </w:t>
      </w:r>
      <w:r w:rsidRPr="003624E0">
        <w:rPr>
          <w:rFonts w:ascii="Arial" w:hAnsi="Arial" w:cs="Arial"/>
          <w:i/>
          <w:iCs/>
          <w:sz w:val="20"/>
          <w:szCs w:val="20"/>
        </w:rPr>
        <w:t>Australian Human Rights Commission Act 1986</w:t>
      </w:r>
      <w:r w:rsidRPr="003624E0">
        <w:rPr>
          <w:rFonts w:ascii="Arial" w:hAnsi="Arial" w:cs="Arial"/>
          <w:sz w:val="20"/>
          <w:szCs w:val="20"/>
        </w:rPr>
        <w:t>; or</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(b) </w:t>
      </w:r>
      <w:proofErr w:type="gramStart"/>
      <w:r w:rsidRPr="003624E0">
        <w:rPr>
          <w:rFonts w:ascii="Arial" w:hAnsi="Arial" w:cs="Arial"/>
          <w:sz w:val="20"/>
          <w:szCs w:val="20"/>
        </w:rPr>
        <w:t>has</w:t>
      </w:r>
      <w:proofErr w:type="gramEnd"/>
      <w:r w:rsidRPr="003624E0">
        <w:rPr>
          <w:rFonts w:ascii="Arial" w:hAnsi="Arial" w:cs="Arial"/>
          <w:sz w:val="20"/>
          <w:szCs w:val="20"/>
        </w:rPr>
        <w:t xml:space="preserve"> brought, or proposes to bring, proceedings under this Act or the </w:t>
      </w:r>
      <w:r w:rsidRPr="003624E0">
        <w:rPr>
          <w:rFonts w:ascii="Arial" w:hAnsi="Arial" w:cs="Arial"/>
          <w:i/>
          <w:iCs/>
          <w:sz w:val="20"/>
          <w:szCs w:val="20"/>
        </w:rPr>
        <w:t>Australian Human Rights Commission Act 1986</w:t>
      </w:r>
      <w:r w:rsidRPr="003624E0">
        <w:rPr>
          <w:rFonts w:ascii="Arial" w:hAnsi="Arial" w:cs="Arial"/>
          <w:sz w:val="20"/>
          <w:szCs w:val="20"/>
        </w:rPr>
        <w:t xml:space="preserve"> against any person; or</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(c) has furnished, or proposes to furnish, any information, or has produced, or proposes to produce, any documents to a person exercising or performing any power or function under this Act or the </w:t>
      </w:r>
      <w:r w:rsidRPr="003624E0">
        <w:rPr>
          <w:rFonts w:ascii="Arial" w:hAnsi="Arial" w:cs="Arial"/>
          <w:i/>
          <w:iCs/>
          <w:sz w:val="20"/>
          <w:szCs w:val="20"/>
        </w:rPr>
        <w:t>Australian Human Rights Commission Act 1986</w:t>
      </w:r>
      <w:r w:rsidRPr="003624E0">
        <w:rPr>
          <w:rFonts w:ascii="Arial" w:hAnsi="Arial" w:cs="Arial"/>
          <w:sz w:val="20"/>
          <w:szCs w:val="20"/>
        </w:rPr>
        <w:t>; or</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(d) </w:t>
      </w:r>
      <w:proofErr w:type="gramStart"/>
      <w:r w:rsidRPr="003624E0">
        <w:rPr>
          <w:rFonts w:ascii="Arial" w:hAnsi="Arial" w:cs="Arial"/>
          <w:sz w:val="20"/>
          <w:szCs w:val="20"/>
        </w:rPr>
        <w:t>has</w:t>
      </w:r>
      <w:proofErr w:type="gramEnd"/>
      <w:r w:rsidRPr="003624E0">
        <w:rPr>
          <w:rFonts w:ascii="Arial" w:hAnsi="Arial" w:cs="Arial"/>
          <w:sz w:val="20"/>
          <w:szCs w:val="20"/>
        </w:rPr>
        <w:t xml:space="preserve"> attended, or proposes to attend, a conference held under this Act or the </w:t>
      </w:r>
      <w:r w:rsidRPr="003624E0">
        <w:rPr>
          <w:rFonts w:ascii="Arial" w:hAnsi="Arial" w:cs="Arial"/>
          <w:i/>
          <w:iCs/>
          <w:sz w:val="20"/>
          <w:szCs w:val="20"/>
        </w:rPr>
        <w:t>Australian Human Rights Commission Act 1986</w:t>
      </w:r>
      <w:r w:rsidRPr="003624E0">
        <w:rPr>
          <w:rFonts w:ascii="Arial" w:hAnsi="Arial" w:cs="Arial"/>
          <w:sz w:val="20"/>
          <w:szCs w:val="20"/>
        </w:rPr>
        <w:t>; or</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(e) </w:t>
      </w:r>
      <w:proofErr w:type="gramStart"/>
      <w:r w:rsidRPr="003624E0">
        <w:rPr>
          <w:rFonts w:ascii="Arial" w:hAnsi="Arial" w:cs="Arial"/>
          <w:sz w:val="20"/>
          <w:szCs w:val="20"/>
        </w:rPr>
        <w:t>has</w:t>
      </w:r>
      <w:proofErr w:type="gramEnd"/>
      <w:r w:rsidRPr="003624E0">
        <w:rPr>
          <w:rFonts w:ascii="Arial" w:hAnsi="Arial" w:cs="Arial"/>
          <w:sz w:val="20"/>
          <w:szCs w:val="20"/>
        </w:rPr>
        <w:t xml:space="preserve"> appeared, or proposes to appear, as a witness in a proceeding under this Act or the </w:t>
      </w:r>
      <w:r w:rsidRPr="003624E0">
        <w:rPr>
          <w:rFonts w:ascii="Arial" w:hAnsi="Arial" w:cs="Arial"/>
          <w:i/>
          <w:iCs/>
          <w:sz w:val="20"/>
          <w:szCs w:val="20"/>
        </w:rPr>
        <w:t>Australian Human Rights Commission Act 1986</w:t>
      </w:r>
      <w:r w:rsidRPr="003624E0">
        <w:rPr>
          <w:rFonts w:ascii="Arial" w:hAnsi="Arial" w:cs="Arial"/>
          <w:sz w:val="20"/>
          <w:szCs w:val="20"/>
        </w:rPr>
        <w:t>; or</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(f) has reasonably asserted, or proposes to assert, any rights of the person or the rights of any other person under this Act or the </w:t>
      </w:r>
      <w:r w:rsidRPr="003624E0">
        <w:rPr>
          <w:rFonts w:ascii="Arial" w:hAnsi="Arial" w:cs="Arial"/>
          <w:i/>
          <w:iCs/>
          <w:sz w:val="20"/>
          <w:szCs w:val="20"/>
        </w:rPr>
        <w:t>Australian Human Rights Commission Act 1986</w:t>
      </w:r>
      <w:r w:rsidRPr="003624E0">
        <w:rPr>
          <w:rFonts w:ascii="Arial" w:hAnsi="Arial" w:cs="Arial"/>
          <w:sz w:val="20"/>
          <w:szCs w:val="20"/>
        </w:rPr>
        <w:t>; or</w:t>
      </w:r>
    </w:p>
    <w:p w:rsidR="00CC69B1" w:rsidRPr="003624E0" w:rsidRDefault="00CC69B1" w:rsidP="00FD507E">
      <w:pPr>
        <w:pStyle w:val="subsection2"/>
        <w:spacing w:before="120" w:beforeAutospacing="0" w:after="120" w:afterAutospacing="0"/>
        <w:ind w:left="720"/>
        <w:rPr>
          <w:rFonts w:ascii="Arial" w:hAnsi="Arial" w:cs="Arial"/>
          <w:sz w:val="20"/>
          <w:szCs w:val="20"/>
        </w:rPr>
      </w:pPr>
      <w:r w:rsidRPr="003624E0">
        <w:rPr>
          <w:rFonts w:ascii="Arial" w:hAnsi="Arial" w:cs="Arial"/>
          <w:sz w:val="20"/>
          <w:szCs w:val="20"/>
        </w:rPr>
        <w:t xml:space="preserve">(g) </w:t>
      </w:r>
      <w:proofErr w:type="gramStart"/>
      <w:r w:rsidRPr="003624E0">
        <w:rPr>
          <w:rFonts w:ascii="Arial" w:hAnsi="Arial" w:cs="Arial"/>
          <w:sz w:val="20"/>
          <w:szCs w:val="20"/>
        </w:rPr>
        <w:t>has</w:t>
      </w:r>
      <w:proofErr w:type="gramEnd"/>
      <w:r w:rsidRPr="003624E0">
        <w:rPr>
          <w:rFonts w:ascii="Arial" w:hAnsi="Arial" w:cs="Arial"/>
          <w:sz w:val="20"/>
          <w:szCs w:val="20"/>
        </w:rPr>
        <w:t xml:space="preserve"> made an allegation that a person has done an act that is unlawful by reason of a provision of Part II;</w:t>
      </w:r>
    </w:p>
    <w:p w:rsidR="00CC69B1" w:rsidRPr="003624E0" w:rsidRDefault="00CC69B1" w:rsidP="00FD507E">
      <w:pPr>
        <w:pStyle w:val="subsection2"/>
        <w:spacing w:before="120" w:beforeAutospacing="0" w:after="120" w:afterAutospacing="0"/>
        <w:rPr>
          <w:rFonts w:ascii="Arial" w:hAnsi="Arial" w:cs="Arial"/>
          <w:sz w:val="20"/>
          <w:szCs w:val="20"/>
        </w:rPr>
      </w:pPr>
      <w:proofErr w:type="gramStart"/>
      <w:r w:rsidRPr="003624E0">
        <w:rPr>
          <w:rFonts w:ascii="Arial" w:hAnsi="Arial" w:cs="Arial"/>
          <w:sz w:val="20"/>
          <w:szCs w:val="20"/>
        </w:rPr>
        <w:t>or</w:t>
      </w:r>
      <w:proofErr w:type="gramEnd"/>
      <w:r w:rsidRPr="003624E0">
        <w:rPr>
          <w:rFonts w:ascii="Arial" w:hAnsi="Arial" w:cs="Arial"/>
          <w:sz w:val="20"/>
          <w:szCs w:val="20"/>
        </w:rPr>
        <w:t xml:space="preserve"> on the ground that the first</w:t>
      </w:r>
      <w:r w:rsidRPr="003624E0">
        <w:rPr>
          <w:rFonts w:ascii="Arial" w:hAnsi="Arial" w:cs="Arial"/>
          <w:sz w:val="20"/>
          <w:szCs w:val="20"/>
        </w:rPr>
        <w:noBreakHyphen/>
        <w:t>mentioned person believes that the other person has done, or proposes to do, an act or thing referred to in any of paragraphs (a) to (g), inclusive.</w:t>
      </w:r>
    </w:p>
    <w:p w:rsidR="00CC69B1" w:rsidRPr="003624E0" w:rsidRDefault="00CC69B1" w:rsidP="006F70EA">
      <w:pPr>
        <w:pStyle w:val="subsection2"/>
        <w:spacing w:before="120" w:beforeAutospacing="0" w:after="240" w:afterAutospacing="0"/>
        <w:rPr>
          <w:rFonts w:ascii="Arial" w:hAnsi="Arial" w:cs="Arial"/>
          <w:sz w:val="20"/>
          <w:szCs w:val="20"/>
        </w:rPr>
      </w:pPr>
      <w:r w:rsidRPr="003624E0">
        <w:rPr>
          <w:rFonts w:ascii="Arial" w:hAnsi="Arial" w:cs="Arial"/>
          <w:sz w:val="20"/>
          <w:szCs w:val="20"/>
        </w:rPr>
        <w:t>(3) It is a defence to a prosecution for an offence under subsection (1) constituted by subjecting, or threatening to subject, a person to a detriment on the ground that the person has made an allegation that another person had done an act that was unlawful by reason of a provision of Part II if it is proved that the allegation was false and was not made in good faith.</w:t>
      </w:r>
    </w:p>
    <w:p w:rsidR="00CC69B1" w:rsidRPr="003624E0" w:rsidRDefault="00CC69B1" w:rsidP="006F70EA">
      <w:pPr>
        <w:spacing w:after="120"/>
        <w:rPr>
          <w:rFonts w:cs="Arial"/>
          <w:b/>
          <w:sz w:val="22"/>
          <w:szCs w:val="20"/>
        </w:rPr>
      </w:pPr>
      <w:bookmarkStart w:id="85" w:name="_Toc345321104"/>
      <w:r w:rsidRPr="003624E0">
        <w:rPr>
          <w:rFonts w:cs="Arial"/>
          <w:b/>
          <w:sz w:val="22"/>
          <w:szCs w:val="20"/>
        </w:rPr>
        <w:t xml:space="preserve">105 </w:t>
      </w:r>
      <w:r w:rsidRPr="003624E0">
        <w:rPr>
          <w:rFonts w:cs="Arial"/>
          <w:b/>
          <w:sz w:val="22"/>
          <w:szCs w:val="20"/>
        </w:rPr>
        <w:tab/>
        <w:t>Liability of persons involved in unlawful acts</w:t>
      </w:r>
      <w:bookmarkEnd w:id="85"/>
    </w:p>
    <w:p w:rsidR="00CC69B1" w:rsidRPr="003624E0" w:rsidRDefault="00CC69B1" w:rsidP="006F70EA">
      <w:pPr>
        <w:spacing w:before="120"/>
        <w:rPr>
          <w:rFonts w:cs="Arial"/>
          <w:sz w:val="20"/>
          <w:szCs w:val="20"/>
        </w:rPr>
      </w:pPr>
      <w:r w:rsidRPr="003624E0">
        <w:rPr>
          <w:rFonts w:cs="Arial"/>
          <w:sz w:val="20"/>
          <w:szCs w:val="20"/>
        </w:rPr>
        <w:t xml:space="preserve">A </w:t>
      </w:r>
      <w:proofErr w:type="gramStart"/>
      <w:r w:rsidRPr="003624E0">
        <w:rPr>
          <w:rFonts w:cs="Arial"/>
          <w:sz w:val="20"/>
          <w:szCs w:val="20"/>
        </w:rPr>
        <w:t>person</w:t>
      </w:r>
      <w:proofErr w:type="gramEnd"/>
      <w:r w:rsidRPr="003624E0">
        <w:rPr>
          <w:rFonts w:cs="Arial"/>
          <w:sz w:val="20"/>
          <w:szCs w:val="20"/>
        </w:rPr>
        <w:t xml:space="preserve"> who causes, instructs, induces, aids or permits another person to do an act that is unlawful under Division 1 or 2 of Part II shall, for the purposes of this Act, be taken also to have done the act.</w:t>
      </w:r>
    </w:p>
    <w:p w:rsidR="00CC69B1" w:rsidRPr="003624E0" w:rsidRDefault="00CC69B1" w:rsidP="006F70EA">
      <w:pPr>
        <w:spacing w:after="120"/>
        <w:rPr>
          <w:rFonts w:cs="Arial"/>
          <w:b/>
          <w:sz w:val="22"/>
          <w:szCs w:val="20"/>
        </w:rPr>
      </w:pPr>
      <w:bookmarkStart w:id="86" w:name="_Toc345321105"/>
      <w:r w:rsidRPr="003624E0">
        <w:rPr>
          <w:rFonts w:cs="Arial"/>
          <w:b/>
          <w:sz w:val="22"/>
          <w:szCs w:val="20"/>
        </w:rPr>
        <w:t xml:space="preserve">106 </w:t>
      </w:r>
      <w:r w:rsidRPr="003624E0">
        <w:rPr>
          <w:rFonts w:cs="Arial"/>
          <w:b/>
          <w:sz w:val="22"/>
          <w:szCs w:val="20"/>
        </w:rPr>
        <w:tab/>
        <w:t>Vicarious liability etc.</w:t>
      </w:r>
      <w:bookmarkEnd w:id="86"/>
    </w:p>
    <w:p w:rsidR="00CC69B1" w:rsidRPr="003624E0" w:rsidRDefault="00CC69B1" w:rsidP="00FD507E">
      <w:pPr>
        <w:spacing w:before="120" w:after="120"/>
        <w:rPr>
          <w:rFonts w:cs="Arial"/>
          <w:sz w:val="20"/>
          <w:szCs w:val="20"/>
        </w:rPr>
      </w:pPr>
      <w:r w:rsidRPr="003624E0">
        <w:rPr>
          <w:rFonts w:cs="Arial"/>
          <w:sz w:val="20"/>
          <w:szCs w:val="20"/>
        </w:rPr>
        <w:t>(1) Subject to subsection (2), where an employee or agent of a person does, in connection with the employment of the employee or with the duties of the agent as an agent:</w:t>
      </w:r>
    </w:p>
    <w:p w:rsidR="00CC69B1" w:rsidRPr="003624E0" w:rsidRDefault="00CC69B1" w:rsidP="00FD507E">
      <w:pPr>
        <w:spacing w:before="120" w:after="120"/>
        <w:ind w:left="720"/>
        <w:rPr>
          <w:rFonts w:cs="Arial"/>
          <w:sz w:val="20"/>
          <w:szCs w:val="20"/>
        </w:rPr>
      </w:pPr>
      <w:r w:rsidRPr="003624E0">
        <w:rPr>
          <w:rFonts w:cs="Arial"/>
          <w:sz w:val="20"/>
          <w:szCs w:val="20"/>
        </w:rPr>
        <w:t>(a) an act that would, if it were done by the person, be unlawful under Division 1 or 2 of Part II (whether or not the act done by the employee or agent is unlawful under Divis</w:t>
      </w:r>
      <w:r w:rsidR="00F713F4">
        <w:rPr>
          <w:rFonts w:cs="Arial"/>
          <w:sz w:val="20"/>
          <w:szCs w:val="20"/>
        </w:rPr>
        <w:t>i</w:t>
      </w:r>
      <w:r w:rsidRPr="003624E0">
        <w:rPr>
          <w:rFonts w:cs="Arial"/>
          <w:sz w:val="20"/>
          <w:szCs w:val="20"/>
        </w:rPr>
        <w:t>on 1 or 2 of Part II); or</w:t>
      </w:r>
    </w:p>
    <w:p w:rsidR="00CC69B1" w:rsidRPr="003624E0" w:rsidRDefault="00CC69B1" w:rsidP="00FD507E">
      <w:pPr>
        <w:spacing w:before="120" w:after="120"/>
        <w:ind w:left="720"/>
        <w:rPr>
          <w:rFonts w:cs="Arial"/>
          <w:sz w:val="20"/>
          <w:szCs w:val="20"/>
        </w:rPr>
      </w:pPr>
      <w:r w:rsidRPr="003624E0">
        <w:rPr>
          <w:rFonts w:cs="Arial"/>
          <w:sz w:val="20"/>
          <w:szCs w:val="20"/>
        </w:rPr>
        <w:t xml:space="preserve">(b) </w:t>
      </w:r>
      <w:proofErr w:type="gramStart"/>
      <w:r w:rsidRPr="003624E0">
        <w:rPr>
          <w:rFonts w:cs="Arial"/>
          <w:sz w:val="20"/>
          <w:szCs w:val="20"/>
        </w:rPr>
        <w:t>an</w:t>
      </w:r>
      <w:proofErr w:type="gramEnd"/>
      <w:r w:rsidRPr="003624E0">
        <w:rPr>
          <w:rFonts w:cs="Arial"/>
          <w:sz w:val="20"/>
          <w:szCs w:val="20"/>
        </w:rPr>
        <w:t xml:space="preserve"> act that is unlawful under Division 3 of Part II;</w:t>
      </w:r>
    </w:p>
    <w:p w:rsidR="00CC69B1" w:rsidRPr="003624E0" w:rsidRDefault="00CC69B1" w:rsidP="00FD507E">
      <w:pPr>
        <w:spacing w:before="120" w:after="120"/>
        <w:rPr>
          <w:rFonts w:cs="Arial"/>
          <w:sz w:val="20"/>
          <w:szCs w:val="20"/>
        </w:rPr>
      </w:pPr>
      <w:proofErr w:type="gramStart"/>
      <w:r w:rsidRPr="003624E0">
        <w:rPr>
          <w:rFonts w:cs="Arial"/>
          <w:sz w:val="20"/>
          <w:szCs w:val="20"/>
        </w:rPr>
        <w:t>this</w:t>
      </w:r>
      <w:proofErr w:type="gramEnd"/>
      <w:r w:rsidRPr="003624E0">
        <w:rPr>
          <w:rFonts w:cs="Arial"/>
          <w:sz w:val="20"/>
          <w:szCs w:val="20"/>
        </w:rPr>
        <w:t xml:space="preserve"> Act applies in relation to that person as if that person had also done the act.</w:t>
      </w:r>
    </w:p>
    <w:p w:rsidR="00B319CA" w:rsidRPr="003624E0" w:rsidRDefault="00CC69B1" w:rsidP="00FD507E">
      <w:pPr>
        <w:spacing w:before="120" w:after="120"/>
        <w:rPr>
          <w:rFonts w:cs="Arial"/>
          <w:sz w:val="20"/>
          <w:szCs w:val="20"/>
        </w:rPr>
      </w:pPr>
      <w:r w:rsidRPr="003624E0">
        <w:rPr>
          <w:rFonts w:cs="Arial"/>
          <w:sz w:val="20"/>
          <w:szCs w:val="20"/>
        </w:rPr>
        <w:t>(2) Subsection (1) does not apply in relation to an act of a kind referred to in paragraph (1)(a) or (b) done by an employee or agent of a person if it is established that the person took all reasonable steps to prevent the employee or agent from doing acts of the kind</w:t>
      </w:r>
      <w:r w:rsidR="00FD507E" w:rsidRPr="003624E0">
        <w:rPr>
          <w:rFonts w:cs="Arial"/>
          <w:sz w:val="20"/>
          <w:szCs w:val="20"/>
        </w:rPr>
        <w:t xml:space="preserve"> referred to in that paragraph.</w:t>
      </w:r>
    </w:p>
    <w:p w:rsidR="00A96150" w:rsidRPr="00A95DB8" w:rsidRDefault="00B319CA" w:rsidP="00A95DB8">
      <w:pPr>
        <w:pStyle w:val="Heading1"/>
        <w:numPr>
          <w:ilvl w:val="0"/>
          <w:numId w:val="0"/>
        </w:numPr>
        <w:rPr>
          <w:b w:val="0"/>
        </w:rPr>
      </w:pPr>
      <w:r w:rsidRPr="003624E0">
        <w:br w:type="page"/>
      </w:r>
      <w:bookmarkStart w:id="87" w:name="_Toc388023540"/>
      <w:r w:rsidR="00A96150" w:rsidRPr="003B2B48">
        <w:t>Appen</w:t>
      </w:r>
      <w:r w:rsidR="00A96150" w:rsidRPr="00F7332F">
        <w:t>dix 4:</w:t>
      </w:r>
      <w:r w:rsidR="00A96150" w:rsidRPr="00A95DB8">
        <w:t xml:space="preserve"> </w:t>
      </w:r>
      <w:bookmarkStart w:id="88" w:name="_Toc387328420"/>
      <w:r w:rsidR="00A96150" w:rsidRPr="00A95DB8">
        <w:t>Good Practice Guidelines for Internal Complaint Processes</w:t>
      </w:r>
      <w:bookmarkEnd w:id="88"/>
      <w:bookmarkEnd w:id="87"/>
    </w:p>
    <w:p w:rsidR="000619E5" w:rsidRPr="005564F9" w:rsidRDefault="000619E5" w:rsidP="000619E5">
      <w:pPr>
        <w:pStyle w:val="Heading1"/>
        <w:numPr>
          <w:ilvl w:val="0"/>
          <w:numId w:val="0"/>
        </w:numPr>
        <w:spacing w:before="0" w:after="0"/>
        <w:ind w:left="851" w:hanging="851"/>
      </w:pPr>
      <w:bookmarkStart w:id="89" w:name="_Toc388023541"/>
      <w:bookmarkStart w:id="90" w:name="_Toc387328421"/>
      <w:r w:rsidRPr="005564F9">
        <w:t xml:space="preserve">Why </w:t>
      </w:r>
      <w:proofErr w:type="gramStart"/>
      <w:r w:rsidRPr="005564F9">
        <w:t>have an internal complaint process</w:t>
      </w:r>
      <w:proofErr w:type="gramEnd"/>
      <w:r w:rsidRPr="005564F9">
        <w:t>?</w:t>
      </w:r>
      <w:bookmarkEnd w:id="89"/>
    </w:p>
    <w:p w:rsidR="000619E5" w:rsidRPr="002839AE" w:rsidRDefault="000619E5" w:rsidP="000619E5">
      <w:r w:rsidRPr="002839AE">
        <w:t>Addressing employee complaints about discrimination and harassment quickly and fairly is good for business because it can:</w:t>
      </w:r>
    </w:p>
    <w:p w:rsidR="000619E5" w:rsidRDefault="000619E5" w:rsidP="000619E5">
      <w:pPr>
        <w:pStyle w:val="ListParagraph"/>
        <w:numPr>
          <w:ilvl w:val="0"/>
          <w:numId w:val="51"/>
        </w:numPr>
      </w:pPr>
      <w:r w:rsidRPr="002839AE">
        <w:t>identify ways to improve workplace practices</w:t>
      </w:r>
      <w:r>
        <w:t xml:space="preserve"> and policies</w:t>
      </w:r>
    </w:p>
    <w:p w:rsidR="000619E5" w:rsidRPr="002839AE" w:rsidRDefault="000619E5" w:rsidP="000619E5">
      <w:pPr>
        <w:pStyle w:val="ListParagraph"/>
        <w:numPr>
          <w:ilvl w:val="0"/>
          <w:numId w:val="51"/>
        </w:numPr>
      </w:pPr>
      <w:r w:rsidRPr="002839AE">
        <w:t>improve staff morale, productivity and retention</w:t>
      </w:r>
    </w:p>
    <w:p w:rsidR="000619E5" w:rsidRPr="002839AE" w:rsidRDefault="000619E5" w:rsidP="000619E5">
      <w:pPr>
        <w:pStyle w:val="ListParagraph"/>
        <w:numPr>
          <w:ilvl w:val="0"/>
          <w:numId w:val="51"/>
        </w:numPr>
      </w:pPr>
      <w:proofErr w:type="gramStart"/>
      <w:r w:rsidRPr="002839AE">
        <w:t>help</w:t>
      </w:r>
      <w:proofErr w:type="gramEnd"/>
      <w:r w:rsidRPr="002839AE">
        <w:t xml:space="preserve"> avoid complaints to external agencies and/or legal action.</w:t>
      </w:r>
    </w:p>
    <w:p w:rsidR="000619E5" w:rsidRDefault="000619E5" w:rsidP="000619E5">
      <w:r>
        <w:t>Under</w:t>
      </w:r>
      <w:r w:rsidRPr="002839AE">
        <w:t xml:space="preserve"> federal anti-discrimination laws, </w:t>
      </w:r>
      <w:r>
        <w:t xml:space="preserve">if an employer wants to </w:t>
      </w:r>
      <w:r w:rsidRPr="002839AE">
        <w:t>argu</w:t>
      </w:r>
      <w:r>
        <w:t xml:space="preserve">e that the organisation </w:t>
      </w:r>
      <w:r w:rsidRPr="002839AE">
        <w:t xml:space="preserve">should not be held liable for </w:t>
      </w:r>
      <w:r>
        <w:t xml:space="preserve">any </w:t>
      </w:r>
      <w:r w:rsidRPr="002839AE">
        <w:t xml:space="preserve">discrimination </w:t>
      </w:r>
      <w:r>
        <w:t xml:space="preserve">or harassment by one of its </w:t>
      </w:r>
      <w:r w:rsidRPr="002839AE">
        <w:t>employee</w:t>
      </w:r>
      <w:r>
        <w:t>s</w:t>
      </w:r>
      <w:r w:rsidRPr="002839AE">
        <w:t xml:space="preserve">, </w:t>
      </w:r>
      <w:r>
        <w:t xml:space="preserve">the employer will need to </w:t>
      </w:r>
      <w:r w:rsidRPr="002839AE">
        <w:t xml:space="preserve">demonstrate </w:t>
      </w:r>
      <w:r>
        <w:t xml:space="preserve">that the organisation </w:t>
      </w:r>
      <w:r w:rsidRPr="002839AE">
        <w:t>took ‘reasonable precautions and exercised due diligence’</w:t>
      </w:r>
      <w:r w:rsidRPr="00277D7A">
        <w:rPr>
          <w:vertAlign w:val="superscript"/>
        </w:rPr>
        <w:footnoteReference w:id="1"/>
      </w:r>
      <w:r w:rsidRPr="002839AE">
        <w:t xml:space="preserve"> or took ‘all reasonable steps’</w:t>
      </w:r>
      <w:r w:rsidRPr="00277D7A">
        <w:rPr>
          <w:vertAlign w:val="superscript"/>
        </w:rPr>
        <w:footnoteReference w:id="2"/>
      </w:r>
      <w:r w:rsidRPr="00277D7A">
        <w:rPr>
          <w:vertAlign w:val="superscript"/>
        </w:rPr>
        <w:t xml:space="preserve"> </w:t>
      </w:r>
      <w:r>
        <w:t xml:space="preserve">to prevent the discrimination or harassment. While the size of the employer is relevant to these considerations, an important factor that is likely to be considered is whether the organisation has </w:t>
      </w:r>
      <w:r w:rsidRPr="002839AE">
        <w:t xml:space="preserve">an effective </w:t>
      </w:r>
      <w:r>
        <w:t>complaint handling procedure.</w:t>
      </w:r>
      <w:r w:rsidRPr="00277D7A">
        <w:rPr>
          <w:vertAlign w:val="superscript"/>
        </w:rPr>
        <w:footnoteReference w:id="3"/>
      </w:r>
    </w:p>
    <w:p w:rsidR="000619E5" w:rsidRDefault="000619E5" w:rsidP="000619E5">
      <w:pPr>
        <w:spacing w:before="0" w:after="0"/>
      </w:pPr>
      <w:r>
        <w:t>Employers</w:t>
      </w:r>
      <w:r w:rsidRPr="002839AE">
        <w:t xml:space="preserve"> can establish a specific procedure for discrimination and harassment complaints or use the procedure already in place for other types of complaints. </w:t>
      </w:r>
      <w:r>
        <w:t>H</w:t>
      </w:r>
      <w:r w:rsidRPr="002839AE">
        <w:t>owever</w:t>
      </w:r>
      <w:r>
        <w:t xml:space="preserve">, it is important to note that </w:t>
      </w:r>
      <w:r w:rsidRPr="002839AE">
        <w:t>discrimination and harassment complaints can be complex, sensitive and may potentially involve external a</w:t>
      </w:r>
      <w:r>
        <w:t xml:space="preserve">gencies, such as the Commission. </w:t>
      </w:r>
      <w:r w:rsidRPr="002839AE">
        <w:t>Therefore</w:t>
      </w:r>
      <w:r>
        <w:t>,</w:t>
      </w:r>
      <w:r w:rsidRPr="002839AE">
        <w:t xml:space="preserve"> it is </w:t>
      </w:r>
      <w:r>
        <w:t>vital</w:t>
      </w:r>
      <w:r w:rsidRPr="002839AE">
        <w:t xml:space="preserve"> that </w:t>
      </w:r>
      <w:r>
        <w:t>those</w:t>
      </w:r>
      <w:r w:rsidRPr="002839AE">
        <w:t xml:space="preserve"> </w:t>
      </w:r>
      <w:r>
        <w:t xml:space="preserve">responsible for </w:t>
      </w:r>
      <w:r w:rsidRPr="002839AE">
        <w:t xml:space="preserve">dealing with </w:t>
      </w:r>
      <w:r>
        <w:t xml:space="preserve">internal </w:t>
      </w:r>
      <w:r w:rsidRPr="002839AE">
        <w:t xml:space="preserve">complaints have </w:t>
      </w:r>
      <w:r>
        <w:t xml:space="preserve">the </w:t>
      </w:r>
      <w:r w:rsidRPr="002839AE">
        <w:t xml:space="preserve">appropriate expertise </w:t>
      </w:r>
      <w:r>
        <w:t>and receive relevant</w:t>
      </w:r>
      <w:r w:rsidRPr="002839AE">
        <w:t xml:space="preserve"> training. </w:t>
      </w:r>
    </w:p>
    <w:p w:rsidR="000619E5" w:rsidRPr="0015551B" w:rsidRDefault="000619E5" w:rsidP="000619E5">
      <w:pPr>
        <w:pStyle w:val="Heading1"/>
        <w:numPr>
          <w:ilvl w:val="0"/>
          <w:numId w:val="0"/>
        </w:numPr>
        <w:spacing w:before="0" w:after="0"/>
        <w:ind w:left="851" w:hanging="851"/>
        <w:rPr>
          <w:sz w:val="24"/>
          <w:szCs w:val="24"/>
        </w:rPr>
      </w:pPr>
    </w:p>
    <w:p w:rsidR="000619E5" w:rsidRPr="005564F9" w:rsidRDefault="000619E5" w:rsidP="000619E5">
      <w:pPr>
        <w:pStyle w:val="Heading1"/>
        <w:numPr>
          <w:ilvl w:val="0"/>
          <w:numId w:val="0"/>
        </w:numPr>
        <w:spacing w:before="0" w:after="0"/>
        <w:ind w:left="851" w:hanging="851"/>
      </w:pPr>
      <w:bookmarkStart w:id="91" w:name="_Toc388023542"/>
      <w:r w:rsidRPr="005564F9">
        <w:t xml:space="preserve">Characteristics of a good </w:t>
      </w:r>
      <w:r>
        <w:t xml:space="preserve">internal </w:t>
      </w:r>
      <w:r w:rsidRPr="005564F9">
        <w:t>complaint process</w:t>
      </w:r>
      <w:bookmarkEnd w:id="91"/>
    </w:p>
    <w:p w:rsidR="000619E5" w:rsidRPr="002839AE" w:rsidRDefault="000619E5" w:rsidP="000619E5">
      <w:r>
        <w:t>A good complaint process will be:</w:t>
      </w:r>
    </w:p>
    <w:p w:rsidR="000619E5" w:rsidRDefault="000619E5" w:rsidP="000619E5">
      <w:pPr>
        <w:pStyle w:val="ListParagraph"/>
        <w:numPr>
          <w:ilvl w:val="0"/>
          <w:numId w:val="60"/>
        </w:numPr>
        <w:ind w:right="-144"/>
        <w:contextualSpacing w:val="0"/>
      </w:pPr>
      <w:r w:rsidRPr="00452440">
        <w:rPr>
          <w:b/>
        </w:rPr>
        <w:t xml:space="preserve">Fair </w:t>
      </w:r>
      <w:r>
        <w:t xml:space="preserve">– This means that both the person complaining (the complainant) and the person being complained about (the respondent) should have the opportunity to present their version of events, provide supporting information and respond to any potential negative decisions. In addition, the person investigating and/or making decisions about the complaint should be impartial; that is, he or she should not favour the complainant or the respondent or prejudge the complaint in any way. </w:t>
      </w:r>
    </w:p>
    <w:p w:rsidR="000619E5" w:rsidRDefault="000619E5" w:rsidP="000619E5">
      <w:pPr>
        <w:pStyle w:val="ListParagraph"/>
        <w:numPr>
          <w:ilvl w:val="0"/>
          <w:numId w:val="60"/>
        </w:numPr>
      </w:pPr>
      <w:r w:rsidRPr="004E6281">
        <w:rPr>
          <w:b/>
        </w:rPr>
        <w:t>Confidential</w:t>
      </w:r>
      <w:r>
        <w:t xml:space="preserve"> – This means that information about a complaint is only provided to those people who need to know about it, in order for the issue to be resolved appropriately. </w:t>
      </w:r>
    </w:p>
    <w:p w:rsidR="000619E5" w:rsidRDefault="000619E5" w:rsidP="000619E5">
      <w:pPr>
        <w:pStyle w:val="ListParagraph"/>
        <w:ind w:left="717"/>
      </w:pPr>
      <w:r>
        <w:t xml:space="preserve"> </w:t>
      </w:r>
    </w:p>
    <w:p w:rsidR="000619E5" w:rsidRDefault="000619E5" w:rsidP="000619E5">
      <w:pPr>
        <w:pStyle w:val="ListParagraph"/>
        <w:numPr>
          <w:ilvl w:val="0"/>
          <w:numId w:val="52"/>
        </w:numPr>
        <w:ind w:left="714" w:hanging="357"/>
        <w:contextualSpacing w:val="0"/>
      </w:pPr>
      <w:r w:rsidRPr="00E146B4">
        <w:rPr>
          <w:b/>
        </w:rPr>
        <w:t>Transparent</w:t>
      </w:r>
      <w:r>
        <w:t xml:space="preserve"> –The complaint process and the possible outcomes of the complaint should be clearly explained and those involved should be kept informed of the progress of the complaint and the reasons for any decisions. </w:t>
      </w:r>
    </w:p>
    <w:p w:rsidR="000619E5" w:rsidRDefault="000619E5" w:rsidP="000619E5">
      <w:pPr>
        <w:pStyle w:val="ListParagraph"/>
        <w:numPr>
          <w:ilvl w:val="0"/>
          <w:numId w:val="52"/>
        </w:numPr>
        <w:ind w:left="714" w:hanging="357"/>
        <w:contextualSpacing w:val="0"/>
      </w:pPr>
      <w:r w:rsidRPr="005737EF">
        <w:rPr>
          <w:b/>
        </w:rPr>
        <w:t>Accessible</w:t>
      </w:r>
      <w:r>
        <w:t xml:space="preserve"> – The complaint process should be easy to access, easy to understand and everyone should be able to participate equally. For example, an employee may require a language interpreter to understand and participate and a person with a disability may need information provided in a specific format.  </w:t>
      </w:r>
    </w:p>
    <w:p w:rsidR="000619E5" w:rsidRPr="002839AE" w:rsidRDefault="000619E5" w:rsidP="000619E5">
      <w:pPr>
        <w:pStyle w:val="ListParagraph"/>
        <w:numPr>
          <w:ilvl w:val="0"/>
          <w:numId w:val="51"/>
        </w:numPr>
      </w:pPr>
      <w:r>
        <w:rPr>
          <w:b/>
        </w:rPr>
        <w:t xml:space="preserve">Efficient </w:t>
      </w:r>
      <w:r>
        <w:t>– The complaint process should be conducted without undue delay. As time passes, information relevant to the complaint may deteriorate or be lost, which will impact on the fairness of the process. In addition, unresolved complaints can have a negative and ongoing impact on a workplace.</w:t>
      </w:r>
    </w:p>
    <w:p w:rsidR="000619E5" w:rsidRDefault="000619E5" w:rsidP="000619E5">
      <w:r>
        <w:t xml:space="preserve">A good complaint process will also include provisions to: </w:t>
      </w:r>
    </w:p>
    <w:p w:rsidR="000619E5" w:rsidRDefault="000619E5" w:rsidP="000619E5">
      <w:pPr>
        <w:pStyle w:val="ListParagraph"/>
        <w:numPr>
          <w:ilvl w:val="0"/>
          <w:numId w:val="51"/>
        </w:numPr>
      </w:pPr>
      <w:r>
        <w:t>protect employees from being victimised because they have made a complaint</w:t>
      </w:r>
    </w:p>
    <w:p w:rsidR="000619E5" w:rsidRDefault="000619E5" w:rsidP="000619E5">
      <w:pPr>
        <w:pStyle w:val="ListParagraph"/>
        <w:numPr>
          <w:ilvl w:val="0"/>
          <w:numId w:val="51"/>
        </w:numPr>
      </w:pPr>
      <w:r>
        <w:t>protect employees from vexatious and malicious complaints</w:t>
      </w:r>
    </w:p>
    <w:p w:rsidR="000619E5" w:rsidRDefault="000619E5" w:rsidP="000619E5">
      <w:pPr>
        <w:pStyle w:val="ListParagraph"/>
        <w:numPr>
          <w:ilvl w:val="0"/>
          <w:numId w:val="51"/>
        </w:numPr>
      </w:pPr>
      <w:proofErr w:type="gramStart"/>
      <w:r>
        <w:t>ensure</w:t>
      </w:r>
      <w:proofErr w:type="gramEnd"/>
      <w:r>
        <w:t xml:space="preserve"> appropriate confidential records are kept about complaints and that this information is stored and managed appropriately.  </w:t>
      </w:r>
    </w:p>
    <w:p w:rsidR="000619E5" w:rsidRDefault="000619E5" w:rsidP="000619E5">
      <w:pPr>
        <w:pStyle w:val="Heading1"/>
        <w:numPr>
          <w:ilvl w:val="0"/>
          <w:numId w:val="0"/>
        </w:numPr>
        <w:spacing w:before="0" w:after="0"/>
        <w:ind w:left="851" w:hanging="851"/>
      </w:pPr>
      <w:bookmarkStart w:id="92" w:name="_Toc388023543"/>
      <w:r w:rsidRPr="005564F9">
        <w:t>Stages in a complaint process</w:t>
      </w:r>
      <w:bookmarkEnd w:id="92"/>
    </w:p>
    <w:p w:rsidR="000619E5" w:rsidRPr="005564F9" w:rsidRDefault="000619E5" w:rsidP="000619E5">
      <w:pPr>
        <w:pStyle w:val="Heading1"/>
        <w:numPr>
          <w:ilvl w:val="0"/>
          <w:numId w:val="0"/>
        </w:numPr>
        <w:spacing w:before="0" w:after="0"/>
        <w:ind w:left="851" w:hanging="851"/>
        <w:rPr>
          <w:sz w:val="24"/>
          <w:szCs w:val="24"/>
        </w:rPr>
      </w:pPr>
      <w:r w:rsidRPr="005564F9">
        <w:t xml:space="preserve"> </w:t>
      </w:r>
    </w:p>
    <w:p w:rsidR="000619E5" w:rsidRPr="0015551B" w:rsidRDefault="000619E5" w:rsidP="000619E5">
      <w:pPr>
        <w:pStyle w:val="Heading2"/>
        <w:numPr>
          <w:ilvl w:val="0"/>
          <w:numId w:val="0"/>
        </w:numPr>
        <w:spacing w:before="0" w:after="0"/>
        <w:ind w:left="851" w:hanging="851"/>
        <w:rPr>
          <w:i w:val="0"/>
          <w:sz w:val="24"/>
          <w:szCs w:val="24"/>
          <w:u w:val="single"/>
        </w:rPr>
      </w:pPr>
      <w:bookmarkStart w:id="93" w:name="_Toc388023544"/>
      <w:r w:rsidRPr="0015551B">
        <w:rPr>
          <w:i w:val="0"/>
          <w:sz w:val="24"/>
          <w:szCs w:val="24"/>
          <w:u w:val="single"/>
        </w:rPr>
        <w:t>Initial contact point</w:t>
      </w:r>
      <w:bookmarkEnd w:id="93"/>
      <w:r w:rsidRPr="0015551B">
        <w:rPr>
          <w:i w:val="0"/>
          <w:sz w:val="24"/>
          <w:szCs w:val="24"/>
          <w:u w:val="single"/>
        </w:rPr>
        <w:t xml:space="preserve"> </w:t>
      </w:r>
    </w:p>
    <w:p w:rsidR="000619E5" w:rsidRDefault="000619E5" w:rsidP="000619E5">
      <w:pPr>
        <w:spacing w:before="0" w:after="0"/>
      </w:pPr>
    </w:p>
    <w:p w:rsidR="000619E5" w:rsidRPr="002839AE" w:rsidRDefault="000619E5" w:rsidP="000619E5">
      <w:pPr>
        <w:spacing w:before="0" w:after="0"/>
      </w:pPr>
      <w:r>
        <w:t xml:space="preserve">An organisation’s discrimination and harassment policy should explain how to make a complaint and, identify an initial contact person. In larger organisations, the contact person may be an Equal Employment Opportunity (EEO) Officer or a Harassment Officer. In smaller organisations, this person may be a line manager or supervisor. The contact person should not be the same person who is responsible for investigating or making decisions about a complaint. </w:t>
      </w:r>
    </w:p>
    <w:p w:rsidR="000619E5" w:rsidRPr="002839AE" w:rsidRDefault="000619E5" w:rsidP="000619E5">
      <w:r>
        <w:t xml:space="preserve">The contact </w:t>
      </w:r>
      <w:r w:rsidRPr="002839AE">
        <w:t xml:space="preserve">person should: </w:t>
      </w:r>
    </w:p>
    <w:p w:rsidR="000619E5" w:rsidRDefault="000619E5" w:rsidP="000619E5">
      <w:pPr>
        <w:pStyle w:val="ListParagraph"/>
        <w:numPr>
          <w:ilvl w:val="0"/>
          <w:numId w:val="53"/>
        </w:numPr>
        <w:spacing w:before="0" w:after="0"/>
        <w:ind w:left="714" w:hanging="357"/>
        <w:contextualSpacing w:val="0"/>
      </w:pPr>
      <w:r w:rsidRPr="002839AE">
        <w:t>be available to listen to an employee</w:t>
      </w:r>
      <w:r>
        <w:t>’s</w:t>
      </w:r>
      <w:r w:rsidRPr="002839AE">
        <w:t xml:space="preserve"> concerns about discrimination or harassment</w:t>
      </w:r>
    </w:p>
    <w:p w:rsidR="000619E5" w:rsidRPr="002839AE" w:rsidRDefault="000619E5" w:rsidP="000619E5">
      <w:pPr>
        <w:pStyle w:val="ListParagraph"/>
        <w:numPr>
          <w:ilvl w:val="0"/>
          <w:numId w:val="53"/>
        </w:numPr>
        <w:spacing w:before="0" w:after="0"/>
        <w:ind w:left="714" w:hanging="357"/>
        <w:contextualSpacing w:val="0"/>
      </w:pPr>
      <w:r w:rsidRPr="002839AE">
        <w:t xml:space="preserve">not form a view of the merit of </w:t>
      </w:r>
      <w:r>
        <w:t xml:space="preserve">any </w:t>
      </w:r>
      <w:r w:rsidRPr="002839AE">
        <w:t>allegations</w:t>
      </w:r>
    </w:p>
    <w:p w:rsidR="000619E5" w:rsidRPr="002839AE" w:rsidRDefault="000619E5" w:rsidP="000619E5">
      <w:pPr>
        <w:pStyle w:val="ListParagraph"/>
        <w:numPr>
          <w:ilvl w:val="0"/>
          <w:numId w:val="53"/>
        </w:numPr>
        <w:spacing w:before="0" w:after="0"/>
        <w:ind w:left="714" w:hanging="357"/>
        <w:contextualSpacing w:val="0"/>
      </w:pPr>
      <w:r w:rsidRPr="002839AE">
        <w:t xml:space="preserve">provide information about the </w:t>
      </w:r>
      <w:r>
        <w:t xml:space="preserve">internal </w:t>
      </w:r>
      <w:r w:rsidRPr="002839AE">
        <w:t xml:space="preserve">complaint process </w:t>
      </w:r>
    </w:p>
    <w:p w:rsidR="000619E5" w:rsidRPr="002839AE" w:rsidRDefault="000619E5" w:rsidP="000619E5">
      <w:pPr>
        <w:pStyle w:val="ListParagraph"/>
        <w:numPr>
          <w:ilvl w:val="0"/>
          <w:numId w:val="53"/>
        </w:numPr>
        <w:spacing w:before="0" w:after="0"/>
        <w:ind w:left="714" w:hanging="357"/>
        <w:contextualSpacing w:val="0"/>
      </w:pPr>
      <w:r>
        <w:t xml:space="preserve">advise the person that </w:t>
      </w:r>
      <w:r w:rsidRPr="002839AE">
        <w:t>in some situations where serious allegations are raised</w:t>
      </w:r>
      <w:r>
        <w:t xml:space="preserve"> – for example, that may expose the organisation </w:t>
      </w:r>
      <w:r w:rsidRPr="002839AE">
        <w:t>to legal liability</w:t>
      </w:r>
      <w:r>
        <w:t xml:space="preserve"> – </w:t>
      </w:r>
      <w:r w:rsidRPr="002839AE">
        <w:t xml:space="preserve">the issue may need to be reported to management and dealt with as a formal complaint </w:t>
      </w:r>
    </w:p>
    <w:p w:rsidR="000619E5" w:rsidRDefault="000619E5" w:rsidP="000619E5">
      <w:pPr>
        <w:pStyle w:val="ListParagraph"/>
        <w:numPr>
          <w:ilvl w:val="0"/>
          <w:numId w:val="53"/>
        </w:numPr>
        <w:spacing w:before="0" w:after="0"/>
        <w:ind w:left="714" w:hanging="357"/>
        <w:contextualSpacing w:val="0"/>
      </w:pPr>
      <w:r>
        <w:t xml:space="preserve">where appropriate, provide support for person if he or she wants to try and resolve the issue personally  </w:t>
      </w:r>
    </w:p>
    <w:p w:rsidR="000619E5" w:rsidRDefault="000619E5" w:rsidP="000619E5">
      <w:pPr>
        <w:pStyle w:val="ListParagraph"/>
        <w:numPr>
          <w:ilvl w:val="0"/>
          <w:numId w:val="53"/>
        </w:numPr>
        <w:spacing w:before="0" w:after="0"/>
        <w:ind w:left="714" w:hanging="357"/>
        <w:contextualSpacing w:val="0"/>
      </w:pPr>
      <w:r>
        <w:t>provide information about available support services; for example, workplace counselling services</w:t>
      </w:r>
    </w:p>
    <w:p w:rsidR="000619E5" w:rsidRPr="002839AE" w:rsidRDefault="000619E5" w:rsidP="000619E5">
      <w:pPr>
        <w:pStyle w:val="ListParagraph"/>
        <w:numPr>
          <w:ilvl w:val="0"/>
          <w:numId w:val="53"/>
        </w:numPr>
        <w:spacing w:before="0" w:after="0"/>
        <w:ind w:left="714" w:hanging="357"/>
        <w:contextualSpacing w:val="0"/>
      </w:pPr>
      <w:proofErr w:type="gramStart"/>
      <w:r>
        <w:t>outline</w:t>
      </w:r>
      <w:proofErr w:type="gramEnd"/>
      <w:r w:rsidRPr="002839AE">
        <w:t xml:space="preserve"> other options</w:t>
      </w:r>
      <w:r>
        <w:t xml:space="preserve"> available to the person,</w:t>
      </w:r>
      <w:r w:rsidRPr="002839AE">
        <w:t xml:space="preserve"> such as lodging a complaint </w:t>
      </w:r>
      <w:r>
        <w:t>of</w:t>
      </w:r>
      <w:r w:rsidRPr="002839AE">
        <w:t xml:space="preserve"> discrimination or harassment</w:t>
      </w:r>
      <w:r>
        <w:t xml:space="preserve"> with an external agency.</w:t>
      </w:r>
      <w:r w:rsidRPr="002839AE">
        <w:t xml:space="preserve"> </w:t>
      </w:r>
    </w:p>
    <w:p w:rsidR="000619E5" w:rsidRDefault="000619E5" w:rsidP="000619E5">
      <w:pPr>
        <w:pStyle w:val="Heading2"/>
        <w:numPr>
          <w:ilvl w:val="0"/>
          <w:numId w:val="0"/>
        </w:numPr>
        <w:spacing w:before="0" w:after="0"/>
        <w:ind w:left="851" w:hanging="851"/>
        <w:rPr>
          <w:b w:val="0"/>
          <w:i w:val="0"/>
          <w:sz w:val="24"/>
          <w:szCs w:val="24"/>
          <w:u w:val="single"/>
        </w:rPr>
      </w:pPr>
    </w:p>
    <w:p w:rsidR="000619E5" w:rsidRPr="0015551B" w:rsidRDefault="000619E5" w:rsidP="000619E5">
      <w:pPr>
        <w:pStyle w:val="Heading2"/>
        <w:numPr>
          <w:ilvl w:val="0"/>
          <w:numId w:val="0"/>
        </w:numPr>
        <w:spacing w:before="0" w:after="0"/>
        <w:ind w:left="851" w:hanging="851"/>
        <w:rPr>
          <w:i w:val="0"/>
          <w:sz w:val="24"/>
          <w:szCs w:val="24"/>
          <w:u w:val="single"/>
        </w:rPr>
      </w:pPr>
      <w:bookmarkStart w:id="94" w:name="_Toc388023545"/>
      <w:r w:rsidRPr="0015551B">
        <w:rPr>
          <w:i w:val="0"/>
          <w:sz w:val="24"/>
          <w:szCs w:val="24"/>
          <w:u w:val="single"/>
        </w:rPr>
        <w:t>Early resolution</w:t>
      </w:r>
      <w:bookmarkEnd w:id="94"/>
      <w:r w:rsidRPr="0015551B">
        <w:rPr>
          <w:i w:val="0"/>
          <w:sz w:val="24"/>
          <w:szCs w:val="24"/>
          <w:u w:val="single"/>
        </w:rPr>
        <w:t xml:space="preserve"> </w:t>
      </w:r>
    </w:p>
    <w:p w:rsidR="000619E5" w:rsidRDefault="000619E5" w:rsidP="000619E5">
      <w:pPr>
        <w:spacing w:before="0" w:after="0"/>
      </w:pPr>
    </w:p>
    <w:p w:rsidR="000619E5" w:rsidRDefault="000619E5" w:rsidP="000619E5">
      <w:pPr>
        <w:spacing w:before="0" w:after="0"/>
      </w:pPr>
      <w:r>
        <w:t>In some situations it may be appropriate to consider early resolution of an initial complaint without undertaking an assessment of its merit. This approach may be useful where:</w:t>
      </w:r>
    </w:p>
    <w:p w:rsidR="000619E5" w:rsidRDefault="000619E5" w:rsidP="000619E5">
      <w:pPr>
        <w:spacing w:before="0" w:after="0"/>
      </w:pPr>
    </w:p>
    <w:p w:rsidR="000619E5" w:rsidRDefault="000619E5" w:rsidP="000619E5">
      <w:pPr>
        <w:pStyle w:val="ListParagraph"/>
        <w:numPr>
          <w:ilvl w:val="0"/>
          <w:numId w:val="54"/>
        </w:numPr>
        <w:spacing w:before="0" w:after="0"/>
        <w:ind w:left="714" w:hanging="357"/>
        <w:contextualSpacing w:val="0"/>
      </w:pPr>
      <w:r>
        <w:t>the complainant indicates a desire to sit down and discuss the matter with the respondent informally and this seems appropriate in the circumstances</w:t>
      </w:r>
    </w:p>
    <w:p w:rsidR="000619E5" w:rsidRDefault="000619E5" w:rsidP="000619E5">
      <w:pPr>
        <w:pStyle w:val="ListParagraph"/>
        <w:numPr>
          <w:ilvl w:val="0"/>
          <w:numId w:val="54"/>
        </w:numPr>
        <w:spacing w:before="0" w:after="0"/>
        <w:ind w:left="714" w:hanging="357"/>
        <w:contextualSpacing w:val="0"/>
      </w:pPr>
      <w:r>
        <w:t>the information on hand supports a view that the complaint has arisen from a misunderstanding or miscommunication</w:t>
      </w:r>
    </w:p>
    <w:p w:rsidR="000619E5" w:rsidRDefault="000619E5" w:rsidP="000619E5">
      <w:pPr>
        <w:pStyle w:val="ListParagraph"/>
        <w:numPr>
          <w:ilvl w:val="0"/>
          <w:numId w:val="54"/>
        </w:numPr>
        <w:spacing w:before="0" w:after="0"/>
        <w:ind w:left="714" w:hanging="357"/>
        <w:contextualSpacing w:val="0"/>
      </w:pPr>
      <w:proofErr w:type="gramStart"/>
      <w:r>
        <w:t>the</w:t>
      </w:r>
      <w:proofErr w:type="gramEnd"/>
      <w:r>
        <w:t xml:space="preserve"> behaviour being complained about is not serious and does not appear to be discrimination or harassment, as defined by the organisation’s policy.</w:t>
      </w:r>
    </w:p>
    <w:p w:rsidR="000619E5" w:rsidRDefault="000619E5" w:rsidP="000619E5">
      <w:r>
        <w:t xml:space="preserve">Early resolution may involve: </w:t>
      </w:r>
    </w:p>
    <w:p w:rsidR="000619E5" w:rsidRDefault="000619E5" w:rsidP="000619E5">
      <w:pPr>
        <w:pStyle w:val="ListParagraph"/>
        <w:numPr>
          <w:ilvl w:val="0"/>
          <w:numId w:val="61"/>
        </w:numPr>
      </w:pPr>
      <w:r>
        <w:t>a direct private discussion between the complainant and the respondent</w:t>
      </w:r>
    </w:p>
    <w:p w:rsidR="000619E5" w:rsidRDefault="000619E5" w:rsidP="000619E5">
      <w:pPr>
        <w:pStyle w:val="ListParagraph"/>
        <w:numPr>
          <w:ilvl w:val="0"/>
          <w:numId w:val="61"/>
        </w:numPr>
      </w:pPr>
      <w:r>
        <w:t xml:space="preserve">an impartial third person conveying information between those involved </w:t>
      </w:r>
    </w:p>
    <w:p w:rsidR="000619E5" w:rsidRDefault="000619E5" w:rsidP="000619E5">
      <w:pPr>
        <w:pStyle w:val="ListParagraph"/>
        <w:numPr>
          <w:ilvl w:val="0"/>
          <w:numId w:val="61"/>
        </w:numPr>
      </w:pPr>
      <w:proofErr w:type="gramStart"/>
      <w:r>
        <w:t>an</w:t>
      </w:r>
      <w:proofErr w:type="gramEnd"/>
      <w:r>
        <w:t xml:space="preserve"> impartial third person helping those involved to talk to each other and find a solution. </w:t>
      </w:r>
    </w:p>
    <w:p w:rsidR="000619E5" w:rsidRPr="00FC1DD7" w:rsidRDefault="000619E5" w:rsidP="000619E5">
      <w:pPr>
        <w:spacing w:before="0" w:after="0"/>
      </w:pPr>
      <w:r>
        <w:t xml:space="preserve">In some situations the impartial third person may need to be someone external to the organisation, such as a professional mediator. </w:t>
      </w:r>
    </w:p>
    <w:p w:rsidR="000619E5" w:rsidRDefault="000619E5" w:rsidP="000619E5">
      <w:pPr>
        <w:pStyle w:val="Heading2"/>
        <w:numPr>
          <w:ilvl w:val="0"/>
          <w:numId w:val="0"/>
        </w:numPr>
        <w:spacing w:before="0" w:after="0"/>
        <w:ind w:left="851" w:hanging="851"/>
        <w:rPr>
          <w:i w:val="0"/>
          <w:sz w:val="24"/>
          <w:szCs w:val="24"/>
          <w:u w:val="single"/>
        </w:rPr>
      </w:pPr>
    </w:p>
    <w:p w:rsidR="000619E5" w:rsidRPr="0015551B" w:rsidRDefault="000619E5" w:rsidP="000619E5">
      <w:pPr>
        <w:pStyle w:val="Heading2"/>
        <w:numPr>
          <w:ilvl w:val="0"/>
          <w:numId w:val="0"/>
        </w:numPr>
        <w:spacing w:before="0" w:after="0"/>
        <w:ind w:left="851" w:hanging="851"/>
        <w:rPr>
          <w:i w:val="0"/>
          <w:sz w:val="24"/>
          <w:szCs w:val="24"/>
          <w:u w:val="single"/>
        </w:rPr>
      </w:pPr>
      <w:bookmarkStart w:id="95" w:name="_Toc388023546"/>
      <w:r>
        <w:rPr>
          <w:i w:val="0"/>
          <w:sz w:val="24"/>
          <w:szCs w:val="24"/>
          <w:u w:val="single"/>
        </w:rPr>
        <w:t>Formal resolution</w:t>
      </w:r>
      <w:bookmarkEnd w:id="95"/>
    </w:p>
    <w:p w:rsidR="000619E5" w:rsidRDefault="000619E5" w:rsidP="000619E5">
      <w:pPr>
        <w:spacing w:before="0" w:after="0"/>
      </w:pPr>
    </w:p>
    <w:p w:rsidR="000619E5" w:rsidRDefault="000619E5" w:rsidP="000619E5">
      <w:pPr>
        <w:spacing w:before="0" w:after="0"/>
      </w:pPr>
      <w:r>
        <w:t>If a person wants to proceed with a formal complaint about discrimination or harassment, or if this is considered to be the most appropriate course of action, the following steps are recommended.</w:t>
      </w:r>
    </w:p>
    <w:p w:rsidR="000619E5" w:rsidRDefault="000619E5" w:rsidP="000619E5">
      <w:pPr>
        <w:spacing w:before="0" w:after="0"/>
      </w:pPr>
    </w:p>
    <w:p w:rsidR="000619E5" w:rsidRPr="002839AE" w:rsidRDefault="000619E5" w:rsidP="000619E5">
      <w:pPr>
        <w:pStyle w:val="Heading3"/>
        <w:numPr>
          <w:ilvl w:val="0"/>
          <w:numId w:val="0"/>
        </w:numPr>
        <w:spacing w:before="0" w:after="0"/>
        <w:ind w:left="851" w:hanging="851"/>
      </w:pPr>
      <w:r>
        <w:t xml:space="preserve">a. Obtain information from the complainant </w:t>
      </w:r>
    </w:p>
    <w:p w:rsidR="000619E5" w:rsidRDefault="000619E5" w:rsidP="000619E5">
      <w:pPr>
        <w:spacing w:before="0" w:after="0"/>
      </w:pPr>
    </w:p>
    <w:p w:rsidR="000619E5" w:rsidRDefault="000619E5" w:rsidP="000619E5">
      <w:pPr>
        <w:spacing w:before="0" w:after="0"/>
      </w:pPr>
      <w:r>
        <w:t>The person handling the complaint (the complaint officer) should:</w:t>
      </w:r>
    </w:p>
    <w:p w:rsidR="000619E5" w:rsidRDefault="000619E5" w:rsidP="000619E5">
      <w:pPr>
        <w:spacing w:before="0" w:after="0"/>
      </w:pPr>
    </w:p>
    <w:p w:rsidR="000619E5" w:rsidRDefault="000619E5" w:rsidP="000619E5">
      <w:pPr>
        <w:pStyle w:val="ListParagraph"/>
        <w:numPr>
          <w:ilvl w:val="0"/>
          <w:numId w:val="55"/>
        </w:numPr>
        <w:spacing w:before="0" w:after="0"/>
        <w:ind w:left="714" w:hanging="357"/>
        <w:contextualSpacing w:val="0"/>
      </w:pPr>
      <w:r>
        <w:t>provide information about the complaint process, potential outcomes, options for assistance/support and protections from victimisation</w:t>
      </w:r>
    </w:p>
    <w:p w:rsidR="000619E5" w:rsidRDefault="000619E5" w:rsidP="000619E5">
      <w:pPr>
        <w:pStyle w:val="ListParagraph"/>
        <w:numPr>
          <w:ilvl w:val="0"/>
          <w:numId w:val="55"/>
        </w:numPr>
        <w:spacing w:before="0" w:after="0"/>
        <w:ind w:left="714" w:hanging="357"/>
        <w:contextualSpacing w:val="0"/>
      </w:pPr>
      <w:r>
        <w:t xml:space="preserve">ensure the allegations are documented, either by the complainant or the complaint officer </w:t>
      </w:r>
    </w:p>
    <w:p w:rsidR="000619E5" w:rsidRDefault="000619E5" w:rsidP="000619E5">
      <w:pPr>
        <w:pStyle w:val="ListParagraph"/>
        <w:numPr>
          <w:ilvl w:val="0"/>
          <w:numId w:val="55"/>
        </w:numPr>
        <w:spacing w:before="0" w:after="0"/>
        <w:ind w:left="714" w:hanging="357"/>
        <w:contextualSpacing w:val="0"/>
      </w:pPr>
      <w:r>
        <w:t>explain that the process is confidential</w:t>
      </w:r>
      <w:r w:rsidRPr="002839AE">
        <w:t xml:space="preserve">, what this means and why </w:t>
      </w:r>
      <w:r>
        <w:t xml:space="preserve">it </w:t>
      </w:r>
      <w:r w:rsidRPr="002839AE">
        <w:t>is import</w:t>
      </w:r>
      <w:r>
        <w:t>ant</w:t>
      </w:r>
    </w:p>
    <w:p w:rsidR="000619E5" w:rsidRDefault="000619E5" w:rsidP="000619E5">
      <w:pPr>
        <w:pStyle w:val="ListParagraph"/>
        <w:numPr>
          <w:ilvl w:val="0"/>
          <w:numId w:val="55"/>
        </w:numPr>
        <w:spacing w:before="0" w:after="0"/>
        <w:ind w:left="714" w:hanging="357"/>
        <w:contextualSpacing w:val="0"/>
      </w:pPr>
      <w:r>
        <w:t xml:space="preserve">explain what records of the complaint will be kept, for how long and where </w:t>
      </w:r>
    </w:p>
    <w:p w:rsidR="000619E5" w:rsidRDefault="000619E5" w:rsidP="000619E5">
      <w:pPr>
        <w:pStyle w:val="ListParagraph"/>
        <w:numPr>
          <w:ilvl w:val="0"/>
          <w:numId w:val="55"/>
        </w:numPr>
        <w:spacing w:before="0" w:after="0"/>
        <w:ind w:left="714" w:hanging="357"/>
        <w:contextualSpacing w:val="0"/>
      </w:pPr>
      <w:r>
        <w:t>explain the action that may be taken if the complaint is found to be vexatious or malicious</w:t>
      </w:r>
    </w:p>
    <w:p w:rsidR="000619E5" w:rsidRDefault="000619E5" w:rsidP="000619E5">
      <w:pPr>
        <w:pStyle w:val="ListParagraph"/>
        <w:numPr>
          <w:ilvl w:val="0"/>
          <w:numId w:val="55"/>
        </w:numPr>
        <w:spacing w:before="0" w:after="0"/>
        <w:ind w:left="714" w:hanging="357"/>
        <w:contextualSpacing w:val="0"/>
      </w:pPr>
      <w:proofErr w:type="gramStart"/>
      <w:r>
        <w:t>ask</w:t>
      </w:r>
      <w:proofErr w:type="gramEnd"/>
      <w:r>
        <w:t xml:space="preserve"> the complainant to provide relevant documents or details of witnesses that may support the allegations.</w:t>
      </w:r>
    </w:p>
    <w:p w:rsidR="000619E5" w:rsidRDefault="000619E5" w:rsidP="000619E5">
      <w:pPr>
        <w:spacing w:before="0" w:after="0"/>
      </w:pPr>
    </w:p>
    <w:p w:rsidR="000619E5" w:rsidRDefault="000619E5" w:rsidP="000619E5">
      <w:pPr>
        <w:spacing w:before="0" w:after="0"/>
      </w:pPr>
      <w:r>
        <w:t>W</w:t>
      </w:r>
      <w:r w:rsidRPr="002839AE">
        <w:t xml:space="preserve">here there is a concern about </w:t>
      </w:r>
      <w:r>
        <w:t xml:space="preserve">supporting </w:t>
      </w:r>
      <w:r w:rsidRPr="002839AE">
        <w:t xml:space="preserve">information being destroyed or compromised, </w:t>
      </w:r>
      <w:r>
        <w:t xml:space="preserve">the complaint officer should try to obtain this </w:t>
      </w:r>
      <w:r w:rsidRPr="002839AE">
        <w:t>information before taking any further action</w:t>
      </w:r>
      <w:r>
        <w:t>.</w:t>
      </w:r>
    </w:p>
    <w:p w:rsidR="000619E5" w:rsidRPr="002839AE" w:rsidRDefault="000619E5" w:rsidP="000619E5">
      <w:pPr>
        <w:spacing w:before="0" w:after="0"/>
      </w:pPr>
      <w:r>
        <w:t xml:space="preserve"> </w:t>
      </w:r>
    </w:p>
    <w:p w:rsidR="000619E5" w:rsidRPr="002839AE" w:rsidRDefault="000619E5" w:rsidP="000619E5">
      <w:pPr>
        <w:pStyle w:val="Heading3"/>
        <w:numPr>
          <w:ilvl w:val="0"/>
          <w:numId w:val="0"/>
        </w:numPr>
        <w:spacing w:before="0" w:after="0"/>
        <w:ind w:left="851" w:hanging="851"/>
      </w:pPr>
      <w:r>
        <w:t>b. Advise the respondent about the complaint</w:t>
      </w:r>
    </w:p>
    <w:p w:rsidR="000619E5" w:rsidRDefault="000619E5" w:rsidP="000619E5">
      <w:pPr>
        <w:spacing w:before="0" w:after="0"/>
      </w:pPr>
    </w:p>
    <w:p w:rsidR="000619E5" w:rsidRDefault="000619E5" w:rsidP="000619E5">
      <w:pPr>
        <w:spacing w:before="0" w:after="0"/>
      </w:pPr>
      <w:r>
        <w:t>The complaint officer should:</w:t>
      </w:r>
    </w:p>
    <w:p w:rsidR="000619E5" w:rsidRDefault="000619E5" w:rsidP="000619E5">
      <w:pPr>
        <w:spacing w:before="0" w:after="0"/>
      </w:pPr>
    </w:p>
    <w:p w:rsidR="000619E5" w:rsidRDefault="000619E5" w:rsidP="000619E5">
      <w:pPr>
        <w:pStyle w:val="ListParagraph"/>
        <w:numPr>
          <w:ilvl w:val="0"/>
          <w:numId w:val="59"/>
        </w:numPr>
        <w:spacing w:before="0" w:after="0"/>
      </w:pPr>
      <w:r>
        <w:t xml:space="preserve">advise the respondent that a complaint has been made </w:t>
      </w:r>
      <w:r w:rsidRPr="00756CAC">
        <w:t xml:space="preserve">against </w:t>
      </w:r>
      <w:r>
        <w:t>him or her and provide as much information as possible about the allegations and supporting information (where applicable)</w:t>
      </w:r>
    </w:p>
    <w:p w:rsidR="000619E5" w:rsidRPr="00756CAC" w:rsidRDefault="000619E5" w:rsidP="000619E5">
      <w:pPr>
        <w:pStyle w:val="ListParagraph"/>
        <w:numPr>
          <w:ilvl w:val="0"/>
          <w:numId w:val="59"/>
        </w:numPr>
        <w:spacing w:before="0" w:after="0"/>
      </w:pPr>
      <w:r>
        <w:t xml:space="preserve">confirm that he or she will be given the opportunity to </w:t>
      </w:r>
      <w:r w:rsidRPr="00756CAC">
        <w:t>respond to the allegations in writing or through an interview</w:t>
      </w:r>
    </w:p>
    <w:p w:rsidR="000619E5" w:rsidRPr="00756CAC" w:rsidRDefault="000619E5" w:rsidP="000619E5">
      <w:pPr>
        <w:pStyle w:val="ListParagraph"/>
        <w:numPr>
          <w:ilvl w:val="0"/>
          <w:numId w:val="56"/>
        </w:numPr>
        <w:spacing w:before="0" w:after="0"/>
        <w:ind w:left="714" w:hanging="357"/>
        <w:contextualSpacing w:val="0"/>
      </w:pPr>
      <w:r>
        <w:t xml:space="preserve">provide information about </w:t>
      </w:r>
      <w:r w:rsidRPr="00756CAC">
        <w:t>the complaint process, potential outcomes</w:t>
      </w:r>
      <w:r>
        <w:t xml:space="preserve"> and </w:t>
      </w:r>
      <w:r w:rsidRPr="00756CAC">
        <w:t>options for assistance</w:t>
      </w:r>
      <w:r>
        <w:t>/support</w:t>
      </w:r>
      <w:r w:rsidRPr="00756CAC">
        <w:t xml:space="preserve"> </w:t>
      </w:r>
    </w:p>
    <w:p w:rsidR="000619E5" w:rsidRDefault="000619E5" w:rsidP="000619E5">
      <w:pPr>
        <w:pStyle w:val="ListParagraph"/>
        <w:numPr>
          <w:ilvl w:val="0"/>
          <w:numId w:val="56"/>
        </w:numPr>
        <w:spacing w:before="0" w:after="0"/>
        <w:contextualSpacing w:val="0"/>
      </w:pPr>
      <w:r>
        <w:t>explain that the process is confidential</w:t>
      </w:r>
      <w:r w:rsidRPr="002839AE">
        <w:t xml:space="preserve">, what this means and why </w:t>
      </w:r>
      <w:r>
        <w:t xml:space="preserve">it </w:t>
      </w:r>
      <w:r w:rsidRPr="002839AE">
        <w:t>is import</w:t>
      </w:r>
      <w:r>
        <w:t xml:space="preserve">ant </w:t>
      </w:r>
    </w:p>
    <w:p w:rsidR="000619E5" w:rsidRPr="002839AE" w:rsidRDefault="000619E5" w:rsidP="000619E5">
      <w:pPr>
        <w:pStyle w:val="ListParagraph"/>
        <w:numPr>
          <w:ilvl w:val="0"/>
          <w:numId w:val="56"/>
        </w:numPr>
        <w:spacing w:before="0" w:after="0"/>
        <w:contextualSpacing w:val="0"/>
      </w:pPr>
      <w:r>
        <w:t>explain what records of the complaints will be kept, for how long and where</w:t>
      </w:r>
    </w:p>
    <w:p w:rsidR="000619E5" w:rsidRDefault="000619E5" w:rsidP="000619E5">
      <w:pPr>
        <w:pStyle w:val="ListParagraph"/>
        <w:numPr>
          <w:ilvl w:val="0"/>
          <w:numId w:val="56"/>
        </w:numPr>
        <w:spacing w:before="0" w:after="0"/>
        <w:ind w:left="714" w:hanging="357"/>
        <w:contextualSpacing w:val="0"/>
      </w:pPr>
      <w:proofErr w:type="gramStart"/>
      <w:r>
        <w:t>explain</w:t>
      </w:r>
      <w:proofErr w:type="gramEnd"/>
      <w:r>
        <w:t xml:space="preserve"> that it is unacceptable to victimise someone who has made a complaint.</w:t>
      </w:r>
    </w:p>
    <w:p w:rsidR="000619E5" w:rsidRPr="002839AE" w:rsidRDefault="000619E5" w:rsidP="000619E5">
      <w:pPr>
        <w:pStyle w:val="Heading3"/>
        <w:numPr>
          <w:ilvl w:val="0"/>
          <w:numId w:val="0"/>
        </w:numPr>
        <w:ind w:left="851" w:hanging="851"/>
      </w:pPr>
      <w:r>
        <w:t xml:space="preserve">c. </w:t>
      </w:r>
      <w:r w:rsidRPr="002839AE">
        <w:t xml:space="preserve">Assess the information </w:t>
      </w:r>
    </w:p>
    <w:p w:rsidR="000619E5" w:rsidRPr="0044233F" w:rsidRDefault="000619E5" w:rsidP="000619E5">
      <w:r>
        <w:t xml:space="preserve">If the respondent confirms that he or she did what is alleged to have occurred, </w:t>
      </w:r>
      <w:r w:rsidRPr="002839AE">
        <w:t xml:space="preserve">and </w:t>
      </w:r>
      <w:r>
        <w:t xml:space="preserve">if this behaviour would be considered </w:t>
      </w:r>
      <w:r w:rsidRPr="002839AE">
        <w:t xml:space="preserve">discrimination or harassment as </w:t>
      </w:r>
      <w:r>
        <w:t xml:space="preserve">defined in the organisation’s </w:t>
      </w:r>
      <w:r w:rsidRPr="002839AE">
        <w:t>policy,</w:t>
      </w:r>
      <w:r>
        <w:t xml:space="preserve"> </w:t>
      </w:r>
      <w:r w:rsidRPr="002839AE">
        <w:t xml:space="preserve">the </w:t>
      </w:r>
      <w:r>
        <w:t xml:space="preserve">next step is to consider an appropriate outcome </w:t>
      </w:r>
      <w:r w:rsidRPr="002839AE">
        <w:t>(see below)</w:t>
      </w:r>
      <w:r>
        <w:t>. It is recommended that the respondent is provided with the opportunity to comment on any proposed decision and outcome before a final decision is made.</w:t>
      </w:r>
    </w:p>
    <w:p w:rsidR="000619E5" w:rsidRDefault="000619E5" w:rsidP="000619E5">
      <w:r w:rsidRPr="002839AE">
        <w:t xml:space="preserve">If </w:t>
      </w:r>
      <w:r>
        <w:t>there is disagreement about what happened</w:t>
      </w:r>
      <w:r w:rsidRPr="002839AE">
        <w:t xml:space="preserve">, </w:t>
      </w:r>
      <w:r>
        <w:t xml:space="preserve">the complaint officer should consider whether there is other information that will help to determine what happened. It is generally understood that the person making the decision should be satisfied that it is ‘more probable than not’ that what is alleged to have happened did happen. </w:t>
      </w:r>
    </w:p>
    <w:p w:rsidR="000619E5" w:rsidRDefault="000619E5" w:rsidP="000619E5">
      <w:r>
        <w:t xml:space="preserve">Given the nature of discrimination and harassment, there may often be no direct witnesses or documents to support the complainant’s version of events. This does not mean that the allegation is untrue. In these situations the complainant should be given the opportunity to comment on the information that has been provided by the respondent and to provide any other information to support his or her allegations before a final decision is made. </w:t>
      </w:r>
    </w:p>
    <w:p w:rsidR="000619E5" w:rsidRPr="0015551B" w:rsidRDefault="000619E5" w:rsidP="000619E5">
      <w:pPr>
        <w:pStyle w:val="Heading1"/>
        <w:numPr>
          <w:ilvl w:val="0"/>
          <w:numId w:val="0"/>
        </w:numPr>
        <w:ind w:left="851" w:hanging="851"/>
        <w:rPr>
          <w:sz w:val="24"/>
          <w:szCs w:val="24"/>
          <w:u w:val="single"/>
        </w:rPr>
      </w:pPr>
      <w:bookmarkStart w:id="96" w:name="_Toc388023547"/>
      <w:r w:rsidRPr="0015551B">
        <w:rPr>
          <w:sz w:val="24"/>
          <w:szCs w:val="24"/>
          <w:u w:val="single"/>
        </w:rPr>
        <w:t>Outcomes from the process</w:t>
      </w:r>
      <w:bookmarkEnd w:id="96"/>
      <w:r w:rsidRPr="0015551B">
        <w:rPr>
          <w:sz w:val="24"/>
          <w:szCs w:val="24"/>
          <w:u w:val="single"/>
        </w:rPr>
        <w:t xml:space="preserve"> </w:t>
      </w:r>
    </w:p>
    <w:p w:rsidR="000619E5" w:rsidRDefault="000619E5" w:rsidP="000619E5">
      <w:pPr>
        <w:pStyle w:val="Heading2"/>
        <w:numPr>
          <w:ilvl w:val="0"/>
          <w:numId w:val="0"/>
        </w:numPr>
        <w:spacing w:before="0" w:after="0"/>
        <w:rPr>
          <w:b w:val="0"/>
          <w:i w:val="0"/>
          <w:sz w:val="24"/>
          <w:szCs w:val="24"/>
        </w:rPr>
      </w:pPr>
      <w:bookmarkStart w:id="97" w:name="_Toc388023548"/>
      <w:r>
        <w:rPr>
          <w:b w:val="0"/>
          <w:sz w:val="24"/>
          <w:szCs w:val="24"/>
        </w:rPr>
        <w:t>a.</w:t>
      </w:r>
      <w:r w:rsidRPr="0079147D">
        <w:rPr>
          <w:b w:val="0"/>
          <w:sz w:val="24"/>
          <w:szCs w:val="24"/>
        </w:rPr>
        <w:t xml:space="preserve"> Where </w:t>
      </w:r>
      <w:r>
        <w:rPr>
          <w:b w:val="0"/>
          <w:sz w:val="24"/>
          <w:szCs w:val="24"/>
        </w:rPr>
        <w:t xml:space="preserve">the </w:t>
      </w:r>
      <w:r w:rsidRPr="0079147D">
        <w:rPr>
          <w:b w:val="0"/>
          <w:sz w:val="24"/>
          <w:szCs w:val="24"/>
        </w:rPr>
        <w:t>allegation</w:t>
      </w:r>
      <w:r>
        <w:rPr>
          <w:b w:val="0"/>
          <w:sz w:val="24"/>
          <w:szCs w:val="24"/>
        </w:rPr>
        <w:t>s</w:t>
      </w:r>
      <w:r w:rsidRPr="0079147D">
        <w:rPr>
          <w:b w:val="0"/>
          <w:sz w:val="24"/>
          <w:szCs w:val="24"/>
        </w:rPr>
        <w:t xml:space="preserve"> are admitted or </w:t>
      </w:r>
      <w:r>
        <w:rPr>
          <w:b w:val="0"/>
          <w:sz w:val="24"/>
          <w:szCs w:val="24"/>
        </w:rPr>
        <w:t>substantiated</w:t>
      </w:r>
      <w:bookmarkEnd w:id="97"/>
      <w:r>
        <w:rPr>
          <w:b w:val="0"/>
          <w:sz w:val="24"/>
          <w:szCs w:val="24"/>
        </w:rPr>
        <w:t xml:space="preserve"> </w:t>
      </w:r>
    </w:p>
    <w:p w:rsidR="000619E5" w:rsidRDefault="000619E5" w:rsidP="000619E5">
      <w:pPr>
        <w:pStyle w:val="Heading2"/>
        <w:numPr>
          <w:ilvl w:val="0"/>
          <w:numId w:val="0"/>
        </w:numPr>
        <w:spacing w:before="0" w:after="0"/>
        <w:rPr>
          <w:b w:val="0"/>
          <w:i w:val="0"/>
          <w:sz w:val="24"/>
          <w:szCs w:val="24"/>
        </w:rPr>
      </w:pPr>
    </w:p>
    <w:p w:rsidR="000619E5" w:rsidRPr="007254E3" w:rsidRDefault="000619E5" w:rsidP="000619E5">
      <w:pPr>
        <w:pStyle w:val="Heading2"/>
        <w:numPr>
          <w:ilvl w:val="0"/>
          <w:numId w:val="0"/>
        </w:numPr>
        <w:spacing w:before="0" w:after="0"/>
        <w:rPr>
          <w:b w:val="0"/>
          <w:i w:val="0"/>
          <w:sz w:val="24"/>
          <w:szCs w:val="24"/>
        </w:rPr>
      </w:pPr>
      <w:bookmarkStart w:id="98" w:name="_Toc388023549"/>
      <w:r>
        <w:rPr>
          <w:b w:val="0"/>
          <w:i w:val="0"/>
          <w:sz w:val="24"/>
          <w:szCs w:val="24"/>
        </w:rPr>
        <w:t>Outcomes for the respondent may include:</w:t>
      </w:r>
      <w:bookmarkEnd w:id="98"/>
    </w:p>
    <w:p w:rsidR="000619E5" w:rsidRDefault="000619E5" w:rsidP="000619E5">
      <w:pPr>
        <w:pStyle w:val="ListParagraph"/>
        <w:numPr>
          <w:ilvl w:val="0"/>
          <w:numId w:val="57"/>
        </w:numPr>
      </w:pPr>
      <w:r>
        <w:t xml:space="preserve">disciplinary counselling </w:t>
      </w:r>
    </w:p>
    <w:p w:rsidR="000619E5" w:rsidRDefault="000619E5" w:rsidP="000619E5">
      <w:pPr>
        <w:pStyle w:val="ListParagraph"/>
        <w:numPr>
          <w:ilvl w:val="0"/>
          <w:numId w:val="57"/>
        </w:numPr>
      </w:pPr>
      <w:r>
        <w:t>an official warning;</w:t>
      </w:r>
    </w:p>
    <w:p w:rsidR="000619E5" w:rsidRPr="002839AE" w:rsidRDefault="000619E5" w:rsidP="000619E5">
      <w:pPr>
        <w:pStyle w:val="ListParagraph"/>
        <w:numPr>
          <w:ilvl w:val="0"/>
          <w:numId w:val="57"/>
        </w:numPr>
      </w:pPr>
      <w:r>
        <w:t>a requirement to attend discrimination and harassment awareness training</w:t>
      </w:r>
    </w:p>
    <w:p w:rsidR="000619E5" w:rsidRPr="002839AE" w:rsidRDefault="000619E5" w:rsidP="000619E5">
      <w:pPr>
        <w:pStyle w:val="ListParagraph"/>
        <w:numPr>
          <w:ilvl w:val="0"/>
          <w:numId w:val="57"/>
        </w:numPr>
      </w:pPr>
      <w:r>
        <w:t xml:space="preserve">a requirement to provide a </w:t>
      </w:r>
      <w:r w:rsidRPr="002839AE">
        <w:t>formal apology</w:t>
      </w:r>
      <w:r>
        <w:t xml:space="preserve"> to the complainant</w:t>
      </w:r>
    </w:p>
    <w:p w:rsidR="000619E5" w:rsidRPr="002839AE" w:rsidRDefault="000619E5" w:rsidP="000619E5">
      <w:pPr>
        <w:pStyle w:val="ListParagraph"/>
        <w:numPr>
          <w:ilvl w:val="0"/>
          <w:numId w:val="57"/>
        </w:numPr>
      </w:pPr>
      <w:r w:rsidRPr="002839AE">
        <w:t>disciplinary action (e.g. demotion, transfer, suspension, probation or dismissal)</w:t>
      </w:r>
      <w:r>
        <w:t xml:space="preserve"> and/or</w:t>
      </w:r>
      <w:r w:rsidRPr="002839AE">
        <w:t xml:space="preserve"> </w:t>
      </w:r>
    </w:p>
    <w:p w:rsidR="000619E5" w:rsidRPr="002839AE" w:rsidRDefault="000619E5" w:rsidP="000619E5">
      <w:pPr>
        <w:pStyle w:val="ListParagraph"/>
        <w:numPr>
          <w:ilvl w:val="0"/>
          <w:numId w:val="57"/>
        </w:numPr>
      </w:pPr>
      <w:r>
        <w:t xml:space="preserve">participation in </w:t>
      </w:r>
      <w:r w:rsidRPr="002839AE">
        <w:t>mediation to restore</w:t>
      </w:r>
      <w:r>
        <w:t xml:space="preserve"> relationships in the workplace</w:t>
      </w:r>
    </w:p>
    <w:p w:rsidR="000619E5" w:rsidRPr="002839AE" w:rsidRDefault="000619E5" w:rsidP="000619E5">
      <w:r>
        <w:t>Outcomes for the complainant may include:</w:t>
      </w:r>
    </w:p>
    <w:p w:rsidR="000619E5" w:rsidRPr="002839AE" w:rsidRDefault="000619E5" w:rsidP="000619E5">
      <w:pPr>
        <w:pStyle w:val="ListParagraph"/>
        <w:numPr>
          <w:ilvl w:val="0"/>
          <w:numId w:val="58"/>
        </w:numPr>
      </w:pPr>
      <w:r w:rsidRPr="002839AE">
        <w:t>reaccrediting of any leave taken as a result of the discrimination or harassment</w:t>
      </w:r>
    </w:p>
    <w:p w:rsidR="000619E5" w:rsidRDefault="000619E5" w:rsidP="000619E5">
      <w:pPr>
        <w:pStyle w:val="ListParagraph"/>
        <w:numPr>
          <w:ilvl w:val="0"/>
          <w:numId w:val="58"/>
        </w:numPr>
      </w:pPr>
      <w:r>
        <w:t>supportive counselling</w:t>
      </w:r>
    </w:p>
    <w:p w:rsidR="000619E5" w:rsidRPr="002839AE" w:rsidRDefault="000619E5" w:rsidP="000619E5">
      <w:pPr>
        <w:pStyle w:val="ListParagraph"/>
        <w:numPr>
          <w:ilvl w:val="0"/>
          <w:numId w:val="58"/>
        </w:numPr>
      </w:pPr>
      <w:r>
        <w:t>a change in the work environment, as requested; for example, a change in work teams or location</w:t>
      </w:r>
    </w:p>
    <w:p w:rsidR="000619E5" w:rsidRDefault="000619E5" w:rsidP="000619E5">
      <w:pPr>
        <w:pStyle w:val="ListParagraph"/>
        <w:numPr>
          <w:ilvl w:val="0"/>
          <w:numId w:val="58"/>
        </w:numPr>
      </w:pPr>
      <w:proofErr w:type="gramStart"/>
      <w:r w:rsidRPr="002839AE">
        <w:t>participation</w:t>
      </w:r>
      <w:proofErr w:type="gramEnd"/>
      <w:r w:rsidRPr="002839AE">
        <w:t xml:space="preserve"> in mediation to restore</w:t>
      </w:r>
      <w:r>
        <w:t xml:space="preserve"> relationships in the workplace.</w:t>
      </w:r>
    </w:p>
    <w:p w:rsidR="000619E5" w:rsidRDefault="000619E5" w:rsidP="000619E5">
      <w:r>
        <w:t xml:space="preserve">It is important that the complainant is provided with general information about the outcome of a complaint, as this may affect their decision to pursue the matter with an external agency. The level of detail provided should be balanced against the need to respect the privacy of the respondent. </w:t>
      </w:r>
    </w:p>
    <w:p w:rsidR="000619E5" w:rsidRPr="0079147D" w:rsidRDefault="000619E5" w:rsidP="000619E5">
      <w:pPr>
        <w:rPr>
          <w:i/>
        </w:rPr>
      </w:pPr>
      <w:r>
        <w:rPr>
          <w:i/>
        </w:rPr>
        <w:t>b.</w:t>
      </w:r>
      <w:r w:rsidRPr="0079147D">
        <w:rPr>
          <w:i/>
        </w:rPr>
        <w:t xml:space="preserve"> Where </w:t>
      </w:r>
      <w:r>
        <w:rPr>
          <w:i/>
        </w:rPr>
        <w:t xml:space="preserve">the </w:t>
      </w:r>
      <w:r w:rsidRPr="0079147D">
        <w:rPr>
          <w:i/>
        </w:rPr>
        <w:t xml:space="preserve">allegations are </w:t>
      </w:r>
      <w:r>
        <w:rPr>
          <w:i/>
        </w:rPr>
        <w:t xml:space="preserve">not </w:t>
      </w:r>
      <w:r w:rsidRPr="0079147D">
        <w:rPr>
          <w:i/>
        </w:rPr>
        <w:t xml:space="preserve">admitted or substantiated </w:t>
      </w:r>
    </w:p>
    <w:p w:rsidR="000619E5" w:rsidRDefault="000619E5" w:rsidP="000619E5">
      <w:r w:rsidRPr="00531569">
        <w:t>Where allegations have not</w:t>
      </w:r>
      <w:r>
        <w:t xml:space="preserve"> been admitted or </w:t>
      </w:r>
      <w:r w:rsidRPr="00531569">
        <w:t>substantiated</w:t>
      </w:r>
      <w:r>
        <w:t>, it may still be</w:t>
      </w:r>
      <w:r>
        <w:rPr>
          <w:b/>
          <w:i/>
        </w:rPr>
        <w:t xml:space="preserve"> </w:t>
      </w:r>
      <w:r>
        <w:t xml:space="preserve">appropriate for </w:t>
      </w:r>
      <w:r w:rsidRPr="00FC4A22">
        <w:t xml:space="preserve">the </w:t>
      </w:r>
      <w:r>
        <w:t>employer to take some action as a result of the complaint. For</w:t>
      </w:r>
      <w:r>
        <w:rPr>
          <w:b/>
          <w:i/>
        </w:rPr>
        <w:t xml:space="preserve"> </w:t>
      </w:r>
      <w:r>
        <w:t xml:space="preserve">example, it may be appropriate to: </w:t>
      </w:r>
    </w:p>
    <w:p w:rsidR="000619E5" w:rsidRPr="00277D7A" w:rsidRDefault="000619E5" w:rsidP="000619E5">
      <w:pPr>
        <w:numPr>
          <w:ilvl w:val="0"/>
          <w:numId w:val="65"/>
        </w:numPr>
        <w:rPr>
          <w:b/>
          <w:i/>
        </w:rPr>
      </w:pPr>
      <w:r>
        <w:t xml:space="preserve"> provide refresher training for all staff regarding </w:t>
      </w:r>
      <w:r w:rsidRPr="009D3818">
        <w:t>appropriate workplace behaviour</w:t>
      </w:r>
      <w:r>
        <w:rPr>
          <w:b/>
          <w:i/>
        </w:rPr>
        <w:t xml:space="preserve">, </w:t>
      </w:r>
      <w:r>
        <w:t xml:space="preserve">and/or </w:t>
      </w:r>
    </w:p>
    <w:p w:rsidR="000619E5" w:rsidRPr="00277D7A" w:rsidRDefault="000619E5" w:rsidP="000619E5">
      <w:pPr>
        <w:numPr>
          <w:ilvl w:val="0"/>
          <w:numId w:val="65"/>
        </w:numPr>
        <w:rPr>
          <w:b/>
          <w:i/>
        </w:rPr>
      </w:pPr>
      <w:proofErr w:type="gramStart"/>
      <w:r w:rsidRPr="001D7B62">
        <w:t>r</w:t>
      </w:r>
      <w:r>
        <w:t>e</w:t>
      </w:r>
      <w:r w:rsidRPr="00277D7A">
        <w:rPr>
          <w:b/>
          <w:i/>
        </w:rPr>
        <w:t>-</w:t>
      </w:r>
      <w:r>
        <w:t>issue</w:t>
      </w:r>
      <w:proofErr w:type="gramEnd"/>
      <w:r>
        <w:t xml:space="preserve"> the discrimination and harassment policy or </w:t>
      </w:r>
      <w:r w:rsidRPr="009D3818">
        <w:t>code of conduct</w:t>
      </w:r>
      <w:r>
        <w:t xml:space="preserve"> to all employees. </w:t>
      </w:r>
    </w:p>
    <w:p w:rsidR="000619E5" w:rsidRDefault="000619E5" w:rsidP="000619E5">
      <w:pPr>
        <w:rPr>
          <w:b/>
          <w:i/>
        </w:rPr>
      </w:pPr>
      <w:r w:rsidRPr="00FC4A22">
        <w:t xml:space="preserve">If </w:t>
      </w:r>
      <w:r>
        <w:t>such action is taken, it is important that it is not done in a way which could be</w:t>
      </w:r>
      <w:r>
        <w:rPr>
          <w:b/>
          <w:i/>
        </w:rPr>
        <w:t xml:space="preserve"> </w:t>
      </w:r>
      <w:r>
        <w:t>seen as singling out or punishing the respondent, especially where there has been no</w:t>
      </w:r>
      <w:r>
        <w:rPr>
          <w:b/>
          <w:i/>
        </w:rPr>
        <w:t xml:space="preserve"> </w:t>
      </w:r>
      <w:r>
        <w:t>finding that he or she has breached the organisation’s policy or code of conduct.</w:t>
      </w:r>
    </w:p>
    <w:bookmarkEnd w:id="90"/>
    <w:p w:rsidR="00EB6A76" w:rsidRPr="003624E0" w:rsidRDefault="00EB6A76" w:rsidP="000619E5">
      <w:pPr>
        <w:pStyle w:val="Heading1"/>
        <w:numPr>
          <w:ilvl w:val="0"/>
          <w:numId w:val="0"/>
        </w:numPr>
        <w:ind w:left="851" w:hanging="851"/>
      </w:pPr>
    </w:p>
    <w:sectPr w:rsidR="00EB6A76" w:rsidRPr="003624E0" w:rsidSect="00BD658F">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C5" w:rsidRDefault="007B20C5" w:rsidP="00F14C6D">
      <w:r>
        <w:separator/>
      </w:r>
    </w:p>
  </w:endnote>
  <w:endnote w:type="continuationSeparator" w:id="0">
    <w:p w:rsidR="007B20C5" w:rsidRDefault="007B20C5" w:rsidP="00F14C6D">
      <w:r>
        <w:continuationSeparator/>
      </w:r>
    </w:p>
  </w:endnote>
  <w:endnote w:id="1">
    <w:p w:rsidR="007B20C5" w:rsidRPr="00FA3D3B" w:rsidRDefault="007B20C5" w:rsidP="00E41966">
      <w:pPr>
        <w:pStyle w:val="EndnoteText"/>
        <w:spacing w:before="120" w:after="120"/>
        <w:rPr>
          <w:rFonts w:cs="Arial"/>
        </w:rPr>
      </w:pPr>
      <w:r w:rsidRPr="00FA3D3B">
        <w:rPr>
          <w:rStyle w:val="EndnoteReference"/>
          <w:rFonts w:cs="Arial"/>
        </w:rPr>
        <w:endnoteRef/>
      </w:r>
      <w:r w:rsidRPr="00FA3D3B">
        <w:rPr>
          <w:rFonts w:cs="Arial"/>
        </w:rPr>
        <w:t xml:space="preserve"> </w:t>
      </w:r>
      <w:r w:rsidRPr="00FA3D3B">
        <w:rPr>
          <w:rFonts w:cs="Arial"/>
          <w:i/>
        </w:rPr>
        <w:t xml:space="preserve">Sex and Age Discrimination Legislation Amendment Act 2011 </w:t>
      </w:r>
      <w:r w:rsidRPr="00FA3D3B">
        <w:rPr>
          <w:rFonts w:cs="Arial"/>
        </w:rPr>
        <w:t>(</w:t>
      </w:r>
      <w:proofErr w:type="spellStart"/>
      <w:r w:rsidRPr="00FA3D3B">
        <w:rPr>
          <w:rFonts w:cs="Arial"/>
        </w:rPr>
        <w:t>Cth</w:t>
      </w:r>
      <w:proofErr w:type="spellEnd"/>
      <w:r w:rsidRPr="00FA3D3B">
        <w:rPr>
          <w:rFonts w:cs="Arial"/>
        </w:rPr>
        <w:t xml:space="preserve">), </w:t>
      </w:r>
      <w:proofErr w:type="spellStart"/>
      <w:r w:rsidRPr="00FA3D3B">
        <w:rPr>
          <w:rFonts w:cs="Arial"/>
        </w:rPr>
        <w:t>ss</w:t>
      </w:r>
      <w:proofErr w:type="spellEnd"/>
      <w:r w:rsidRPr="00FA3D3B">
        <w:rPr>
          <w:rFonts w:cs="Arial"/>
        </w:rPr>
        <w:t xml:space="preserve"> 53-59.</w:t>
      </w:r>
    </w:p>
  </w:endnote>
  <w:endnote w:id="2">
    <w:p w:rsidR="007B20C5" w:rsidRPr="00AE2C1C" w:rsidRDefault="007B20C5" w:rsidP="00E41966">
      <w:pPr>
        <w:pStyle w:val="EndnoteText"/>
        <w:spacing w:before="120" w:after="120"/>
        <w:rPr>
          <w:rFonts w:cs="Arial"/>
        </w:rPr>
      </w:pPr>
      <w:r w:rsidRPr="00FA3D3B">
        <w:rPr>
          <w:rStyle w:val="EndnoteReference"/>
          <w:rFonts w:cs="Arial"/>
        </w:rPr>
        <w:endnoteRef/>
      </w:r>
      <w:r w:rsidRPr="00FA3D3B">
        <w:rPr>
          <w:rFonts w:cs="Arial"/>
        </w:rPr>
        <w:t xml:space="preserve"> </w:t>
      </w:r>
      <w:r w:rsidRPr="00FA3D3B">
        <w:rPr>
          <w:rFonts w:cs="Arial"/>
          <w:i/>
        </w:rPr>
        <w:t xml:space="preserve">Sex Discrimination Amendment (Sexual Orientation, Gender Identity and Intersex Status) Act 2013 </w:t>
      </w:r>
      <w:r w:rsidRPr="00FA3D3B">
        <w:rPr>
          <w:rFonts w:cs="Arial"/>
        </w:rPr>
        <w:t>(</w:t>
      </w:r>
      <w:proofErr w:type="spellStart"/>
      <w:r w:rsidRPr="00FA3D3B">
        <w:rPr>
          <w:rFonts w:cs="Arial"/>
        </w:rPr>
        <w:t>Cth</w:t>
      </w:r>
      <w:proofErr w:type="spellEnd"/>
      <w:r w:rsidRPr="00FA3D3B">
        <w:rPr>
          <w:rFonts w:cs="Arial"/>
        </w:rPr>
        <w:t xml:space="preserve">), s </w:t>
      </w:r>
      <w:r w:rsidRPr="00AE2C1C">
        <w:rPr>
          <w:rFonts w:cs="Arial"/>
        </w:rPr>
        <w:t>28A (1A</w:t>
      </w:r>
      <w:proofErr w:type="gramStart"/>
      <w:r w:rsidRPr="00AE2C1C">
        <w:rPr>
          <w:rFonts w:cs="Arial"/>
        </w:rPr>
        <w:t>)(</w:t>
      </w:r>
      <w:proofErr w:type="gramEnd"/>
      <w:r w:rsidRPr="00AE2C1C">
        <w:rPr>
          <w:rFonts w:cs="Arial"/>
        </w:rPr>
        <w:t>a).</w:t>
      </w:r>
    </w:p>
  </w:endnote>
  <w:endnote w:id="3">
    <w:p w:rsidR="007B20C5" w:rsidRPr="00FA3D3B" w:rsidRDefault="007B20C5" w:rsidP="00E41966">
      <w:pPr>
        <w:pStyle w:val="EndnoteText"/>
        <w:spacing w:before="120" w:after="120"/>
        <w:rPr>
          <w:rFonts w:cs="Arial"/>
        </w:rPr>
      </w:pPr>
      <w:r w:rsidRPr="00E676C0">
        <w:rPr>
          <w:rStyle w:val="EndnoteReference"/>
          <w:rFonts w:cs="Arial"/>
        </w:rPr>
        <w:endnoteRef/>
      </w:r>
      <w:r w:rsidRPr="00A95DB8">
        <w:rPr>
          <w:rFonts w:cs="Arial"/>
        </w:rPr>
        <w:t xml:space="preserve"> Australian Human Rights Commission, </w:t>
      </w:r>
      <w:r w:rsidRPr="00A95DB8">
        <w:rPr>
          <w:rFonts w:cs="Arial"/>
          <w:i/>
        </w:rPr>
        <w:t xml:space="preserve">Working without Fear: Results of the 2012 Sexual Harassment National Telephone Survey </w:t>
      </w:r>
      <w:r w:rsidRPr="00A95DB8">
        <w:rPr>
          <w:rFonts w:cs="Arial"/>
        </w:rPr>
        <w:t xml:space="preserve">(2012), </w:t>
      </w:r>
      <w:proofErr w:type="spellStart"/>
      <w:r>
        <w:rPr>
          <w:rFonts w:cs="Arial"/>
        </w:rPr>
        <w:t>pp</w:t>
      </w:r>
      <w:proofErr w:type="spellEnd"/>
      <w:r>
        <w:rPr>
          <w:rFonts w:cs="Arial"/>
        </w:rPr>
        <w:t xml:space="preserve"> </w:t>
      </w:r>
      <w:r w:rsidRPr="00A95DB8">
        <w:rPr>
          <w:rFonts w:cs="Arial"/>
        </w:rPr>
        <w:t>4, 15, 16-17.</w:t>
      </w:r>
      <w:r>
        <w:rPr>
          <w:rFonts w:cs="Arial"/>
        </w:rPr>
        <w:t xml:space="preserve"> At: </w:t>
      </w:r>
      <w:hyperlink r:id="rId1" w:history="1">
        <w:r w:rsidRPr="00DC54D3">
          <w:rPr>
            <w:rStyle w:val="Hyperlink"/>
            <w:rFonts w:cs="Arial"/>
          </w:rPr>
          <w:t>http://www.humanrights.gov.au/working-without-fear-results-sexual-harassment-national-telephone-survey-2012</w:t>
        </w:r>
      </w:hyperlink>
      <w:r>
        <w:rPr>
          <w:rFonts w:cs="Arial"/>
        </w:rPr>
        <w:t xml:space="preserve"> (viewed 14 May 2014).</w:t>
      </w:r>
    </w:p>
  </w:endnote>
  <w:endnote w:id="4">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Above, 37.</w:t>
      </w:r>
      <w:proofErr w:type="gramEnd"/>
    </w:p>
  </w:endnote>
  <w:endnote w:id="5">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Above, 4, 15, 18.</w:t>
      </w:r>
    </w:p>
  </w:endnote>
  <w:endnote w:id="6">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r w:rsidRPr="00A95DB8">
        <w:rPr>
          <w:rFonts w:cs="Arial"/>
          <w:i/>
        </w:rPr>
        <w:t xml:space="preserve">Sex Discrimination Amendment (Sexual Orientation, Gender Identity and Intersex Status) Act 2013 </w:t>
      </w:r>
      <w:r w:rsidRPr="00A95DB8">
        <w:rPr>
          <w:rFonts w:cs="Arial"/>
        </w:rPr>
        <w:t>(</w:t>
      </w:r>
      <w:proofErr w:type="spellStart"/>
      <w:r w:rsidRPr="00A95DB8">
        <w:rPr>
          <w:rFonts w:cs="Arial"/>
        </w:rPr>
        <w:t>Cth</w:t>
      </w:r>
      <w:proofErr w:type="spellEnd"/>
      <w:r w:rsidRPr="00A95DB8">
        <w:rPr>
          <w:rFonts w:cs="Arial"/>
        </w:rPr>
        <w:t xml:space="preserve">), s 46; </w:t>
      </w:r>
      <w:r w:rsidRPr="00A95DB8">
        <w:rPr>
          <w:rFonts w:cs="Arial"/>
          <w:i/>
        </w:rPr>
        <w:t xml:space="preserve">Sex and Age Discrimination Legislation Amendment Act 2011 </w:t>
      </w:r>
      <w:r w:rsidRPr="00A95DB8">
        <w:rPr>
          <w:rFonts w:cs="Arial"/>
        </w:rPr>
        <w:t>(</w:t>
      </w:r>
      <w:proofErr w:type="spellStart"/>
      <w:r w:rsidRPr="00A95DB8">
        <w:rPr>
          <w:rFonts w:cs="Arial"/>
        </w:rPr>
        <w:t>Cth</w:t>
      </w:r>
      <w:proofErr w:type="spellEnd"/>
      <w:r w:rsidRPr="00A95DB8">
        <w:rPr>
          <w:rFonts w:cs="Arial"/>
        </w:rPr>
        <w:t xml:space="preserve">), </w:t>
      </w:r>
      <w:proofErr w:type="spellStart"/>
      <w:r w:rsidRPr="00A95DB8">
        <w:rPr>
          <w:rFonts w:cs="Arial"/>
        </w:rPr>
        <w:t>ss</w:t>
      </w:r>
      <w:proofErr w:type="spellEnd"/>
      <w:r w:rsidRPr="00A95DB8">
        <w:rPr>
          <w:rFonts w:cs="Arial"/>
        </w:rPr>
        <w:t xml:space="preserve"> 53-59.</w:t>
      </w:r>
    </w:p>
  </w:endnote>
  <w:endnote w:id="7">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State government instrumentalities and state government employees are exempt from the discrimination and sexual harassment provisions of the Sex Discrimination Act in relation to employment (see section 13).  The Act defines an ‘instrumentality of a State’ as ‘a body or authority established for a public purpose by a law of a State and includes a technical and further education institution conducted by or on behalf of a State, but does not include any other institution of tertiary education’ (section 4). The breadth of the State exemption has not been fully tested but would seem to include state government departments, statutory corporations, public authorities, local councils, state schools and state vocational education and training institutions. The exemption also applies to the Northern Territory and the Australian Capital Territory, which are defined as states in the Sex Discrimination Act. It should be noted that state government instrumentalities and state government employees are</w:t>
      </w:r>
      <w:r w:rsidRPr="00A95DB8">
        <w:rPr>
          <w:rFonts w:cs="Arial"/>
          <w:b/>
        </w:rPr>
        <w:t xml:space="preserve"> </w:t>
      </w:r>
      <w:r w:rsidRPr="00A95DB8">
        <w:rPr>
          <w:rFonts w:cs="Arial"/>
        </w:rPr>
        <w:t>required to comply with all non-employment related areas of the Sex Discrimination Act, such as the provision of goods and services under section 22 of the Sex Discrimination Act, and with state and territory anti-discrimination laws, which include sexual harassment provisions.</w:t>
      </w:r>
    </w:p>
  </w:endnote>
  <w:endnote w:id="8">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Australian Human Rights Commission, </w:t>
      </w:r>
      <w:r w:rsidRPr="00A95DB8">
        <w:rPr>
          <w:rFonts w:cs="Arial"/>
          <w:i/>
        </w:rPr>
        <w:t xml:space="preserve">Effectively Preventing and Responding to Sexual Harassment: A Code of Practice for Employers </w:t>
      </w:r>
      <w:r w:rsidRPr="00A95DB8">
        <w:rPr>
          <w:rFonts w:cs="Arial"/>
        </w:rPr>
        <w:t xml:space="preserve">(2008). At: </w:t>
      </w:r>
      <w:hyperlink r:id="rId2" w:history="1">
        <w:r w:rsidRPr="00A95DB8">
          <w:rPr>
            <w:rFonts w:cs="Arial"/>
            <w:color w:val="0000FF"/>
            <w:u w:val="single"/>
          </w:rPr>
          <w:t>http://humanrights.gov.au/sexualharassment/employers_code/index.html</w:t>
        </w:r>
      </w:hyperlink>
      <w:r w:rsidRPr="00A95DB8">
        <w:rPr>
          <w:rFonts w:cs="Arial"/>
          <w:color w:val="0000FF"/>
        </w:rPr>
        <w:t xml:space="preserve"> </w:t>
      </w:r>
      <w:r w:rsidRPr="00A95DB8">
        <w:rPr>
          <w:rFonts w:cs="Arial"/>
        </w:rPr>
        <w:t>(last viewed 30 July 2013).</w:t>
      </w:r>
    </w:p>
  </w:endnote>
  <w:endnote w:id="9">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Discrimination Act, s 48(</w:t>
      </w:r>
      <w:proofErr w:type="spellStart"/>
      <w:r w:rsidRPr="00A95DB8">
        <w:rPr>
          <w:rFonts w:cs="Arial"/>
        </w:rPr>
        <w:t>ga</w:t>
      </w:r>
      <w:proofErr w:type="spellEnd"/>
      <w:r w:rsidRPr="00A95DB8">
        <w:rPr>
          <w:rFonts w:cs="Arial"/>
        </w:rPr>
        <w:t>).</w:t>
      </w:r>
      <w:proofErr w:type="gramEnd"/>
    </w:p>
  </w:endnote>
  <w:endnote w:id="10">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Sex Discrimination Act, s </w:t>
      </w:r>
      <w:proofErr w:type="gramStart"/>
      <w:r w:rsidRPr="00A95DB8">
        <w:rPr>
          <w:rFonts w:cs="Arial"/>
        </w:rPr>
        <w:t>28A(</w:t>
      </w:r>
      <w:proofErr w:type="gramEnd"/>
      <w:r w:rsidRPr="00A95DB8">
        <w:rPr>
          <w:rFonts w:cs="Arial"/>
        </w:rPr>
        <w:t xml:space="preserve">1).  Section 28A(1) provides: </w:t>
      </w:r>
    </w:p>
    <w:p w:rsidR="007B20C5" w:rsidRPr="00A95DB8" w:rsidRDefault="007B20C5" w:rsidP="00E41966">
      <w:pPr>
        <w:pStyle w:val="EndnoteText"/>
        <w:spacing w:before="120" w:after="120"/>
        <w:ind w:left="284"/>
        <w:rPr>
          <w:rFonts w:cs="Arial"/>
        </w:rPr>
      </w:pPr>
      <w:r w:rsidRPr="00A95DB8">
        <w:rPr>
          <w:rFonts w:cs="Arial"/>
        </w:rPr>
        <w:t>For the purposes of this Division, a person sexually harasses another person (the person harassed) if:</w:t>
      </w:r>
    </w:p>
    <w:p w:rsidR="007B20C5" w:rsidRPr="00A95DB8" w:rsidRDefault="007B20C5" w:rsidP="00E41966">
      <w:pPr>
        <w:pStyle w:val="EndnoteText"/>
        <w:spacing w:before="120" w:after="120"/>
        <w:ind w:left="567"/>
        <w:rPr>
          <w:rFonts w:cs="Arial"/>
        </w:rPr>
      </w:pPr>
      <w:r w:rsidRPr="00A95DB8">
        <w:rPr>
          <w:rFonts w:cs="Arial"/>
        </w:rPr>
        <w:t>(a)  the person makes an unwelcome sexual advance, or an unwelcome request for sexual favours, to the person harassed; or</w:t>
      </w:r>
    </w:p>
    <w:p w:rsidR="007B20C5" w:rsidRPr="00A95DB8" w:rsidRDefault="007B20C5" w:rsidP="00E41966">
      <w:pPr>
        <w:pStyle w:val="EndnoteText"/>
        <w:spacing w:before="120" w:after="120"/>
        <w:ind w:left="567"/>
        <w:rPr>
          <w:rFonts w:cs="Arial"/>
        </w:rPr>
      </w:pPr>
      <w:r w:rsidRPr="00A95DB8">
        <w:rPr>
          <w:rFonts w:cs="Arial"/>
        </w:rPr>
        <w:t>(b)  engages in other unwelcome conduct of a sexual nature in relation to the person harassed;</w:t>
      </w:r>
    </w:p>
    <w:p w:rsidR="007B20C5" w:rsidRPr="00AE2C1C" w:rsidRDefault="007B20C5" w:rsidP="00E41966">
      <w:pPr>
        <w:pStyle w:val="EndnoteText"/>
        <w:spacing w:before="120" w:after="120"/>
        <w:ind w:left="284"/>
        <w:rPr>
          <w:rFonts w:cs="Arial"/>
        </w:rPr>
      </w:pPr>
      <w:proofErr w:type="gramStart"/>
      <w:r w:rsidRPr="00A95DB8">
        <w:rPr>
          <w:rFonts w:cs="Arial"/>
        </w:rPr>
        <w:t>in</w:t>
      </w:r>
      <w:proofErr w:type="gramEnd"/>
      <w:r w:rsidRPr="00A95DB8">
        <w:rPr>
          <w:rFonts w:cs="Arial"/>
        </w:rPr>
        <w:t xml:space="preserve"> circumstances in which a reasonable person, having regard to all the circumstances, would have anticipated the possibility that the person harassed would be offended, humiliated or intimidated.   </w:t>
      </w:r>
    </w:p>
  </w:endnote>
  <w:endnote w:id="11">
    <w:p w:rsidR="007B20C5" w:rsidRPr="00E676C0" w:rsidRDefault="007B20C5" w:rsidP="00E41966">
      <w:pPr>
        <w:pStyle w:val="EndnoteText"/>
        <w:spacing w:before="120" w:after="120"/>
        <w:rPr>
          <w:rFonts w:cs="Arial"/>
        </w:rPr>
      </w:pPr>
      <w:r w:rsidRPr="00E676C0">
        <w:rPr>
          <w:rStyle w:val="EndnoteReference"/>
          <w:rFonts w:cs="Arial"/>
        </w:rPr>
        <w:endnoteRef/>
      </w:r>
      <w:r w:rsidRPr="00E676C0">
        <w:rPr>
          <w:rFonts w:cs="Arial"/>
        </w:rPr>
        <w:t xml:space="preserve"> </w:t>
      </w:r>
      <w:proofErr w:type="gramStart"/>
      <w:r w:rsidRPr="00E676C0">
        <w:rPr>
          <w:rFonts w:cs="Arial"/>
        </w:rPr>
        <w:t xml:space="preserve">Sex Discrimination Act, </w:t>
      </w:r>
      <w:proofErr w:type="spellStart"/>
      <w:r w:rsidRPr="00E676C0">
        <w:rPr>
          <w:rFonts w:cs="Arial"/>
        </w:rPr>
        <w:t>ss</w:t>
      </w:r>
      <w:proofErr w:type="spellEnd"/>
      <w:r w:rsidRPr="00E676C0">
        <w:rPr>
          <w:rFonts w:cs="Arial"/>
        </w:rPr>
        <w:t xml:space="preserve"> 28B-28L.</w:t>
      </w:r>
      <w:proofErr w:type="gramEnd"/>
    </w:p>
  </w:endnote>
  <w:endnote w:id="12">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i/>
        </w:rPr>
        <w:t xml:space="preserve"> </w:t>
      </w:r>
      <w:proofErr w:type="gramStart"/>
      <w:r w:rsidRPr="00A95DB8">
        <w:rPr>
          <w:rFonts w:cs="Arial"/>
          <w:i/>
        </w:rPr>
        <w:t xml:space="preserve">Aldridge v Booth </w:t>
      </w:r>
      <w:r w:rsidRPr="00A95DB8">
        <w:rPr>
          <w:rFonts w:cs="Arial"/>
        </w:rPr>
        <w:t>(1988) 80 ALR 1 at 5.</w:t>
      </w:r>
      <w:proofErr w:type="gramEnd"/>
      <w:r w:rsidRPr="00A95DB8">
        <w:rPr>
          <w:rFonts w:cs="Arial"/>
        </w:rPr>
        <w:t xml:space="preserve"> </w:t>
      </w:r>
    </w:p>
  </w:endnote>
  <w:endnote w:id="13">
    <w:p w:rsidR="007B20C5" w:rsidRPr="00FA3D3B" w:rsidRDefault="007B20C5" w:rsidP="002472A0">
      <w:pPr>
        <w:pStyle w:val="EndnoteText"/>
        <w:spacing w:before="120" w:after="120"/>
        <w:rPr>
          <w:rFonts w:cs="Arial"/>
        </w:rPr>
      </w:pPr>
      <w:r w:rsidRPr="000A302B">
        <w:rPr>
          <w:rStyle w:val="EndnoteReference"/>
          <w:rFonts w:cs="Arial"/>
        </w:rPr>
        <w:endnoteRef/>
      </w:r>
      <w:r w:rsidRPr="00A95DB8">
        <w:rPr>
          <w:rFonts w:cs="Arial"/>
        </w:rPr>
        <w:t xml:space="preserve"> In </w:t>
      </w:r>
      <w:r w:rsidRPr="00A95DB8">
        <w:rPr>
          <w:rFonts w:cs="Arial"/>
          <w:i/>
        </w:rPr>
        <w:t xml:space="preserve">Hall &amp; </w:t>
      </w:r>
      <w:proofErr w:type="spellStart"/>
      <w:r w:rsidRPr="00A95DB8">
        <w:rPr>
          <w:rFonts w:cs="Arial"/>
          <w:i/>
        </w:rPr>
        <w:t>Ors</w:t>
      </w:r>
      <w:proofErr w:type="spellEnd"/>
      <w:r w:rsidRPr="00A95DB8">
        <w:rPr>
          <w:rFonts w:cs="Arial"/>
          <w:i/>
        </w:rPr>
        <w:t xml:space="preserve"> v A. A. </w:t>
      </w:r>
      <w:proofErr w:type="spellStart"/>
      <w:r w:rsidRPr="00A95DB8">
        <w:rPr>
          <w:rFonts w:cs="Arial"/>
          <w:i/>
        </w:rPr>
        <w:t>Sheiban</w:t>
      </w:r>
      <w:proofErr w:type="spellEnd"/>
      <w:r w:rsidRPr="00A95DB8">
        <w:rPr>
          <w:rFonts w:cs="Arial"/>
          <w:i/>
        </w:rPr>
        <w:t xml:space="preserve"> Pty Ltd &amp; </w:t>
      </w:r>
      <w:proofErr w:type="spellStart"/>
      <w:r w:rsidRPr="00A95DB8">
        <w:rPr>
          <w:rFonts w:cs="Arial"/>
          <w:i/>
        </w:rPr>
        <w:t>Ors</w:t>
      </w:r>
      <w:proofErr w:type="spellEnd"/>
      <w:r w:rsidRPr="00A95DB8">
        <w:rPr>
          <w:rFonts w:cs="Arial"/>
        </w:rPr>
        <w:t xml:space="preserve"> (1989) 85 ALR 503 at 526 Justice Lockhart stated that:</w:t>
      </w:r>
    </w:p>
    <w:p w:rsidR="007B20C5" w:rsidRPr="00AE2C1C" w:rsidRDefault="007B20C5" w:rsidP="002472A0">
      <w:pPr>
        <w:pStyle w:val="EndnoteText"/>
        <w:spacing w:before="120" w:after="120"/>
        <w:ind w:left="284"/>
        <w:rPr>
          <w:rFonts w:cs="Arial"/>
        </w:rPr>
      </w:pPr>
      <w:r w:rsidRPr="00A95DB8">
        <w:rPr>
          <w:rFonts w:cs="Arial"/>
        </w:rPr>
        <w:t>In principle, advances by an employer, particularly if there is a series of them, all of which may have been tolerated by an employee out of sympathy or out of lack of choice, and each of which or all of which may have been tolerated by the majority of women, may nevertheless contravene s. 28 [at the time the section of the Sex Discrimination Act prohibiting sexual harassment] if they otherwise “vex and annoy” so as to amount to sexual harassment.</w:t>
      </w:r>
    </w:p>
  </w:endnote>
  <w:endnote w:id="14">
    <w:p w:rsidR="007B20C5" w:rsidRPr="00FA3D3B" w:rsidRDefault="007B20C5" w:rsidP="008D31D2">
      <w:pPr>
        <w:pStyle w:val="EndnoteText"/>
        <w:spacing w:before="120" w:after="120"/>
        <w:rPr>
          <w:rFonts w:cs="Arial"/>
        </w:rPr>
      </w:pPr>
      <w:r w:rsidRPr="00E676C0">
        <w:rPr>
          <w:rStyle w:val="EndnoteReference"/>
          <w:rFonts w:cs="Arial"/>
        </w:rPr>
        <w:endnoteRef/>
      </w:r>
      <w:r w:rsidRPr="00E676C0">
        <w:rPr>
          <w:rFonts w:cs="Arial"/>
        </w:rPr>
        <w:t xml:space="preserve"> </w:t>
      </w:r>
      <w:proofErr w:type="spellStart"/>
      <w:r w:rsidRPr="00A95DB8">
        <w:rPr>
          <w:rFonts w:cs="Arial"/>
          <w:i/>
        </w:rPr>
        <w:t>Johanson</w:t>
      </w:r>
      <w:proofErr w:type="spellEnd"/>
      <w:r w:rsidRPr="00A95DB8">
        <w:rPr>
          <w:rFonts w:cs="Arial"/>
          <w:i/>
        </w:rPr>
        <w:t xml:space="preserve"> v </w:t>
      </w:r>
      <w:proofErr w:type="spellStart"/>
      <w:r w:rsidRPr="00A95DB8">
        <w:rPr>
          <w:rFonts w:cs="Arial"/>
          <w:i/>
        </w:rPr>
        <w:t>Blackledge</w:t>
      </w:r>
      <w:proofErr w:type="spellEnd"/>
      <w:r w:rsidRPr="00A95DB8">
        <w:rPr>
          <w:rFonts w:cs="Arial"/>
          <w:i/>
        </w:rPr>
        <w:t xml:space="preserve"> Meats</w:t>
      </w:r>
      <w:r w:rsidRPr="00A95DB8">
        <w:rPr>
          <w:rFonts w:cs="Arial"/>
        </w:rPr>
        <w:t xml:space="preserve"> [2001] FMC 6; </w:t>
      </w:r>
      <w:r w:rsidRPr="00A95DB8">
        <w:rPr>
          <w:rFonts w:cs="Arial"/>
          <w:i/>
        </w:rPr>
        <w:t xml:space="preserve">Smith v </w:t>
      </w:r>
      <w:proofErr w:type="spellStart"/>
      <w:r w:rsidRPr="00A95DB8">
        <w:rPr>
          <w:rFonts w:cs="Arial"/>
          <w:i/>
        </w:rPr>
        <w:t>Hehir</w:t>
      </w:r>
      <w:proofErr w:type="spellEnd"/>
      <w:r w:rsidRPr="00A95DB8">
        <w:rPr>
          <w:rFonts w:cs="Arial"/>
          <w:i/>
        </w:rPr>
        <w:t xml:space="preserve"> and Financial Advisors </w:t>
      </w:r>
      <w:proofErr w:type="spellStart"/>
      <w:r w:rsidRPr="00A95DB8">
        <w:rPr>
          <w:rFonts w:cs="Arial"/>
          <w:i/>
        </w:rPr>
        <w:t>Aust</w:t>
      </w:r>
      <w:proofErr w:type="spellEnd"/>
      <w:r w:rsidRPr="00A95DB8">
        <w:rPr>
          <w:rFonts w:cs="Arial"/>
          <w:i/>
        </w:rPr>
        <w:t xml:space="preserve"> Pty Ltd</w:t>
      </w:r>
      <w:r w:rsidRPr="00A95DB8">
        <w:rPr>
          <w:rFonts w:cs="Arial"/>
        </w:rPr>
        <w:t xml:space="preserve"> [2001] QADT 11 at 28; </w:t>
      </w:r>
      <w:r w:rsidRPr="00A95DB8">
        <w:rPr>
          <w:rFonts w:cs="Arial"/>
          <w:i/>
        </w:rPr>
        <w:t xml:space="preserve">Hall &amp; </w:t>
      </w:r>
      <w:proofErr w:type="spellStart"/>
      <w:r w:rsidRPr="00A95DB8">
        <w:rPr>
          <w:rFonts w:cs="Arial"/>
          <w:i/>
        </w:rPr>
        <w:t>Ors</w:t>
      </w:r>
      <w:proofErr w:type="spellEnd"/>
      <w:r w:rsidRPr="00A95DB8">
        <w:rPr>
          <w:rFonts w:cs="Arial"/>
          <w:i/>
        </w:rPr>
        <w:t xml:space="preserve"> v A. A. </w:t>
      </w:r>
      <w:proofErr w:type="spellStart"/>
      <w:r w:rsidRPr="00A95DB8">
        <w:rPr>
          <w:rFonts w:cs="Arial"/>
          <w:i/>
        </w:rPr>
        <w:t>Sheiban</w:t>
      </w:r>
      <w:proofErr w:type="spellEnd"/>
      <w:r w:rsidRPr="00A95DB8">
        <w:rPr>
          <w:rFonts w:cs="Arial"/>
          <w:i/>
        </w:rPr>
        <w:t xml:space="preserve"> Pty Ltd &amp; </w:t>
      </w:r>
      <w:proofErr w:type="spellStart"/>
      <w:r w:rsidRPr="00A95DB8">
        <w:rPr>
          <w:rFonts w:cs="Arial"/>
          <w:i/>
        </w:rPr>
        <w:t>Ors</w:t>
      </w:r>
      <w:proofErr w:type="spellEnd"/>
      <w:r w:rsidRPr="00A95DB8">
        <w:rPr>
          <w:rFonts w:cs="Arial"/>
        </w:rPr>
        <w:t xml:space="preserve"> (1989) 85 ALR 503 at 514-515. </w:t>
      </w:r>
    </w:p>
  </w:endnote>
  <w:endnote w:id="15">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r w:rsidRPr="00A95DB8">
        <w:rPr>
          <w:rFonts w:cs="Arial"/>
          <w:i/>
        </w:rPr>
        <w:t>Noble v Baldwin</w:t>
      </w:r>
      <w:r w:rsidRPr="00A95DB8">
        <w:rPr>
          <w:rFonts w:cs="Arial"/>
        </w:rPr>
        <w:t xml:space="preserve"> [2011] FMCA 283, [235] (Federal Magistrate Barnes), citing </w:t>
      </w:r>
      <w:r w:rsidRPr="00A95DB8">
        <w:rPr>
          <w:rFonts w:cs="Arial"/>
          <w:i/>
        </w:rPr>
        <w:t xml:space="preserve">Elliott v Nanda </w:t>
      </w:r>
      <w:r w:rsidRPr="00A95DB8">
        <w:rPr>
          <w:rFonts w:cs="Arial"/>
        </w:rPr>
        <w:t>(2001) 111 FCR 240 [108].</w:t>
      </w:r>
    </w:p>
  </w:endnote>
  <w:endnote w:id="16">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i/>
        </w:rPr>
        <w:t xml:space="preserve">Elliott v Nanda </w:t>
      </w:r>
      <w:r w:rsidRPr="00A95DB8">
        <w:rPr>
          <w:rFonts w:cs="Arial"/>
        </w:rPr>
        <w:t>(2001) 111 FCR 240.</w:t>
      </w:r>
      <w:proofErr w:type="gramEnd"/>
    </w:p>
  </w:endnote>
  <w:endnote w:id="17">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Pr>
          <w:rFonts w:cs="Arial"/>
        </w:rPr>
        <w:t>Above</w:t>
      </w:r>
      <w:r w:rsidRPr="00A95DB8">
        <w:rPr>
          <w:rFonts w:cs="Arial"/>
        </w:rPr>
        <w:t xml:space="preserve"> 277 [107].</w:t>
      </w:r>
      <w:proofErr w:type="gramEnd"/>
    </w:p>
  </w:endnote>
  <w:endnote w:id="18">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i/>
        </w:rPr>
        <w:t xml:space="preserve">Aldridge v Booth &amp; </w:t>
      </w:r>
      <w:proofErr w:type="spellStart"/>
      <w:r w:rsidRPr="00A95DB8">
        <w:rPr>
          <w:rFonts w:cs="Arial"/>
          <w:i/>
        </w:rPr>
        <w:t>Ors</w:t>
      </w:r>
      <w:proofErr w:type="spellEnd"/>
      <w:r w:rsidRPr="00A95DB8">
        <w:rPr>
          <w:rFonts w:cs="Arial"/>
          <w:i/>
        </w:rPr>
        <w:t xml:space="preserve"> </w:t>
      </w:r>
      <w:r w:rsidRPr="00A95DB8">
        <w:rPr>
          <w:rFonts w:cs="Arial"/>
        </w:rPr>
        <w:t>(1986) EOC 92-177.</w:t>
      </w:r>
      <w:proofErr w:type="gramEnd"/>
    </w:p>
  </w:endnote>
  <w:endnote w:id="19">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r>
        <w:rPr>
          <w:rFonts w:cs="Arial"/>
        </w:rPr>
        <w:t>For example</w:t>
      </w:r>
      <w:r w:rsidRPr="00A95DB8">
        <w:rPr>
          <w:rFonts w:cs="Arial"/>
        </w:rPr>
        <w:t xml:space="preserve">, </w:t>
      </w:r>
      <w:r>
        <w:rPr>
          <w:rFonts w:cs="Arial"/>
        </w:rPr>
        <w:t xml:space="preserve">see </w:t>
      </w:r>
      <w:r w:rsidRPr="00A95DB8">
        <w:rPr>
          <w:rFonts w:cs="Arial"/>
        </w:rPr>
        <w:t xml:space="preserve">above. </w:t>
      </w:r>
    </w:p>
  </w:endnote>
  <w:endnote w:id="20">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i/>
        </w:rPr>
        <w:t xml:space="preserve">Kraus v </w:t>
      </w:r>
      <w:proofErr w:type="spellStart"/>
      <w:r w:rsidRPr="00A95DB8">
        <w:rPr>
          <w:rFonts w:cs="Arial"/>
          <w:i/>
        </w:rPr>
        <w:t>Menzie</w:t>
      </w:r>
      <w:proofErr w:type="spellEnd"/>
      <w:r w:rsidRPr="00A95DB8">
        <w:rPr>
          <w:rFonts w:cs="Arial"/>
          <w:i/>
        </w:rPr>
        <w:t xml:space="preserve"> and The Truck Factory Pty Ltd </w:t>
      </w:r>
      <w:r w:rsidRPr="00A95DB8">
        <w:rPr>
          <w:rFonts w:cs="Arial"/>
        </w:rPr>
        <w:t>[2012] FCA 3.</w:t>
      </w:r>
      <w:proofErr w:type="gramEnd"/>
    </w:p>
  </w:endnote>
  <w:endnote w:id="21">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Above</w:t>
      </w:r>
      <w:r w:rsidRPr="00A95DB8">
        <w:rPr>
          <w:rFonts w:cs="Arial"/>
          <w:i/>
        </w:rPr>
        <w:t xml:space="preserve"> </w:t>
      </w:r>
      <w:r w:rsidRPr="00A95DB8">
        <w:rPr>
          <w:rFonts w:cs="Arial"/>
        </w:rPr>
        <w:t>[45].</w:t>
      </w:r>
      <w:proofErr w:type="gramEnd"/>
    </w:p>
  </w:endnote>
  <w:endnote w:id="22">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Sex Discrimination Act, </w:t>
      </w:r>
      <w:proofErr w:type="spellStart"/>
      <w:r w:rsidRPr="00A95DB8">
        <w:rPr>
          <w:rFonts w:cs="Arial"/>
        </w:rPr>
        <w:t>ss</w:t>
      </w:r>
      <w:proofErr w:type="spellEnd"/>
      <w:r w:rsidRPr="00A95DB8">
        <w:rPr>
          <w:rFonts w:cs="Arial"/>
        </w:rPr>
        <w:t xml:space="preserve"> </w:t>
      </w:r>
      <w:proofErr w:type="gramStart"/>
      <w:r w:rsidRPr="00A95DB8">
        <w:rPr>
          <w:rFonts w:cs="Arial"/>
        </w:rPr>
        <w:t>28A(</w:t>
      </w:r>
      <w:proofErr w:type="gramEnd"/>
      <w:r w:rsidRPr="00A95DB8">
        <w:rPr>
          <w:rFonts w:cs="Arial"/>
        </w:rPr>
        <w:t>1), 28A(2).</w:t>
      </w:r>
    </w:p>
  </w:endnote>
  <w:endnote w:id="23">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Complaints are resolved in conciliation at the Australian Human Rights Commission on a without-admission-of-liability basis.  </w:t>
      </w:r>
    </w:p>
  </w:endnote>
  <w:endnote w:id="24">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spellStart"/>
      <w:proofErr w:type="gramStart"/>
      <w:r w:rsidRPr="00A95DB8">
        <w:rPr>
          <w:rFonts w:cs="Arial"/>
          <w:i/>
        </w:rPr>
        <w:t>Shiels</w:t>
      </w:r>
      <w:proofErr w:type="spellEnd"/>
      <w:r w:rsidRPr="00A95DB8">
        <w:rPr>
          <w:rFonts w:cs="Arial"/>
          <w:i/>
        </w:rPr>
        <w:t xml:space="preserve"> v James and </w:t>
      </w:r>
      <w:proofErr w:type="spellStart"/>
      <w:r w:rsidRPr="00A95DB8">
        <w:rPr>
          <w:rFonts w:cs="Arial"/>
          <w:i/>
        </w:rPr>
        <w:t>Lipman</w:t>
      </w:r>
      <w:proofErr w:type="spellEnd"/>
      <w:r w:rsidRPr="00A95DB8">
        <w:rPr>
          <w:rFonts w:cs="Arial"/>
          <w:i/>
        </w:rPr>
        <w:t xml:space="preserve"> Pty Ltd</w:t>
      </w:r>
      <w:r w:rsidRPr="00A95DB8">
        <w:rPr>
          <w:rFonts w:cs="Arial"/>
        </w:rPr>
        <w:t xml:space="preserve"> [2000] FMCA 2 [72].</w:t>
      </w:r>
      <w:proofErr w:type="gramEnd"/>
      <w:r w:rsidRPr="00A95DB8">
        <w:rPr>
          <w:rFonts w:cs="Arial"/>
        </w:rPr>
        <w:t xml:space="preserve">  See also </w:t>
      </w:r>
      <w:proofErr w:type="spellStart"/>
      <w:r w:rsidRPr="00A95DB8">
        <w:rPr>
          <w:rFonts w:cs="Arial"/>
          <w:i/>
          <w:iCs/>
        </w:rPr>
        <w:t>Harwin</w:t>
      </w:r>
      <w:proofErr w:type="spellEnd"/>
      <w:r w:rsidRPr="00A95DB8">
        <w:rPr>
          <w:rFonts w:cs="Arial"/>
          <w:i/>
          <w:iCs/>
        </w:rPr>
        <w:t xml:space="preserve"> v </w:t>
      </w:r>
      <w:proofErr w:type="spellStart"/>
      <w:r w:rsidRPr="00A95DB8">
        <w:rPr>
          <w:rFonts w:cs="Arial"/>
          <w:i/>
          <w:iCs/>
        </w:rPr>
        <w:t>Pateluch</w:t>
      </w:r>
      <w:proofErr w:type="spellEnd"/>
      <w:r w:rsidRPr="00A95DB8">
        <w:rPr>
          <w:rFonts w:cs="Arial"/>
          <w:i/>
          <w:iCs/>
        </w:rPr>
        <w:t xml:space="preserve"> </w:t>
      </w:r>
      <w:r w:rsidRPr="00A95DB8">
        <w:rPr>
          <w:rFonts w:cs="Arial"/>
        </w:rPr>
        <w:t xml:space="preserve">[1995] HREOCA 23 (extract at (1995) EOC 92-770).  </w:t>
      </w:r>
    </w:p>
  </w:endnote>
  <w:endnote w:id="25">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spellStart"/>
      <w:proofErr w:type="gramStart"/>
      <w:r w:rsidRPr="00A95DB8">
        <w:rPr>
          <w:rFonts w:cs="Arial"/>
          <w:i/>
        </w:rPr>
        <w:t>Aleksovski</w:t>
      </w:r>
      <w:proofErr w:type="spellEnd"/>
      <w:r w:rsidRPr="00A95DB8">
        <w:rPr>
          <w:rFonts w:cs="Arial"/>
          <w:i/>
        </w:rPr>
        <w:t xml:space="preserve"> v Australia Asia Aerospace Pty Ltd </w:t>
      </w:r>
      <w:r w:rsidRPr="00A95DB8">
        <w:rPr>
          <w:rFonts w:cs="Arial"/>
        </w:rPr>
        <w:t>[2002] FMCA 81.</w:t>
      </w:r>
      <w:proofErr w:type="gramEnd"/>
    </w:p>
  </w:endnote>
  <w:endnote w:id="26">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r w:rsidRPr="00A95DB8">
        <w:rPr>
          <w:rFonts w:cs="Arial"/>
          <w:i/>
        </w:rPr>
        <w:t>G v R and Department of Health, Housing and Community Services</w:t>
      </w:r>
      <w:r w:rsidRPr="00A95DB8">
        <w:rPr>
          <w:rFonts w:cs="Arial"/>
        </w:rPr>
        <w:t xml:space="preserve"> [1993] HREOCA 20.  </w:t>
      </w:r>
    </w:p>
  </w:endnote>
  <w:endnote w:id="27">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i/>
        </w:rPr>
        <w:t xml:space="preserve">Freestone v </w:t>
      </w:r>
      <w:proofErr w:type="spellStart"/>
      <w:r w:rsidRPr="00A95DB8">
        <w:rPr>
          <w:rFonts w:cs="Arial"/>
          <w:i/>
        </w:rPr>
        <w:t>Kozma</w:t>
      </w:r>
      <w:proofErr w:type="spellEnd"/>
      <w:r w:rsidRPr="00A95DB8">
        <w:rPr>
          <w:rFonts w:cs="Arial"/>
          <w:i/>
        </w:rPr>
        <w:t xml:space="preserve"> </w:t>
      </w:r>
      <w:r w:rsidRPr="00A95DB8">
        <w:rPr>
          <w:rFonts w:cs="Arial"/>
        </w:rPr>
        <w:t>(1989) EOC 92-249 at 77,377.</w:t>
      </w:r>
      <w:proofErr w:type="gramEnd"/>
      <w:r w:rsidRPr="00A95DB8">
        <w:rPr>
          <w:rFonts w:cs="Arial"/>
        </w:rPr>
        <w:t xml:space="preserve"> </w:t>
      </w:r>
    </w:p>
  </w:endnote>
  <w:endnote w:id="28">
    <w:p w:rsidR="007B20C5" w:rsidRPr="00E676C0" w:rsidRDefault="007B20C5" w:rsidP="00E41966">
      <w:pPr>
        <w:spacing w:before="120" w:after="120"/>
        <w:rPr>
          <w:rFonts w:cs="Arial"/>
          <w:sz w:val="20"/>
          <w:szCs w:val="20"/>
        </w:rPr>
      </w:pPr>
      <w:r w:rsidRPr="00AE2C1C">
        <w:rPr>
          <w:rStyle w:val="EndnoteReference"/>
          <w:rFonts w:cs="Arial"/>
          <w:szCs w:val="20"/>
        </w:rPr>
        <w:endnoteRef/>
      </w:r>
      <w:r w:rsidRPr="00AE2C1C">
        <w:rPr>
          <w:rFonts w:cs="Arial"/>
          <w:sz w:val="20"/>
          <w:szCs w:val="20"/>
        </w:rPr>
        <w:t xml:space="preserve"> </w:t>
      </w:r>
      <w:proofErr w:type="gramStart"/>
      <w:r w:rsidRPr="00AE2C1C">
        <w:rPr>
          <w:rFonts w:cs="Arial"/>
          <w:i/>
          <w:sz w:val="20"/>
          <w:szCs w:val="20"/>
        </w:rPr>
        <w:t>Horne v Press Clough Joint Venture</w:t>
      </w:r>
      <w:r w:rsidRPr="00E676C0">
        <w:rPr>
          <w:rFonts w:cs="Arial"/>
          <w:sz w:val="20"/>
          <w:szCs w:val="20"/>
        </w:rPr>
        <w:t xml:space="preserve"> (1994) EOC 92-556; (1994) EOC 92-591.</w:t>
      </w:r>
      <w:proofErr w:type="gramEnd"/>
    </w:p>
  </w:endnote>
  <w:endnote w:id="29">
    <w:p w:rsidR="007B20C5" w:rsidRPr="00FA3D3B" w:rsidRDefault="007B20C5" w:rsidP="00E41966">
      <w:pPr>
        <w:pStyle w:val="SubmissionNormal"/>
        <w:numPr>
          <w:ilvl w:val="0"/>
          <w:numId w:val="0"/>
        </w:numPr>
        <w:spacing w:before="120" w:after="120"/>
        <w:rPr>
          <w:rFonts w:cs="Arial"/>
          <w:sz w:val="20"/>
          <w:szCs w:val="20"/>
        </w:rPr>
      </w:pPr>
      <w:r w:rsidRPr="00A95DB8">
        <w:rPr>
          <w:rStyle w:val="EndnoteReference"/>
          <w:rFonts w:cs="Arial"/>
          <w:szCs w:val="20"/>
        </w:rPr>
        <w:endnoteRef/>
      </w:r>
      <w:r w:rsidRPr="00A95DB8">
        <w:rPr>
          <w:rFonts w:cs="Arial"/>
          <w:sz w:val="20"/>
          <w:szCs w:val="20"/>
        </w:rPr>
        <w:t xml:space="preserve"> </w:t>
      </w:r>
      <w:proofErr w:type="spellStart"/>
      <w:proofErr w:type="gramStart"/>
      <w:r w:rsidRPr="00A95DB8">
        <w:rPr>
          <w:rFonts w:cs="Arial"/>
          <w:i/>
          <w:sz w:val="20"/>
          <w:szCs w:val="20"/>
        </w:rPr>
        <w:t>Lulham</w:t>
      </w:r>
      <w:proofErr w:type="spellEnd"/>
      <w:r w:rsidRPr="00A95DB8">
        <w:rPr>
          <w:rFonts w:cs="Arial"/>
          <w:i/>
          <w:sz w:val="20"/>
          <w:szCs w:val="20"/>
        </w:rPr>
        <w:t xml:space="preserve"> v Shanahan, Watkins Steel and </w:t>
      </w:r>
      <w:proofErr w:type="spellStart"/>
      <w:r w:rsidRPr="00A95DB8">
        <w:rPr>
          <w:rFonts w:cs="Arial"/>
          <w:i/>
          <w:sz w:val="20"/>
          <w:szCs w:val="20"/>
        </w:rPr>
        <w:t>Ors</w:t>
      </w:r>
      <w:proofErr w:type="spellEnd"/>
      <w:r w:rsidRPr="00A95DB8">
        <w:rPr>
          <w:rFonts w:cs="Arial"/>
          <w:sz w:val="20"/>
          <w:szCs w:val="20"/>
        </w:rPr>
        <w:t xml:space="preserve"> [2003] QADT 11.</w:t>
      </w:r>
      <w:proofErr w:type="gramEnd"/>
      <w:r w:rsidRPr="00A95DB8">
        <w:rPr>
          <w:rFonts w:cs="Arial"/>
          <w:sz w:val="20"/>
          <w:szCs w:val="20"/>
        </w:rPr>
        <w:t xml:space="preserve">  </w:t>
      </w:r>
    </w:p>
  </w:endnote>
  <w:endnote w:id="30">
    <w:p w:rsidR="007B20C5" w:rsidRPr="00FA3D3B" w:rsidRDefault="007B20C5" w:rsidP="00E41966">
      <w:pPr>
        <w:pStyle w:val="SubmissionNormal"/>
        <w:numPr>
          <w:ilvl w:val="0"/>
          <w:numId w:val="0"/>
        </w:numPr>
        <w:spacing w:before="120" w:after="120"/>
        <w:rPr>
          <w:rFonts w:cs="Arial"/>
          <w:sz w:val="20"/>
          <w:szCs w:val="20"/>
        </w:rPr>
      </w:pPr>
      <w:r w:rsidRPr="00A95DB8">
        <w:rPr>
          <w:rStyle w:val="EndnoteReference"/>
          <w:rFonts w:cs="Arial"/>
          <w:szCs w:val="20"/>
        </w:rPr>
        <w:endnoteRef/>
      </w:r>
      <w:r w:rsidRPr="00A95DB8">
        <w:rPr>
          <w:rFonts w:cs="Arial"/>
          <w:i/>
          <w:sz w:val="20"/>
          <w:szCs w:val="20"/>
        </w:rPr>
        <w:t xml:space="preserve"> </w:t>
      </w:r>
      <w:r w:rsidRPr="00A95DB8">
        <w:rPr>
          <w:rFonts w:cs="Arial"/>
          <w:sz w:val="20"/>
          <w:szCs w:val="20"/>
        </w:rPr>
        <w:t xml:space="preserve">Complaints are resolved in conciliation at the Australian Human Rights Commission on a without-admission-of-liability basis.  </w:t>
      </w:r>
    </w:p>
  </w:endnote>
  <w:endnote w:id="31">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i/>
        </w:rPr>
        <w:t xml:space="preserve">Font v </w:t>
      </w:r>
      <w:proofErr w:type="spellStart"/>
      <w:r w:rsidRPr="00A95DB8">
        <w:rPr>
          <w:rFonts w:cs="Arial"/>
          <w:i/>
        </w:rPr>
        <w:t>Paspaley</w:t>
      </w:r>
      <w:proofErr w:type="spellEnd"/>
      <w:r w:rsidRPr="00A95DB8">
        <w:rPr>
          <w:rFonts w:cs="Arial"/>
          <w:i/>
        </w:rPr>
        <w:t xml:space="preserve"> Pearls</w:t>
      </w:r>
      <w:r w:rsidRPr="00A95DB8">
        <w:rPr>
          <w:rFonts w:cs="Arial"/>
        </w:rPr>
        <w:t xml:space="preserve"> [2002] FMCA 142.</w:t>
      </w:r>
      <w:proofErr w:type="gramEnd"/>
    </w:p>
  </w:endnote>
  <w:endnote w:id="32">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i/>
          <w:iCs/>
        </w:rPr>
        <w:t xml:space="preserve">Noble v Baldwin &amp; </w:t>
      </w:r>
      <w:proofErr w:type="spellStart"/>
      <w:r w:rsidRPr="00A95DB8">
        <w:rPr>
          <w:rFonts w:cs="Arial"/>
          <w:i/>
          <w:iCs/>
        </w:rPr>
        <w:t>Anor</w:t>
      </w:r>
      <w:proofErr w:type="spellEnd"/>
      <w:r w:rsidRPr="00A95DB8">
        <w:rPr>
          <w:rFonts w:cs="Arial"/>
        </w:rPr>
        <w:t xml:space="preserve"> [2011] FMCA 283.</w:t>
      </w:r>
      <w:proofErr w:type="gramEnd"/>
    </w:p>
  </w:endnote>
  <w:endnote w:id="33">
    <w:p w:rsidR="007B20C5" w:rsidRPr="00DF4B8B" w:rsidRDefault="007B20C5" w:rsidP="00E41966">
      <w:pPr>
        <w:spacing w:before="120" w:after="120"/>
        <w:rPr>
          <w:rFonts w:cs="Arial"/>
          <w:sz w:val="20"/>
          <w:szCs w:val="20"/>
        </w:rPr>
      </w:pPr>
      <w:r w:rsidRPr="00AE2C1C">
        <w:rPr>
          <w:rStyle w:val="EndnoteReference"/>
          <w:rFonts w:cs="Arial"/>
          <w:szCs w:val="20"/>
        </w:rPr>
        <w:endnoteRef/>
      </w:r>
      <w:r w:rsidRPr="00AE2C1C">
        <w:rPr>
          <w:rFonts w:cs="Arial"/>
          <w:sz w:val="20"/>
          <w:szCs w:val="20"/>
        </w:rPr>
        <w:t xml:space="preserve"> </w:t>
      </w:r>
      <w:bookmarkStart w:id="21" w:name="PNUM_250"/>
      <w:proofErr w:type="gramStart"/>
      <w:r w:rsidRPr="00AE2C1C">
        <w:rPr>
          <w:rFonts w:cs="Arial"/>
          <w:iCs/>
          <w:sz w:val="20"/>
          <w:szCs w:val="20"/>
        </w:rPr>
        <w:t>Above</w:t>
      </w:r>
      <w:r w:rsidRPr="00E676C0">
        <w:rPr>
          <w:rFonts w:cs="Arial"/>
          <w:i/>
          <w:iCs/>
          <w:sz w:val="20"/>
          <w:szCs w:val="20"/>
        </w:rPr>
        <w:t xml:space="preserve"> </w:t>
      </w:r>
      <w:r w:rsidRPr="00E676C0">
        <w:rPr>
          <w:rStyle w:val="bold"/>
          <w:rFonts w:cs="Arial"/>
          <w:sz w:val="20"/>
          <w:szCs w:val="20"/>
        </w:rPr>
        <w:t>[250]</w:t>
      </w:r>
      <w:bookmarkEnd w:id="21"/>
      <w:r w:rsidRPr="00E676C0">
        <w:rPr>
          <w:rStyle w:val="bold"/>
          <w:rFonts w:cs="Arial"/>
          <w:sz w:val="20"/>
          <w:szCs w:val="20"/>
        </w:rPr>
        <w:t>.</w:t>
      </w:r>
      <w:proofErr w:type="gramEnd"/>
    </w:p>
  </w:endnote>
  <w:endnote w:id="34">
    <w:p w:rsidR="007B20C5" w:rsidRPr="00E676C0" w:rsidRDefault="007B20C5" w:rsidP="00E41966">
      <w:pPr>
        <w:spacing w:before="120" w:after="120"/>
        <w:rPr>
          <w:rFonts w:cs="Arial"/>
          <w:sz w:val="20"/>
          <w:szCs w:val="20"/>
        </w:rPr>
      </w:pPr>
      <w:r w:rsidRPr="00AE2C1C">
        <w:rPr>
          <w:rStyle w:val="EndnoteReference"/>
          <w:rFonts w:cs="Arial"/>
          <w:szCs w:val="20"/>
        </w:rPr>
        <w:endnoteRef/>
      </w:r>
      <w:r w:rsidRPr="00AE2C1C">
        <w:rPr>
          <w:rFonts w:cs="Arial"/>
          <w:sz w:val="20"/>
          <w:szCs w:val="20"/>
        </w:rPr>
        <w:t xml:space="preserve"> </w:t>
      </w:r>
      <w:proofErr w:type="spellStart"/>
      <w:proofErr w:type="gramStart"/>
      <w:r w:rsidRPr="00AE2C1C">
        <w:rPr>
          <w:rFonts w:cs="Arial"/>
          <w:i/>
          <w:sz w:val="20"/>
          <w:szCs w:val="20"/>
        </w:rPr>
        <w:t>Poniatowska</w:t>
      </w:r>
      <w:proofErr w:type="spellEnd"/>
      <w:r w:rsidRPr="00AE2C1C">
        <w:rPr>
          <w:rFonts w:cs="Arial"/>
          <w:i/>
          <w:sz w:val="20"/>
          <w:szCs w:val="20"/>
        </w:rPr>
        <w:t xml:space="preserve"> v </w:t>
      </w:r>
      <w:proofErr w:type="spellStart"/>
      <w:r w:rsidRPr="00AE2C1C">
        <w:rPr>
          <w:rFonts w:cs="Arial"/>
          <w:i/>
          <w:sz w:val="20"/>
          <w:szCs w:val="20"/>
        </w:rPr>
        <w:t>Hickinbotham</w:t>
      </w:r>
      <w:proofErr w:type="spellEnd"/>
      <w:r w:rsidRPr="00AE2C1C">
        <w:rPr>
          <w:rFonts w:cs="Arial"/>
          <w:i/>
          <w:sz w:val="20"/>
          <w:szCs w:val="20"/>
        </w:rPr>
        <w:t xml:space="preserve"> </w:t>
      </w:r>
      <w:r w:rsidRPr="00E676C0">
        <w:rPr>
          <w:rFonts w:cs="Arial"/>
          <w:sz w:val="20"/>
          <w:szCs w:val="20"/>
        </w:rPr>
        <w:t>[2009] FCA 680.</w:t>
      </w:r>
      <w:proofErr w:type="gramEnd"/>
    </w:p>
  </w:endnote>
  <w:endnote w:id="35">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[2009] FCA 680, [289].</w:t>
      </w:r>
      <w:proofErr w:type="gramEnd"/>
    </w:p>
  </w:endnote>
  <w:endnote w:id="36">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and Age Discrimination Legislation Amendment Act, s 54.</w:t>
      </w:r>
      <w:proofErr w:type="gramEnd"/>
    </w:p>
  </w:endnote>
  <w:endnote w:id="37">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Discrimination Amendment (Sexual Orientation, Gender Identity and Intersex Status) Act, s 46.</w:t>
      </w:r>
      <w:proofErr w:type="gramEnd"/>
    </w:p>
  </w:endnote>
  <w:endnote w:id="38">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Sex Discrimination Act, s </w:t>
      </w:r>
      <w:proofErr w:type="gramStart"/>
      <w:r w:rsidRPr="00A95DB8">
        <w:rPr>
          <w:rFonts w:cs="Arial"/>
        </w:rPr>
        <w:t>28A(</w:t>
      </w:r>
      <w:proofErr w:type="gramEnd"/>
      <w:r w:rsidRPr="00A95DB8">
        <w:rPr>
          <w:rFonts w:cs="Arial"/>
        </w:rPr>
        <w:t>1A).</w:t>
      </w:r>
    </w:p>
  </w:endnote>
  <w:endnote w:id="39">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Complaints are resolved in conciliation at the Australian Human Rights Commission on a without-admission-of-liability basis.  </w:t>
      </w:r>
    </w:p>
  </w:endnote>
  <w:endnote w:id="40">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Sex Discrimination Act, </w:t>
      </w:r>
      <w:proofErr w:type="spellStart"/>
      <w:r w:rsidRPr="00A95DB8">
        <w:rPr>
          <w:rFonts w:cs="Arial"/>
        </w:rPr>
        <w:t>ss</w:t>
      </w:r>
      <w:proofErr w:type="spellEnd"/>
      <w:r w:rsidRPr="00A95DB8">
        <w:rPr>
          <w:rFonts w:cs="Arial"/>
        </w:rPr>
        <w:t xml:space="preserve"> </w:t>
      </w:r>
      <w:proofErr w:type="gramStart"/>
      <w:r w:rsidRPr="00A95DB8">
        <w:rPr>
          <w:rFonts w:cs="Arial"/>
        </w:rPr>
        <w:t>28B(</w:t>
      </w:r>
      <w:proofErr w:type="gramEnd"/>
      <w:r w:rsidRPr="00A95DB8">
        <w:rPr>
          <w:rFonts w:cs="Arial"/>
        </w:rPr>
        <w:t>1)-28B(6).</w:t>
      </w:r>
    </w:p>
  </w:endnote>
  <w:endnote w:id="41">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Above, s 4 (defining ‘employment’ to include: ‘(a) part-time and temporary employment; (b) work under a contract for services; and (c) work as a Commonwealth employee’.</w:t>
      </w:r>
    </w:p>
  </w:endnote>
  <w:endnote w:id="42">
    <w:p w:rsidR="007B20C5" w:rsidRPr="000A302B" w:rsidRDefault="007B20C5">
      <w:pPr>
        <w:pStyle w:val="EndnoteText"/>
        <w:rPr>
          <w:rFonts w:cs="Arial"/>
        </w:rPr>
      </w:pPr>
      <w:r w:rsidRPr="000A302B">
        <w:rPr>
          <w:rStyle w:val="EndnoteReference"/>
          <w:rFonts w:cs="Arial"/>
        </w:rPr>
        <w:endnoteRef/>
      </w:r>
      <w:r w:rsidRPr="00A95DB8">
        <w:rPr>
          <w:rFonts w:cs="Arial"/>
        </w:rPr>
        <w:t xml:space="preserve"> Above, s3 (1) (defining’ commission agent’…)</w:t>
      </w:r>
    </w:p>
  </w:endnote>
  <w:endnote w:id="43">
    <w:p w:rsidR="007B20C5" w:rsidRPr="00FA3D3B" w:rsidRDefault="007B20C5" w:rsidP="00E41966">
      <w:pPr>
        <w:pStyle w:val="EndnoteText"/>
        <w:spacing w:before="120" w:after="120"/>
        <w:rPr>
          <w:rFonts w:cs="Arial"/>
        </w:rPr>
      </w:pPr>
      <w:r w:rsidRPr="00471879">
        <w:rPr>
          <w:rStyle w:val="EndnoteReference"/>
          <w:rFonts w:cs="Arial"/>
        </w:rPr>
        <w:endnoteRef/>
      </w:r>
      <w:r w:rsidRPr="00A95DB8">
        <w:rPr>
          <w:rFonts w:cs="Arial"/>
        </w:rPr>
        <w:t xml:space="preserve"> Above, s </w:t>
      </w:r>
      <w:proofErr w:type="gramStart"/>
      <w:r w:rsidRPr="00A95DB8">
        <w:rPr>
          <w:rFonts w:cs="Arial"/>
        </w:rPr>
        <w:t>28B(</w:t>
      </w:r>
      <w:proofErr w:type="gramEnd"/>
      <w:r w:rsidRPr="00A95DB8">
        <w:rPr>
          <w:rFonts w:cs="Arial"/>
        </w:rPr>
        <w:t>7) (defining ‘workplace participant’ as (a) an employer or employee; (b) a commission agent or contract worker; (c) a partner in a partnership’.).</w:t>
      </w:r>
    </w:p>
  </w:endnote>
  <w:endnote w:id="44">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Discrimination Act, s 28C.</w:t>
      </w:r>
      <w:proofErr w:type="gramEnd"/>
      <w:r w:rsidRPr="00A95DB8">
        <w:rPr>
          <w:rFonts w:cs="Arial"/>
        </w:rPr>
        <w:t xml:space="preserve">  This section defines ‘action in connection with an occupational qualification’ as ‘conferring, renewing, extending, revoking or withdrawing an authorisation or qualification that is needed for, or facilitates: (a) practising a profession; or (b) carrying on a trade; or (c) engaging in an occupation’. </w:t>
      </w:r>
    </w:p>
  </w:endnote>
  <w:endnote w:id="45">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Discrimination Act, s 28D.</w:t>
      </w:r>
      <w:proofErr w:type="gramEnd"/>
      <w:r w:rsidRPr="00A95DB8">
        <w:rPr>
          <w:rFonts w:cs="Arial"/>
        </w:rPr>
        <w:t xml:space="preserve">  This section defines a ‘registered organisation’ as ‘an organisation registered, or an association recognised, under the </w:t>
      </w:r>
      <w:r w:rsidRPr="00A95DB8">
        <w:rPr>
          <w:rFonts w:cs="Arial"/>
          <w:i/>
        </w:rPr>
        <w:t>Fair Work (Registered Organisations) Act 2009</w:t>
      </w:r>
      <w:r w:rsidRPr="00A95DB8">
        <w:rPr>
          <w:rFonts w:cs="Arial"/>
        </w:rPr>
        <w:t xml:space="preserve">’. </w:t>
      </w:r>
    </w:p>
  </w:endnote>
  <w:endnote w:id="46">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Discrimination Act, s 28E.</w:t>
      </w:r>
      <w:proofErr w:type="gramEnd"/>
      <w:r w:rsidRPr="00A95DB8">
        <w:rPr>
          <w:rFonts w:cs="Arial"/>
        </w:rPr>
        <w:t xml:space="preserve"> </w:t>
      </w:r>
    </w:p>
  </w:endnote>
  <w:endnote w:id="47">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Sex Discrimination Act, s </w:t>
      </w:r>
      <w:proofErr w:type="gramStart"/>
      <w:r w:rsidRPr="00A95DB8">
        <w:rPr>
          <w:rFonts w:cs="Arial"/>
        </w:rPr>
        <w:t>28B(</w:t>
      </w:r>
      <w:proofErr w:type="gramEnd"/>
      <w:r w:rsidRPr="00A95DB8">
        <w:rPr>
          <w:rFonts w:cs="Arial"/>
        </w:rPr>
        <w:t>7).</w:t>
      </w:r>
    </w:p>
  </w:endnote>
  <w:endnote w:id="48">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Sex Discrimination Act, s </w:t>
      </w:r>
      <w:proofErr w:type="gramStart"/>
      <w:r w:rsidRPr="00A95DB8">
        <w:rPr>
          <w:rFonts w:cs="Arial"/>
        </w:rPr>
        <w:t>28B(</w:t>
      </w:r>
      <w:proofErr w:type="gramEnd"/>
      <w:r w:rsidRPr="00A95DB8">
        <w:rPr>
          <w:rFonts w:cs="Arial"/>
        </w:rPr>
        <w:t>7).</w:t>
      </w:r>
    </w:p>
  </w:endnote>
  <w:endnote w:id="49">
    <w:p w:rsidR="007B20C5" w:rsidRPr="00FA3D3B" w:rsidRDefault="007B20C5" w:rsidP="00DE54E0">
      <w:pPr>
        <w:pStyle w:val="EndnoteText"/>
        <w:spacing w:before="120" w:after="120"/>
        <w:rPr>
          <w:rFonts w:cs="Arial"/>
        </w:rPr>
      </w:pPr>
      <w:r w:rsidRPr="000A302B">
        <w:rPr>
          <w:rStyle w:val="EndnoteReference"/>
          <w:rFonts w:cs="Arial"/>
        </w:rPr>
        <w:endnoteRef/>
      </w:r>
      <w:r w:rsidRPr="00F1040E">
        <w:rPr>
          <w:rFonts w:cs="Arial"/>
        </w:rPr>
        <w:t xml:space="preserve"> Complaints are resolved in conciliation at the Australian Human Rights Commission on a without-admission-of-liability basis.</w:t>
      </w:r>
    </w:p>
  </w:endnote>
  <w:endnote w:id="50">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Complaints are resolved in conciliation at the Australian Human Rights Commission on a without-admission-of-liability basis.</w:t>
      </w:r>
    </w:p>
  </w:endnote>
  <w:endnote w:id="51">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As above.</w:t>
      </w:r>
      <w:proofErr w:type="gramEnd"/>
      <w:r w:rsidRPr="00A95DB8">
        <w:rPr>
          <w:rFonts w:cs="Arial"/>
        </w:rPr>
        <w:t xml:space="preserve"> </w:t>
      </w:r>
    </w:p>
  </w:endnote>
  <w:endnote w:id="52">
    <w:p w:rsidR="007B20C5" w:rsidRPr="00AE2C1C" w:rsidRDefault="007B20C5" w:rsidP="00E41966">
      <w:pPr>
        <w:spacing w:before="120" w:after="120"/>
        <w:rPr>
          <w:rFonts w:cs="Arial"/>
          <w:sz w:val="20"/>
          <w:szCs w:val="20"/>
        </w:rPr>
      </w:pPr>
      <w:r w:rsidRPr="00AE2C1C">
        <w:rPr>
          <w:rStyle w:val="EndnoteReference"/>
          <w:rFonts w:cs="Arial"/>
          <w:szCs w:val="20"/>
        </w:rPr>
        <w:endnoteRef/>
      </w:r>
      <w:r w:rsidRPr="00AE2C1C">
        <w:rPr>
          <w:rFonts w:cs="Arial"/>
          <w:sz w:val="20"/>
          <w:szCs w:val="20"/>
        </w:rPr>
        <w:t xml:space="preserve"> </w:t>
      </w:r>
      <w:proofErr w:type="gramStart"/>
      <w:r w:rsidRPr="00AE2C1C">
        <w:rPr>
          <w:rFonts w:cs="Arial"/>
          <w:sz w:val="20"/>
          <w:szCs w:val="20"/>
        </w:rPr>
        <w:t>As above.</w:t>
      </w:r>
      <w:proofErr w:type="gramEnd"/>
      <w:r w:rsidRPr="00AE2C1C">
        <w:rPr>
          <w:rFonts w:cs="Arial"/>
          <w:sz w:val="20"/>
          <w:szCs w:val="20"/>
        </w:rPr>
        <w:t xml:space="preserve"> </w:t>
      </w:r>
    </w:p>
  </w:endnote>
  <w:endnote w:id="53">
    <w:p w:rsidR="007B20C5" w:rsidRPr="00FA3D3B" w:rsidRDefault="007B20C5" w:rsidP="00E41966">
      <w:pPr>
        <w:pStyle w:val="EndnoteText"/>
        <w:spacing w:before="120" w:after="120"/>
        <w:rPr>
          <w:rFonts w:cs="Arial"/>
        </w:rPr>
      </w:pPr>
      <w:r w:rsidRPr="00E676C0">
        <w:rPr>
          <w:rStyle w:val="EndnoteReference"/>
          <w:rFonts w:cs="Arial"/>
        </w:rPr>
        <w:endnoteRef/>
      </w:r>
      <w:r w:rsidRPr="00E676C0">
        <w:rPr>
          <w:rFonts w:cs="Arial"/>
        </w:rPr>
        <w:t xml:space="preserve"> </w:t>
      </w:r>
      <w:proofErr w:type="gramStart"/>
      <w:r w:rsidRPr="00DF4B8B">
        <w:rPr>
          <w:rFonts w:cs="Arial"/>
          <w:i/>
        </w:rPr>
        <w:t>Lee v Smith</w:t>
      </w:r>
      <w:r w:rsidRPr="00A95DB8">
        <w:rPr>
          <w:rFonts w:cs="Arial"/>
        </w:rPr>
        <w:t xml:space="preserve"> [2007] FMCA 59.</w:t>
      </w:r>
      <w:proofErr w:type="gramEnd"/>
    </w:p>
  </w:endnote>
  <w:endnote w:id="54">
    <w:p w:rsidR="007B20C5" w:rsidRPr="00AE2C1C" w:rsidRDefault="007B20C5" w:rsidP="00E41966">
      <w:pPr>
        <w:spacing w:before="120" w:after="120"/>
        <w:rPr>
          <w:rFonts w:cs="Arial"/>
          <w:sz w:val="20"/>
          <w:szCs w:val="20"/>
        </w:rPr>
      </w:pPr>
      <w:r w:rsidRPr="00AE2C1C">
        <w:rPr>
          <w:rStyle w:val="EndnoteReference"/>
          <w:rFonts w:cs="Arial"/>
          <w:szCs w:val="20"/>
        </w:rPr>
        <w:endnoteRef/>
      </w:r>
      <w:r w:rsidRPr="00AE2C1C">
        <w:rPr>
          <w:rFonts w:cs="Arial"/>
          <w:sz w:val="20"/>
          <w:szCs w:val="20"/>
        </w:rPr>
        <w:t xml:space="preserve"> </w:t>
      </w:r>
      <w:proofErr w:type="gramStart"/>
      <w:r w:rsidRPr="00AE2C1C">
        <w:rPr>
          <w:rFonts w:cs="Arial"/>
          <w:sz w:val="20"/>
          <w:szCs w:val="20"/>
        </w:rPr>
        <w:t>Above [206].</w:t>
      </w:r>
      <w:proofErr w:type="gramEnd"/>
    </w:p>
  </w:endnote>
  <w:endnote w:id="55">
    <w:p w:rsidR="007B20C5" w:rsidRPr="00FA3D3B" w:rsidRDefault="007B20C5" w:rsidP="00E41966">
      <w:pPr>
        <w:pStyle w:val="EndnoteText"/>
        <w:spacing w:before="120" w:after="120"/>
        <w:rPr>
          <w:rFonts w:cs="Arial"/>
        </w:rPr>
      </w:pPr>
      <w:r w:rsidRPr="00E676C0">
        <w:rPr>
          <w:rStyle w:val="EndnoteReference"/>
          <w:rFonts w:cs="Arial"/>
        </w:rPr>
        <w:endnoteRef/>
      </w:r>
      <w:r w:rsidRPr="00E676C0">
        <w:rPr>
          <w:rFonts w:cs="Arial"/>
        </w:rPr>
        <w:t xml:space="preserve"> Sex Discrimination Act, s </w:t>
      </w:r>
      <w:proofErr w:type="gramStart"/>
      <w:r w:rsidRPr="00E676C0">
        <w:rPr>
          <w:rFonts w:cs="Arial"/>
        </w:rPr>
        <w:t>28B(</w:t>
      </w:r>
      <w:proofErr w:type="gramEnd"/>
      <w:r w:rsidRPr="00E676C0">
        <w:rPr>
          <w:rFonts w:cs="Arial"/>
        </w:rPr>
        <w:t>6). Previously, the Sex Discrimination Act prohibited sexual</w:t>
      </w:r>
      <w:r w:rsidRPr="00DF4B8B">
        <w:rPr>
          <w:rFonts w:cs="Arial"/>
        </w:rPr>
        <w:t xml:space="preserve"> harassment by workplace participants against other workplace participants at a place that is a workplace of </w:t>
      </w:r>
      <w:r w:rsidRPr="00A95DB8">
        <w:rPr>
          <w:rFonts w:cs="Arial"/>
          <w:i/>
        </w:rPr>
        <w:t xml:space="preserve">both </w:t>
      </w:r>
      <w:r w:rsidRPr="00A95DB8">
        <w:rPr>
          <w:rFonts w:cs="Arial"/>
        </w:rPr>
        <w:t>the workplace participants.</w:t>
      </w:r>
    </w:p>
  </w:endnote>
  <w:endnote w:id="56">
    <w:p w:rsidR="007B20C5" w:rsidRPr="000A302B" w:rsidRDefault="007B20C5">
      <w:pPr>
        <w:pStyle w:val="EndnoteText"/>
        <w:rPr>
          <w:rFonts w:cs="Arial"/>
        </w:rPr>
      </w:pPr>
      <w:r w:rsidRPr="000A302B">
        <w:rPr>
          <w:rStyle w:val="EndnoteReference"/>
          <w:rFonts w:cs="Arial"/>
        </w:rPr>
        <w:endnoteRef/>
      </w:r>
      <w:r w:rsidRPr="00A95DB8">
        <w:rPr>
          <w:rFonts w:cs="Arial"/>
        </w:rPr>
        <w:t xml:space="preserve"> Australian Human Rights Commission Act, s </w:t>
      </w:r>
      <w:r w:rsidRPr="00A95DB8">
        <w:rPr>
          <w:rStyle w:val="charsectno"/>
          <w:rFonts w:cs="Arial"/>
        </w:rPr>
        <w:t xml:space="preserve">46PO(4)  </w:t>
      </w:r>
    </w:p>
  </w:endnote>
  <w:endnote w:id="57">
    <w:p w:rsidR="007B20C5" w:rsidRPr="00AE2C1C" w:rsidRDefault="007B20C5" w:rsidP="00E41966">
      <w:pPr>
        <w:spacing w:before="120" w:after="120"/>
        <w:rPr>
          <w:rFonts w:cs="Arial"/>
          <w:sz w:val="20"/>
          <w:szCs w:val="20"/>
        </w:rPr>
      </w:pPr>
      <w:r w:rsidRPr="00AE2C1C">
        <w:rPr>
          <w:rStyle w:val="EndnoteReference"/>
          <w:rFonts w:cs="Arial"/>
          <w:szCs w:val="20"/>
        </w:rPr>
        <w:endnoteRef/>
      </w:r>
      <w:r w:rsidRPr="00A95DB8">
        <w:rPr>
          <w:rFonts w:cs="Arial"/>
          <w:i/>
          <w:sz w:val="20"/>
          <w:szCs w:val="20"/>
        </w:rPr>
        <w:t xml:space="preserve"> </w:t>
      </w:r>
      <w:proofErr w:type="gramStart"/>
      <w:r w:rsidRPr="00A95DB8">
        <w:rPr>
          <w:rFonts w:cs="Arial"/>
          <w:i/>
          <w:sz w:val="20"/>
          <w:szCs w:val="20"/>
        </w:rPr>
        <w:t xml:space="preserve">Aldridge v Booth </w:t>
      </w:r>
      <w:r w:rsidRPr="00A95DB8">
        <w:rPr>
          <w:rFonts w:cs="Arial"/>
          <w:sz w:val="20"/>
          <w:szCs w:val="20"/>
        </w:rPr>
        <w:t>(1988) 80 ALR 1 at 16-17.</w:t>
      </w:r>
      <w:proofErr w:type="gramEnd"/>
    </w:p>
  </w:endnote>
  <w:endnote w:id="58">
    <w:p w:rsidR="007B20C5" w:rsidRPr="00E676C0" w:rsidRDefault="007B20C5" w:rsidP="00E41966">
      <w:pPr>
        <w:spacing w:before="120" w:after="120"/>
        <w:rPr>
          <w:rFonts w:cs="Arial"/>
          <w:sz w:val="20"/>
          <w:szCs w:val="20"/>
        </w:rPr>
      </w:pPr>
      <w:r w:rsidRPr="00AE2C1C">
        <w:rPr>
          <w:rStyle w:val="EndnoteReference"/>
          <w:rFonts w:cs="Arial"/>
          <w:szCs w:val="20"/>
        </w:rPr>
        <w:endnoteRef/>
      </w:r>
      <w:r w:rsidRPr="00AE2C1C">
        <w:rPr>
          <w:rFonts w:cs="Arial"/>
          <w:sz w:val="20"/>
          <w:szCs w:val="20"/>
        </w:rPr>
        <w:t xml:space="preserve"> </w:t>
      </w:r>
      <w:proofErr w:type="gramStart"/>
      <w:r w:rsidRPr="00AE2C1C">
        <w:rPr>
          <w:rFonts w:cs="Arial"/>
          <w:i/>
          <w:sz w:val="20"/>
          <w:szCs w:val="20"/>
        </w:rPr>
        <w:t>Cooke v Plauen Holdings Pty Ltd</w:t>
      </w:r>
      <w:r w:rsidRPr="00E676C0">
        <w:rPr>
          <w:rFonts w:cs="Arial"/>
          <w:sz w:val="20"/>
          <w:szCs w:val="20"/>
        </w:rPr>
        <w:t xml:space="preserve"> [2001] FMCA 91.</w:t>
      </w:r>
      <w:proofErr w:type="gramEnd"/>
    </w:p>
  </w:endnote>
  <w:endnote w:id="59">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Discrimination Act, s 94(1).</w:t>
      </w:r>
      <w:proofErr w:type="gramEnd"/>
    </w:p>
  </w:endnote>
  <w:endnote w:id="60">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Complaints are resolved in conciliation at the Australian Human Rights Commission on a without-admission-of-liability basis.  </w:t>
      </w:r>
    </w:p>
  </w:endnote>
  <w:endnote w:id="61">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Sex Discrimination Act, s </w:t>
      </w:r>
      <w:proofErr w:type="gramStart"/>
      <w:r w:rsidRPr="00A95DB8">
        <w:rPr>
          <w:rFonts w:cs="Arial"/>
        </w:rPr>
        <w:t>28A(</w:t>
      </w:r>
      <w:proofErr w:type="gramEnd"/>
      <w:r w:rsidRPr="00A95DB8">
        <w:rPr>
          <w:rFonts w:cs="Arial"/>
        </w:rPr>
        <w:t xml:space="preserve">1). </w:t>
      </w:r>
    </w:p>
  </w:endnote>
  <w:endnote w:id="62">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Discrimination Act, s 105.</w:t>
      </w:r>
      <w:proofErr w:type="gramEnd"/>
      <w:r w:rsidRPr="00A95DB8">
        <w:rPr>
          <w:rFonts w:cs="Arial"/>
        </w:rPr>
        <w:t xml:space="preserve"> Strictly speaking, section 105 only applies to liability for unlawful sex discrimination, not sexual harassment. However, the courts have accepted that sexual harassment is a form of sex discrimination. Accordingly, section 105 can still operate to render a person liable as an accessory to sexual harassment.</w:t>
      </w:r>
    </w:p>
  </w:endnote>
  <w:endnote w:id="63">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i/>
        </w:rPr>
        <w:t>Elliott v Nanda &amp; the Commonwealth</w:t>
      </w:r>
      <w:r w:rsidRPr="00A95DB8">
        <w:rPr>
          <w:rFonts w:cs="Arial"/>
        </w:rPr>
        <w:t xml:space="preserve"> (2001) 111 FCR 240 at 259 [163] (Moore J).</w:t>
      </w:r>
      <w:proofErr w:type="gramEnd"/>
      <w:r w:rsidRPr="00A95DB8">
        <w:rPr>
          <w:rFonts w:cs="Arial"/>
        </w:rPr>
        <w:t xml:space="preserve"> </w:t>
      </w:r>
    </w:p>
  </w:endnote>
  <w:endnote w:id="64">
    <w:p w:rsidR="007B20C5" w:rsidRPr="00FA3D3B" w:rsidRDefault="007B20C5" w:rsidP="00E41966">
      <w:pPr>
        <w:pStyle w:val="EndnoteText"/>
        <w:spacing w:before="120" w:after="120"/>
        <w:rPr>
          <w:rFonts w:cs="Arial"/>
          <w:i/>
        </w:rPr>
      </w:pPr>
      <w:r w:rsidRPr="000A302B">
        <w:rPr>
          <w:rStyle w:val="EndnoteReference"/>
          <w:rFonts w:cs="Arial"/>
        </w:rPr>
        <w:endnoteRef/>
      </w:r>
      <w:r w:rsidRPr="00A95DB8">
        <w:rPr>
          <w:rFonts w:cs="Arial"/>
        </w:rPr>
        <w:t xml:space="preserve"> </w:t>
      </w:r>
      <w:proofErr w:type="gramStart"/>
      <w:r w:rsidRPr="00A95DB8">
        <w:rPr>
          <w:rFonts w:cs="Arial"/>
          <w:i/>
        </w:rPr>
        <w:t>Elliott v Nanda &amp; the Commonwealth</w:t>
      </w:r>
      <w:r w:rsidRPr="00A95DB8">
        <w:rPr>
          <w:rFonts w:cs="Arial"/>
        </w:rPr>
        <w:t xml:space="preserve"> (2001) 111 FCR 240.</w:t>
      </w:r>
      <w:proofErr w:type="gramEnd"/>
    </w:p>
  </w:endnote>
  <w:endnote w:id="65">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Complaints are resolved in conciliation at the Australian Human Rights Commission on a without-admission-of-liability basis.</w:t>
      </w:r>
    </w:p>
  </w:endnote>
  <w:endnote w:id="66">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Sex Discrimination Act, s 106.</w:t>
      </w:r>
      <w:proofErr w:type="gramEnd"/>
      <w:r w:rsidRPr="00A95DB8">
        <w:rPr>
          <w:rFonts w:cs="Arial"/>
        </w:rPr>
        <w:t xml:space="preserve"> </w:t>
      </w:r>
    </w:p>
  </w:endnote>
  <w:endnote w:id="67">
    <w:p w:rsidR="007B20C5" w:rsidRPr="000A302B" w:rsidRDefault="007B20C5">
      <w:pPr>
        <w:pStyle w:val="EndnoteText"/>
        <w:rPr>
          <w:rFonts w:cs="Arial"/>
        </w:rPr>
      </w:pPr>
      <w:r w:rsidRPr="000A302B">
        <w:rPr>
          <w:rStyle w:val="EndnoteReference"/>
          <w:rFonts w:cs="Arial"/>
        </w:rPr>
        <w:endnoteRef/>
      </w:r>
      <w:r w:rsidRPr="00A95DB8">
        <w:rPr>
          <w:rFonts w:cs="Arial"/>
        </w:rPr>
        <w:t xml:space="preserve"> </w:t>
      </w:r>
      <w:proofErr w:type="gramStart"/>
      <w:r w:rsidRPr="00A95DB8">
        <w:rPr>
          <w:rFonts w:cs="Arial"/>
          <w:i/>
        </w:rPr>
        <w:t>Richardson v Oracle Corporation Australia Pty Limited</w:t>
      </w:r>
      <w:r w:rsidRPr="00A95DB8">
        <w:rPr>
          <w:rFonts w:cs="Arial"/>
        </w:rPr>
        <w:t xml:space="preserve"> [2013] FCA 102 [163].</w:t>
      </w:r>
      <w:proofErr w:type="gramEnd"/>
    </w:p>
  </w:endnote>
  <w:endnote w:id="68">
    <w:p w:rsidR="007B20C5" w:rsidRPr="00FA3D3B" w:rsidRDefault="007B20C5" w:rsidP="00E41966">
      <w:pPr>
        <w:pStyle w:val="EndnoteText"/>
        <w:spacing w:before="120" w:after="120"/>
        <w:rPr>
          <w:rFonts w:cs="Arial"/>
        </w:rPr>
      </w:pPr>
      <w:r w:rsidRPr="00471879">
        <w:rPr>
          <w:rStyle w:val="EndnoteReference"/>
          <w:rFonts w:cs="Arial"/>
        </w:rPr>
        <w:endnoteRef/>
      </w:r>
      <w:r w:rsidRPr="00A95DB8">
        <w:rPr>
          <w:rFonts w:cs="Arial"/>
        </w:rPr>
        <w:t xml:space="preserve"> </w:t>
      </w:r>
      <w:proofErr w:type="gramStart"/>
      <w:r w:rsidRPr="00A95DB8">
        <w:rPr>
          <w:rFonts w:cs="Arial"/>
        </w:rPr>
        <w:t>Above, s 106(2).</w:t>
      </w:r>
      <w:proofErr w:type="gramEnd"/>
      <w:r w:rsidRPr="00A95DB8">
        <w:rPr>
          <w:rFonts w:cs="Arial"/>
        </w:rPr>
        <w:t xml:space="preserve"> </w:t>
      </w:r>
    </w:p>
  </w:endnote>
  <w:endnote w:id="69">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Above, s 94.</w:t>
      </w:r>
      <w:proofErr w:type="gramEnd"/>
    </w:p>
  </w:endnote>
  <w:endnote w:id="70">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Above, s 94(3).</w:t>
      </w:r>
      <w:proofErr w:type="gramEnd"/>
    </w:p>
  </w:endnote>
  <w:endnote w:id="71">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Complaints are resolved in conciliation at the Australian Human Rights Commission on a without-admission-of-liability basis. </w:t>
      </w:r>
    </w:p>
  </w:endnote>
  <w:endnote w:id="72">
    <w:p w:rsidR="007B20C5" w:rsidRPr="000A302B" w:rsidRDefault="007B20C5">
      <w:pPr>
        <w:pStyle w:val="EndnoteText"/>
        <w:rPr>
          <w:rFonts w:cs="Arial"/>
        </w:rPr>
      </w:pPr>
      <w:r w:rsidRPr="000A302B">
        <w:rPr>
          <w:rStyle w:val="EndnoteReference"/>
          <w:rFonts w:cs="Arial"/>
        </w:rPr>
        <w:endnoteRef/>
      </w:r>
      <w:r w:rsidRPr="00A95DB8">
        <w:rPr>
          <w:rFonts w:cs="Arial"/>
        </w:rPr>
        <w:t xml:space="preserve"> </w:t>
      </w:r>
      <w:r w:rsidRPr="00A95DB8">
        <w:rPr>
          <w:rFonts w:cs="Arial"/>
          <w:i/>
        </w:rPr>
        <w:t>Fair Work Act 2009</w:t>
      </w:r>
      <w:r w:rsidRPr="00A95DB8">
        <w:rPr>
          <w:rFonts w:cs="Arial"/>
        </w:rPr>
        <w:t xml:space="preserve"> (</w:t>
      </w:r>
      <w:proofErr w:type="spellStart"/>
      <w:r w:rsidRPr="00A95DB8">
        <w:rPr>
          <w:rFonts w:cs="Arial"/>
        </w:rPr>
        <w:t>Cth</w:t>
      </w:r>
      <w:proofErr w:type="spellEnd"/>
      <w:r w:rsidRPr="00A95DB8">
        <w:rPr>
          <w:rFonts w:cs="Arial"/>
        </w:rPr>
        <w:t>), s</w:t>
      </w:r>
      <w:r>
        <w:rPr>
          <w:rFonts w:cs="Arial"/>
        </w:rPr>
        <w:t xml:space="preserve"> </w:t>
      </w:r>
      <w:r w:rsidRPr="00A95DB8">
        <w:rPr>
          <w:rFonts w:cs="Arial"/>
        </w:rPr>
        <w:t>340.</w:t>
      </w:r>
    </w:p>
  </w:endnote>
  <w:endnote w:id="73">
    <w:p w:rsidR="007B20C5" w:rsidRPr="000A302B" w:rsidRDefault="007B20C5">
      <w:pPr>
        <w:pStyle w:val="EndnoteText"/>
        <w:rPr>
          <w:rFonts w:cs="Arial"/>
        </w:rPr>
      </w:pPr>
      <w:r w:rsidRPr="00471879">
        <w:rPr>
          <w:rStyle w:val="EndnoteReference"/>
          <w:rFonts w:cs="Arial"/>
        </w:rPr>
        <w:endnoteRef/>
      </w:r>
      <w:r w:rsidRPr="00A95DB8">
        <w:rPr>
          <w:rFonts w:cs="Arial"/>
        </w:rPr>
        <w:t xml:space="preserve"> See</w:t>
      </w:r>
      <w:r>
        <w:rPr>
          <w:rFonts w:cs="Arial"/>
        </w:rPr>
        <w:t xml:space="preserve"> </w:t>
      </w:r>
      <w:r w:rsidRPr="00A95DB8">
        <w:rPr>
          <w:rFonts w:cs="Arial"/>
        </w:rPr>
        <w:t>Fair Work Act, s</w:t>
      </w:r>
      <w:r>
        <w:rPr>
          <w:rFonts w:cs="Arial"/>
        </w:rPr>
        <w:t xml:space="preserve"> </w:t>
      </w:r>
      <w:r w:rsidRPr="00A95DB8">
        <w:rPr>
          <w:rFonts w:cs="Arial"/>
        </w:rPr>
        <w:t>14.</w:t>
      </w:r>
    </w:p>
  </w:endnote>
  <w:endnote w:id="74">
    <w:p w:rsidR="007B20C5" w:rsidRPr="000A302B" w:rsidRDefault="007B20C5" w:rsidP="00EF62DA">
      <w:pPr>
        <w:pStyle w:val="EndnoteText"/>
        <w:rPr>
          <w:rFonts w:cs="Arial"/>
        </w:rPr>
      </w:pPr>
      <w:r w:rsidRPr="00471879">
        <w:rPr>
          <w:rStyle w:val="EndnoteReference"/>
          <w:rFonts w:cs="Arial"/>
        </w:rPr>
        <w:endnoteRef/>
      </w:r>
      <w:r w:rsidRPr="00A95DB8">
        <w:rPr>
          <w:rFonts w:cs="Arial"/>
        </w:rPr>
        <w:t xml:space="preserve"> </w:t>
      </w:r>
      <w:proofErr w:type="gramStart"/>
      <w:r w:rsidRPr="00A95DB8">
        <w:rPr>
          <w:rFonts w:cs="Arial"/>
        </w:rPr>
        <w:t>Fair Work Act, s</w:t>
      </w:r>
      <w:r>
        <w:rPr>
          <w:rFonts w:cs="Arial"/>
        </w:rPr>
        <w:t xml:space="preserve"> </w:t>
      </w:r>
      <w:r w:rsidRPr="00A95DB8">
        <w:rPr>
          <w:rFonts w:cs="Arial"/>
        </w:rPr>
        <w:t>385.</w:t>
      </w:r>
      <w:proofErr w:type="gramEnd"/>
    </w:p>
  </w:endnote>
  <w:endnote w:id="75">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r w:rsidRPr="00A95DB8">
        <w:rPr>
          <w:rFonts w:cs="Arial"/>
          <w:i/>
        </w:rPr>
        <w:t>Leigh v Nestle Australia Ltd</w:t>
      </w:r>
      <w:r w:rsidRPr="00A95DB8">
        <w:rPr>
          <w:rFonts w:cs="Arial"/>
        </w:rPr>
        <w:t xml:space="preserve"> [2010] FWA 4744 (unreported, Drake SDP, 25 June 2010).</w:t>
      </w:r>
    </w:p>
  </w:endnote>
  <w:endnote w:id="76">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See generally Patricia </w:t>
      </w:r>
      <w:proofErr w:type="spellStart"/>
      <w:r w:rsidRPr="00A95DB8">
        <w:rPr>
          <w:rFonts w:cs="Arial"/>
        </w:rPr>
        <w:t>Easteal</w:t>
      </w:r>
      <w:proofErr w:type="spellEnd"/>
      <w:r w:rsidRPr="00A95DB8">
        <w:rPr>
          <w:rFonts w:cs="Arial"/>
        </w:rPr>
        <w:t xml:space="preserve"> </w:t>
      </w:r>
      <w:r w:rsidRPr="00A95DB8">
        <w:rPr>
          <w:rFonts w:cs="Arial"/>
          <w:i/>
        </w:rPr>
        <w:t>et al</w:t>
      </w:r>
      <w:r w:rsidRPr="00A95DB8">
        <w:rPr>
          <w:rFonts w:cs="Arial"/>
        </w:rPr>
        <w:t xml:space="preserve">, ‘Sexual Harassment on Trial: The DJs Case’ (2011) 36(4) </w:t>
      </w:r>
      <w:r w:rsidRPr="00A95DB8">
        <w:rPr>
          <w:rFonts w:cs="Arial"/>
          <w:i/>
        </w:rPr>
        <w:t xml:space="preserve">Alternative Law Journal </w:t>
      </w:r>
      <w:r w:rsidRPr="00A95DB8">
        <w:rPr>
          <w:rFonts w:cs="Arial"/>
        </w:rPr>
        <w:t xml:space="preserve">230, 232 (discussing statement of claim in </w:t>
      </w:r>
      <w:r w:rsidRPr="00A95DB8">
        <w:rPr>
          <w:rFonts w:cs="Arial"/>
          <w:i/>
        </w:rPr>
        <w:t>Kristy Fraser-Kirk v David Jones</w:t>
      </w:r>
      <w:r w:rsidRPr="00A95DB8">
        <w:rPr>
          <w:rFonts w:cs="Arial"/>
        </w:rPr>
        <w:t>).</w:t>
      </w:r>
    </w:p>
  </w:endnote>
  <w:endnote w:id="77">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spellStart"/>
      <w:proofErr w:type="gramStart"/>
      <w:r w:rsidRPr="00A95DB8">
        <w:rPr>
          <w:rFonts w:cs="Arial"/>
          <w:i/>
        </w:rPr>
        <w:t>Poniatowska</w:t>
      </w:r>
      <w:proofErr w:type="spellEnd"/>
      <w:r w:rsidRPr="00A95DB8">
        <w:rPr>
          <w:rFonts w:cs="Arial"/>
          <w:i/>
        </w:rPr>
        <w:t xml:space="preserve"> v </w:t>
      </w:r>
      <w:proofErr w:type="spellStart"/>
      <w:r w:rsidRPr="00A95DB8">
        <w:rPr>
          <w:rFonts w:cs="Arial"/>
          <w:i/>
        </w:rPr>
        <w:t>Hickinbotham</w:t>
      </w:r>
      <w:proofErr w:type="spellEnd"/>
      <w:r w:rsidRPr="00A95DB8">
        <w:rPr>
          <w:rFonts w:cs="Arial"/>
        </w:rPr>
        <w:t xml:space="preserve"> [2009] FCA 680.</w:t>
      </w:r>
      <w:proofErr w:type="gramEnd"/>
    </w:p>
  </w:endnote>
  <w:endnote w:id="78">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r w:rsidRPr="00A95DB8">
        <w:rPr>
          <w:rFonts w:cs="Arial"/>
          <w:i/>
        </w:rPr>
        <w:t>Work Health and Safety Act 2011</w:t>
      </w:r>
      <w:r w:rsidRPr="00A95DB8">
        <w:rPr>
          <w:rFonts w:cs="Arial"/>
        </w:rPr>
        <w:t xml:space="preserve"> (ACT); </w:t>
      </w:r>
      <w:r w:rsidRPr="00A95DB8">
        <w:rPr>
          <w:rFonts w:cs="Arial"/>
          <w:i/>
        </w:rPr>
        <w:t>Work Health and Safety Act 2011</w:t>
      </w:r>
      <w:r w:rsidRPr="00A95DB8">
        <w:rPr>
          <w:rFonts w:cs="Arial"/>
        </w:rPr>
        <w:t xml:space="preserve"> (NSW); </w:t>
      </w:r>
      <w:r w:rsidRPr="00A95DB8">
        <w:rPr>
          <w:rFonts w:cs="Arial"/>
          <w:i/>
        </w:rPr>
        <w:t>Work Health and Safety (National Uniform Legislation) Act</w:t>
      </w:r>
      <w:r w:rsidRPr="00A95DB8">
        <w:rPr>
          <w:rFonts w:cs="Arial"/>
        </w:rPr>
        <w:t xml:space="preserve"> </w:t>
      </w:r>
      <w:r w:rsidRPr="00A95DB8">
        <w:rPr>
          <w:rFonts w:cs="Arial"/>
          <w:i/>
        </w:rPr>
        <w:t>2011</w:t>
      </w:r>
      <w:r w:rsidRPr="00A95DB8">
        <w:rPr>
          <w:rFonts w:cs="Arial"/>
        </w:rPr>
        <w:t xml:space="preserve"> (NT); </w:t>
      </w:r>
      <w:r w:rsidRPr="00A95DB8">
        <w:rPr>
          <w:rFonts w:cs="Arial"/>
          <w:i/>
        </w:rPr>
        <w:t>Work Health and Safety Act 2011</w:t>
      </w:r>
      <w:r w:rsidRPr="00A95DB8">
        <w:rPr>
          <w:rFonts w:cs="Arial"/>
        </w:rPr>
        <w:t xml:space="preserve"> (QLD); </w:t>
      </w:r>
      <w:r w:rsidRPr="00A95DB8">
        <w:rPr>
          <w:rFonts w:cs="Arial"/>
          <w:i/>
        </w:rPr>
        <w:t>Work Health and Safety Act 2012</w:t>
      </w:r>
      <w:r w:rsidRPr="00A95DB8">
        <w:rPr>
          <w:rFonts w:cs="Arial"/>
        </w:rPr>
        <w:t xml:space="preserve"> (SA); </w:t>
      </w:r>
      <w:r w:rsidRPr="00A95DB8">
        <w:rPr>
          <w:rFonts w:cs="Arial"/>
          <w:i/>
        </w:rPr>
        <w:t>Work Health and Safety Act 2012</w:t>
      </w:r>
      <w:r w:rsidRPr="00A95DB8">
        <w:rPr>
          <w:rFonts w:cs="Arial"/>
        </w:rPr>
        <w:t xml:space="preserve"> (TAS); </w:t>
      </w:r>
      <w:r w:rsidRPr="00A95DB8">
        <w:rPr>
          <w:rFonts w:cs="Arial"/>
          <w:i/>
          <w:iCs/>
        </w:rPr>
        <w:t xml:space="preserve">Occupational Health and Safety Act 2004 </w:t>
      </w:r>
      <w:r w:rsidRPr="00A95DB8">
        <w:rPr>
          <w:rFonts w:cs="Arial"/>
          <w:iCs/>
        </w:rPr>
        <w:t xml:space="preserve">(VIC); </w:t>
      </w:r>
      <w:r w:rsidRPr="00A95DB8">
        <w:rPr>
          <w:rFonts w:cs="Arial"/>
          <w:i/>
          <w:iCs/>
        </w:rPr>
        <w:t xml:space="preserve">Occupational Safety and Health Act 1984 </w:t>
      </w:r>
      <w:r w:rsidRPr="00A95DB8">
        <w:rPr>
          <w:rFonts w:cs="Arial"/>
          <w:iCs/>
        </w:rPr>
        <w:t>(WA).</w:t>
      </w:r>
    </w:p>
  </w:endnote>
  <w:endnote w:id="79">
    <w:p w:rsidR="007B20C5" w:rsidRPr="000A302B" w:rsidRDefault="007B20C5" w:rsidP="007E107C">
      <w:pPr>
        <w:pStyle w:val="EndnoteText"/>
        <w:rPr>
          <w:rFonts w:cs="Arial"/>
        </w:rPr>
      </w:pPr>
      <w:r w:rsidRPr="000A302B">
        <w:rPr>
          <w:rStyle w:val="EndnoteReference"/>
          <w:rFonts w:cs="Arial"/>
        </w:rPr>
        <w:endnoteRef/>
      </w:r>
      <w:r w:rsidRPr="00A95DB8">
        <w:rPr>
          <w:rFonts w:cs="Arial"/>
        </w:rPr>
        <w:t xml:space="preserve"> See </w:t>
      </w:r>
      <w:r w:rsidRPr="00A95DB8">
        <w:rPr>
          <w:rFonts w:cs="Arial"/>
          <w:i/>
        </w:rPr>
        <w:t>Richardson v Oracle Corporation Australia Pty Limited</w:t>
      </w:r>
      <w:r w:rsidRPr="00A95DB8">
        <w:rPr>
          <w:rFonts w:cs="Arial"/>
        </w:rPr>
        <w:t xml:space="preserve"> [2013] FCA 102 [169]-[172].</w:t>
      </w:r>
    </w:p>
  </w:endnote>
  <w:endnote w:id="80">
    <w:p w:rsidR="007B20C5" w:rsidRPr="00FA3D3B" w:rsidRDefault="007B20C5" w:rsidP="00E41966">
      <w:pPr>
        <w:pStyle w:val="EndnoteText"/>
        <w:spacing w:before="120" w:after="120"/>
        <w:rPr>
          <w:rFonts w:cs="Arial"/>
          <w:b/>
        </w:rPr>
      </w:pPr>
      <w:r w:rsidRPr="00B954BE">
        <w:rPr>
          <w:rStyle w:val="EndnoteReference"/>
          <w:rFonts w:cs="Arial"/>
        </w:rPr>
        <w:endnoteRef/>
      </w:r>
      <w:r w:rsidRPr="00A95DB8">
        <w:rPr>
          <w:rFonts w:cs="Arial"/>
        </w:rPr>
        <w:t xml:space="preserve"> </w:t>
      </w:r>
      <w:r>
        <w:rPr>
          <w:rFonts w:cs="Arial"/>
        </w:rPr>
        <w:t>For example, see</w:t>
      </w:r>
      <w:r w:rsidRPr="00A95DB8">
        <w:rPr>
          <w:rFonts w:cs="Arial"/>
        </w:rPr>
        <w:t xml:space="preserve"> </w:t>
      </w:r>
      <w:r w:rsidRPr="00A95DB8">
        <w:rPr>
          <w:rFonts w:cs="Arial"/>
          <w:i/>
        </w:rPr>
        <w:t>Lee v Smith</w:t>
      </w:r>
      <w:r w:rsidRPr="00A95DB8">
        <w:rPr>
          <w:rFonts w:cs="Arial"/>
        </w:rPr>
        <w:t xml:space="preserve"> [2007] FMCA 59.</w:t>
      </w:r>
    </w:p>
  </w:endnote>
  <w:endnote w:id="81">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For more information on keeping confidential records of complaints see section 5.2(c).</w:t>
      </w:r>
    </w:p>
  </w:endnote>
  <w:endnote w:id="82">
    <w:p w:rsidR="007B20C5" w:rsidRPr="00FA3D3B" w:rsidRDefault="007B20C5" w:rsidP="00E41966">
      <w:pPr>
        <w:pStyle w:val="EndnoteText"/>
        <w:spacing w:before="120" w:after="120"/>
        <w:rPr>
          <w:rFonts w:cs="Arial"/>
        </w:rPr>
      </w:pPr>
      <w:r w:rsidRPr="000A302B">
        <w:rPr>
          <w:rStyle w:val="EndnoteReference"/>
          <w:rFonts w:cs="Arial"/>
        </w:rPr>
        <w:endnoteRef/>
      </w:r>
      <w:r w:rsidRPr="00A95DB8">
        <w:rPr>
          <w:rFonts w:cs="Arial"/>
        </w:rPr>
        <w:t xml:space="preserve"> </w:t>
      </w:r>
      <w:proofErr w:type="gramStart"/>
      <w:r w:rsidRPr="00A95DB8">
        <w:rPr>
          <w:rFonts w:cs="Arial"/>
        </w:rPr>
        <w:t>Above note 3, 39.</w:t>
      </w:r>
      <w:proofErr w:type="gramEnd"/>
    </w:p>
  </w:endnote>
  <w:endnote w:id="83">
    <w:p w:rsidR="00894D0D" w:rsidRPr="000724F0" w:rsidRDefault="00894D0D" w:rsidP="002A6064">
      <w:pPr>
        <w:autoSpaceDE w:val="0"/>
        <w:autoSpaceDN w:val="0"/>
        <w:spacing w:before="0" w:after="0"/>
        <w:rPr>
          <w:rFonts w:cs="Arial"/>
        </w:rPr>
      </w:pPr>
      <w:r>
        <w:rPr>
          <w:rStyle w:val="EndnoteReference"/>
        </w:rPr>
        <w:endnoteRef/>
      </w:r>
      <w:r>
        <w:t xml:space="preserve"> </w:t>
      </w:r>
      <w:r w:rsidRPr="00A84320">
        <w:rPr>
          <w:rFonts w:cs="Arial"/>
          <w:sz w:val="20"/>
          <w:szCs w:val="20"/>
        </w:rPr>
        <w:t xml:space="preserve">The </w:t>
      </w:r>
      <w:r w:rsidRPr="002A6064">
        <w:rPr>
          <w:rFonts w:cs="Arial"/>
          <w:i/>
          <w:sz w:val="20"/>
          <w:szCs w:val="20"/>
        </w:rPr>
        <w:t>Privacy Act 1988</w:t>
      </w:r>
      <w:r w:rsidRPr="00A84320">
        <w:rPr>
          <w:rFonts w:cs="Arial"/>
          <w:sz w:val="20"/>
          <w:szCs w:val="20"/>
        </w:rPr>
        <w:t xml:space="preserve"> (</w:t>
      </w:r>
      <w:proofErr w:type="spellStart"/>
      <w:r w:rsidRPr="00A84320">
        <w:rPr>
          <w:rFonts w:cs="Arial"/>
          <w:sz w:val="20"/>
          <w:szCs w:val="20"/>
        </w:rPr>
        <w:t>Cth</w:t>
      </w:r>
      <w:proofErr w:type="spellEnd"/>
      <w:r w:rsidRPr="00A84320">
        <w:rPr>
          <w:rFonts w:cs="Arial"/>
          <w:sz w:val="20"/>
          <w:szCs w:val="20"/>
        </w:rPr>
        <w:t>) does not apply to private-sector employees’ personal information which: relates directly to the employment relationship between an employer and a</w:t>
      </w:r>
      <w:r>
        <w:rPr>
          <w:rFonts w:cs="Arial"/>
          <w:sz w:val="20"/>
          <w:szCs w:val="20"/>
        </w:rPr>
        <w:t xml:space="preserve"> </w:t>
      </w:r>
      <w:r w:rsidRPr="00A84320">
        <w:rPr>
          <w:rFonts w:cs="Arial"/>
          <w:sz w:val="20"/>
          <w:szCs w:val="20"/>
        </w:rPr>
        <w:t>current or former private sector employee; is held by the employer in an employee record. Records relating to an employee’s sexual harassment complaint fall within this exemption.</w:t>
      </w:r>
    </w:p>
  </w:endnote>
  <w:endnote w:id="84">
    <w:p w:rsidR="007B20C5" w:rsidRPr="00E676C0" w:rsidRDefault="007B20C5" w:rsidP="00E41966">
      <w:pPr>
        <w:spacing w:before="120" w:after="120"/>
        <w:rPr>
          <w:rFonts w:cs="Arial"/>
          <w:sz w:val="20"/>
          <w:szCs w:val="20"/>
        </w:rPr>
      </w:pPr>
      <w:r w:rsidRPr="00AE2C1C">
        <w:rPr>
          <w:rStyle w:val="EndnoteReference"/>
          <w:rFonts w:cs="Arial"/>
          <w:szCs w:val="20"/>
        </w:rPr>
        <w:endnoteRef/>
      </w:r>
      <w:r w:rsidRPr="00AE2C1C">
        <w:rPr>
          <w:rFonts w:cs="Arial"/>
          <w:sz w:val="20"/>
          <w:szCs w:val="20"/>
        </w:rPr>
        <w:t xml:space="preserve"> The interviewee should be provided with a copy of their own record of interview if requested.  To avoid any possibility of collusion, they should not be provided with anyone else’s statement or record of interview.  </w:t>
      </w:r>
      <w:r w:rsidRPr="00E676C0">
        <w:rPr>
          <w:rFonts w:cs="Arial"/>
          <w:sz w:val="20"/>
          <w:szCs w:val="20"/>
        </w:rPr>
        <w:t xml:space="preserve">A complainant’s support person should not also be a witness as this may compromise their evidence.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YPlain">
    <w:altName w:val="Times New Roman"/>
    <w:panose1 w:val="00000000000000000000"/>
    <w:charset w:val="CD"/>
    <w:family w:val="auto"/>
    <w:notTrueType/>
    <w:pitch w:val="default"/>
    <w:sig w:usb0="00000001" w:usb1="00000000" w:usb2="00000000" w:usb3="00000000" w:csb0="00000000" w:csb1="00000000"/>
  </w:font>
  <w:font w:name="HelveticaNeu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cher Book">
    <w:altName w:val="Archer Book"/>
    <w:panose1 w:val="00000000000000000000"/>
    <w:charset w:val="00"/>
    <w:family w:val="roman"/>
    <w:notTrueType/>
    <w:pitch w:val="default"/>
    <w:sig w:usb0="00000003" w:usb1="00000000" w:usb2="00000000" w:usb3="00000000" w:csb0="00000001" w:csb1="00000000"/>
  </w:font>
  <w:font w:name="ELKZSS+HelveticaCYPlain">
    <w:altName w:val="Helvetica CY Pla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C5" w:rsidRPr="0090165F" w:rsidRDefault="007B20C5"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C5" w:rsidRPr="004A187B" w:rsidRDefault="007B20C5" w:rsidP="008B23BC">
    <w:pPr>
      <w:pStyle w:val="Footer"/>
    </w:pPr>
    <w:r>
      <w:rPr>
        <w:noProof/>
      </w:rPr>
      <mc:AlternateContent>
        <mc:Choice Requires="wps">
          <w:drawing>
            <wp:anchor distT="0" distB="0" distL="114300" distR="114300" simplePos="0" relativeHeight="251660288" behindDoc="0" locked="0" layoutInCell="1" allowOverlap="1" wp14:anchorId="461B0DAD" wp14:editId="16E87820">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7B20C5" w:rsidRPr="0003606D" w:rsidRDefault="007B20C5" w:rsidP="00730BD2">
                          <w:pPr>
                            <w:pStyle w:val="coveraddress"/>
                          </w:pPr>
                          <w:r w:rsidRPr="0003606D">
                            <w:t>ABN 47 996 232 602</w:t>
                          </w:r>
                        </w:p>
                        <w:p w:rsidR="007B20C5" w:rsidRPr="0003606D" w:rsidRDefault="007B20C5" w:rsidP="00730BD2">
                          <w:pPr>
                            <w:pStyle w:val="coveraddress"/>
                          </w:pPr>
                          <w:r w:rsidRPr="0003606D">
                            <w:t>Level 3, 175 Pitt Street, Sydney NSW 2000</w:t>
                          </w:r>
                        </w:p>
                        <w:p w:rsidR="007B20C5" w:rsidRPr="0003606D" w:rsidRDefault="007B20C5" w:rsidP="00730BD2">
                          <w:pPr>
                            <w:pStyle w:val="coveraddress"/>
                          </w:pPr>
                          <w:r w:rsidRPr="0003606D">
                            <w:t>GPO Box 5218, Sydney NSW 2001</w:t>
                          </w:r>
                        </w:p>
                        <w:p w:rsidR="007B20C5" w:rsidRPr="0003606D" w:rsidRDefault="007B20C5" w:rsidP="00730BD2">
                          <w:pPr>
                            <w:pStyle w:val="coveraddress"/>
                          </w:pPr>
                          <w:r w:rsidRPr="0003606D">
                            <w:t>General enquiries 1300 369 711</w:t>
                          </w:r>
                        </w:p>
                        <w:p w:rsidR="007B20C5" w:rsidRPr="0003606D" w:rsidRDefault="007B20C5" w:rsidP="00730BD2">
                          <w:pPr>
                            <w:pStyle w:val="coveraddress"/>
                          </w:pPr>
                          <w:r>
                            <w:t>National Information</w:t>
                          </w:r>
                          <w:r w:rsidRPr="0003606D">
                            <w:t xml:space="preserve"> </w:t>
                          </w:r>
                          <w:r>
                            <w:t>Service</w:t>
                          </w:r>
                          <w:r w:rsidRPr="0003606D">
                            <w:t xml:space="preserve"> 1300 656 419</w:t>
                          </w:r>
                        </w:p>
                        <w:p w:rsidR="007B20C5" w:rsidRPr="0003606D" w:rsidRDefault="007B20C5" w:rsidP="00730BD2">
                          <w:pPr>
                            <w:pStyle w:val="coveraddress"/>
                          </w:pPr>
                          <w:r w:rsidRPr="0003606D">
                            <w:t>TTY 1800 620 241</w:t>
                          </w:r>
                        </w:p>
                        <w:p w:rsidR="007B20C5" w:rsidRPr="00B63D24" w:rsidRDefault="007B20C5" w:rsidP="00730BD2">
                          <w:pPr>
                            <w:pStyle w:val="Footer"/>
                          </w:pPr>
                          <w:r w:rsidRPr="00B63D24">
                            <w:tab/>
                          </w:r>
                        </w:p>
                        <w:p w:rsidR="007B20C5" w:rsidRPr="00B63D24" w:rsidRDefault="007B20C5"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7B20C5" w:rsidRPr="0003606D" w:rsidRDefault="007B20C5" w:rsidP="00730BD2">
                    <w:pPr>
                      <w:pStyle w:val="coveraddress"/>
                    </w:pPr>
                    <w:r w:rsidRPr="0003606D">
                      <w:t>ABN 47 996 232 602</w:t>
                    </w:r>
                  </w:p>
                  <w:p w:rsidR="007B20C5" w:rsidRPr="0003606D" w:rsidRDefault="007B20C5" w:rsidP="00730BD2">
                    <w:pPr>
                      <w:pStyle w:val="coveraddress"/>
                    </w:pPr>
                    <w:r w:rsidRPr="0003606D">
                      <w:t>Level 3, 175 Pitt Street, Sydney NSW 2000</w:t>
                    </w:r>
                  </w:p>
                  <w:p w:rsidR="007B20C5" w:rsidRPr="0003606D" w:rsidRDefault="007B20C5" w:rsidP="00730BD2">
                    <w:pPr>
                      <w:pStyle w:val="coveraddress"/>
                    </w:pPr>
                    <w:r w:rsidRPr="0003606D">
                      <w:t>GPO Box 5218, Sydney NSW 2001</w:t>
                    </w:r>
                  </w:p>
                  <w:p w:rsidR="007B20C5" w:rsidRPr="0003606D" w:rsidRDefault="007B20C5" w:rsidP="00730BD2">
                    <w:pPr>
                      <w:pStyle w:val="coveraddress"/>
                    </w:pPr>
                    <w:r w:rsidRPr="0003606D">
                      <w:t>General enquiries 1300 369 711</w:t>
                    </w:r>
                  </w:p>
                  <w:p w:rsidR="007B20C5" w:rsidRPr="0003606D" w:rsidRDefault="007B20C5" w:rsidP="00730BD2">
                    <w:pPr>
                      <w:pStyle w:val="coveraddress"/>
                    </w:pPr>
                    <w:r>
                      <w:t>National Information</w:t>
                    </w:r>
                    <w:r w:rsidRPr="0003606D">
                      <w:t xml:space="preserve"> </w:t>
                    </w:r>
                    <w:r>
                      <w:t>Service</w:t>
                    </w:r>
                    <w:r w:rsidRPr="0003606D">
                      <w:t xml:space="preserve"> 1300 656 419</w:t>
                    </w:r>
                  </w:p>
                  <w:p w:rsidR="007B20C5" w:rsidRPr="0003606D" w:rsidRDefault="007B20C5" w:rsidP="00730BD2">
                    <w:pPr>
                      <w:pStyle w:val="coveraddress"/>
                    </w:pPr>
                    <w:r w:rsidRPr="0003606D">
                      <w:t>TTY 1800 620 241</w:t>
                    </w:r>
                  </w:p>
                  <w:p w:rsidR="007B20C5" w:rsidRPr="00B63D24" w:rsidRDefault="007B20C5" w:rsidP="00730BD2">
                    <w:pPr>
                      <w:pStyle w:val="Footer"/>
                    </w:pPr>
                    <w:r w:rsidRPr="00B63D24">
                      <w:tab/>
                    </w:r>
                  </w:p>
                  <w:p w:rsidR="007B20C5" w:rsidRPr="00B63D24" w:rsidRDefault="007B20C5"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C5" w:rsidRPr="0090165F" w:rsidRDefault="007B20C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240B4">
      <w:rPr>
        <w:rStyle w:val="PageNumber"/>
        <w:noProof/>
      </w:rPr>
      <w:t>56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C5" w:rsidRDefault="007B20C5" w:rsidP="00F14C6D">
      <w:r>
        <w:separator/>
      </w:r>
    </w:p>
  </w:footnote>
  <w:footnote w:type="continuationSeparator" w:id="0">
    <w:p w:rsidR="007B20C5" w:rsidRDefault="007B20C5" w:rsidP="00F14C6D">
      <w:r>
        <w:continuationSeparator/>
      </w:r>
    </w:p>
  </w:footnote>
  <w:footnote w:id="1">
    <w:p w:rsidR="007B20C5" w:rsidRDefault="007B20C5" w:rsidP="000619E5">
      <w:pPr>
        <w:pStyle w:val="FootnoteText"/>
      </w:pPr>
      <w:r>
        <w:rPr>
          <w:rStyle w:val="FootnoteReference"/>
        </w:rPr>
        <w:footnoteRef/>
      </w:r>
      <w:r>
        <w:t xml:space="preserve"> </w:t>
      </w:r>
      <w:proofErr w:type="gramStart"/>
      <w:r>
        <w:t xml:space="preserve">See section 57 of the </w:t>
      </w:r>
      <w:r w:rsidRPr="002174E2">
        <w:rPr>
          <w:i/>
        </w:rPr>
        <w:t>Age Discrimination Act 2004</w:t>
      </w:r>
      <w:r>
        <w:t xml:space="preserve"> (</w:t>
      </w:r>
      <w:proofErr w:type="spellStart"/>
      <w:r>
        <w:t>Cth</w:t>
      </w:r>
      <w:proofErr w:type="spellEnd"/>
      <w:r>
        <w:t xml:space="preserve">) and section 123 of the </w:t>
      </w:r>
      <w:r w:rsidRPr="002174E2">
        <w:rPr>
          <w:i/>
        </w:rPr>
        <w:t>Disability Discrimination Act 1992</w:t>
      </w:r>
      <w:r>
        <w:t xml:space="preserve"> (</w:t>
      </w:r>
      <w:proofErr w:type="spellStart"/>
      <w:r>
        <w:t>Cth</w:t>
      </w:r>
      <w:proofErr w:type="spellEnd"/>
      <w:r>
        <w:t>).</w:t>
      </w:r>
      <w:proofErr w:type="gramEnd"/>
    </w:p>
  </w:footnote>
  <w:footnote w:id="2">
    <w:p w:rsidR="007B20C5" w:rsidRDefault="007B20C5" w:rsidP="000619E5">
      <w:pPr>
        <w:pStyle w:val="FootnoteText"/>
      </w:pPr>
      <w:r>
        <w:rPr>
          <w:rStyle w:val="FootnoteReference"/>
        </w:rPr>
        <w:footnoteRef/>
      </w:r>
      <w:r>
        <w:t xml:space="preserve"> </w:t>
      </w:r>
      <w:proofErr w:type="gramStart"/>
      <w:r>
        <w:t xml:space="preserve">See section 106 of the </w:t>
      </w:r>
      <w:r w:rsidRPr="002174E2">
        <w:rPr>
          <w:i/>
        </w:rPr>
        <w:t>Sex Discrimination Act 1984</w:t>
      </w:r>
      <w:r>
        <w:t xml:space="preserve"> (</w:t>
      </w:r>
      <w:proofErr w:type="spellStart"/>
      <w:r>
        <w:t>Cth</w:t>
      </w:r>
      <w:proofErr w:type="spellEnd"/>
      <w:r>
        <w:t xml:space="preserve">) and section 18A of the </w:t>
      </w:r>
      <w:r w:rsidRPr="002174E2">
        <w:rPr>
          <w:i/>
        </w:rPr>
        <w:t>Racial Discrimination Act 1975</w:t>
      </w:r>
      <w:r>
        <w:t xml:space="preserve"> (</w:t>
      </w:r>
      <w:proofErr w:type="spellStart"/>
      <w:r>
        <w:t>Cth</w:t>
      </w:r>
      <w:proofErr w:type="spellEnd"/>
      <w:r>
        <w:t>).</w:t>
      </w:r>
      <w:proofErr w:type="gramEnd"/>
    </w:p>
  </w:footnote>
  <w:footnote w:id="3">
    <w:p w:rsidR="007B20C5" w:rsidRDefault="007B20C5" w:rsidP="000619E5">
      <w:pPr>
        <w:pStyle w:val="FootnoteText"/>
      </w:pPr>
      <w:r>
        <w:rPr>
          <w:rStyle w:val="FootnoteReference"/>
        </w:rPr>
        <w:footnoteRef/>
      </w:r>
      <w:r>
        <w:t xml:space="preserve"> </w:t>
      </w:r>
      <w:proofErr w:type="gramStart"/>
      <w:r>
        <w:t xml:space="preserve">See discussion of </w:t>
      </w:r>
      <w:proofErr w:type="spellStart"/>
      <w:r>
        <w:t>Johanson</w:t>
      </w:r>
      <w:proofErr w:type="spellEnd"/>
      <w:r>
        <w:t xml:space="preserve"> v </w:t>
      </w:r>
      <w:proofErr w:type="spellStart"/>
      <w:r>
        <w:t>Blackledge</w:t>
      </w:r>
      <w:proofErr w:type="spellEnd"/>
      <w:r>
        <w:t xml:space="preserve"> (2001) 163 FLR 58, 82 [105] in </w:t>
      </w:r>
      <w:r w:rsidRPr="002174E2">
        <w:rPr>
          <w:i/>
        </w:rPr>
        <w:t>Federal Discrimination Law Online</w:t>
      </w:r>
      <w:r>
        <w:t xml:space="preserve">, Australian Human Rights Commission, 2011; available at </w:t>
      </w:r>
      <w:hyperlink r:id="rId1" w:history="1">
        <w:r w:rsidRPr="00EC7F11">
          <w:rPr>
            <w:rStyle w:val="Hyperlink"/>
          </w:rPr>
          <w:t>http://www.humanrights.gov.au</w:t>
        </w:r>
      </w:hyperlink>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C5" w:rsidRDefault="00E240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C5" w:rsidRPr="00D27262" w:rsidRDefault="00E240B4"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7B20C5" w:rsidRPr="00D27262">
      <w:rPr>
        <w:sz w:val="22"/>
        <w:szCs w:val="22"/>
      </w:rPr>
      <w:t>Au</w:t>
    </w:r>
    <w:r w:rsidR="007B20C5">
      <w:rPr>
        <w:sz w:val="22"/>
        <w:szCs w:val="22"/>
      </w:rPr>
      <w:t>stralian Human Rights Commission</w:t>
    </w:r>
  </w:p>
  <w:p w:rsidR="007B20C5" w:rsidRDefault="007B20C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B20C5" w:rsidRPr="00B85DD4">
      <w:trPr>
        <w:trHeight w:val="1276"/>
      </w:trPr>
      <w:tc>
        <w:tcPr>
          <w:tcW w:w="1508" w:type="dxa"/>
        </w:tcPr>
        <w:p w:rsidR="007B20C5" w:rsidRPr="00B85DD4" w:rsidRDefault="00E240B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58.6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7B20C5" w:rsidRPr="00B85DD4" w:rsidRDefault="007B20C5" w:rsidP="002B1B65">
          <w:pPr>
            <w:spacing w:before="0" w:after="0"/>
            <w:rPr>
              <w:rFonts w:cs="ArialMT"/>
              <w:i/>
              <w:color w:val="808080"/>
              <w:sz w:val="17"/>
            </w:rPr>
          </w:pPr>
        </w:p>
      </w:tc>
      <w:tc>
        <w:tcPr>
          <w:tcW w:w="2302" w:type="dxa"/>
        </w:tcPr>
        <w:p w:rsidR="007B20C5" w:rsidRPr="00B85DD4" w:rsidRDefault="007B20C5" w:rsidP="00B520BC">
          <w:pPr>
            <w:pStyle w:val="HeaderFooter"/>
            <w:rPr>
              <w:b/>
              <w:spacing w:val="-20"/>
              <w:sz w:val="40"/>
            </w:rPr>
          </w:pPr>
        </w:p>
      </w:tc>
      <w:tc>
        <w:tcPr>
          <w:tcW w:w="2130" w:type="dxa"/>
        </w:tcPr>
        <w:p w:rsidR="007B20C5" w:rsidRPr="00B85DD4" w:rsidRDefault="007B20C5" w:rsidP="00B520BC">
          <w:pPr>
            <w:pStyle w:val="HeaderFooter"/>
            <w:rPr>
              <w:b/>
              <w:spacing w:val="-20"/>
              <w:sz w:val="40"/>
            </w:rPr>
          </w:pPr>
        </w:p>
      </w:tc>
      <w:tc>
        <w:tcPr>
          <w:tcW w:w="1721" w:type="dxa"/>
        </w:tcPr>
        <w:p w:rsidR="007B20C5" w:rsidRPr="00B85DD4" w:rsidRDefault="007B20C5" w:rsidP="00B520BC">
          <w:pPr>
            <w:pStyle w:val="HeaderFooter"/>
            <w:spacing w:before="227" w:after="340"/>
            <w:rPr>
              <w:b/>
              <w:spacing w:val="-20"/>
              <w:sz w:val="40"/>
            </w:rPr>
          </w:pPr>
        </w:p>
      </w:tc>
    </w:tr>
  </w:tbl>
  <w:p w:rsidR="007B20C5" w:rsidRDefault="007B20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C5" w:rsidRDefault="00E240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C5" w:rsidRPr="00D27262" w:rsidRDefault="007B20C5" w:rsidP="00B34946">
    <w:pPr>
      <w:spacing w:before="0" w:after="60"/>
      <w:jc w:val="right"/>
      <w:rPr>
        <w:sz w:val="22"/>
        <w:szCs w:val="22"/>
      </w:rPr>
    </w:pPr>
    <w:r w:rsidRPr="00D27262">
      <w:rPr>
        <w:sz w:val="22"/>
        <w:szCs w:val="22"/>
      </w:rPr>
      <w:t>Au</w:t>
    </w:r>
    <w:r>
      <w:rPr>
        <w:sz w:val="22"/>
        <w:szCs w:val="22"/>
      </w:rPr>
      <w:t>stralian Human Rights Commission</w:t>
    </w:r>
  </w:p>
  <w:p w:rsidR="007B20C5" w:rsidRPr="001E5676" w:rsidRDefault="007B20C5" w:rsidP="002F4CE1">
    <w:pPr>
      <w:pStyle w:val="Footer"/>
      <w:spacing w:after="240"/>
      <w:jc w:val="right"/>
      <w:rPr>
        <w:i/>
        <w:sz w:val="18"/>
        <w:szCs w:val="18"/>
      </w:rPr>
    </w:pPr>
    <w:r>
      <w:rPr>
        <w:b/>
        <w:i/>
        <w:sz w:val="18"/>
        <w:szCs w:val="18"/>
      </w:rPr>
      <w:t xml:space="preserve">Sexual harassment free workplaces </w:t>
    </w:r>
    <w:r w:rsidRPr="001E5676">
      <w:rPr>
        <w:i/>
        <w:sz w:val="18"/>
        <w:szCs w:val="18"/>
      </w:rPr>
      <w:t xml:space="preserve">– </w:t>
    </w:r>
    <w:r>
      <w:rPr>
        <w:i/>
        <w:sz w:val="18"/>
        <w:szCs w:val="18"/>
      </w:rPr>
      <w:t>May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B20C5" w:rsidRPr="00B85DD4">
      <w:trPr>
        <w:trHeight w:val="1603"/>
      </w:trPr>
      <w:tc>
        <w:tcPr>
          <w:tcW w:w="1508" w:type="dxa"/>
        </w:tcPr>
        <w:p w:rsidR="007B20C5" w:rsidRPr="00B85DD4" w:rsidRDefault="00E240B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7B20C5">
            <w:rPr>
              <w:rFonts w:cs="ArialMT"/>
              <w:b/>
              <w:noProof/>
              <w:spacing w:val="-20"/>
            </w:rPr>
            <w:drawing>
              <wp:inline distT="0" distB="0" distL="0" distR="0" wp14:anchorId="5A09BA02" wp14:editId="4231BFC2">
                <wp:extent cx="819150" cy="819150"/>
                <wp:effectExtent l="0" t="0" r="0" b="0"/>
                <wp:docPr id="38"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7B20C5" w:rsidRPr="00D36BB2" w:rsidRDefault="007B20C5" w:rsidP="002B1B65">
          <w:pPr>
            <w:pStyle w:val="LogoType"/>
            <w:pBdr>
              <w:bottom w:val="single" w:sz="4" w:space="1" w:color="808080"/>
            </w:pBdr>
            <w:spacing w:line="240" w:lineRule="auto"/>
          </w:pPr>
          <w:r w:rsidRPr="00D36BB2">
            <w:t>Australian</w:t>
          </w:r>
        </w:p>
        <w:p w:rsidR="007B20C5" w:rsidRPr="00D36BB2" w:rsidRDefault="007B20C5" w:rsidP="002B1B65">
          <w:pPr>
            <w:pStyle w:val="LogoType"/>
            <w:pBdr>
              <w:bottom w:val="single" w:sz="4" w:space="1" w:color="808080"/>
            </w:pBdr>
            <w:spacing w:line="240" w:lineRule="auto"/>
          </w:pPr>
          <w:r w:rsidRPr="00D36BB2">
            <w:t>Human Rights</w:t>
          </w:r>
        </w:p>
        <w:p w:rsidR="007B20C5" w:rsidRPr="00D36BB2" w:rsidRDefault="007B20C5" w:rsidP="002B1B65">
          <w:pPr>
            <w:pStyle w:val="LogoType"/>
            <w:pBdr>
              <w:bottom w:val="single" w:sz="4" w:space="1" w:color="808080"/>
            </w:pBdr>
            <w:spacing w:line="240" w:lineRule="auto"/>
          </w:pPr>
          <w:r w:rsidRPr="00D36BB2">
            <w:t>Commission</w:t>
          </w:r>
        </w:p>
        <w:p w:rsidR="007B20C5" w:rsidRPr="00B85DD4" w:rsidRDefault="007B20C5"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7B20C5" w:rsidRPr="00B85DD4" w:rsidRDefault="007B20C5" w:rsidP="00B520BC">
          <w:pPr>
            <w:pStyle w:val="HeaderFooter"/>
            <w:rPr>
              <w:b/>
              <w:spacing w:val="-20"/>
              <w:sz w:val="40"/>
            </w:rPr>
          </w:pPr>
        </w:p>
      </w:tc>
      <w:tc>
        <w:tcPr>
          <w:tcW w:w="2130" w:type="dxa"/>
        </w:tcPr>
        <w:p w:rsidR="007B20C5" w:rsidRPr="00B85DD4" w:rsidRDefault="007B20C5" w:rsidP="00B520BC">
          <w:pPr>
            <w:pStyle w:val="HeaderFooter"/>
            <w:rPr>
              <w:b/>
              <w:spacing w:val="-20"/>
              <w:sz w:val="40"/>
            </w:rPr>
          </w:pPr>
        </w:p>
      </w:tc>
      <w:tc>
        <w:tcPr>
          <w:tcW w:w="1721" w:type="dxa"/>
        </w:tcPr>
        <w:p w:rsidR="007B20C5" w:rsidRPr="00B85DD4" w:rsidRDefault="007B20C5" w:rsidP="00B520BC">
          <w:pPr>
            <w:pStyle w:val="HeaderFooter"/>
            <w:spacing w:before="227" w:after="340"/>
            <w:rPr>
              <w:b/>
              <w:spacing w:val="-20"/>
              <w:sz w:val="40"/>
            </w:rPr>
          </w:pPr>
        </w:p>
      </w:tc>
    </w:tr>
  </w:tbl>
  <w:p w:rsidR="007B20C5" w:rsidRDefault="007B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2D1E"/>
    <w:multiLevelType w:val="hybridMultilevel"/>
    <w:tmpl w:val="C3984A1E"/>
    <w:lvl w:ilvl="0" w:tplc="EB54A140">
      <w:start w:val="1"/>
      <w:numFmt w:val="bullet"/>
      <w:pStyle w:val="ListParaMargin"/>
      <w:lvlText w:val=""/>
      <w:lvlJc w:val="left"/>
      <w:pPr>
        <w:tabs>
          <w:tab w:val="num" w:pos="284"/>
        </w:tabs>
        <w:ind w:left="284" w:hanging="284"/>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DC3D69"/>
    <w:multiLevelType w:val="hybridMultilevel"/>
    <w:tmpl w:val="6464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1E1E55"/>
    <w:multiLevelType w:val="hybridMultilevel"/>
    <w:tmpl w:val="93B2A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47D6C78"/>
    <w:multiLevelType w:val="hybridMultilevel"/>
    <w:tmpl w:val="F0D8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629015C"/>
    <w:multiLevelType w:val="hybridMultilevel"/>
    <w:tmpl w:val="8CAE8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C443DD3"/>
    <w:multiLevelType w:val="hybridMultilevel"/>
    <w:tmpl w:val="0DBA10D4"/>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16">
    <w:nsid w:val="0C59586E"/>
    <w:multiLevelType w:val="multilevel"/>
    <w:tmpl w:val="9228B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F904364"/>
    <w:multiLevelType w:val="hybridMultilevel"/>
    <w:tmpl w:val="148EDA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1D30217"/>
    <w:multiLevelType w:val="hybridMultilevel"/>
    <w:tmpl w:val="98AE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670BA7"/>
    <w:multiLevelType w:val="hybridMultilevel"/>
    <w:tmpl w:val="93A24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3E45661"/>
    <w:multiLevelType w:val="hybridMultilevel"/>
    <w:tmpl w:val="4B10302C"/>
    <w:lvl w:ilvl="0" w:tplc="092C4F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4EF5B0F"/>
    <w:multiLevelType w:val="hybridMultilevel"/>
    <w:tmpl w:val="3C8AD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70D7BF3"/>
    <w:multiLevelType w:val="hybridMultilevel"/>
    <w:tmpl w:val="BAC4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9CD0C68"/>
    <w:multiLevelType w:val="hybridMultilevel"/>
    <w:tmpl w:val="3E20C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BA70B2E"/>
    <w:multiLevelType w:val="hybridMultilevel"/>
    <w:tmpl w:val="4F2C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1FA3660A"/>
    <w:multiLevelType w:val="hybridMultilevel"/>
    <w:tmpl w:val="A6A6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1B0040D"/>
    <w:multiLevelType w:val="hybridMultilevel"/>
    <w:tmpl w:val="D13A12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21D179CE"/>
    <w:multiLevelType w:val="hybridMultilevel"/>
    <w:tmpl w:val="57D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3DA1B8A"/>
    <w:multiLevelType w:val="hybridMultilevel"/>
    <w:tmpl w:val="6F7C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76746B5"/>
    <w:multiLevelType w:val="hybridMultilevel"/>
    <w:tmpl w:val="A0847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98D32BA"/>
    <w:multiLevelType w:val="hybridMultilevel"/>
    <w:tmpl w:val="A6B4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D5D0489"/>
    <w:multiLevelType w:val="hybridMultilevel"/>
    <w:tmpl w:val="7BB2E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E3D1375"/>
    <w:multiLevelType w:val="hybridMultilevel"/>
    <w:tmpl w:val="2F4A7B74"/>
    <w:lvl w:ilvl="0" w:tplc="58DE90D8">
      <w:start w:val="1"/>
      <w:numFmt w:val="bullet"/>
      <w:pStyle w:val="VEOHRCList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36E95083"/>
    <w:multiLevelType w:val="hybridMultilevel"/>
    <w:tmpl w:val="F88EE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95525E8"/>
    <w:multiLevelType w:val="hybridMultilevel"/>
    <w:tmpl w:val="F9967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B782EEB"/>
    <w:multiLevelType w:val="hybridMultilevel"/>
    <w:tmpl w:val="3A48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0178B1"/>
    <w:multiLevelType w:val="hybridMultilevel"/>
    <w:tmpl w:val="C610D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F165D89"/>
    <w:multiLevelType w:val="hybridMultilevel"/>
    <w:tmpl w:val="2966A2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27A72B7"/>
    <w:multiLevelType w:val="hybridMultilevel"/>
    <w:tmpl w:val="5B6E2612"/>
    <w:lvl w:ilvl="0" w:tplc="0C090005">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2">
    <w:nsid w:val="47F125D5"/>
    <w:multiLevelType w:val="hybridMultilevel"/>
    <w:tmpl w:val="FCD04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44">
    <w:nsid w:val="4E2645D1"/>
    <w:multiLevelType w:val="hybridMultilevel"/>
    <w:tmpl w:val="6E7E3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50957F2A"/>
    <w:multiLevelType w:val="hybridMultilevel"/>
    <w:tmpl w:val="0588A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52136592"/>
    <w:multiLevelType w:val="hybridMultilevel"/>
    <w:tmpl w:val="A328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3B87F6E"/>
    <w:multiLevelType w:val="hybridMultilevel"/>
    <w:tmpl w:val="EA88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4AB7D7E"/>
    <w:multiLevelType w:val="hybridMultilevel"/>
    <w:tmpl w:val="553A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5486171"/>
    <w:multiLevelType w:val="hybridMultilevel"/>
    <w:tmpl w:val="EC04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6245FC9"/>
    <w:multiLevelType w:val="hybridMultilevel"/>
    <w:tmpl w:val="DBC6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8852676"/>
    <w:multiLevelType w:val="hybridMultilevel"/>
    <w:tmpl w:val="553C7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889590D"/>
    <w:multiLevelType w:val="multilevel"/>
    <w:tmpl w:val="460ED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E63461A"/>
    <w:multiLevelType w:val="hybridMultilevel"/>
    <w:tmpl w:val="304E8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FB205BF"/>
    <w:multiLevelType w:val="hybridMultilevel"/>
    <w:tmpl w:val="38BE2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3DC46C4"/>
    <w:multiLevelType w:val="hybridMultilevel"/>
    <w:tmpl w:val="19809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598325F"/>
    <w:multiLevelType w:val="hybridMultilevel"/>
    <w:tmpl w:val="31E4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83513DF"/>
    <w:multiLevelType w:val="multilevel"/>
    <w:tmpl w:val="1F22D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D3976AE"/>
    <w:multiLevelType w:val="hybridMultilevel"/>
    <w:tmpl w:val="8774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E033A6C"/>
    <w:multiLevelType w:val="hybridMultilevel"/>
    <w:tmpl w:val="F77267C6"/>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1">
    <w:nsid w:val="6EC12BAB"/>
    <w:multiLevelType w:val="hybridMultilevel"/>
    <w:tmpl w:val="FD207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F0F7059"/>
    <w:multiLevelType w:val="hybridMultilevel"/>
    <w:tmpl w:val="B3EAB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F183F13"/>
    <w:multiLevelType w:val="hybridMultilevel"/>
    <w:tmpl w:val="E074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0850139"/>
    <w:multiLevelType w:val="hybridMultilevel"/>
    <w:tmpl w:val="333E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B3A31F6"/>
    <w:multiLevelType w:val="hybridMultilevel"/>
    <w:tmpl w:val="BFD6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E597E7A"/>
    <w:multiLevelType w:val="hybridMultilevel"/>
    <w:tmpl w:val="2176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E61361E"/>
    <w:multiLevelType w:val="hybridMultilevel"/>
    <w:tmpl w:val="C486D9F0"/>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num w:numId="1">
    <w:abstractNumId w:val="4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45"/>
  </w:num>
  <w:num w:numId="13">
    <w:abstractNumId w:val="39"/>
  </w:num>
  <w:num w:numId="14">
    <w:abstractNumId w:val="28"/>
  </w:num>
  <w:num w:numId="15">
    <w:abstractNumId w:val="25"/>
  </w:num>
  <w:num w:numId="16">
    <w:abstractNumId w:val="44"/>
  </w:num>
  <w:num w:numId="17">
    <w:abstractNumId w:val="49"/>
  </w:num>
  <w:num w:numId="18">
    <w:abstractNumId w:val="10"/>
  </w:num>
  <w:num w:numId="19">
    <w:abstractNumId w:val="50"/>
  </w:num>
  <w:num w:numId="20">
    <w:abstractNumId w:val="21"/>
  </w:num>
  <w:num w:numId="21">
    <w:abstractNumId w:val="18"/>
  </w:num>
  <w:num w:numId="22">
    <w:abstractNumId w:val="26"/>
  </w:num>
  <w:num w:numId="23">
    <w:abstractNumId w:val="66"/>
  </w:num>
  <w:num w:numId="24">
    <w:abstractNumId w:val="38"/>
  </w:num>
  <w:num w:numId="25">
    <w:abstractNumId w:val="37"/>
  </w:num>
  <w:num w:numId="26">
    <w:abstractNumId w:val="19"/>
  </w:num>
  <w:num w:numId="27">
    <w:abstractNumId w:val="20"/>
  </w:num>
  <w:num w:numId="28">
    <w:abstractNumId w:val="42"/>
  </w:num>
  <w:num w:numId="29">
    <w:abstractNumId w:val="52"/>
  </w:num>
  <w:num w:numId="30">
    <w:abstractNumId w:val="61"/>
  </w:num>
  <w:num w:numId="31">
    <w:abstractNumId w:val="67"/>
  </w:num>
  <w:num w:numId="32">
    <w:abstractNumId w:val="11"/>
  </w:num>
  <w:num w:numId="33">
    <w:abstractNumId w:val="36"/>
  </w:num>
  <w:num w:numId="34">
    <w:abstractNumId w:val="55"/>
  </w:num>
  <w:num w:numId="35">
    <w:abstractNumId w:val="15"/>
  </w:num>
  <w:num w:numId="36">
    <w:abstractNumId w:val="54"/>
  </w:num>
  <w:num w:numId="37">
    <w:abstractNumId w:val="59"/>
  </w:num>
  <w:num w:numId="38">
    <w:abstractNumId w:val="32"/>
  </w:num>
  <w:num w:numId="39">
    <w:abstractNumId w:val="33"/>
  </w:num>
  <w:num w:numId="40">
    <w:abstractNumId w:val="63"/>
  </w:num>
  <w:num w:numId="41">
    <w:abstractNumId w:val="47"/>
  </w:num>
  <w:num w:numId="42">
    <w:abstractNumId w:val="65"/>
  </w:num>
  <w:num w:numId="43">
    <w:abstractNumId w:val="57"/>
  </w:num>
  <w:num w:numId="44">
    <w:abstractNumId w:val="34"/>
  </w:num>
  <w:num w:numId="45">
    <w:abstractNumId w:val="30"/>
  </w:num>
  <w:num w:numId="46">
    <w:abstractNumId w:val="56"/>
  </w:num>
  <w:num w:numId="47">
    <w:abstractNumId w:val="24"/>
  </w:num>
  <w:num w:numId="48">
    <w:abstractNumId w:val="13"/>
  </w:num>
  <w:num w:numId="49">
    <w:abstractNumId w:val="16"/>
  </w:num>
  <w:num w:numId="50">
    <w:abstractNumId w:val="27"/>
  </w:num>
  <w:num w:numId="51">
    <w:abstractNumId w:val="14"/>
  </w:num>
  <w:num w:numId="52">
    <w:abstractNumId w:val="41"/>
  </w:num>
  <w:num w:numId="53">
    <w:abstractNumId w:val="35"/>
  </w:num>
  <w:num w:numId="54">
    <w:abstractNumId w:val="12"/>
  </w:num>
  <w:num w:numId="55">
    <w:abstractNumId w:val="62"/>
  </w:num>
  <w:num w:numId="56">
    <w:abstractNumId w:val="64"/>
  </w:num>
  <w:num w:numId="57">
    <w:abstractNumId w:val="29"/>
  </w:num>
  <w:num w:numId="58">
    <w:abstractNumId w:val="22"/>
  </w:num>
  <w:num w:numId="59">
    <w:abstractNumId w:val="17"/>
  </w:num>
  <w:num w:numId="60">
    <w:abstractNumId w:val="60"/>
  </w:num>
  <w:num w:numId="61">
    <w:abstractNumId w:val="40"/>
  </w:num>
  <w:num w:numId="62">
    <w:abstractNumId w:val="31"/>
  </w:num>
  <w:num w:numId="63">
    <w:abstractNumId w:val="48"/>
  </w:num>
  <w:num w:numId="64">
    <w:abstractNumId w:val="46"/>
  </w:num>
  <w:num w:numId="65">
    <w:abstractNumId w:val="51"/>
  </w:num>
  <w:num w:numId="66">
    <w:abstractNumId w:val="23"/>
  </w:num>
  <w:num w:numId="67">
    <w:abstractNumId w:val="53"/>
  </w:num>
  <w:num w:numId="68">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C3"/>
    <w:rsid w:val="00000938"/>
    <w:rsid w:val="00001304"/>
    <w:rsid w:val="000024B8"/>
    <w:rsid w:val="0000320C"/>
    <w:rsid w:val="0000343B"/>
    <w:rsid w:val="00003A80"/>
    <w:rsid w:val="00003B6A"/>
    <w:rsid w:val="00005219"/>
    <w:rsid w:val="00005E54"/>
    <w:rsid w:val="00006D92"/>
    <w:rsid w:val="00007E4F"/>
    <w:rsid w:val="00011119"/>
    <w:rsid w:val="0001148E"/>
    <w:rsid w:val="0001155D"/>
    <w:rsid w:val="00012850"/>
    <w:rsid w:val="000128D6"/>
    <w:rsid w:val="000132A4"/>
    <w:rsid w:val="000132FF"/>
    <w:rsid w:val="00013528"/>
    <w:rsid w:val="000139AF"/>
    <w:rsid w:val="00014448"/>
    <w:rsid w:val="0001518D"/>
    <w:rsid w:val="00015854"/>
    <w:rsid w:val="000167F9"/>
    <w:rsid w:val="00016807"/>
    <w:rsid w:val="00016A5B"/>
    <w:rsid w:val="00016F18"/>
    <w:rsid w:val="000174D8"/>
    <w:rsid w:val="00020B4F"/>
    <w:rsid w:val="00022507"/>
    <w:rsid w:val="0002301F"/>
    <w:rsid w:val="0002406A"/>
    <w:rsid w:val="00024CC7"/>
    <w:rsid w:val="00025992"/>
    <w:rsid w:val="0002677A"/>
    <w:rsid w:val="00026CDC"/>
    <w:rsid w:val="00027469"/>
    <w:rsid w:val="000275F7"/>
    <w:rsid w:val="00031482"/>
    <w:rsid w:val="00031FB2"/>
    <w:rsid w:val="00033264"/>
    <w:rsid w:val="0003326D"/>
    <w:rsid w:val="000348A4"/>
    <w:rsid w:val="00035526"/>
    <w:rsid w:val="000358BF"/>
    <w:rsid w:val="000361E0"/>
    <w:rsid w:val="00037AE9"/>
    <w:rsid w:val="000402FD"/>
    <w:rsid w:val="00040F56"/>
    <w:rsid w:val="00041902"/>
    <w:rsid w:val="0004240C"/>
    <w:rsid w:val="00042A5D"/>
    <w:rsid w:val="00042C2C"/>
    <w:rsid w:val="00043478"/>
    <w:rsid w:val="00043525"/>
    <w:rsid w:val="00043FCC"/>
    <w:rsid w:val="0004520B"/>
    <w:rsid w:val="000468F6"/>
    <w:rsid w:val="00050054"/>
    <w:rsid w:val="0005030A"/>
    <w:rsid w:val="0005087F"/>
    <w:rsid w:val="00051109"/>
    <w:rsid w:val="0005115C"/>
    <w:rsid w:val="0005171C"/>
    <w:rsid w:val="00052C4C"/>
    <w:rsid w:val="00052FBC"/>
    <w:rsid w:val="00053290"/>
    <w:rsid w:val="000533CE"/>
    <w:rsid w:val="000535FF"/>
    <w:rsid w:val="00053809"/>
    <w:rsid w:val="00053953"/>
    <w:rsid w:val="00053D58"/>
    <w:rsid w:val="00054DBE"/>
    <w:rsid w:val="00054FAD"/>
    <w:rsid w:val="000561D9"/>
    <w:rsid w:val="000577D1"/>
    <w:rsid w:val="000579B1"/>
    <w:rsid w:val="00060F8A"/>
    <w:rsid w:val="00061039"/>
    <w:rsid w:val="00061103"/>
    <w:rsid w:val="000612CF"/>
    <w:rsid w:val="000619E5"/>
    <w:rsid w:val="00061FC8"/>
    <w:rsid w:val="00062041"/>
    <w:rsid w:val="000624AB"/>
    <w:rsid w:val="0006293C"/>
    <w:rsid w:val="000629C5"/>
    <w:rsid w:val="00064DE2"/>
    <w:rsid w:val="00064F5B"/>
    <w:rsid w:val="00065799"/>
    <w:rsid w:val="000665E3"/>
    <w:rsid w:val="00067837"/>
    <w:rsid w:val="000678D7"/>
    <w:rsid w:val="00067AC7"/>
    <w:rsid w:val="00067BE6"/>
    <w:rsid w:val="000720F6"/>
    <w:rsid w:val="000724F0"/>
    <w:rsid w:val="00073049"/>
    <w:rsid w:val="0007372F"/>
    <w:rsid w:val="000739F0"/>
    <w:rsid w:val="00073CCB"/>
    <w:rsid w:val="00073EB1"/>
    <w:rsid w:val="00075A2C"/>
    <w:rsid w:val="00076D4A"/>
    <w:rsid w:val="00077BAB"/>
    <w:rsid w:val="00077DF1"/>
    <w:rsid w:val="000822FE"/>
    <w:rsid w:val="00082587"/>
    <w:rsid w:val="00082B88"/>
    <w:rsid w:val="00083347"/>
    <w:rsid w:val="000836B7"/>
    <w:rsid w:val="00083940"/>
    <w:rsid w:val="00084184"/>
    <w:rsid w:val="000859DB"/>
    <w:rsid w:val="00086057"/>
    <w:rsid w:val="000862C0"/>
    <w:rsid w:val="00086C68"/>
    <w:rsid w:val="00087853"/>
    <w:rsid w:val="00087CAD"/>
    <w:rsid w:val="00087F62"/>
    <w:rsid w:val="00087FA5"/>
    <w:rsid w:val="000900C3"/>
    <w:rsid w:val="00090468"/>
    <w:rsid w:val="00091A14"/>
    <w:rsid w:val="00091B54"/>
    <w:rsid w:val="00091E00"/>
    <w:rsid w:val="000926F1"/>
    <w:rsid w:val="00093E52"/>
    <w:rsid w:val="00093FE7"/>
    <w:rsid w:val="0009627F"/>
    <w:rsid w:val="00096978"/>
    <w:rsid w:val="00096CA9"/>
    <w:rsid w:val="00096D9F"/>
    <w:rsid w:val="000970A6"/>
    <w:rsid w:val="0009738A"/>
    <w:rsid w:val="00097E02"/>
    <w:rsid w:val="000A05C6"/>
    <w:rsid w:val="000A1720"/>
    <w:rsid w:val="000A1DB8"/>
    <w:rsid w:val="000A20E2"/>
    <w:rsid w:val="000A233B"/>
    <w:rsid w:val="000A2ADD"/>
    <w:rsid w:val="000A3004"/>
    <w:rsid w:val="000A302B"/>
    <w:rsid w:val="000A3759"/>
    <w:rsid w:val="000A43B9"/>
    <w:rsid w:val="000A48AC"/>
    <w:rsid w:val="000A60EA"/>
    <w:rsid w:val="000A68D4"/>
    <w:rsid w:val="000A694B"/>
    <w:rsid w:val="000A698C"/>
    <w:rsid w:val="000A73DA"/>
    <w:rsid w:val="000B0297"/>
    <w:rsid w:val="000B076E"/>
    <w:rsid w:val="000B0A5D"/>
    <w:rsid w:val="000B1D95"/>
    <w:rsid w:val="000B2162"/>
    <w:rsid w:val="000B276F"/>
    <w:rsid w:val="000B2861"/>
    <w:rsid w:val="000B2A29"/>
    <w:rsid w:val="000B3949"/>
    <w:rsid w:val="000B3D00"/>
    <w:rsid w:val="000B49B1"/>
    <w:rsid w:val="000B4D25"/>
    <w:rsid w:val="000B50C0"/>
    <w:rsid w:val="000B7352"/>
    <w:rsid w:val="000C0458"/>
    <w:rsid w:val="000C0F7A"/>
    <w:rsid w:val="000C1347"/>
    <w:rsid w:val="000C13F1"/>
    <w:rsid w:val="000C1A6A"/>
    <w:rsid w:val="000C1CFB"/>
    <w:rsid w:val="000C1DDF"/>
    <w:rsid w:val="000C276E"/>
    <w:rsid w:val="000C41DD"/>
    <w:rsid w:val="000C42E9"/>
    <w:rsid w:val="000C43E1"/>
    <w:rsid w:val="000C50DA"/>
    <w:rsid w:val="000C5C4E"/>
    <w:rsid w:val="000C6641"/>
    <w:rsid w:val="000C7E6D"/>
    <w:rsid w:val="000D005E"/>
    <w:rsid w:val="000D03D2"/>
    <w:rsid w:val="000D088F"/>
    <w:rsid w:val="000D1155"/>
    <w:rsid w:val="000D269F"/>
    <w:rsid w:val="000D2DF9"/>
    <w:rsid w:val="000D4939"/>
    <w:rsid w:val="000D6B48"/>
    <w:rsid w:val="000D6CCD"/>
    <w:rsid w:val="000D6EDF"/>
    <w:rsid w:val="000D7539"/>
    <w:rsid w:val="000E010F"/>
    <w:rsid w:val="000E0842"/>
    <w:rsid w:val="000E0E80"/>
    <w:rsid w:val="000E130A"/>
    <w:rsid w:val="000E1680"/>
    <w:rsid w:val="000E324B"/>
    <w:rsid w:val="000E38C3"/>
    <w:rsid w:val="000E42F8"/>
    <w:rsid w:val="000E521E"/>
    <w:rsid w:val="000E537E"/>
    <w:rsid w:val="000E5E17"/>
    <w:rsid w:val="000E7201"/>
    <w:rsid w:val="000E72A7"/>
    <w:rsid w:val="000E72B6"/>
    <w:rsid w:val="000E75FF"/>
    <w:rsid w:val="000F15C9"/>
    <w:rsid w:val="000F2436"/>
    <w:rsid w:val="000F407B"/>
    <w:rsid w:val="000F4A8B"/>
    <w:rsid w:val="000F5BC5"/>
    <w:rsid w:val="000F5E06"/>
    <w:rsid w:val="000F718D"/>
    <w:rsid w:val="000F7F60"/>
    <w:rsid w:val="00100AC2"/>
    <w:rsid w:val="001018BC"/>
    <w:rsid w:val="00101903"/>
    <w:rsid w:val="0010195A"/>
    <w:rsid w:val="001021CF"/>
    <w:rsid w:val="00102BBE"/>
    <w:rsid w:val="00104995"/>
    <w:rsid w:val="001065E8"/>
    <w:rsid w:val="0010723E"/>
    <w:rsid w:val="0010727E"/>
    <w:rsid w:val="0010760A"/>
    <w:rsid w:val="00112078"/>
    <w:rsid w:val="001132C1"/>
    <w:rsid w:val="0011356D"/>
    <w:rsid w:val="00113A75"/>
    <w:rsid w:val="00113F25"/>
    <w:rsid w:val="001154ED"/>
    <w:rsid w:val="0011674E"/>
    <w:rsid w:val="00116A83"/>
    <w:rsid w:val="00116EBD"/>
    <w:rsid w:val="00117D68"/>
    <w:rsid w:val="0012027D"/>
    <w:rsid w:val="001208C6"/>
    <w:rsid w:val="00120972"/>
    <w:rsid w:val="00123E5A"/>
    <w:rsid w:val="001241EB"/>
    <w:rsid w:val="001245F3"/>
    <w:rsid w:val="0012476F"/>
    <w:rsid w:val="001248F4"/>
    <w:rsid w:val="00124C0B"/>
    <w:rsid w:val="001267FA"/>
    <w:rsid w:val="00126D30"/>
    <w:rsid w:val="001274EA"/>
    <w:rsid w:val="00127851"/>
    <w:rsid w:val="00127D88"/>
    <w:rsid w:val="00127E7E"/>
    <w:rsid w:val="00131F05"/>
    <w:rsid w:val="0013372C"/>
    <w:rsid w:val="001339EC"/>
    <w:rsid w:val="00133F93"/>
    <w:rsid w:val="00134397"/>
    <w:rsid w:val="001346A6"/>
    <w:rsid w:val="00134774"/>
    <w:rsid w:val="00134875"/>
    <w:rsid w:val="0013521C"/>
    <w:rsid w:val="00135801"/>
    <w:rsid w:val="00135F33"/>
    <w:rsid w:val="00137103"/>
    <w:rsid w:val="0013739D"/>
    <w:rsid w:val="00137941"/>
    <w:rsid w:val="001400B7"/>
    <w:rsid w:val="00140274"/>
    <w:rsid w:val="00140FF4"/>
    <w:rsid w:val="00141C4C"/>
    <w:rsid w:val="00142D77"/>
    <w:rsid w:val="0014303F"/>
    <w:rsid w:val="00143AF9"/>
    <w:rsid w:val="00145979"/>
    <w:rsid w:val="0014611B"/>
    <w:rsid w:val="001470D7"/>
    <w:rsid w:val="00147769"/>
    <w:rsid w:val="00147EF2"/>
    <w:rsid w:val="00150841"/>
    <w:rsid w:val="001511B6"/>
    <w:rsid w:val="00151263"/>
    <w:rsid w:val="00151A1C"/>
    <w:rsid w:val="001524A7"/>
    <w:rsid w:val="001535AE"/>
    <w:rsid w:val="001538DC"/>
    <w:rsid w:val="0015459B"/>
    <w:rsid w:val="00155328"/>
    <w:rsid w:val="00155641"/>
    <w:rsid w:val="00155FE9"/>
    <w:rsid w:val="001565B2"/>
    <w:rsid w:val="001567EA"/>
    <w:rsid w:val="001579F8"/>
    <w:rsid w:val="00160181"/>
    <w:rsid w:val="00160ADF"/>
    <w:rsid w:val="001614D7"/>
    <w:rsid w:val="001615EA"/>
    <w:rsid w:val="00162A8D"/>
    <w:rsid w:val="00163429"/>
    <w:rsid w:val="00165E3C"/>
    <w:rsid w:val="00165ED4"/>
    <w:rsid w:val="00166096"/>
    <w:rsid w:val="00167585"/>
    <w:rsid w:val="00167F3A"/>
    <w:rsid w:val="0017158C"/>
    <w:rsid w:val="001719CD"/>
    <w:rsid w:val="00171F60"/>
    <w:rsid w:val="00172C5F"/>
    <w:rsid w:val="00173FB5"/>
    <w:rsid w:val="001748AB"/>
    <w:rsid w:val="00176AB9"/>
    <w:rsid w:val="00176FCF"/>
    <w:rsid w:val="00177217"/>
    <w:rsid w:val="00177328"/>
    <w:rsid w:val="00177802"/>
    <w:rsid w:val="001779D1"/>
    <w:rsid w:val="001800E0"/>
    <w:rsid w:val="0018078F"/>
    <w:rsid w:val="00180A16"/>
    <w:rsid w:val="00180E79"/>
    <w:rsid w:val="0018222B"/>
    <w:rsid w:val="001829EA"/>
    <w:rsid w:val="00182A07"/>
    <w:rsid w:val="00182EA8"/>
    <w:rsid w:val="00183368"/>
    <w:rsid w:val="0018348C"/>
    <w:rsid w:val="00184A97"/>
    <w:rsid w:val="00184CBA"/>
    <w:rsid w:val="00185953"/>
    <w:rsid w:val="001862EF"/>
    <w:rsid w:val="0018679A"/>
    <w:rsid w:val="0018704A"/>
    <w:rsid w:val="0018730D"/>
    <w:rsid w:val="00190C7D"/>
    <w:rsid w:val="00191EE9"/>
    <w:rsid w:val="00192637"/>
    <w:rsid w:val="00193796"/>
    <w:rsid w:val="00194B36"/>
    <w:rsid w:val="00195156"/>
    <w:rsid w:val="00195728"/>
    <w:rsid w:val="0019633A"/>
    <w:rsid w:val="00197F95"/>
    <w:rsid w:val="001A0B4A"/>
    <w:rsid w:val="001A12CF"/>
    <w:rsid w:val="001A172D"/>
    <w:rsid w:val="001A2634"/>
    <w:rsid w:val="001A286A"/>
    <w:rsid w:val="001A41A5"/>
    <w:rsid w:val="001A4DA3"/>
    <w:rsid w:val="001A5343"/>
    <w:rsid w:val="001A5C63"/>
    <w:rsid w:val="001A5D23"/>
    <w:rsid w:val="001A5EA0"/>
    <w:rsid w:val="001A622E"/>
    <w:rsid w:val="001A6AC7"/>
    <w:rsid w:val="001A6E48"/>
    <w:rsid w:val="001A7935"/>
    <w:rsid w:val="001B0353"/>
    <w:rsid w:val="001B0754"/>
    <w:rsid w:val="001B3D1B"/>
    <w:rsid w:val="001B40DA"/>
    <w:rsid w:val="001B59AE"/>
    <w:rsid w:val="001B5B6E"/>
    <w:rsid w:val="001B5E5B"/>
    <w:rsid w:val="001B5FC3"/>
    <w:rsid w:val="001C05F4"/>
    <w:rsid w:val="001C0902"/>
    <w:rsid w:val="001C1F8B"/>
    <w:rsid w:val="001C28D0"/>
    <w:rsid w:val="001C2B5C"/>
    <w:rsid w:val="001C36AE"/>
    <w:rsid w:val="001C37BE"/>
    <w:rsid w:val="001C39E6"/>
    <w:rsid w:val="001C4299"/>
    <w:rsid w:val="001C49F2"/>
    <w:rsid w:val="001C4D71"/>
    <w:rsid w:val="001C5246"/>
    <w:rsid w:val="001C5BDF"/>
    <w:rsid w:val="001C734B"/>
    <w:rsid w:val="001C7427"/>
    <w:rsid w:val="001C757F"/>
    <w:rsid w:val="001D0363"/>
    <w:rsid w:val="001D1411"/>
    <w:rsid w:val="001D2A70"/>
    <w:rsid w:val="001D468B"/>
    <w:rsid w:val="001D6053"/>
    <w:rsid w:val="001D7292"/>
    <w:rsid w:val="001D79E0"/>
    <w:rsid w:val="001E04D4"/>
    <w:rsid w:val="001E09F8"/>
    <w:rsid w:val="001E0B22"/>
    <w:rsid w:val="001E17FC"/>
    <w:rsid w:val="001E1FD9"/>
    <w:rsid w:val="001E2E80"/>
    <w:rsid w:val="001E3B42"/>
    <w:rsid w:val="001E5676"/>
    <w:rsid w:val="001E62D3"/>
    <w:rsid w:val="001E6CC2"/>
    <w:rsid w:val="001E72AE"/>
    <w:rsid w:val="001E7765"/>
    <w:rsid w:val="001E7A18"/>
    <w:rsid w:val="001F011F"/>
    <w:rsid w:val="001F0E2C"/>
    <w:rsid w:val="001F143D"/>
    <w:rsid w:val="001F2B84"/>
    <w:rsid w:val="001F2BBB"/>
    <w:rsid w:val="001F2E8E"/>
    <w:rsid w:val="001F3C9C"/>
    <w:rsid w:val="001F3DBA"/>
    <w:rsid w:val="001F68EF"/>
    <w:rsid w:val="00200677"/>
    <w:rsid w:val="00200E2D"/>
    <w:rsid w:val="00201562"/>
    <w:rsid w:val="00201F06"/>
    <w:rsid w:val="00204D0F"/>
    <w:rsid w:val="00205301"/>
    <w:rsid w:val="00205536"/>
    <w:rsid w:val="0020608D"/>
    <w:rsid w:val="0020659F"/>
    <w:rsid w:val="0020759B"/>
    <w:rsid w:val="00210602"/>
    <w:rsid w:val="00210F45"/>
    <w:rsid w:val="002128B5"/>
    <w:rsid w:val="0021333A"/>
    <w:rsid w:val="00213506"/>
    <w:rsid w:val="00214B8C"/>
    <w:rsid w:val="00214D48"/>
    <w:rsid w:val="002175A9"/>
    <w:rsid w:val="0022014F"/>
    <w:rsid w:val="002208DE"/>
    <w:rsid w:val="00220FE2"/>
    <w:rsid w:val="00222656"/>
    <w:rsid w:val="002227B2"/>
    <w:rsid w:val="002232FA"/>
    <w:rsid w:val="002239E2"/>
    <w:rsid w:val="00223F41"/>
    <w:rsid w:val="00224A44"/>
    <w:rsid w:val="00224EF5"/>
    <w:rsid w:val="00226049"/>
    <w:rsid w:val="002264FF"/>
    <w:rsid w:val="00226F99"/>
    <w:rsid w:val="002301F6"/>
    <w:rsid w:val="002308BE"/>
    <w:rsid w:val="0023114C"/>
    <w:rsid w:val="0023117A"/>
    <w:rsid w:val="00231ED1"/>
    <w:rsid w:val="0023200D"/>
    <w:rsid w:val="002324CF"/>
    <w:rsid w:val="0023300A"/>
    <w:rsid w:val="0023307F"/>
    <w:rsid w:val="00234149"/>
    <w:rsid w:val="0023490F"/>
    <w:rsid w:val="0023495A"/>
    <w:rsid w:val="002358AF"/>
    <w:rsid w:val="00235ECF"/>
    <w:rsid w:val="00236116"/>
    <w:rsid w:val="00236FAD"/>
    <w:rsid w:val="00237258"/>
    <w:rsid w:val="00237B68"/>
    <w:rsid w:val="0024185F"/>
    <w:rsid w:val="00241A27"/>
    <w:rsid w:val="00242624"/>
    <w:rsid w:val="00243083"/>
    <w:rsid w:val="00244AE3"/>
    <w:rsid w:val="00244DF1"/>
    <w:rsid w:val="00245355"/>
    <w:rsid w:val="002453D2"/>
    <w:rsid w:val="0024557E"/>
    <w:rsid w:val="00245EC8"/>
    <w:rsid w:val="0024673F"/>
    <w:rsid w:val="00246DC8"/>
    <w:rsid w:val="002472A0"/>
    <w:rsid w:val="00247F93"/>
    <w:rsid w:val="002506E4"/>
    <w:rsid w:val="00251218"/>
    <w:rsid w:val="002553D6"/>
    <w:rsid w:val="002556C9"/>
    <w:rsid w:val="00256099"/>
    <w:rsid w:val="002571D2"/>
    <w:rsid w:val="002579E0"/>
    <w:rsid w:val="00257ADE"/>
    <w:rsid w:val="002600DF"/>
    <w:rsid w:val="00261165"/>
    <w:rsid w:val="00261B8E"/>
    <w:rsid w:val="00262CF8"/>
    <w:rsid w:val="00262F80"/>
    <w:rsid w:val="00263D86"/>
    <w:rsid w:val="00263FA2"/>
    <w:rsid w:val="00264C47"/>
    <w:rsid w:val="00266077"/>
    <w:rsid w:val="0026683E"/>
    <w:rsid w:val="00266D34"/>
    <w:rsid w:val="00272A18"/>
    <w:rsid w:val="00274AD9"/>
    <w:rsid w:val="00274C75"/>
    <w:rsid w:val="0027515A"/>
    <w:rsid w:val="00275E56"/>
    <w:rsid w:val="0027613D"/>
    <w:rsid w:val="00276763"/>
    <w:rsid w:val="00277A34"/>
    <w:rsid w:val="00277DB8"/>
    <w:rsid w:val="002806C9"/>
    <w:rsid w:val="00282352"/>
    <w:rsid w:val="002824CA"/>
    <w:rsid w:val="0028268E"/>
    <w:rsid w:val="002850A3"/>
    <w:rsid w:val="00285A56"/>
    <w:rsid w:val="002863D7"/>
    <w:rsid w:val="00286F50"/>
    <w:rsid w:val="002873B4"/>
    <w:rsid w:val="00287EC6"/>
    <w:rsid w:val="00290082"/>
    <w:rsid w:val="00290494"/>
    <w:rsid w:val="00290A6F"/>
    <w:rsid w:val="00290EDF"/>
    <w:rsid w:val="00291A03"/>
    <w:rsid w:val="00292127"/>
    <w:rsid w:val="00293314"/>
    <w:rsid w:val="00293F74"/>
    <w:rsid w:val="00294CDC"/>
    <w:rsid w:val="00294F1C"/>
    <w:rsid w:val="002964DF"/>
    <w:rsid w:val="00297E5E"/>
    <w:rsid w:val="002A0420"/>
    <w:rsid w:val="002A12D2"/>
    <w:rsid w:val="002A165A"/>
    <w:rsid w:val="002A188F"/>
    <w:rsid w:val="002A1C27"/>
    <w:rsid w:val="002A1FB2"/>
    <w:rsid w:val="002A20BC"/>
    <w:rsid w:val="002A286F"/>
    <w:rsid w:val="002A2A53"/>
    <w:rsid w:val="002A2F0C"/>
    <w:rsid w:val="002A2F21"/>
    <w:rsid w:val="002A3898"/>
    <w:rsid w:val="002A3938"/>
    <w:rsid w:val="002A48EF"/>
    <w:rsid w:val="002A4E6A"/>
    <w:rsid w:val="002A53DE"/>
    <w:rsid w:val="002A6064"/>
    <w:rsid w:val="002A6A6C"/>
    <w:rsid w:val="002A6AE3"/>
    <w:rsid w:val="002A6F97"/>
    <w:rsid w:val="002A6FA3"/>
    <w:rsid w:val="002B0C05"/>
    <w:rsid w:val="002B0D9F"/>
    <w:rsid w:val="002B1169"/>
    <w:rsid w:val="002B16B4"/>
    <w:rsid w:val="002B1716"/>
    <w:rsid w:val="002B1B65"/>
    <w:rsid w:val="002B263E"/>
    <w:rsid w:val="002B31A4"/>
    <w:rsid w:val="002B482E"/>
    <w:rsid w:val="002B4C70"/>
    <w:rsid w:val="002B5068"/>
    <w:rsid w:val="002B5143"/>
    <w:rsid w:val="002B541A"/>
    <w:rsid w:val="002B6A01"/>
    <w:rsid w:val="002B6A13"/>
    <w:rsid w:val="002C16D2"/>
    <w:rsid w:val="002C1866"/>
    <w:rsid w:val="002C1BEF"/>
    <w:rsid w:val="002C1C7D"/>
    <w:rsid w:val="002C204F"/>
    <w:rsid w:val="002C228D"/>
    <w:rsid w:val="002C341F"/>
    <w:rsid w:val="002C3AA5"/>
    <w:rsid w:val="002C4176"/>
    <w:rsid w:val="002C4628"/>
    <w:rsid w:val="002C4856"/>
    <w:rsid w:val="002C4F32"/>
    <w:rsid w:val="002C53B9"/>
    <w:rsid w:val="002C5A17"/>
    <w:rsid w:val="002C7824"/>
    <w:rsid w:val="002C7CF7"/>
    <w:rsid w:val="002D06B7"/>
    <w:rsid w:val="002D0F00"/>
    <w:rsid w:val="002D1DAD"/>
    <w:rsid w:val="002D234C"/>
    <w:rsid w:val="002D2A88"/>
    <w:rsid w:val="002D2B80"/>
    <w:rsid w:val="002D316B"/>
    <w:rsid w:val="002D35B7"/>
    <w:rsid w:val="002D3844"/>
    <w:rsid w:val="002D3A93"/>
    <w:rsid w:val="002D3F0E"/>
    <w:rsid w:val="002D4242"/>
    <w:rsid w:val="002D458A"/>
    <w:rsid w:val="002D4D0F"/>
    <w:rsid w:val="002D7196"/>
    <w:rsid w:val="002D7400"/>
    <w:rsid w:val="002E2D16"/>
    <w:rsid w:val="002E4D92"/>
    <w:rsid w:val="002E531B"/>
    <w:rsid w:val="002E6167"/>
    <w:rsid w:val="002E6203"/>
    <w:rsid w:val="002E76AA"/>
    <w:rsid w:val="002E780D"/>
    <w:rsid w:val="002F06DF"/>
    <w:rsid w:val="002F0BE1"/>
    <w:rsid w:val="002F1EE7"/>
    <w:rsid w:val="002F32D6"/>
    <w:rsid w:val="002F43FB"/>
    <w:rsid w:val="002F4AD3"/>
    <w:rsid w:val="002F4CE1"/>
    <w:rsid w:val="002F637A"/>
    <w:rsid w:val="002F71F2"/>
    <w:rsid w:val="002F7560"/>
    <w:rsid w:val="0030069D"/>
    <w:rsid w:val="0030090E"/>
    <w:rsid w:val="00300B33"/>
    <w:rsid w:val="00300CFD"/>
    <w:rsid w:val="00300F22"/>
    <w:rsid w:val="003014EC"/>
    <w:rsid w:val="00301CFA"/>
    <w:rsid w:val="003038F1"/>
    <w:rsid w:val="00303AAC"/>
    <w:rsid w:val="00304A37"/>
    <w:rsid w:val="003055D2"/>
    <w:rsid w:val="00305874"/>
    <w:rsid w:val="0030643A"/>
    <w:rsid w:val="00306D2B"/>
    <w:rsid w:val="00307967"/>
    <w:rsid w:val="00310368"/>
    <w:rsid w:val="00310BF9"/>
    <w:rsid w:val="00310ED4"/>
    <w:rsid w:val="00311266"/>
    <w:rsid w:val="00312301"/>
    <w:rsid w:val="0031253B"/>
    <w:rsid w:val="0031492A"/>
    <w:rsid w:val="00314C77"/>
    <w:rsid w:val="0031501F"/>
    <w:rsid w:val="00315971"/>
    <w:rsid w:val="003160C3"/>
    <w:rsid w:val="00316A08"/>
    <w:rsid w:val="00316C1A"/>
    <w:rsid w:val="003177E3"/>
    <w:rsid w:val="00317896"/>
    <w:rsid w:val="00322C31"/>
    <w:rsid w:val="00323C73"/>
    <w:rsid w:val="00324904"/>
    <w:rsid w:val="003257DB"/>
    <w:rsid w:val="00325F48"/>
    <w:rsid w:val="0032663B"/>
    <w:rsid w:val="0032688B"/>
    <w:rsid w:val="00326D69"/>
    <w:rsid w:val="00326E0B"/>
    <w:rsid w:val="00327DBA"/>
    <w:rsid w:val="00330727"/>
    <w:rsid w:val="00330A5F"/>
    <w:rsid w:val="00331141"/>
    <w:rsid w:val="00331450"/>
    <w:rsid w:val="00331575"/>
    <w:rsid w:val="00331721"/>
    <w:rsid w:val="00333047"/>
    <w:rsid w:val="00333312"/>
    <w:rsid w:val="00334E72"/>
    <w:rsid w:val="00336A13"/>
    <w:rsid w:val="00337427"/>
    <w:rsid w:val="0033757F"/>
    <w:rsid w:val="0033793A"/>
    <w:rsid w:val="0034052C"/>
    <w:rsid w:val="003419E7"/>
    <w:rsid w:val="00343A4F"/>
    <w:rsid w:val="00343E14"/>
    <w:rsid w:val="003444B3"/>
    <w:rsid w:val="00344758"/>
    <w:rsid w:val="00344CC8"/>
    <w:rsid w:val="003452D1"/>
    <w:rsid w:val="00346107"/>
    <w:rsid w:val="003464C4"/>
    <w:rsid w:val="003465A4"/>
    <w:rsid w:val="00346A25"/>
    <w:rsid w:val="00346BB2"/>
    <w:rsid w:val="00347142"/>
    <w:rsid w:val="00347650"/>
    <w:rsid w:val="00347AD4"/>
    <w:rsid w:val="00347C89"/>
    <w:rsid w:val="0035014E"/>
    <w:rsid w:val="00350623"/>
    <w:rsid w:val="00351C1C"/>
    <w:rsid w:val="00351ED3"/>
    <w:rsid w:val="00352C2E"/>
    <w:rsid w:val="00353BFB"/>
    <w:rsid w:val="00353C22"/>
    <w:rsid w:val="00353D1B"/>
    <w:rsid w:val="00354182"/>
    <w:rsid w:val="00354312"/>
    <w:rsid w:val="00354A35"/>
    <w:rsid w:val="0035517E"/>
    <w:rsid w:val="003565A8"/>
    <w:rsid w:val="003566EA"/>
    <w:rsid w:val="00357262"/>
    <w:rsid w:val="00360F8F"/>
    <w:rsid w:val="0036215E"/>
    <w:rsid w:val="003621C3"/>
    <w:rsid w:val="003624E0"/>
    <w:rsid w:val="00363071"/>
    <w:rsid w:val="0036342E"/>
    <w:rsid w:val="00365D29"/>
    <w:rsid w:val="003667DF"/>
    <w:rsid w:val="00367896"/>
    <w:rsid w:val="0036789D"/>
    <w:rsid w:val="00371AA7"/>
    <w:rsid w:val="00371B86"/>
    <w:rsid w:val="00372C79"/>
    <w:rsid w:val="00372F20"/>
    <w:rsid w:val="00373BD8"/>
    <w:rsid w:val="0037422B"/>
    <w:rsid w:val="00374330"/>
    <w:rsid w:val="00374625"/>
    <w:rsid w:val="00374E76"/>
    <w:rsid w:val="00374FA7"/>
    <w:rsid w:val="0037561F"/>
    <w:rsid w:val="00376595"/>
    <w:rsid w:val="00376C38"/>
    <w:rsid w:val="003772C4"/>
    <w:rsid w:val="00377603"/>
    <w:rsid w:val="00377F4D"/>
    <w:rsid w:val="00380391"/>
    <w:rsid w:val="0038128B"/>
    <w:rsid w:val="00382350"/>
    <w:rsid w:val="00382719"/>
    <w:rsid w:val="00383395"/>
    <w:rsid w:val="00383401"/>
    <w:rsid w:val="00384423"/>
    <w:rsid w:val="003847EC"/>
    <w:rsid w:val="00384A5A"/>
    <w:rsid w:val="00384ADE"/>
    <w:rsid w:val="0038728A"/>
    <w:rsid w:val="003879EE"/>
    <w:rsid w:val="00390A4C"/>
    <w:rsid w:val="003915E3"/>
    <w:rsid w:val="003916BA"/>
    <w:rsid w:val="00391CDF"/>
    <w:rsid w:val="003931B3"/>
    <w:rsid w:val="003938C6"/>
    <w:rsid w:val="00393D69"/>
    <w:rsid w:val="00393F64"/>
    <w:rsid w:val="003946B8"/>
    <w:rsid w:val="0039471E"/>
    <w:rsid w:val="00394957"/>
    <w:rsid w:val="00394E5D"/>
    <w:rsid w:val="00395E3D"/>
    <w:rsid w:val="00396101"/>
    <w:rsid w:val="003978BF"/>
    <w:rsid w:val="003979CB"/>
    <w:rsid w:val="003A09D3"/>
    <w:rsid w:val="003A1D25"/>
    <w:rsid w:val="003A2BCF"/>
    <w:rsid w:val="003A3A1D"/>
    <w:rsid w:val="003A64B6"/>
    <w:rsid w:val="003A71F7"/>
    <w:rsid w:val="003B1F71"/>
    <w:rsid w:val="003B2B48"/>
    <w:rsid w:val="003B3AE7"/>
    <w:rsid w:val="003B3ED3"/>
    <w:rsid w:val="003B4063"/>
    <w:rsid w:val="003B4374"/>
    <w:rsid w:val="003B4C4B"/>
    <w:rsid w:val="003B53BA"/>
    <w:rsid w:val="003B5C11"/>
    <w:rsid w:val="003B5CAB"/>
    <w:rsid w:val="003C0D3E"/>
    <w:rsid w:val="003C1E94"/>
    <w:rsid w:val="003C25E3"/>
    <w:rsid w:val="003C29CF"/>
    <w:rsid w:val="003C33CA"/>
    <w:rsid w:val="003C3B15"/>
    <w:rsid w:val="003C3C0A"/>
    <w:rsid w:val="003C40E9"/>
    <w:rsid w:val="003C46F7"/>
    <w:rsid w:val="003C479E"/>
    <w:rsid w:val="003C4984"/>
    <w:rsid w:val="003C619D"/>
    <w:rsid w:val="003C644C"/>
    <w:rsid w:val="003C6895"/>
    <w:rsid w:val="003C77F8"/>
    <w:rsid w:val="003D04EF"/>
    <w:rsid w:val="003D0CA8"/>
    <w:rsid w:val="003D0D50"/>
    <w:rsid w:val="003D12D2"/>
    <w:rsid w:val="003D18B1"/>
    <w:rsid w:val="003D18F7"/>
    <w:rsid w:val="003D30EA"/>
    <w:rsid w:val="003D4D55"/>
    <w:rsid w:val="003D5654"/>
    <w:rsid w:val="003D612A"/>
    <w:rsid w:val="003E03CC"/>
    <w:rsid w:val="003E16FC"/>
    <w:rsid w:val="003E1BA6"/>
    <w:rsid w:val="003E3F35"/>
    <w:rsid w:val="003E41AF"/>
    <w:rsid w:val="003E48CE"/>
    <w:rsid w:val="003E548B"/>
    <w:rsid w:val="003E635D"/>
    <w:rsid w:val="003E66C2"/>
    <w:rsid w:val="003E6BE4"/>
    <w:rsid w:val="003E722A"/>
    <w:rsid w:val="003E7823"/>
    <w:rsid w:val="003E7B67"/>
    <w:rsid w:val="003E7C05"/>
    <w:rsid w:val="003F1C37"/>
    <w:rsid w:val="003F33F9"/>
    <w:rsid w:val="003F58B1"/>
    <w:rsid w:val="003F7378"/>
    <w:rsid w:val="003F7B31"/>
    <w:rsid w:val="00400044"/>
    <w:rsid w:val="00400812"/>
    <w:rsid w:val="00400F3F"/>
    <w:rsid w:val="00401A62"/>
    <w:rsid w:val="00401AEA"/>
    <w:rsid w:val="00401FA6"/>
    <w:rsid w:val="0040225F"/>
    <w:rsid w:val="00403164"/>
    <w:rsid w:val="00406439"/>
    <w:rsid w:val="00407E63"/>
    <w:rsid w:val="00410505"/>
    <w:rsid w:val="00410E19"/>
    <w:rsid w:val="004113A5"/>
    <w:rsid w:val="004130D9"/>
    <w:rsid w:val="004138B1"/>
    <w:rsid w:val="004162C2"/>
    <w:rsid w:val="0041672C"/>
    <w:rsid w:val="004167AF"/>
    <w:rsid w:val="00420B91"/>
    <w:rsid w:val="00421389"/>
    <w:rsid w:val="0042164B"/>
    <w:rsid w:val="00421CCF"/>
    <w:rsid w:val="00421DFB"/>
    <w:rsid w:val="00422162"/>
    <w:rsid w:val="00422417"/>
    <w:rsid w:val="0042263E"/>
    <w:rsid w:val="00422EBD"/>
    <w:rsid w:val="00423058"/>
    <w:rsid w:val="0042311A"/>
    <w:rsid w:val="0042322F"/>
    <w:rsid w:val="00424233"/>
    <w:rsid w:val="004264C7"/>
    <w:rsid w:val="00426740"/>
    <w:rsid w:val="00426AA2"/>
    <w:rsid w:val="00427310"/>
    <w:rsid w:val="004276F2"/>
    <w:rsid w:val="004277E0"/>
    <w:rsid w:val="00427D9F"/>
    <w:rsid w:val="0043230F"/>
    <w:rsid w:val="00433348"/>
    <w:rsid w:val="00433DA1"/>
    <w:rsid w:val="00433FDC"/>
    <w:rsid w:val="0043482C"/>
    <w:rsid w:val="0043487E"/>
    <w:rsid w:val="00434AFA"/>
    <w:rsid w:val="004355A0"/>
    <w:rsid w:val="00436121"/>
    <w:rsid w:val="004361AB"/>
    <w:rsid w:val="004365C1"/>
    <w:rsid w:val="004365C3"/>
    <w:rsid w:val="00436BD3"/>
    <w:rsid w:val="00437EF2"/>
    <w:rsid w:val="0044086C"/>
    <w:rsid w:val="00441562"/>
    <w:rsid w:val="0044167C"/>
    <w:rsid w:val="00441B61"/>
    <w:rsid w:val="00441C5B"/>
    <w:rsid w:val="00441E90"/>
    <w:rsid w:val="004425DF"/>
    <w:rsid w:val="00443FBD"/>
    <w:rsid w:val="004461FB"/>
    <w:rsid w:val="0044754B"/>
    <w:rsid w:val="004475A0"/>
    <w:rsid w:val="00447709"/>
    <w:rsid w:val="00450186"/>
    <w:rsid w:val="004517FC"/>
    <w:rsid w:val="00451810"/>
    <w:rsid w:val="00452B28"/>
    <w:rsid w:val="00453942"/>
    <w:rsid w:val="0045420F"/>
    <w:rsid w:val="00454EBE"/>
    <w:rsid w:val="0045512C"/>
    <w:rsid w:val="004556C4"/>
    <w:rsid w:val="004565A5"/>
    <w:rsid w:val="00456D25"/>
    <w:rsid w:val="004570A3"/>
    <w:rsid w:val="004608C9"/>
    <w:rsid w:val="00461060"/>
    <w:rsid w:val="004617D2"/>
    <w:rsid w:val="00461C3A"/>
    <w:rsid w:val="004621BC"/>
    <w:rsid w:val="00464984"/>
    <w:rsid w:val="004653B4"/>
    <w:rsid w:val="00465533"/>
    <w:rsid w:val="00465E6F"/>
    <w:rsid w:val="00466B44"/>
    <w:rsid w:val="00467098"/>
    <w:rsid w:val="00467145"/>
    <w:rsid w:val="0046734D"/>
    <w:rsid w:val="00470553"/>
    <w:rsid w:val="004707DF"/>
    <w:rsid w:val="004712FB"/>
    <w:rsid w:val="00471879"/>
    <w:rsid w:val="004721FC"/>
    <w:rsid w:val="004728E0"/>
    <w:rsid w:val="0047292B"/>
    <w:rsid w:val="00472EFF"/>
    <w:rsid w:val="0047303E"/>
    <w:rsid w:val="0047350D"/>
    <w:rsid w:val="00474063"/>
    <w:rsid w:val="004746A8"/>
    <w:rsid w:val="00474E42"/>
    <w:rsid w:val="00475383"/>
    <w:rsid w:val="00475A93"/>
    <w:rsid w:val="004761A9"/>
    <w:rsid w:val="00476793"/>
    <w:rsid w:val="00476C69"/>
    <w:rsid w:val="00480971"/>
    <w:rsid w:val="00481297"/>
    <w:rsid w:val="004829EC"/>
    <w:rsid w:val="00482E71"/>
    <w:rsid w:val="00483759"/>
    <w:rsid w:val="00483893"/>
    <w:rsid w:val="004841B5"/>
    <w:rsid w:val="004854B0"/>
    <w:rsid w:val="00485EE2"/>
    <w:rsid w:val="00486477"/>
    <w:rsid w:val="00487FD5"/>
    <w:rsid w:val="00490BD0"/>
    <w:rsid w:val="00490F80"/>
    <w:rsid w:val="004936FA"/>
    <w:rsid w:val="00493C06"/>
    <w:rsid w:val="00493D69"/>
    <w:rsid w:val="0049438C"/>
    <w:rsid w:val="0049580B"/>
    <w:rsid w:val="00495AA1"/>
    <w:rsid w:val="004965BC"/>
    <w:rsid w:val="00496A92"/>
    <w:rsid w:val="004971FA"/>
    <w:rsid w:val="004A07A6"/>
    <w:rsid w:val="004A187B"/>
    <w:rsid w:val="004A1AFF"/>
    <w:rsid w:val="004A1F36"/>
    <w:rsid w:val="004A2295"/>
    <w:rsid w:val="004A2615"/>
    <w:rsid w:val="004A29E1"/>
    <w:rsid w:val="004A2D3C"/>
    <w:rsid w:val="004A302D"/>
    <w:rsid w:val="004A5B04"/>
    <w:rsid w:val="004A5FBE"/>
    <w:rsid w:val="004A6245"/>
    <w:rsid w:val="004B009D"/>
    <w:rsid w:val="004B1ECD"/>
    <w:rsid w:val="004B26A0"/>
    <w:rsid w:val="004B32A3"/>
    <w:rsid w:val="004B3603"/>
    <w:rsid w:val="004B4A5A"/>
    <w:rsid w:val="004B5B11"/>
    <w:rsid w:val="004B6C45"/>
    <w:rsid w:val="004B72F7"/>
    <w:rsid w:val="004B7F93"/>
    <w:rsid w:val="004C0CAE"/>
    <w:rsid w:val="004C0EE2"/>
    <w:rsid w:val="004C1958"/>
    <w:rsid w:val="004C2E89"/>
    <w:rsid w:val="004C2E94"/>
    <w:rsid w:val="004C303B"/>
    <w:rsid w:val="004C363B"/>
    <w:rsid w:val="004C4FA8"/>
    <w:rsid w:val="004C594E"/>
    <w:rsid w:val="004C5AA9"/>
    <w:rsid w:val="004C5F91"/>
    <w:rsid w:val="004C7062"/>
    <w:rsid w:val="004C7412"/>
    <w:rsid w:val="004C76B7"/>
    <w:rsid w:val="004C76C4"/>
    <w:rsid w:val="004C79C2"/>
    <w:rsid w:val="004D00AD"/>
    <w:rsid w:val="004D04BF"/>
    <w:rsid w:val="004D06A3"/>
    <w:rsid w:val="004D07E0"/>
    <w:rsid w:val="004D1AE5"/>
    <w:rsid w:val="004D38D6"/>
    <w:rsid w:val="004D561E"/>
    <w:rsid w:val="004D56E0"/>
    <w:rsid w:val="004D5DD2"/>
    <w:rsid w:val="004D7EE8"/>
    <w:rsid w:val="004E0DFF"/>
    <w:rsid w:val="004E1228"/>
    <w:rsid w:val="004E157F"/>
    <w:rsid w:val="004E21D0"/>
    <w:rsid w:val="004E4581"/>
    <w:rsid w:val="004E4684"/>
    <w:rsid w:val="004E4927"/>
    <w:rsid w:val="004E4CA1"/>
    <w:rsid w:val="004E5932"/>
    <w:rsid w:val="004E5F1D"/>
    <w:rsid w:val="004E754F"/>
    <w:rsid w:val="004F0B1C"/>
    <w:rsid w:val="004F1381"/>
    <w:rsid w:val="004F1C7C"/>
    <w:rsid w:val="004F4C76"/>
    <w:rsid w:val="004F54ED"/>
    <w:rsid w:val="004F59CF"/>
    <w:rsid w:val="004F6C6C"/>
    <w:rsid w:val="004F765A"/>
    <w:rsid w:val="005021DA"/>
    <w:rsid w:val="0050245B"/>
    <w:rsid w:val="00502994"/>
    <w:rsid w:val="0050361B"/>
    <w:rsid w:val="00503F31"/>
    <w:rsid w:val="005046E8"/>
    <w:rsid w:val="00504AB8"/>
    <w:rsid w:val="00505A17"/>
    <w:rsid w:val="00505E46"/>
    <w:rsid w:val="00506A6E"/>
    <w:rsid w:val="00507D9A"/>
    <w:rsid w:val="00510522"/>
    <w:rsid w:val="00511BAE"/>
    <w:rsid w:val="00511D42"/>
    <w:rsid w:val="00511F1A"/>
    <w:rsid w:val="005123F0"/>
    <w:rsid w:val="00512950"/>
    <w:rsid w:val="005132FE"/>
    <w:rsid w:val="00513540"/>
    <w:rsid w:val="00513941"/>
    <w:rsid w:val="00513A3F"/>
    <w:rsid w:val="00514C4C"/>
    <w:rsid w:val="00514F83"/>
    <w:rsid w:val="00515537"/>
    <w:rsid w:val="00521B5A"/>
    <w:rsid w:val="0052233A"/>
    <w:rsid w:val="0052277E"/>
    <w:rsid w:val="00523940"/>
    <w:rsid w:val="005240C6"/>
    <w:rsid w:val="00525831"/>
    <w:rsid w:val="005261F3"/>
    <w:rsid w:val="0052773F"/>
    <w:rsid w:val="005277E4"/>
    <w:rsid w:val="0053051D"/>
    <w:rsid w:val="00530585"/>
    <w:rsid w:val="00531208"/>
    <w:rsid w:val="005334CD"/>
    <w:rsid w:val="005337BF"/>
    <w:rsid w:val="00533DDB"/>
    <w:rsid w:val="005344FD"/>
    <w:rsid w:val="00534640"/>
    <w:rsid w:val="00534F04"/>
    <w:rsid w:val="0053520C"/>
    <w:rsid w:val="005357B9"/>
    <w:rsid w:val="00535DF5"/>
    <w:rsid w:val="00536F21"/>
    <w:rsid w:val="00537214"/>
    <w:rsid w:val="00537278"/>
    <w:rsid w:val="005377C6"/>
    <w:rsid w:val="00537A81"/>
    <w:rsid w:val="0054327E"/>
    <w:rsid w:val="00544310"/>
    <w:rsid w:val="0054484E"/>
    <w:rsid w:val="00544C55"/>
    <w:rsid w:val="00545001"/>
    <w:rsid w:val="005465CA"/>
    <w:rsid w:val="00546708"/>
    <w:rsid w:val="0054681D"/>
    <w:rsid w:val="0054731A"/>
    <w:rsid w:val="00547D5F"/>
    <w:rsid w:val="00551E60"/>
    <w:rsid w:val="005523F6"/>
    <w:rsid w:val="0055249E"/>
    <w:rsid w:val="005526D0"/>
    <w:rsid w:val="0055363A"/>
    <w:rsid w:val="005541F8"/>
    <w:rsid w:val="00554C58"/>
    <w:rsid w:val="00554DA1"/>
    <w:rsid w:val="00556929"/>
    <w:rsid w:val="0056023F"/>
    <w:rsid w:val="005605BE"/>
    <w:rsid w:val="00561811"/>
    <w:rsid w:val="005620D1"/>
    <w:rsid w:val="0056249D"/>
    <w:rsid w:val="0056374F"/>
    <w:rsid w:val="00564208"/>
    <w:rsid w:val="005643EF"/>
    <w:rsid w:val="00564A96"/>
    <w:rsid w:val="0056680F"/>
    <w:rsid w:val="005704C5"/>
    <w:rsid w:val="00571CEB"/>
    <w:rsid w:val="00573F75"/>
    <w:rsid w:val="005751A2"/>
    <w:rsid w:val="00575478"/>
    <w:rsid w:val="00575499"/>
    <w:rsid w:val="00575546"/>
    <w:rsid w:val="00575923"/>
    <w:rsid w:val="00575F0E"/>
    <w:rsid w:val="00575F94"/>
    <w:rsid w:val="00576083"/>
    <w:rsid w:val="005762BE"/>
    <w:rsid w:val="00576FB9"/>
    <w:rsid w:val="00580012"/>
    <w:rsid w:val="0058168F"/>
    <w:rsid w:val="00581D0B"/>
    <w:rsid w:val="005825EC"/>
    <w:rsid w:val="005827BF"/>
    <w:rsid w:val="005830DE"/>
    <w:rsid w:val="00583693"/>
    <w:rsid w:val="00583B06"/>
    <w:rsid w:val="00584760"/>
    <w:rsid w:val="00584D00"/>
    <w:rsid w:val="005857D5"/>
    <w:rsid w:val="00586EEC"/>
    <w:rsid w:val="0059139E"/>
    <w:rsid w:val="00591628"/>
    <w:rsid w:val="00591951"/>
    <w:rsid w:val="00592435"/>
    <w:rsid w:val="00592FB3"/>
    <w:rsid w:val="00592FB9"/>
    <w:rsid w:val="005933A2"/>
    <w:rsid w:val="00594045"/>
    <w:rsid w:val="00594D63"/>
    <w:rsid w:val="00596E0A"/>
    <w:rsid w:val="00596FA9"/>
    <w:rsid w:val="00596FE9"/>
    <w:rsid w:val="005A0F85"/>
    <w:rsid w:val="005A23D1"/>
    <w:rsid w:val="005A2408"/>
    <w:rsid w:val="005A28B9"/>
    <w:rsid w:val="005A3491"/>
    <w:rsid w:val="005A56CD"/>
    <w:rsid w:val="005A5C0F"/>
    <w:rsid w:val="005A712D"/>
    <w:rsid w:val="005B035F"/>
    <w:rsid w:val="005B10E4"/>
    <w:rsid w:val="005B16B6"/>
    <w:rsid w:val="005B17D3"/>
    <w:rsid w:val="005B18A9"/>
    <w:rsid w:val="005B27D4"/>
    <w:rsid w:val="005B2B8F"/>
    <w:rsid w:val="005B322B"/>
    <w:rsid w:val="005B45B3"/>
    <w:rsid w:val="005B4A67"/>
    <w:rsid w:val="005B4CDE"/>
    <w:rsid w:val="005B5003"/>
    <w:rsid w:val="005B54A5"/>
    <w:rsid w:val="005B54F9"/>
    <w:rsid w:val="005B76AA"/>
    <w:rsid w:val="005C0134"/>
    <w:rsid w:val="005C0B1D"/>
    <w:rsid w:val="005C0BD0"/>
    <w:rsid w:val="005C0E1F"/>
    <w:rsid w:val="005C106A"/>
    <w:rsid w:val="005C15E2"/>
    <w:rsid w:val="005C15EC"/>
    <w:rsid w:val="005C282B"/>
    <w:rsid w:val="005C3760"/>
    <w:rsid w:val="005C4574"/>
    <w:rsid w:val="005C4901"/>
    <w:rsid w:val="005C5742"/>
    <w:rsid w:val="005C5D41"/>
    <w:rsid w:val="005C5D7C"/>
    <w:rsid w:val="005C7688"/>
    <w:rsid w:val="005C7A39"/>
    <w:rsid w:val="005D196A"/>
    <w:rsid w:val="005D1F34"/>
    <w:rsid w:val="005D2261"/>
    <w:rsid w:val="005D383D"/>
    <w:rsid w:val="005D69AB"/>
    <w:rsid w:val="005D6C36"/>
    <w:rsid w:val="005D742C"/>
    <w:rsid w:val="005E2A21"/>
    <w:rsid w:val="005E2B15"/>
    <w:rsid w:val="005E341D"/>
    <w:rsid w:val="005E39F2"/>
    <w:rsid w:val="005E4446"/>
    <w:rsid w:val="005E6096"/>
    <w:rsid w:val="005E6243"/>
    <w:rsid w:val="005E642C"/>
    <w:rsid w:val="005E7A46"/>
    <w:rsid w:val="005E7FC4"/>
    <w:rsid w:val="005F027D"/>
    <w:rsid w:val="005F03C6"/>
    <w:rsid w:val="005F0B43"/>
    <w:rsid w:val="005F0D89"/>
    <w:rsid w:val="005F11A0"/>
    <w:rsid w:val="005F1757"/>
    <w:rsid w:val="005F1BFF"/>
    <w:rsid w:val="005F2F46"/>
    <w:rsid w:val="005F3A09"/>
    <w:rsid w:val="005F3B72"/>
    <w:rsid w:val="005F3FB3"/>
    <w:rsid w:val="005F4403"/>
    <w:rsid w:val="005F46CD"/>
    <w:rsid w:val="005F4F80"/>
    <w:rsid w:val="005F52F9"/>
    <w:rsid w:val="005F5A81"/>
    <w:rsid w:val="005F5AE0"/>
    <w:rsid w:val="005F5B0B"/>
    <w:rsid w:val="005F61B1"/>
    <w:rsid w:val="005F759D"/>
    <w:rsid w:val="005F7B15"/>
    <w:rsid w:val="0060079B"/>
    <w:rsid w:val="006015C5"/>
    <w:rsid w:val="00601B1A"/>
    <w:rsid w:val="0060374C"/>
    <w:rsid w:val="0060622D"/>
    <w:rsid w:val="00607243"/>
    <w:rsid w:val="00607640"/>
    <w:rsid w:val="00607D18"/>
    <w:rsid w:val="00610336"/>
    <w:rsid w:val="0061229E"/>
    <w:rsid w:val="0061279D"/>
    <w:rsid w:val="006128A5"/>
    <w:rsid w:val="006130C0"/>
    <w:rsid w:val="00615599"/>
    <w:rsid w:val="00615E6F"/>
    <w:rsid w:val="0061669B"/>
    <w:rsid w:val="00616F11"/>
    <w:rsid w:val="006175D7"/>
    <w:rsid w:val="00620598"/>
    <w:rsid w:val="006205EA"/>
    <w:rsid w:val="006205F0"/>
    <w:rsid w:val="0062104F"/>
    <w:rsid w:val="006222BF"/>
    <w:rsid w:val="006225ED"/>
    <w:rsid w:val="00622757"/>
    <w:rsid w:val="0062278C"/>
    <w:rsid w:val="0062529C"/>
    <w:rsid w:val="00626C2C"/>
    <w:rsid w:val="00627C70"/>
    <w:rsid w:val="00630076"/>
    <w:rsid w:val="00630867"/>
    <w:rsid w:val="00630F8E"/>
    <w:rsid w:val="006318A4"/>
    <w:rsid w:val="00631C97"/>
    <w:rsid w:val="00631E8F"/>
    <w:rsid w:val="00631FA5"/>
    <w:rsid w:val="00631FAE"/>
    <w:rsid w:val="00633009"/>
    <w:rsid w:val="00633314"/>
    <w:rsid w:val="00634386"/>
    <w:rsid w:val="00634629"/>
    <w:rsid w:val="00635F54"/>
    <w:rsid w:val="0063737C"/>
    <w:rsid w:val="00637C0A"/>
    <w:rsid w:val="00637ECB"/>
    <w:rsid w:val="00640C0A"/>
    <w:rsid w:val="00642671"/>
    <w:rsid w:val="00642A2B"/>
    <w:rsid w:val="006442B7"/>
    <w:rsid w:val="00645417"/>
    <w:rsid w:val="006461BA"/>
    <w:rsid w:val="00647290"/>
    <w:rsid w:val="006504CA"/>
    <w:rsid w:val="00650547"/>
    <w:rsid w:val="00650586"/>
    <w:rsid w:val="00651195"/>
    <w:rsid w:val="00652454"/>
    <w:rsid w:val="00652CAD"/>
    <w:rsid w:val="00654793"/>
    <w:rsid w:val="00654A68"/>
    <w:rsid w:val="0065662A"/>
    <w:rsid w:val="00656B0D"/>
    <w:rsid w:val="00656C64"/>
    <w:rsid w:val="006573B5"/>
    <w:rsid w:val="00657657"/>
    <w:rsid w:val="00660202"/>
    <w:rsid w:val="0066046D"/>
    <w:rsid w:val="006606C3"/>
    <w:rsid w:val="00660976"/>
    <w:rsid w:val="00660B4A"/>
    <w:rsid w:val="00662249"/>
    <w:rsid w:val="0066282E"/>
    <w:rsid w:val="00662CFC"/>
    <w:rsid w:val="00662E8E"/>
    <w:rsid w:val="00663A2B"/>
    <w:rsid w:val="0066651A"/>
    <w:rsid w:val="00666900"/>
    <w:rsid w:val="00666C18"/>
    <w:rsid w:val="00666D0A"/>
    <w:rsid w:val="00667DFD"/>
    <w:rsid w:val="0067033E"/>
    <w:rsid w:val="006703CB"/>
    <w:rsid w:val="00670685"/>
    <w:rsid w:val="006721D3"/>
    <w:rsid w:val="00673853"/>
    <w:rsid w:val="00674613"/>
    <w:rsid w:val="0067580B"/>
    <w:rsid w:val="00675C99"/>
    <w:rsid w:val="006828DD"/>
    <w:rsid w:val="00683140"/>
    <w:rsid w:val="00683951"/>
    <w:rsid w:val="00684E66"/>
    <w:rsid w:val="00685609"/>
    <w:rsid w:val="00685614"/>
    <w:rsid w:val="00685C42"/>
    <w:rsid w:val="00686C6B"/>
    <w:rsid w:val="00686D8B"/>
    <w:rsid w:val="00687180"/>
    <w:rsid w:val="006873DB"/>
    <w:rsid w:val="0069006C"/>
    <w:rsid w:val="00690097"/>
    <w:rsid w:val="00690176"/>
    <w:rsid w:val="00693B7C"/>
    <w:rsid w:val="0069517E"/>
    <w:rsid w:val="00696743"/>
    <w:rsid w:val="00696A85"/>
    <w:rsid w:val="00696B44"/>
    <w:rsid w:val="00696BCD"/>
    <w:rsid w:val="0069706F"/>
    <w:rsid w:val="0069779B"/>
    <w:rsid w:val="00697D96"/>
    <w:rsid w:val="006A0208"/>
    <w:rsid w:val="006A0692"/>
    <w:rsid w:val="006A0996"/>
    <w:rsid w:val="006A126A"/>
    <w:rsid w:val="006A16C9"/>
    <w:rsid w:val="006A411D"/>
    <w:rsid w:val="006A4F67"/>
    <w:rsid w:val="006A611F"/>
    <w:rsid w:val="006A6BB3"/>
    <w:rsid w:val="006A6BBD"/>
    <w:rsid w:val="006A714A"/>
    <w:rsid w:val="006A721B"/>
    <w:rsid w:val="006B1A9B"/>
    <w:rsid w:val="006B257B"/>
    <w:rsid w:val="006B259A"/>
    <w:rsid w:val="006B30AF"/>
    <w:rsid w:val="006B3B00"/>
    <w:rsid w:val="006B57C0"/>
    <w:rsid w:val="006B6520"/>
    <w:rsid w:val="006B68BE"/>
    <w:rsid w:val="006B709C"/>
    <w:rsid w:val="006B74A5"/>
    <w:rsid w:val="006B75E7"/>
    <w:rsid w:val="006B7DC0"/>
    <w:rsid w:val="006C06EE"/>
    <w:rsid w:val="006C264C"/>
    <w:rsid w:val="006C2811"/>
    <w:rsid w:val="006C2A53"/>
    <w:rsid w:val="006C2B61"/>
    <w:rsid w:val="006C2DCE"/>
    <w:rsid w:val="006C3296"/>
    <w:rsid w:val="006C4123"/>
    <w:rsid w:val="006C520F"/>
    <w:rsid w:val="006C5E38"/>
    <w:rsid w:val="006C6C74"/>
    <w:rsid w:val="006D01D1"/>
    <w:rsid w:val="006D0E45"/>
    <w:rsid w:val="006D1FE7"/>
    <w:rsid w:val="006D2A99"/>
    <w:rsid w:val="006D2BD9"/>
    <w:rsid w:val="006D2C23"/>
    <w:rsid w:val="006D2C6E"/>
    <w:rsid w:val="006D399D"/>
    <w:rsid w:val="006D4988"/>
    <w:rsid w:val="006D4D31"/>
    <w:rsid w:val="006D4F1A"/>
    <w:rsid w:val="006D5C63"/>
    <w:rsid w:val="006D5EE5"/>
    <w:rsid w:val="006D63BC"/>
    <w:rsid w:val="006E0CA4"/>
    <w:rsid w:val="006E1918"/>
    <w:rsid w:val="006E24B4"/>
    <w:rsid w:val="006E33B9"/>
    <w:rsid w:val="006E3BC4"/>
    <w:rsid w:val="006E4A0A"/>
    <w:rsid w:val="006E514C"/>
    <w:rsid w:val="006E6D3B"/>
    <w:rsid w:val="006E6EDB"/>
    <w:rsid w:val="006E6F4E"/>
    <w:rsid w:val="006F0390"/>
    <w:rsid w:val="006F06FE"/>
    <w:rsid w:val="006F0F6A"/>
    <w:rsid w:val="006F166A"/>
    <w:rsid w:val="006F1AC0"/>
    <w:rsid w:val="006F1D69"/>
    <w:rsid w:val="006F1DC6"/>
    <w:rsid w:val="006F2AE2"/>
    <w:rsid w:val="006F2CBD"/>
    <w:rsid w:val="006F3017"/>
    <w:rsid w:val="006F3189"/>
    <w:rsid w:val="006F3359"/>
    <w:rsid w:val="006F387B"/>
    <w:rsid w:val="006F3AFF"/>
    <w:rsid w:val="006F3C99"/>
    <w:rsid w:val="006F4510"/>
    <w:rsid w:val="006F47BC"/>
    <w:rsid w:val="006F5029"/>
    <w:rsid w:val="006F57F2"/>
    <w:rsid w:val="006F61FC"/>
    <w:rsid w:val="006F70EA"/>
    <w:rsid w:val="006F7B8F"/>
    <w:rsid w:val="006F7CA5"/>
    <w:rsid w:val="00700024"/>
    <w:rsid w:val="007012E8"/>
    <w:rsid w:val="00701494"/>
    <w:rsid w:val="007018AD"/>
    <w:rsid w:val="007021BD"/>
    <w:rsid w:val="00702200"/>
    <w:rsid w:val="00703646"/>
    <w:rsid w:val="00705526"/>
    <w:rsid w:val="0070552C"/>
    <w:rsid w:val="00705857"/>
    <w:rsid w:val="007060A3"/>
    <w:rsid w:val="0070673A"/>
    <w:rsid w:val="0070712A"/>
    <w:rsid w:val="007071AC"/>
    <w:rsid w:val="00707351"/>
    <w:rsid w:val="0070766E"/>
    <w:rsid w:val="00707E4B"/>
    <w:rsid w:val="00707F80"/>
    <w:rsid w:val="007109E5"/>
    <w:rsid w:val="00710E29"/>
    <w:rsid w:val="0071217E"/>
    <w:rsid w:val="0071276D"/>
    <w:rsid w:val="00714D0D"/>
    <w:rsid w:val="00714D7A"/>
    <w:rsid w:val="0071511B"/>
    <w:rsid w:val="00715F75"/>
    <w:rsid w:val="0071623D"/>
    <w:rsid w:val="00721527"/>
    <w:rsid w:val="00722840"/>
    <w:rsid w:val="00722891"/>
    <w:rsid w:val="00723338"/>
    <w:rsid w:val="00723C0A"/>
    <w:rsid w:val="00724D5D"/>
    <w:rsid w:val="007263AB"/>
    <w:rsid w:val="00726489"/>
    <w:rsid w:val="00726F8E"/>
    <w:rsid w:val="00727436"/>
    <w:rsid w:val="00730BD2"/>
    <w:rsid w:val="00731595"/>
    <w:rsid w:val="0073245F"/>
    <w:rsid w:val="00732C5B"/>
    <w:rsid w:val="007333F0"/>
    <w:rsid w:val="00733B2D"/>
    <w:rsid w:val="00736053"/>
    <w:rsid w:val="00737F3A"/>
    <w:rsid w:val="00741FCF"/>
    <w:rsid w:val="0074402D"/>
    <w:rsid w:val="007456B2"/>
    <w:rsid w:val="00746077"/>
    <w:rsid w:val="0074638B"/>
    <w:rsid w:val="00747105"/>
    <w:rsid w:val="00747B14"/>
    <w:rsid w:val="0075078D"/>
    <w:rsid w:val="007523D7"/>
    <w:rsid w:val="007524C5"/>
    <w:rsid w:val="00752825"/>
    <w:rsid w:val="00753021"/>
    <w:rsid w:val="00753811"/>
    <w:rsid w:val="007540BF"/>
    <w:rsid w:val="007541BF"/>
    <w:rsid w:val="007547D9"/>
    <w:rsid w:val="0075572E"/>
    <w:rsid w:val="007557D4"/>
    <w:rsid w:val="00755F93"/>
    <w:rsid w:val="00757499"/>
    <w:rsid w:val="00761099"/>
    <w:rsid w:val="00761484"/>
    <w:rsid w:val="007614E1"/>
    <w:rsid w:val="00761C1E"/>
    <w:rsid w:val="0076207F"/>
    <w:rsid w:val="007622EB"/>
    <w:rsid w:val="00762380"/>
    <w:rsid w:val="00762AB9"/>
    <w:rsid w:val="00762BDD"/>
    <w:rsid w:val="0076328E"/>
    <w:rsid w:val="00763569"/>
    <w:rsid w:val="0076380E"/>
    <w:rsid w:val="00763EF6"/>
    <w:rsid w:val="00764C9F"/>
    <w:rsid w:val="00770DCB"/>
    <w:rsid w:val="00771C6C"/>
    <w:rsid w:val="00771CAB"/>
    <w:rsid w:val="0077217B"/>
    <w:rsid w:val="00772960"/>
    <w:rsid w:val="00772C6A"/>
    <w:rsid w:val="0077427A"/>
    <w:rsid w:val="00774B65"/>
    <w:rsid w:val="00775485"/>
    <w:rsid w:val="00777FF9"/>
    <w:rsid w:val="007803DB"/>
    <w:rsid w:val="0078067E"/>
    <w:rsid w:val="00780F2E"/>
    <w:rsid w:val="007823C6"/>
    <w:rsid w:val="00782460"/>
    <w:rsid w:val="007833C0"/>
    <w:rsid w:val="00783F6C"/>
    <w:rsid w:val="00784D88"/>
    <w:rsid w:val="00785824"/>
    <w:rsid w:val="0078586B"/>
    <w:rsid w:val="00785CED"/>
    <w:rsid w:val="00785CF5"/>
    <w:rsid w:val="00785EF5"/>
    <w:rsid w:val="00786C9E"/>
    <w:rsid w:val="00787331"/>
    <w:rsid w:val="0078753E"/>
    <w:rsid w:val="00787553"/>
    <w:rsid w:val="00787701"/>
    <w:rsid w:val="00791159"/>
    <w:rsid w:val="007912F3"/>
    <w:rsid w:val="00792AE5"/>
    <w:rsid w:val="00792BC6"/>
    <w:rsid w:val="0079515B"/>
    <w:rsid w:val="007961A3"/>
    <w:rsid w:val="007969C9"/>
    <w:rsid w:val="00796B50"/>
    <w:rsid w:val="007A0B93"/>
    <w:rsid w:val="007A0E13"/>
    <w:rsid w:val="007A11B2"/>
    <w:rsid w:val="007A1367"/>
    <w:rsid w:val="007A1874"/>
    <w:rsid w:val="007A1D1D"/>
    <w:rsid w:val="007A44AA"/>
    <w:rsid w:val="007A44F9"/>
    <w:rsid w:val="007A5150"/>
    <w:rsid w:val="007A5C67"/>
    <w:rsid w:val="007A602C"/>
    <w:rsid w:val="007A62A1"/>
    <w:rsid w:val="007A69C3"/>
    <w:rsid w:val="007B003E"/>
    <w:rsid w:val="007B044C"/>
    <w:rsid w:val="007B114E"/>
    <w:rsid w:val="007B183B"/>
    <w:rsid w:val="007B20C5"/>
    <w:rsid w:val="007B2303"/>
    <w:rsid w:val="007B26C3"/>
    <w:rsid w:val="007B294D"/>
    <w:rsid w:val="007B4B32"/>
    <w:rsid w:val="007B50FD"/>
    <w:rsid w:val="007B6ADB"/>
    <w:rsid w:val="007B786B"/>
    <w:rsid w:val="007B79BD"/>
    <w:rsid w:val="007B7B37"/>
    <w:rsid w:val="007C0042"/>
    <w:rsid w:val="007C269C"/>
    <w:rsid w:val="007C2EAB"/>
    <w:rsid w:val="007C2F27"/>
    <w:rsid w:val="007C30BD"/>
    <w:rsid w:val="007C4BFA"/>
    <w:rsid w:val="007C52FE"/>
    <w:rsid w:val="007C5401"/>
    <w:rsid w:val="007C5531"/>
    <w:rsid w:val="007C57F6"/>
    <w:rsid w:val="007C5F3B"/>
    <w:rsid w:val="007C67E7"/>
    <w:rsid w:val="007C769D"/>
    <w:rsid w:val="007D0644"/>
    <w:rsid w:val="007D18E5"/>
    <w:rsid w:val="007D4395"/>
    <w:rsid w:val="007D4CC8"/>
    <w:rsid w:val="007D4CDD"/>
    <w:rsid w:val="007D50FB"/>
    <w:rsid w:val="007D602F"/>
    <w:rsid w:val="007D656F"/>
    <w:rsid w:val="007D718A"/>
    <w:rsid w:val="007D7A9A"/>
    <w:rsid w:val="007D7AAB"/>
    <w:rsid w:val="007D7E32"/>
    <w:rsid w:val="007E107C"/>
    <w:rsid w:val="007E1430"/>
    <w:rsid w:val="007E220D"/>
    <w:rsid w:val="007E229D"/>
    <w:rsid w:val="007E23AD"/>
    <w:rsid w:val="007E245E"/>
    <w:rsid w:val="007E30D6"/>
    <w:rsid w:val="007E44C7"/>
    <w:rsid w:val="007E49DD"/>
    <w:rsid w:val="007E5B88"/>
    <w:rsid w:val="007E7521"/>
    <w:rsid w:val="007E7684"/>
    <w:rsid w:val="007F018C"/>
    <w:rsid w:val="007F03C3"/>
    <w:rsid w:val="007F03F1"/>
    <w:rsid w:val="007F0690"/>
    <w:rsid w:val="007F0D0B"/>
    <w:rsid w:val="007F2316"/>
    <w:rsid w:val="007F23F2"/>
    <w:rsid w:val="007F298D"/>
    <w:rsid w:val="007F37FB"/>
    <w:rsid w:val="007F3B72"/>
    <w:rsid w:val="007F45A7"/>
    <w:rsid w:val="007F51FD"/>
    <w:rsid w:val="007F53F4"/>
    <w:rsid w:val="007F71F7"/>
    <w:rsid w:val="008007A8"/>
    <w:rsid w:val="00800F04"/>
    <w:rsid w:val="00802123"/>
    <w:rsid w:val="008029AA"/>
    <w:rsid w:val="00802BA4"/>
    <w:rsid w:val="00803058"/>
    <w:rsid w:val="0080362A"/>
    <w:rsid w:val="00803B6B"/>
    <w:rsid w:val="00804174"/>
    <w:rsid w:val="00804218"/>
    <w:rsid w:val="008042D9"/>
    <w:rsid w:val="008048D7"/>
    <w:rsid w:val="00804959"/>
    <w:rsid w:val="00804F47"/>
    <w:rsid w:val="00804FBC"/>
    <w:rsid w:val="008052CE"/>
    <w:rsid w:val="008056E7"/>
    <w:rsid w:val="008060DF"/>
    <w:rsid w:val="00806191"/>
    <w:rsid w:val="0080736A"/>
    <w:rsid w:val="00810306"/>
    <w:rsid w:val="00810319"/>
    <w:rsid w:val="00811D6C"/>
    <w:rsid w:val="00813D15"/>
    <w:rsid w:val="00814FC0"/>
    <w:rsid w:val="008153BD"/>
    <w:rsid w:val="008166C1"/>
    <w:rsid w:val="00821479"/>
    <w:rsid w:val="0082182B"/>
    <w:rsid w:val="00821850"/>
    <w:rsid w:val="00822156"/>
    <w:rsid w:val="008229C4"/>
    <w:rsid w:val="008229E8"/>
    <w:rsid w:val="0082391B"/>
    <w:rsid w:val="00823FCA"/>
    <w:rsid w:val="00824F05"/>
    <w:rsid w:val="00827190"/>
    <w:rsid w:val="008302A9"/>
    <w:rsid w:val="00830844"/>
    <w:rsid w:val="00830947"/>
    <w:rsid w:val="008316D6"/>
    <w:rsid w:val="008317FE"/>
    <w:rsid w:val="00832AFF"/>
    <w:rsid w:val="00834073"/>
    <w:rsid w:val="00835759"/>
    <w:rsid w:val="00835B64"/>
    <w:rsid w:val="00835EF5"/>
    <w:rsid w:val="0083692E"/>
    <w:rsid w:val="00836EDB"/>
    <w:rsid w:val="00837690"/>
    <w:rsid w:val="00841085"/>
    <w:rsid w:val="0084197C"/>
    <w:rsid w:val="0084274F"/>
    <w:rsid w:val="00842860"/>
    <w:rsid w:val="00842EB2"/>
    <w:rsid w:val="00843562"/>
    <w:rsid w:val="0084394C"/>
    <w:rsid w:val="00843E0B"/>
    <w:rsid w:val="00843F5A"/>
    <w:rsid w:val="00846867"/>
    <w:rsid w:val="0084762B"/>
    <w:rsid w:val="00851070"/>
    <w:rsid w:val="008516A0"/>
    <w:rsid w:val="00851C1A"/>
    <w:rsid w:val="00852421"/>
    <w:rsid w:val="00852AFB"/>
    <w:rsid w:val="00852FFF"/>
    <w:rsid w:val="00853059"/>
    <w:rsid w:val="0085599D"/>
    <w:rsid w:val="00855F19"/>
    <w:rsid w:val="00855F45"/>
    <w:rsid w:val="00860871"/>
    <w:rsid w:val="008614FB"/>
    <w:rsid w:val="00863923"/>
    <w:rsid w:val="008641F6"/>
    <w:rsid w:val="00865E81"/>
    <w:rsid w:val="00866806"/>
    <w:rsid w:val="00867DB7"/>
    <w:rsid w:val="00870005"/>
    <w:rsid w:val="00870AF1"/>
    <w:rsid w:val="00870B87"/>
    <w:rsid w:val="00871338"/>
    <w:rsid w:val="008722A8"/>
    <w:rsid w:val="008724DE"/>
    <w:rsid w:val="0087300E"/>
    <w:rsid w:val="008731D7"/>
    <w:rsid w:val="008736EE"/>
    <w:rsid w:val="00874311"/>
    <w:rsid w:val="00881C0A"/>
    <w:rsid w:val="00881F2F"/>
    <w:rsid w:val="00882E8A"/>
    <w:rsid w:val="00883786"/>
    <w:rsid w:val="0088405C"/>
    <w:rsid w:val="00884595"/>
    <w:rsid w:val="00884B41"/>
    <w:rsid w:val="00884EED"/>
    <w:rsid w:val="00890705"/>
    <w:rsid w:val="008909DF"/>
    <w:rsid w:val="00890B23"/>
    <w:rsid w:val="008922C7"/>
    <w:rsid w:val="00892854"/>
    <w:rsid w:val="00892AB0"/>
    <w:rsid w:val="00893C70"/>
    <w:rsid w:val="00893C91"/>
    <w:rsid w:val="008945FF"/>
    <w:rsid w:val="00894D0D"/>
    <w:rsid w:val="0089598C"/>
    <w:rsid w:val="00896B3F"/>
    <w:rsid w:val="00897649"/>
    <w:rsid w:val="008A1249"/>
    <w:rsid w:val="008A2195"/>
    <w:rsid w:val="008A2338"/>
    <w:rsid w:val="008A2C01"/>
    <w:rsid w:val="008A30DE"/>
    <w:rsid w:val="008A3B3D"/>
    <w:rsid w:val="008A3D57"/>
    <w:rsid w:val="008A3FB9"/>
    <w:rsid w:val="008A56B2"/>
    <w:rsid w:val="008A69EC"/>
    <w:rsid w:val="008A745B"/>
    <w:rsid w:val="008A7EFF"/>
    <w:rsid w:val="008B104C"/>
    <w:rsid w:val="008B1B72"/>
    <w:rsid w:val="008B1C51"/>
    <w:rsid w:val="008B2314"/>
    <w:rsid w:val="008B23BC"/>
    <w:rsid w:val="008B2657"/>
    <w:rsid w:val="008B2AA2"/>
    <w:rsid w:val="008B2C4E"/>
    <w:rsid w:val="008B2E06"/>
    <w:rsid w:val="008B2F08"/>
    <w:rsid w:val="008B3831"/>
    <w:rsid w:val="008B3FD3"/>
    <w:rsid w:val="008B41D7"/>
    <w:rsid w:val="008B6B30"/>
    <w:rsid w:val="008B6F19"/>
    <w:rsid w:val="008B75CB"/>
    <w:rsid w:val="008B7C03"/>
    <w:rsid w:val="008C1163"/>
    <w:rsid w:val="008C1324"/>
    <w:rsid w:val="008C22F3"/>
    <w:rsid w:val="008C24A0"/>
    <w:rsid w:val="008C357B"/>
    <w:rsid w:val="008C4FEA"/>
    <w:rsid w:val="008C5025"/>
    <w:rsid w:val="008C570D"/>
    <w:rsid w:val="008C59C9"/>
    <w:rsid w:val="008C6594"/>
    <w:rsid w:val="008D1081"/>
    <w:rsid w:val="008D215B"/>
    <w:rsid w:val="008D27EA"/>
    <w:rsid w:val="008D31D2"/>
    <w:rsid w:val="008D3989"/>
    <w:rsid w:val="008D5D23"/>
    <w:rsid w:val="008D5DEF"/>
    <w:rsid w:val="008D61D2"/>
    <w:rsid w:val="008D7161"/>
    <w:rsid w:val="008D7C51"/>
    <w:rsid w:val="008E0E42"/>
    <w:rsid w:val="008E191C"/>
    <w:rsid w:val="008E2953"/>
    <w:rsid w:val="008E2A0C"/>
    <w:rsid w:val="008E316D"/>
    <w:rsid w:val="008E3D60"/>
    <w:rsid w:val="008E3F4C"/>
    <w:rsid w:val="008E5516"/>
    <w:rsid w:val="008E5699"/>
    <w:rsid w:val="008E5C63"/>
    <w:rsid w:val="008E5F47"/>
    <w:rsid w:val="008E7BC9"/>
    <w:rsid w:val="008F1C5F"/>
    <w:rsid w:val="008F4CEA"/>
    <w:rsid w:val="008F569D"/>
    <w:rsid w:val="008F66B7"/>
    <w:rsid w:val="008F78D7"/>
    <w:rsid w:val="009002BE"/>
    <w:rsid w:val="00900435"/>
    <w:rsid w:val="00900F78"/>
    <w:rsid w:val="0090165F"/>
    <w:rsid w:val="00901B82"/>
    <w:rsid w:val="009020DF"/>
    <w:rsid w:val="00902143"/>
    <w:rsid w:val="00902266"/>
    <w:rsid w:val="00902376"/>
    <w:rsid w:val="00904352"/>
    <w:rsid w:val="0090437A"/>
    <w:rsid w:val="00904470"/>
    <w:rsid w:val="00904778"/>
    <w:rsid w:val="0090497F"/>
    <w:rsid w:val="00904BE9"/>
    <w:rsid w:val="00904F71"/>
    <w:rsid w:val="00906C7E"/>
    <w:rsid w:val="00906DAC"/>
    <w:rsid w:val="009070CF"/>
    <w:rsid w:val="0090720D"/>
    <w:rsid w:val="00907DD9"/>
    <w:rsid w:val="00910A91"/>
    <w:rsid w:val="009110EA"/>
    <w:rsid w:val="009112B6"/>
    <w:rsid w:val="00911548"/>
    <w:rsid w:val="00912278"/>
    <w:rsid w:val="00912B09"/>
    <w:rsid w:val="00912B25"/>
    <w:rsid w:val="009139C0"/>
    <w:rsid w:val="00913AD0"/>
    <w:rsid w:val="00913F16"/>
    <w:rsid w:val="00916154"/>
    <w:rsid w:val="00916E24"/>
    <w:rsid w:val="00917824"/>
    <w:rsid w:val="00917CCF"/>
    <w:rsid w:val="00917EFC"/>
    <w:rsid w:val="0092109F"/>
    <w:rsid w:val="0092115D"/>
    <w:rsid w:val="009211AC"/>
    <w:rsid w:val="009218E0"/>
    <w:rsid w:val="0092223C"/>
    <w:rsid w:val="009223C1"/>
    <w:rsid w:val="00922A72"/>
    <w:rsid w:val="009230E4"/>
    <w:rsid w:val="00924038"/>
    <w:rsid w:val="00924F7C"/>
    <w:rsid w:val="00925335"/>
    <w:rsid w:val="00925B58"/>
    <w:rsid w:val="0092616C"/>
    <w:rsid w:val="009263D8"/>
    <w:rsid w:val="0092680A"/>
    <w:rsid w:val="00926BD0"/>
    <w:rsid w:val="00927571"/>
    <w:rsid w:val="00927AFB"/>
    <w:rsid w:val="0093057A"/>
    <w:rsid w:val="009337FF"/>
    <w:rsid w:val="00933A5B"/>
    <w:rsid w:val="00934922"/>
    <w:rsid w:val="00935007"/>
    <w:rsid w:val="009359AA"/>
    <w:rsid w:val="00935FD9"/>
    <w:rsid w:val="0093665C"/>
    <w:rsid w:val="00936C69"/>
    <w:rsid w:val="00937107"/>
    <w:rsid w:val="00937310"/>
    <w:rsid w:val="00937CDF"/>
    <w:rsid w:val="00941D57"/>
    <w:rsid w:val="00943C8C"/>
    <w:rsid w:val="009446D6"/>
    <w:rsid w:val="009456E7"/>
    <w:rsid w:val="00946632"/>
    <w:rsid w:val="00946CE6"/>
    <w:rsid w:val="009476E1"/>
    <w:rsid w:val="00947CEA"/>
    <w:rsid w:val="00950A43"/>
    <w:rsid w:val="00950DA8"/>
    <w:rsid w:val="00951118"/>
    <w:rsid w:val="00952D98"/>
    <w:rsid w:val="00953866"/>
    <w:rsid w:val="00953C4C"/>
    <w:rsid w:val="00953EEE"/>
    <w:rsid w:val="009542E8"/>
    <w:rsid w:val="00955D10"/>
    <w:rsid w:val="00956279"/>
    <w:rsid w:val="009563F2"/>
    <w:rsid w:val="009572FD"/>
    <w:rsid w:val="00960FC0"/>
    <w:rsid w:val="00961592"/>
    <w:rsid w:val="009622C6"/>
    <w:rsid w:val="009631C1"/>
    <w:rsid w:val="00963BC0"/>
    <w:rsid w:val="00963E28"/>
    <w:rsid w:val="00964569"/>
    <w:rsid w:val="009664F1"/>
    <w:rsid w:val="00966BDB"/>
    <w:rsid w:val="00966C2F"/>
    <w:rsid w:val="00967066"/>
    <w:rsid w:val="00967392"/>
    <w:rsid w:val="009679C5"/>
    <w:rsid w:val="00967DDD"/>
    <w:rsid w:val="00970507"/>
    <w:rsid w:val="0097059E"/>
    <w:rsid w:val="009706B8"/>
    <w:rsid w:val="00970913"/>
    <w:rsid w:val="00970D67"/>
    <w:rsid w:val="0097152F"/>
    <w:rsid w:val="0097218F"/>
    <w:rsid w:val="00972F77"/>
    <w:rsid w:val="00973796"/>
    <w:rsid w:val="00975106"/>
    <w:rsid w:val="00975125"/>
    <w:rsid w:val="0097512B"/>
    <w:rsid w:val="00975718"/>
    <w:rsid w:val="00975FF1"/>
    <w:rsid w:val="00976E12"/>
    <w:rsid w:val="0097712F"/>
    <w:rsid w:val="00980037"/>
    <w:rsid w:val="00982115"/>
    <w:rsid w:val="00983E61"/>
    <w:rsid w:val="00986D95"/>
    <w:rsid w:val="00986F05"/>
    <w:rsid w:val="00987112"/>
    <w:rsid w:val="0098717F"/>
    <w:rsid w:val="0099180B"/>
    <w:rsid w:val="009926E9"/>
    <w:rsid w:val="0099374A"/>
    <w:rsid w:val="00993A9B"/>
    <w:rsid w:val="00993B37"/>
    <w:rsid w:val="00993B72"/>
    <w:rsid w:val="00994997"/>
    <w:rsid w:val="009957C1"/>
    <w:rsid w:val="00996756"/>
    <w:rsid w:val="009967BA"/>
    <w:rsid w:val="009974CF"/>
    <w:rsid w:val="009A03A4"/>
    <w:rsid w:val="009A08D9"/>
    <w:rsid w:val="009A0B49"/>
    <w:rsid w:val="009A10B9"/>
    <w:rsid w:val="009A190A"/>
    <w:rsid w:val="009A1C7C"/>
    <w:rsid w:val="009A2062"/>
    <w:rsid w:val="009A235A"/>
    <w:rsid w:val="009A23F1"/>
    <w:rsid w:val="009A26A9"/>
    <w:rsid w:val="009A369C"/>
    <w:rsid w:val="009A48AC"/>
    <w:rsid w:val="009A522E"/>
    <w:rsid w:val="009A5ABC"/>
    <w:rsid w:val="009A6BFA"/>
    <w:rsid w:val="009A6C61"/>
    <w:rsid w:val="009B0472"/>
    <w:rsid w:val="009B0EA0"/>
    <w:rsid w:val="009B10D0"/>
    <w:rsid w:val="009B2267"/>
    <w:rsid w:val="009B29E5"/>
    <w:rsid w:val="009B3F69"/>
    <w:rsid w:val="009B41C3"/>
    <w:rsid w:val="009B4BB6"/>
    <w:rsid w:val="009B50B8"/>
    <w:rsid w:val="009B5808"/>
    <w:rsid w:val="009B619F"/>
    <w:rsid w:val="009B634C"/>
    <w:rsid w:val="009B67EE"/>
    <w:rsid w:val="009B6CC2"/>
    <w:rsid w:val="009B6DED"/>
    <w:rsid w:val="009C16A9"/>
    <w:rsid w:val="009C22AD"/>
    <w:rsid w:val="009C3783"/>
    <w:rsid w:val="009C58AE"/>
    <w:rsid w:val="009C5ECE"/>
    <w:rsid w:val="009C62F6"/>
    <w:rsid w:val="009C6685"/>
    <w:rsid w:val="009D0A8D"/>
    <w:rsid w:val="009D0DAE"/>
    <w:rsid w:val="009D3C80"/>
    <w:rsid w:val="009D3FCA"/>
    <w:rsid w:val="009D40A7"/>
    <w:rsid w:val="009D434F"/>
    <w:rsid w:val="009D4D54"/>
    <w:rsid w:val="009D5A24"/>
    <w:rsid w:val="009D5D9C"/>
    <w:rsid w:val="009D5FBF"/>
    <w:rsid w:val="009D61F6"/>
    <w:rsid w:val="009D633B"/>
    <w:rsid w:val="009D639E"/>
    <w:rsid w:val="009D67F6"/>
    <w:rsid w:val="009D69B7"/>
    <w:rsid w:val="009D6EB0"/>
    <w:rsid w:val="009D7199"/>
    <w:rsid w:val="009D7AD0"/>
    <w:rsid w:val="009D7B18"/>
    <w:rsid w:val="009E098C"/>
    <w:rsid w:val="009E0FE1"/>
    <w:rsid w:val="009E3B20"/>
    <w:rsid w:val="009E5492"/>
    <w:rsid w:val="009E6071"/>
    <w:rsid w:val="009E64D3"/>
    <w:rsid w:val="009F275E"/>
    <w:rsid w:val="009F2764"/>
    <w:rsid w:val="009F4558"/>
    <w:rsid w:val="009F5490"/>
    <w:rsid w:val="009F5AAF"/>
    <w:rsid w:val="009F5FC7"/>
    <w:rsid w:val="009F68F4"/>
    <w:rsid w:val="009F6A40"/>
    <w:rsid w:val="009F79E3"/>
    <w:rsid w:val="00A005BC"/>
    <w:rsid w:val="00A00AC6"/>
    <w:rsid w:val="00A01F9E"/>
    <w:rsid w:val="00A02BA4"/>
    <w:rsid w:val="00A03B30"/>
    <w:rsid w:val="00A0406E"/>
    <w:rsid w:val="00A048F1"/>
    <w:rsid w:val="00A049CD"/>
    <w:rsid w:val="00A04A5F"/>
    <w:rsid w:val="00A04DED"/>
    <w:rsid w:val="00A05B31"/>
    <w:rsid w:val="00A066E4"/>
    <w:rsid w:val="00A0710E"/>
    <w:rsid w:val="00A104EC"/>
    <w:rsid w:val="00A10799"/>
    <w:rsid w:val="00A11307"/>
    <w:rsid w:val="00A1194D"/>
    <w:rsid w:val="00A13AF3"/>
    <w:rsid w:val="00A13E59"/>
    <w:rsid w:val="00A140D4"/>
    <w:rsid w:val="00A146FA"/>
    <w:rsid w:val="00A163F9"/>
    <w:rsid w:val="00A16C47"/>
    <w:rsid w:val="00A204D4"/>
    <w:rsid w:val="00A208DC"/>
    <w:rsid w:val="00A20CF8"/>
    <w:rsid w:val="00A21388"/>
    <w:rsid w:val="00A22C2A"/>
    <w:rsid w:val="00A24310"/>
    <w:rsid w:val="00A24FE5"/>
    <w:rsid w:val="00A251FC"/>
    <w:rsid w:val="00A252BB"/>
    <w:rsid w:val="00A253AD"/>
    <w:rsid w:val="00A274CD"/>
    <w:rsid w:val="00A27791"/>
    <w:rsid w:val="00A30449"/>
    <w:rsid w:val="00A30500"/>
    <w:rsid w:val="00A308FE"/>
    <w:rsid w:val="00A31456"/>
    <w:rsid w:val="00A3178E"/>
    <w:rsid w:val="00A338CD"/>
    <w:rsid w:val="00A339F0"/>
    <w:rsid w:val="00A35C88"/>
    <w:rsid w:val="00A36003"/>
    <w:rsid w:val="00A3618C"/>
    <w:rsid w:val="00A37AE9"/>
    <w:rsid w:val="00A40953"/>
    <w:rsid w:val="00A40EC8"/>
    <w:rsid w:val="00A40F2A"/>
    <w:rsid w:val="00A4117E"/>
    <w:rsid w:val="00A41355"/>
    <w:rsid w:val="00A420C9"/>
    <w:rsid w:val="00A43362"/>
    <w:rsid w:val="00A43B92"/>
    <w:rsid w:val="00A447E6"/>
    <w:rsid w:val="00A448B5"/>
    <w:rsid w:val="00A44AC1"/>
    <w:rsid w:val="00A453BD"/>
    <w:rsid w:val="00A45740"/>
    <w:rsid w:val="00A46E5A"/>
    <w:rsid w:val="00A500A1"/>
    <w:rsid w:val="00A501F6"/>
    <w:rsid w:val="00A50B23"/>
    <w:rsid w:val="00A520B3"/>
    <w:rsid w:val="00A522C1"/>
    <w:rsid w:val="00A524B3"/>
    <w:rsid w:val="00A52D99"/>
    <w:rsid w:val="00A53241"/>
    <w:rsid w:val="00A54251"/>
    <w:rsid w:val="00A54281"/>
    <w:rsid w:val="00A548D1"/>
    <w:rsid w:val="00A54E5F"/>
    <w:rsid w:val="00A5520C"/>
    <w:rsid w:val="00A55B98"/>
    <w:rsid w:val="00A5643B"/>
    <w:rsid w:val="00A567FA"/>
    <w:rsid w:val="00A601F6"/>
    <w:rsid w:val="00A60EE2"/>
    <w:rsid w:val="00A6179E"/>
    <w:rsid w:val="00A6181B"/>
    <w:rsid w:val="00A61853"/>
    <w:rsid w:val="00A61B1A"/>
    <w:rsid w:val="00A63026"/>
    <w:rsid w:val="00A63A40"/>
    <w:rsid w:val="00A64316"/>
    <w:rsid w:val="00A64872"/>
    <w:rsid w:val="00A64966"/>
    <w:rsid w:val="00A64AA8"/>
    <w:rsid w:val="00A64F4B"/>
    <w:rsid w:val="00A65D6B"/>
    <w:rsid w:val="00A65EB3"/>
    <w:rsid w:val="00A667FE"/>
    <w:rsid w:val="00A66C4A"/>
    <w:rsid w:val="00A67A18"/>
    <w:rsid w:val="00A70493"/>
    <w:rsid w:val="00A719FF"/>
    <w:rsid w:val="00A7334D"/>
    <w:rsid w:val="00A73508"/>
    <w:rsid w:val="00A73D66"/>
    <w:rsid w:val="00A761E8"/>
    <w:rsid w:val="00A76448"/>
    <w:rsid w:val="00A766C2"/>
    <w:rsid w:val="00A7670B"/>
    <w:rsid w:val="00A804D9"/>
    <w:rsid w:val="00A80AA7"/>
    <w:rsid w:val="00A80DE1"/>
    <w:rsid w:val="00A80DF7"/>
    <w:rsid w:val="00A811F0"/>
    <w:rsid w:val="00A83431"/>
    <w:rsid w:val="00A83B60"/>
    <w:rsid w:val="00A84FB4"/>
    <w:rsid w:val="00A8505D"/>
    <w:rsid w:val="00A85496"/>
    <w:rsid w:val="00A85762"/>
    <w:rsid w:val="00A85D87"/>
    <w:rsid w:val="00A875E7"/>
    <w:rsid w:val="00A87611"/>
    <w:rsid w:val="00A879DC"/>
    <w:rsid w:val="00A87A00"/>
    <w:rsid w:val="00A904C0"/>
    <w:rsid w:val="00A90986"/>
    <w:rsid w:val="00A90EBB"/>
    <w:rsid w:val="00A90FBB"/>
    <w:rsid w:val="00A92915"/>
    <w:rsid w:val="00A9297B"/>
    <w:rsid w:val="00A92F92"/>
    <w:rsid w:val="00A93B08"/>
    <w:rsid w:val="00A93DE2"/>
    <w:rsid w:val="00A94395"/>
    <w:rsid w:val="00A94560"/>
    <w:rsid w:val="00A94989"/>
    <w:rsid w:val="00A95828"/>
    <w:rsid w:val="00A95DB8"/>
    <w:rsid w:val="00A96150"/>
    <w:rsid w:val="00A9683A"/>
    <w:rsid w:val="00A96892"/>
    <w:rsid w:val="00A97373"/>
    <w:rsid w:val="00AA1A7B"/>
    <w:rsid w:val="00AA2051"/>
    <w:rsid w:val="00AA2494"/>
    <w:rsid w:val="00AA25A3"/>
    <w:rsid w:val="00AA31C2"/>
    <w:rsid w:val="00AA3DE1"/>
    <w:rsid w:val="00AA3DE2"/>
    <w:rsid w:val="00AA569B"/>
    <w:rsid w:val="00AA589D"/>
    <w:rsid w:val="00AA5993"/>
    <w:rsid w:val="00AA691E"/>
    <w:rsid w:val="00AA73D0"/>
    <w:rsid w:val="00AA7B3B"/>
    <w:rsid w:val="00AB035C"/>
    <w:rsid w:val="00AB07FD"/>
    <w:rsid w:val="00AB0910"/>
    <w:rsid w:val="00AB1227"/>
    <w:rsid w:val="00AB2658"/>
    <w:rsid w:val="00AB28D8"/>
    <w:rsid w:val="00AB2F82"/>
    <w:rsid w:val="00AB3875"/>
    <w:rsid w:val="00AB3E59"/>
    <w:rsid w:val="00AB40D0"/>
    <w:rsid w:val="00AB6EFA"/>
    <w:rsid w:val="00AB6F54"/>
    <w:rsid w:val="00AB763D"/>
    <w:rsid w:val="00AC306B"/>
    <w:rsid w:val="00AC34F5"/>
    <w:rsid w:val="00AC3998"/>
    <w:rsid w:val="00AC4797"/>
    <w:rsid w:val="00AC59BA"/>
    <w:rsid w:val="00AC6F61"/>
    <w:rsid w:val="00AC78E5"/>
    <w:rsid w:val="00AC7E31"/>
    <w:rsid w:val="00AD12D8"/>
    <w:rsid w:val="00AD1B37"/>
    <w:rsid w:val="00AD1FB0"/>
    <w:rsid w:val="00AD3CA2"/>
    <w:rsid w:val="00AD3DAA"/>
    <w:rsid w:val="00AD475F"/>
    <w:rsid w:val="00AD4F81"/>
    <w:rsid w:val="00AD5A72"/>
    <w:rsid w:val="00AD5E2D"/>
    <w:rsid w:val="00AD6628"/>
    <w:rsid w:val="00AE10C6"/>
    <w:rsid w:val="00AE1E09"/>
    <w:rsid w:val="00AE2C1C"/>
    <w:rsid w:val="00AE3A33"/>
    <w:rsid w:val="00AE415A"/>
    <w:rsid w:val="00AE46B9"/>
    <w:rsid w:val="00AE4931"/>
    <w:rsid w:val="00AE6DD8"/>
    <w:rsid w:val="00AE7554"/>
    <w:rsid w:val="00AE7F10"/>
    <w:rsid w:val="00AF0471"/>
    <w:rsid w:val="00AF088A"/>
    <w:rsid w:val="00AF16DB"/>
    <w:rsid w:val="00AF2C30"/>
    <w:rsid w:val="00AF2F9E"/>
    <w:rsid w:val="00AF39CC"/>
    <w:rsid w:val="00AF3BE6"/>
    <w:rsid w:val="00AF4C75"/>
    <w:rsid w:val="00AF4D0A"/>
    <w:rsid w:val="00AF6FA3"/>
    <w:rsid w:val="00AF70F3"/>
    <w:rsid w:val="00B01733"/>
    <w:rsid w:val="00B01D61"/>
    <w:rsid w:val="00B02028"/>
    <w:rsid w:val="00B02091"/>
    <w:rsid w:val="00B02545"/>
    <w:rsid w:val="00B02A19"/>
    <w:rsid w:val="00B05A2B"/>
    <w:rsid w:val="00B060DE"/>
    <w:rsid w:val="00B06482"/>
    <w:rsid w:val="00B068BB"/>
    <w:rsid w:val="00B06DC7"/>
    <w:rsid w:val="00B06E28"/>
    <w:rsid w:val="00B07D7A"/>
    <w:rsid w:val="00B10120"/>
    <w:rsid w:val="00B107B2"/>
    <w:rsid w:val="00B10ACE"/>
    <w:rsid w:val="00B126EF"/>
    <w:rsid w:val="00B129B6"/>
    <w:rsid w:val="00B131CE"/>
    <w:rsid w:val="00B13854"/>
    <w:rsid w:val="00B146A7"/>
    <w:rsid w:val="00B14E59"/>
    <w:rsid w:val="00B14F84"/>
    <w:rsid w:val="00B158A3"/>
    <w:rsid w:val="00B15C6B"/>
    <w:rsid w:val="00B16BE2"/>
    <w:rsid w:val="00B17021"/>
    <w:rsid w:val="00B20709"/>
    <w:rsid w:val="00B21144"/>
    <w:rsid w:val="00B21892"/>
    <w:rsid w:val="00B22B84"/>
    <w:rsid w:val="00B22EF3"/>
    <w:rsid w:val="00B23494"/>
    <w:rsid w:val="00B23A5D"/>
    <w:rsid w:val="00B24B1D"/>
    <w:rsid w:val="00B24FF7"/>
    <w:rsid w:val="00B25501"/>
    <w:rsid w:val="00B277E0"/>
    <w:rsid w:val="00B303BF"/>
    <w:rsid w:val="00B30F4A"/>
    <w:rsid w:val="00B310A0"/>
    <w:rsid w:val="00B310A6"/>
    <w:rsid w:val="00B312FF"/>
    <w:rsid w:val="00B319CA"/>
    <w:rsid w:val="00B31AB3"/>
    <w:rsid w:val="00B31B65"/>
    <w:rsid w:val="00B32A8C"/>
    <w:rsid w:val="00B339F6"/>
    <w:rsid w:val="00B33AD5"/>
    <w:rsid w:val="00B3446B"/>
    <w:rsid w:val="00B34946"/>
    <w:rsid w:val="00B34CB9"/>
    <w:rsid w:val="00B35D1F"/>
    <w:rsid w:val="00B35EBA"/>
    <w:rsid w:val="00B415A3"/>
    <w:rsid w:val="00B424B9"/>
    <w:rsid w:val="00B43707"/>
    <w:rsid w:val="00B443F9"/>
    <w:rsid w:val="00B44B69"/>
    <w:rsid w:val="00B45198"/>
    <w:rsid w:val="00B46CCF"/>
    <w:rsid w:val="00B474BC"/>
    <w:rsid w:val="00B47F9E"/>
    <w:rsid w:val="00B51101"/>
    <w:rsid w:val="00B512A9"/>
    <w:rsid w:val="00B519FD"/>
    <w:rsid w:val="00B520BC"/>
    <w:rsid w:val="00B5361C"/>
    <w:rsid w:val="00B537F7"/>
    <w:rsid w:val="00B54383"/>
    <w:rsid w:val="00B543B6"/>
    <w:rsid w:val="00B54A79"/>
    <w:rsid w:val="00B54FE8"/>
    <w:rsid w:val="00B55DF8"/>
    <w:rsid w:val="00B56EE5"/>
    <w:rsid w:val="00B57101"/>
    <w:rsid w:val="00B57290"/>
    <w:rsid w:val="00B575E5"/>
    <w:rsid w:val="00B579F5"/>
    <w:rsid w:val="00B60A2A"/>
    <w:rsid w:val="00B611D7"/>
    <w:rsid w:val="00B62034"/>
    <w:rsid w:val="00B62108"/>
    <w:rsid w:val="00B626E5"/>
    <w:rsid w:val="00B627DF"/>
    <w:rsid w:val="00B63D24"/>
    <w:rsid w:val="00B64266"/>
    <w:rsid w:val="00B6438B"/>
    <w:rsid w:val="00B64886"/>
    <w:rsid w:val="00B64B16"/>
    <w:rsid w:val="00B653A3"/>
    <w:rsid w:val="00B66014"/>
    <w:rsid w:val="00B66BFB"/>
    <w:rsid w:val="00B71707"/>
    <w:rsid w:val="00B72418"/>
    <w:rsid w:val="00B73D27"/>
    <w:rsid w:val="00B7550B"/>
    <w:rsid w:val="00B75DC2"/>
    <w:rsid w:val="00B75EF3"/>
    <w:rsid w:val="00B77024"/>
    <w:rsid w:val="00B770BB"/>
    <w:rsid w:val="00B775A5"/>
    <w:rsid w:val="00B77866"/>
    <w:rsid w:val="00B80219"/>
    <w:rsid w:val="00B80417"/>
    <w:rsid w:val="00B8137B"/>
    <w:rsid w:val="00B8259F"/>
    <w:rsid w:val="00B828EA"/>
    <w:rsid w:val="00B83FD7"/>
    <w:rsid w:val="00B84142"/>
    <w:rsid w:val="00B84EA3"/>
    <w:rsid w:val="00B86321"/>
    <w:rsid w:val="00B90EC1"/>
    <w:rsid w:val="00B923C2"/>
    <w:rsid w:val="00B924E6"/>
    <w:rsid w:val="00B929A8"/>
    <w:rsid w:val="00B9330A"/>
    <w:rsid w:val="00B93372"/>
    <w:rsid w:val="00B936CF"/>
    <w:rsid w:val="00B943C7"/>
    <w:rsid w:val="00B94B6A"/>
    <w:rsid w:val="00B94F77"/>
    <w:rsid w:val="00B954BE"/>
    <w:rsid w:val="00B95C98"/>
    <w:rsid w:val="00B96B3B"/>
    <w:rsid w:val="00BA09A0"/>
    <w:rsid w:val="00BA1BB9"/>
    <w:rsid w:val="00BA1D11"/>
    <w:rsid w:val="00BA2564"/>
    <w:rsid w:val="00BA25D7"/>
    <w:rsid w:val="00BA262D"/>
    <w:rsid w:val="00BA2DA8"/>
    <w:rsid w:val="00BA36C5"/>
    <w:rsid w:val="00BA4CD8"/>
    <w:rsid w:val="00BA54EB"/>
    <w:rsid w:val="00BA5698"/>
    <w:rsid w:val="00BA5985"/>
    <w:rsid w:val="00BA5A63"/>
    <w:rsid w:val="00BA71D1"/>
    <w:rsid w:val="00BA7F84"/>
    <w:rsid w:val="00BB033C"/>
    <w:rsid w:val="00BB04E7"/>
    <w:rsid w:val="00BB06F2"/>
    <w:rsid w:val="00BB0727"/>
    <w:rsid w:val="00BB1097"/>
    <w:rsid w:val="00BB1753"/>
    <w:rsid w:val="00BB1F76"/>
    <w:rsid w:val="00BB3EC8"/>
    <w:rsid w:val="00BB447F"/>
    <w:rsid w:val="00BB5067"/>
    <w:rsid w:val="00BB5633"/>
    <w:rsid w:val="00BB60B2"/>
    <w:rsid w:val="00BB6192"/>
    <w:rsid w:val="00BB6974"/>
    <w:rsid w:val="00BB6F23"/>
    <w:rsid w:val="00BB74DC"/>
    <w:rsid w:val="00BB7F96"/>
    <w:rsid w:val="00BC2B12"/>
    <w:rsid w:val="00BC33C1"/>
    <w:rsid w:val="00BC4726"/>
    <w:rsid w:val="00BC4B7D"/>
    <w:rsid w:val="00BC4BEF"/>
    <w:rsid w:val="00BC5008"/>
    <w:rsid w:val="00BC50AF"/>
    <w:rsid w:val="00BC6F6F"/>
    <w:rsid w:val="00BC6FEC"/>
    <w:rsid w:val="00BC7769"/>
    <w:rsid w:val="00BC79EB"/>
    <w:rsid w:val="00BD01B3"/>
    <w:rsid w:val="00BD0B81"/>
    <w:rsid w:val="00BD0D88"/>
    <w:rsid w:val="00BD0F60"/>
    <w:rsid w:val="00BD1121"/>
    <w:rsid w:val="00BD1D85"/>
    <w:rsid w:val="00BD36D0"/>
    <w:rsid w:val="00BD400B"/>
    <w:rsid w:val="00BD51D4"/>
    <w:rsid w:val="00BD5917"/>
    <w:rsid w:val="00BD5A3C"/>
    <w:rsid w:val="00BD6503"/>
    <w:rsid w:val="00BD658F"/>
    <w:rsid w:val="00BD74D7"/>
    <w:rsid w:val="00BD767E"/>
    <w:rsid w:val="00BD7C37"/>
    <w:rsid w:val="00BD7C5A"/>
    <w:rsid w:val="00BD7CD3"/>
    <w:rsid w:val="00BD7FCF"/>
    <w:rsid w:val="00BE0064"/>
    <w:rsid w:val="00BE0453"/>
    <w:rsid w:val="00BE1BAF"/>
    <w:rsid w:val="00BE1E08"/>
    <w:rsid w:val="00BE26FD"/>
    <w:rsid w:val="00BE2A73"/>
    <w:rsid w:val="00BE5054"/>
    <w:rsid w:val="00BE5A3E"/>
    <w:rsid w:val="00BE5CCC"/>
    <w:rsid w:val="00BE68C6"/>
    <w:rsid w:val="00BE6F86"/>
    <w:rsid w:val="00BF0211"/>
    <w:rsid w:val="00BF07F3"/>
    <w:rsid w:val="00BF0A3D"/>
    <w:rsid w:val="00BF0DD8"/>
    <w:rsid w:val="00BF10E7"/>
    <w:rsid w:val="00BF1EFD"/>
    <w:rsid w:val="00BF2F31"/>
    <w:rsid w:val="00BF3264"/>
    <w:rsid w:val="00BF44C7"/>
    <w:rsid w:val="00BF4FA4"/>
    <w:rsid w:val="00BF5D42"/>
    <w:rsid w:val="00BF5D8F"/>
    <w:rsid w:val="00BF7CCC"/>
    <w:rsid w:val="00BF7DD4"/>
    <w:rsid w:val="00C015A6"/>
    <w:rsid w:val="00C0170F"/>
    <w:rsid w:val="00C0231D"/>
    <w:rsid w:val="00C03714"/>
    <w:rsid w:val="00C0477A"/>
    <w:rsid w:val="00C0568F"/>
    <w:rsid w:val="00C064DC"/>
    <w:rsid w:val="00C110D1"/>
    <w:rsid w:val="00C123C3"/>
    <w:rsid w:val="00C14807"/>
    <w:rsid w:val="00C1535D"/>
    <w:rsid w:val="00C1563D"/>
    <w:rsid w:val="00C15781"/>
    <w:rsid w:val="00C1630C"/>
    <w:rsid w:val="00C165D4"/>
    <w:rsid w:val="00C16CFB"/>
    <w:rsid w:val="00C175DA"/>
    <w:rsid w:val="00C177E8"/>
    <w:rsid w:val="00C205CD"/>
    <w:rsid w:val="00C21220"/>
    <w:rsid w:val="00C219A3"/>
    <w:rsid w:val="00C222D7"/>
    <w:rsid w:val="00C2243D"/>
    <w:rsid w:val="00C23701"/>
    <w:rsid w:val="00C23DE9"/>
    <w:rsid w:val="00C24ADD"/>
    <w:rsid w:val="00C24FD5"/>
    <w:rsid w:val="00C250C0"/>
    <w:rsid w:val="00C25BDA"/>
    <w:rsid w:val="00C263F1"/>
    <w:rsid w:val="00C26C90"/>
    <w:rsid w:val="00C2722D"/>
    <w:rsid w:val="00C27AF5"/>
    <w:rsid w:val="00C320D6"/>
    <w:rsid w:val="00C3285F"/>
    <w:rsid w:val="00C33104"/>
    <w:rsid w:val="00C332D4"/>
    <w:rsid w:val="00C334DE"/>
    <w:rsid w:val="00C35403"/>
    <w:rsid w:val="00C35686"/>
    <w:rsid w:val="00C36DAC"/>
    <w:rsid w:val="00C370E3"/>
    <w:rsid w:val="00C37A6C"/>
    <w:rsid w:val="00C402DA"/>
    <w:rsid w:val="00C409BF"/>
    <w:rsid w:val="00C41B7D"/>
    <w:rsid w:val="00C43157"/>
    <w:rsid w:val="00C446D8"/>
    <w:rsid w:val="00C44E3A"/>
    <w:rsid w:val="00C44EA9"/>
    <w:rsid w:val="00C4674E"/>
    <w:rsid w:val="00C46D44"/>
    <w:rsid w:val="00C4731C"/>
    <w:rsid w:val="00C47F6E"/>
    <w:rsid w:val="00C51BEE"/>
    <w:rsid w:val="00C533FB"/>
    <w:rsid w:val="00C536E6"/>
    <w:rsid w:val="00C53839"/>
    <w:rsid w:val="00C53AD9"/>
    <w:rsid w:val="00C53CA0"/>
    <w:rsid w:val="00C5449A"/>
    <w:rsid w:val="00C54860"/>
    <w:rsid w:val="00C55D44"/>
    <w:rsid w:val="00C567CA"/>
    <w:rsid w:val="00C567E7"/>
    <w:rsid w:val="00C568AA"/>
    <w:rsid w:val="00C56A86"/>
    <w:rsid w:val="00C57E45"/>
    <w:rsid w:val="00C6007F"/>
    <w:rsid w:val="00C6170B"/>
    <w:rsid w:val="00C62653"/>
    <w:rsid w:val="00C62DFB"/>
    <w:rsid w:val="00C635AD"/>
    <w:rsid w:val="00C63983"/>
    <w:rsid w:val="00C644E3"/>
    <w:rsid w:val="00C649CC"/>
    <w:rsid w:val="00C6607F"/>
    <w:rsid w:val="00C66719"/>
    <w:rsid w:val="00C66C2F"/>
    <w:rsid w:val="00C675AB"/>
    <w:rsid w:val="00C70557"/>
    <w:rsid w:val="00C72B27"/>
    <w:rsid w:val="00C73761"/>
    <w:rsid w:val="00C742C7"/>
    <w:rsid w:val="00C74BC9"/>
    <w:rsid w:val="00C75E0F"/>
    <w:rsid w:val="00C75E33"/>
    <w:rsid w:val="00C76999"/>
    <w:rsid w:val="00C76B1F"/>
    <w:rsid w:val="00C802B8"/>
    <w:rsid w:val="00C814C3"/>
    <w:rsid w:val="00C815D0"/>
    <w:rsid w:val="00C8175C"/>
    <w:rsid w:val="00C820FD"/>
    <w:rsid w:val="00C82A64"/>
    <w:rsid w:val="00C8361A"/>
    <w:rsid w:val="00C83BC9"/>
    <w:rsid w:val="00C84990"/>
    <w:rsid w:val="00C854D4"/>
    <w:rsid w:val="00C860C8"/>
    <w:rsid w:val="00C9039E"/>
    <w:rsid w:val="00C90556"/>
    <w:rsid w:val="00C9075D"/>
    <w:rsid w:val="00C90ED9"/>
    <w:rsid w:val="00C90F1F"/>
    <w:rsid w:val="00C91D4D"/>
    <w:rsid w:val="00C92602"/>
    <w:rsid w:val="00C9267C"/>
    <w:rsid w:val="00C950B8"/>
    <w:rsid w:val="00C957C2"/>
    <w:rsid w:val="00C9595C"/>
    <w:rsid w:val="00CA0D78"/>
    <w:rsid w:val="00CA130F"/>
    <w:rsid w:val="00CA20C9"/>
    <w:rsid w:val="00CA319B"/>
    <w:rsid w:val="00CA3303"/>
    <w:rsid w:val="00CA3513"/>
    <w:rsid w:val="00CA3E32"/>
    <w:rsid w:val="00CA4855"/>
    <w:rsid w:val="00CB08BF"/>
    <w:rsid w:val="00CB095C"/>
    <w:rsid w:val="00CB0C2E"/>
    <w:rsid w:val="00CB1060"/>
    <w:rsid w:val="00CB177E"/>
    <w:rsid w:val="00CB201F"/>
    <w:rsid w:val="00CB24FE"/>
    <w:rsid w:val="00CB2C2C"/>
    <w:rsid w:val="00CB3209"/>
    <w:rsid w:val="00CB39D8"/>
    <w:rsid w:val="00CB4C8F"/>
    <w:rsid w:val="00CB4ED0"/>
    <w:rsid w:val="00CB59A2"/>
    <w:rsid w:val="00CB6F05"/>
    <w:rsid w:val="00CC027B"/>
    <w:rsid w:val="00CC1268"/>
    <w:rsid w:val="00CC279D"/>
    <w:rsid w:val="00CC40F6"/>
    <w:rsid w:val="00CC455D"/>
    <w:rsid w:val="00CC69B1"/>
    <w:rsid w:val="00CC6EF1"/>
    <w:rsid w:val="00CC7BE4"/>
    <w:rsid w:val="00CD01A0"/>
    <w:rsid w:val="00CD12CF"/>
    <w:rsid w:val="00CD1CD0"/>
    <w:rsid w:val="00CD2966"/>
    <w:rsid w:val="00CD349E"/>
    <w:rsid w:val="00CD5144"/>
    <w:rsid w:val="00CD58FD"/>
    <w:rsid w:val="00CD6188"/>
    <w:rsid w:val="00CD7B04"/>
    <w:rsid w:val="00CE02AD"/>
    <w:rsid w:val="00CE02AF"/>
    <w:rsid w:val="00CE13C5"/>
    <w:rsid w:val="00CE1425"/>
    <w:rsid w:val="00CE16F2"/>
    <w:rsid w:val="00CE1FB5"/>
    <w:rsid w:val="00CE2014"/>
    <w:rsid w:val="00CE35B8"/>
    <w:rsid w:val="00CE37E2"/>
    <w:rsid w:val="00CE3FD0"/>
    <w:rsid w:val="00CF07F4"/>
    <w:rsid w:val="00CF23E0"/>
    <w:rsid w:val="00CF2EE7"/>
    <w:rsid w:val="00CF4CC3"/>
    <w:rsid w:val="00CF50B3"/>
    <w:rsid w:val="00CF5AD1"/>
    <w:rsid w:val="00CF5C1D"/>
    <w:rsid w:val="00CF64BC"/>
    <w:rsid w:val="00CF6C3F"/>
    <w:rsid w:val="00CF754D"/>
    <w:rsid w:val="00CF7FB3"/>
    <w:rsid w:val="00D01738"/>
    <w:rsid w:val="00D01982"/>
    <w:rsid w:val="00D01B43"/>
    <w:rsid w:val="00D0271B"/>
    <w:rsid w:val="00D02C9B"/>
    <w:rsid w:val="00D035ED"/>
    <w:rsid w:val="00D03ADE"/>
    <w:rsid w:val="00D041F6"/>
    <w:rsid w:val="00D04C86"/>
    <w:rsid w:val="00D05813"/>
    <w:rsid w:val="00D072E6"/>
    <w:rsid w:val="00D079DD"/>
    <w:rsid w:val="00D1065A"/>
    <w:rsid w:val="00D107A0"/>
    <w:rsid w:val="00D11BD4"/>
    <w:rsid w:val="00D135B4"/>
    <w:rsid w:val="00D13C6E"/>
    <w:rsid w:val="00D15029"/>
    <w:rsid w:val="00D16CA2"/>
    <w:rsid w:val="00D1702F"/>
    <w:rsid w:val="00D172DA"/>
    <w:rsid w:val="00D17584"/>
    <w:rsid w:val="00D23012"/>
    <w:rsid w:val="00D232AC"/>
    <w:rsid w:val="00D23DE0"/>
    <w:rsid w:val="00D24020"/>
    <w:rsid w:val="00D244C0"/>
    <w:rsid w:val="00D24EAF"/>
    <w:rsid w:val="00D25470"/>
    <w:rsid w:val="00D26994"/>
    <w:rsid w:val="00D26A8F"/>
    <w:rsid w:val="00D315F9"/>
    <w:rsid w:val="00D32914"/>
    <w:rsid w:val="00D32D19"/>
    <w:rsid w:val="00D32FE0"/>
    <w:rsid w:val="00D33080"/>
    <w:rsid w:val="00D34366"/>
    <w:rsid w:val="00D343FA"/>
    <w:rsid w:val="00D34AD4"/>
    <w:rsid w:val="00D34F0D"/>
    <w:rsid w:val="00D35032"/>
    <w:rsid w:val="00D35135"/>
    <w:rsid w:val="00D374FC"/>
    <w:rsid w:val="00D37EAD"/>
    <w:rsid w:val="00D40827"/>
    <w:rsid w:val="00D40B62"/>
    <w:rsid w:val="00D418CA"/>
    <w:rsid w:val="00D418FF"/>
    <w:rsid w:val="00D422AA"/>
    <w:rsid w:val="00D42B71"/>
    <w:rsid w:val="00D44139"/>
    <w:rsid w:val="00D45822"/>
    <w:rsid w:val="00D4683A"/>
    <w:rsid w:val="00D46E3A"/>
    <w:rsid w:val="00D46F82"/>
    <w:rsid w:val="00D4732B"/>
    <w:rsid w:val="00D47CAF"/>
    <w:rsid w:val="00D50688"/>
    <w:rsid w:val="00D510F0"/>
    <w:rsid w:val="00D51E66"/>
    <w:rsid w:val="00D5257C"/>
    <w:rsid w:val="00D52FFE"/>
    <w:rsid w:val="00D532E1"/>
    <w:rsid w:val="00D53DA4"/>
    <w:rsid w:val="00D53F24"/>
    <w:rsid w:val="00D54B1F"/>
    <w:rsid w:val="00D55843"/>
    <w:rsid w:val="00D55E59"/>
    <w:rsid w:val="00D5652E"/>
    <w:rsid w:val="00D57E39"/>
    <w:rsid w:val="00D611AB"/>
    <w:rsid w:val="00D61BF7"/>
    <w:rsid w:val="00D626C8"/>
    <w:rsid w:val="00D62A60"/>
    <w:rsid w:val="00D63B4B"/>
    <w:rsid w:val="00D648F2"/>
    <w:rsid w:val="00D65786"/>
    <w:rsid w:val="00D65C43"/>
    <w:rsid w:val="00D65C73"/>
    <w:rsid w:val="00D65C76"/>
    <w:rsid w:val="00D6684F"/>
    <w:rsid w:val="00D668C2"/>
    <w:rsid w:val="00D67AB9"/>
    <w:rsid w:val="00D70076"/>
    <w:rsid w:val="00D702AE"/>
    <w:rsid w:val="00D70DC3"/>
    <w:rsid w:val="00D71B37"/>
    <w:rsid w:val="00D729C9"/>
    <w:rsid w:val="00D72C6C"/>
    <w:rsid w:val="00D734C7"/>
    <w:rsid w:val="00D747BD"/>
    <w:rsid w:val="00D7502F"/>
    <w:rsid w:val="00D75328"/>
    <w:rsid w:val="00D7653A"/>
    <w:rsid w:val="00D76B90"/>
    <w:rsid w:val="00D772FD"/>
    <w:rsid w:val="00D77353"/>
    <w:rsid w:val="00D77589"/>
    <w:rsid w:val="00D77ECF"/>
    <w:rsid w:val="00D77F92"/>
    <w:rsid w:val="00D81FCE"/>
    <w:rsid w:val="00D82D25"/>
    <w:rsid w:val="00D83A87"/>
    <w:rsid w:val="00D84330"/>
    <w:rsid w:val="00D85160"/>
    <w:rsid w:val="00D855F7"/>
    <w:rsid w:val="00D86D0D"/>
    <w:rsid w:val="00D86E26"/>
    <w:rsid w:val="00D92E3C"/>
    <w:rsid w:val="00D93C05"/>
    <w:rsid w:val="00D9404E"/>
    <w:rsid w:val="00D96DF3"/>
    <w:rsid w:val="00D977C8"/>
    <w:rsid w:val="00D97FC1"/>
    <w:rsid w:val="00DA107F"/>
    <w:rsid w:val="00DA1991"/>
    <w:rsid w:val="00DA24CF"/>
    <w:rsid w:val="00DA2A22"/>
    <w:rsid w:val="00DA2F73"/>
    <w:rsid w:val="00DA31A5"/>
    <w:rsid w:val="00DA34C5"/>
    <w:rsid w:val="00DA41EC"/>
    <w:rsid w:val="00DA5A3C"/>
    <w:rsid w:val="00DA5FAE"/>
    <w:rsid w:val="00DA67EA"/>
    <w:rsid w:val="00DA6AC8"/>
    <w:rsid w:val="00DA714C"/>
    <w:rsid w:val="00DB0645"/>
    <w:rsid w:val="00DB18C4"/>
    <w:rsid w:val="00DB2D58"/>
    <w:rsid w:val="00DB3F2A"/>
    <w:rsid w:val="00DB41D9"/>
    <w:rsid w:val="00DB4DAB"/>
    <w:rsid w:val="00DB5C3A"/>
    <w:rsid w:val="00DB5C42"/>
    <w:rsid w:val="00DB6B8E"/>
    <w:rsid w:val="00DB7706"/>
    <w:rsid w:val="00DC1A18"/>
    <w:rsid w:val="00DC2E22"/>
    <w:rsid w:val="00DC462F"/>
    <w:rsid w:val="00DC65DC"/>
    <w:rsid w:val="00DC681F"/>
    <w:rsid w:val="00DC6895"/>
    <w:rsid w:val="00DC69B3"/>
    <w:rsid w:val="00DC6B2F"/>
    <w:rsid w:val="00DC7623"/>
    <w:rsid w:val="00DD05E8"/>
    <w:rsid w:val="00DD0830"/>
    <w:rsid w:val="00DD09FF"/>
    <w:rsid w:val="00DD126C"/>
    <w:rsid w:val="00DD1D10"/>
    <w:rsid w:val="00DD1FC1"/>
    <w:rsid w:val="00DD223F"/>
    <w:rsid w:val="00DD297F"/>
    <w:rsid w:val="00DD2CEF"/>
    <w:rsid w:val="00DD4562"/>
    <w:rsid w:val="00DD4B7C"/>
    <w:rsid w:val="00DD5DFC"/>
    <w:rsid w:val="00DD5E43"/>
    <w:rsid w:val="00DD6A21"/>
    <w:rsid w:val="00DD7D91"/>
    <w:rsid w:val="00DE0F2B"/>
    <w:rsid w:val="00DE16C0"/>
    <w:rsid w:val="00DE34F9"/>
    <w:rsid w:val="00DE3541"/>
    <w:rsid w:val="00DE3745"/>
    <w:rsid w:val="00DE47A3"/>
    <w:rsid w:val="00DE54E0"/>
    <w:rsid w:val="00DE60CA"/>
    <w:rsid w:val="00DE6D93"/>
    <w:rsid w:val="00DE7F0D"/>
    <w:rsid w:val="00DF0F1C"/>
    <w:rsid w:val="00DF17CC"/>
    <w:rsid w:val="00DF1928"/>
    <w:rsid w:val="00DF1C6A"/>
    <w:rsid w:val="00DF26DD"/>
    <w:rsid w:val="00DF3E9F"/>
    <w:rsid w:val="00DF4B8B"/>
    <w:rsid w:val="00DF4FCB"/>
    <w:rsid w:val="00DF5087"/>
    <w:rsid w:val="00DF61FB"/>
    <w:rsid w:val="00DF636F"/>
    <w:rsid w:val="00DF644C"/>
    <w:rsid w:val="00DF6A8F"/>
    <w:rsid w:val="00DF6C74"/>
    <w:rsid w:val="00DF733F"/>
    <w:rsid w:val="00DF7BFD"/>
    <w:rsid w:val="00E00879"/>
    <w:rsid w:val="00E01320"/>
    <w:rsid w:val="00E026D9"/>
    <w:rsid w:val="00E0372E"/>
    <w:rsid w:val="00E04DA5"/>
    <w:rsid w:val="00E0593A"/>
    <w:rsid w:val="00E0653B"/>
    <w:rsid w:val="00E06730"/>
    <w:rsid w:val="00E06FEE"/>
    <w:rsid w:val="00E104B2"/>
    <w:rsid w:val="00E10AD9"/>
    <w:rsid w:val="00E11128"/>
    <w:rsid w:val="00E12B7A"/>
    <w:rsid w:val="00E12EFC"/>
    <w:rsid w:val="00E12FF7"/>
    <w:rsid w:val="00E1333C"/>
    <w:rsid w:val="00E13952"/>
    <w:rsid w:val="00E15631"/>
    <w:rsid w:val="00E15761"/>
    <w:rsid w:val="00E16489"/>
    <w:rsid w:val="00E16662"/>
    <w:rsid w:val="00E1677B"/>
    <w:rsid w:val="00E16A4F"/>
    <w:rsid w:val="00E16B54"/>
    <w:rsid w:val="00E16C5F"/>
    <w:rsid w:val="00E17334"/>
    <w:rsid w:val="00E17BFE"/>
    <w:rsid w:val="00E2003F"/>
    <w:rsid w:val="00E20F95"/>
    <w:rsid w:val="00E217B9"/>
    <w:rsid w:val="00E23437"/>
    <w:rsid w:val="00E235BD"/>
    <w:rsid w:val="00E240B4"/>
    <w:rsid w:val="00E244EC"/>
    <w:rsid w:val="00E248D0"/>
    <w:rsid w:val="00E24FA3"/>
    <w:rsid w:val="00E2635F"/>
    <w:rsid w:val="00E26B28"/>
    <w:rsid w:val="00E26D7F"/>
    <w:rsid w:val="00E27638"/>
    <w:rsid w:val="00E27F5C"/>
    <w:rsid w:val="00E31465"/>
    <w:rsid w:val="00E31719"/>
    <w:rsid w:val="00E31BC1"/>
    <w:rsid w:val="00E31F16"/>
    <w:rsid w:val="00E32284"/>
    <w:rsid w:val="00E322F7"/>
    <w:rsid w:val="00E32683"/>
    <w:rsid w:val="00E328CD"/>
    <w:rsid w:val="00E32AD3"/>
    <w:rsid w:val="00E32DA0"/>
    <w:rsid w:val="00E33B99"/>
    <w:rsid w:val="00E34990"/>
    <w:rsid w:val="00E352F5"/>
    <w:rsid w:val="00E36142"/>
    <w:rsid w:val="00E36B95"/>
    <w:rsid w:val="00E36DB1"/>
    <w:rsid w:val="00E3714A"/>
    <w:rsid w:val="00E4003F"/>
    <w:rsid w:val="00E40D2C"/>
    <w:rsid w:val="00E41966"/>
    <w:rsid w:val="00E41A2F"/>
    <w:rsid w:val="00E41CDA"/>
    <w:rsid w:val="00E458F6"/>
    <w:rsid w:val="00E45954"/>
    <w:rsid w:val="00E47D7F"/>
    <w:rsid w:val="00E50286"/>
    <w:rsid w:val="00E5076E"/>
    <w:rsid w:val="00E51CCB"/>
    <w:rsid w:val="00E53AA2"/>
    <w:rsid w:val="00E53E13"/>
    <w:rsid w:val="00E53E28"/>
    <w:rsid w:val="00E54AB3"/>
    <w:rsid w:val="00E54C96"/>
    <w:rsid w:val="00E5555A"/>
    <w:rsid w:val="00E559E7"/>
    <w:rsid w:val="00E55C22"/>
    <w:rsid w:val="00E5621F"/>
    <w:rsid w:val="00E608CC"/>
    <w:rsid w:val="00E60E86"/>
    <w:rsid w:val="00E60E9F"/>
    <w:rsid w:val="00E60F9E"/>
    <w:rsid w:val="00E6149C"/>
    <w:rsid w:val="00E61973"/>
    <w:rsid w:val="00E627AE"/>
    <w:rsid w:val="00E62E70"/>
    <w:rsid w:val="00E64ABB"/>
    <w:rsid w:val="00E64DC2"/>
    <w:rsid w:val="00E65088"/>
    <w:rsid w:val="00E65361"/>
    <w:rsid w:val="00E6578E"/>
    <w:rsid w:val="00E65CBE"/>
    <w:rsid w:val="00E66514"/>
    <w:rsid w:val="00E676C0"/>
    <w:rsid w:val="00E67D95"/>
    <w:rsid w:val="00E700A9"/>
    <w:rsid w:val="00E70A5C"/>
    <w:rsid w:val="00E7278A"/>
    <w:rsid w:val="00E72A32"/>
    <w:rsid w:val="00E73C22"/>
    <w:rsid w:val="00E744AE"/>
    <w:rsid w:val="00E74986"/>
    <w:rsid w:val="00E7638B"/>
    <w:rsid w:val="00E769C7"/>
    <w:rsid w:val="00E76C9C"/>
    <w:rsid w:val="00E771DB"/>
    <w:rsid w:val="00E773BF"/>
    <w:rsid w:val="00E7777F"/>
    <w:rsid w:val="00E7778C"/>
    <w:rsid w:val="00E7797A"/>
    <w:rsid w:val="00E80859"/>
    <w:rsid w:val="00E83800"/>
    <w:rsid w:val="00E83824"/>
    <w:rsid w:val="00E83BC5"/>
    <w:rsid w:val="00E8420E"/>
    <w:rsid w:val="00E84C32"/>
    <w:rsid w:val="00E8513A"/>
    <w:rsid w:val="00E85180"/>
    <w:rsid w:val="00E85C32"/>
    <w:rsid w:val="00E85F0B"/>
    <w:rsid w:val="00E86063"/>
    <w:rsid w:val="00E861DB"/>
    <w:rsid w:val="00E86E71"/>
    <w:rsid w:val="00E86F29"/>
    <w:rsid w:val="00E87178"/>
    <w:rsid w:val="00E90B36"/>
    <w:rsid w:val="00E91862"/>
    <w:rsid w:val="00E92696"/>
    <w:rsid w:val="00E9336F"/>
    <w:rsid w:val="00E9340D"/>
    <w:rsid w:val="00E942B5"/>
    <w:rsid w:val="00E95410"/>
    <w:rsid w:val="00E975AB"/>
    <w:rsid w:val="00E9771A"/>
    <w:rsid w:val="00EA1FF4"/>
    <w:rsid w:val="00EA256B"/>
    <w:rsid w:val="00EA2FFF"/>
    <w:rsid w:val="00EA3C1D"/>
    <w:rsid w:val="00EA4363"/>
    <w:rsid w:val="00EA44D9"/>
    <w:rsid w:val="00EA52EB"/>
    <w:rsid w:val="00EA6436"/>
    <w:rsid w:val="00EA64F0"/>
    <w:rsid w:val="00EA6A20"/>
    <w:rsid w:val="00EA6E11"/>
    <w:rsid w:val="00EA6F89"/>
    <w:rsid w:val="00EA7BC7"/>
    <w:rsid w:val="00EB0743"/>
    <w:rsid w:val="00EB0B2F"/>
    <w:rsid w:val="00EB153D"/>
    <w:rsid w:val="00EB26AC"/>
    <w:rsid w:val="00EB360A"/>
    <w:rsid w:val="00EB4959"/>
    <w:rsid w:val="00EB5893"/>
    <w:rsid w:val="00EB6A76"/>
    <w:rsid w:val="00EB74DD"/>
    <w:rsid w:val="00EB7666"/>
    <w:rsid w:val="00EC07B8"/>
    <w:rsid w:val="00EC1749"/>
    <w:rsid w:val="00EC1A28"/>
    <w:rsid w:val="00EC1DE1"/>
    <w:rsid w:val="00EC2541"/>
    <w:rsid w:val="00EC29F1"/>
    <w:rsid w:val="00EC312F"/>
    <w:rsid w:val="00ED13C5"/>
    <w:rsid w:val="00ED1DFC"/>
    <w:rsid w:val="00ED219F"/>
    <w:rsid w:val="00ED29B7"/>
    <w:rsid w:val="00ED2A61"/>
    <w:rsid w:val="00ED2AC1"/>
    <w:rsid w:val="00ED2B5F"/>
    <w:rsid w:val="00ED35AC"/>
    <w:rsid w:val="00ED3F88"/>
    <w:rsid w:val="00ED425A"/>
    <w:rsid w:val="00ED5827"/>
    <w:rsid w:val="00ED6380"/>
    <w:rsid w:val="00ED672D"/>
    <w:rsid w:val="00ED7576"/>
    <w:rsid w:val="00ED766B"/>
    <w:rsid w:val="00ED7B15"/>
    <w:rsid w:val="00EE01F6"/>
    <w:rsid w:val="00EE1039"/>
    <w:rsid w:val="00EE1214"/>
    <w:rsid w:val="00EE1E15"/>
    <w:rsid w:val="00EE22BF"/>
    <w:rsid w:val="00EE3054"/>
    <w:rsid w:val="00EE376C"/>
    <w:rsid w:val="00EE4D16"/>
    <w:rsid w:val="00EE5489"/>
    <w:rsid w:val="00EE76D4"/>
    <w:rsid w:val="00EF072E"/>
    <w:rsid w:val="00EF11BE"/>
    <w:rsid w:val="00EF154A"/>
    <w:rsid w:val="00EF15A3"/>
    <w:rsid w:val="00EF1686"/>
    <w:rsid w:val="00EF39B8"/>
    <w:rsid w:val="00EF3A45"/>
    <w:rsid w:val="00EF4245"/>
    <w:rsid w:val="00EF494F"/>
    <w:rsid w:val="00EF62DA"/>
    <w:rsid w:val="00EF633A"/>
    <w:rsid w:val="00EF7A15"/>
    <w:rsid w:val="00F00C8F"/>
    <w:rsid w:val="00F00D05"/>
    <w:rsid w:val="00F01C1A"/>
    <w:rsid w:val="00F01DA9"/>
    <w:rsid w:val="00F031DA"/>
    <w:rsid w:val="00F03E41"/>
    <w:rsid w:val="00F03F2D"/>
    <w:rsid w:val="00F042B7"/>
    <w:rsid w:val="00F069D4"/>
    <w:rsid w:val="00F113F2"/>
    <w:rsid w:val="00F137E3"/>
    <w:rsid w:val="00F141C8"/>
    <w:rsid w:val="00F146EB"/>
    <w:rsid w:val="00F14949"/>
    <w:rsid w:val="00F14A59"/>
    <w:rsid w:val="00F14C6D"/>
    <w:rsid w:val="00F16278"/>
    <w:rsid w:val="00F1630A"/>
    <w:rsid w:val="00F1637E"/>
    <w:rsid w:val="00F16881"/>
    <w:rsid w:val="00F16D2F"/>
    <w:rsid w:val="00F16DA3"/>
    <w:rsid w:val="00F17913"/>
    <w:rsid w:val="00F20EB6"/>
    <w:rsid w:val="00F2141A"/>
    <w:rsid w:val="00F21A22"/>
    <w:rsid w:val="00F21EC8"/>
    <w:rsid w:val="00F222C3"/>
    <w:rsid w:val="00F22619"/>
    <w:rsid w:val="00F22B21"/>
    <w:rsid w:val="00F22CED"/>
    <w:rsid w:val="00F22E1E"/>
    <w:rsid w:val="00F235AC"/>
    <w:rsid w:val="00F23A13"/>
    <w:rsid w:val="00F23A88"/>
    <w:rsid w:val="00F26BEF"/>
    <w:rsid w:val="00F26C52"/>
    <w:rsid w:val="00F2754B"/>
    <w:rsid w:val="00F27DC8"/>
    <w:rsid w:val="00F30173"/>
    <w:rsid w:val="00F3152E"/>
    <w:rsid w:val="00F32A1D"/>
    <w:rsid w:val="00F32B9A"/>
    <w:rsid w:val="00F33F30"/>
    <w:rsid w:val="00F34BC9"/>
    <w:rsid w:val="00F3568A"/>
    <w:rsid w:val="00F35C72"/>
    <w:rsid w:val="00F363A2"/>
    <w:rsid w:val="00F400C5"/>
    <w:rsid w:val="00F40E8B"/>
    <w:rsid w:val="00F40FCA"/>
    <w:rsid w:val="00F4283B"/>
    <w:rsid w:val="00F42CAB"/>
    <w:rsid w:val="00F4330A"/>
    <w:rsid w:val="00F433DA"/>
    <w:rsid w:val="00F4454E"/>
    <w:rsid w:val="00F44F12"/>
    <w:rsid w:val="00F451F2"/>
    <w:rsid w:val="00F452C5"/>
    <w:rsid w:val="00F4643B"/>
    <w:rsid w:val="00F469B9"/>
    <w:rsid w:val="00F46AAA"/>
    <w:rsid w:val="00F473F4"/>
    <w:rsid w:val="00F50F00"/>
    <w:rsid w:val="00F511DC"/>
    <w:rsid w:val="00F51C5C"/>
    <w:rsid w:val="00F52D5C"/>
    <w:rsid w:val="00F52F5E"/>
    <w:rsid w:val="00F54038"/>
    <w:rsid w:val="00F54F57"/>
    <w:rsid w:val="00F55313"/>
    <w:rsid w:val="00F55A7C"/>
    <w:rsid w:val="00F55BF9"/>
    <w:rsid w:val="00F56F5F"/>
    <w:rsid w:val="00F57178"/>
    <w:rsid w:val="00F57886"/>
    <w:rsid w:val="00F57A51"/>
    <w:rsid w:val="00F61F15"/>
    <w:rsid w:val="00F64B1C"/>
    <w:rsid w:val="00F66048"/>
    <w:rsid w:val="00F66B2F"/>
    <w:rsid w:val="00F70CFA"/>
    <w:rsid w:val="00F70D2F"/>
    <w:rsid w:val="00F713F4"/>
    <w:rsid w:val="00F71443"/>
    <w:rsid w:val="00F72AF5"/>
    <w:rsid w:val="00F72EC5"/>
    <w:rsid w:val="00F7332F"/>
    <w:rsid w:val="00F75935"/>
    <w:rsid w:val="00F77448"/>
    <w:rsid w:val="00F77720"/>
    <w:rsid w:val="00F8000F"/>
    <w:rsid w:val="00F80526"/>
    <w:rsid w:val="00F8302E"/>
    <w:rsid w:val="00F83DC4"/>
    <w:rsid w:val="00F84B07"/>
    <w:rsid w:val="00F854AC"/>
    <w:rsid w:val="00F86B5F"/>
    <w:rsid w:val="00F87D33"/>
    <w:rsid w:val="00F90DFA"/>
    <w:rsid w:val="00F929B3"/>
    <w:rsid w:val="00F93410"/>
    <w:rsid w:val="00F93FE3"/>
    <w:rsid w:val="00F95D44"/>
    <w:rsid w:val="00F95F16"/>
    <w:rsid w:val="00F978F0"/>
    <w:rsid w:val="00F97CAC"/>
    <w:rsid w:val="00F97D4F"/>
    <w:rsid w:val="00FA1AC8"/>
    <w:rsid w:val="00FA3D3B"/>
    <w:rsid w:val="00FA4916"/>
    <w:rsid w:val="00FA540D"/>
    <w:rsid w:val="00FA6378"/>
    <w:rsid w:val="00FA6869"/>
    <w:rsid w:val="00FA7036"/>
    <w:rsid w:val="00FA70AC"/>
    <w:rsid w:val="00FA73DB"/>
    <w:rsid w:val="00FB0685"/>
    <w:rsid w:val="00FB06C6"/>
    <w:rsid w:val="00FB06C7"/>
    <w:rsid w:val="00FB0741"/>
    <w:rsid w:val="00FB1E70"/>
    <w:rsid w:val="00FB2D79"/>
    <w:rsid w:val="00FB3212"/>
    <w:rsid w:val="00FB4404"/>
    <w:rsid w:val="00FB5360"/>
    <w:rsid w:val="00FB57B8"/>
    <w:rsid w:val="00FB61AB"/>
    <w:rsid w:val="00FB6804"/>
    <w:rsid w:val="00FB745C"/>
    <w:rsid w:val="00FC0FBA"/>
    <w:rsid w:val="00FC123D"/>
    <w:rsid w:val="00FC2CDA"/>
    <w:rsid w:val="00FC30F8"/>
    <w:rsid w:val="00FC3573"/>
    <w:rsid w:val="00FC3798"/>
    <w:rsid w:val="00FC4F1C"/>
    <w:rsid w:val="00FC5C6B"/>
    <w:rsid w:val="00FC5E65"/>
    <w:rsid w:val="00FC6031"/>
    <w:rsid w:val="00FC64AF"/>
    <w:rsid w:val="00FC69B8"/>
    <w:rsid w:val="00FC6E73"/>
    <w:rsid w:val="00FC6F12"/>
    <w:rsid w:val="00FC72C9"/>
    <w:rsid w:val="00FD01B5"/>
    <w:rsid w:val="00FD0CC9"/>
    <w:rsid w:val="00FD507E"/>
    <w:rsid w:val="00FD50EA"/>
    <w:rsid w:val="00FD6F9F"/>
    <w:rsid w:val="00FD78DB"/>
    <w:rsid w:val="00FE0D6B"/>
    <w:rsid w:val="00FE19E0"/>
    <w:rsid w:val="00FE2B9F"/>
    <w:rsid w:val="00FE2DBB"/>
    <w:rsid w:val="00FE3ADA"/>
    <w:rsid w:val="00FE4339"/>
    <w:rsid w:val="00FE47AA"/>
    <w:rsid w:val="00FE51C9"/>
    <w:rsid w:val="00FE541A"/>
    <w:rsid w:val="00FE6A89"/>
    <w:rsid w:val="00FE6B82"/>
    <w:rsid w:val="00FE74DA"/>
    <w:rsid w:val="00FE78F0"/>
    <w:rsid w:val="00FE7EA4"/>
    <w:rsid w:val="00FF00FC"/>
    <w:rsid w:val="00FF0560"/>
    <w:rsid w:val="00FF1B16"/>
    <w:rsid w:val="00FF1B5B"/>
    <w:rsid w:val="00FF2759"/>
    <w:rsid w:val="00FF2F06"/>
    <w:rsid w:val="00FF3034"/>
    <w:rsid w:val="00FF3C6D"/>
    <w:rsid w:val="00FF4949"/>
    <w:rsid w:val="00FF4F3E"/>
    <w:rsid w:val="00FF53EF"/>
    <w:rsid w:val="00FF54B2"/>
    <w:rsid w:val="00FF5BC5"/>
    <w:rsid w:val="00FF5C8E"/>
    <w:rsid w:val="00FF6237"/>
    <w:rsid w:val="00FF71B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qFormat="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uiPriority="99"/>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DDD"/>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E86063"/>
    <w:pPr>
      <w:tabs>
        <w:tab w:val="left" w:pos="1202"/>
        <w:tab w:val="right" w:leader="dot" w:pos="9060"/>
      </w:tabs>
      <w:spacing w:before="60" w:after="0"/>
      <w:ind w:left="1701" w:hanging="567"/>
    </w:pPr>
    <w:rPr>
      <w:rFonts w:cs="Arial"/>
      <w:noProof/>
      <w:sz w:val="20"/>
      <w:lang w:val="en-US"/>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1E17FC"/>
    <w:pPr>
      <w:tabs>
        <w:tab w:val="right" w:leader="dot" w:pos="9060"/>
      </w:tabs>
      <w:spacing w:after="0"/>
      <w:ind w:left="567" w:hanging="567"/>
    </w:pPr>
    <w:rPr>
      <w:b/>
      <w:noProof/>
      <w:sz w:val="22"/>
    </w:rPr>
  </w:style>
  <w:style w:type="paragraph" w:styleId="TOC2">
    <w:name w:val="toc 2"/>
    <w:basedOn w:val="Normal"/>
    <w:next w:val="Normal"/>
    <w:autoRedefine/>
    <w:uiPriority w:val="39"/>
    <w:qFormat/>
    <w:locked/>
    <w:rsid w:val="00E86063"/>
    <w:pPr>
      <w:tabs>
        <w:tab w:val="right" w:leader="dot" w:pos="9060"/>
      </w:tabs>
      <w:spacing w:before="60" w:after="0"/>
      <w:ind w:left="1134" w:hanging="567"/>
    </w:pPr>
    <w:rPr>
      <w:i/>
      <w:noProof/>
      <w:sz w:val="20"/>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N"/>
    <w:basedOn w:val="Normal"/>
    <w:link w:val="FootnoteTextChar"/>
    <w:qFormat/>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uiPriority w:val="99"/>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CopyrightText">
    <w:name w:val="Copyright Text"/>
    <w:basedOn w:val="Normal"/>
    <w:uiPriority w:val="99"/>
    <w:rsid w:val="003E7823"/>
    <w:pPr>
      <w:widowControl w:val="0"/>
      <w:tabs>
        <w:tab w:val="left" w:pos="567"/>
      </w:tabs>
      <w:suppressAutoHyphens/>
      <w:autoSpaceDE w:val="0"/>
      <w:autoSpaceDN w:val="0"/>
      <w:adjustRightInd w:val="0"/>
      <w:spacing w:before="0" w:after="57" w:line="288" w:lineRule="auto"/>
      <w:textAlignment w:val="center"/>
    </w:pPr>
    <w:rPr>
      <w:rFonts w:eastAsiaTheme="minorEastAsia" w:cs="HelveticaCYPlain"/>
      <w:color w:val="000000"/>
      <w:sz w:val="18"/>
      <w:szCs w:val="16"/>
      <w:u w:color="000000"/>
    </w:rPr>
  </w:style>
  <w:style w:type="paragraph" w:styleId="ListParagraph">
    <w:name w:val="List Paragraph"/>
    <w:basedOn w:val="Normal"/>
    <w:uiPriority w:val="34"/>
    <w:qFormat/>
    <w:rsid w:val="000F2436"/>
    <w:pPr>
      <w:ind w:left="720"/>
      <w:contextualSpacing/>
    </w:pPr>
  </w:style>
  <w:style w:type="paragraph" w:customStyle="1" w:styleId="ListParaMargin">
    <w:name w:val="List Para Margin"/>
    <w:next w:val="Normal"/>
    <w:uiPriority w:val="99"/>
    <w:rsid w:val="0089598C"/>
    <w:pPr>
      <w:keepLines/>
      <w:widowControl w:val="0"/>
      <w:numPr>
        <w:numId w:val="18"/>
      </w:numPr>
      <w:tabs>
        <w:tab w:val="left" w:pos="567"/>
        <w:tab w:val="left" w:pos="850"/>
      </w:tabs>
      <w:suppressAutoHyphens/>
      <w:autoSpaceDE w:val="0"/>
      <w:autoSpaceDN w:val="0"/>
      <w:adjustRightInd w:val="0"/>
      <w:spacing w:after="200" w:line="288" w:lineRule="auto"/>
      <w:textAlignment w:val="center"/>
    </w:pPr>
    <w:rPr>
      <w:rFonts w:ascii="Arial" w:eastAsiaTheme="minorEastAsia" w:hAnsi="Arial" w:cs="HelveticaNeue"/>
      <w:color w:val="000000"/>
      <w:sz w:val="24"/>
      <w:szCs w:val="17"/>
      <w:lang w:val="en-US"/>
    </w:rPr>
  </w:style>
  <w:style w:type="character" w:customStyle="1" w:styleId="FootnoteTextChar">
    <w:name w:val="Footnote Text Char"/>
    <w:aliases w:val="Footnote Text Char1 Char Char1,Footnote Text Char Char Char Char1,Footnote Text Char Char Char Char Char Char Char Char Char Char Char Char1,Footnote Text Char Char Char Char Char Char Char Char Char1,Footnote Text Char2 Char Char"/>
    <w:basedOn w:val="DefaultParagraphFont"/>
    <w:link w:val="FootnoteText"/>
    <w:locked/>
    <w:rsid w:val="00F978F0"/>
    <w:rPr>
      <w:rFonts w:ascii="Arial" w:eastAsia="MS Mincho" w:hAnsi="Arial"/>
    </w:rPr>
  </w:style>
  <w:style w:type="character" w:customStyle="1" w:styleId="listing31">
    <w:name w:val="listing31"/>
    <w:basedOn w:val="DefaultParagraphFont"/>
    <w:rsid w:val="00F978F0"/>
    <w:rPr>
      <w:rFonts w:ascii="Verdana" w:hAnsi="Verdana" w:hint="default"/>
      <w:b/>
      <w:bCs/>
      <w:sz w:val="20"/>
      <w:szCs w:val="20"/>
    </w:rPr>
  </w:style>
  <w:style w:type="paragraph" w:customStyle="1" w:styleId="acthead5">
    <w:name w:val="acthead5"/>
    <w:basedOn w:val="Normal"/>
    <w:rsid w:val="00CC69B1"/>
    <w:pPr>
      <w:spacing w:before="100" w:beforeAutospacing="1" w:after="100" w:afterAutospacing="1"/>
    </w:pPr>
    <w:rPr>
      <w:rFonts w:ascii="Times New Roman" w:eastAsia="Times New Roman" w:hAnsi="Times New Roman"/>
    </w:rPr>
  </w:style>
  <w:style w:type="character" w:customStyle="1" w:styleId="charsectno">
    <w:name w:val="charsectno"/>
    <w:basedOn w:val="DefaultParagraphFont"/>
    <w:rsid w:val="00CC69B1"/>
  </w:style>
  <w:style w:type="paragraph" w:customStyle="1" w:styleId="subsection">
    <w:name w:val="subsection"/>
    <w:basedOn w:val="Normal"/>
    <w:rsid w:val="00CC69B1"/>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CC69B1"/>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CC69B1"/>
    <w:pPr>
      <w:spacing w:before="100" w:beforeAutospacing="1" w:after="100" w:afterAutospacing="1"/>
    </w:pPr>
    <w:rPr>
      <w:rFonts w:ascii="Times New Roman" w:eastAsia="Times New Roman" w:hAnsi="Times New Roman"/>
    </w:rPr>
  </w:style>
  <w:style w:type="paragraph" w:customStyle="1" w:styleId="definition">
    <w:name w:val="definition"/>
    <w:basedOn w:val="Normal"/>
    <w:rsid w:val="00CC69B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D0E45"/>
  </w:style>
  <w:style w:type="character" w:customStyle="1" w:styleId="bold">
    <w:name w:val="bold"/>
    <w:basedOn w:val="DefaultParagraphFont"/>
    <w:rsid w:val="00867DB7"/>
  </w:style>
  <w:style w:type="paragraph" w:customStyle="1" w:styleId="Pa20">
    <w:name w:val="Pa20"/>
    <w:basedOn w:val="Normal"/>
    <w:next w:val="Normal"/>
    <w:uiPriority w:val="99"/>
    <w:rsid w:val="00867DB7"/>
    <w:pPr>
      <w:autoSpaceDE w:val="0"/>
      <w:autoSpaceDN w:val="0"/>
      <w:adjustRightInd w:val="0"/>
      <w:spacing w:before="0" w:after="0" w:line="201" w:lineRule="atLeast"/>
    </w:pPr>
    <w:rPr>
      <w:rFonts w:ascii="Archer Book" w:eastAsia="Times New Roman" w:hAnsi="Archer Book"/>
    </w:rPr>
  </w:style>
  <w:style w:type="paragraph" w:customStyle="1" w:styleId="Pa29">
    <w:name w:val="Pa29"/>
    <w:basedOn w:val="Normal"/>
    <w:next w:val="Normal"/>
    <w:uiPriority w:val="99"/>
    <w:rsid w:val="00867DB7"/>
    <w:pPr>
      <w:autoSpaceDE w:val="0"/>
      <w:autoSpaceDN w:val="0"/>
      <w:adjustRightInd w:val="0"/>
      <w:spacing w:before="0" w:after="0" w:line="201" w:lineRule="atLeast"/>
    </w:pPr>
    <w:rPr>
      <w:rFonts w:ascii="Archer Book" w:eastAsia="Times New Roman" w:hAnsi="Archer Book"/>
    </w:rPr>
  </w:style>
  <w:style w:type="character" w:customStyle="1" w:styleId="FootnoteTextChar1">
    <w:name w:val="Footnote Text Char1"/>
    <w:aliases w:val="Footnote Text Char1 Char Char,Footnote Text Char Char Char Char,Footnote Text Char Char Char Char Char Char Char Char Char Char Char Char,Footnote Text Char Char Char Char Char Char Char Char Char,Footnote Text Char2 Char Char1"/>
    <w:uiPriority w:val="99"/>
    <w:locked/>
    <w:rsid w:val="00650586"/>
    <w:rPr>
      <w:rFonts w:ascii="Arial" w:hAnsi="Arial" w:cs="Arial"/>
      <w:sz w:val="18"/>
      <w:lang w:val="en-US" w:eastAsia="en-US"/>
    </w:rPr>
  </w:style>
  <w:style w:type="character" w:customStyle="1" w:styleId="FDLParagraphTextChar">
    <w:name w:val="FDL Paragraph Text Char"/>
    <w:link w:val="FDLParagraphText"/>
    <w:locked/>
    <w:rsid w:val="00650586"/>
    <w:rPr>
      <w:sz w:val="24"/>
      <w:szCs w:val="24"/>
    </w:rPr>
  </w:style>
  <w:style w:type="paragraph" w:customStyle="1" w:styleId="FDLParagraphText">
    <w:name w:val="FDL Paragraph Text"/>
    <w:basedOn w:val="Normal"/>
    <w:link w:val="FDLParagraphTextChar"/>
    <w:rsid w:val="00650586"/>
    <w:pPr>
      <w:spacing w:before="120" w:after="120"/>
      <w:jc w:val="both"/>
    </w:pPr>
    <w:rPr>
      <w:rFonts w:ascii="Times New Roman" w:eastAsia="Times New Roman" w:hAnsi="Times New Roman"/>
    </w:rPr>
  </w:style>
  <w:style w:type="character" w:customStyle="1" w:styleId="FDLQuotationTextChar">
    <w:name w:val="FDL Quotation Text Char"/>
    <w:link w:val="FDLQuotationText"/>
    <w:locked/>
    <w:rsid w:val="00F113F2"/>
    <w:rPr>
      <w:rFonts w:ascii="Arial" w:hAnsi="Arial" w:cs="Arial"/>
      <w:sz w:val="22"/>
      <w:szCs w:val="22"/>
    </w:rPr>
  </w:style>
  <w:style w:type="paragraph" w:customStyle="1" w:styleId="FDLQuotationText">
    <w:name w:val="FDL Quotation Text"/>
    <w:basedOn w:val="FDLParagraphText"/>
    <w:next w:val="FDLParagraphText"/>
    <w:link w:val="FDLQuotationTextChar"/>
    <w:autoRedefine/>
    <w:rsid w:val="00F113F2"/>
    <w:pPr>
      <w:spacing w:before="60" w:after="60"/>
      <w:ind w:left="571"/>
    </w:pPr>
    <w:rPr>
      <w:rFonts w:ascii="Arial" w:hAnsi="Arial" w:cs="Arial"/>
      <w:sz w:val="22"/>
      <w:szCs w:val="22"/>
    </w:rPr>
  </w:style>
  <w:style w:type="paragraph" w:customStyle="1" w:styleId="loose1">
    <w:name w:val="loose1"/>
    <w:basedOn w:val="Normal"/>
    <w:rsid w:val="00C1563D"/>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locked/>
    <w:rsid w:val="0041672C"/>
    <w:rPr>
      <w:sz w:val="16"/>
      <w:szCs w:val="16"/>
    </w:rPr>
  </w:style>
  <w:style w:type="paragraph" w:styleId="CommentText">
    <w:name w:val="annotation text"/>
    <w:basedOn w:val="Normal"/>
    <w:link w:val="CommentTextChar"/>
    <w:locked/>
    <w:rsid w:val="0041672C"/>
    <w:rPr>
      <w:rFonts w:eastAsia="Times New Roman"/>
      <w:sz w:val="20"/>
      <w:szCs w:val="20"/>
    </w:rPr>
  </w:style>
  <w:style w:type="character" w:customStyle="1" w:styleId="CommentTextChar">
    <w:name w:val="Comment Text Char"/>
    <w:basedOn w:val="DefaultParagraphFont"/>
    <w:link w:val="CommentText"/>
    <w:rsid w:val="0041672C"/>
    <w:rPr>
      <w:rFonts w:ascii="Arial" w:hAnsi="Arial"/>
    </w:rPr>
  </w:style>
  <w:style w:type="paragraph" w:styleId="CommentSubject">
    <w:name w:val="annotation subject"/>
    <w:basedOn w:val="CommentText"/>
    <w:next w:val="CommentText"/>
    <w:link w:val="CommentSubjectChar"/>
    <w:locked/>
    <w:rsid w:val="00FE2DBB"/>
    <w:rPr>
      <w:rFonts w:eastAsia="MS Mincho"/>
      <w:b/>
      <w:bCs/>
    </w:rPr>
  </w:style>
  <w:style w:type="character" w:customStyle="1" w:styleId="CommentSubjectChar">
    <w:name w:val="Comment Subject Char"/>
    <w:basedOn w:val="CommentTextChar"/>
    <w:link w:val="CommentSubject"/>
    <w:rsid w:val="00FE2DBB"/>
    <w:rPr>
      <w:rFonts w:ascii="Arial" w:eastAsia="MS Mincho" w:hAnsi="Arial"/>
      <w:b/>
      <w:bCs/>
    </w:rPr>
  </w:style>
  <w:style w:type="character" w:customStyle="1" w:styleId="hit">
    <w:name w:val="hit"/>
    <w:basedOn w:val="DefaultParagraphFont"/>
    <w:rsid w:val="00F70D2F"/>
  </w:style>
  <w:style w:type="paragraph" w:styleId="Revision">
    <w:name w:val="Revision"/>
    <w:hidden/>
    <w:uiPriority w:val="99"/>
    <w:semiHidden/>
    <w:rsid w:val="00E31F16"/>
    <w:rPr>
      <w:rFonts w:ascii="Arial" w:eastAsia="MS Mincho" w:hAnsi="Arial"/>
      <w:sz w:val="24"/>
      <w:szCs w:val="24"/>
    </w:rPr>
  </w:style>
  <w:style w:type="paragraph" w:customStyle="1" w:styleId="VEOHRCListBullet">
    <w:name w:val="VEOHRC List Bullet"/>
    <w:basedOn w:val="Normal"/>
    <w:link w:val="VEOHRCListBulletChar"/>
    <w:rsid w:val="0005171C"/>
    <w:pPr>
      <w:numPr>
        <w:numId w:val="44"/>
      </w:numPr>
      <w:spacing w:before="0" w:after="60" w:line="240" w:lineRule="atLeast"/>
    </w:pPr>
    <w:rPr>
      <w:rFonts w:eastAsia="Times New Roman"/>
    </w:rPr>
  </w:style>
  <w:style w:type="paragraph" w:customStyle="1" w:styleId="VEOHRCListBullet2ndlevel">
    <w:name w:val="VEOHRC List Bullet 2nd level"/>
    <w:basedOn w:val="VEOHRCListBullet"/>
    <w:rsid w:val="0005171C"/>
    <w:pPr>
      <w:numPr>
        <w:numId w:val="0"/>
      </w:numPr>
      <w:tabs>
        <w:tab w:val="num" w:pos="360"/>
      </w:tabs>
      <w:ind w:left="360" w:hanging="360"/>
    </w:pPr>
  </w:style>
  <w:style w:type="character" w:customStyle="1" w:styleId="VEOHRCListBulletChar">
    <w:name w:val="VEOHRC List Bullet Char"/>
    <w:basedOn w:val="DefaultParagraphFont"/>
    <w:link w:val="VEOHRCListBullet"/>
    <w:rsid w:val="0005171C"/>
    <w:rPr>
      <w:rFonts w:ascii="Arial" w:hAnsi="Arial"/>
      <w:sz w:val="24"/>
      <w:szCs w:val="24"/>
    </w:rPr>
  </w:style>
  <w:style w:type="paragraph" w:customStyle="1" w:styleId="paragraphsub">
    <w:name w:val="paragraphsub"/>
    <w:basedOn w:val="Normal"/>
    <w:rsid w:val="005C4901"/>
    <w:pPr>
      <w:spacing w:before="100" w:beforeAutospacing="1" w:after="100" w:afterAutospacing="1"/>
    </w:pPr>
    <w:rPr>
      <w:rFonts w:ascii="Times New Roman" w:eastAsia="Times New Roman" w:hAnsi="Times New Roman"/>
    </w:rPr>
  </w:style>
  <w:style w:type="paragraph" w:customStyle="1" w:styleId="Default">
    <w:name w:val="Default"/>
    <w:rsid w:val="00354A35"/>
    <w:pPr>
      <w:autoSpaceDE w:val="0"/>
      <w:autoSpaceDN w:val="0"/>
      <w:adjustRightInd w:val="0"/>
    </w:pPr>
    <w:rPr>
      <w:rFonts w:ascii="ELKZSS+HelveticaCYPlain" w:hAnsi="ELKZSS+HelveticaCYPlain" w:cs="ELKZSS+HelveticaCYPlain"/>
      <w:color w:val="000000"/>
      <w:sz w:val="24"/>
      <w:szCs w:val="24"/>
    </w:rPr>
  </w:style>
  <w:style w:type="paragraph" w:customStyle="1" w:styleId="Pa3">
    <w:name w:val="Pa3"/>
    <w:basedOn w:val="Default"/>
    <w:next w:val="Default"/>
    <w:uiPriority w:val="99"/>
    <w:rsid w:val="00354A35"/>
    <w:pPr>
      <w:spacing w:line="161" w:lineRule="atLeast"/>
    </w:pPr>
    <w:rPr>
      <w:rFonts w:cs="Times New Roman"/>
      <w:color w:val="auto"/>
    </w:rPr>
  </w:style>
  <w:style w:type="character" w:customStyle="1" w:styleId="A4">
    <w:name w:val="A4"/>
    <w:uiPriority w:val="99"/>
    <w:rsid w:val="00354A35"/>
    <w:rPr>
      <w:rFonts w:cs="ELKZSS+HelveticaCYPlain"/>
      <w:color w:val="000000"/>
      <w:sz w:val="16"/>
      <w:szCs w:val="16"/>
    </w:rPr>
  </w:style>
  <w:style w:type="paragraph" w:customStyle="1" w:styleId="Pa8">
    <w:name w:val="Pa8"/>
    <w:basedOn w:val="Default"/>
    <w:next w:val="Default"/>
    <w:uiPriority w:val="99"/>
    <w:rsid w:val="00354A35"/>
    <w:pPr>
      <w:spacing w:line="161" w:lineRule="atLeast"/>
    </w:pPr>
    <w:rPr>
      <w:rFonts w:cs="Times New Roman"/>
      <w:color w:val="auto"/>
    </w:rPr>
  </w:style>
  <w:style w:type="paragraph" w:customStyle="1" w:styleId="Pa9">
    <w:name w:val="Pa9"/>
    <w:basedOn w:val="Default"/>
    <w:next w:val="Default"/>
    <w:uiPriority w:val="99"/>
    <w:rsid w:val="00354A35"/>
    <w:pPr>
      <w:spacing w:line="161" w:lineRule="atLeast"/>
    </w:pPr>
    <w:rPr>
      <w:rFonts w:cs="Times New Roman"/>
      <w:color w:val="auto"/>
    </w:rPr>
  </w:style>
  <w:style w:type="paragraph" w:customStyle="1" w:styleId="Pa10">
    <w:name w:val="Pa10"/>
    <w:basedOn w:val="Default"/>
    <w:next w:val="Default"/>
    <w:uiPriority w:val="99"/>
    <w:rsid w:val="00354A35"/>
    <w:pPr>
      <w:spacing w:line="241" w:lineRule="atLeast"/>
    </w:pPr>
    <w:rPr>
      <w:rFonts w:cs="Times New Roman"/>
      <w:color w:val="auto"/>
    </w:rPr>
  </w:style>
  <w:style w:type="character" w:customStyle="1" w:styleId="profile-staff-orgarea">
    <w:name w:val="profile-staff-orgarea"/>
    <w:basedOn w:val="DefaultParagraphFont"/>
    <w:rsid w:val="00184A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qFormat="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uiPriority="99"/>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DDD"/>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E86063"/>
    <w:pPr>
      <w:tabs>
        <w:tab w:val="left" w:pos="1202"/>
        <w:tab w:val="right" w:leader="dot" w:pos="9060"/>
      </w:tabs>
      <w:spacing w:before="60" w:after="0"/>
      <w:ind w:left="1701" w:hanging="567"/>
    </w:pPr>
    <w:rPr>
      <w:rFonts w:cs="Arial"/>
      <w:noProof/>
      <w:sz w:val="20"/>
      <w:lang w:val="en-US"/>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1E17FC"/>
    <w:pPr>
      <w:tabs>
        <w:tab w:val="right" w:leader="dot" w:pos="9060"/>
      </w:tabs>
      <w:spacing w:after="0"/>
      <w:ind w:left="567" w:hanging="567"/>
    </w:pPr>
    <w:rPr>
      <w:b/>
      <w:noProof/>
      <w:sz w:val="22"/>
    </w:rPr>
  </w:style>
  <w:style w:type="paragraph" w:styleId="TOC2">
    <w:name w:val="toc 2"/>
    <w:basedOn w:val="Normal"/>
    <w:next w:val="Normal"/>
    <w:autoRedefine/>
    <w:uiPriority w:val="39"/>
    <w:qFormat/>
    <w:locked/>
    <w:rsid w:val="00E86063"/>
    <w:pPr>
      <w:tabs>
        <w:tab w:val="right" w:leader="dot" w:pos="9060"/>
      </w:tabs>
      <w:spacing w:before="60" w:after="0"/>
      <w:ind w:left="1134" w:hanging="567"/>
    </w:pPr>
    <w:rPr>
      <w:i/>
      <w:noProof/>
      <w:sz w:val="20"/>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N"/>
    <w:basedOn w:val="Normal"/>
    <w:link w:val="FootnoteTextChar"/>
    <w:qFormat/>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uiPriority w:val="99"/>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CopyrightText">
    <w:name w:val="Copyright Text"/>
    <w:basedOn w:val="Normal"/>
    <w:uiPriority w:val="99"/>
    <w:rsid w:val="003E7823"/>
    <w:pPr>
      <w:widowControl w:val="0"/>
      <w:tabs>
        <w:tab w:val="left" w:pos="567"/>
      </w:tabs>
      <w:suppressAutoHyphens/>
      <w:autoSpaceDE w:val="0"/>
      <w:autoSpaceDN w:val="0"/>
      <w:adjustRightInd w:val="0"/>
      <w:spacing w:before="0" w:after="57" w:line="288" w:lineRule="auto"/>
      <w:textAlignment w:val="center"/>
    </w:pPr>
    <w:rPr>
      <w:rFonts w:eastAsiaTheme="minorEastAsia" w:cs="HelveticaCYPlain"/>
      <w:color w:val="000000"/>
      <w:sz w:val="18"/>
      <w:szCs w:val="16"/>
      <w:u w:color="000000"/>
    </w:rPr>
  </w:style>
  <w:style w:type="paragraph" w:styleId="ListParagraph">
    <w:name w:val="List Paragraph"/>
    <w:basedOn w:val="Normal"/>
    <w:uiPriority w:val="34"/>
    <w:qFormat/>
    <w:rsid w:val="000F2436"/>
    <w:pPr>
      <w:ind w:left="720"/>
      <w:contextualSpacing/>
    </w:pPr>
  </w:style>
  <w:style w:type="paragraph" w:customStyle="1" w:styleId="ListParaMargin">
    <w:name w:val="List Para Margin"/>
    <w:next w:val="Normal"/>
    <w:uiPriority w:val="99"/>
    <w:rsid w:val="0089598C"/>
    <w:pPr>
      <w:keepLines/>
      <w:widowControl w:val="0"/>
      <w:numPr>
        <w:numId w:val="18"/>
      </w:numPr>
      <w:tabs>
        <w:tab w:val="left" w:pos="567"/>
        <w:tab w:val="left" w:pos="850"/>
      </w:tabs>
      <w:suppressAutoHyphens/>
      <w:autoSpaceDE w:val="0"/>
      <w:autoSpaceDN w:val="0"/>
      <w:adjustRightInd w:val="0"/>
      <w:spacing w:after="200" w:line="288" w:lineRule="auto"/>
      <w:textAlignment w:val="center"/>
    </w:pPr>
    <w:rPr>
      <w:rFonts w:ascii="Arial" w:eastAsiaTheme="minorEastAsia" w:hAnsi="Arial" w:cs="HelveticaNeue"/>
      <w:color w:val="000000"/>
      <w:sz w:val="24"/>
      <w:szCs w:val="17"/>
      <w:lang w:val="en-US"/>
    </w:rPr>
  </w:style>
  <w:style w:type="character" w:customStyle="1" w:styleId="FootnoteTextChar">
    <w:name w:val="Footnote Text Char"/>
    <w:aliases w:val="Footnote Text Char1 Char Char1,Footnote Text Char Char Char Char1,Footnote Text Char Char Char Char Char Char Char Char Char Char Char Char1,Footnote Text Char Char Char Char Char Char Char Char Char1,Footnote Text Char2 Char Char"/>
    <w:basedOn w:val="DefaultParagraphFont"/>
    <w:link w:val="FootnoteText"/>
    <w:locked/>
    <w:rsid w:val="00F978F0"/>
    <w:rPr>
      <w:rFonts w:ascii="Arial" w:eastAsia="MS Mincho" w:hAnsi="Arial"/>
    </w:rPr>
  </w:style>
  <w:style w:type="character" w:customStyle="1" w:styleId="listing31">
    <w:name w:val="listing31"/>
    <w:basedOn w:val="DefaultParagraphFont"/>
    <w:rsid w:val="00F978F0"/>
    <w:rPr>
      <w:rFonts w:ascii="Verdana" w:hAnsi="Verdana" w:hint="default"/>
      <w:b/>
      <w:bCs/>
      <w:sz w:val="20"/>
      <w:szCs w:val="20"/>
    </w:rPr>
  </w:style>
  <w:style w:type="paragraph" w:customStyle="1" w:styleId="acthead5">
    <w:name w:val="acthead5"/>
    <w:basedOn w:val="Normal"/>
    <w:rsid w:val="00CC69B1"/>
    <w:pPr>
      <w:spacing w:before="100" w:beforeAutospacing="1" w:after="100" w:afterAutospacing="1"/>
    </w:pPr>
    <w:rPr>
      <w:rFonts w:ascii="Times New Roman" w:eastAsia="Times New Roman" w:hAnsi="Times New Roman"/>
    </w:rPr>
  </w:style>
  <w:style w:type="character" w:customStyle="1" w:styleId="charsectno">
    <w:name w:val="charsectno"/>
    <w:basedOn w:val="DefaultParagraphFont"/>
    <w:rsid w:val="00CC69B1"/>
  </w:style>
  <w:style w:type="paragraph" w:customStyle="1" w:styleId="subsection">
    <w:name w:val="subsection"/>
    <w:basedOn w:val="Normal"/>
    <w:rsid w:val="00CC69B1"/>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CC69B1"/>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CC69B1"/>
    <w:pPr>
      <w:spacing w:before="100" w:beforeAutospacing="1" w:after="100" w:afterAutospacing="1"/>
    </w:pPr>
    <w:rPr>
      <w:rFonts w:ascii="Times New Roman" w:eastAsia="Times New Roman" w:hAnsi="Times New Roman"/>
    </w:rPr>
  </w:style>
  <w:style w:type="paragraph" w:customStyle="1" w:styleId="definition">
    <w:name w:val="definition"/>
    <w:basedOn w:val="Normal"/>
    <w:rsid w:val="00CC69B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D0E45"/>
  </w:style>
  <w:style w:type="character" w:customStyle="1" w:styleId="bold">
    <w:name w:val="bold"/>
    <w:basedOn w:val="DefaultParagraphFont"/>
    <w:rsid w:val="00867DB7"/>
  </w:style>
  <w:style w:type="paragraph" w:customStyle="1" w:styleId="Pa20">
    <w:name w:val="Pa20"/>
    <w:basedOn w:val="Normal"/>
    <w:next w:val="Normal"/>
    <w:uiPriority w:val="99"/>
    <w:rsid w:val="00867DB7"/>
    <w:pPr>
      <w:autoSpaceDE w:val="0"/>
      <w:autoSpaceDN w:val="0"/>
      <w:adjustRightInd w:val="0"/>
      <w:spacing w:before="0" w:after="0" w:line="201" w:lineRule="atLeast"/>
    </w:pPr>
    <w:rPr>
      <w:rFonts w:ascii="Archer Book" w:eastAsia="Times New Roman" w:hAnsi="Archer Book"/>
    </w:rPr>
  </w:style>
  <w:style w:type="paragraph" w:customStyle="1" w:styleId="Pa29">
    <w:name w:val="Pa29"/>
    <w:basedOn w:val="Normal"/>
    <w:next w:val="Normal"/>
    <w:uiPriority w:val="99"/>
    <w:rsid w:val="00867DB7"/>
    <w:pPr>
      <w:autoSpaceDE w:val="0"/>
      <w:autoSpaceDN w:val="0"/>
      <w:adjustRightInd w:val="0"/>
      <w:spacing w:before="0" w:after="0" w:line="201" w:lineRule="atLeast"/>
    </w:pPr>
    <w:rPr>
      <w:rFonts w:ascii="Archer Book" w:eastAsia="Times New Roman" w:hAnsi="Archer Book"/>
    </w:rPr>
  </w:style>
  <w:style w:type="character" w:customStyle="1" w:styleId="FootnoteTextChar1">
    <w:name w:val="Footnote Text Char1"/>
    <w:aliases w:val="Footnote Text Char1 Char Char,Footnote Text Char Char Char Char,Footnote Text Char Char Char Char Char Char Char Char Char Char Char Char,Footnote Text Char Char Char Char Char Char Char Char Char,Footnote Text Char2 Char Char1"/>
    <w:uiPriority w:val="99"/>
    <w:locked/>
    <w:rsid w:val="00650586"/>
    <w:rPr>
      <w:rFonts w:ascii="Arial" w:hAnsi="Arial" w:cs="Arial"/>
      <w:sz w:val="18"/>
      <w:lang w:val="en-US" w:eastAsia="en-US"/>
    </w:rPr>
  </w:style>
  <w:style w:type="character" w:customStyle="1" w:styleId="FDLParagraphTextChar">
    <w:name w:val="FDL Paragraph Text Char"/>
    <w:link w:val="FDLParagraphText"/>
    <w:locked/>
    <w:rsid w:val="00650586"/>
    <w:rPr>
      <w:sz w:val="24"/>
      <w:szCs w:val="24"/>
    </w:rPr>
  </w:style>
  <w:style w:type="paragraph" w:customStyle="1" w:styleId="FDLParagraphText">
    <w:name w:val="FDL Paragraph Text"/>
    <w:basedOn w:val="Normal"/>
    <w:link w:val="FDLParagraphTextChar"/>
    <w:rsid w:val="00650586"/>
    <w:pPr>
      <w:spacing w:before="120" w:after="120"/>
      <w:jc w:val="both"/>
    </w:pPr>
    <w:rPr>
      <w:rFonts w:ascii="Times New Roman" w:eastAsia="Times New Roman" w:hAnsi="Times New Roman"/>
    </w:rPr>
  </w:style>
  <w:style w:type="character" w:customStyle="1" w:styleId="FDLQuotationTextChar">
    <w:name w:val="FDL Quotation Text Char"/>
    <w:link w:val="FDLQuotationText"/>
    <w:locked/>
    <w:rsid w:val="00F113F2"/>
    <w:rPr>
      <w:rFonts w:ascii="Arial" w:hAnsi="Arial" w:cs="Arial"/>
      <w:sz w:val="22"/>
      <w:szCs w:val="22"/>
    </w:rPr>
  </w:style>
  <w:style w:type="paragraph" w:customStyle="1" w:styleId="FDLQuotationText">
    <w:name w:val="FDL Quotation Text"/>
    <w:basedOn w:val="FDLParagraphText"/>
    <w:next w:val="FDLParagraphText"/>
    <w:link w:val="FDLQuotationTextChar"/>
    <w:autoRedefine/>
    <w:rsid w:val="00F113F2"/>
    <w:pPr>
      <w:spacing w:before="60" w:after="60"/>
      <w:ind w:left="571"/>
    </w:pPr>
    <w:rPr>
      <w:rFonts w:ascii="Arial" w:hAnsi="Arial" w:cs="Arial"/>
      <w:sz w:val="22"/>
      <w:szCs w:val="22"/>
    </w:rPr>
  </w:style>
  <w:style w:type="paragraph" w:customStyle="1" w:styleId="loose1">
    <w:name w:val="loose1"/>
    <w:basedOn w:val="Normal"/>
    <w:rsid w:val="00C1563D"/>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locked/>
    <w:rsid w:val="0041672C"/>
    <w:rPr>
      <w:sz w:val="16"/>
      <w:szCs w:val="16"/>
    </w:rPr>
  </w:style>
  <w:style w:type="paragraph" w:styleId="CommentText">
    <w:name w:val="annotation text"/>
    <w:basedOn w:val="Normal"/>
    <w:link w:val="CommentTextChar"/>
    <w:locked/>
    <w:rsid w:val="0041672C"/>
    <w:rPr>
      <w:rFonts w:eastAsia="Times New Roman"/>
      <w:sz w:val="20"/>
      <w:szCs w:val="20"/>
    </w:rPr>
  </w:style>
  <w:style w:type="character" w:customStyle="1" w:styleId="CommentTextChar">
    <w:name w:val="Comment Text Char"/>
    <w:basedOn w:val="DefaultParagraphFont"/>
    <w:link w:val="CommentText"/>
    <w:rsid w:val="0041672C"/>
    <w:rPr>
      <w:rFonts w:ascii="Arial" w:hAnsi="Arial"/>
    </w:rPr>
  </w:style>
  <w:style w:type="paragraph" w:styleId="CommentSubject">
    <w:name w:val="annotation subject"/>
    <w:basedOn w:val="CommentText"/>
    <w:next w:val="CommentText"/>
    <w:link w:val="CommentSubjectChar"/>
    <w:locked/>
    <w:rsid w:val="00FE2DBB"/>
    <w:rPr>
      <w:rFonts w:eastAsia="MS Mincho"/>
      <w:b/>
      <w:bCs/>
    </w:rPr>
  </w:style>
  <w:style w:type="character" w:customStyle="1" w:styleId="CommentSubjectChar">
    <w:name w:val="Comment Subject Char"/>
    <w:basedOn w:val="CommentTextChar"/>
    <w:link w:val="CommentSubject"/>
    <w:rsid w:val="00FE2DBB"/>
    <w:rPr>
      <w:rFonts w:ascii="Arial" w:eastAsia="MS Mincho" w:hAnsi="Arial"/>
      <w:b/>
      <w:bCs/>
    </w:rPr>
  </w:style>
  <w:style w:type="character" w:customStyle="1" w:styleId="hit">
    <w:name w:val="hit"/>
    <w:basedOn w:val="DefaultParagraphFont"/>
    <w:rsid w:val="00F70D2F"/>
  </w:style>
  <w:style w:type="paragraph" w:styleId="Revision">
    <w:name w:val="Revision"/>
    <w:hidden/>
    <w:uiPriority w:val="99"/>
    <w:semiHidden/>
    <w:rsid w:val="00E31F16"/>
    <w:rPr>
      <w:rFonts w:ascii="Arial" w:eastAsia="MS Mincho" w:hAnsi="Arial"/>
      <w:sz w:val="24"/>
      <w:szCs w:val="24"/>
    </w:rPr>
  </w:style>
  <w:style w:type="paragraph" w:customStyle="1" w:styleId="VEOHRCListBullet">
    <w:name w:val="VEOHRC List Bullet"/>
    <w:basedOn w:val="Normal"/>
    <w:link w:val="VEOHRCListBulletChar"/>
    <w:rsid w:val="0005171C"/>
    <w:pPr>
      <w:numPr>
        <w:numId w:val="44"/>
      </w:numPr>
      <w:spacing w:before="0" w:after="60" w:line="240" w:lineRule="atLeast"/>
    </w:pPr>
    <w:rPr>
      <w:rFonts w:eastAsia="Times New Roman"/>
    </w:rPr>
  </w:style>
  <w:style w:type="paragraph" w:customStyle="1" w:styleId="VEOHRCListBullet2ndlevel">
    <w:name w:val="VEOHRC List Bullet 2nd level"/>
    <w:basedOn w:val="VEOHRCListBullet"/>
    <w:rsid w:val="0005171C"/>
    <w:pPr>
      <w:numPr>
        <w:numId w:val="0"/>
      </w:numPr>
      <w:tabs>
        <w:tab w:val="num" w:pos="360"/>
      </w:tabs>
      <w:ind w:left="360" w:hanging="360"/>
    </w:pPr>
  </w:style>
  <w:style w:type="character" w:customStyle="1" w:styleId="VEOHRCListBulletChar">
    <w:name w:val="VEOHRC List Bullet Char"/>
    <w:basedOn w:val="DefaultParagraphFont"/>
    <w:link w:val="VEOHRCListBullet"/>
    <w:rsid w:val="0005171C"/>
    <w:rPr>
      <w:rFonts w:ascii="Arial" w:hAnsi="Arial"/>
      <w:sz w:val="24"/>
      <w:szCs w:val="24"/>
    </w:rPr>
  </w:style>
  <w:style w:type="paragraph" w:customStyle="1" w:styleId="paragraphsub">
    <w:name w:val="paragraphsub"/>
    <w:basedOn w:val="Normal"/>
    <w:rsid w:val="005C4901"/>
    <w:pPr>
      <w:spacing w:before="100" w:beforeAutospacing="1" w:after="100" w:afterAutospacing="1"/>
    </w:pPr>
    <w:rPr>
      <w:rFonts w:ascii="Times New Roman" w:eastAsia="Times New Roman" w:hAnsi="Times New Roman"/>
    </w:rPr>
  </w:style>
  <w:style w:type="paragraph" w:customStyle="1" w:styleId="Default">
    <w:name w:val="Default"/>
    <w:rsid w:val="00354A35"/>
    <w:pPr>
      <w:autoSpaceDE w:val="0"/>
      <w:autoSpaceDN w:val="0"/>
      <w:adjustRightInd w:val="0"/>
    </w:pPr>
    <w:rPr>
      <w:rFonts w:ascii="ELKZSS+HelveticaCYPlain" w:hAnsi="ELKZSS+HelveticaCYPlain" w:cs="ELKZSS+HelveticaCYPlain"/>
      <w:color w:val="000000"/>
      <w:sz w:val="24"/>
      <w:szCs w:val="24"/>
    </w:rPr>
  </w:style>
  <w:style w:type="paragraph" w:customStyle="1" w:styleId="Pa3">
    <w:name w:val="Pa3"/>
    <w:basedOn w:val="Default"/>
    <w:next w:val="Default"/>
    <w:uiPriority w:val="99"/>
    <w:rsid w:val="00354A35"/>
    <w:pPr>
      <w:spacing w:line="161" w:lineRule="atLeast"/>
    </w:pPr>
    <w:rPr>
      <w:rFonts w:cs="Times New Roman"/>
      <w:color w:val="auto"/>
    </w:rPr>
  </w:style>
  <w:style w:type="character" w:customStyle="1" w:styleId="A4">
    <w:name w:val="A4"/>
    <w:uiPriority w:val="99"/>
    <w:rsid w:val="00354A35"/>
    <w:rPr>
      <w:rFonts w:cs="ELKZSS+HelveticaCYPlain"/>
      <w:color w:val="000000"/>
      <w:sz w:val="16"/>
      <w:szCs w:val="16"/>
    </w:rPr>
  </w:style>
  <w:style w:type="paragraph" w:customStyle="1" w:styleId="Pa8">
    <w:name w:val="Pa8"/>
    <w:basedOn w:val="Default"/>
    <w:next w:val="Default"/>
    <w:uiPriority w:val="99"/>
    <w:rsid w:val="00354A35"/>
    <w:pPr>
      <w:spacing w:line="161" w:lineRule="atLeast"/>
    </w:pPr>
    <w:rPr>
      <w:rFonts w:cs="Times New Roman"/>
      <w:color w:val="auto"/>
    </w:rPr>
  </w:style>
  <w:style w:type="paragraph" w:customStyle="1" w:styleId="Pa9">
    <w:name w:val="Pa9"/>
    <w:basedOn w:val="Default"/>
    <w:next w:val="Default"/>
    <w:uiPriority w:val="99"/>
    <w:rsid w:val="00354A35"/>
    <w:pPr>
      <w:spacing w:line="161" w:lineRule="atLeast"/>
    </w:pPr>
    <w:rPr>
      <w:rFonts w:cs="Times New Roman"/>
      <w:color w:val="auto"/>
    </w:rPr>
  </w:style>
  <w:style w:type="paragraph" w:customStyle="1" w:styleId="Pa10">
    <w:name w:val="Pa10"/>
    <w:basedOn w:val="Default"/>
    <w:next w:val="Default"/>
    <w:uiPriority w:val="99"/>
    <w:rsid w:val="00354A35"/>
    <w:pPr>
      <w:spacing w:line="241" w:lineRule="atLeast"/>
    </w:pPr>
    <w:rPr>
      <w:rFonts w:cs="Times New Roman"/>
      <w:color w:val="auto"/>
    </w:rPr>
  </w:style>
  <w:style w:type="character" w:customStyle="1" w:styleId="profile-staff-orgarea">
    <w:name w:val="profile-staff-orgarea"/>
    <w:basedOn w:val="DefaultParagraphFont"/>
    <w:rsid w:val="00184A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387">
      <w:bodyDiv w:val="1"/>
      <w:marLeft w:val="0"/>
      <w:marRight w:val="0"/>
      <w:marTop w:val="0"/>
      <w:marBottom w:val="0"/>
      <w:divBdr>
        <w:top w:val="none" w:sz="0" w:space="0" w:color="auto"/>
        <w:left w:val="none" w:sz="0" w:space="0" w:color="auto"/>
        <w:bottom w:val="none" w:sz="0" w:space="0" w:color="auto"/>
        <w:right w:val="none" w:sz="0" w:space="0" w:color="auto"/>
      </w:divBdr>
    </w:div>
    <w:div w:id="403113596">
      <w:bodyDiv w:val="1"/>
      <w:marLeft w:val="0"/>
      <w:marRight w:val="0"/>
      <w:marTop w:val="0"/>
      <w:marBottom w:val="0"/>
      <w:divBdr>
        <w:top w:val="none" w:sz="0" w:space="0" w:color="auto"/>
        <w:left w:val="none" w:sz="0" w:space="0" w:color="auto"/>
        <w:bottom w:val="none" w:sz="0" w:space="0" w:color="auto"/>
        <w:right w:val="none" w:sz="0" w:space="0" w:color="auto"/>
      </w:divBdr>
    </w:div>
    <w:div w:id="454953556">
      <w:bodyDiv w:val="1"/>
      <w:marLeft w:val="0"/>
      <w:marRight w:val="0"/>
      <w:marTop w:val="0"/>
      <w:marBottom w:val="0"/>
      <w:divBdr>
        <w:top w:val="none" w:sz="0" w:space="0" w:color="auto"/>
        <w:left w:val="none" w:sz="0" w:space="0" w:color="auto"/>
        <w:bottom w:val="none" w:sz="0" w:space="0" w:color="auto"/>
        <w:right w:val="none" w:sz="0" w:space="0" w:color="auto"/>
      </w:divBdr>
    </w:div>
    <w:div w:id="484709659">
      <w:bodyDiv w:val="1"/>
      <w:marLeft w:val="0"/>
      <w:marRight w:val="0"/>
      <w:marTop w:val="0"/>
      <w:marBottom w:val="0"/>
      <w:divBdr>
        <w:top w:val="none" w:sz="0" w:space="0" w:color="auto"/>
        <w:left w:val="none" w:sz="0" w:space="0" w:color="auto"/>
        <w:bottom w:val="none" w:sz="0" w:space="0" w:color="auto"/>
        <w:right w:val="none" w:sz="0" w:space="0" w:color="auto"/>
      </w:divBdr>
    </w:div>
    <w:div w:id="60053363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1121088">
      <w:bodyDiv w:val="1"/>
      <w:marLeft w:val="0"/>
      <w:marRight w:val="0"/>
      <w:marTop w:val="0"/>
      <w:marBottom w:val="0"/>
      <w:divBdr>
        <w:top w:val="none" w:sz="0" w:space="0" w:color="auto"/>
        <w:left w:val="none" w:sz="0" w:space="0" w:color="auto"/>
        <w:bottom w:val="none" w:sz="0" w:space="0" w:color="auto"/>
        <w:right w:val="none" w:sz="0" w:space="0" w:color="auto"/>
      </w:divBdr>
      <w:divsChild>
        <w:div w:id="306127050">
          <w:marLeft w:val="0"/>
          <w:marRight w:val="0"/>
          <w:marTop w:val="0"/>
          <w:marBottom w:val="0"/>
          <w:divBdr>
            <w:top w:val="none" w:sz="0" w:space="0" w:color="auto"/>
            <w:left w:val="none" w:sz="0" w:space="0" w:color="auto"/>
            <w:bottom w:val="none" w:sz="0" w:space="0" w:color="auto"/>
            <w:right w:val="none" w:sz="0" w:space="0" w:color="auto"/>
          </w:divBdr>
        </w:div>
        <w:div w:id="1970015488">
          <w:marLeft w:val="0"/>
          <w:marRight w:val="0"/>
          <w:marTop w:val="0"/>
          <w:marBottom w:val="0"/>
          <w:divBdr>
            <w:top w:val="none" w:sz="0" w:space="0" w:color="auto"/>
            <w:left w:val="none" w:sz="0" w:space="0" w:color="auto"/>
            <w:bottom w:val="none" w:sz="0" w:space="0" w:color="auto"/>
            <w:right w:val="none" w:sz="0" w:space="0" w:color="auto"/>
          </w:divBdr>
        </w:div>
        <w:div w:id="1441994761">
          <w:marLeft w:val="0"/>
          <w:marRight w:val="0"/>
          <w:marTop w:val="0"/>
          <w:marBottom w:val="0"/>
          <w:divBdr>
            <w:top w:val="none" w:sz="0" w:space="0" w:color="auto"/>
            <w:left w:val="none" w:sz="0" w:space="0" w:color="auto"/>
            <w:bottom w:val="none" w:sz="0" w:space="0" w:color="auto"/>
            <w:right w:val="none" w:sz="0" w:space="0" w:color="auto"/>
          </w:divBdr>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76210856">
      <w:bodyDiv w:val="1"/>
      <w:marLeft w:val="0"/>
      <w:marRight w:val="0"/>
      <w:marTop w:val="0"/>
      <w:marBottom w:val="0"/>
      <w:divBdr>
        <w:top w:val="none" w:sz="0" w:space="0" w:color="auto"/>
        <w:left w:val="none" w:sz="0" w:space="0" w:color="auto"/>
        <w:bottom w:val="none" w:sz="0" w:space="0" w:color="auto"/>
        <w:right w:val="none" w:sz="0" w:space="0" w:color="auto"/>
      </w:divBdr>
    </w:div>
    <w:div w:id="1436748450">
      <w:bodyDiv w:val="1"/>
      <w:marLeft w:val="0"/>
      <w:marRight w:val="0"/>
      <w:marTop w:val="0"/>
      <w:marBottom w:val="0"/>
      <w:divBdr>
        <w:top w:val="none" w:sz="0" w:space="0" w:color="auto"/>
        <w:left w:val="none" w:sz="0" w:space="0" w:color="auto"/>
        <w:bottom w:val="none" w:sz="0" w:space="0" w:color="auto"/>
        <w:right w:val="none" w:sz="0" w:space="0" w:color="auto"/>
      </w:divBdr>
    </w:div>
    <w:div w:id="1671447802">
      <w:bodyDiv w:val="1"/>
      <w:marLeft w:val="0"/>
      <w:marRight w:val="0"/>
      <w:marTop w:val="0"/>
      <w:marBottom w:val="0"/>
      <w:divBdr>
        <w:top w:val="none" w:sz="0" w:space="0" w:color="auto"/>
        <w:left w:val="none" w:sz="0" w:space="0" w:color="auto"/>
        <w:bottom w:val="none" w:sz="0" w:space="0" w:color="auto"/>
        <w:right w:val="none" w:sz="0" w:space="0" w:color="auto"/>
      </w:divBdr>
    </w:div>
    <w:div w:id="1981878334">
      <w:bodyDiv w:val="1"/>
      <w:marLeft w:val="0"/>
      <w:marRight w:val="0"/>
      <w:marTop w:val="0"/>
      <w:marBottom w:val="0"/>
      <w:divBdr>
        <w:top w:val="none" w:sz="0" w:space="0" w:color="auto"/>
        <w:left w:val="none" w:sz="0" w:space="0" w:color="auto"/>
        <w:bottom w:val="none" w:sz="0" w:space="0" w:color="auto"/>
        <w:right w:val="none" w:sz="0" w:space="0" w:color="auto"/>
      </w:divBdr>
    </w:div>
    <w:div w:id="2107192419">
      <w:bodyDiv w:val="1"/>
      <w:marLeft w:val="0"/>
      <w:marRight w:val="0"/>
      <w:marTop w:val="0"/>
      <w:marBottom w:val="0"/>
      <w:divBdr>
        <w:top w:val="none" w:sz="0" w:space="0" w:color="auto"/>
        <w:left w:val="none" w:sz="0" w:space="0" w:color="auto"/>
        <w:bottom w:val="none" w:sz="0" w:space="0" w:color="auto"/>
        <w:right w:val="none" w:sz="0" w:space="0" w:color="auto"/>
      </w:divBdr>
      <w:divsChild>
        <w:div w:id="1555458782">
          <w:marLeft w:val="0"/>
          <w:marRight w:val="0"/>
          <w:marTop w:val="0"/>
          <w:marBottom w:val="0"/>
          <w:divBdr>
            <w:top w:val="none" w:sz="0" w:space="0" w:color="auto"/>
            <w:left w:val="none" w:sz="0" w:space="0" w:color="auto"/>
            <w:bottom w:val="none" w:sz="0" w:space="0" w:color="auto"/>
            <w:right w:val="none" w:sz="0" w:space="0" w:color="auto"/>
          </w:divBdr>
          <w:divsChild>
            <w:div w:id="1703168411">
              <w:marLeft w:val="0"/>
              <w:marRight w:val="0"/>
              <w:marTop w:val="0"/>
              <w:marBottom w:val="0"/>
              <w:divBdr>
                <w:top w:val="none" w:sz="0" w:space="0" w:color="auto"/>
                <w:left w:val="single" w:sz="6" w:space="0" w:color="E4E4E4"/>
                <w:bottom w:val="none" w:sz="0" w:space="0" w:color="auto"/>
                <w:right w:val="none" w:sz="0" w:space="0" w:color="auto"/>
              </w:divBdr>
              <w:divsChild>
                <w:div w:id="1670597490">
                  <w:marLeft w:val="0"/>
                  <w:marRight w:val="0"/>
                  <w:marTop w:val="0"/>
                  <w:marBottom w:val="0"/>
                  <w:divBdr>
                    <w:top w:val="none" w:sz="0" w:space="0" w:color="auto"/>
                    <w:left w:val="none" w:sz="0" w:space="0" w:color="auto"/>
                    <w:bottom w:val="none" w:sz="0" w:space="0" w:color="auto"/>
                    <w:right w:val="none" w:sz="0" w:space="0" w:color="auto"/>
                  </w:divBdr>
                  <w:divsChild>
                    <w:div w:id="1694064606">
                      <w:marLeft w:val="0"/>
                      <w:marRight w:val="0"/>
                      <w:marTop w:val="0"/>
                      <w:marBottom w:val="0"/>
                      <w:divBdr>
                        <w:top w:val="none" w:sz="0" w:space="0" w:color="auto"/>
                        <w:left w:val="none" w:sz="0" w:space="0" w:color="auto"/>
                        <w:bottom w:val="none" w:sz="0" w:space="0" w:color="auto"/>
                        <w:right w:val="none" w:sz="0" w:space="0" w:color="auto"/>
                      </w:divBdr>
                      <w:divsChild>
                        <w:div w:id="1004741253">
                          <w:marLeft w:val="0"/>
                          <w:marRight w:val="0"/>
                          <w:marTop w:val="0"/>
                          <w:marBottom w:val="105"/>
                          <w:divBdr>
                            <w:top w:val="none" w:sz="0" w:space="0" w:color="auto"/>
                            <w:left w:val="none" w:sz="0" w:space="0" w:color="auto"/>
                            <w:bottom w:val="none" w:sz="0" w:space="0" w:color="auto"/>
                            <w:right w:val="none" w:sz="0" w:space="0" w:color="auto"/>
                          </w:divBdr>
                          <w:divsChild>
                            <w:div w:id="2128497707">
                              <w:marLeft w:val="0"/>
                              <w:marRight w:val="0"/>
                              <w:marTop w:val="105"/>
                              <w:marBottom w:val="0"/>
                              <w:divBdr>
                                <w:top w:val="none" w:sz="0" w:space="0" w:color="auto"/>
                                <w:left w:val="none" w:sz="0" w:space="0" w:color="auto"/>
                                <w:bottom w:val="none" w:sz="0" w:space="0" w:color="auto"/>
                                <w:right w:val="none" w:sz="0" w:space="0" w:color="auto"/>
                              </w:divBdr>
                              <w:divsChild>
                                <w:div w:id="1450272014">
                                  <w:marLeft w:val="0"/>
                                  <w:marRight w:val="0"/>
                                  <w:marTop w:val="0"/>
                                  <w:marBottom w:val="0"/>
                                  <w:divBdr>
                                    <w:top w:val="none" w:sz="0" w:space="0" w:color="auto"/>
                                    <w:left w:val="none" w:sz="0" w:space="0" w:color="auto"/>
                                    <w:bottom w:val="none" w:sz="0" w:space="0" w:color="auto"/>
                                    <w:right w:val="none" w:sz="0" w:space="0" w:color="auto"/>
                                  </w:divBdr>
                                  <w:divsChild>
                                    <w:div w:id="500196491">
                                      <w:marLeft w:val="0"/>
                                      <w:marRight w:val="0"/>
                                      <w:marTop w:val="0"/>
                                      <w:marBottom w:val="0"/>
                                      <w:divBdr>
                                        <w:top w:val="none" w:sz="0" w:space="0" w:color="auto"/>
                                        <w:left w:val="none" w:sz="0" w:space="0" w:color="auto"/>
                                        <w:bottom w:val="none" w:sz="0" w:space="0" w:color="auto"/>
                                        <w:right w:val="none" w:sz="0" w:space="0" w:color="auto"/>
                                      </w:divBdr>
                                      <w:divsChild>
                                        <w:div w:id="1858153502">
                                          <w:marLeft w:val="0"/>
                                          <w:marRight w:val="0"/>
                                          <w:marTop w:val="0"/>
                                          <w:marBottom w:val="0"/>
                                          <w:divBdr>
                                            <w:top w:val="none" w:sz="0" w:space="0" w:color="auto"/>
                                            <w:left w:val="none" w:sz="0" w:space="0" w:color="auto"/>
                                            <w:bottom w:val="none" w:sz="0" w:space="0" w:color="auto"/>
                                            <w:right w:val="none" w:sz="0" w:space="0" w:color="auto"/>
                                          </w:divBdr>
                                          <w:divsChild>
                                            <w:div w:id="367877076">
                                              <w:marLeft w:val="0"/>
                                              <w:marRight w:val="0"/>
                                              <w:marTop w:val="0"/>
                                              <w:marBottom w:val="0"/>
                                              <w:divBdr>
                                                <w:top w:val="none" w:sz="0" w:space="0" w:color="auto"/>
                                                <w:left w:val="none" w:sz="0" w:space="0" w:color="auto"/>
                                                <w:bottom w:val="none" w:sz="0" w:space="0" w:color="auto"/>
                                                <w:right w:val="none" w:sz="0" w:space="0" w:color="auto"/>
                                              </w:divBdr>
                                              <w:divsChild>
                                                <w:div w:id="829251217">
                                                  <w:marLeft w:val="0"/>
                                                  <w:marRight w:val="0"/>
                                                  <w:marTop w:val="0"/>
                                                  <w:marBottom w:val="0"/>
                                                  <w:divBdr>
                                                    <w:top w:val="none" w:sz="0" w:space="0" w:color="auto"/>
                                                    <w:left w:val="none" w:sz="0" w:space="0" w:color="auto"/>
                                                    <w:bottom w:val="none" w:sz="0" w:space="0" w:color="auto"/>
                                                    <w:right w:val="none" w:sz="0" w:space="0" w:color="auto"/>
                                                  </w:divBdr>
                                                  <w:divsChild>
                                                    <w:div w:id="110326570">
                                                      <w:marLeft w:val="105"/>
                                                      <w:marRight w:val="0"/>
                                                      <w:marTop w:val="0"/>
                                                      <w:marBottom w:val="0"/>
                                                      <w:divBdr>
                                                        <w:top w:val="none" w:sz="0" w:space="0" w:color="auto"/>
                                                        <w:left w:val="none" w:sz="0" w:space="0" w:color="auto"/>
                                                        <w:bottom w:val="none" w:sz="0" w:space="0" w:color="auto"/>
                                                        <w:right w:val="none" w:sz="0" w:space="0" w:color="auto"/>
                                                      </w:divBdr>
                                                      <w:divsChild>
                                                        <w:div w:id="1445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6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www.fwc.gov.au/documents/legislation/download/dismissal_code.pdf" TargetMode="External"/><Relationship Id="rId39" Type="http://schemas.openxmlformats.org/officeDocument/2006/relationships/hyperlink" Target="http://www.adc.nt.gov.au/" TargetMode="External"/><Relationship Id="rId21" Type="http://schemas.openxmlformats.org/officeDocument/2006/relationships/image" Target="media/image6.png"/><Relationship Id="rId34" Type="http://schemas.openxmlformats.org/officeDocument/2006/relationships/hyperlink" Target="http://www.hrc.act.gov.au/" TargetMode="External"/><Relationship Id="rId42" Type="http://schemas.openxmlformats.org/officeDocument/2006/relationships/hyperlink" Target="http://www.knowtheline.com.au" TargetMode="External"/><Relationship Id="rId47" Type="http://schemas.openxmlformats.org/officeDocument/2006/relationships/hyperlink" Target="http://www.sexualharassmentinaustralia.org/" TargetMode="External"/><Relationship Id="rId50" Type="http://schemas.openxmlformats.org/officeDocument/2006/relationships/hyperlink" Target="http://www.womenslegalnsw.asn.au/wlsnsw/our-services/wwls/" TargetMode="External"/><Relationship Id="rId55" Type="http://schemas.openxmlformats.org/officeDocument/2006/relationships/hyperlink" Target="http://www.humanrights.gov.au/complaints/lodging-your-complaint"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benchbooks.fwc.gov.au/unfair/" TargetMode="External"/><Relationship Id="rId33" Type="http://schemas.openxmlformats.org/officeDocument/2006/relationships/hyperlink" Target="http://www.fairwork.gov.au/" TargetMode="External"/><Relationship Id="rId38" Type="http://schemas.openxmlformats.org/officeDocument/2006/relationships/hyperlink" Target="http://www.equalopportunity.wa.gov.au" TargetMode="External"/><Relationship Id="rId46" Type="http://schemas.openxmlformats.org/officeDocument/2006/relationships/hyperlink" Target="http://www.sexualharassmentinaustralia.org/wp-content/uploads/2012/04/SH-Report.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safeworkaustralia.gov.au" TargetMode="External"/><Relationship Id="rId41" Type="http://schemas.openxmlformats.org/officeDocument/2006/relationships/hyperlink" Target="http://www.humanrightscommission.vic.gov.au" TargetMode="External"/><Relationship Id="rId54" Type="http://schemas.openxmlformats.org/officeDocument/2006/relationships/hyperlink" Target="http://www.humanrigh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fwc.gov.au/documents/factsheets/GeneralProtectionsGuide.pdf" TargetMode="External"/><Relationship Id="rId32" Type="http://schemas.openxmlformats.org/officeDocument/2006/relationships/hyperlink" Target="http://www.humanrights.gov.au" TargetMode="External"/><Relationship Id="rId37" Type="http://schemas.openxmlformats.org/officeDocument/2006/relationships/hyperlink" Target="http://www.eoc.sa.gov.au" TargetMode="External"/><Relationship Id="rId40" Type="http://schemas.openxmlformats.org/officeDocument/2006/relationships/hyperlink" Target="http://www.antidiscrimination.tas.gov.au" TargetMode="External"/><Relationship Id="rId45" Type="http://schemas.openxmlformats.org/officeDocument/2006/relationships/hyperlink" Target="http://www.humanrights.gov.au/legal/FDL/index.html" TargetMode="External"/><Relationship Id="rId53" Type="http://schemas.openxmlformats.org/officeDocument/2006/relationships/hyperlink" Target="mailto:complaintsinfo@humanrights.gov.a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fairwork.gov.au/complaints/someones-made-a-complaint-about-my-business/pages/default.aspx" TargetMode="External"/><Relationship Id="rId28" Type="http://schemas.openxmlformats.org/officeDocument/2006/relationships/hyperlink" Target="http://www.fairwork.gov.au/Templatesformschecklists/Small-Business-Fair-Dismissal-Code-2011.rtf" TargetMode="External"/><Relationship Id="rId36" Type="http://schemas.openxmlformats.org/officeDocument/2006/relationships/hyperlink" Target="http://www.adcq.qld.gov.au" TargetMode="External"/><Relationship Id="rId49" Type="http://schemas.openxmlformats.org/officeDocument/2006/relationships/hyperlink" Target="http://www.victorianhumanrightscommission.com/www/files/Employers%20Toolkits/Sexual%20harassment%20-%20Employers%20checklist.pdf"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mailto:complaintsinfo@humanrights.gov.au" TargetMode="External"/><Relationship Id="rId44" Type="http://schemas.openxmlformats.org/officeDocument/2006/relationships/hyperlink" Target="http://humanrights.gov.au/sexualharassment/bystander/index.html" TargetMode="External"/><Relationship Id="rId52" Type="http://schemas.openxmlformats.org/officeDocument/2006/relationships/hyperlink" Target="http://www.humanrights.gov.au/complaints_information/pathways_to_resolution/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hyperlink" Target="http://www.fwc.gov.au/documents/legislation/download/dismissal_code.doc" TargetMode="External"/><Relationship Id="rId30" Type="http://schemas.openxmlformats.org/officeDocument/2006/relationships/hyperlink" Target="http://www.safeworkaustralia.gov.au/sites/SWA/about/Publications/Documents/719/Australian-WHS-Strategy-2012-2022.pdf" TargetMode="External"/><Relationship Id="rId35" Type="http://schemas.openxmlformats.org/officeDocument/2006/relationships/hyperlink" Target="http://www.lawlink.nsw.gov.au/adb" TargetMode="External"/><Relationship Id="rId43" Type="http://schemas.openxmlformats.org/officeDocument/2006/relationships/hyperlink" Target="http://humanrights.gov.au/sexualharassment/survey/index.html" TargetMode="External"/><Relationship Id="rId48" Type="http://schemas.openxmlformats.org/officeDocument/2006/relationships/hyperlink" Target="http://www.humanrightscommission.vic.gov.au/index.php/our-resources-and-publications/eoa-practice-guidelines" TargetMode="External"/><Relationship Id="rId56" Type="http://schemas.openxmlformats.org/officeDocument/2006/relationships/hyperlink" Target="http://www.comlaw.gov.au/" TargetMode="External"/><Relationship Id="rId8" Type="http://schemas.openxmlformats.org/officeDocument/2006/relationships/endnotes" Target="endnotes.xml"/><Relationship Id="rId51" Type="http://schemas.openxmlformats.org/officeDocument/2006/relationships/hyperlink" Target="http://www.humanrights.gov.au/complaints-information"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humanrights.gov.au/sexualharassment/employers_code/index.html" TargetMode="External"/><Relationship Id="rId1" Type="http://schemas.openxmlformats.org/officeDocument/2006/relationships/hyperlink" Target="http://www.humanrights.gov.au/working-without-fear-results-sexual-harassment-national-telephone-survey-20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17C0-4EEC-4FED-992C-9F6C794B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2</TotalTime>
  <Pages>63</Pages>
  <Words>19420</Words>
  <Characters>110695</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129856</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Simone Cusack</dc:creator>
  <cp:lastModifiedBy>Alison Aggarwal</cp:lastModifiedBy>
  <cp:revision>3</cp:revision>
  <cp:lastPrinted>2014-05-16T02:21:00Z</cp:lastPrinted>
  <dcterms:created xsi:type="dcterms:W3CDTF">2014-05-19T00:16:00Z</dcterms:created>
  <dcterms:modified xsi:type="dcterms:W3CDTF">2014-05-19T00:20:00Z</dcterms:modified>
</cp:coreProperties>
</file>