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2E" w:rsidRPr="00122992" w:rsidRDefault="00AB732E" w:rsidP="003D237B">
      <w:pPr>
        <w:tabs>
          <w:tab w:val="left" w:pos="3014"/>
        </w:tabs>
        <w:spacing w:before="0" w:after="0"/>
        <w:jc w:val="both"/>
        <w:rPr>
          <w:rFonts w:cs="Arial"/>
          <w:b/>
          <w:color w:val="0070C0"/>
        </w:rPr>
      </w:pPr>
      <w:r w:rsidRPr="00122992">
        <w:rPr>
          <w:rFonts w:cs="Arial"/>
          <w:noProof/>
        </w:rPr>
        <mc:AlternateContent>
          <mc:Choice Requires="wps">
            <w:drawing>
              <wp:anchor distT="0" distB="0" distL="114300" distR="114300" simplePos="0" relativeHeight="251656192" behindDoc="0" locked="0" layoutInCell="1" allowOverlap="1" wp14:anchorId="0CEF434F" wp14:editId="51F5E346">
                <wp:simplePos x="0" y="0"/>
                <wp:positionH relativeFrom="column">
                  <wp:posOffset>1195070</wp:posOffset>
                </wp:positionH>
                <wp:positionV relativeFrom="paragraph">
                  <wp:posOffset>-480060</wp:posOffset>
                </wp:positionV>
                <wp:extent cx="4582795" cy="252120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2521206"/>
                        </a:xfrm>
                        <a:prstGeom prst="rect">
                          <a:avLst/>
                        </a:prstGeom>
                        <a:noFill/>
                        <a:ln w="6350">
                          <a:noFill/>
                        </a:ln>
                        <a:effectLst/>
                      </wps:spPr>
                      <wps:txbx>
                        <w:txbxContent>
                          <w:p w:rsidR="009E55DA" w:rsidRPr="00D55C98" w:rsidRDefault="009E55DA" w:rsidP="00BD1FB8">
                            <w:pPr>
                              <w:pStyle w:val="MainTitle"/>
                              <w:rPr>
                                <w:b/>
                                <w:i/>
                              </w:rPr>
                            </w:pPr>
                            <w:r w:rsidRPr="00D55C98">
                              <w:rPr>
                                <w:b/>
                                <w:i/>
                              </w:rPr>
                              <w:t xml:space="preserve">The Forgotten Children: </w:t>
                            </w:r>
                            <w:r w:rsidR="00956467" w:rsidRPr="00D55C98">
                              <w:rPr>
                                <w:b/>
                                <w:i/>
                              </w:rPr>
                              <w:t>National Inquiry into Children in Immigration Detention 2014</w:t>
                            </w:r>
                          </w:p>
                          <w:p w:rsidR="00D55C98" w:rsidRPr="00D55C98" w:rsidRDefault="00BB4B00" w:rsidP="00BD1FB8">
                            <w:pPr>
                              <w:pStyle w:val="MainTitle"/>
                              <w:rPr>
                                <w:b/>
                                <w:color w:val="auto"/>
                              </w:rPr>
                            </w:pPr>
                            <w:r>
                              <w:rPr>
                                <w:b/>
                                <w:color w:val="auto"/>
                              </w:rPr>
                              <w:t>Summary factsheet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434F" id="_x0000_t202" coordsize="21600,21600" o:spt="202" path="m,l,21600r21600,l21600,xe">
                <v:stroke joinstyle="miter"/>
                <v:path gradientshapeok="t" o:connecttype="rect"/>
              </v:shapetype>
              <v:shape id="Text Box 1" o:spid="_x0000_s1026" type="#_x0000_t202" style="position:absolute;left:0;text-align:left;margin-left:94.1pt;margin-top:-37.8pt;width:360.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" filled="f" stroked="f" strokeweight=".5pt">
                <v:path arrowok="t"/>
                <v:textbox>
                  <w:txbxContent>
                    <w:p w:rsidR="009E55DA" w:rsidRPr="00D55C98" w:rsidRDefault="009E55DA" w:rsidP="00BD1FB8">
                      <w:pPr>
                        <w:pStyle w:val="MainTitle"/>
                        <w:rPr>
                          <w:b/>
                          <w:i/>
                        </w:rPr>
                      </w:pPr>
                      <w:r w:rsidRPr="00D55C98">
                        <w:rPr>
                          <w:b/>
                          <w:i/>
                        </w:rPr>
                        <w:t xml:space="preserve">The Forgotten Children: </w:t>
                      </w:r>
                      <w:r w:rsidR="00956467" w:rsidRPr="00D55C98">
                        <w:rPr>
                          <w:b/>
                          <w:i/>
                        </w:rPr>
                        <w:t>National Inquiry into Children in Immigration Detention 2014</w:t>
                      </w:r>
                    </w:p>
                    <w:p w:rsidR="00D55C98" w:rsidRPr="00D55C98" w:rsidRDefault="00BB4B00" w:rsidP="00BD1FB8">
                      <w:pPr>
                        <w:pStyle w:val="MainTitle"/>
                        <w:rPr>
                          <w:b/>
                          <w:color w:val="auto"/>
                        </w:rPr>
                      </w:pPr>
                      <w:r>
                        <w:rPr>
                          <w:b/>
                          <w:color w:val="auto"/>
                        </w:rPr>
                        <w:t>Summary factsheet</w:t>
                      </w:r>
                    </w:p>
                  </w:txbxContent>
                </v:textbox>
              </v:shape>
            </w:pict>
          </mc:Fallback>
        </mc:AlternateContent>
      </w:r>
    </w:p>
    <w:p w:rsidR="00AB732E" w:rsidRPr="00122992" w:rsidRDefault="00AB732E" w:rsidP="003D237B">
      <w:pPr>
        <w:tabs>
          <w:tab w:val="left" w:pos="3014"/>
        </w:tabs>
        <w:spacing w:before="0" w:after="0"/>
        <w:jc w:val="both"/>
        <w:rPr>
          <w:rFonts w:cs="Arial"/>
          <w:b/>
          <w:color w:val="0070C0"/>
        </w:rPr>
      </w:pPr>
    </w:p>
    <w:p w:rsidR="00AB732E" w:rsidRPr="00122992" w:rsidRDefault="00AB732E" w:rsidP="003D237B">
      <w:pPr>
        <w:tabs>
          <w:tab w:val="left" w:pos="3014"/>
        </w:tabs>
        <w:spacing w:before="0" w:after="0"/>
        <w:jc w:val="both"/>
        <w:rPr>
          <w:rFonts w:cs="Arial"/>
          <w:b/>
          <w:color w:val="0070C0"/>
        </w:rPr>
      </w:pPr>
    </w:p>
    <w:p w:rsidR="00AB732E" w:rsidRPr="00122992" w:rsidRDefault="00AB732E" w:rsidP="003D237B">
      <w:pPr>
        <w:tabs>
          <w:tab w:val="left" w:pos="3014"/>
        </w:tabs>
        <w:spacing w:before="0" w:after="0"/>
        <w:jc w:val="both"/>
        <w:rPr>
          <w:rFonts w:cs="Arial"/>
          <w:b/>
          <w:color w:val="0070C0"/>
        </w:rPr>
      </w:pPr>
    </w:p>
    <w:p w:rsidR="00D4303A" w:rsidRPr="00122992" w:rsidRDefault="00D4303A" w:rsidP="003D237B">
      <w:pPr>
        <w:tabs>
          <w:tab w:val="left" w:pos="3014"/>
        </w:tabs>
        <w:spacing w:before="0" w:after="0"/>
        <w:jc w:val="both"/>
        <w:rPr>
          <w:rFonts w:cs="Arial"/>
          <w:b/>
          <w:color w:val="0070C0"/>
        </w:rPr>
      </w:pPr>
      <w:bookmarkStart w:id="0" w:name="_Toc209316062"/>
      <w:bookmarkEnd w:id="0"/>
    </w:p>
    <w:p w:rsidR="00454CCF" w:rsidRDefault="00454CCF" w:rsidP="003D237B">
      <w:pPr>
        <w:jc w:val="both"/>
        <w:rPr>
          <w:rFonts w:cs="Arial"/>
          <w:b/>
          <w:color w:val="0070C0"/>
        </w:rPr>
      </w:pPr>
    </w:p>
    <w:p w:rsidR="00454CCF" w:rsidRDefault="00454CCF" w:rsidP="003D237B">
      <w:pPr>
        <w:jc w:val="both"/>
        <w:rPr>
          <w:rFonts w:cs="Arial"/>
          <w:b/>
          <w:color w:val="0070C0"/>
        </w:rPr>
      </w:pPr>
    </w:p>
    <w:p w:rsidR="00454CCF" w:rsidRDefault="00454CCF" w:rsidP="003D237B">
      <w:pPr>
        <w:jc w:val="both"/>
        <w:rPr>
          <w:rFonts w:cs="Arial"/>
          <w:b/>
          <w:color w:val="0070C0"/>
        </w:rPr>
      </w:pPr>
    </w:p>
    <w:p w:rsidR="00454CCF" w:rsidRDefault="00454CCF" w:rsidP="003D237B">
      <w:pPr>
        <w:jc w:val="both"/>
        <w:rPr>
          <w:rFonts w:cs="Arial"/>
          <w:b/>
          <w:color w:val="0070C0"/>
        </w:rPr>
      </w:pPr>
    </w:p>
    <w:p w:rsidR="00D55C98" w:rsidRDefault="00D55C98" w:rsidP="003D237B">
      <w:pPr>
        <w:jc w:val="both"/>
        <w:rPr>
          <w:rFonts w:cs="Arial"/>
          <w:b/>
          <w:i/>
          <w:color w:val="0070C0"/>
          <w:sz w:val="28"/>
          <w:szCs w:val="28"/>
        </w:rPr>
      </w:pPr>
    </w:p>
    <w:p w:rsidR="006E324F" w:rsidRDefault="006E324F" w:rsidP="003D237B">
      <w:pPr>
        <w:jc w:val="both"/>
        <w:rPr>
          <w:rFonts w:cs="Arial"/>
          <w:b/>
          <w:i/>
          <w:color w:val="0070C0"/>
          <w:sz w:val="28"/>
          <w:szCs w:val="28"/>
        </w:rPr>
      </w:pPr>
    </w:p>
    <w:p w:rsidR="00C57864" w:rsidRDefault="00C57864" w:rsidP="003D237B">
      <w:pPr>
        <w:jc w:val="both"/>
        <w:rPr>
          <w:rFonts w:cs="Arial"/>
          <w:b/>
          <w:i/>
          <w:color w:val="0070C0"/>
          <w:sz w:val="28"/>
          <w:szCs w:val="28"/>
        </w:rPr>
      </w:pPr>
    </w:p>
    <w:p w:rsidR="00D55C98" w:rsidRPr="00D367B6" w:rsidRDefault="00BB7E1A" w:rsidP="003D237B">
      <w:pPr>
        <w:jc w:val="both"/>
        <w:rPr>
          <w:rFonts w:cs="Arial"/>
          <w:b/>
          <w:i/>
          <w:color w:val="0070C0"/>
          <w:sz w:val="28"/>
          <w:szCs w:val="28"/>
        </w:rPr>
      </w:pPr>
      <w:r w:rsidRPr="00D367B6">
        <w:rPr>
          <w:rFonts w:cs="Arial"/>
          <w:b/>
          <w:i/>
          <w:color w:val="0070C0"/>
          <w:sz w:val="28"/>
          <w:szCs w:val="28"/>
        </w:rPr>
        <w:t>What was the Inquiry about?</w:t>
      </w:r>
    </w:p>
    <w:p w:rsidR="00BB7E1A" w:rsidRPr="00BB7E1A" w:rsidRDefault="00BB7E1A" w:rsidP="003D237B">
      <w:pPr>
        <w:jc w:val="both"/>
      </w:pPr>
      <w:r w:rsidRPr="00D367B6">
        <w:rPr>
          <w:rFonts w:cs="Arial"/>
        </w:rPr>
        <w:t xml:space="preserve">On 3 February 2014 the President of the Commission announced a national inquiry into children in immigration detention. </w:t>
      </w:r>
      <w:r w:rsidR="00F35E0C" w:rsidRPr="00D367B6">
        <w:rPr>
          <w:rFonts w:cs="Arial"/>
        </w:rPr>
        <w:t>The purpose of the I</w:t>
      </w:r>
      <w:r w:rsidRPr="00D367B6">
        <w:rPr>
          <w:rFonts w:cs="Arial"/>
        </w:rPr>
        <w:t>nquiry was to investigate the ways in which life in immigration detention affects the health, well-be</w:t>
      </w:r>
      <w:r w:rsidR="002E1FC1" w:rsidRPr="00D367B6">
        <w:rPr>
          <w:rFonts w:cs="Arial"/>
        </w:rPr>
        <w:t xml:space="preserve">ing and development of children. Its purpose was also </w:t>
      </w:r>
      <w:r w:rsidRPr="00D367B6">
        <w:rPr>
          <w:rFonts w:cs="Arial"/>
        </w:rPr>
        <w:t xml:space="preserve">to </w:t>
      </w:r>
      <w:r w:rsidR="00C54A77" w:rsidRPr="00D367B6">
        <w:t>assess whether Australia’s</w:t>
      </w:r>
      <w:r w:rsidRPr="00D367B6">
        <w:t xml:space="preserve"> laws, policies and practices relating to children in immig</w:t>
      </w:r>
      <w:r w:rsidR="006E29A1" w:rsidRPr="00D367B6">
        <w:t>ration detention were consistent with</w:t>
      </w:r>
      <w:r w:rsidR="00C54A77" w:rsidRPr="00D367B6">
        <w:t xml:space="preserve"> its</w:t>
      </w:r>
      <w:r w:rsidRPr="00D367B6">
        <w:t xml:space="preserve"> obligations under the </w:t>
      </w:r>
      <w:r w:rsidRPr="00D367B6">
        <w:rPr>
          <w:i/>
        </w:rPr>
        <w:t>Convention on the Rights of the Child</w:t>
      </w:r>
      <w:r w:rsidRPr="00D367B6">
        <w:t>.</w:t>
      </w:r>
      <w:r w:rsidR="00C90074">
        <w:rPr>
          <w:rStyle w:val="EndnoteReference"/>
        </w:rPr>
        <w:endnoteReference w:id="1"/>
      </w:r>
      <w:r>
        <w:t xml:space="preserve"> </w:t>
      </w:r>
    </w:p>
    <w:p w:rsidR="00BB7E1A" w:rsidRPr="001B2D18" w:rsidRDefault="00BB7E1A" w:rsidP="003D237B">
      <w:pPr>
        <w:jc w:val="both"/>
        <w:rPr>
          <w:rFonts w:cs="Arial"/>
          <w:i/>
          <w:color w:val="0070C0"/>
          <w:sz w:val="28"/>
          <w:szCs w:val="28"/>
        </w:rPr>
      </w:pPr>
      <w:r>
        <w:rPr>
          <w:rFonts w:cs="Arial"/>
          <w:b/>
          <w:i/>
          <w:color w:val="0070C0"/>
          <w:sz w:val="28"/>
          <w:szCs w:val="28"/>
        </w:rPr>
        <w:t>What were the findings of the Inquiry?</w:t>
      </w:r>
    </w:p>
    <w:p w:rsidR="00BB7E1A" w:rsidRPr="00E74099" w:rsidRDefault="00BB7E1A" w:rsidP="003D237B">
      <w:pPr>
        <w:jc w:val="both"/>
        <w:rPr>
          <w:b/>
          <w:color w:val="0070C0"/>
          <w:lang w:val="en"/>
        </w:rPr>
      </w:pPr>
      <w:r w:rsidRPr="00E74099">
        <w:rPr>
          <w:b/>
          <w:color w:val="0070C0"/>
          <w:lang w:val="en"/>
        </w:rPr>
        <w:t>General findings</w:t>
      </w:r>
    </w:p>
    <w:p w:rsidR="00BB7E1A" w:rsidRPr="00E74099" w:rsidRDefault="00BB7E1A" w:rsidP="003D237B">
      <w:pPr>
        <w:jc w:val="both"/>
        <w:rPr>
          <w:rFonts w:cs="Arial"/>
        </w:rPr>
      </w:pPr>
      <w:r>
        <w:rPr>
          <w:lang w:val="en"/>
        </w:rPr>
        <w:t>The overarching finding of the Inquiry was that the prolonged, mandatory detention of asylum seeker children causes them significant mental and physical illness and developmental delays, in breach of Australia’s international obligations.</w:t>
      </w:r>
    </w:p>
    <w:p w:rsidR="00BB7E1A" w:rsidRPr="00C51AC2" w:rsidRDefault="00BB7E1A" w:rsidP="003D237B">
      <w:pPr>
        <w:spacing w:before="0" w:after="120"/>
        <w:jc w:val="both"/>
        <w:rPr>
          <w:rFonts w:cs="Arial"/>
          <w:lang w:val="en"/>
        </w:rPr>
      </w:pPr>
      <w:r>
        <w:t>The Commission</w:t>
      </w:r>
      <w:r w:rsidRPr="00C51AC2">
        <w:t xml:space="preserve"> found that the </w:t>
      </w:r>
      <w:r w:rsidRPr="001A02C9">
        <w:rPr>
          <w:b/>
        </w:rPr>
        <w:t xml:space="preserve">mandatory and prolonged immigration detention of children is in clear violation of the </w:t>
      </w:r>
      <w:r w:rsidRPr="001A02C9">
        <w:rPr>
          <w:b/>
          <w:i/>
        </w:rPr>
        <w:t>Convention on the Rights of the Child</w:t>
      </w:r>
      <w:r w:rsidRPr="00C51AC2">
        <w:rPr>
          <w:i/>
        </w:rPr>
        <w:t xml:space="preserve">, </w:t>
      </w:r>
      <w:r w:rsidRPr="00C51AC2">
        <w:t>including:</w:t>
      </w:r>
    </w:p>
    <w:p w:rsidR="00BB7E1A" w:rsidRPr="009E15DA" w:rsidRDefault="00BB7E1A" w:rsidP="003D237B">
      <w:pPr>
        <w:numPr>
          <w:ilvl w:val="0"/>
          <w:numId w:val="18"/>
        </w:numPr>
        <w:spacing w:before="0" w:after="120"/>
        <w:ind w:left="567" w:hanging="283"/>
        <w:jc w:val="both"/>
        <w:rPr>
          <w:rFonts w:cs="Arial"/>
          <w:b/>
          <w:lang w:val="en"/>
        </w:rPr>
      </w:pPr>
      <w:r w:rsidRPr="001A02C9">
        <w:rPr>
          <w:rFonts w:cs="Arial"/>
          <w:b/>
          <w:lang w:val="en"/>
        </w:rPr>
        <w:t>Art 3(1),</w:t>
      </w:r>
      <w:r w:rsidRPr="00C51AC2">
        <w:rPr>
          <w:rFonts w:cs="Arial"/>
          <w:lang w:val="en"/>
        </w:rPr>
        <w:t xml:space="preserve"> </w:t>
      </w:r>
      <w:r w:rsidRPr="009E15DA">
        <w:rPr>
          <w:rFonts w:cs="Arial"/>
          <w:b/>
          <w:lang w:val="en"/>
        </w:rPr>
        <w:t xml:space="preserve">which requires that in all actions concerning children, the best interests of the child should be a primary consideration </w:t>
      </w:r>
    </w:p>
    <w:p w:rsidR="00BB7E1A" w:rsidRPr="009E15DA" w:rsidRDefault="00BB7E1A" w:rsidP="003D237B">
      <w:pPr>
        <w:numPr>
          <w:ilvl w:val="0"/>
          <w:numId w:val="18"/>
        </w:numPr>
        <w:spacing w:before="0" w:after="120"/>
        <w:ind w:left="567" w:hanging="283"/>
        <w:jc w:val="both"/>
        <w:rPr>
          <w:rFonts w:cs="Arial"/>
          <w:b/>
          <w:lang w:val="en"/>
        </w:rPr>
      </w:pPr>
      <w:r w:rsidRPr="009E15DA">
        <w:rPr>
          <w:rFonts w:cs="Arial"/>
          <w:b/>
          <w:lang w:val="en"/>
        </w:rPr>
        <w:t>Art 24(1) which provides that all children have the right to the highest attainable standard of health</w:t>
      </w:r>
    </w:p>
    <w:p w:rsidR="00BB7E1A" w:rsidRPr="00E27F45" w:rsidRDefault="00BB7E1A" w:rsidP="003D237B">
      <w:pPr>
        <w:numPr>
          <w:ilvl w:val="0"/>
          <w:numId w:val="18"/>
        </w:numPr>
        <w:spacing w:before="0" w:after="120"/>
        <w:ind w:left="567" w:hanging="283"/>
        <w:jc w:val="both"/>
        <w:rPr>
          <w:rFonts w:cs="Arial"/>
          <w:b/>
          <w:lang w:val="en"/>
        </w:rPr>
      </w:pPr>
      <w:r w:rsidRPr="009E15DA">
        <w:rPr>
          <w:rFonts w:cs="Arial"/>
          <w:b/>
          <w:lang w:val="en"/>
        </w:rPr>
        <w:t>Art 37(b), which requires that children should only be detained as a measure of last resort, and for the shortest appropriate period of time.</w:t>
      </w:r>
      <w:r w:rsidRPr="000A06D9">
        <w:rPr>
          <w:rStyle w:val="EndnoteReference"/>
          <w:rFonts w:cs="Arial"/>
          <w:lang w:val="en"/>
        </w:rPr>
        <w:endnoteReference w:id="2"/>
      </w:r>
    </w:p>
    <w:p w:rsidR="002F0BF0" w:rsidRDefault="002F0BF0" w:rsidP="003D237B">
      <w:pPr>
        <w:jc w:val="both"/>
        <w:rPr>
          <w:rFonts w:cs="Arial"/>
        </w:rPr>
      </w:pPr>
    </w:p>
    <w:p w:rsidR="000E030A" w:rsidRPr="00122992" w:rsidRDefault="000E030A" w:rsidP="003D237B">
      <w:pPr>
        <w:jc w:val="both"/>
        <w:rPr>
          <w:rFonts w:cs="Arial"/>
        </w:rPr>
        <w:sectPr w:rsidR="000E030A" w:rsidRPr="00122992"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p>
    <w:p w:rsidR="00E74099" w:rsidRPr="00E74099" w:rsidRDefault="00E74099" w:rsidP="003D237B">
      <w:pPr>
        <w:jc w:val="both"/>
        <w:rPr>
          <w:b/>
          <w:color w:val="0070C0"/>
          <w:lang w:val="en"/>
        </w:rPr>
      </w:pPr>
      <w:r w:rsidRPr="00E74099">
        <w:rPr>
          <w:b/>
          <w:color w:val="0070C0"/>
          <w:lang w:val="en"/>
        </w:rPr>
        <w:lastRenderedPageBreak/>
        <w:t>Factual findings</w:t>
      </w:r>
    </w:p>
    <w:p w:rsidR="001A02C9" w:rsidRPr="008C7E32" w:rsidRDefault="00441984" w:rsidP="003D237B">
      <w:pPr>
        <w:spacing w:before="0" w:after="120"/>
        <w:jc w:val="both"/>
        <w:rPr>
          <w:rFonts w:cs="Arial"/>
          <w:lang w:val="en"/>
        </w:rPr>
      </w:pPr>
      <w:r>
        <w:rPr>
          <w:rFonts w:cs="Arial"/>
          <w:lang w:val="en"/>
        </w:rPr>
        <w:t>The Commission</w:t>
      </w:r>
      <w:r w:rsidR="008C7E32" w:rsidRPr="008C7E32">
        <w:rPr>
          <w:rFonts w:cs="Arial"/>
          <w:lang w:val="en"/>
        </w:rPr>
        <w:t xml:space="preserve"> </w:t>
      </w:r>
      <w:r w:rsidR="008C7E32">
        <w:rPr>
          <w:rFonts w:cs="Arial"/>
          <w:lang w:val="en"/>
        </w:rPr>
        <w:t xml:space="preserve">made the following </w:t>
      </w:r>
      <w:r w:rsidR="00460A95">
        <w:rPr>
          <w:rFonts w:cs="Arial"/>
          <w:lang w:val="en"/>
        </w:rPr>
        <w:t xml:space="preserve">factual </w:t>
      </w:r>
      <w:r w:rsidR="008C7E32">
        <w:rPr>
          <w:rFonts w:cs="Arial"/>
          <w:lang w:val="en"/>
        </w:rPr>
        <w:t>findings:</w:t>
      </w:r>
      <w:r w:rsidR="008C7E32" w:rsidRPr="008C7E32">
        <w:rPr>
          <w:rFonts w:cs="Arial"/>
          <w:lang w:val="en"/>
        </w:rPr>
        <w:t xml:space="preserve"> </w:t>
      </w:r>
    </w:p>
    <w:p w:rsidR="006A4465" w:rsidRPr="006A4465" w:rsidRDefault="008C7E32" w:rsidP="003D237B">
      <w:pPr>
        <w:pStyle w:val="ListParagraph"/>
        <w:numPr>
          <w:ilvl w:val="0"/>
          <w:numId w:val="16"/>
        </w:numPr>
        <w:ind w:left="284" w:hanging="284"/>
        <w:jc w:val="both"/>
        <w:rPr>
          <w:rFonts w:ascii="Arial" w:hAnsi="Arial" w:cs="Arial"/>
          <w:sz w:val="24"/>
          <w:szCs w:val="24"/>
          <w:lang w:val="en"/>
        </w:rPr>
      </w:pPr>
      <w:r w:rsidRPr="006A4465">
        <w:rPr>
          <w:rFonts w:ascii="Arial" w:hAnsi="Arial" w:cs="Arial"/>
          <w:b/>
          <w:sz w:val="24"/>
          <w:szCs w:val="24"/>
        </w:rPr>
        <w:t>Prolonged detention is having profoundly negative impacts on the mental and emotional health and development of children.</w:t>
      </w:r>
      <w:r w:rsidR="003009A9">
        <w:rPr>
          <w:rFonts w:ascii="Arial" w:hAnsi="Arial" w:cs="Arial"/>
          <w:sz w:val="24"/>
          <w:szCs w:val="24"/>
        </w:rPr>
        <w:t xml:space="preserve"> In the first half of </w:t>
      </w:r>
      <w:r w:rsidRPr="008C7E32">
        <w:rPr>
          <w:rFonts w:ascii="Arial" w:hAnsi="Arial" w:cs="Arial"/>
          <w:sz w:val="24"/>
          <w:szCs w:val="24"/>
        </w:rPr>
        <w:t>2014, 34 percent of children in detention were assessed as having mental health disorders at levels of seriousness that were comparable with children receiving outpatient mental health services in Australia. Less than two percent of children in the Australian population were receiving outpatient mental health services in 2014</w:t>
      </w:r>
      <w:r w:rsidR="000F753F">
        <w:rPr>
          <w:rFonts w:ascii="Arial" w:hAnsi="Arial" w:cs="Arial"/>
          <w:sz w:val="24"/>
          <w:szCs w:val="24"/>
        </w:rPr>
        <w:t>.</w:t>
      </w:r>
      <w:r w:rsidR="00607722">
        <w:rPr>
          <w:rStyle w:val="EndnoteReference"/>
          <w:rFonts w:cs="Arial"/>
          <w:szCs w:val="24"/>
        </w:rPr>
        <w:endnoteReference w:id="3"/>
      </w:r>
    </w:p>
    <w:p w:rsidR="006A4465" w:rsidRPr="006A4465" w:rsidRDefault="006A4465" w:rsidP="003D237B">
      <w:pPr>
        <w:pStyle w:val="ListParagraph"/>
        <w:ind w:left="284"/>
        <w:jc w:val="both"/>
        <w:rPr>
          <w:rFonts w:ascii="Arial" w:hAnsi="Arial" w:cs="Arial"/>
          <w:sz w:val="24"/>
          <w:szCs w:val="24"/>
          <w:lang w:val="en"/>
        </w:rPr>
      </w:pPr>
    </w:p>
    <w:p w:rsidR="007E57EF" w:rsidRPr="007E57EF" w:rsidRDefault="006A4465" w:rsidP="003D237B">
      <w:pPr>
        <w:pStyle w:val="ListParagraph"/>
        <w:numPr>
          <w:ilvl w:val="0"/>
          <w:numId w:val="16"/>
        </w:numPr>
        <w:ind w:left="284" w:hanging="284"/>
        <w:jc w:val="both"/>
        <w:rPr>
          <w:rFonts w:ascii="Arial" w:hAnsi="Arial" w:cs="Arial"/>
          <w:sz w:val="24"/>
          <w:szCs w:val="24"/>
          <w:lang w:val="en"/>
        </w:rPr>
      </w:pPr>
      <w:r w:rsidRPr="006A4465">
        <w:rPr>
          <w:rFonts w:ascii="Arial" w:hAnsi="Arial" w:cs="Arial"/>
          <w:b/>
          <w:sz w:val="24"/>
          <w:szCs w:val="24"/>
        </w:rPr>
        <w:t>The numerous reported incidents of assaults, sexual assaults and self-harm involving children indicate the danger of the detention environment.</w:t>
      </w:r>
      <w:r w:rsidR="00607722">
        <w:rPr>
          <w:rStyle w:val="EndnoteReference"/>
          <w:rFonts w:cs="Arial"/>
          <w:b/>
          <w:szCs w:val="24"/>
        </w:rPr>
        <w:endnoteReference w:id="4"/>
      </w:r>
      <w:r w:rsidRPr="006A4465">
        <w:rPr>
          <w:rFonts w:ascii="Arial" w:hAnsi="Arial" w:cs="Arial"/>
          <w:sz w:val="24"/>
          <w:szCs w:val="24"/>
        </w:rPr>
        <w:t xml:space="preserve"> </w:t>
      </w:r>
      <w:r w:rsidR="001A02C9" w:rsidRPr="006A4465">
        <w:rPr>
          <w:rFonts w:ascii="Arial" w:hAnsi="Arial" w:cs="Arial"/>
          <w:sz w:val="24"/>
          <w:szCs w:val="24"/>
        </w:rPr>
        <w:t xml:space="preserve">In a 15 month period, from January 2013 to March </w:t>
      </w:r>
      <w:r w:rsidR="007E57EF">
        <w:rPr>
          <w:rFonts w:ascii="Arial" w:hAnsi="Arial" w:cs="Arial"/>
          <w:sz w:val="24"/>
          <w:szCs w:val="24"/>
        </w:rPr>
        <w:t>2014, 128 children in detention</w:t>
      </w:r>
      <w:r w:rsidR="001A02C9" w:rsidRPr="006A4465">
        <w:rPr>
          <w:rFonts w:ascii="Arial" w:hAnsi="Arial" w:cs="Arial"/>
          <w:sz w:val="24"/>
          <w:szCs w:val="24"/>
        </w:rPr>
        <w:t xml:space="preserve"> engaged in acts of self-harm, including attempted suicide.</w:t>
      </w:r>
      <w:r w:rsidR="00140D1E">
        <w:rPr>
          <w:rStyle w:val="EndnoteReference"/>
          <w:rFonts w:cs="Arial"/>
          <w:szCs w:val="24"/>
        </w:rPr>
        <w:endnoteReference w:id="5"/>
      </w:r>
      <w:r w:rsidR="001A02C9" w:rsidRPr="006A4465">
        <w:rPr>
          <w:rFonts w:ascii="Arial" w:hAnsi="Arial" w:cs="Arial"/>
          <w:sz w:val="24"/>
          <w:szCs w:val="24"/>
        </w:rPr>
        <w:t xml:space="preserve"> The children were aged 12 to 17 year old.</w:t>
      </w:r>
      <w:r w:rsidR="007E57EF">
        <w:rPr>
          <w:rFonts w:ascii="Arial" w:hAnsi="Arial" w:cs="Arial"/>
          <w:sz w:val="24"/>
          <w:szCs w:val="24"/>
        </w:rPr>
        <w:t xml:space="preserve"> </w:t>
      </w:r>
      <w:r w:rsidR="007E57EF" w:rsidRPr="007E57EF">
        <w:rPr>
          <w:rFonts w:ascii="Arial" w:hAnsi="Arial" w:cs="Arial"/>
          <w:sz w:val="24"/>
          <w:szCs w:val="24"/>
        </w:rPr>
        <w:t xml:space="preserve">From </w:t>
      </w:r>
      <w:r w:rsidR="007E57EF" w:rsidRPr="007E57EF">
        <w:rPr>
          <w:rFonts w:ascii="Arial" w:hAnsi="Arial" w:cs="Arial"/>
          <w:bCs/>
          <w:sz w:val="24"/>
          <w:szCs w:val="24"/>
        </w:rPr>
        <w:t>January 2013 to March 2014</w:t>
      </w:r>
      <w:r w:rsidR="007E57EF" w:rsidRPr="007E57EF">
        <w:rPr>
          <w:rFonts w:ascii="Arial" w:hAnsi="Arial" w:cs="Arial"/>
          <w:sz w:val="24"/>
          <w:szCs w:val="24"/>
        </w:rPr>
        <w:t xml:space="preserve"> the following incidents were reporting as occurring in detention centres where children were held:</w:t>
      </w:r>
    </w:p>
    <w:p w:rsidR="007E57EF" w:rsidRPr="00B55C0D" w:rsidRDefault="007E57EF" w:rsidP="003D237B">
      <w:pPr>
        <w:numPr>
          <w:ilvl w:val="1"/>
          <w:numId w:val="16"/>
        </w:numPr>
        <w:tabs>
          <w:tab w:val="num" w:pos="567"/>
        </w:tabs>
        <w:spacing w:before="120" w:after="100" w:afterAutospacing="1"/>
        <w:ind w:left="1434" w:hanging="357"/>
        <w:jc w:val="both"/>
        <w:rPr>
          <w:rFonts w:cs="Arial"/>
        </w:rPr>
      </w:pPr>
      <w:r w:rsidRPr="00B55C0D">
        <w:rPr>
          <w:rFonts w:cs="Arial"/>
        </w:rPr>
        <w:t xml:space="preserve">207 incidents of </w:t>
      </w:r>
      <w:r w:rsidRPr="00B55C0D">
        <w:rPr>
          <w:rFonts w:cs="Arial"/>
          <w:bCs/>
        </w:rPr>
        <w:t>actual self-harm</w:t>
      </w:r>
      <w:r>
        <w:rPr>
          <w:rFonts w:cs="Arial"/>
          <w:b/>
          <w:bCs/>
        </w:rPr>
        <w:t xml:space="preserve"> </w:t>
      </w:r>
      <w:r w:rsidRPr="00B55C0D">
        <w:rPr>
          <w:rFonts w:cs="Arial"/>
          <w:b/>
          <w:bCs/>
        </w:rPr>
        <w:t xml:space="preserve"> </w:t>
      </w:r>
    </w:p>
    <w:p w:rsidR="007E57EF" w:rsidRPr="00B55C0D" w:rsidRDefault="007E57EF" w:rsidP="003D237B">
      <w:pPr>
        <w:numPr>
          <w:ilvl w:val="1"/>
          <w:numId w:val="16"/>
        </w:numPr>
        <w:tabs>
          <w:tab w:val="num" w:pos="567"/>
        </w:tabs>
        <w:spacing w:before="120" w:after="100" w:afterAutospacing="1"/>
        <w:ind w:left="1434" w:hanging="357"/>
        <w:jc w:val="both"/>
        <w:rPr>
          <w:rFonts w:cs="Arial"/>
        </w:rPr>
      </w:pPr>
      <w:r w:rsidRPr="00B55C0D">
        <w:rPr>
          <w:rFonts w:cs="Arial"/>
        </w:rPr>
        <w:t xml:space="preserve">210 </w:t>
      </w:r>
      <w:r>
        <w:rPr>
          <w:rFonts w:cs="Arial"/>
        </w:rPr>
        <w:t xml:space="preserve">incidents of </w:t>
      </w:r>
      <w:r w:rsidRPr="00B55C0D">
        <w:rPr>
          <w:rFonts w:cs="Arial"/>
          <w:bCs/>
        </w:rPr>
        <w:t>voluntary starvation</w:t>
      </w:r>
      <w:r w:rsidRPr="00B55C0D">
        <w:rPr>
          <w:rFonts w:cs="Arial"/>
        </w:rPr>
        <w:t xml:space="preserve"> (</w:t>
      </w:r>
      <w:r w:rsidRPr="00B55C0D">
        <w:rPr>
          <w:rFonts w:cs="Arial"/>
          <w:bCs/>
        </w:rPr>
        <w:t xml:space="preserve">27 of which included children </w:t>
      </w:r>
      <w:r w:rsidRPr="00B55C0D">
        <w:rPr>
          <w:rFonts w:cs="Arial"/>
        </w:rPr>
        <w:t>)</w:t>
      </w:r>
    </w:p>
    <w:p w:rsidR="007E57EF" w:rsidRPr="00B55C0D" w:rsidRDefault="007E57EF" w:rsidP="003D237B">
      <w:pPr>
        <w:numPr>
          <w:ilvl w:val="1"/>
          <w:numId w:val="16"/>
        </w:numPr>
        <w:tabs>
          <w:tab w:val="num" w:pos="567"/>
        </w:tabs>
        <w:spacing w:before="120" w:after="100" w:afterAutospacing="1"/>
        <w:ind w:left="1434" w:hanging="357"/>
        <w:jc w:val="both"/>
        <w:rPr>
          <w:rFonts w:cs="Arial"/>
          <w:bCs/>
        </w:rPr>
      </w:pPr>
      <w:r w:rsidRPr="00B55C0D">
        <w:rPr>
          <w:rFonts w:cs="Arial"/>
        </w:rPr>
        <w:t xml:space="preserve">436 incidents of </w:t>
      </w:r>
      <w:r w:rsidRPr="00B55C0D">
        <w:rPr>
          <w:rFonts w:cs="Arial"/>
          <w:bCs/>
        </w:rPr>
        <w:t xml:space="preserve">threatened self-harm </w:t>
      </w:r>
    </w:p>
    <w:p w:rsidR="007E57EF" w:rsidRPr="00B55C0D" w:rsidRDefault="007E57EF" w:rsidP="003D237B">
      <w:pPr>
        <w:numPr>
          <w:ilvl w:val="1"/>
          <w:numId w:val="16"/>
        </w:numPr>
        <w:tabs>
          <w:tab w:val="num" w:pos="567"/>
        </w:tabs>
        <w:spacing w:before="120" w:after="100" w:afterAutospacing="1"/>
        <w:ind w:left="1434" w:hanging="357"/>
        <w:jc w:val="both"/>
        <w:rPr>
          <w:rFonts w:cs="Arial"/>
        </w:rPr>
      </w:pPr>
      <w:r w:rsidRPr="00B55C0D">
        <w:rPr>
          <w:rFonts w:cs="Arial"/>
        </w:rPr>
        <w:t xml:space="preserve">57 </w:t>
      </w:r>
      <w:r w:rsidRPr="00B55C0D">
        <w:rPr>
          <w:rFonts w:cs="Arial"/>
          <w:bCs/>
        </w:rPr>
        <w:t>serious assaults</w:t>
      </w:r>
    </w:p>
    <w:p w:rsidR="007E57EF" w:rsidRPr="00B55C0D" w:rsidRDefault="007E57EF" w:rsidP="003D237B">
      <w:pPr>
        <w:numPr>
          <w:ilvl w:val="1"/>
          <w:numId w:val="16"/>
        </w:numPr>
        <w:tabs>
          <w:tab w:val="num" w:pos="567"/>
        </w:tabs>
        <w:spacing w:before="120" w:after="100" w:afterAutospacing="1"/>
        <w:ind w:left="1434" w:hanging="357"/>
        <w:jc w:val="both"/>
        <w:rPr>
          <w:rFonts w:cs="Arial"/>
        </w:rPr>
      </w:pPr>
      <w:r w:rsidRPr="00B55C0D">
        <w:rPr>
          <w:rFonts w:cs="Arial"/>
        </w:rPr>
        <w:t xml:space="preserve">233 </w:t>
      </w:r>
      <w:r w:rsidRPr="00B55C0D">
        <w:rPr>
          <w:rFonts w:cs="Arial"/>
          <w:bCs/>
        </w:rPr>
        <w:t>assaults involving children</w:t>
      </w:r>
    </w:p>
    <w:p w:rsidR="007E57EF" w:rsidRDefault="007E57EF" w:rsidP="003D237B">
      <w:pPr>
        <w:numPr>
          <w:ilvl w:val="1"/>
          <w:numId w:val="16"/>
        </w:numPr>
        <w:tabs>
          <w:tab w:val="num" w:pos="567"/>
        </w:tabs>
        <w:spacing w:before="120" w:after="100" w:afterAutospacing="1"/>
        <w:ind w:left="1434" w:hanging="357"/>
        <w:jc w:val="both"/>
        <w:rPr>
          <w:rFonts w:cs="Arial"/>
        </w:rPr>
      </w:pPr>
      <w:r w:rsidRPr="00B55C0D">
        <w:rPr>
          <w:rFonts w:cs="Arial"/>
        </w:rPr>
        <w:t xml:space="preserve">33 incidents of reported </w:t>
      </w:r>
      <w:r w:rsidRPr="00B55C0D">
        <w:rPr>
          <w:rFonts w:cs="Arial"/>
          <w:bCs/>
        </w:rPr>
        <w:t>sexual assault</w:t>
      </w:r>
      <w:r w:rsidRPr="00B55C0D">
        <w:rPr>
          <w:rFonts w:cs="Arial"/>
          <w:b/>
          <w:bCs/>
        </w:rPr>
        <w:t xml:space="preserve"> </w:t>
      </w:r>
      <w:r w:rsidRPr="00B55C0D">
        <w:rPr>
          <w:rFonts w:cs="Arial"/>
        </w:rPr>
        <w:t>(the v</w:t>
      </w:r>
      <w:r>
        <w:rPr>
          <w:rFonts w:cs="Arial"/>
        </w:rPr>
        <w:t>ast majority involving children)</w:t>
      </w:r>
      <w:r w:rsidR="006048C7">
        <w:rPr>
          <w:rFonts w:cs="Arial"/>
        </w:rPr>
        <w:t>.</w:t>
      </w:r>
      <w:r w:rsidR="00140D1E">
        <w:rPr>
          <w:rStyle w:val="EndnoteReference"/>
          <w:rFonts w:cs="Arial"/>
        </w:rPr>
        <w:endnoteReference w:id="6"/>
      </w:r>
    </w:p>
    <w:p w:rsidR="00035D46" w:rsidRDefault="001A02C9" w:rsidP="003D237B">
      <w:pPr>
        <w:pStyle w:val="ListParagraph"/>
        <w:numPr>
          <w:ilvl w:val="0"/>
          <w:numId w:val="20"/>
        </w:numPr>
        <w:spacing w:before="120" w:after="100" w:afterAutospacing="1"/>
        <w:ind w:left="284" w:hanging="284"/>
        <w:jc w:val="both"/>
        <w:rPr>
          <w:rFonts w:ascii="Arial" w:hAnsi="Arial" w:cs="Arial"/>
          <w:sz w:val="24"/>
          <w:szCs w:val="24"/>
        </w:rPr>
      </w:pPr>
      <w:r w:rsidRPr="007E57EF">
        <w:rPr>
          <w:rFonts w:ascii="Arial" w:hAnsi="Arial" w:cs="Arial"/>
          <w:b/>
          <w:sz w:val="24"/>
          <w:szCs w:val="24"/>
        </w:rPr>
        <w:t>The deprivation of liberty and the exposure to high numbers of mentally unwell adults are causing emotional and developmental disorders amongst children in immigration detention.</w:t>
      </w:r>
      <w:r w:rsidR="00D03B6A" w:rsidRPr="007E57EF">
        <w:rPr>
          <w:rFonts w:ascii="Arial" w:hAnsi="Arial" w:cs="Arial"/>
          <w:b/>
          <w:sz w:val="24"/>
          <w:szCs w:val="24"/>
          <w:lang w:val="en"/>
        </w:rPr>
        <w:t xml:space="preserve"> </w:t>
      </w:r>
      <w:r w:rsidRPr="007E57EF">
        <w:rPr>
          <w:rFonts w:ascii="Arial" w:hAnsi="Arial" w:cs="Arial"/>
          <w:sz w:val="24"/>
          <w:szCs w:val="24"/>
        </w:rPr>
        <w:t>Children are detained in close confinement with adults who suffer</w:t>
      </w:r>
      <w:r w:rsidR="0055744D" w:rsidRPr="007E57EF">
        <w:rPr>
          <w:rFonts w:ascii="Arial" w:hAnsi="Arial" w:cs="Arial"/>
          <w:sz w:val="24"/>
          <w:szCs w:val="24"/>
        </w:rPr>
        <w:t xml:space="preserve"> high levels of mental </w:t>
      </w:r>
      <w:r w:rsidR="0055744D" w:rsidRPr="00035D46">
        <w:rPr>
          <w:rFonts w:ascii="Arial" w:hAnsi="Arial" w:cs="Arial"/>
          <w:sz w:val="24"/>
          <w:szCs w:val="24"/>
        </w:rPr>
        <w:t>illness.</w:t>
      </w:r>
      <w:r w:rsidR="0055744D" w:rsidRPr="007E57EF">
        <w:rPr>
          <w:rFonts w:ascii="Arial" w:hAnsi="Arial" w:cs="Arial"/>
          <w:sz w:val="24"/>
          <w:szCs w:val="24"/>
        </w:rPr>
        <w:t xml:space="preserve"> </w:t>
      </w:r>
      <w:r w:rsidRPr="007E57EF">
        <w:rPr>
          <w:rFonts w:ascii="Arial" w:hAnsi="Arial" w:cs="Arial"/>
          <w:sz w:val="24"/>
          <w:szCs w:val="24"/>
        </w:rPr>
        <w:t>Thirty percent of adults detained with children have moderate to severe mental illnesses.</w:t>
      </w:r>
      <w:r w:rsidR="00220D52">
        <w:rPr>
          <w:rStyle w:val="EndnoteReference"/>
          <w:rFonts w:cs="Arial"/>
          <w:szCs w:val="24"/>
        </w:rPr>
        <w:endnoteReference w:id="7"/>
      </w:r>
    </w:p>
    <w:p w:rsidR="00802C81" w:rsidRPr="00802C81" w:rsidRDefault="00035D46" w:rsidP="003D237B">
      <w:pPr>
        <w:pStyle w:val="ListParagraph"/>
        <w:numPr>
          <w:ilvl w:val="0"/>
          <w:numId w:val="20"/>
        </w:numPr>
        <w:spacing w:before="120" w:after="100" w:afterAutospacing="1"/>
        <w:ind w:left="284" w:hanging="284"/>
        <w:jc w:val="both"/>
        <w:rPr>
          <w:rFonts w:ascii="Arial" w:hAnsi="Arial" w:cs="Arial"/>
          <w:sz w:val="24"/>
          <w:szCs w:val="24"/>
        </w:rPr>
      </w:pPr>
      <w:r w:rsidRPr="00035D46">
        <w:rPr>
          <w:rFonts w:ascii="Arial" w:hAnsi="Arial" w:cs="Arial"/>
          <w:b/>
          <w:sz w:val="24"/>
          <w:szCs w:val="24"/>
        </w:rPr>
        <w:t>The harsh and cramped living conditions on Christmas Island created particular physical illnesses amongst children</w:t>
      </w:r>
      <w:r w:rsidR="00140D1E">
        <w:rPr>
          <w:rFonts w:ascii="Arial" w:hAnsi="Arial" w:cs="Arial"/>
          <w:b/>
          <w:sz w:val="24"/>
          <w:szCs w:val="24"/>
        </w:rPr>
        <w:t>.</w:t>
      </w:r>
      <w:r w:rsidR="007F115F" w:rsidRPr="000A06D9">
        <w:rPr>
          <w:rStyle w:val="EndnoteReference"/>
          <w:rFonts w:cs="Arial"/>
          <w:szCs w:val="24"/>
        </w:rPr>
        <w:endnoteReference w:id="8"/>
      </w:r>
    </w:p>
    <w:p w:rsidR="00802C81" w:rsidRPr="00802C81" w:rsidRDefault="00802C81" w:rsidP="003D237B">
      <w:pPr>
        <w:pStyle w:val="ListParagraph"/>
        <w:numPr>
          <w:ilvl w:val="0"/>
          <w:numId w:val="20"/>
        </w:numPr>
        <w:spacing w:before="120" w:after="100" w:afterAutospacing="1"/>
        <w:ind w:left="284" w:hanging="284"/>
        <w:jc w:val="both"/>
        <w:rPr>
          <w:rFonts w:ascii="Arial" w:hAnsi="Arial" w:cs="Arial"/>
          <w:b/>
          <w:sz w:val="24"/>
          <w:szCs w:val="24"/>
        </w:rPr>
      </w:pPr>
      <w:r w:rsidRPr="00802C81">
        <w:rPr>
          <w:rFonts w:ascii="Arial" w:hAnsi="Arial" w:cs="Arial"/>
          <w:b/>
          <w:sz w:val="24"/>
          <w:szCs w:val="24"/>
        </w:rPr>
        <w:t>Some children have been detained for longer than 27 months because at least one of their parents has an adverse security assessment by ASIO.</w:t>
      </w:r>
      <w:r w:rsidR="007F115F" w:rsidRPr="000A06D9">
        <w:rPr>
          <w:rStyle w:val="EndnoteReference"/>
          <w:rFonts w:cs="Arial"/>
          <w:szCs w:val="24"/>
        </w:rPr>
        <w:endnoteReference w:id="9"/>
      </w:r>
      <w:r w:rsidRPr="000A06D9">
        <w:rPr>
          <w:rFonts w:ascii="Arial" w:hAnsi="Arial" w:cs="Arial"/>
          <w:sz w:val="24"/>
          <w:szCs w:val="24"/>
        </w:rPr>
        <w:t xml:space="preserve"> </w:t>
      </w:r>
    </w:p>
    <w:p w:rsidR="00E74099" w:rsidRPr="00E74099" w:rsidRDefault="00E74099" w:rsidP="003D237B">
      <w:pPr>
        <w:jc w:val="both"/>
        <w:rPr>
          <w:b/>
          <w:color w:val="0070C0"/>
          <w:lang w:val="en"/>
        </w:rPr>
      </w:pPr>
      <w:r w:rsidRPr="00E74099">
        <w:rPr>
          <w:b/>
          <w:color w:val="0070C0"/>
          <w:lang w:val="en"/>
        </w:rPr>
        <w:t>Specific legal findings</w:t>
      </w:r>
    </w:p>
    <w:p w:rsidR="00D458DA" w:rsidRDefault="007A2705" w:rsidP="003D237B">
      <w:pPr>
        <w:jc w:val="both"/>
        <w:rPr>
          <w:rFonts w:cs="Arial"/>
        </w:rPr>
      </w:pPr>
      <w:r>
        <w:rPr>
          <w:rFonts w:cs="Arial"/>
        </w:rPr>
        <w:t>T</w:t>
      </w:r>
      <w:r w:rsidR="00441984">
        <w:rPr>
          <w:rFonts w:cs="Arial"/>
        </w:rPr>
        <w:t>he Commission</w:t>
      </w:r>
      <w:r>
        <w:rPr>
          <w:rFonts w:cs="Arial"/>
        </w:rPr>
        <w:t xml:space="preserve"> made </w:t>
      </w:r>
      <w:r w:rsidR="00774185">
        <w:rPr>
          <w:rFonts w:cs="Arial"/>
        </w:rPr>
        <w:t xml:space="preserve">specific </w:t>
      </w:r>
      <w:r>
        <w:rPr>
          <w:rFonts w:cs="Arial"/>
        </w:rPr>
        <w:t>legal findings that:</w:t>
      </w:r>
    </w:p>
    <w:p w:rsidR="00774185" w:rsidRDefault="007A2705" w:rsidP="003D237B">
      <w:pPr>
        <w:pStyle w:val="ListParagraph"/>
        <w:numPr>
          <w:ilvl w:val="0"/>
          <w:numId w:val="20"/>
        </w:numPr>
        <w:spacing w:before="120" w:after="100" w:afterAutospacing="1"/>
        <w:ind w:left="284" w:hanging="284"/>
        <w:jc w:val="both"/>
        <w:rPr>
          <w:rFonts w:ascii="Arial" w:hAnsi="Arial" w:cs="Arial"/>
          <w:sz w:val="24"/>
          <w:szCs w:val="24"/>
        </w:rPr>
      </w:pPr>
      <w:r w:rsidRPr="00774185">
        <w:rPr>
          <w:rFonts w:ascii="Arial" w:hAnsi="Arial" w:cs="Arial"/>
          <w:sz w:val="24"/>
          <w:szCs w:val="24"/>
        </w:rPr>
        <w:t xml:space="preserve">The failure of the Commonwealth to provide education to school aged children on Christmas Island between July 2013 and July 2014 is a </w:t>
      </w:r>
      <w:r w:rsidRPr="006E04EE">
        <w:rPr>
          <w:rFonts w:ascii="Arial" w:hAnsi="Arial" w:cs="Arial"/>
          <w:b/>
          <w:sz w:val="24"/>
          <w:szCs w:val="24"/>
        </w:rPr>
        <w:t>breach of the right to education in article 28(1)</w:t>
      </w:r>
      <w:r w:rsidRPr="00774185">
        <w:rPr>
          <w:rFonts w:ascii="Arial" w:hAnsi="Arial" w:cs="Arial"/>
          <w:sz w:val="24"/>
          <w:szCs w:val="24"/>
        </w:rPr>
        <w:t xml:space="preserve"> </w:t>
      </w:r>
      <w:r w:rsidRPr="00371643">
        <w:rPr>
          <w:rFonts w:ascii="Arial" w:hAnsi="Arial" w:cs="Arial"/>
          <w:b/>
          <w:sz w:val="24"/>
          <w:szCs w:val="24"/>
        </w:rPr>
        <w:t xml:space="preserve">of the </w:t>
      </w:r>
      <w:r w:rsidRPr="00371643">
        <w:rPr>
          <w:rStyle w:val="Emphasis"/>
          <w:rFonts w:ascii="Arial" w:hAnsi="Arial" w:cs="Arial"/>
          <w:b/>
          <w:sz w:val="24"/>
          <w:szCs w:val="24"/>
        </w:rPr>
        <w:t>Convention on the Rights of the Child</w:t>
      </w:r>
      <w:r w:rsidRPr="00774185">
        <w:rPr>
          <w:rFonts w:ascii="Arial" w:hAnsi="Arial" w:cs="Arial"/>
          <w:sz w:val="24"/>
          <w:szCs w:val="24"/>
        </w:rPr>
        <w:t>.</w:t>
      </w:r>
      <w:r w:rsidR="00762FA5">
        <w:rPr>
          <w:rStyle w:val="EndnoteReference"/>
          <w:rFonts w:cs="Arial"/>
          <w:szCs w:val="24"/>
        </w:rPr>
        <w:endnoteReference w:id="10"/>
      </w:r>
    </w:p>
    <w:p w:rsidR="00C42B19" w:rsidRPr="00C42B19" w:rsidRDefault="00774185" w:rsidP="003D237B">
      <w:pPr>
        <w:pStyle w:val="ListParagraph"/>
        <w:numPr>
          <w:ilvl w:val="0"/>
          <w:numId w:val="20"/>
        </w:numPr>
        <w:spacing w:before="120" w:after="100" w:afterAutospacing="1"/>
        <w:ind w:left="284" w:hanging="284"/>
        <w:jc w:val="both"/>
        <w:rPr>
          <w:rFonts w:ascii="Arial" w:hAnsi="Arial" w:cs="Arial"/>
          <w:sz w:val="24"/>
          <w:szCs w:val="24"/>
        </w:rPr>
      </w:pPr>
      <w:r w:rsidRPr="00774185">
        <w:rPr>
          <w:rFonts w:ascii="Arial" w:eastAsia="Times New Roman" w:hAnsi="Arial" w:cs="Arial"/>
          <w:sz w:val="24"/>
          <w:szCs w:val="24"/>
        </w:rPr>
        <w:t xml:space="preserve">The failure of the Commonwealth to remove unaccompanied children from detention environments which inhibit recovery from past trauma is a </w:t>
      </w:r>
      <w:r w:rsidRPr="006E04EE">
        <w:rPr>
          <w:rFonts w:ascii="Arial" w:eastAsia="Times New Roman" w:hAnsi="Arial" w:cs="Arial"/>
          <w:b/>
          <w:sz w:val="24"/>
          <w:szCs w:val="24"/>
        </w:rPr>
        <w:t xml:space="preserve">breach of article 39 </w:t>
      </w:r>
      <w:r w:rsidRPr="00762FA5">
        <w:rPr>
          <w:rFonts w:ascii="Arial" w:eastAsia="Times New Roman" w:hAnsi="Arial" w:cs="Arial"/>
          <w:b/>
          <w:sz w:val="24"/>
          <w:szCs w:val="24"/>
        </w:rPr>
        <w:t xml:space="preserve">of the </w:t>
      </w:r>
      <w:r w:rsidRPr="00762FA5">
        <w:rPr>
          <w:rFonts w:ascii="Arial" w:eastAsia="Times New Roman" w:hAnsi="Arial" w:cs="Arial"/>
          <w:b/>
          <w:i/>
          <w:iCs/>
          <w:sz w:val="24"/>
          <w:szCs w:val="24"/>
        </w:rPr>
        <w:t>Convention on the Rights of the Child</w:t>
      </w:r>
      <w:r w:rsidR="00762FA5">
        <w:rPr>
          <w:rFonts w:ascii="Arial" w:eastAsia="Times New Roman" w:hAnsi="Arial" w:cs="Arial"/>
          <w:i/>
          <w:iCs/>
          <w:sz w:val="24"/>
          <w:szCs w:val="24"/>
        </w:rPr>
        <w:t>.</w:t>
      </w:r>
      <w:r w:rsidR="00762FA5" w:rsidRPr="0069294D">
        <w:rPr>
          <w:rStyle w:val="EndnoteReference"/>
          <w:rFonts w:eastAsia="Times New Roman" w:cs="Arial"/>
          <w:iCs/>
          <w:szCs w:val="24"/>
        </w:rPr>
        <w:endnoteReference w:id="11"/>
      </w:r>
    </w:p>
    <w:p w:rsidR="00C42B19" w:rsidRPr="006E04EE" w:rsidRDefault="00774185" w:rsidP="003D237B">
      <w:pPr>
        <w:pStyle w:val="ListParagraph"/>
        <w:numPr>
          <w:ilvl w:val="0"/>
          <w:numId w:val="20"/>
        </w:numPr>
        <w:spacing w:before="120" w:after="100" w:afterAutospacing="1"/>
        <w:ind w:left="284" w:hanging="284"/>
        <w:jc w:val="both"/>
        <w:rPr>
          <w:rFonts w:ascii="Arial" w:hAnsi="Arial" w:cs="Arial"/>
          <w:b/>
          <w:sz w:val="24"/>
          <w:szCs w:val="24"/>
        </w:rPr>
      </w:pPr>
      <w:r w:rsidRPr="00C42B19">
        <w:rPr>
          <w:rFonts w:ascii="Arial" w:eastAsia="Times New Roman" w:hAnsi="Arial" w:cs="Arial"/>
          <w:sz w:val="24"/>
          <w:szCs w:val="24"/>
        </w:rPr>
        <w:t xml:space="preserve">The failure of the Minister for Immigration and Border Protection to release unaccompanied children from detention </w:t>
      </w:r>
      <w:r w:rsidRPr="006E04EE">
        <w:rPr>
          <w:rFonts w:ascii="Arial" w:eastAsia="Times New Roman" w:hAnsi="Arial" w:cs="Arial"/>
          <w:b/>
          <w:sz w:val="24"/>
          <w:szCs w:val="24"/>
        </w:rPr>
        <w:t xml:space="preserve">breaches the </w:t>
      </w:r>
      <w:r w:rsidRPr="006E04EE">
        <w:rPr>
          <w:rFonts w:ascii="Arial" w:eastAsia="Times New Roman" w:hAnsi="Arial" w:cs="Arial"/>
          <w:b/>
          <w:i/>
          <w:iCs/>
          <w:sz w:val="24"/>
          <w:szCs w:val="24"/>
        </w:rPr>
        <w:t xml:space="preserve">Convention on the Rights of the Child, </w:t>
      </w:r>
      <w:r w:rsidRPr="006E04EE">
        <w:rPr>
          <w:rFonts w:ascii="Arial" w:eastAsia="Times New Roman" w:hAnsi="Arial" w:cs="Arial"/>
          <w:b/>
          <w:sz w:val="24"/>
          <w:szCs w:val="24"/>
        </w:rPr>
        <w:t>articles 3(1)</w:t>
      </w:r>
      <w:r w:rsidR="00C42B19" w:rsidRPr="006E04EE">
        <w:rPr>
          <w:rFonts w:ascii="Arial" w:eastAsia="Times New Roman" w:hAnsi="Arial" w:cs="Arial"/>
          <w:b/>
          <w:sz w:val="24"/>
          <w:szCs w:val="24"/>
        </w:rPr>
        <w:t xml:space="preserve"> </w:t>
      </w:r>
      <w:r w:rsidRPr="006E04EE">
        <w:rPr>
          <w:rFonts w:ascii="Arial" w:eastAsia="Times New Roman" w:hAnsi="Arial" w:cs="Arial"/>
          <w:b/>
          <w:sz w:val="24"/>
          <w:szCs w:val="24"/>
        </w:rPr>
        <w:t>and</w:t>
      </w:r>
      <w:r w:rsidR="00C42B19" w:rsidRPr="006E04EE">
        <w:rPr>
          <w:rFonts w:ascii="Arial" w:eastAsia="Times New Roman" w:hAnsi="Arial" w:cs="Arial"/>
          <w:b/>
          <w:sz w:val="24"/>
          <w:szCs w:val="24"/>
        </w:rPr>
        <w:t xml:space="preserve"> </w:t>
      </w:r>
      <w:r w:rsidR="00C42B19" w:rsidRPr="006E04EE">
        <w:rPr>
          <w:rFonts w:ascii="Arial" w:eastAsia="Times New Roman" w:hAnsi="Arial" w:cs="Arial"/>
          <w:b/>
          <w:iCs/>
          <w:sz w:val="24"/>
          <w:szCs w:val="24"/>
        </w:rPr>
        <w:t>18(1)</w:t>
      </w:r>
      <w:r w:rsidR="00762FA5">
        <w:rPr>
          <w:rFonts w:ascii="Arial" w:eastAsia="Times New Roman" w:hAnsi="Arial" w:cs="Arial"/>
          <w:b/>
          <w:iCs/>
          <w:sz w:val="24"/>
          <w:szCs w:val="24"/>
        </w:rPr>
        <w:t>.</w:t>
      </w:r>
      <w:r w:rsidR="00762FA5" w:rsidRPr="00DE3C97">
        <w:rPr>
          <w:rStyle w:val="EndnoteReference"/>
          <w:rFonts w:eastAsia="Times New Roman" w:cs="Arial"/>
          <w:iCs/>
          <w:szCs w:val="24"/>
        </w:rPr>
        <w:endnoteReference w:id="12"/>
      </w:r>
    </w:p>
    <w:p w:rsidR="0039357B" w:rsidRPr="006E04EE" w:rsidRDefault="00774185" w:rsidP="003D237B">
      <w:pPr>
        <w:pStyle w:val="ListParagraph"/>
        <w:numPr>
          <w:ilvl w:val="0"/>
          <w:numId w:val="20"/>
        </w:numPr>
        <w:spacing w:before="120" w:after="100" w:afterAutospacing="1"/>
        <w:ind w:left="284" w:hanging="284"/>
        <w:jc w:val="both"/>
        <w:rPr>
          <w:rFonts w:ascii="Arial" w:hAnsi="Arial" w:cs="Arial"/>
          <w:b/>
          <w:sz w:val="24"/>
          <w:szCs w:val="24"/>
        </w:rPr>
      </w:pPr>
      <w:r w:rsidRPr="0039357B">
        <w:rPr>
          <w:rFonts w:ascii="Arial" w:eastAsia="Times New Roman" w:hAnsi="Arial" w:cs="Arial"/>
          <w:sz w:val="24"/>
          <w:szCs w:val="24"/>
        </w:rPr>
        <w:t xml:space="preserve">Current guardianship arrangements do not afford unaccompanied children special protection and </w:t>
      </w:r>
      <w:r w:rsidR="00EF46C1" w:rsidRPr="0039357B">
        <w:rPr>
          <w:rFonts w:ascii="Arial" w:eastAsia="Times New Roman" w:hAnsi="Arial" w:cs="Arial"/>
          <w:sz w:val="24"/>
          <w:szCs w:val="24"/>
        </w:rPr>
        <w:t xml:space="preserve">assistance, </w:t>
      </w:r>
      <w:r w:rsidR="00EF46C1" w:rsidRPr="006E04EE">
        <w:rPr>
          <w:rFonts w:ascii="Arial" w:eastAsia="Times New Roman" w:hAnsi="Arial" w:cs="Arial"/>
          <w:b/>
          <w:sz w:val="24"/>
          <w:szCs w:val="24"/>
        </w:rPr>
        <w:t>in breach of article 20(1) and (2)</w:t>
      </w:r>
      <w:r w:rsidRPr="006E04EE">
        <w:rPr>
          <w:rFonts w:ascii="Arial" w:eastAsia="Times New Roman" w:hAnsi="Arial" w:cs="Arial"/>
          <w:b/>
          <w:sz w:val="24"/>
          <w:szCs w:val="24"/>
        </w:rPr>
        <w:t xml:space="preserve"> </w:t>
      </w:r>
      <w:r w:rsidR="00EF46C1" w:rsidRPr="006E04EE">
        <w:rPr>
          <w:rFonts w:ascii="Arial" w:eastAsia="Times New Roman" w:hAnsi="Arial" w:cs="Arial"/>
          <w:b/>
          <w:sz w:val="24"/>
          <w:szCs w:val="24"/>
        </w:rPr>
        <w:t xml:space="preserve">of </w:t>
      </w:r>
      <w:r w:rsidRPr="006E04EE">
        <w:rPr>
          <w:rFonts w:ascii="Arial" w:eastAsia="Times New Roman" w:hAnsi="Arial" w:cs="Arial"/>
          <w:b/>
          <w:sz w:val="24"/>
          <w:szCs w:val="24"/>
        </w:rPr>
        <w:t xml:space="preserve">the </w:t>
      </w:r>
      <w:r w:rsidRPr="006E04EE">
        <w:rPr>
          <w:rFonts w:ascii="Arial" w:eastAsia="Times New Roman" w:hAnsi="Arial" w:cs="Arial"/>
          <w:b/>
          <w:i/>
          <w:iCs/>
          <w:sz w:val="24"/>
          <w:szCs w:val="24"/>
        </w:rPr>
        <w:t>Convention on the Rights of the Child</w:t>
      </w:r>
      <w:r w:rsidR="0039357B" w:rsidRPr="006E04EE">
        <w:rPr>
          <w:rFonts w:ascii="Arial" w:eastAsia="Times New Roman" w:hAnsi="Arial" w:cs="Arial"/>
          <w:b/>
          <w:sz w:val="24"/>
          <w:szCs w:val="24"/>
        </w:rPr>
        <w:t>.</w:t>
      </w:r>
      <w:r w:rsidR="00DA7983" w:rsidRPr="00DE3C97">
        <w:rPr>
          <w:rStyle w:val="EndnoteReference"/>
          <w:rFonts w:eastAsia="Times New Roman" w:cs="Arial"/>
          <w:szCs w:val="24"/>
        </w:rPr>
        <w:endnoteReference w:id="13"/>
      </w:r>
    </w:p>
    <w:p w:rsidR="0039357B" w:rsidRPr="006E04EE" w:rsidRDefault="00774185" w:rsidP="003D237B">
      <w:pPr>
        <w:pStyle w:val="ListParagraph"/>
        <w:numPr>
          <w:ilvl w:val="0"/>
          <w:numId w:val="20"/>
        </w:numPr>
        <w:spacing w:before="120" w:after="100" w:afterAutospacing="1"/>
        <w:ind w:left="284" w:hanging="284"/>
        <w:jc w:val="both"/>
        <w:rPr>
          <w:rFonts w:ascii="Arial" w:hAnsi="Arial" w:cs="Arial"/>
          <w:b/>
          <w:sz w:val="24"/>
          <w:szCs w:val="24"/>
        </w:rPr>
      </w:pPr>
      <w:r w:rsidRPr="0039357B">
        <w:rPr>
          <w:rFonts w:ascii="Arial" w:eastAsia="Times New Roman" w:hAnsi="Arial" w:cs="Arial"/>
          <w:sz w:val="24"/>
          <w:szCs w:val="24"/>
        </w:rPr>
        <w:t xml:space="preserve">The failure of the Commonwealth to appoint an independent guardian for unaccompanied children in immigration detention </w:t>
      </w:r>
      <w:r w:rsidRPr="006E04EE">
        <w:rPr>
          <w:rFonts w:ascii="Arial" w:eastAsia="Times New Roman" w:hAnsi="Arial" w:cs="Arial"/>
          <w:b/>
          <w:sz w:val="24"/>
          <w:szCs w:val="24"/>
        </w:rPr>
        <w:t xml:space="preserve">breaches the </w:t>
      </w:r>
      <w:r w:rsidRPr="006E04EE">
        <w:rPr>
          <w:rFonts w:ascii="Arial" w:eastAsia="Times New Roman" w:hAnsi="Arial" w:cs="Arial"/>
          <w:b/>
          <w:i/>
          <w:iCs/>
          <w:sz w:val="24"/>
          <w:szCs w:val="24"/>
        </w:rPr>
        <w:t>Convention on the Rights of the Child</w:t>
      </w:r>
      <w:r w:rsidRPr="006E04EE">
        <w:rPr>
          <w:rFonts w:ascii="Arial" w:eastAsia="Times New Roman" w:hAnsi="Arial" w:cs="Arial"/>
          <w:b/>
          <w:sz w:val="24"/>
          <w:szCs w:val="24"/>
        </w:rPr>
        <w:t>, article 20(1).</w:t>
      </w:r>
      <w:r w:rsidR="00932F71" w:rsidRPr="00DE3C97">
        <w:rPr>
          <w:rStyle w:val="EndnoteReference"/>
          <w:rFonts w:eastAsia="Times New Roman" w:cs="Arial"/>
          <w:szCs w:val="24"/>
        </w:rPr>
        <w:endnoteReference w:id="14"/>
      </w:r>
    </w:p>
    <w:p w:rsidR="00774185" w:rsidRPr="006E04EE" w:rsidRDefault="00774185" w:rsidP="003D237B">
      <w:pPr>
        <w:pStyle w:val="ListParagraph"/>
        <w:numPr>
          <w:ilvl w:val="0"/>
          <w:numId w:val="20"/>
        </w:numPr>
        <w:spacing w:before="120" w:after="100" w:afterAutospacing="1"/>
        <w:ind w:left="284" w:hanging="284"/>
        <w:jc w:val="both"/>
        <w:rPr>
          <w:rFonts w:ascii="Arial" w:hAnsi="Arial" w:cs="Arial"/>
          <w:b/>
          <w:sz w:val="24"/>
          <w:szCs w:val="24"/>
        </w:rPr>
      </w:pPr>
      <w:r w:rsidRPr="0039357B">
        <w:rPr>
          <w:rFonts w:ascii="Arial" w:eastAsia="Times New Roman" w:hAnsi="Arial" w:cs="Arial"/>
          <w:sz w:val="24"/>
          <w:szCs w:val="24"/>
        </w:rPr>
        <w:t xml:space="preserve">The decision of the Commonwealth to approve the use of force to transfer unaccompanied children from Charlie Compound to Bravo Compound on 24 March 2014 </w:t>
      </w:r>
      <w:r w:rsidRPr="006E04EE">
        <w:rPr>
          <w:rFonts w:ascii="Arial" w:eastAsia="Times New Roman" w:hAnsi="Arial" w:cs="Arial"/>
          <w:b/>
          <w:sz w:val="24"/>
          <w:szCs w:val="24"/>
        </w:rPr>
        <w:t xml:space="preserve">breaches article 37(c) of the </w:t>
      </w:r>
      <w:r w:rsidRPr="006E04EE">
        <w:rPr>
          <w:rFonts w:ascii="Arial" w:eastAsia="Times New Roman" w:hAnsi="Arial" w:cs="Arial"/>
          <w:b/>
          <w:i/>
          <w:iCs/>
          <w:sz w:val="24"/>
          <w:szCs w:val="24"/>
        </w:rPr>
        <w:t>Convention on the Rights of the Child.</w:t>
      </w:r>
      <w:r w:rsidR="00932F71" w:rsidRPr="00DE3C97">
        <w:rPr>
          <w:rStyle w:val="EndnoteReference"/>
          <w:rFonts w:eastAsia="Times New Roman" w:cs="Arial"/>
          <w:iCs/>
          <w:szCs w:val="24"/>
        </w:rPr>
        <w:endnoteReference w:id="15"/>
      </w:r>
    </w:p>
    <w:p w:rsidR="008A058A" w:rsidRPr="008A058A" w:rsidRDefault="00E74099" w:rsidP="003D237B">
      <w:pPr>
        <w:jc w:val="both"/>
        <w:rPr>
          <w:b/>
          <w:color w:val="0070C0"/>
          <w:lang w:val="en"/>
        </w:rPr>
      </w:pPr>
      <w:r w:rsidRPr="00E74099">
        <w:rPr>
          <w:b/>
          <w:color w:val="0070C0"/>
          <w:lang w:val="en"/>
        </w:rPr>
        <w:t xml:space="preserve">Findings and concerns in relation to children </w:t>
      </w:r>
      <w:r w:rsidR="00F12577">
        <w:rPr>
          <w:b/>
          <w:color w:val="0070C0"/>
          <w:lang w:val="en"/>
        </w:rPr>
        <w:t xml:space="preserve">detained </w:t>
      </w:r>
      <w:r w:rsidRPr="00E74099">
        <w:rPr>
          <w:b/>
          <w:color w:val="0070C0"/>
          <w:lang w:val="en"/>
        </w:rPr>
        <w:t>in Nauru</w:t>
      </w:r>
      <w:r w:rsidR="007D347D">
        <w:rPr>
          <w:rStyle w:val="EndnoteReference"/>
          <w:b/>
          <w:color w:val="0070C0"/>
          <w:lang w:val="en"/>
        </w:rPr>
        <w:endnoteReference w:id="16"/>
      </w:r>
    </w:p>
    <w:p w:rsidR="008A058A" w:rsidRPr="008A058A" w:rsidRDefault="008A058A" w:rsidP="003D237B">
      <w:pPr>
        <w:jc w:val="both"/>
        <w:rPr>
          <w:lang w:val="en"/>
        </w:rPr>
      </w:pPr>
      <w:r w:rsidRPr="00D367B6">
        <w:rPr>
          <w:lang w:val="en"/>
        </w:rPr>
        <w:t xml:space="preserve">In August 2012 Australia re-introduced a system of third country processing for asylum seekers who come by boat, including children. Under this system, asylum seekers who arrive without a valid visa must be transferred to a ‘regional processing </w:t>
      </w:r>
      <w:proofErr w:type="spellStart"/>
      <w:r w:rsidRPr="00D367B6">
        <w:rPr>
          <w:lang w:val="en"/>
        </w:rPr>
        <w:t>centre</w:t>
      </w:r>
      <w:proofErr w:type="spellEnd"/>
      <w:r w:rsidRPr="00D367B6">
        <w:rPr>
          <w:lang w:val="en"/>
        </w:rPr>
        <w:t xml:space="preserve">’ in a third country (currently Nauru or Papua New Guinea) as soon as is reasonably practicable, unless the Minister for Immigration decides otherwise. </w:t>
      </w:r>
      <w:r w:rsidR="00F00585" w:rsidRPr="00D367B6">
        <w:rPr>
          <w:lang w:val="en"/>
        </w:rPr>
        <w:t xml:space="preserve">At the time of the Inquiry there were no children detained in the </w:t>
      </w:r>
      <w:proofErr w:type="spellStart"/>
      <w:r w:rsidR="00F00585" w:rsidRPr="00D367B6">
        <w:rPr>
          <w:lang w:val="en"/>
        </w:rPr>
        <w:t>centre</w:t>
      </w:r>
      <w:proofErr w:type="spellEnd"/>
      <w:r w:rsidR="00F00585" w:rsidRPr="00D367B6">
        <w:rPr>
          <w:lang w:val="en"/>
        </w:rPr>
        <w:t xml:space="preserve"> in PNG.</w:t>
      </w:r>
    </w:p>
    <w:p w:rsidR="009D70D7" w:rsidRDefault="009D70D7" w:rsidP="003D237B">
      <w:pPr>
        <w:jc w:val="both"/>
        <w:rPr>
          <w:rFonts w:cs="Arial"/>
        </w:rPr>
      </w:pPr>
      <w:r>
        <w:rPr>
          <w:rFonts w:cs="Arial"/>
        </w:rPr>
        <w:t xml:space="preserve">The Inquiry team could not travel to Nauru, but </w:t>
      </w:r>
      <w:r w:rsidRPr="00677072">
        <w:rPr>
          <w:rFonts w:eastAsia="Times New Roman" w:cs="Arial"/>
        </w:rPr>
        <w:t xml:space="preserve">accepted evidence from people with first-hand experience of the situation in the </w:t>
      </w:r>
      <w:r w:rsidR="00BA3FF5">
        <w:rPr>
          <w:rFonts w:eastAsia="Times New Roman" w:cs="Arial"/>
        </w:rPr>
        <w:t>centre</w:t>
      </w:r>
      <w:r>
        <w:rPr>
          <w:rFonts w:eastAsia="Times New Roman" w:cs="Arial"/>
        </w:rPr>
        <w:t xml:space="preserve"> on the island. The Inquiry team received </w:t>
      </w:r>
      <w:r w:rsidRPr="00677072">
        <w:rPr>
          <w:rFonts w:eastAsia="Times New Roman" w:cs="Arial"/>
        </w:rPr>
        <w:t xml:space="preserve">written submissions from children and adults detained in the </w:t>
      </w:r>
      <w:r>
        <w:rPr>
          <w:rFonts w:eastAsia="Times New Roman" w:cs="Arial"/>
        </w:rPr>
        <w:t xml:space="preserve">centre in Nauru, and </w:t>
      </w:r>
      <w:r w:rsidRPr="00677072">
        <w:rPr>
          <w:rFonts w:eastAsia="Times New Roman" w:cs="Arial"/>
        </w:rPr>
        <w:t xml:space="preserve">evidence </w:t>
      </w:r>
      <w:r>
        <w:rPr>
          <w:rFonts w:eastAsia="Times New Roman" w:cs="Arial"/>
        </w:rPr>
        <w:t xml:space="preserve">from doctors, </w:t>
      </w:r>
      <w:r w:rsidRPr="00677072">
        <w:rPr>
          <w:rFonts w:eastAsia="Times New Roman" w:cs="Arial"/>
        </w:rPr>
        <w:t xml:space="preserve">teachers and child </w:t>
      </w:r>
      <w:r>
        <w:rPr>
          <w:rFonts w:eastAsia="Times New Roman" w:cs="Arial"/>
        </w:rPr>
        <w:t xml:space="preserve">welfare </w:t>
      </w:r>
      <w:r w:rsidRPr="00677072">
        <w:rPr>
          <w:rFonts w:eastAsia="Times New Roman" w:cs="Arial"/>
        </w:rPr>
        <w:t>w</w:t>
      </w:r>
      <w:r>
        <w:rPr>
          <w:rFonts w:eastAsia="Times New Roman" w:cs="Arial"/>
        </w:rPr>
        <w:t>orkers who had worked in the centre</w:t>
      </w:r>
      <w:r w:rsidRPr="00677072">
        <w:rPr>
          <w:rFonts w:eastAsia="Times New Roman" w:cs="Arial"/>
        </w:rPr>
        <w:t>.</w:t>
      </w:r>
      <w:r>
        <w:rPr>
          <w:rStyle w:val="EndnoteReference"/>
          <w:rFonts w:eastAsia="Times New Roman" w:cs="Arial"/>
        </w:rPr>
        <w:endnoteReference w:id="17"/>
      </w:r>
    </w:p>
    <w:p w:rsidR="0039357B" w:rsidRPr="007C6EFE" w:rsidRDefault="00441984" w:rsidP="003D237B">
      <w:pPr>
        <w:jc w:val="both"/>
        <w:rPr>
          <w:rFonts w:cs="Arial"/>
        </w:rPr>
      </w:pPr>
      <w:r>
        <w:rPr>
          <w:rFonts w:cs="Arial"/>
        </w:rPr>
        <w:t>The Commission</w:t>
      </w:r>
      <w:r w:rsidR="007C6EFE" w:rsidRPr="007C6EFE">
        <w:rPr>
          <w:rFonts w:cs="Arial"/>
        </w:rPr>
        <w:t xml:space="preserve"> </w:t>
      </w:r>
      <w:r w:rsidR="004062BE" w:rsidRPr="007C6EFE">
        <w:rPr>
          <w:rFonts w:cs="Arial"/>
        </w:rPr>
        <w:t xml:space="preserve">made the following </w:t>
      </w:r>
      <w:r w:rsidR="007C6EFE" w:rsidRPr="007C6EFE">
        <w:rPr>
          <w:rFonts w:cs="Arial"/>
        </w:rPr>
        <w:t>findings regarding Australia’s</w:t>
      </w:r>
      <w:r w:rsidR="004062BE" w:rsidRPr="007C6EFE">
        <w:rPr>
          <w:rFonts w:cs="Arial"/>
        </w:rPr>
        <w:t xml:space="preserve"> transfer </w:t>
      </w:r>
      <w:r w:rsidR="007C6EFE" w:rsidRPr="007C6EFE">
        <w:rPr>
          <w:rFonts w:cs="Arial"/>
        </w:rPr>
        <w:t>of child asylum seekers to</w:t>
      </w:r>
      <w:r w:rsidR="004062BE" w:rsidRPr="007C6EFE">
        <w:rPr>
          <w:rFonts w:cs="Arial"/>
        </w:rPr>
        <w:t xml:space="preserve"> Nauru:</w:t>
      </w:r>
    </w:p>
    <w:p w:rsidR="007C6EFE" w:rsidRPr="007C6EFE" w:rsidRDefault="00FF76B3" w:rsidP="003D237B">
      <w:pPr>
        <w:pStyle w:val="ListParagraph"/>
        <w:numPr>
          <w:ilvl w:val="0"/>
          <w:numId w:val="21"/>
        </w:numPr>
        <w:jc w:val="both"/>
        <w:rPr>
          <w:rFonts w:ascii="Arial" w:hAnsi="Arial" w:cs="Arial"/>
          <w:sz w:val="24"/>
          <w:szCs w:val="24"/>
        </w:rPr>
      </w:pPr>
      <w:r w:rsidRPr="007C6EFE">
        <w:rPr>
          <w:rFonts w:ascii="Arial" w:hAnsi="Arial" w:cs="Arial"/>
          <w:sz w:val="24"/>
          <w:szCs w:val="24"/>
        </w:rPr>
        <w:t>Children on Nauru are suffering from extreme levels of physical, emotional, psycholog</w:t>
      </w:r>
      <w:r w:rsidR="005B3956">
        <w:rPr>
          <w:rFonts w:ascii="Arial" w:hAnsi="Arial" w:cs="Arial"/>
          <w:sz w:val="24"/>
          <w:szCs w:val="24"/>
        </w:rPr>
        <w:t>ical and developmental distress</w:t>
      </w:r>
    </w:p>
    <w:p w:rsidR="007C6EFE" w:rsidRPr="007C6EFE" w:rsidRDefault="007C6EFE" w:rsidP="003D237B">
      <w:pPr>
        <w:pStyle w:val="ListParagraph"/>
        <w:jc w:val="both"/>
        <w:rPr>
          <w:rFonts w:ascii="Arial" w:hAnsi="Arial" w:cs="Arial"/>
          <w:sz w:val="24"/>
          <w:szCs w:val="24"/>
        </w:rPr>
      </w:pPr>
    </w:p>
    <w:p w:rsidR="007C6EFE" w:rsidRPr="007C6EFE" w:rsidRDefault="001865BE" w:rsidP="003D237B">
      <w:pPr>
        <w:pStyle w:val="ListParagraph"/>
        <w:numPr>
          <w:ilvl w:val="0"/>
          <w:numId w:val="21"/>
        </w:numPr>
        <w:jc w:val="both"/>
        <w:rPr>
          <w:rFonts w:ascii="Arial" w:hAnsi="Arial" w:cs="Arial"/>
          <w:sz w:val="24"/>
          <w:szCs w:val="24"/>
        </w:rPr>
      </w:pPr>
      <w:r w:rsidRPr="007C6EFE">
        <w:rPr>
          <w:rFonts w:ascii="Arial" w:hAnsi="Arial" w:cs="Arial"/>
          <w:sz w:val="24"/>
          <w:szCs w:val="24"/>
        </w:rPr>
        <w:t xml:space="preserve">the inevitable and foreseeable consequence of Australia’s transfer of children to Nauru is that they would be detained in breach of article 37(b) of the </w:t>
      </w:r>
      <w:r w:rsidRPr="007C6EFE">
        <w:rPr>
          <w:rStyle w:val="Emphasis"/>
          <w:rFonts w:ascii="Arial" w:hAnsi="Arial" w:cs="Arial"/>
          <w:sz w:val="24"/>
          <w:szCs w:val="24"/>
        </w:rPr>
        <w:t>Convention on the Rights of the Child</w:t>
      </w:r>
    </w:p>
    <w:p w:rsidR="007C6EFE" w:rsidRPr="007C6EFE" w:rsidRDefault="007C6EFE" w:rsidP="003D237B">
      <w:pPr>
        <w:pStyle w:val="ListParagraph"/>
        <w:jc w:val="both"/>
        <w:rPr>
          <w:rFonts w:ascii="Arial" w:hAnsi="Arial" w:cs="Arial"/>
          <w:sz w:val="24"/>
          <w:szCs w:val="24"/>
        </w:rPr>
      </w:pPr>
    </w:p>
    <w:p w:rsidR="001865BE" w:rsidRPr="007C6EFE" w:rsidRDefault="001865BE" w:rsidP="003D237B">
      <w:pPr>
        <w:pStyle w:val="ListParagraph"/>
        <w:numPr>
          <w:ilvl w:val="0"/>
          <w:numId w:val="21"/>
        </w:numPr>
        <w:jc w:val="both"/>
        <w:rPr>
          <w:rStyle w:val="Emphasis"/>
          <w:rFonts w:ascii="Arial" w:hAnsi="Arial" w:cs="Arial"/>
          <w:i w:val="0"/>
          <w:iCs w:val="0"/>
          <w:sz w:val="24"/>
          <w:szCs w:val="24"/>
        </w:rPr>
      </w:pPr>
      <w:r w:rsidRPr="007C6EFE">
        <w:rPr>
          <w:rFonts w:ascii="Arial" w:hAnsi="Arial" w:cs="Arial"/>
          <w:sz w:val="24"/>
          <w:szCs w:val="24"/>
        </w:rPr>
        <w:t xml:space="preserve">Australia transferred children to Nauru regardless of whether this was in their best interests, in breach of article 3(1) of the </w:t>
      </w:r>
      <w:r w:rsidRPr="007C6EFE">
        <w:rPr>
          <w:rStyle w:val="Emphasis"/>
          <w:rFonts w:ascii="Arial" w:hAnsi="Arial" w:cs="Arial"/>
          <w:sz w:val="24"/>
          <w:szCs w:val="24"/>
        </w:rPr>
        <w:t>Convention on the Rights of the Child.</w:t>
      </w:r>
      <w:r w:rsidR="00DB4E1D" w:rsidRPr="00F92321">
        <w:rPr>
          <w:rStyle w:val="EndnoteReference"/>
          <w:rFonts w:cs="Arial"/>
          <w:iCs/>
          <w:szCs w:val="24"/>
        </w:rPr>
        <w:endnoteReference w:id="18"/>
      </w:r>
    </w:p>
    <w:p w:rsidR="00B13EB7" w:rsidRDefault="007C6EFE" w:rsidP="003D237B">
      <w:pPr>
        <w:spacing w:before="100" w:beforeAutospacing="1" w:after="100" w:afterAutospacing="1"/>
        <w:jc w:val="both"/>
        <w:rPr>
          <w:rFonts w:eastAsia="Times New Roman" w:cs="Arial"/>
        </w:rPr>
      </w:pPr>
      <w:r w:rsidRPr="007C6EFE">
        <w:rPr>
          <w:rFonts w:eastAsia="Times New Roman" w:cs="Arial"/>
        </w:rPr>
        <w:t>In addition the Commission raised</w:t>
      </w:r>
      <w:r w:rsidR="00711FF9" w:rsidRPr="00711FF9">
        <w:rPr>
          <w:rFonts w:eastAsia="Times New Roman" w:cs="Arial"/>
        </w:rPr>
        <w:t xml:space="preserve"> serious concerns that the conditions in which children are detained on Nauru are in breach of the </w:t>
      </w:r>
      <w:r w:rsidR="00711FF9" w:rsidRPr="007C6EFE">
        <w:rPr>
          <w:rFonts w:eastAsia="Times New Roman" w:cs="Arial"/>
          <w:i/>
        </w:rPr>
        <w:t>Convention on the Rights of the Child</w:t>
      </w:r>
      <w:r w:rsidR="00711FF9" w:rsidRPr="00711FF9">
        <w:rPr>
          <w:rFonts w:eastAsia="Times New Roman" w:cs="Arial"/>
        </w:rPr>
        <w:t xml:space="preserve">, articles </w:t>
      </w:r>
      <w:r>
        <w:rPr>
          <w:rFonts w:eastAsia="Times New Roman" w:cs="Arial"/>
        </w:rPr>
        <w:t xml:space="preserve">16(1), </w:t>
      </w:r>
      <w:r w:rsidR="00711FF9" w:rsidRPr="00711FF9">
        <w:rPr>
          <w:rFonts w:eastAsia="Times New Roman" w:cs="Arial"/>
        </w:rPr>
        <w:t>19(1), 20(1), 24(1), 27(1), 27(3), 28, 31</w:t>
      </w:r>
      <w:r>
        <w:rPr>
          <w:rFonts w:eastAsia="Times New Roman" w:cs="Arial"/>
        </w:rPr>
        <w:t xml:space="preserve">, 34 and </w:t>
      </w:r>
      <w:r w:rsidR="00711FF9" w:rsidRPr="007C6EFE">
        <w:rPr>
          <w:rFonts w:eastAsia="Times New Roman" w:cs="Arial"/>
        </w:rPr>
        <w:t>37(</w:t>
      </w:r>
      <w:r w:rsidR="00B5560C" w:rsidRPr="007C6EFE">
        <w:rPr>
          <w:rFonts w:eastAsia="Times New Roman" w:cs="Arial"/>
        </w:rPr>
        <w:t>a)</w:t>
      </w:r>
      <w:r>
        <w:rPr>
          <w:rFonts w:eastAsia="Times New Roman" w:cs="Arial"/>
        </w:rPr>
        <w:t>.</w:t>
      </w:r>
      <w:r w:rsidR="00C12A4F">
        <w:rPr>
          <w:rStyle w:val="EndnoteReference"/>
          <w:rFonts w:eastAsia="Times New Roman" w:cs="Arial"/>
        </w:rPr>
        <w:endnoteReference w:id="19"/>
      </w:r>
    </w:p>
    <w:p w:rsidR="00607D77" w:rsidRPr="00B13EB7" w:rsidRDefault="00607D77" w:rsidP="003D237B">
      <w:pPr>
        <w:spacing w:before="100" w:beforeAutospacing="1" w:after="100" w:afterAutospacing="1"/>
        <w:jc w:val="both"/>
        <w:rPr>
          <w:rFonts w:eastAsia="Times New Roman" w:cs="Arial"/>
        </w:rPr>
      </w:pPr>
      <w:r>
        <w:rPr>
          <w:rFonts w:cs="Arial"/>
          <w:b/>
          <w:i/>
          <w:color w:val="0070C0"/>
          <w:sz w:val="28"/>
          <w:szCs w:val="28"/>
        </w:rPr>
        <w:t xml:space="preserve">What </w:t>
      </w:r>
      <w:r w:rsidR="00244055">
        <w:rPr>
          <w:rFonts w:cs="Arial"/>
          <w:b/>
          <w:i/>
          <w:color w:val="0070C0"/>
          <w:sz w:val="28"/>
          <w:szCs w:val="28"/>
        </w:rPr>
        <w:t xml:space="preserve">were the </w:t>
      </w:r>
      <w:r w:rsidR="00154AE2">
        <w:rPr>
          <w:rFonts w:cs="Arial"/>
          <w:b/>
          <w:i/>
          <w:color w:val="0070C0"/>
          <w:sz w:val="28"/>
          <w:szCs w:val="28"/>
        </w:rPr>
        <w:t xml:space="preserve">recommendations of the </w:t>
      </w:r>
      <w:r>
        <w:rPr>
          <w:rFonts w:cs="Arial"/>
          <w:b/>
          <w:i/>
          <w:color w:val="0070C0"/>
          <w:sz w:val="28"/>
          <w:szCs w:val="28"/>
        </w:rPr>
        <w:t>Inquiry?</w:t>
      </w:r>
    </w:p>
    <w:p w:rsidR="001509F3" w:rsidRPr="001509F3" w:rsidRDefault="001509F3" w:rsidP="003D237B">
      <w:pPr>
        <w:ind w:left="284" w:hanging="284"/>
        <w:jc w:val="both"/>
        <w:rPr>
          <w:rFonts w:cs="Arial"/>
        </w:rPr>
      </w:pPr>
      <w:r>
        <w:rPr>
          <w:rFonts w:cs="Arial"/>
        </w:rPr>
        <w:t>On the basis of these findings, t</w:t>
      </w:r>
      <w:r w:rsidR="00154AE2">
        <w:rPr>
          <w:rFonts w:cs="Arial"/>
        </w:rPr>
        <w:t>he Commission</w:t>
      </w:r>
      <w:r>
        <w:rPr>
          <w:rFonts w:cs="Arial"/>
        </w:rPr>
        <w:t xml:space="preserve"> </w:t>
      </w:r>
      <w:r w:rsidRPr="001509F3">
        <w:rPr>
          <w:rFonts w:cs="Arial"/>
        </w:rPr>
        <w:t>recommended that:</w:t>
      </w:r>
    </w:p>
    <w:p w:rsidR="001509F3" w:rsidRDefault="001509F3" w:rsidP="003D237B">
      <w:pPr>
        <w:pStyle w:val="ListParagraph"/>
        <w:numPr>
          <w:ilvl w:val="0"/>
          <w:numId w:val="16"/>
        </w:numPr>
        <w:ind w:left="284" w:hanging="284"/>
        <w:jc w:val="both"/>
        <w:rPr>
          <w:rFonts w:ascii="Arial" w:hAnsi="Arial" w:cs="Arial"/>
          <w:sz w:val="24"/>
          <w:szCs w:val="24"/>
        </w:rPr>
      </w:pPr>
      <w:r w:rsidRPr="00F07448">
        <w:rPr>
          <w:rFonts w:ascii="Arial" w:hAnsi="Arial" w:cs="Arial"/>
          <w:sz w:val="24"/>
          <w:szCs w:val="24"/>
        </w:rPr>
        <w:t>All children and their families be released from immigration detention in Australia and Nauru into community detention or the community on bridging visas with</w:t>
      </w:r>
      <w:r w:rsidR="00F07448">
        <w:rPr>
          <w:rFonts w:ascii="Arial" w:hAnsi="Arial" w:cs="Arial"/>
          <w:sz w:val="24"/>
          <w:szCs w:val="24"/>
        </w:rPr>
        <w:t xml:space="preserve"> a right to work (Rec</w:t>
      </w:r>
      <w:r w:rsidRPr="00F07448">
        <w:rPr>
          <w:rFonts w:ascii="Arial" w:hAnsi="Arial" w:cs="Arial"/>
          <w:sz w:val="24"/>
          <w:szCs w:val="24"/>
        </w:rPr>
        <w:t xml:space="preserve"> 1)</w:t>
      </w:r>
      <w:r w:rsidR="00FF671F">
        <w:rPr>
          <w:rFonts w:ascii="Arial" w:hAnsi="Arial" w:cs="Arial"/>
          <w:sz w:val="24"/>
          <w:szCs w:val="24"/>
        </w:rPr>
        <w:t>.</w:t>
      </w:r>
    </w:p>
    <w:p w:rsidR="0034539D" w:rsidRPr="0034539D" w:rsidRDefault="0034539D" w:rsidP="003D237B">
      <w:pPr>
        <w:pStyle w:val="ListParagraph"/>
        <w:ind w:left="284"/>
        <w:jc w:val="both"/>
        <w:rPr>
          <w:rFonts w:ascii="Arial" w:hAnsi="Arial" w:cs="Arial"/>
          <w:sz w:val="24"/>
          <w:szCs w:val="24"/>
        </w:rPr>
      </w:pPr>
    </w:p>
    <w:p w:rsidR="00B2530A" w:rsidRPr="00CB3348" w:rsidRDefault="00FF671F"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T</w:t>
      </w:r>
      <w:r w:rsidR="00F07448" w:rsidRPr="00CB3348">
        <w:rPr>
          <w:rFonts w:ascii="Arial" w:hAnsi="Arial" w:cs="Arial"/>
          <w:sz w:val="24"/>
          <w:szCs w:val="24"/>
        </w:rPr>
        <w:t xml:space="preserve">he </w:t>
      </w:r>
      <w:r w:rsidR="00F07448" w:rsidRPr="00CB3348">
        <w:rPr>
          <w:rFonts w:ascii="Arial" w:hAnsi="Arial" w:cs="Arial"/>
          <w:i/>
          <w:sz w:val="24"/>
          <w:szCs w:val="24"/>
        </w:rPr>
        <w:t>Migration Act 1958</w:t>
      </w:r>
      <w:r w:rsidR="00F07448" w:rsidRPr="00CB3348">
        <w:rPr>
          <w:rFonts w:ascii="Arial" w:hAnsi="Arial" w:cs="Arial"/>
          <w:sz w:val="24"/>
          <w:szCs w:val="24"/>
        </w:rPr>
        <w:t xml:space="preserve"> (</w:t>
      </w:r>
      <w:proofErr w:type="spellStart"/>
      <w:r w:rsidR="00F07448" w:rsidRPr="00CB3348">
        <w:rPr>
          <w:rFonts w:ascii="Arial" w:hAnsi="Arial" w:cs="Arial"/>
          <w:sz w:val="24"/>
          <w:szCs w:val="24"/>
        </w:rPr>
        <w:t>Cth</w:t>
      </w:r>
      <w:proofErr w:type="spellEnd"/>
      <w:r w:rsidR="00F07448" w:rsidRPr="00CB3348">
        <w:rPr>
          <w:rFonts w:ascii="Arial" w:hAnsi="Arial" w:cs="Arial"/>
          <w:sz w:val="24"/>
          <w:szCs w:val="24"/>
        </w:rPr>
        <w:t xml:space="preserve">) be amended </w:t>
      </w:r>
      <w:r w:rsidR="001509F3" w:rsidRPr="00CB3348">
        <w:rPr>
          <w:rFonts w:ascii="Arial" w:hAnsi="Arial" w:cs="Arial"/>
          <w:sz w:val="24"/>
          <w:szCs w:val="24"/>
        </w:rPr>
        <w:t>to ensure that children may be detained for only so long as is necessary for healt</w:t>
      </w:r>
      <w:r w:rsidR="00F07448" w:rsidRPr="00CB3348">
        <w:rPr>
          <w:rFonts w:ascii="Arial" w:hAnsi="Arial" w:cs="Arial"/>
          <w:sz w:val="24"/>
          <w:szCs w:val="24"/>
        </w:rPr>
        <w:t>h, identity and security checks</w:t>
      </w:r>
      <w:r w:rsidRPr="00CB3348">
        <w:rPr>
          <w:rFonts w:ascii="Arial" w:hAnsi="Arial" w:cs="Arial"/>
          <w:sz w:val="24"/>
          <w:szCs w:val="24"/>
        </w:rPr>
        <w:t>. Continued detention beyond this period of time should only be permitted following an individual and periodic assessment by a court or tribunal of the necessity for this continued detention</w:t>
      </w:r>
      <w:r w:rsidR="00F07448" w:rsidRPr="00CB3348">
        <w:rPr>
          <w:rFonts w:ascii="Arial" w:hAnsi="Arial" w:cs="Arial"/>
          <w:sz w:val="24"/>
          <w:szCs w:val="24"/>
        </w:rPr>
        <w:t xml:space="preserve"> (Rec 2)</w:t>
      </w:r>
      <w:r w:rsidRPr="00CB3348">
        <w:rPr>
          <w:rFonts w:ascii="Arial" w:hAnsi="Arial" w:cs="Arial"/>
          <w:sz w:val="24"/>
          <w:szCs w:val="24"/>
        </w:rPr>
        <w:t>.</w:t>
      </w:r>
    </w:p>
    <w:p w:rsidR="00B2530A" w:rsidRPr="00CB3348" w:rsidRDefault="00B2530A" w:rsidP="003D237B">
      <w:pPr>
        <w:pStyle w:val="ListParagraph"/>
        <w:ind w:left="284" w:hanging="284"/>
        <w:jc w:val="both"/>
        <w:rPr>
          <w:rFonts w:ascii="Arial" w:hAnsi="Arial" w:cs="Arial"/>
          <w:sz w:val="24"/>
          <w:szCs w:val="24"/>
        </w:rPr>
      </w:pPr>
    </w:p>
    <w:p w:rsidR="00A92268"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Assessment of refugee status be commenced </w:t>
      </w:r>
      <w:r w:rsidR="00FF671F" w:rsidRPr="00CB3348">
        <w:rPr>
          <w:rFonts w:ascii="Arial" w:hAnsi="Arial" w:cs="Arial"/>
          <w:sz w:val="24"/>
          <w:szCs w:val="24"/>
        </w:rPr>
        <w:t xml:space="preserve">within four weeks of the tabling of the report </w:t>
      </w:r>
      <w:r w:rsidR="00A92268" w:rsidRPr="00CB3348">
        <w:rPr>
          <w:rFonts w:ascii="Arial" w:hAnsi="Arial" w:cs="Arial"/>
          <w:sz w:val="24"/>
          <w:szCs w:val="24"/>
        </w:rPr>
        <w:t>(Rec 3)</w:t>
      </w:r>
      <w:r w:rsidR="00301E3D">
        <w:rPr>
          <w:rFonts w:ascii="Arial" w:hAnsi="Arial" w:cs="Arial"/>
          <w:sz w:val="24"/>
          <w:szCs w:val="24"/>
        </w:rPr>
        <w:t>.</w:t>
      </w:r>
    </w:p>
    <w:p w:rsidR="00A92268" w:rsidRPr="00CB3348" w:rsidRDefault="00A92268" w:rsidP="003D237B">
      <w:pPr>
        <w:pStyle w:val="ListParagraph"/>
        <w:ind w:left="284" w:hanging="284"/>
        <w:jc w:val="both"/>
        <w:rPr>
          <w:rFonts w:ascii="Arial" w:hAnsi="Arial" w:cs="Arial"/>
          <w:sz w:val="24"/>
          <w:szCs w:val="24"/>
        </w:rPr>
      </w:pPr>
    </w:p>
    <w:p w:rsidR="001509F3"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No child </w:t>
      </w:r>
      <w:r w:rsidR="00A57C30" w:rsidRPr="00CB3348">
        <w:rPr>
          <w:rFonts w:ascii="Arial" w:hAnsi="Arial" w:cs="Arial"/>
          <w:sz w:val="24"/>
          <w:szCs w:val="24"/>
        </w:rPr>
        <w:t xml:space="preserve">or parent </w:t>
      </w:r>
      <w:r w:rsidRPr="00CB3348">
        <w:rPr>
          <w:rFonts w:ascii="Arial" w:hAnsi="Arial" w:cs="Arial"/>
          <w:sz w:val="24"/>
          <w:szCs w:val="24"/>
        </w:rPr>
        <w:t>be sent offshore for processing unless it is clear that their</w:t>
      </w:r>
      <w:r w:rsidR="00EB61BB" w:rsidRPr="00CB3348">
        <w:rPr>
          <w:rFonts w:ascii="Arial" w:hAnsi="Arial" w:cs="Arial"/>
          <w:sz w:val="24"/>
          <w:szCs w:val="24"/>
        </w:rPr>
        <w:t xml:space="preserve"> human rights will be respected (Rec 4)</w:t>
      </w:r>
      <w:r w:rsidR="00A92268" w:rsidRPr="00CB3348">
        <w:rPr>
          <w:rFonts w:ascii="Arial" w:hAnsi="Arial" w:cs="Arial"/>
          <w:sz w:val="24"/>
          <w:szCs w:val="24"/>
        </w:rPr>
        <w:t>.</w:t>
      </w:r>
    </w:p>
    <w:p w:rsidR="00A92268" w:rsidRPr="00CB3348" w:rsidRDefault="00A92268" w:rsidP="003D237B">
      <w:pPr>
        <w:pStyle w:val="ListParagraph"/>
        <w:ind w:left="284" w:hanging="284"/>
        <w:jc w:val="both"/>
        <w:rPr>
          <w:rFonts w:ascii="Arial" w:hAnsi="Arial" w:cs="Arial"/>
          <w:sz w:val="24"/>
          <w:szCs w:val="24"/>
        </w:rPr>
      </w:pPr>
    </w:p>
    <w:p w:rsidR="00A92268" w:rsidRPr="00CB3348" w:rsidRDefault="00A92268"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All immigration detention facilities on Christmas Island be closed (Rec 5).</w:t>
      </w:r>
    </w:p>
    <w:p w:rsidR="00A92268" w:rsidRPr="00CB3348" w:rsidRDefault="00A92268" w:rsidP="003D237B">
      <w:pPr>
        <w:pStyle w:val="ListParagraph"/>
        <w:ind w:left="284" w:hanging="284"/>
        <w:jc w:val="both"/>
        <w:rPr>
          <w:rFonts w:ascii="Arial" w:hAnsi="Arial" w:cs="Arial"/>
          <w:sz w:val="24"/>
          <w:szCs w:val="24"/>
        </w:rPr>
      </w:pPr>
    </w:p>
    <w:p w:rsidR="00A92268"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An independent guardian be appointed for unaccompanied childre</w:t>
      </w:r>
      <w:r w:rsidR="00A92268" w:rsidRPr="00CB3348">
        <w:rPr>
          <w:rFonts w:ascii="Arial" w:hAnsi="Arial" w:cs="Arial"/>
          <w:sz w:val="24"/>
          <w:szCs w:val="24"/>
        </w:rPr>
        <w:t>n seeking asylum in Australia (Rec 6).</w:t>
      </w:r>
    </w:p>
    <w:p w:rsidR="00A92268" w:rsidRPr="00CB3348" w:rsidRDefault="00A92268" w:rsidP="003D237B">
      <w:pPr>
        <w:pStyle w:val="ListParagraph"/>
        <w:ind w:left="284" w:hanging="284"/>
        <w:jc w:val="both"/>
        <w:rPr>
          <w:rFonts w:ascii="Arial" w:hAnsi="Arial" w:cs="Arial"/>
          <w:sz w:val="24"/>
          <w:szCs w:val="24"/>
        </w:rPr>
      </w:pPr>
    </w:p>
    <w:p w:rsidR="00A92268"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An independent review be conducted into the decision to approve the use of force to transfer unaccompanied children on Ch</w:t>
      </w:r>
      <w:r w:rsidR="00A92268" w:rsidRPr="00CB3348">
        <w:rPr>
          <w:rFonts w:ascii="Arial" w:hAnsi="Arial" w:cs="Arial"/>
          <w:sz w:val="24"/>
          <w:szCs w:val="24"/>
        </w:rPr>
        <w:t>ristmas Island on 24 March 2014 (Rec 7)</w:t>
      </w:r>
      <w:r w:rsidR="00301E3D">
        <w:rPr>
          <w:rFonts w:ascii="Arial" w:hAnsi="Arial" w:cs="Arial"/>
          <w:sz w:val="24"/>
          <w:szCs w:val="24"/>
        </w:rPr>
        <w:t>.</w:t>
      </w:r>
    </w:p>
    <w:p w:rsidR="00A92268" w:rsidRPr="00CB3348" w:rsidRDefault="00A92268" w:rsidP="003D237B">
      <w:pPr>
        <w:pStyle w:val="ListParagraph"/>
        <w:ind w:left="284" w:hanging="284"/>
        <w:jc w:val="both"/>
        <w:rPr>
          <w:rFonts w:ascii="Arial" w:hAnsi="Arial" w:cs="Arial"/>
          <w:sz w:val="24"/>
          <w:szCs w:val="24"/>
        </w:rPr>
      </w:pPr>
    </w:p>
    <w:p w:rsidR="00D639C9"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All detention centres be equipped with sufficient CCTV or other cameras to capture significant incidents in detention</w:t>
      </w:r>
      <w:r w:rsidR="00A92268" w:rsidRPr="00CB3348">
        <w:rPr>
          <w:rFonts w:ascii="Arial" w:hAnsi="Arial" w:cs="Arial"/>
          <w:sz w:val="24"/>
          <w:szCs w:val="24"/>
        </w:rPr>
        <w:t>, and all recordings of such incidents should be maintained (Rec 8)</w:t>
      </w:r>
      <w:r w:rsidRPr="00CB3348">
        <w:rPr>
          <w:rFonts w:ascii="Arial" w:hAnsi="Arial" w:cs="Arial"/>
          <w:sz w:val="24"/>
          <w:szCs w:val="24"/>
        </w:rPr>
        <w:t>.</w:t>
      </w:r>
    </w:p>
    <w:p w:rsidR="00D639C9" w:rsidRPr="00CB3348" w:rsidRDefault="00D639C9" w:rsidP="003D237B">
      <w:pPr>
        <w:pStyle w:val="ListParagraph"/>
        <w:ind w:left="284" w:hanging="284"/>
        <w:jc w:val="both"/>
        <w:rPr>
          <w:rFonts w:ascii="Arial" w:hAnsi="Arial" w:cs="Arial"/>
          <w:sz w:val="24"/>
          <w:szCs w:val="24"/>
        </w:rPr>
      </w:pPr>
    </w:p>
    <w:p w:rsidR="00D639C9"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ASIO review the case of each parent with an adverse security assessment in order to identify whether their family </w:t>
      </w:r>
      <w:r w:rsidR="00D639C9" w:rsidRPr="00CB3348">
        <w:rPr>
          <w:rFonts w:ascii="Arial" w:hAnsi="Arial" w:cs="Arial"/>
          <w:sz w:val="24"/>
          <w:szCs w:val="24"/>
        </w:rPr>
        <w:t>can be moved into the community, and alternative community detention be available for children of families assessed as security risks (Rec 9).</w:t>
      </w:r>
    </w:p>
    <w:p w:rsidR="00D639C9" w:rsidRPr="00CB3348" w:rsidRDefault="00D639C9" w:rsidP="003D237B">
      <w:pPr>
        <w:pStyle w:val="ListParagraph"/>
        <w:ind w:left="284" w:hanging="284"/>
        <w:jc w:val="both"/>
        <w:rPr>
          <w:rFonts w:ascii="Arial" w:hAnsi="Arial" w:cs="Arial"/>
          <w:sz w:val="24"/>
          <w:szCs w:val="24"/>
        </w:rPr>
      </w:pPr>
    </w:p>
    <w:p w:rsidR="001509F3"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Children in immigration detention be assessed regularly using the </w:t>
      </w:r>
      <w:proofErr w:type="spellStart"/>
      <w:r w:rsidRPr="00CB3348">
        <w:rPr>
          <w:rFonts w:ascii="Arial" w:hAnsi="Arial" w:cs="Arial"/>
          <w:sz w:val="24"/>
          <w:szCs w:val="24"/>
        </w:rPr>
        <w:t>HoNOSC</w:t>
      </w:r>
      <w:r w:rsidR="00C925B6" w:rsidRPr="00CB3348">
        <w:rPr>
          <w:rFonts w:ascii="Arial" w:hAnsi="Arial" w:cs="Arial"/>
          <w:sz w:val="24"/>
          <w:szCs w:val="24"/>
        </w:rPr>
        <w:t>A</w:t>
      </w:r>
      <w:proofErr w:type="spellEnd"/>
      <w:r w:rsidR="00C925B6" w:rsidRPr="00CB3348">
        <w:rPr>
          <w:rFonts w:ascii="Arial" w:hAnsi="Arial" w:cs="Arial"/>
          <w:sz w:val="24"/>
          <w:szCs w:val="24"/>
        </w:rPr>
        <w:t xml:space="preserve"> mental health assessment tool (Rec 10).</w:t>
      </w:r>
    </w:p>
    <w:p w:rsidR="00C925B6" w:rsidRPr="00CB3348" w:rsidRDefault="00C925B6" w:rsidP="003D237B">
      <w:pPr>
        <w:pStyle w:val="ListParagraph"/>
        <w:ind w:left="284" w:hanging="284"/>
        <w:jc w:val="both"/>
        <w:rPr>
          <w:rFonts w:ascii="Arial" w:hAnsi="Arial" w:cs="Arial"/>
          <w:sz w:val="24"/>
          <w:szCs w:val="24"/>
        </w:rPr>
      </w:pPr>
    </w:p>
    <w:p w:rsidR="0044580B"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Children currently or previously detained at any time since 1992 have access to government funde</w:t>
      </w:r>
      <w:r w:rsidR="0044580B" w:rsidRPr="00CB3348">
        <w:rPr>
          <w:rFonts w:ascii="Arial" w:hAnsi="Arial" w:cs="Arial"/>
          <w:sz w:val="24"/>
          <w:szCs w:val="24"/>
        </w:rPr>
        <w:t>d mental health support (Rec 11)</w:t>
      </w:r>
      <w:r w:rsidR="009C4EC3">
        <w:rPr>
          <w:rFonts w:ascii="Arial" w:hAnsi="Arial" w:cs="Arial"/>
          <w:sz w:val="24"/>
          <w:szCs w:val="24"/>
        </w:rPr>
        <w:t>.</w:t>
      </w:r>
    </w:p>
    <w:p w:rsidR="0044580B" w:rsidRPr="00CB3348" w:rsidRDefault="0044580B" w:rsidP="003D237B">
      <w:pPr>
        <w:pStyle w:val="ListParagraph"/>
        <w:ind w:left="284" w:hanging="284"/>
        <w:jc w:val="both"/>
        <w:rPr>
          <w:rFonts w:ascii="Arial" w:hAnsi="Arial" w:cs="Arial"/>
          <w:sz w:val="24"/>
          <w:szCs w:val="24"/>
        </w:rPr>
      </w:pPr>
    </w:p>
    <w:p w:rsidR="0044580B"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Children in detention who were denied education on Christmas Island for a year be assessed to determine what e</w:t>
      </w:r>
      <w:r w:rsidR="0044580B" w:rsidRPr="00CB3348">
        <w:rPr>
          <w:rFonts w:ascii="Arial" w:hAnsi="Arial" w:cs="Arial"/>
          <w:sz w:val="24"/>
          <w:szCs w:val="24"/>
        </w:rPr>
        <w:t>ducational support they require (Rec 12)</w:t>
      </w:r>
      <w:r w:rsidR="009C4EC3">
        <w:rPr>
          <w:rFonts w:ascii="Arial" w:hAnsi="Arial" w:cs="Arial"/>
          <w:sz w:val="24"/>
          <w:szCs w:val="24"/>
        </w:rPr>
        <w:t>.</w:t>
      </w:r>
    </w:p>
    <w:p w:rsidR="0044580B" w:rsidRPr="00CB3348" w:rsidRDefault="0044580B" w:rsidP="003D237B">
      <w:pPr>
        <w:pStyle w:val="ListParagraph"/>
        <w:ind w:left="284" w:hanging="284"/>
        <w:jc w:val="both"/>
        <w:rPr>
          <w:rFonts w:ascii="Arial" w:hAnsi="Arial" w:cs="Arial"/>
          <w:sz w:val="24"/>
          <w:szCs w:val="24"/>
        </w:rPr>
      </w:pPr>
    </w:p>
    <w:p w:rsidR="001509F3"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Children and families in immigration detentio</w:t>
      </w:r>
      <w:r w:rsidR="0044580B" w:rsidRPr="00CB3348">
        <w:rPr>
          <w:rFonts w:ascii="Arial" w:hAnsi="Arial" w:cs="Arial"/>
          <w:sz w:val="24"/>
          <w:szCs w:val="24"/>
        </w:rPr>
        <w:t xml:space="preserve">n be given information about organisations that </w:t>
      </w:r>
      <w:r w:rsidRPr="00CB3348">
        <w:rPr>
          <w:rFonts w:ascii="Arial" w:hAnsi="Arial" w:cs="Arial"/>
          <w:sz w:val="24"/>
          <w:szCs w:val="24"/>
        </w:rPr>
        <w:t>provi</w:t>
      </w:r>
      <w:r w:rsidR="0044580B" w:rsidRPr="00CB3348">
        <w:rPr>
          <w:rFonts w:ascii="Arial" w:hAnsi="Arial" w:cs="Arial"/>
          <w:sz w:val="24"/>
          <w:szCs w:val="24"/>
        </w:rPr>
        <w:t>de</w:t>
      </w:r>
      <w:r w:rsidRPr="00CB3348">
        <w:rPr>
          <w:rFonts w:ascii="Arial" w:hAnsi="Arial" w:cs="Arial"/>
          <w:sz w:val="24"/>
          <w:szCs w:val="24"/>
        </w:rPr>
        <w:t xml:space="preserve"> free legal advice and</w:t>
      </w:r>
      <w:r w:rsidR="0044580B" w:rsidRPr="00CB3348">
        <w:rPr>
          <w:rFonts w:ascii="Arial" w:hAnsi="Arial" w:cs="Arial"/>
          <w:sz w:val="24"/>
          <w:szCs w:val="24"/>
        </w:rPr>
        <w:t xml:space="preserve"> access to phones and computers (Rec 13)</w:t>
      </w:r>
      <w:r w:rsidR="009C4EC3">
        <w:rPr>
          <w:rFonts w:ascii="Arial" w:hAnsi="Arial" w:cs="Arial"/>
          <w:sz w:val="24"/>
          <w:szCs w:val="24"/>
        </w:rPr>
        <w:t>.</w:t>
      </w:r>
    </w:p>
    <w:p w:rsidR="0044580B" w:rsidRPr="00CB3348" w:rsidRDefault="0044580B" w:rsidP="003D237B">
      <w:pPr>
        <w:pStyle w:val="ListParagraph"/>
        <w:ind w:left="284" w:hanging="284"/>
        <w:jc w:val="both"/>
        <w:rPr>
          <w:rFonts w:ascii="Arial" w:hAnsi="Arial" w:cs="Arial"/>
          <w:sz w:val="24"/>
          <w:szCs w:val="24"/>
        </w:rPr>
      </w:pPr>
    </w:p>
    <w:p w:rsidR="00884B97"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Legislation be enacted to give direct effect to the </w:t>
      </w:r>
      <w:r w:rsidRPr="00CB3348">
        <w:rPr>
          <w:rFonts w:ascii="Arial" w:hAnsi="Arial" w:cs="Arial"/>
          <w:i/>
          <w:sz w:val="24"/>
          <w:szCs w:val="24"/>
        </w:rPr>
        <w:t>Convention on the Rights of the Child</w:t>
      </w:r>
      <w:r w:rsidR="0044580B" w:rsidRPr="00CB3348">
        <w:rPr>
          <w:rFonts w:ascii="Arial" w:hAnsi="Arial" w:cs="Arial"/>
          <w:sz w:val="24"/>
          <w:szCs w:val="24"/>
        </w:rPr>
        <w:t xml:space="preserve"> under Australian law (Rec 14)</w:t>
      </w:r>
      <w:r w:rsidR="009C4EC3">
        <w:rPr>
          <w:rFonts w:ascii="Arial" w:hAnsi="Arial" w:cs="Arial"/>
          <w:sz w:val="24"/>
          <w:szCs w:val="24"/>
        </w:rPr>
        <w:t>.</w:t>
      </w:r>
    </w:p>
    <w:p w:rsidR="00884B97" w:rsidRPr="00CB3348" w:rsidRDefault="00884B97" w:rsidP="003D237B">
      <w:pPr>
        <w:pStyle w:val="ListParagraph"/>
        <w:ind w:left="284" w:hanging="284"/>
        <w:jc w:val="both"/>
        <w:rPr>
          <w:rFonts w:ascii="Arial" w:hAnsi="Arial" w:cs="Arial"/>
          <w:sz w:val="24"/>
          <w:szCs w:val="24"/>
        </w:rPr>
      </w:pPr>
    </w:p>
    <w:p w:rsidR="00CB3348" w:rsidRPr="00CB3348"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 xml:space="preserve">A royal commission be set up to examine the continued use </w:t>
      </w:r>
      <w:r w:rsidR="00884B97" w:rsidRPr="00CB3348">
        <w:rPr>
          <w:rFonts w:ascii="Arial" w:hAnsi="Arial" w:cs="Arial"/>
          <w:sz w:val="24"/>
          <w:szCs w:val="24"/>
        </w:rPr>
        <w:t>since 1992 of the</w:t>
      </w:r>
      <w:r w:rsidRPr="00CB3348">
        <w:rPr>
          <w:rFonts w:ascii="Arial" w:hAnsi="Arial" w:cs="Arial"/>
          <w:sz w:val="24"/>
          <w:szCs w:val="24"/>
        </w:rPr>
        <w:t xml:space="preserve"> policy</w:t>
      </w:r>
      <w:r w:rsidR="00884B97" w:rsidRPr="00CB3348">
        <w:rPr>
          <w:rFonts w:ascii="Arial" w:hAnsi="Arial" w:cs="Arial"/>
          <w:sz w:val="24"/>
          <w:szCs w:val="24"/>
        </w:rPr>
        <w:t xml:space="preserve"> of mandatory detention </w:t>
      </w:r>
      <w:r w:rsidRPr="00CB3348">
        <w:rPr>
          <w:rFonts w:ascii="Arial" w:hAnsi="Arial" w:cs="Arial"/>
          <w:sz w:val="24"/>
          <w:szCs w:val="24"/>
        </w:rPr>
        <w:t xml:space="preserve">and </w:t>
      </w:r>
      <w:r w:rsidR="00884B97" w:rsidRPr="00CB3348">
        <w:rPr>
          <w:rFonts w:ascii="Arial" w:hAnsi="Arial" w:cs="Arial"/>
          <w:sz w:val="24"/>
          <w:szCs w:val="24"/>
        </w:rPr>
        <w:t>to consider remedies for any breaches of the rights of children that have been detained (Rec 15)</w:t>
      </w:r>
      <w:r w:rsidR="009C4EC3">
        <w:rPr>
          <w:rFonts w:ascii="Arial" w:hAnsi="Arial" w:cs="Arial"/>
          <w:sz w:val="24"/>
          <w:szCs w:val="24"/>
        </w:rPr>
        <w:t>.</w:t>
      </w:r>
    </w:p>
    <w:p w:rsidR="00CB3348" w:rsidRPr="00CB3348" w:rsidRDefault="00CB3348" w:rsidP="003D237B">
      <w:pPr>
        <w:pStyle w:val="ListParagraph"/>
        <w:ind w:left="284" w:hanging="284"/>
        <w:jc w:val="both"/>
        <w:rPr>
          <w:rFonts w:ascii="Arial" w:hAnsi="Arial" w:cs="Arial"/>
          <w:sz w:val="24"/>
          <w:szCs w:val="24"/>
        </w:rPr>
      </w:pPr>
    </w:p>
    <w:p w:rsidR="00BB7E1A" w:rsidRPr="00BB7E1A" w:rsidRDefault="001509F3" w:rsidP="003D237B">
      <w:pPr>
        <w:pStyle w:val="ListParagraph"/>
        <w:numPr>
          <w:ilvl w:val="0"/>
          <w:numId w:val="16"/>
        </w:numPr>
        <w:ind w:left="284" w:hanging="284"/>
        <w:jc w:val="both"/>
        <w:rPr>
          <w:rFonts w:ascii="Arial" w:hAnsi="Arial" w:cs="Arial"/>
          <w:sz w:val="24"/>
          <w:szCs w:val="24"/>
        </w:rPr>
      </w:pPr>
      <w:r w:rsidRPr="00CB3348">
        <w:rPr>
          <w:rFonts w:ascii="Arial" w:hAnsi="Arial" w:cs="Arial"/>
          <w:sz w:val="24"/>
          <w:szCs w:val="24"/>
        </w:rPr>
        <w:t>An independent review of the implementation of these recommendations be conducted in 12 months</w:t>
      </w:r>
      <w:r w:rsidR="00CB3348" w:rsidRPr="00CB3348">
        <w:rPr>
          <w:rFonts w:ascii="Arial" w:hAnsi="Arial" w:cs="Arial"/>
          <w:sz w:val="24"/>
          <w:szCs w:val="24"/>
        </w:rPr>
        <w:t xml:space="preserve"> (Rec 16)</w:t>
      </w:r>
      <w:r w:rsidR="009C4EC3">
        <w:rPr>
          <w:rFonts w:ascii="Arial" w:hAnsi="Arial" w:cs="Arial"/>
          <w:sz w:val="24"/>
          <w:szCs w:val="24"/>
        </w:rPr>
        <w:t>.</w:t>
      </w:r>
      <w:bookmarkStart w:id="1" w:name="_Toc420397739"/>
    </w:p>
    <w:p w:rsidR="00153636" w:rsidRPr="003D0562" w:rsidRDefault="00B31B0B" w:rsidP="003D237B">
      <w:pPr>
        <w:pStyle w:val="Heading3"/>
        <w:numPr>
          <w:ilvl w:val="0"/>
          <w:numId w:val="0"/>
        </w:numPr>
        <w:jc w:val="both"/>
        <w:rPr>
          <w:rFonts w:cs="Arial"/>
        </w:rPr>
      </w:pPr>
      <w:r>
        <w:rPr>
          <w:rFonts w:cs="Arial"/>
          <w:b/>
          <w:bCs w:val="0"/>
          <w:color w:val="0070C0"/>
          <w:sz w:val="28"/>
          <w:szCs w:val="28"/>
        </w:rPr>
        <w:t xml:space="preserve">What have </w:t>
      </w:r>
      <w:r w:rsidR="00C57864">
        <w:rPr>
          <w:rFonts w:cs="Arial"/>
          <w:b/>
          <w:bCs w:val="0"/>
          <w:color w:val="0070C0"/>
          <w:sz w:val="28"/>
          <w:szCs w:val="28"/>
        </w:rPr>
        <w:t xml:space="preserve">been </w:t>
      </w:r>
      <w:r>
        <w:rPr>
          <w:rFonts w:cs="Arial"/>
          <w:b/>
          <w:bCs w:val="0"/>
          <w:color w:val="0070C0"/>
          <w:sz w:val="28"/>
          <w:szCs w:val="28"/>
        </w:rPr>
        <w:t xml:space="preserve">the </w:t>
      </w:r>
      <w:r w:rsidR="00C57864">
        <w:rPr>
          <w:rFonts w:cs="Arial"/>
          <w:b/>
          <w:bCs w:val="0"/>
          <w:color w:val="0070C0"/>
          <w:sz w:val="28"/>
          <w:szCs w:val="28"/>
        </w:rPr>
        <w:t>p</w:t>
      </w:r>
      <w:r w:rsidR="00153636" w:rsidRPr="00A96052">
        <w:rPr>
          <w:rFonts w:cs="Arial"/>
          <w:b/>
          <w:bCs w:val="0"/>
          <w:color w:val="0070C0"/>
          <w:sz w:val="28"/>
          <w:szCs w:val="28"/>
        </w:rPr>
        <w:t>ositive developments</w:t>
      </w:r>
      <w:bookmarkEnd w:id="1"/>
      <w:r w:rsidR="00153636" w:rsidRPr="00A96052">
        <w:rPr>
          <w:rFonts w:cs="Arial"/>
          <w:b/>
          <w:bCs w:val="0"/>
          <w:color w:val="0070C0"/>
          <w:sz w:val="28"/>
          <w:szCs w:val="28"/>
        </w:rPr>
        <w:t xml:space="preserve"> since</w:t>
      </w:r>
      <w:r w:rsidR="006C0A80" w:rsidRPr="00A96052">
        <w:rPr>
          <w:rFonts w:cs="Arial"/>
          <w:b/>
          <w:bCs w:val="0"/>
          <w:color w:val="0070C0"/>
          <w:sz w:val="28"/>
          <w:szCs w:val="28"/>
        </w:rPr>
        <w:t xml:space="preserve"> the Inquiry</w:t>
      </w:r>
      <w:r w:rsidR="00C57864">
        <w:rPr>
          <w:rFonts w:cs="Arial"/>
          <w:b/>
          <w:bCs w:val="0"/>
          <w:color w:val="0070C0"/>
          <w:sz w:val="28"/>
          <w:szCs w:val="28"/>
        </w:rPr>
        <w:t>?</w:t>
      </w:r>
    </w:p>
    <w:p w:rsidR="00B931E1" w:rsidRPr="00D22C74" w:rsidRDefault="00AD6AE3" w:rsidP="003D237B">
      <w:pPr>
        <w:spacing w:before="0" w:after="120"/>
        <w:jc w:val="both"/>
        <w:rPr>
          <w:rFonts w:cs="Arial"/>
          <w:lang w:val="en"/>
        </w:rPr>
      </w:pPr>
      <w:r>
        <w:rPr>
          <w:rFonts w:cs="Arial"/>
          <w:lang w:val="en"/>
        </w:rPr>
        <w:t>Since</w:t>
      </w:r>
      <w:r w:rsidR="00153636">
        <w:rPr>
          <w:rFonts w:cs="Arial"/>
          <w:lang w:val="en"/>
        </w:rPr>
        <w:t xml:space="preserve"> the announcement of</w:t>
      </w:r>
      <w:r w:rsidR="00153636" w:rsidRPr="00F744BC">
        <w:rPr>
          <w:rFonts w:cs="Arial"/>
          <w:lang w:val="en"/>
        </w:rPr>
        <w:t xml:space="preserve"> the Inquiry</w:t>
      </w:r>
      <w:r w:rsidR="00C461FC">
        <w:rPr>
          <w:rFonts w:cs="Arial"/>
          <w:lang w:val="en"/>
        </w:rPr>
        <w:t xml:space="preserve"> on 3</w:t>
      </w:r>
      <w:r w:rsidR="00153636">
        <w:rPr>
          <w:rFonts w:cs="Arial"/>
          <w:lang w:val="en"/>
        </w:rPr>
        <w:t xml:space="preserve"> February 2014</w:t>
      </w:r>
      <w:r w:rsidR="00153636" w:rsidRPr="00F744BC">
        <w:rPr>
          <w:rFonts w:cs="Arial"/>
          <w:lang w:val="en"/>
        </w:rPr>
        <w:t xml:space="preserve">, </w:t>
      </w:r>
      <w:r w:rsidR="00153636">
        <w:rPr>
          <w:rFonts w:cs="Arial"/>
          <w:lang w:val="en"/>
        </w:rPr>
        <w:t xml:space="preserve">the </w:t>
      </w:r>
      <w:r w:rsidR="00153636" w:rsidRPr="00F744BC">
        <w:rPr>
          <w:rFonts w:cs="Arial"/>
          <w:lang w:val="en"/>
        </w:rPr>
        <w:t>Minister</w:t>
      </w:r>
      <w:r>
        <w:rPr>
          <w:rFonts w:cs="Arial"/>
          <w:lang w:val="en"/>
        </w:rPr>
        <w:t xml:space="preserve"> for Immigration and Border Protection has</w:t>
      </w:r>
      <w:r w:rsidR="00153636" w:rsidRPr="00F744BC">
        <w:rPr>
          <w:rFonts w:cs="Arial"/>
          <w:lang w:val="en"/>
        </w:rPr>
        <w:t xml:space="preserve"> </w:t>
      </w:r>
      <w:r w:rsidR="00153636">
        <w:rPr>
          <w:rFonts w:cs="Arial"/>
          <w:lang w:val="en"/>
        </w:rPr>
        <w:t xml:space="preserve">used </w:t>
      </w:r>
      <w:r w:rsidR="00153636" w:rsidRPr="003D0562">
        <w:rPr>
          <w:rFonts w:cs="Arial"/>
          <w:lang w:val="en"/>
        </w:rPr>
        <w:t xml:space="preserve">his personal discretion </w:t>
      </w:r>
      <w:r w:rsidR="00153636">
        <w:rPr>
          <w:rFonts w:cs="Arial"/>
          <w:lang w:val="en"/>
        </w:rPr>
        <w:t xml:space="preserve">under the </w:t>
      </w:r>
      <w:r w:rsidR="00153636" w:rsidRPr="00AD6AE3">
        <w:rPr>
          <w:rFonts w:cs="Arial"/>
          <w:i/>
          <w:lang w:val="en"/>
        </w:rPr>
        <w:t xml:space="preserve">Migration Act </w:t>
      </w:r>
      <w:r w:rsidRPr="00AD6AE3">
        <w:rPr>
          <w:rFonts w:cs="Arial"/>
          <w:i/>
          <w:lang w:val="en"/>
        </w:rPr>
        <w:t>1958</w:t>
      </w:r>
      <w:r>
        <w:rPr>
          <w:rFonts w:cs="Arial"/>
          <w:lang w:val="en"/>
        </w:rPr>
        <w:t xml:space="preserve"> (</w:t>
      </w:r>
      <w:proofErr w:type="spellStart"/>
      <w:r>
        <w:rPr>
          <w:rFonts w:cs="Arial"/>
          <w:lang w:val="en"/>
        </w:rPr>
        <w:t>Cth</w:t>
      </w:r>
      <w:proofErr w:type="spellEnd"/>
      <w:r>
        <w:rPr>
          <w:rFonts w:cs="Arial"/>
          <w:lang w:val="en"/>
        </w:rPr>
        <w:t xml:space="preserve">) </w:t>
      </w:r>
      <w:r w:rsidR="00153636" w:rsidRPr="003D0562">
        <w:rPr>
          <w:rFonts w:cs="Arial"/>
          <w:lang w:val="en"/>
        </w:rPr>
        <w:t>to release</w:t>
      </w:r>
      <w:r w:rsidR="00153636">
        <w:rPr>
          <w:rFonts w:cs="Arial"/>
          <w:lang w:val="en"/>
        </w:rPr>
        <w:t xml:space="preserve"> hundreds of children and their family members from immigration detention facilities</w:t>
      </w:r>
      <w:r w:rsidR="00D22C74">
        <w:rPr>
          <w:rFonts w:cs="Arial"/>
          <w:lang w:val="en"/>
        </w:rPr>
        <w:t>.</w:t>
      </w:r>
      <w:r w:rsidR="00D22C74" w:rsidRPr="00D22C74">
        <w:rPr>
          <w:rFonts w:cs="Arial"/>
          <w:lang w:val="en"/>
        </w:rPr>
        <w:t xml:space="preserve"> </w:t>
      </w:r>
      <w:r w:rsidR="00C461FC">
        <w:rPr>
          <w:rFonts w:cs="Arial"/>
          <w:lang w:val="en"/>
        </w:rPr>
        <w:t>As at 31 January 2014, there were 1</w:t>
      </w:r>
      <w:r w:rsidR="0028501E">
        <w:rPr>
          <w:rFonts w:cs="Arial"/>
          <w:lang w:val="en"/>
        </w:rPr>
        <w:t>,</w:t>
      </w:r>
      <w:r w:rsidR="00C461FC">
        <w:rPr>
          <w:rFonts w:cs="Arial"/>
          <w:lang w:val="en"/>
        </w:rPr>
        <w:t>006 children in detention in Australia, and 132 in detention in Nauru.</w:t>
      </w:r>
      <w:r w:rsidR="00D94DF7">
        <w:rPr>
          <w:rStyle w:val="EndnoteReference"/>
          <w:rFonts w:cs="Arial"/>
          <w:lang w:val="en"/>
        </w:rPr>
        <w:endnoteReference w:id="20"/>
      </w:r>
      <w:r w:rsidR="00C461FC">
        <w:rPr>
          <w:rFonts w:cs="Arial"/>
          <w:lang w:val="en"/>
        </w:rPr>
        <w:t xml:space="preserve"> </w:t>
      </w:r>
      <w:r w:rsidR="00D22C74" w:rsidRPr="00D22C74">
        <w:rPr>
          <w:rFonts w:cs="Arial"/>
          <w:lang w:val="en"/>
        </w:rPr>
        <w:t>As at 31 May 2015</w:t>
      </w:r>
      <w:r w:rsidR="00C461FC">
        <w:rPr>
          <w:rFonts w:cs="Arial"/>
          <w:lang w:val="en"/>
        </w:rPr>
        <w:t>,</w:t>
      </w:r>
      <w:r w:rsidR="00D22C74" w:rsidRPr="00D22C74">
        <w:rPr>
          <w:rFonts w:cs="Arial"/>
          <w:lang w:val="en"/>
        </w:rPr>
        <w:t xml:space="preserve"> </w:t>
      </w:r>
      <w:r w:rsidR="00D22C74">
        <w:rPr>
          <w:rFonts w:cs="Arial"/>
          <w:lang w:val="en"/>
        </w:rPr>
        <w:t>there were 138 children in de</w:t>
      </w:r>
      <w:r w:rsidR="00C461FC">
        <w:rPr>
          <w:rFonts w:cs="Arial"/>
          <w:lang w:val="en"/>
        </w:rPr>
        <w:t>tention in Australia, and 81 detained</w:t>
      </w:r>
      <w:r w:rsidR="00D22C74">
        <w:rPr>
          <w:rFonts w:cs="Arial"/>
          <w:lang w:val="en"/>
        </w:rPr>
        <w:t xml:space="preserve"> in Nauru.</w:t>
      </w:r>
      <w:r w:rsidR="00B931E1">
        <w:rPr>
          <w:rStyle w:val="EndnoteReference"/>
          <w:rFonts w:cs="Arial"/>
          <w:lang w:val="en"/>
        </w:rPr>
        <w:endnoteReference w:id="21"/>
      </w:r>
    </w:p>
    <w:p w:rsidR="00BB7E1A" w:rsidRPr="00427B05" w:rsidRDefault="00153636" w:rsidP="003D237B">
      <w:pPr>
        <w:spacing w:before="0" w:after="120"/>
        <w:jc w:val="both"/>
        <w:rPr>
          <w:rFonts w:cs="Arial"/>
          <w:highlight w:val="yellow"/>
          <w:lang w:val="en"/>
        </w:rPr>
      </w:pPr>
      <w:r>
        <w:rPr>
          <w:rFonts w:cs="Arial"/>
          <w:lang w:val="en"/>
        </w:rPr>
        <w:t xml:space="preserve">The Government has </w:t>
      </w:r>
      <w:r w:rsidR="004D4E48">
        <w:rPr>
          <w:rFonts w:cs="Arial"/>
          <w:lang w:val="en"/>
        </w:rPr>
        <w:t xml:space="preserve">also </w:t>
      </w:r>
      <w:r>
        <w:rPr>
          <w:rFonts w:cs="Arial"/>
          <w:lang w:val="en"/>
        </w:rPr>
        <w:t>removed all children from the Christmas Island detention centres</w:t>
      </w:r>
      <w:r w:rsidR="006C0A80">
        <w:rPr>
          <w:rFonts w:cs="Arial"/>
          <w:lang w:val="en"/>
        </w:rPr>
        <w:t xml:space="preserve">, </w:t>
      </w:r>
      <w:r w:rsidR="00112919" w:rsidRPr="004D4E48">
        <w:rPr>
          <w:rFonts w:cs="Arial"/>
          <w:lang w:val="en"/>
        </w:rPr>
        <w:t>and in the 201</w:t>
      </w:r>
      <w:r w:rsidR="004D4E48" w:rsidRPr="004D4E48">
        <w:rPr>
          <w:rFonts w:cs="Arial"/>
          <w:lang w:val="en"/>
        </w:rPr>
        <w:t xml:space="preserve">5-2016 Budget announced it </w:t>
      </w:r>
      <w:r w:rsidR="00112919" w:rsidRPr="004D4E48">
        <w:rPr>
          <w:rFonts w:cs="Arial"/>
          <w:lang w:val="en"/>
        </w:rPr>
        <w:t>will close the Phosphate Hill and Construction Camp detention centres on the island</w:t>
      </w:r>
      <w:r w:rsidR="004D4E48" w:rsidRPr="004D4E48">
        <w:rPr>
          <w:rFonts w:cs="Arial"/>
          <w:lang w:val="en"/>
        </w:rPr>
        <w:t>.</w:t>
      </w:r>
      <w:r w:rsidR="00541879">
        <w:rPr>
          <w:rStyle w:val="EndnoteReference"/>
          <w:rFonts w:cs="Arial"/>
          <w:lang w:val="en"/>
        </w:rPr>
        <w:endnoteReference w:id="22"/>
      </w:r>
    </w:p>
    <w:p w:rsidR="00BB7E1A" w:rsidRPr="00D367B6" w:rsidRDefault="00DD57D5" w:rsidP="003D237B">
      <w:pPr>
        <w:jc w:val="both"/>
        <w:rPr>
          <w:rFonts w:cs="Arial"/>
          <w:b/>
          <w:i/>
          <w:sz w:val="28"/>
          <w:szCs w:val="28"/>
        </w:rPr>
      </w:pPr>
      <w:r w:rsidRPr="00D367B6">
        <w:rPr>
          <w:rFonts w:cs="Arial"/>
          <w:b/>
          <w:i/>
          <w:color w:val="0070C0"/>
          <w:sz w:val="28"/>
          <w:szCs w:val="28"/>
        </w:rPr>
        <w:t>Why are there children in immigration detention</w:t>
      </w:r>
      <w:r w:rsidR="00BB7E1A" w:rsidRPr="00D367B6">
        <w:rPr>
          <w:rFonts w:cs="Arial"/>
          <w:b/>
          <w:i/>
          <w:color w:val="0070C0"/>
          <w:sz w:val="28"/>
          <w:szCs w:val="28"/>
        </w:rPr>
        <w:t>?</w:t>
      </w:r>
    </w:p>
    <w:p w:rsidR="00BB7E1A" w:rsidRDefault="00BB7E1A" w:rsidP="003D237B">
      <w:pPr>
        <w:jc w:val="both"/>
        <w:rPr>
          <w:lang w:val="en"/>
        </w:rPr>
      </w:pPr>
      <w:r w:rsidRPr="00D367B6">
        <w:rPr>
          <w:lang w:val="en"/>
        </w:rPr>
        <w:t xml:space="preserve">Australia is the only country in the world to detain asylum-seeking children as a first option. Under the </w:t>
      </w:r>
      <w:r w:rsidRPr="00D367B6">
        <w:rPr>
          <w:i/>
          <w:lang w:val="en"/>
        </w:rPr>
        <w:t>Migration Act 1958</w:t>
      </w:r>
      <w:r w:rsidRPr="00D367B6">
        <w:rPr>
          <w:lang w:val="en"/>
        </w:rPr>
        <w:t xml:space="preserve"> (</w:t>
      </w:r>
      <w:proofErr w:type="spellStart"/>
      <w:r w:rsidRPr="00D367B6">
        <w:rPr>
          <w:lang w:val="en"/>
        </w:rPr>
        <w:t>Cth</w:t>
      </w:r>
      <w:proofErr w:type="spellEnd"/>
      <w:r w:rsidRPr="00D367B6">
        <w:rPr>
          <w:lang w:val="en"/>
        </w:rPr>
        <w:t>), non-citizen children who arrive without a visa must be detained, and are only released at the discretion of the Minister for Immigration and Border Protection. The policy and practice of detaining asylum-seeking children has been adopted by successive Australian Governments from both sides of politics for over 20 years.</w:t>
      </w:r>
    </w:p>
    <w:p w:rsidR="00BB7E1A" w:rsidRPr="001B2D18" w:rsidRDefault="00BB7E1A" w:rsidP="003D237B">
      <w:pPr>
        <w:jc w:val="both"/>
        <w:rPr>
          <w:rFonts w:cs="Arial"/>
          <w:b/>
          <w:i/>
          <w:color w:val="0070C0"/>
          <w:sz w:val="28"/>
          <w:szCs w:val="28"/>
        </w:rPr>
      </w:pPr>
      <w:r>
        <w:rPr>
          <w:rFonts w:cs="Arial"/>
          <w:b/>
          <w:i/>
          <w:color w:val="0070C0"/>
          <w:sz w:val="28"/>
          <w:szCs w:val="28"/>
        </w:rPr>
        <w:t>How did the Inquiry team investigate the impacts of detention?</w:t>
      </w:r>
    </w:p>
    <w:p w:rsidR="00BB7E1A" w:rsidRDefault="00BB7E1A" w:rsidP="003D237B">
      <w:pPr>
        <w:jc w:val="both"/>
        <w:rPr>
          <w:rFonts w:cs="Arial"/>
          <w:bCs/>
        </w:rPr>
      </w:pPr>
      <w:r>
        <w:rPr>
          <w:rFonts w:cs="Arial"/>
        </w:rPr>
        <w:t>Through visits to 11 different detention centres, t</w:t>
      </w:r>
      <w:r w:rsidRPr="00A41714">
        <w:rPr>
          <w:rFonts w:cs="Arial"/>
        </w:rPr>
        <w:t>he Commission conducted interviews with 1,129 children and parents in immigration detention in Australia,</w:t>
      </w:r>
      <w:r>
        <w:rPr>
          <w:rFonts w:cs="Arial"/>
        </w:rPr>
        <w:t xml:space="preserve"> using a standardized questionnaire</w:t>
      </w:r>
      <w:r w:rsidRPr="00A41714">
        <w:rPr>
          <w:rFonts w:cs="Arial"/>
        </w:rPr>
        <w:t xml:space="preserve">. </w:t>
      </w:r>
      <w:r>
        <w:rPr>
          <w:rFonts w:cs="Arial"/>
        </w:rPr>
        <w:t>T</w:t>
      </w:r>
      <w:r w:rsidRPr="00A41714">
        <w:rPr>
          <w:rFonts w:cs="Arial"/>
        </w:rPr>
        <w:t xml:space="preserve">he Commission </w:t>
      </w:r>
      <w:r>
        <w:rPr>
          <w:rFonts w:cs="Arial"/>
        </w:rPr>
        <w:t xml:space="preserve">also </w:t>
      </w:r>
      <w:r w:rsidRPr="002F4A6D">
        <w:rPr>
          <w:rFonts w:cs="Arial"/>
          <w:bCs/>
        </w:rPr>
        <w:t>conducted 104 interviews with people in the community</w:t>
      </w:r>
      <w:r>
        <w:rPr>
          <w:rFonts w:cs="Arial"/>
          <w:bCs/>
        </w:rPr>
        <w:t xml:space="preserve"> who had formerly been detained.</w:t>
      </w:r>
    </w:p>
    <w:p w:rsidR="00BB7E1A" w:rsidRDefault="00BB7E1A" w:rsidP="003D237B">
      <w:pPr>
        <w:jc w:val="both"/>
        <w:rPr>
          <w:rFonts w:cs="Arial"/>
        </w:rPr>
      </w:pPr>
      <w:r>
        <w:t>A crucial aspect of the Inquiry was the involvement of internationally recognised medical experts as consultants who accompanied</w:t>
      </w:r>
      <w:r w:rsidRPr="001F5619">
        <w:t xml:space="preserve"> </w:t>
      </w:r>
      <w:r>
        <w:t xml:space="preserve">Inquiry staff on each of the detention centre visits, and submitted </w:t>
      </w:r>
      <w:r w:rsidRPr="00AB49F6">
        <w:rPr>
          <w:rFonts w:cs="Arial"/>
        </w:rPr>
        <w:t>expert reports</w:t>
      </w:r>
      <w:r>
        <w:rPr>
          <w:rFonts w:cs="Arial"/>
        </w:rPr>
        <w:t xml:space="preserve"> of their observations</w:t>
      </w:r>
      <w:r w:rsidRPr="00AB49F6">
        <w:rPr>
          <w:rFonts w:cs="Arial"/>
        </w:rPr>
        <w:t>.</w:t>
      </w:r>
      <w:r>
        <w:rPr>
          <w:rStyle w:val="EndnoteReference"/>
          <w:rFonts w:cs="Arial"/>
        </w:rPr>
        <w:endnoteReference w:id="23"/>
      </w:r>
    </w:p>
    <w:p w:rsidR="00BB7E1A" w:rsidRPr="002B16F9" w:rsidRDefault="00BB7E1A" w:rsidP="003D237B">
      <w:pPr>
        <w:spacing w:after="120"/>
        <w:jc w:val="both"/>
        <w:rPr>
          <w:rFonts w:cs="Arial"/>
        </w:rPr>
      </w:pPr>
      <w:r w:rsidRPr="002B16F9">
        <w:rPr>
          <w:rFonts w:cs="Arial"/>
          <w:bCs/>
        </w:rPr>
        <w:t xml:space="preserve">The Commission </w:t>
      </w:r>
      <w:r w:rsidRPr="002B16F9">
        <w:rPr>
          <w:lang w:val="en"/>
        </w:rPr>
        <w:t>r</w:t>
      </w:r>
      <w:r w:rsidR="000C41C0">
        <w:rPr>
          <w:lang w:val="en"/>
        </w:rPr>
        <w:t xml:space="preserve">eceived 239 submissions </w:t>
      </w:r>
      <w:r w:rsidR="003A19B1">
        <w:rPr>
          <w:lang w:val="en"/>
        </w:rPr>
        <w:t xml:space="preserve">including </w:t>
      </w:r>
      <w:r w:rsidR="000C41C0">
        <w:rPr>
          <w:lang w:val="en"/>
        </w:rPr>
        <w:t>from</w:t>
      </w:r>
      <w:r w:rsidR="00E23315">
        <w:rPr>
          <w:lang w:val="en"/>
        </w:rPr>
        <w:t xml:space="preserve"> medical service providers, non-government </w:t>
      </w:r>
      <w:proofErr w:type="spellStart"/>
      <w:r w:rsidR="00E23315">
        <w:rPr>
          <w:lang w:val="en"/>
        </w:rPr>
        <w:t>organisations</w:t>
      </w:r>
      <w:proofErr w:type="spellEnd"/>
      <w:r w:rsidRPr="002B16F9">
        <w:rPr>
          <w:lang w:val="en"/>
        </w:rPr>
        <w:t xml:space="preserve">, </w:t>
      </w:r>
      <w:bookmarkStart w:id="2" w:name="_GoBack"/>
      <w:bookmarkEnd w:id="2"/>
      <w:r w:rsidRPr="002B16F9">
        <w:rPr>
          <w:lang w:val="en"/>
        </w:rPr>
        <w:t>professionals who had worked with children in immigration detention</w:t>
      </w:r>
      <w:r w:rsidR="00DF72EB">
        <w:rPr>
          <w:lang w:val="en"/>
        </w:rPr>
        <w:t xml:space="preserve"> and </w:t>
      </w:r>
      <w:r w:rsidR="00DF72EB" w:rsidRPr="002B16F9">
        <w:rPr>
          <w:lang w:val="en"/>
        </w:rPr>
        <w:t>children in detention on Nauru</w:t>
      </w:r>
      <w:r>
        <w:rPr>
          <w:lang w:val="en"/>
        </w:rPr>
        <w:t>.</w:t>
      </w:r>
      <w:r>
        <w:rPr>
          <w:rStyle w:val="EndnoteReference"/>
          <w:lang w:val="en"/>
        </w:rPr>
        <w:endnoteReference w:id="24"/>
      </w:r>
    </w:p>
    <w:p w:rsidR="00BB7E1A" w:rsidRDefault="00BB7E1A" w:rsidP="003D237B">
      <w:pPr>
        <w:spacing w:after="120"/>
        <w:jc w:val="both"/>
        <w:rPr>
          <w:rFonts w:cs="Arial"/>
        </w:rPr>
      </w:pPr>
      <w:r>
        <w:rPr>
          <w:rFonts w:cs="Arial"/>
        </w:rPr>
        <w:t xml:space="preserve">The Commission </w:t>
      </w:r>
      <w:r w:rsidRPr="002B16F9">
        <w:rPr>
          <w:rFonts w:cs="Arial"/>
        </w:rPr>
        <w:t xml:space="preserve">conducted </w:t>
      </w:r>
      <w:r w:rsidRPr="002B16F9">
        <w:rPr>
          <w:rFonts w:cs="Arial"/>
          <w:bCs/>
        </w:rPr>
        <w:t>5 public hearings</w:t>
      </w:r>
      <w:r w:rsidRPr="002B16F9">
        <w:rPr>
          <w:rFonts w:cs="Arial"/>
          <w:b/>
          <w:bCs/>
        </w:rPr>
        <w:t xml:space="preserve"> </w:t>
      </w:r>
      <w:r>
        <w:rPr>
          <w:rFonts w:cs="Arial"/>
        </w:rPr>
        <w:t>at which</w:t>
      </w:r>
      <w:r w:rsidRPr="002B16F9">
        <w:rPr>
          <w:rFonts w:cs="Arial"/>
        </w:rPr>
        <w:t xml:space="preserve"> 41 witnesses gave evidence under oath</w:t>
      </w:r>
      <w:r w:rsidR="00D6526B">
        <w:rPr>
          <w:rFonts w:cs="Arial"/>
          <w:b/>
          <w:bCs/>
        </w:rPr>
        <w:t xml:space="preserve">. </w:t>
      </w:r>
      <w:r w:rsidR="00D6526B" w:rsidRPr="00D6526B">
        <w:rPr>
          <w:rFonts w:cs="Arial"/>
          <w:bCs/>
        </w:rPr>
        <w:t>These witnesses</w:t>
      </w:r>
      <w:r w:rsidR="00D6526B">
        <w:rPr>
          <w:rFonts w:cs="Arial"/>
          <w:bCs/>
        </w:rPr>
        <w:t xml:space="preserve"> included</w:t>
      </w:r>
      <w:r w:rsidRPr="002B16F9">
        <w:rPr>
          <w:rFonts w:cs="Arial"/>
          <w:bCs/>
        </w:rPr>
        <w:t xml:space="preserve"> </w:t>
      </w:r>
      <w:r>
        <w:rPr>
          <w:rFonts w:cs="Arial"/>
          <w:bCs/>
        </w:rPr>
        <w:t xml:space="preserve">doctors who had worked in immigration detention centres, </w:t>
      </w:r>
      <w:r w:rsidRPr="002B16F9">
        <w:rPr>
          <w:rFonts w:cs="Arial"/>
          <w:bCs/>
        </w:rPr>
        <w:t xml:space="preserve">the former Minister for Immigration </w:t>
      </w:r>
      <w:r>
        <w:rPr>
          <w:rFonts w:cs="Arial"/>
          <w:bCs/>
        </w:rPr>
        <w:t xml:space="preserve">the Hon </w:t>
      </w:r>
      <w:r w:rsidRPr="002B16F9">
        <w:rPr>
          <w:rFonts w:cs="Arial"/>
          <w:bCs/>
        </w:rPr>
        <w:t xml:space="preserve">Chris Bowen </w:t>
      </w:r>
      <w:r>
        <w:rPr>
          <w:rFonts w:cs="Arial"/>
          <w:bCs/>
        </w:rPr>
        <w:t xml:space="preserve">MP </w:t>
      </w:r>
      <w:r w:rsidRPr="002B16F9">
        <w:rPr>
          <w:rFonts w:cs="Arial"/>
          <w:bCs/>
        </w:rPr>
        <w:t xml:space="preserve">and the </w:t>
      </w:r>
      <w:r>
        <w:rPr>
          <w:rFonts w:cs="Arial"/>
          <w:bCs/>
        </w:rPr>
        <w:t>(</w:t>
      </w:r>
      <w:r w:rsidRPr="002B16F9">
        <w:rPr>
          <w:rFonts w:cs="Arial"/>
          <w:bCs/>
        </w:rPr>
        <w:t>then</w:t>
      </w:r>
      <w:r>
        <w:rPr>
          <w:rFonts w:cs="Arial"/>
          <w:bCs/>
        </w:rPr>
        <w:t>)</w:t>
      </w:r>
      <w:r w:rsidRPr="002B16F9">
        <w:rPr>
          <w:rFonts w:cs="Arial"/>
          <w:bCs/>
        </w:rPr>
        <w:t xml:space="preserve"> Minister for Immigration </w:t>
      </w:r>
      <w:r>
        <w:rPr>
          <w:rFonts w:cs="Arial"/>
          <w:bCs/>
        </w:rPr>
        <w:t xml:space="preserve">the Hon </w:t>
      </w:r>
      <w:r w:rsidRPr="002B16F9">
        <w:rPr>
          <w:rFonts w:cs="Arial"/>
          <w:bCs/>
        </w:rPr>
        <w:t>Scott Morrison</w:t>
      </w:r>
      <w:r>
        <w:rPr>
          <w:rFonts w:cs="Arial"/>
          <w:bCs/>
        </w:rPr>
        <w:t xml:space="preserve"> MP</w:t>
      </w:r>
      <w:r w:rsidRPr="002B16F9">
        <w:rPr>
          <w:rFonts w:cs="Arial"/>
          <w:bCs/>
        </w:rPr>
        <w:t>.</w:t>
      </w:r>
      <w:r>
        <w:rPr>
          <w:rStyle w:val="EndnoteReference"/>
          <w:rFonts w:cs="Arial"/>
          <w:bCs/>
        </w:rPr>
        <w:endnoteReference w:id="25"/>
      </w:r>
    </w:p>
    <w:p w:rsidR="00BB7E1A" w:rsidRPr="00A65516" w:rsidRDefault="00BB7E1A" w:rsidP="003D237B">
      <w:pPr>
        <w:spacing w:after="120"/>
        <w:jc w:val="both"/>
        <w:rPr>
          <w:rFonts w:cs="Arial"/>
        </w:rPr>
      </w:pPr>
      <w:r>
        <w:rPr>
          <w:rFonts w:cs="Arial"/>
        </w:rPr>
        <w:t>The Commission a</w:t>
      </w:r>
      <w:r w:rsidRPr="00A65516">
        <w:rPr>
          <w:rFonts w:cs="Arial"/>
        </w:rPr>
        <w:t xml:space="preserve">lso obtained and analysed information from the Department of Immigration and its contractors using the </w:t>
      </w:r>
      <w:r w:rsidRPr="00D035D2">
        <w:rPr>
          <w:rFonts w:cs="Arial"/>
          <w:bCs/>
        </w:rPr>
        <w:t>Commission’s powers to compel</w:t>
      </w:r>
      <w:r w:rsidRPr="00A65516">
        <w:rPr>
          <w:rFonts w:cs="Arial"/>
          <w:b/>
          <w:bCs/>
        </w:rPr>
        <w:t xml:space="preserve"> </w:t>
      </w:r>
      <w:r w:rsidRPr="00A65516">
        <w:rPr>
          <w:rFonts w:cs="Arial"/>
        </w:rPr>
        <w:t>documents</w:t>
      </w:r>
      <w:r>
        <w:rPr>
          <w:rFonts w:cs="Arial"/>
        </w:rPr>
        <w:t xml:space="preserve"> and information.</w:t>
      </w:r>
    </w:p>
    <w:p w:rsidR="00427B05" w:rsidRPr="00122992" w:rsidRDefault="00427B05" w:rsidP="003D237B">
      <w:pPr>
        <w:jc w:val="both"/>
        <w:rPr>
          <w:rFonts w:cs="Arial"/>
        </w:rPr>
      </w:pPr>
      <w:r>
        <w:rPr>
          <w:rFonts w:cs="Arial"/>
          <w:noProof/>
        </w:rPr>
        <w:drawing>
          <wp:anchor distT="0" distB="0" distL="114300" distR="114300" simplePos="0" relativeHeight="251661312" behindDoc="1" locked="0" layoutInCell="1" allowOverlap="1" wp14:anchorId="4A992C7A" wp14:editId="714C13D1">
            <wp:simplePos x="0" y="0"/>
            <wp:positionH relativeFrom="margin">
              <wp:posOffset>4328795</wp:posOffset>
            </wp:positionH>
            <wp:positionV relativeFrom="paragraph">
              <wp:posOffset>10160</wp:posOffset>
            </wp:positionV>
            <wp:extent cx="1362075" cy="1864360"/>
            <wp:effectExtent l="0" t="0" r="9525" b="2540"/>
            <wp:wrapTight wrapText="bothSides">
              <wp:wrapPolygon edited="1">
                <wp:start x="-4706" y="264"/>
                <wp:lineTo x="-4707" y="21600"/>
                <wp:lineTo x="21479" y="21512"/>
                <wp:lineTo x="21479" y="0"/>
                <wp:lineTo x="-4706" y="2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864360"/>
                    </a:xfrm>
                    <a:prstGeom prst="rect">
                      <a:avLst/>
                    </a:prstGeom>
                    <a:noFill/>
                  </pic:spPr>
                </pic:pic>
              </a:graphicData>
            </a:graphic>
            <wp14:sizeRelH relativeFrom="page">
              <wp14:pctWidth>0</wp14:pctWidth>
            </wp14:sizeRelH>
            <wp14:sizeRelV relativeFrom="page">
              <wp14:pctHeight>0</wp14:pctHeight>
            </wp14:sizeRelV>
          </wp:anchor>
        </w:drawing>
      </w:r>
      <w:r w:rsidR="00BB7E1A">
        <w:rPr>
          <w:rFonts w:cs="Arial"/>
        </w:rPr>
        <w:t xml:space="preserve">The final report of the Inquiry, </w:t>
      </w:r>
      <w:r w:rsidR="00BB7E1A" w:rsidRPr="00BC67FE">
        <w:rPr>
          <w:rFonts w:cs="Arial"/>
          <w:i/>
        </w:rPr>
        <w:t>The Forgotten Children: National Inquiry into Children in Immigration Detention 2014</w:t>
      </w:r>
      <w:r w:rsidR="00BB7E1A">
        <w:rPr>
          <w:rFonts w:cs="Arial"/>
        </w:rPr>
        <w:t>, was provided to the Attorney-General on 11 November 2014. The Attorney tabled the report in Federal Parliament on 11 February 2015. The full report is available in Word, PDF and HTML versio</w:t>
      </w:r>
      <w:r w:rsidR="00D94DF7">
        <w:rPr>
          <w:rFonts w:cs="Arial"/>
        </w:rPr>
        <w:t>ns on the Commission’s website</w:t>
      </w:r>
      <w:proofErr w:type="gramStart"/>
      <w:r w:rsidR="00D94DF7">
        <w:rPr>
          <w:rFonts w:cs="Arial"/>
        </w:rPr>
        <w:t>:</w:t>
      </w:r>
      <w:proofErr w:type="gramEnd"/>
      <w:hyperlink r:id="rId13" w:history="1">
        <w:r w:rsidR="00BB7E1A" w:rsidRPr="00845A94">
          <w:rPr>
            <w:rStyle w:val="Hyperlink"/>
            <w:rFonts w:cs="Arial"/>
          </w:rPr>
          <w:t>https://www.humanrights.gov.au/our-work/asylum-seekers-and-refugees/publications/forgotten-children-national-inquiry-children</w:t>
        </w:r>
      </w:hyperlink>
      <w:r w:rsidR="00BB7E1A">
        <w:rPr>
          <w:rFonts w:cs="Arial"/>
        </w:rPr>
        <w:t xml:space="preserve"> </w:t>
      </w:r>
    </w:p>
    <w:sectPr w:rsidR="00427B05" w:rsidRPr="001229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B6" w:rsidRDefault="009444B6" w:rsidP="00F14C6D">
      <w:r>
        <w:separator/>
      </w:r>
    </w:p>
  </w:endnote>
  <w:endnote w:type="continuationSeparator" w:id="0">
    <w:p w:rsidR="009444B6" w:rsidRDefault="009444B6" w:rsidP="00F14C6D">
      <w:r>
        <w:continuationSeparator/>
      </w:r>
    </w:p>
  </w:endnote>
  <w:endnote w:id="1">
    <w:p w:rsidR="00C90074" w:rsidRDefault="00C90074" w:rsidP="00EB5ECF">
      <w:pPr>
        <w:pStyle w:val="EndnoteText"/>
        <w:ind w:left="284" w:hanging="284"/>
      </w:pPr>
      <w:r>
        <w:rPr>
          <w:rStyle w:val="EndnoteReference"/>
        </w:rPr>
        <w:endnoteRef/>
      </w:r>
      <w:r>
        <w:t xml:space="preserve"> </w:t>
      </w:r>
      <w:r w:rsidR="00EB5ECF">
        <w:tab/>
      </w:r>
      <w:r w:rsidRPr="00C90074">
        <w:rPr>
          <w:i/>
        </w:rPr>
        <w:t>Convention on the Rights of the Child</w:t>
      </w:r>
      <w:r>
        <w:t xml:space="preserve">, 1989. At </w:t>
      </w:r>
      <w:hyperlink r:id="rId1" w:history="1">
        <w:r w:rsidRPr="0091079D">
          <w:rPr>
            <w:rStyle w:val="Hyperlink"/>
          </w:rPr>
          <w:t>http://www.austlii.edu.au/au/other/dfat/treaties/1991/4.html</w:t>
        </w:r>
      </w:hyperlink>
      <w:r>
        <w:t xml:space="preserve"> (viewed 8 July 2015).</w:t>
      </w:r>
    </w:p>
  </w:endnote>
  <w:endnote w:id="2">
    <w:p w:rsidR="00BB7E1A" w:rsidRDefault="00BB7E1A" w:rsidP="00EB5ECF">
      <w:pPr>
        <w:pStyle w:val="EndnoteText"/>
        <w:ind w:left="284" w:hanging="284"/>
      </w:pPr>
      <w:r>
        <w:rPr>
          <w:rStyle w:val="EndnoteReference"/>
        </w:rPr>
        <w:endnoteRef/>
      </w:r>
      <w:r>
        <w:t xml:space="preserve"> </w:t>
      </w:r>
      <w:r w:rsidR="00EB5ECF">
        <w:tab/>
      </w:r>
      <w:r>
        <w:t xml:space="preserve">Australian Human Rights Commission, </w:t>
      </w:r>
      <w:r w:rsidRPr="00AE1F66">
        <w:rPr>
          <w:i/>
        </w:rPr>
        <w:t xml:space="preserve">The Forgotten Children: National Inquiry into Children in Immigration Detention 2014 </w:t>
      </w:r>
      <w:r>
        <w:t>(2015), (</w:t>
      </w:r>
      <w:r w:rsidRPr="00607722">
        <w:rPr>
          <w:i/>
        </w:rPr>
        <w:t>The Forgotten Children</w:t>
      </w:r>
      <w:r>
        <w:t xml:space="preserve">) p 29 and pp 74-75. At </w:t>
      </w:r>
      <w:hyperlink r:id="rId2" w:history="1">
        <w:r w:rsidRPr="00845A94">
          <w:rPr>
            <w:rStyle w:val="Hyperlink"/>
          </w:rPr>
          <w:t>https://www.humanrights.gov.au/our-work/asylum-seekers-and-refugees/publications/forgotten-children-national-inquiry-children</w:t>
        </w:r>
      </w:hyperlink>
      <w:r>
        <w:t xml:space="preserve"> (viewed 22 June 2015).</w:t>
      </w:r>
    </w:p>
  </w:endnote>
  <w:endnote w:id="3">
    <w:p w:rsidR="00607722" w:rsidRDefault="00607722"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xml:space="preserve">, </w:t>
      </w:r>
      <w:r w:rsidR="007F10C5">
        <w:t>p 29 and p 75</w:t>
      </w:r>
      <w:r>
        <w:t>.</w:t>
      </w:r>
    </w:p>
  </w:endnote>
  <w:endnote w:id="4">
    <w:p w:rsidR="00607722" w:rsidRDefault="00607722"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30</w:t>
      </w:r>
      <w:r w:rsidR="00023780">
        <w:t xml:space="preserve"> and p 76</w:t>
      </w:r>
      <w:r>
        <w:t>.</w:t>
      </w:r>
    </w:p>
  </w:endnote>
  <w:endnote w:id="5">
    <w:p w:rsidR="00140D1E" w:rsidRDefault="00140D1E"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rPr>
          <w:i/>
        </w:rPr>
        <w:t xml:space="preserve">, </w:t>
      </w:r>
      <w:r w:rsidRPr="00140D1E">
        <w:t>p 62.</w:t>
      </w:r>
    </w:p>
  </w:endnote>
  <w:endnote w:id="6">
    <w:p w:rsidR="00140D1E" w:rsidRDefault="00140D1E"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rPr>
          <w:i/>
        </w:rPr>
        <w:t xml:space="preserve">, </w:t>
      </w:r>
      <w:r>
        <w:t>above</w:t>
      </w:r>
      <w:r w:rsidRPr="00140D1E">
        <w:t>.</w:t>
      </w:r>
    </w:p>
  </w:endnote>
  <w:endnote w:id="7">
    <w:p w:rsidR="00220D52" w:rsidRDefault="00220D52"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30</w:t>
      </w:r>
      <w:r w:rsidR="00FA408B">
        <w:t xml:space="preserve"> and p 76</w:t>
      </w:r>
      <w:r>
        <w:t>.</w:t>
      </w:r>
    </w:p>
  </w:endnote>
  <w:endnote w:id="8">
    <w:p w:rsidR="007F115F" w:rsidRDefault="007F115F"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31</w:t>
      </w:r>
      <w:r w:rsidR="00A03656">
        <w:t xml:space="preserve"> and p 76</w:t>
      </w:r>
      <w:r>
        <w:t>.</w:t>
      </w:r>
    </w:p>
  </w:endnote>
  <w:endnote w:id="9">
    <w:p w:rsidR="007F115F" w:rsidRDefault="007F115F"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35</w:t>
      </w:r>
      <w:r w:rsidR="00453BF7">
        <w:t xml:space="preserve"> and p 179</w:t>
      </w:r>
      <w:r>
        <w:t>.</w:t>
      </w:r>
    </w:p>
  </w:endnote>
  <w:endnote w:id="10">
    <w:p w:rsidR="00762FA5" w:rsidRDefault="00762FA5"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31 and pp 76-77.</w:t>
      </w:r>
    </w:p>
  </w:endnote>
  <w:endnote w:id="11">
    <w:p w:rsidR="00762FA5" w:rsidRDefault="00762FA5"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34 and p 170.</w:t>
      </w:r>
    </w:p>
  </w:endnote>
  <w:endnote w:id="12">
    <w:p w:rsidR="00762FA5" w:rsidRDefault="00762FA5"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pp 34-35 and p 170.</w:t>
      </w:r>
    </w:p>
  </w:endnote>
  <w:endnote w:id="13">
    <w:p w:rsidR="00DA7983" w:rsidRDefault="00DA7983"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35 and p 170.</w:t>
      </w:r>
    </w:p>
  </w:endnote>
  <w:endnote w:id="14">
    <w:p w:rsidR="00932F71" w:rsidRDefault="00932F71"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t>, p 35 and p 170-171.</w:t>
      </w:r>
    </w:p>
  </w:endnote>
  <w:endnote w:id="15">
    <w:p w:rsidR="00932F71" w:rsidRDefault="00932F71"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rPr>
          <w:i/>
        </w:rPr>
        <w:t xml:space="preserve">, </w:t>
      </w:r>
      <w:r w:rsidRPr="00932F71">
        <w:t>p 35 and p 171. For details of this incident and breach, see pp 160-165.</w:t>
      </w:r>
    </w:p>
  </w:endnote>
  <w:endnote w:id="16">
    <w:p w:rsidR="007D347D" w:rsidRDefault="007D347D" w:rsidP="00EB5ECF">
      <w:pPr>
        <w:pStyle w:val="EndnoteText"/>
        <w:ind w:left="284" w:hanging="284"/>
      </w:pPr>
      <w:r>
        <w:rPr>
          <w:rStyle w:val="EndnoteReference"/>
        </w:rPr>
        <w:endnoteRef/>
      </w:r>
      <w:r>
        <w:t xml:space="preserve"> </w:t>
      </w:r>
      <w:r w:rsidR="00EB5ECF">
        <w:tab/>
      </w:r>
      <w:r>
        <w:t xml:space="preserve">See also the Commission’s factsheet </w:t>
      </w:r>
      <w:r w:rsidRPr="007D347D">
        <w:rPr>
          <w:i/>
        </w:rPr>
        <w:t>Tell Me About: Children in immigration detention in Nauru</w:t>
      </w:r>
      <w:r>
        <w:t xml:space="preserve"> (2015). At </w:t>
      </w:r>
      <w:hyperlink r:id="rId3" w:history="1">
        <w:r w:rsidRPr="00845A94">
          <w:rPr>
            <w:rStyle w:val="Hyperlink"/>
          </w:rPr>
          <w:t>https://www.humanrights.gov.au/our-work/asylum-seekers-and-refugees/publications/tell-me-about-children-immigration-detention-nauru</w:t>
        </w:r>
      </w:hyperlink>
      <w:r>
        <w:t xml:space="preserve"> (viewed 22 June 2015).</w:t>
      </w:r>
    </w:p>
  </w:endnote>
  <w:endnote w:id="17">
    <w:p w:rsidR="009D70D7" w:rsidRDefault="009D70D7" w:rsidP="006C10AC">
      <w:pPr>
        <w:pStyle w:val="EndnoteText"/>
        <w:ind w:left="284" w:hanging="284"/>
      </w:pPr>
      <w:r>
        <w:rPr>
          <w:rStyle w:val="EndnoteReference"/>
        </w:rPr>
        <w:endnoteRef/>
      </w:r>
      <w:r>
        <w:t xml:space="preserve"> </w:t>
      </w:r>
      <w:r>
        <w:tab/>
      </w:r>
      <w:r w:rsidR="00D16218">
        <w:t xml:space="preserve">All of the public submissions are available to read on the Commission’s website at </w:t>
      </w:r>
      <w:hyperlink r:id="rId4" w:history="1">
        <w:r w:rsidR="00D16218" w:rsidRPr="0091079D">
          <w:rPr>
            <w:rStyle w:val="Hyperlink"/>
          </w:rPr>
          <w:t>http://www.humanrights.gov.au/our-work/asylum-seekers-and-refugees/national-inquiry-children-immigration-detention-2014-0</w:t>
        </w:r>
      </w:hyperlink>
      <w:r w:rsidR="00D16218">
        <w:t xml:space="preserve"> (viewed 8 July 2015). </w:t>
      </w:r>
    </w:p>
  </w:endnote>
  <w:endnote w:id="18">
    <w:p w:rsidR="00DB4E1D" w:rsidRPr="00DB4E1D" w:rsidRDefault="00DB4E1D"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rPr>
          <w:i/>
        </w:rPr>
        <w:t xml:space="preserve">, </w:t>
      </w:r>
      <w:r>
        <w:t xml:space="preserve">p 36 and p 195. </w:t>
      </w:r>
    </w:p>
  </w:endnote>
  <w:endnote w:id="19">
    <w:p w:rsidR="00C12A4F" w:rsidRDefault="00C12A4F" w:rsidP="00EB5ECF">
      <w:pPr>
        <w:pStyle w:val="EndnoteText"/>
        <w:ind w:left="284" w:hanging="284"/>
      </w:pPr>
      <w:r>
        <w:rPr>
          <w:rStyle w:val="EndnoteReference"/>
        </w:rPr>
        <w:endnoteRef/>
      </w:r>
      <w:r>
        <w:t xml:space="preserve"> </w:t>
      </w:r>
      <w:r w:rsidR="00EB5ECF">
        <w:tab/>
      </w:r>
      <w:r>
        <w:t xml:space="preserve">Australian Human Rights Commission, </w:t>
      </w:r>
      <w:proofErr w:type="gramStart"/>
      <w:r w:rsidRPr="00607722">
        <w:rPr>
          <w:i/>
        </w:rPr>
        <w:t>The</w:t>
      </w:r>
      <w:proofErr w:type="gramEnd"/>
      <w:r w:rsidRPr="00607722">
        <w:rPr>
          <w:i/>
        </w:rPr>
        <w:t xml:space="preserve"> Forgotten Children</w:t>
      </w:r>
      <w:r>
        <w:rPr>
          <w:i/>
        </w:rPr>
        <w:t xml:space="preserve">, </w:t>
      </w:r>
      <w:r w:rsidRPr="00C12A4F">
        <w:t>above.</w:t>
      </w:r>
    </w:p>
  </w:endnote>
  <w:endnote w:id="20">
    <w:p w:rsidR="00D94DF7" w:rsidRDefault="00D94DF7" w:rsidP="00D94DF7">
      <w:pPr>
        <w:pStyle w:val="EndnoteText"/>
        <w:ind w:left="284" w:hanging="284"/>
      </w:pPr>
      <w:r>
        <w:rPr>
          <w:rStyle w:val="EndnoteReference"/>
        </w:rPr>
        <w:endnoteRef/>
      </w:r>
      <w:r>
        <w:t xml:space="preserve"> Department of Immigration and Border Protection, </w:t>
      </w:r>
      <w:r w:rsidRPr="00D22C74">
        <w:rPr>
          <w:i/>
        </w:rPr>
        <w:t>Immigration Detention and Comm</w:t>
      </w:r>
      <w:r>
        <w:rPr>
          <w:i/>
        </w:rPr>
        <w:t>unity Statistics Summary: 31 January 2014</w:t>
      </w:r>
      <w:r>
        <w:t xml:space="preserve"> (February 2015), p 3. At </w:t>
      </w:r>
      <w:hyperlink r:id="rId5" w:history="1">
        <w:r w:rsidR="00077EFB" w:rsidRPr="006C10AC">
          <w:rPr>
            <w:rStyle w:val="Hyperlink"/>
          </w:rPr>
          <w:t>http://www.border.gov.au/Busi/Comp/Immigration-detention</w:t>
        </w:r>
      </w:hyperlink>
      <w:r w:rsidR="00077EFB">
        <w:t xml:space="preserve"> (viewed 8 July</w:t>
      </w:r>
      <w:r>
        <w:t xml:space="preserve"> 2015).</w:t>
      </w:r>
    </w:p>
  </w:endnote>
  <w:endnote w:id="21">
    <w:p w:rsidR="00B931E1" w:rsidRDefault="00B931E1" w:rsidP="00EB5ECF">
      <w:pPr>
        <w:pStyle w:val="EndnoteText"/>
        <w:ind w:left="284" w:hanging="284"/>
      </w:pPr>
      <w:r>
        <w:rPr>
          <w:rStyle w:val="EndnoteReference"/>
        </w:rPr>
        <w:endnoteRef/>
      </w:r>
      <w:r>
        <w:t xml:space="preserve"> </w:t>
      </w:r>
      <w:r w:rsidR="00EB5ECF">
        <w:tab/>
      </w:r>
      <w:r>
        <w:t xml:space="preserve">Department of Immigration and Border Protection, </w:t>
      </w:r>
      <w:r w:rsidRPr="00D22C74">
        <w:rPr>
          <w:i/>
        </w:rPr>
        <w:t>Immigration Detention and Community Statistics Summary: 31 May 2015</w:t>
      </w:r>
      <w:r>
        <w:t xml:space="preserve"> (June 2015), p 3. At </w:t>
      </w:r>
      <w:hyperlink r:id="rId6" w:history="1">
        <w:r w:rsidR="00077EFB" w:rsidRPr="006C10AC">
          <w:rPr>
            <w:rStyle w:val="Hyperlink"/>
          </w:rPr>
          <w:t>http://www.border.gov.au/Busi/Comp/Immigration-detention</w:t>
        </w:r>
      </w:hyperlink>
      <w:r w:rsidR="00077EFB" w:rsidRPr="00077EFB">
        <w:t xml:space="preserve"> </w:t>
      </w:r>
      <w:r w:rsidR="00077EFB">
        <w:t>(viewed 8 July</w:t>
      </w:r>
      <w:r>
        <w:t xml:space="preserve"> 2015).</w:t>
      </w:r>
    </w:p>
  </w:endnote>
  <w:endnote w:id="22">
    <w:p w:rsidR="00541879" w:rsidRDefault="00541879" w:rsidP="00EB5ECF">
      <w:pPr>
        <w:pStyle w:val="EndnoteText"/>
        <w:ind w:left="284" w:hanging="284"/>
      </w:pPr>
      <w:r>
        <w:rPr>
          <w:rStyle w:val="EndnoteReference"/>
        </w:rPr>
        <w:endnoteRef/>
      </w:r>
      <w:r>
        <w:t xml:space="preserve"> </w:t>
      </w:r>
      <w:r w:rsidR="00EB5ECF">
        <w:tab/>
      </w:r>
      <w:r>
        <w:t xml:space="preserve">Australian Government, </w:t>
      </w:r>
      <w:r w:rsidRPr="00775811">
        <w:rPr>
          <w:i/>
        </w:rPr>
        <w:t>Budget 2015-16; Budget Measures</w:t>
      </w:r>
      <w:r>
        <w:t xml:space="preserve">, Budget Paper No.2 2015-16 (2015), p 119. At </w:t>
      </w:r>
      <w:hyperlink r:id="rId7" w:history="1">
        <w:r w:rsidRPr="00845A94">
          <w:rPr>
            <w:rStyle w:val="Hyperlink"/>
          </w:rPr>
          <w:t>http://www.budget.gov.au/2015-16/content/bp2/html/index.htm</w:t>
        </w:r>
      </w:hyperlink>
      <w:r>
        <w:t xml:space="preserve"> (viewed 22 June 2015).</w:t>
      </w:r>
    </w:p>
  </w:endnote>
  <w:endnote w:id="23">
    <w:p w:rsidR="00BB7E1A" w:rsidRDefault="00BB7E1A" w:rsidP="00EB5ECF">
      <w:pPr>
        <w:pStyle w:val="EndnoteText"/>
        <w:ind w:left="284" w:hanging="284"/>
      </w:pPr>
      <w:r>
        <w:rPr>
          <w:rStyle w:val="EndnoteReference"/>
        </w:rPr>
        <w:endnoteRef/>
      </w:r>
      <w:r>
        <w:t xml:space="preserve"> </w:t>
      </w:r>
      <w:r w:rsidR="00EB5ECF">
        <w:tab/>
      </w:r>
      <w:r>
        <w:t xml:space="preserve">Six of these reports have been made publically available on the Commission’s website at </w:t>
      </w:r>
      <w:hyperlink r:id="rId8" w:history="1">
        <w:r w:rsidRPr="00E73EBA">
          <w:rPr>
            <w:rStyle w:val="Hyperlink"/>
          </w:rPr>
          <w:t>http://www.humanrights.gov.au/our-work/asylum-seekers-and-refugees/national-inquiry-children-immigration-detention-2014/expert</w:t>
        </w:r>
      </w:hyperlink>
      <w:r>
        <w:t xml:space="preserve"> (viewed 5 May 2015).</w:t>
      </w:r>
    </w:p>
  </w:endnote>
  <w:endnote w:id="24">
    <w:p w:rsidR="00BB7E1A" w:rsidRDefault="00BB7E1A" w:rsidP="00EB5ECF">
      <w:pPr>
        <w:pStyle w:val="EndnoteText"/>
        <w:ind w:left="284" w:hanging="284"/>
      </w:pPr>
      <w:r>
        <w:rPr>
          <w:rStyle w:val="EndnoteReference"/>
        </w:rPr>
        <w:endnoteRef/>
      </w:r>
      <w:r>
        <w:t xml:space="preserve"> </w:t>
      </w:r>
      <w:r w:rsidR="00EB5ECF">
        <w:tab/>
      </w:r>
      <w:r>
        <w:t xml:space="preserve">All public submission have been published and are available to read here: </w:t>
      </w:r>
      <w:hyperlink r:id="rId9" w:history="1">
        <w:r w:rsidRPr="00871E98">
          <w:rPr>
            <w:rStyle w:val="Hyperlink"/>
          </w:rPr>
          <w:t>https://www.humanrights.gov.au/our-work/asylum-seekers-and-refugees/national-inquiry-children-immigration-detention-2014-0</w:t>
        </w:r>
      </w:hyperlink>
      <w:r>
        <w:t xml:space="preserve"> (viewed 19 June 2015).</w:t>
      </w:r>
    </w:p>
  </w:endnote>
  <w:endnote w:id="25">
    <w:p w:rsidR="00BB7E1A" w:rsidRDefault="00BB7E1A" w:rsidP="00EB5ECF">
      <w:pPr>
        <w:pStyle w:val="EndnoteText"/>
        <w:ind w:left="284" w:hanging="284"/>
      </w:pPr>
      <w:r>
        <w:rPr>
          <w:rStyle w:val="EndnoteReference"/>
        </w:rPr>
        <w:endnoteRef/>
      </w:r>
      <w:r>
        <w:t xml:space="preserve"> </w:t>
      </w:r>
      <w:r w:rsidR="00EB5ECF">
        <w:tab/>
      </w:r>
      <w:r>
        <w:t xml:space="preserve">Transcripts and videos of the evidence given at these hearings are available at </w:t>
      </w:r>
      <w:hyperlink r:id="rId10" w:history="1">
        <w:r w:rsidRPr="00871E98">
          <w:rPr>
            <w:rStyle w:val="Hyperlink"/>
          </w:rPr>
          <w:t>https://www.humanrights.gov.au/our-work/asylum-seekers-and-refugees/national-inquiry-children-immigration-detention-2014-1</w:t>
        </w:r>
      </w:hyperlink>
      <w:r>
        <w:t xml:space="preserve"> (viewed 19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Pr="0090165F" w:rsidRDefault="009E55DA"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Pr="0090165F" w:rsidRDefault="009E55DA"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F72E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B6" w:rsidRDefault="009444B6" w:rsidP="00F14C6D">
      <w:r>
        <w:separator/>
      </w:r>
    </w:p>
  </w:footnote>
  <w:footnote w:type="continuationSeparator" w:id="0">
    <w:p w:rsidR="009444B6" w:rsidRDefault="009444B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Default="00DF7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Pr="00D27262" w:rsidRDefault="00DF72EB"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9E55DA" w:rsidRPr="00D27262">
      <w:rPr>
        <w:sz w:val="22"/>
        <w:szCs w:val="22"/>
      </w:rPr>
      <w:t>Au</w:t>
    </w:r>
    <w:r w:rsidR="009E55DA">
      <w:rPr>
        <w:sz w:val="22"/>
        <w:szCs w:val="22"/>
      </w:rPr>
      <w:t>stralian Human Rights Commission</w:t>
    </w:r>
  </w:p>
  <w:p w:rsidR="009E55DA" w:rsidRDefault="009E55DA"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E55DA" w:rsidRPr="00B85DD4" w:rsidTr="00165E3C">
      <w:trPr>
        <w:trHeight w:val="1276"/>
      </w:trPr>
      <w:tc>
        <w:tcPr>
          <w:tcW w:w="1508" w:type="dxa"/>
        </w:tcPr>
        <w:p w:rsidR="009E55DA" w:rsidRPr="00B85DD4" w:rsidRDefault="009E55DA" w:rsidP="00B520BC">
          <w:pPr>
            <w:pStyle w:val="Header"/>
            <w:tabs>
              <w:tab w:val="left" w:pos="4686"/>
              <w:tab w:val="left" w:pos="7088"/>
              <w:tab w:val="left" w:pos="7242"/>
            </w:tabs>
            <w:ind w:left="-108"/>
            <w:rPr>
              <w:rFonts w:cs="ArialMT"/>
              <w:b/>
              <w:spacing w:val="-20"/>
            </w:rPr>
          </w:pPr>
        </w:p>
      </w:tc>
      <w:tc>
        <w:tcPr>
          <w:tcW w:w="2688" w:type="dxa"/>
          <w:vAlign w:val="center"/>
        </w:tcPr>
        <w:p w:rsidR="009E55DA" w:rsidRPr="00B85DD4" w:rsidRDefault="009E55DA" w:rsidP="002B1B65">
          <w:pPr>
            <w:spacing w:before="0" w:after="0"/>
            <w:rPr>
              <w:rFonts w:cs="ArialMT"/>
              <w:i/>
              <w:color w:val="808080"/>
              <w:sz w:val="17"/>
            </w:rPr>
          </w:pPr>
        </w:p>
      </w:tc>
      <w:tc>
        <w:tcPr>
          <w:tcW w:w="2302" w:type="dxa"/>
        </w:tcPr>
        <w:p w:rsidR="009E55DA" w:rsidRPr="00B85DD4" w:rsidRDefault="009E55DA" w:rsidP="00B520BC">
          <w:pPr>
            <w:pStyle w:val="HeaderFooter"/>
            <w:rPr>
              <w:b/>
              <w:spacing w:val="-20"/>
              <w:sz w:val="40"/>
            </w:rPr>
          </w:pPr>
        </w:p>
      </w:tc>
      <w:tc>
        <w:tcPr>
          <w:tcW w:w="2130" w:type="dxa"/>
        </w:tcPr>
        <w:p w:rsidR="009E55DA" w:rsidRPr="00B85DD4" w:rsidRDefault="009E55DA" w:rsidP="00B520BC">
          <w:pPr>
            <w:pStyle w:val="HeaderFooter"/>
            <w:rPr>
              <w:b/>
              <w:spacing w:val="-20"/>
              <w:sz w:val="40"/>
            </w:rPr>
          </w:pPr>
        </w:p>
      </w:tc>
      <w:tc>
        <w:tcPr>
          <w:tcW w:w="1721" w:type="dxa"/>
        </w:tcPr>
        <w:p w:rsidR="009E55DA" w:rsidRPr="00B85DD4" w:rsidRDefault="009E55DA" w:rsidP="00B520BC">
          <w:pPr>
            <w:pStyle w:val="HeaderFooter"/>
            <w:spacing w:before="227" w:after="340"/>
            <w:rPr>
              <w:b/>
              <w:spacing w:val="-20"/>
              <w:sz w:val="40"/>
            </w:rPr>
          </w:pPr>
        </w:p>
      </w:tc>
    </w:tr>
  </w:tbl>
  <w:p w:rsidR="009E55DA" w:rsidRDefault="00DF72EB">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Default="00DF7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DA" w:rsidRPr="00D27262" w:rsidRDefault="009E55DA" w:rsidP="00B34946">
    <w:pPr>
      <w:spacing w:before="0" w:after="60"/>
      <w:jc w:val="right"/>
      <w:rPr>
        <w:sz w:val="22"/>
        <w:szCs w:val="22"/>
      </w:rPr>
    </w:pPr>
    <w:r w:rsidRPr="00D27262">
      <w:rPr>
        <w:sz w:val="22"/>
        <w:szCs w:val="22"/>
      </w:rPr>
      <w:t>Au</w:t>
    </w:r>
    <w:r>
      <w:rPr>
        <w:sz w:val="22"/>
        <w:szCs w:val="22"/>
      </w:rPr>
      <w:t>stralian Human Rights Commission</w:t>
    </w:r>
  </w:p>
  <w:p w:rsidR="009E55DA" w:rsidRPr="001E5676" w:rsidRDefault="0017322C" w:rsidP="002F4CE1">
    <w:pPr>
      <w:pStyle w:val="Footer"/>
      <w:spacing w:after="240"/>
      <w:jc w:val="right"/>
      <w:rPr>
        <w:i/>
        <w:sz w:val="18"/>
        <w:szCs w:val="18"/>
      </w:rPr>
    </w:pPr>
    <w:r>
      <w:rPr>
        <w:b/>
        <w:i/>
        <w:sz w:val="18"/>
        <w:szCs w:val="18"/>
      </w:rPr>
      <w:t>July</w:t>
    </w:r>
    <w:r w:rsidR="009E55DA">
      <w:rPr>
        <w:b/>
        <w:i/>
        <w:sz w:val="18"/>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E55DA" w:rsidRPr="00B85DD4" w:rsidTr="002B1B65">
      <w:trPr>
        <w:trHeight w:val="1603"/>
      </w:trPr>
      <w:tc>
        <w:tcPr>
          <w:tcW w:w="1508" w:type="dxa"/>
        </w:tcPr>
        <w:p w:rsidR="009E55DA" w:rsidRPr="00B85DD4" w:rsidRDefault="009E55DA"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3BB5204B" wp14:editId="2EA4BFDA">
                <wp:extent cx="819150" cy="819150"/>
                <wp:effectExtent l="0" t="0" r="0" b="0"/>
                <wp:docPr id="3" name="Picture 3"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9E55DA" w:rsidRPr="00D36BB2" w:rsidRDefault="009E55DA" w:rsidP="002B1B65">
          <w:pPr>
            <w:pStyle w:val="LogoType"/>
            <w:pBdr>
              <w:bottom w:val="single" w:sz="4" w:space="1" w:color="808080"/>
            </w:pBdr>
            <w:spacing w:line="240" w:lineRule="auto"/>
          </w:pPr>
          <w:r w:rsidRPr="00D36BB2">
            <w:t>Australian</w:t>
          </w:r>
        </w:p>
        <w:p w:rsidR="009E55DA" w:rsidRPr="00D36BB2" w:rsidRDefault="009E55DA" w:rsidP="002B1B65">
          <w:pPr>
            <w:pStyle w:val="LogoType"/>
            <w:pBdr>
              <w:bottom w:val="single" w:sz="4" w:space="1" w:color="808080"/>
            </w:pBdr>
            <w:spacing w:line="240" w:lineRule="auto"/>
          </w:pPr>
          <w:r w:rsidRPr="00D36BB2">
            <w:t>Human Rights</w:t>
          </w:r>
        </w:p>
        <w:p w:rsidR="009E55DA" w:rsidRPr="00D36BB2" w:rsidRDefault="009E55DA" w:rsidP="002B1B65">
          <w:pPr>
            <w:pStyle w:val="LogoType"/>
            <w:pBdr>
              <w:bottom w:val="single" w:sz="4" w:space="1" w:color="808080"/>
            </w:pBdr>
            <w:spacing w:line="240" w:lineRule="auto"/>
          </w:pPr>
          <w:r w:rsidRPr="00D36BB2">
            <w:t>Commission</w:t>
          </w:r>
        </w:p>
        <w:p w:rsidR="009E55DA" w:rsidRPr="00B85DD4" w:rsidRDefault="009E55DA"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9E55DA" w:rsidRPr="00B85DD4" w:rsidRDefault="009E55DA" w:rsidP="00B520BC">
          <w:pPr>
            <w:pStyle w:val="HeaderFooter"/>
            <w:rPr>
              <w:b/>
              <w:spacing w:val="-20"/>
              <w:sz w:val="40"/>
            </w:rPr>
          </w:pPr>
        </w:p>
      </w:tc>
      <w:tc>
        <w:tcPr>
          <w:tcW w:w="2130" w:type="dxa"/>
        </w:tcPr>
        <w:p w:rsidR="009E55DA" w:rsidRPr="00B85DD4" w:rsidRDefault="009E55DA" w:rsidP="00B520BC">
          <w:pPr>
            <w:pStyle w:val="HeaderFooter"/>
            <w:rPr>
              <w:b/>
              <w:spacing w:val="-20"/>
              <w:sz w:val="40"/>
            </w:rPr>
          </w:pPr>
        </w:p>
      </w:tc>
      <w:tc>
        <w:tcPr>
          <w:tcW w:w="1721" w:type="dxa"/>
        </w:tcPr>
        <w:p w:rsidR="009E55DA" w:rsidRPr="00B85DD4" w:rsidRDefault="009E55DA" w:rsidP="00B520BC">
          <w:pPr>
            <w:pStyle w:val="HeaderFooter"/>
            <w:spacing w:before="227" w:after="340"/>
            <w:rPr>
              <w:b/>
              <w:spacing w:val="-20"/>
              <w:sz w:val="40"/>
            </w:rPr>
          </w:pPr>
        </w:p>
      </w:tc>
    </w:tr>
  </w:tbl>
  <w:p w:rsidR="009E55DA" w:rsidRDefault="00DF72EB">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C0CC7"/>
    <w:multiLevelType w:val="hybridMultilevel"/>
    <w:tmpl w:val="ACF4B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F67194"/>
    <w:multiLevelType w:val="hybridMultilevel"/>
    <w:tmpl w:val="3292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AC2A9C"/>
    <w:multiLevelType w:val="hybridMultilevel"/>
    <w:tmpl w:val="B5F4D91C"/>
    <w:lvl w:ilvl="0" w:tplc="97AE6496">
      <w:start w:val="1"/>
      <w:numFmt w:val="bullet"/>
      <w:lvlText w:val="–"/>
      <w:lvlJc w:val="left"/>
      <w:pPr>
        <w:tabs>
          <w:tab w:val="num" w:pos="720"/>
        </w:tabs>
        <w:ind w:left="720" w:hanging="360"/>
      </w:pPr>
      <w:rPr>
        <w:rFonts w:ascii="Times New Roman" w:hAnsi="Times New Roman" w:hint="default"/>
      </w:rPr>
    </w:lvl>
    <w:lvl w:ilvl="1" w:tplc="56FEE3F0">
      <w:start w:val="1"/>
      <w:numFmt w:val="bullet"/>
      <w:lvlText w:val="–"/>
      <w:lvlJc w:val="left"/>
      <w:pPr>
        <w:tabs>
          <w:tab w:val="num" w:pos="1440"/>
        </w:tabs>
        <w:ind w:left="1440" w:hanging="360"/>
      </w:pPr>
      <w:rPr>
        <w:rFonts w:ascii="Times New Roman" w:hAnsi="Times New Roman" w:hint="default"/>
      </w:rPr>
    </w:lvl>
    <w:lvl w:ilvl="2" w:tplc="05606E20" w:tentative="1">
      <w:start w:val="1"/>
      <w:numFmt w:val="bullet"/>
      <w:lvlText w:val="–"/>
      <w:lvlJc w:val="left"/>
      <w:pPr>
        <w:tabs>
          <w:tab w:val="num" w:pos="2160"/>
        </w:tabs>
        <w:ind w:left="2160" w:hanging="360"/>
      </w:pPr>
      <w:rPr>
        <w:rFonts w:ascii="Times New Roman" w:hAnsi="Times New Roman" w:hint="default"/>
      </w:rPr>
    </w:lvl>
    <w:lvl w:ilvl="3" w:tplc="53D6AB3C" w:tentative="1">
      <w:start w:val="1"/>
      <w:numFmt w:val="bullet"/>
      <w:lvlText w:val="–"/>
      <w:lvlJc w:val="left"/>
      <w:pPr>
        <w:tabs>
          <w:tab w:val="num" w:pos="2880"/>
        </w:tabs>
        <w:ind w:left="2880" w:hanging="360"/>
      </w:pPr>
      <w:rPr>
        <w:rFonts w:ascii="Times New Roman" w:hAnsi="Times New Roman" w:hint="default"/>
      </w:rPr>
    </w:lvl>
    <w:lvl w:ilvl="4" w:tplc="B1967D3E" w:tentative="1">
      <w:start w:val="1"/>
      <w:numFmt w:val="bullet"/>
      <w:lvlText w:val="–"/>
      <w:lvlJc w:val="left"/>
      <w:pPr>
        <w:tabs>
          <w:tab w:val="num" w:pos="3600"/>
        </w:tabs>
        <w:ind w:left="3600" w:hanging="360"/>
      </w:pPr>
      <w:rPr>
        <w:rFonts w:ascii="Times New Roman" w:hAnsi="Times New Roman" w:hint="default"/>
      </w:rPr>
    </w:lvl>
    <w:lvl w:ilvl="5" w:tplc="30D25F80" w:tentative="1">
      <w:start w:val="1"/>
      <w:numFmt w:val="bullet"/>
      <w:lvlText w:val="–"/>
      <w:lvlJc w:val="left"/>
      <w:pPr>
        <w:tabs>
          <w:tab w:val="num" w:pos="4320"/>
        </w:tabs>
        <w:ind w:left="4320" w:hanging="360"/>
      </w:pPr>
      <w:rPr>
        <w:rFonts w:ascii="Times New Roman" w:hAnsi="Times New Roman" w:hint="default"/>
      </w:rPr>
    </w:lvl>
    <w:lvl w:ilvl="6" w:tplc="400A335E" w:tentative="1">
      <w:start w:val="1"/>
      <w:numFmt w:val="bullet"/>
      <w:lvlText w:val="–"/>
      <w:lvlJc w:val="left"/>
      <w:pPr>
        <w:tabs>
          <w:tab w:val="num" w:pos="5040"/>
        </w:tabs>
        <w:ind w:left="5040" w:hanging="360"/>
      </w:pPr>
      <w:rPr>
        <w:rFonts w:ascii="Times New Roman" w:hAnsi="Times New Roman" w:hint="default"/>
      </w:rPr>
    </w:lvl>
    <w:lvl w:ilvl="7" w:tplc="09AC5F3C" w:tentative="1">
      <w:start w:val="1"/>
      <w:numFmt w:val="bullet"/>
      <w:lvlText w:val="–"/>
      <w:lvlJc w:val="left"/>
      <w:pPr>
        <w:tabs>
          <w:tab w:val="num" w:pos="5760"/>
        </w:tabs>
        <w:ind w:left="5760" w:hanging="360"/>
      </w:pPr>
      <w:rPr>
        <w:rFonts w:ascii="Times New Roman" w:hAnsi="Times New Roman" w:hint="default"/>
      </w:rPr>
    </w:lvl>
    <w:lvl w:ilvl="8" w:tplc="101431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D26EEB"/>
    <w:multiLevelType w:val="multilevel"/>
    <w:tmpl w:val="D90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C2C4A"/>
    <w:multiLevelType w:val="hybridMultilevel"/>
    <w:tmpl w:val="8634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26B6E17"/>
    <w:multiLevelType w:val="multilevel"/>
    <w:tmpl w:val="57B09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A1A05"/>
    <w:multiLevelType w:val="hybridMultilevel"/>
    <w:tmpl w:val="E390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5"/>
  </w:num>
  <w:num w:numId="14">
    <w:abstractNumId w:val="14"/>
  </w:num>
  <w:num w:numId="15">
    <w:abstractNumId w:val="13"/>
  </w:num>
  <w:num w:numId="16">
    <w:abstractNumId w:val="10"/>
  </w:num>
  <w:num w:numId="17">
    <w:abstractNumId w:val="16"/>
  </w:num>
  <w:num w:numId="18">
    <w:abstractNumId w:val="20"/>
  </w:num>
  <w:num w:numId="19">
    <w:abstractNumId w:val="12"/>
  </w:num>
  <w:num w:numId="20">
    <w:abstractNumId w:val="21"/>
  </w:num>
  <w:num w:numId="21">
    <w:abstractNumId w:val="17"/>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D83"/>
    <w:rsid w:val="000025AD"/>
    <w:rsid w:val="000040BE"/>
    <w:rsid w:val="00004E80"/>
    <w:rsid w:val="00005633"/>
    <w:rsid w:val="00005C0D"/>
    <w:rsid w:val="0001325A"/>
    <w:rsid w:val="000142A2"/>
    <w:rsid w:val="00014DC1"/>
    <w:rsid w:val="00016BD8"/>
    <w:rsid w:val="00017376"/>
    <w:rsid w:val="0001778C"/>
    <w:rsid w:val="00020865"/>
    <w:rsid w:val="0002106F"/>
    <w:rsid w:val="00021294"/>
    <w:rsid w:val="00023708"/>
    <w:rsid w:val="00023713"/>
    <w:rsid w:val="00023780"/>
    <w:rsid w:val="00023841"/>
    <w:rsid w:val="00023DF9"/>
    <w:rsid w:val="000242DC"/>
    <w:rsid w:val="0002486F"/>
    <w:rsid w:val="00025FCB"/>
    <w:rsid w:val="00026CAF"/>
    <w:rsid w:val="00030097"/>
    <w:rsid w:val="00034258"/>
    <w:rsid w:val="000343B0"/>
    <w:rsid w:val="00034F40"/>
    <w:rsid w:val="00035108"/>
    <w:rsid w:val="00035D46"/>
    <w:rsid w:val="00037DC7"/>
    <w:rsid w:val="00040E98"/>
    <w:rsid w:val="000410B4"/>
    <w:rsid w:val="0004200E"/>
    <w:rsid w:val="000424A3"/>
    <w:rsid w:val="00045274"/>
    <w:rsid w:val="000453B3"/>
    <w:rsid w:val="00045975"/>
    <w:rsid w:val="00050D67"/>
    <w:rsid w:val="00051EF8"/>
    <w:rsid w:val="000520D5"/>
    <w:rsid w:val="00056DC7"/>
    <w:rsid w:val="000579B1"/>
    <w:rsid w:val="00060256"/>
    <w:rsid w:val="000616CD"/>
    <w:rsid w:val="00070D05"/>
    <w:rsid w:val="00074911"/>
    <w:rsid w:val="000750FB"/>
    <w:rsid w:val="0007541A"/>
    <w:rsid w:val="00075A7C"/>
    <w:rsid w:val="000776DF"/>
    <w:rsid w:val="00077EFB"/>
    <w:rsid w:val="00092F2B"/>
    <w:rsid w:val="0009527B"/>
    <w:rsid w:val="000958AB"/>
    <w:rsid w:val="00095B4E"/>
    <w:rsid w:val="000A06D9"/>
    <w:rsid w:val="000A0889"/>
    <w:rsid w:val="000A1DB8"/>
    <w:rsid w:val="000A48AC"/>
    <w:rsid w:val="000A6167"/>
    <w:rsid w:val="000A6948"/>
    <w:rsid w:val="000A7C07"/>
    <w:rsid w:val="000B0A5D"/>
    <w:rsid w:val="000B2757"/>
    <w:rsid w:val="000B36B2"/>
    <w:rsid w:val="000B3E54"/>
    <w:rsid w:val="000C08FB"/>
    <w:rsid w:val="000C27E8"/>
    <w:rsid w:val="000C2CC2"/>
    <w:rsid w:val="000C2DB9"/>
    <w:rsid w:val="000C41C0"/>
    <w:rsid w:val="000C774A"/>
    <w:rsid w:val="000C7AAB"/>
    <w:rsid w:val="000C7EF5"/>
    <w:rsid w:val="000D298E"/>
    <w:rsid w:val="000D3104"/>
    <w:rsid w:val="000D6C8E"/>
    <w:rsid w:val="000E030A"/>
    <w:rsid w:val="000E130A"/>
    <w:rsid w:val="000E3DA4"/>
    <w:rsid w:val="000E3F7C"/>
    <w:rsid w:val="000E59EE"/>
    <w:rsid w:val="000E6925"/>
    <w:rsid w:val="000E7A0D"/>
    <w:rsid w:val="000F0138"/>
    <w:rsid w:val="000F1BF0"/>
    <w:rsid w:val="000F3930"/>
    <w:rsid w:val="000F5490"/>
    <w:rsid w:val="000F5D20"/>
    <w:rsid w:val="000F6735"/>
    <w:rsid w:val="000F686B"/>
    <w:rsid w:val="000F6C3D"/>
    <w:rsid w:val="000F753F"/>
    <w:rsid w:val="00104DCB"/>
    <w:rsid w:val="001107C5"/>
    <w:rsid w:val="00112919"/>
    <w:rsid w:val="00112F68"/>
    <w:rsid w:val="00120267"/>
    <w:rsid w:val="001212E8"/>
    <w:rsid w:val="00122721"/>
    <w:rsid w:val="00122791"/>
    <w:rsid w:val="00122992"/>
    <w:rsid w:val="00127594"/>
    <w:rsid w:val="00130A16"/>
    <w:rsid w:val="00133ADC"/>
    <w:rsid w:val="00134774"/>
    <w:rsid w:val="00137F57"/>
    <w:rsid w:val="00140274"/>
    <w:rsid w:val="00140D1E"/>
    <w:rsid w:val="00143D07"/>
    <w:rsid w:val="0014411A"/>
    <w:rsid w:val="00144B98"/>
    <w:rsid w:val="00147861"/>
    <w:rsid w:val="00150519"/>
    <w:rsid w:val="001509F3"/>
    <w:rsid w:val="00151263"/>
    <w:rsid w:val="00151E18"/>
    <w:rsid w:val="00152CA9"/>
    <w:rsid w:val="00153636"/>
    <w:rsid w:val="00154AE2"/>
    <w:rsid w:val="00155880"/>
    <w:rsid w:val="00155FE8"/>
    <w:rsid w:val="00161F9E"/>
    <w:rsid w:val="00162A8D"/>
    <w:rsid w:val="0016322F"/>
    <w:rsid w:val="00163907"/>
    <w:rsid w:val="00165E3C"/>
    <w:rsid w:val="001664D6"/>
    <w:rsid w:val="0017225D"/>
    <w:rsid w:val="0017255C"/>
    <w:rsid w:val="00172760"/>
    <w:rsid w:val="00172AF7"/>
    <w:rsid w:val="0017322C"/>
    <w:rsid w:val="00173FB5"/>
    <w:rsid w:val="00174288"/>
    <w:rsid w:val="001776E3"/>
    <w:rsid w:val="001825DE"/>
    <w:rsid w:val="001835ED"/>
    <w:rsid w:val="00183EED"/>
    <w:rsid w:val="00184C1B"/>
    <w:rsid w:val="001865BE"/>
    <w:rsid w:val="001879AE"/>
    <w:rsid w:val="00187EA3"/>
    <w:rsid w:val="00191C9E"/>
    <w:rsid w:val="00192ED1"/>
    <w:rsid w:val="0019393A"/>
    <w:rsid w:val="00193BEF"/>
    <w:rsid w:val="00194579"/>
    <w:rsid w:val="00195562"/>
    <w:rsid w:val="001A02C9"/>
    <w:rsid w:val="001A0D7B"/>
    <w:rsid w:val="001A26C4"/>
    <w:rsid w:val="001A3172"/>
    <w:rsid w:val="001A3273"/>
    <w:rsid w:val="001A34E7"/>
    <w:rsid w:val="001A356E"/>
    <w:rsid w:val="001A4ECE"/>
    <w:rsid w:val="001A559D"/>
    <w:rsid w:val="001A5867"/>
    <w:rsid w:val="001A6E02"/>
    <w:rsid w:val="001A770F"/>
    <w:rsid w:val="001B0353"/>
    <w:rsid w:val="001B2D18"/>
    <w:rsid w:val="001B4D9E"/>
    <w:rsid w:val="001B573D"/>
    <w:rsid w:val="001C003B"/>
    <w:rsid w:val="001C0FD7"/>
    <w:rsid w:val="001C1251"/>
    <w:rsid w:val="001C1F8B"/>
    <w:rsid w:val="001C4266"/>
    <w:rsid w:val="001C71D1"/>
    <w:rsid w:val="001C7A17"/>
    <w:rsid w:val="001D4C9E"/>
    <w:rsid w:val="001D5EB4"/>
    <w:rsid w:val="001D61FF"/>
    <w:rsid w:val="001D65F4"/>
    <w:rsid w:val="001E03DC"/>
    <w:rsid w:val="001E2FE8"/>
    <w:rsid w:val="001E3972"/>
    <w:rsid w:val="001E523F"/>
    <w:rsid w:val="001E5676"/>
    <w:rsid w:val="001E56EF"/>
    <w:rsid w:val="001E59E0"/>
    <w:rsid w:val="001E601B"/>
    <w:rsid w:val="001F2BBB"/>
    <w:rsid w:val="001F34DC"/>
    <w:rsid w:val="001F5861"/>
    <w:rsid w:val="001F6710"/>
    <w:rsid w:val="002000E2"/>
    <w:rsid w:val="00200677"/>
    <w:rsid w:val="002009F7"/>
    <w:rsid w:val="00204345"/>
    <w:rsid w:val="00205D95"/>
    <w:rsid w:val="002075EA"/>
    <w:rsid w:val="00211246"/>
    <w:rsid w:val="00212159"/>
    <w:rsid w:val="002122A3"/>
    <w:rsid w:val="002154DB"/>
    <w:rsid w:val="002159FE"/>
    <w:rsid w:val="002164C3"/>
    <w:rsid w:val="00217D7E"/>
    <w:rsid w:val="00220D52"/>
    <w:rsid w:val="00223302"/>
    <w:rsid w:val="00224388"/>
    <w:rsid w:val="002251EF"/>
    <w:rsid w:val="002313C3"/>
    <w:rsid w:val="00231ED1"/>
    <w:rsid w:val="00232375"/>
    <w:rsid w:val="0023521E"/>
    <w:rsid w:val="00235466"/>
    <w:rsid w:val="00242624"/>
    <w:rsid w:val="00243165"/>
    <w:rsid w:val="00244055"/>
    <w:rsid w:val="002453C3"/>
    <w:rsid w:val="0024557E"/>
    <w:rsid w:val="00245CFA"/>
    <w:rsid w:val="002466E0"/>
    <w:rsid w:val="00246F8E"/>
    <w:rsid w:val="00254F5B"/>
    <w:rsid w:val="00255353"/>
    <w:rsid w:val="0025572F"/>
    <w:rsid w:val="00256C93"/>
    <w:rsid w:val="00256E5A"/>
    <w:rsid w:val="002602E7"/>
    <w:rsid w:val="00265127"/>
    <w:rsid w:val="0026581D"/>
    <w:rsid w:val="00267C38"/>
    <w:rsid w:val="0027018D"/>
    <w:rsid w:val="002701C6"/>
    <w:rsid w:val="0027296A"/>
    <w:rsid w:val="00273963"/>
    <w:rsid w:val="002767C4"/>
    <w:rsid w:val="002779C8"/>
    <w:rsid w:val="00282E4D"/>
    <w:rsid w:val="00283B68"/>
    <w:rsid w:val="0028501E"/>
    <w:rsid w:val="002863D7"/>
    <w:rsid w:val="002873B4"/>
    <w:rsid w:val="0029243F"/>
    <w:rsid w:val="002925B9"/>
    <w:rsid w:val="00294106"/>
    <w:rsid w:val="002A211E"/>
    <w:rsid w:val="002A4A44"/>
    <w:rsid w:val="002A7C5F"/>
    <w:rsid w:val="002B13DC"/>
    <w:rsid w:val="002B1657"/>
    <w:rsid w:val="002B16F9"/>
    <w:rsid w:val="002B1B65"/>
    <w:rsid w:val="002B4F16"/>
    <w:rsid w:val="002B5698"/>
    <w:rsid w:val="002B742E"/>
    <w:rsid w:val="002C0519"/>
    <w:rsid w:val="002C1866"/>
    <w:rsid w:val="002C3185"/>
    <w:rsid w:val="002C4D46"/>
    <w:rsid w:val="002C4F98"/>
    <w:rsid w:val="002C679A"/>
    <w:rsid w:val="002D1015"/>
    <w:rsid w:val="002D1794"/>
    <w:rsid w:val="002D2C76"/>
    <w:rsid w:val="002D3E0B"/>
    <w:rsid w:val="002D3FD0"/>
    <w:rsid w:val="002E1FC1"/>
    <w:rsid w:val="002E276D"/>
    <w:rsid w:val="002E2A15"/>
    <w:rsid w:val="002E4877"/>
    <w:rsid w:val="002E6244"/>
    <w:rsid w:val="002E7121"/>
    <w:rsid w:val="002E7F22"/>
    <w:rsid w:val="002F0BF0"/>
    <w:rsid w:val="002F3E1F"/>
    <w:rsid w:val="002F4CE1"/>
    <w:rsid w:val="002F56DE"/>
    <w:rsid w:val="002F70EE"/>
    <w:rsid w:val="003009A9"/>
    <w:rsid w:val="00300F22"/>
    <w:rsid w:val="00301B0D"/>
    <w:rsid w:val="00301E3D"/>
    <w:rsid w:val="00302AF9"/>
    <w:rsid w:val="00302C05"/>
    <w:rsid w:val="003031E4"/>
    <w:rsid w:val="00304A37"/>
    <w:rsid w:val="00304CAC"/>
    <w:rsid w:val="00304ECD"/>
    <w:rsid w:val="00305F57"/>
    <w:rsid w:val="003077A5"/>
    <w:rsid w:val="003079A3"/>
    <w:rsid w:val="00307C3D"/>
    <w:rsid w:val="00310AC5"/>
    <w:rsid w:val="00310ED4"/>
    <w:rsid w:val="00312301"/>
    <w:rsid w:val="00312F1D"/>
    <w:rsid w:val="003130B3"/>
    <w:rsid w:val="0031492A"/>
    <w:rsid w:val="00316C1A"/>
    <w:rsid w:val="00316FB4"/>
    <w:rsid w:val="003174F3"/>
    <w:rsid w:val="00323C73"/>
    <w:rsid w:val="00331141"/>
    <w:rsid w:val="00333ABE"/>
    <w:rsid w:val="00335A0C"/>
    <w:rsid w:val="0033609A"/>
    <w:rsid w:val="00336122"/>
    <w:rsid w:val="00337E95"/>
    <w:rsid w:val="00340AC7"/>
    <w:rsid w:val="00343355"/>
    <w:rsid w:val="003433E0"/>
    <w:rsid w:val="00343618"/>
    <w:rsid w:val="00343D4E"/>
    <w:rsid w:val="00344758"/>
    <w:rsid w:val="0034539D"/>
    <w:rsid w:val="00346136"/>
    <w:rsid w:val="00347142"/>
    <w:rsid w:val="00350454"/>
    <w:rsid w:val="00350B4C"/>
    <w:rsid w:val="0035235E"/>
    <w:rsid w:val="00353FF4"/>
    <w:rsid w:val="00356501"/>
    <w:rsid w:val="003565A8"/>
    <w:rsid w:val="003566EA"/>
    <w:rsid w:val="0035711A"/>
    <w:rsid w:val="0036066E"/>
    <w:rsid w:val="0036103F"/>
    <w:rsid w:val="00361A61"/>
    <w:rsid w:val="00362ECD"/>
    <w:rsid w:val="003642DF"/>
    <w:rsid w:val="00365054"/>
    <w:rsid w:val="0036600E"/>
    <w:rsid w:val="00367C01"/>
    <w:rsid w:val="003704A9"/>
    <w:rsid w:val="00370548"/>
    <w:rsid w:val="00371643"/>
    <w:rsid w:val="00372BA7"/>
    <w:rsid w:val="00372C79"/>
    <w:rsid w:val="00375D90"/>
    <w:rsid w:val="00376E81"/>
    <w:rsid w:val="003830BD"/>
    <w:rsid w:val="00383137"/>
    <w:rsid w:val="003862D6"/>
    <w:rsid w:val="0038794A"/>
    <w:rsid w:val="00387A53"/>
    <w:rsid w:val="00390304"/>
    <w:rsid w:val="00390B7C"/>
    <w:rsid w:val="00392042"/>
    <w:rsid w:val="00392F7D"/>
    <w:rsid w:val="0039357B"/>
    <w:rsid w:val="00394D7D"/>
    <w:rsid w:val="003950C5"/>
    <w:rsid w:val="003964BC"/>
    <w:rsid w:val="00396DFB"/>
    <w:rsid w:val="0039781D"/>
    <w:rsid w:val="003A19B1"/>
    <w:rsid w:val="003B157B"/>
    <w:rsid w:val="003B22BD"/>
    <w:rsid w:val="003B2843"/>
    <w:rsid w:val="003B5AB9"/>
    <w:rsid w:val="003C176D"/>
    <w:rsid w:val="003C24AC"/>
    <w:rsid w:val="003C2B33"/>
    <w:rsid w:val="003C5B50"/>
    <w:rsid w:val="003D033B"/>
    <w:rsid w:val="003D03DD"/>
    <w:rsid w:val="003D1735"/>
    <w:rsid w:val="003D237B"/>
    <w:rsid w:val="003D6E39"/>
    <w:rsid w:val="003D7040"/>
    <w:rsid w:val="003D7F08"/>
    <w:rsid w:val="003E3015"/>
    <w:rsid w:val="003E3294"/>
    <w:rsid w:val="003E4B4A"/>
    <w:rsid w:val="003E4EE2"/>
    <w:rsid w:val="003F5090"/>
    <w:rsid w:val="003F6589"/>
    <w:rsid w:val="003F72BD"/>
    <w:rsid w:val="00404097"/>
    <w:rsid w:val="004060AC"/>
    <w:rsid w:val="004062BE"/>
    <w:rsid w:val="00406B1D"/>
    <w:rsid w:val="0041148F"/>
    <w:rsid w:val="00413B95"/>
    <w:rsid w:val="004167D7"/>
    <w:rsid w:val="00421CF9"/>
    <w:rsid w:val="00422417"/>
    <w:rsid w:val="00423DBB"/>
    <w:rsid w:val="00424233"/>
    <w:rsid w:val="00425E77"/>
    <w:rsid w:val="00427390"/>
    <w:rsid w:val="00427B05"/>
    <w:rsid w:val="004308A8"/>
    <w:rsid w:val="004324ED"/>
    <w:rsid w:val="00433301"/>
    <w:rsid w:val="0043626D"/>
    <w:rsid w:val="004370E8"/>
    <w:rsid w:val="004372AC"/>
    <w:rsid w:val="00441984"/>
    <w:rsid w:val="00443258"/>
    <w:rsid w:val="00444EAC"/>
    <w:rsid w:val="0044580B"/>
    <w:rsid w:val="00445FC7"/>
    <w:rsid w:val="004509DC"/>
    <w:rsid w:val="00453BF7"/>
    <w:rsid w:val="00454CCF"/>
    <w:rsid w:val="00455E96"/>
    <w:rsid w:val="00456573"/>
    <w:rsid w:val="00457B2A"/>
    <w:rsid w:val="00460A95"/>
    <w:rsid w:val="00464FE2"/>
    <w:rsid w:val="0047106A"/>
    <w:rsid w:val="004712FB"/>
    <w:rsid w:val="00471747"/>
    <w:rsid w:val="00471A71"/>
    <w:rsid w:val="00472EFF"/>
    <w:rsid w:val="00474063"/>
    <w:rsid w:val="00476793"/>
    <w:rsid w:val="00480D1E"/>
    <w:rsid w:val="00481238"/>
    <w:rsid w:val="004849F1"/>
    <w:rsid w:val="00486632"/>
    <w:rsid w:val="004869C5"/>
    <w:rsid w:val="00487508"/>
    <w:rsid w:val="00491B83"/>
    <w:rsid w:val="00491EB3"/>
    <w:rsid w:val="00494083"/>
    <w:rsid w:val="0049530C"/>
    <w:rsid w:val="00497C67"/>
    <w:rsid w:val="004A0FC2"/>
    <w:rsid w:val="004A1562"/>
    <w:rsid w:val="004A187B"/>
    <w:rsid w:val="004A23C5"/>
    <w:rsid w:val="004A2D3C"/>
    <w:rsid w:val="004A412E"/>
    <w:rsid w:val="004A6563"/>
    <w:rsid w:val="004A788B"/>
    <w:rsid w:val="004B4267"/>
    <w:rsid w:val="004B4484"/>
    <w:rsid w:val="004C0625"/>
    <w:rsid w:val="004C189D"/>
    <w:rsid w:val="004C2554"/>
    <w:rsid w:val="004C2A02"/>
    <w:rsid w:val="004C2B7F"/>
    <w:rsid w:val="004C361D"/>
    <w:rsid w:val="004C522C"/>
    <w:rsid w:val="004C7412"/>
    <w:rsid w:val="004D04BF"/>
    <w:rsid w:val="004D4499"/>
    <w:rsid w:val="004D4E48"/>
    <w:rsid w:val="004D5048"/>
    <w:rsid w:val="004E00BF"/>
    <w:rsid w:val="004E0DFF"/>
    <w:rsid w:val="004E4455"/>
    <w:rsid w:val="004E5C18"/>
    <w:rsid w:val="004F104B"/>
    <w:rsid w:val="004F1AD0"/>
    <w:rsid w:val="004F1C7C"/>
    <w:rsid w:val="004F3157"/>
    <w:rsid w:val="004F50D8"/>
    <w:rsid w:val="004F681A"/>
    <w:rsid w:val="005031AC"/>
    <w:rsid w:val="005038CB"/>
    <w:rsid w:val="00504EA0"/>
    <w:rsid w:val="005054AC"/>
    <w:rsid w:val="005123F0"/>
    <w:rsid w:val="00513540"/>
    <w:rsid w:val="00513941"/>
    <w:rsid w:val="005158E2"/>
    <w:rsid w:val="00516645"/>
    <w:rsid w:val="00516E74"/>
    <w:rsid w:val="0052092D"/>
    <w:rsid w:val="0052188A"/>
    <w:rsid w:val="00523940"/>
    <w:rsid w:val="00523A1B"/>
    <w:rsid w:val="0053051D"/>
    <w:rsid w:val="00532727"/>
    <w:rsid w:val="0053577F"/>
    <w:rsid w:val="00541879"/>
    <w:rsid w:val="00545097"/>
    <w:rsid w:val="005521EB"/>
    <w:rsid w:val="00555B58"/>
    <w:rsid w:val="00556C48"/>
    <w:rsid w:val="0055744D"/>
    <w:rsid w:val="00564208"/>
    <w:rsid w:val="00564F5A"/>
    <w:rsid w:val="005715A6"/>
    <w:rsid w:val="00571CEB"/>
    <w:rsid w:val="00577D4F"/>
    <w:rsid w:val="0058283B"/>
    <w:rsid w:val="005872C5"/>
    <w:rsid w:val="00591951"/>
    <w:rsid w:val="0059494E"/>
    <w:rsid w:val="00594C52"/>
    <w:rsid w:val="00595215"/>
    <w:rsid w:val="00597D72"/>
    <w:rsid w:val="005A1345"/>
    <w:rsid w:val="005A1368"/>
    <w:rsid w:val="005A2B35"/>
    <w:rsid w:val="005A5541"/>
    <w:rsid w:val="005A6AFA"/>
    <w:rsid w:val="005A7044"/>
    <w:rsid w:val="005A7A9E"/>
    <w:rsid w:val="005B3956"/>
    <w:rsid w:val="005B48CB"/>
    <w:rsid w:val="005B510E"/>
    <w:rsid w:val="005C0B82"/>
    <w:rsid w:val="005C1CDE"/>
    <w:rsid w:val="005C228D"/>
    <w:rsid w:val="005C2D17"/>
    <w:rsid w:val="005C5D41"/>
    <w:rsid w:val="005C6727"/>
    <w:rsid w:val="005C67C0"/>
    <w:rsid w:val="005C67F6"/>
    <w:rsid w:val="005C78FC"/>
    <w:rsid w:val="005C7A9A"/>
    <w:rsid w:val="005D0272"/>
    <w:rsid w:val="005D11E9"/>
    <w:rsid w:val="005D1F34"/>
    <w:rsid w:val="005D2149"/>
    <w:rsid w:val="005D383D"/>
    <w:rsid w:val="005D4EF7"/>
    <w:rsid w:val="005D639B"/>
    <w:rsid w:val="005D7D94"/>
    <w:rsid w:val="005E3EAC"/>
    <w:rsid w:val="005E419C"/>
    <w:rsid w:val="005E46E3"/>
    <w:rsid w:val="005E620D"/>
    <w:rsid w:val="005E6B7D"/>
    <w:rsid w:val="005F1A56"/>
    <w:rsid w:val="005F4B30"/>
    <w:rsid w:val="005F544E"/>
    <w:rsid w:val="005F7CC4"/>
    <w:rsid w:val="00600E3E"/>
    <w:rsid w:val="00604311"/>
    <w:rsid w:val="006048C7"/>
    <w:rsid w:val="0060581F"/>
    <w:rsid w:val="006066C1"/>
    <w:rsid w:val="00607722"/>
    <w:rsid w:val="00607D77"/>
    <w:rsid w:val="006110A0"/>
    <w:rsid w:val="0061499F"/>
    <w:rsid w:val="006210D9"/>
    <w:rsid w:val="006228C5"/>
    <w:rsid w:val="006379E0"/>
    <w:rsid w:val="00637F6C"/>
    <w:rsid w:val="006400F7"/>
    <w:rsid w:val="006416F6"/>
    <w:rsid w:val="00644424"/>
    <w:rsid w:val="00644530"/>
    <w:rsid w:val="00647585"/>
    <w:rsid w:val="00652B2A"/>
    <w:rsid w:val="00652FDE"/>
    <w:rsid w:val="0065305C"/>
    <w:rsid w:val="00653243"/>
    <w:rsid w:val="00654793"/>
    <w:rsid w:val="006562C1"/>
    <w:rsid w:val="0066043F"/>
    <w:rsid w:val="00664A98"/>
    <w:rsid w:val="00664D16"/>
    <w:rsid w:val="0066512A"/>
    <w:rsid w:val="006726F6"/>
    <w:rsid w:val="00677B11"/>
    <w:rsid w:val="006837C1"/>
    <w:rsid w:val="006842AC"/>
    <w:rsid w:val="006855FE"/>
    <w:rsid w:val="006856AF"/>
    <w:rsid w:val="00687AF2"/>
    <w:rsid w:val="0069276E"/>
    <w:rsid w:val="0069294D"/>
    <w:rsid w:val="00692D66"/>
    <w:rsid w:val="00694428"/>
    <w:rsid w:val="00695056"/>
    <w:rsid w:val="00697C54"/>
    <w:rsid w:val="006A0799"/>
    <w:rsid w:val="006A2A43"/>
    <w:rsid w:val="006A3A58"/>
    <w:rsid w:val="006A4465"/>
    <w:rsid w:val="006A4DD6"/>
    <w:rsid w:val="006A5035"/>
    <w:rsid w:val="006A5CDE"/>
    <w:rsid w:val="006A5E2B"/>
    <w:rsid w:val="006A6BB3"/>
    <w:rsid w:val="006B1BB9"/>
    <w:rsid w:val="006B20B9"/>
    <w:rsid w:val="006B33B4"/>
    <w:rsid w:val="006B67E3"/>
    <w:rsid w:val="006C0A80"/>
    <w:rsid w:val="006C10AC"/>
    <w:rsid w:val="006C3811"/>
    <w:rsid w:val="006C63C1"/>
    <w:rsid w:val="006C7ECA"/>
    <w:rsid w:val="006D5EE5"/>
    <w:rsid w:val="006E04EE"/>
    <w:rsid w:val="006E0923"/>
    <w:rsid w:val="006E212F"/>
    <w:rsid w:val="006E29A1"/>
    <w:rsid w:val="006E31F7"/>
    <w:rsid w:val="006E324F"/>
    <w:rsid w:val="006E3931"/>
    <w:rsid w:val="006E53A0"/>
    <w:rsid w:val="006E5E46"/>
    <w:rsid w:val="006E6D3B"/>
    <w:rsid w:val="006E7595"/>
    <w:rsid w:val="006E7EB4"/>
    <w:rsid w:val="006F3782"/>
    <w:rsid w:val="006F3BED"/>
    <w:rsid w:val="006F4E9E"/>
    <w:rsid w:val="006F75BD"/>
    <w:rsid w:val="007010E6"/>
    <w:rsid w:val="00702C69"/>
    <w:rsid w:val="00704382"/>
    <w:rsid w:val="00704A2C"/>
    <w:rsid w:val="00711FF9"/>
    <w:rsid w:val="00713914"/>
    <w:rsid w:val="00714708"/>
    <w:rsid w:val="00715288"/>
    <w:rsid w:val="00717FBB"/>
    <w:rsid w:val="007228E5"/>
    <w:rsid w:val="00724F46"/>
    <w:rsid w:val="00725480"/>
    <w:rsid w:val="00730BD2"/>
    <w:rsid w:val="00730E47"/>
    <w:rsid w:val="00732596"/>
    <w:rsid w:val="0073271A"/>
    <w:rsid w:val="0073307A"/>
    <w:rsid w:val="0073545F"/>
    <w:rsid w:val="00741A4B"/>
    <w:rsid w:val="007424A0"/>
    <w:rsid w:val="00750E19"/>
    <w:rsid w:val="00751050"/>
    <w:rsid w:val="00751BDC"/>
    <w:rsid w:val="00751F47"/>
    <w:rsid w:val="00753EB8"/>
    <w:rsid w:val="007540BF"/>
    <w:rsid w:val="007603FD"/>
    <w:rsid w:val="00761B1C"/>
    <w:rsid w:val="00762FA5"/>
    <w:rsid w:val="00766C08"/>
    <w:rsid w:val="007707AB"/>
    <w:rsid w:val="00770DCB"/>
    <w:rsid w:val="00771000"/>
    <w:rsid w:val="007721CB"/>
    <w:rsid w:val="0077372A"/>
    <w:rsid w:val="00774185"/>
    <w:rsid w:val="00774A9A"/>
    <w:rsid w:val="00775485"/>
    <w:rsid w:val="00775811"/>
    <w:rsid w:val="00781C39"/>
    <w:rsid w:val="007821BE"/>
    <w:rsid w:val="00783CD8"/>
    <w:rsid w:val="00786019"/>
    <w:rsid w:val="00786104"/>
    <w:rsid w:val="007872EA"/>
    <w:rsid w:val="00792E83"/>
    <w:rsid w:val="0079451B"/>
    <w:rsid w:val="00794E5A"/>
    <w:rsid w:val="007A2705"/>
    <w:rsid w:val="007A2E0B"/>
    <w:rsid w:val="007A33D2"/>
    <w:rsid w:val="007A3D0E"/>
    <w:rsid w:val="007A6B76"/>
    <w:rsid w:val="007A6E54"/>
    <w:rsid w:val="007A7730"/>
    <w:rsid w:val="007B1477"/>
    <w:rsid w:val="007B168E"/>
    <w:rsid w:val="007B44B4"/>
    <w:rsid w:val="007B7194"/>
    <w:rsid w:val="007C39AB"/>
    <w:rsid w:val="007C6EFE"/>
    <w:rsid w:val="007D1FC5"/>
    <w:rsid w:val="007D347D"/>
    <w:rsid w:val="007D56BC"/>
    <w:rsid w:val="007D5C0F"/>
    <w:rsid w:val="007D75B6"/>
    <w:rsid w:val="007E0997"/>
    <w:rsid w:val="007E3616"/>
    <w:rsid w:val="007E43F5"/>
    <w:rsid w:val="007E4569"/>
    <w:rsid w:val="007E57EF"/>
    <w:rsid w:val="007E5816"/>
    <w:rsid w:val="007E5B88"/>
    <w:rsid w:val="007E73C2"/>
    <w:rsid w:val="007F0D0B"/>
    <w:rsid w:val="007F10C5"/>
    <w:rsid w:val="007F115F"/>
    <w:rsid w:val="007F2C29"/>
    <w:rsid w:val="007F2D25"/>
    <w:rsid w:val="007F4A09"/>
    <w:rsid w:val="007F65F3"/>
    <w:rsid w:val="008007A8"/>
    <w:rsid w:val="008018C0"/>
    <w:rsid w:val="00802C81"/>
    <w:rsid w:val="008042D9"/>
    <w:rsid w:val="008070DC"/>
    <w:rsid w:val="00807A23"/>
    <w:rsid w:val="008116F0"/>
    <w:rsid w:val="008133CD"/>
    <w:rsid w:val="008135C3"/>
    <w:rsid w:val="00814B1B"/>
    <w:rsid w:val="00814FC0"/>
    <w:rsid w:val="00815FB2"/>
    <w:rsid w:val="00816A53"/>
    <w:rsid w:val="008215E8"/>
    <w:rsid w:val="00821BAC"/>
    <w:rsid w:val="00822F0B"/>
    <w:rsid w:val="008237D0"/>
    <w:rsid w:val="00826E46"/>
    <w:rsid w:val="008329EB"/>
    <w:rsid w:val="00834647"/>
    <w:rsid w:val="00834A78"/>
    <w:rsid w:val="00836BB0"/>
    <w:rsid w:val="00837BD4"/>
    <w:rsid w:val="00841C10"/>
    <w:rsid w:val="00843663"/>
    <w:rsid w:val="0084413D"/>
    <w:rsid w:val="008446FA"/>
    <w:rsid w:val="008451E3"/>
    <w:rsid w:val="00855413"/>
    <w:rsid w:val="00855E5B"/>
    <w:rsid w:val="0086181A"/>
    <w:rsid w:val="00862D87"/>
    <w:rsid w:val="00864111"/>
    <w:rsid w:val="00864428"/>
    <w:rsid w:val="00866254"/>
    <w:rsid w:val="008724DE"/>
    <w:rsid w:val="008729AB"/>
    <w:rsid w:val="0087505B"/>
    <w:rsid w:val="0087521B"/>
    <w:rsid w:val="00876AAA"/>
    <w:rsid w:val="00884B97"/>
    <w:rsid w:val="008853E9"/>
    <w:rsid w:val="00891F83"/>
    <w:rsid w:val="00895997"/>
    <w:rsid w:val="00896FE7"/>
    <w:rsid w:val="00897716"/>
    <w:rsid w:val="008A058A"/>
    <w:rsid w:val="008A0C08"/>
    <w:rsid w:val="008A1649"/>
    <w:rsid w:val="008A2A7F"/>
    <w:rsid w:val="008A31FB"/>
    <w:rsid w:val="008A3D57"/>
    <w:rsid w:val="008A6763"/>
    <w:rsid w:val="008B23BC"/>
    <w:rsid w:val="008B2D37"/>
    <w:rsid w:val="008B4595"/>
    <w:rsid w:val="008B56D5"/>
    <w:rsid w:val="008B6536"/>
    <w:rsid w:val="008B6A9C"/>
    <w:rsid w:val="008B7FCB"/>
    <w:rsid w:val="008C1B70"/>
    <w:rsid w:val="008C4357"/>
    <w:rsid w:val="008C5E9E"/>
    <w:rsid w:val="008C74F8"/>
    <w:rsid w:val="008C7E32"/>
    <w:rsid w:val="008D057C"/>
    <w:rsid w:val="008D20C9"/>
    <w:rsid w:val="008D2A08"/>
    <w:rsid w:val="008D5221"/>
    <w:rsid w:val="008D5604"/>
    <w:rsid w:val="008D59C0"/>
    <w:rsid w:val="008E0D76"/>
    <w:rsid w:val="008E3A0D"/>
    <w:rsid w:val="008E3D60"/>
    <w:rsid w:val="008E3F4C"/>
    <w:rsid w:val="008E5828"/>
    <w:rsid w:val="008E6A52"/>
    <w:rsid w:val="008F11E4"/>
    <w:rsid w:val="008F316F"/>
    <w:rsid w:val="008F5EA5"/>
    <w:rsid w:val="008F60E4"/>
    <w:rsid w:val="008F6B67"/>
    <w:rsid w:val="008F7880"/>
    <w:rsid w:val="0090165F"/>
    <w:rsid w:val="00901B82"/>
    <w:rsid w:val="00907A48"/>
    <w:rsid w:val="0091009B"/>
    <w:rsid w:val="0091079D"/>
    <w:rsid w:val="00912312"/>
    <w:rsid w:val="00912B09"/>
    <w:rsid w:val="00914CD9"/>
    <w:rsid w:val="00916960"/>
    <w:rsid w:val="00924E8D"/>
    <w:rsid w:val="009259BE"/>
    <w:rsid w:val="00925C6A"/>
    <w:rsid w:val="00925E0F"/>
    <w:rsid w:val="00926F3F"/>
    <w:rsid w:val="009275D2"/>
    <w:rsid w:val="009313F2"/>
    <w:rsid w:val="00932CCD"/>
    <w:rsid w:val="00932F71"/>
    <w:rsid w:val="00933CD4"/>
    <w:rsid w:val="00942DF5"/>
    <w:rsid w:val="00943F52"/>
    <w:rsid w:val="009444B6"/>
    <w:rsid w:val="00946656"/>
    <w:rsid w:val="00947EF1"/>
    <w:rsid w:val="00950AEB"/>
    <w:rsid w:val="009523CC"/>
    <w:rsid w:val="009553D5"/>
    <w:rsid w:val="00956467"/>
    <w:rsid w:val="0096053E"/>
    <w:rsid w:val="00966762"/>
    <w:rsid w:val="00966C2F"/>
    <w:rsid w:val="00971CCE"/>
    <w:rsid w:val="0097405F"/>
    <w:rsid w:val="00974E33"/>
    <w:rsid w:val="0097512B"/>
    <w:rsid w:val="009764CC"/>
    <w:rsid w:val="00980D72"/>
    <w:rsid w:val="00982511"/>
    <w:rsid w:val="00983B62"/>
    <w:rsid w:val="009846AD"/>
    <w:rsid w:val="00984A94"/>
    <w:rsid w:val="00986FFC"/>
    <w:rsid w:val="009907C9"/>
    <w:rsid w:val="00992CDA"/>
    <w:rsid w:val="00996F27"/>
    <w:rsid w:val="00997C3E"/>
    <w:rsid w:val="009A3991"/>
    <w:rsid w:val="009A5E03"/>
    <w:rsid w:val="009A6168"/>
    <w:rsid w:val="009A75AE"/>
    <w:rsid w:val="009A7A9E"/>
    <w:rsid w:val="009A7D75"/>
    <w:rsid w:val="009B1CDA"/>
    <w:rsid w:val="009B3CC5"/>
    <w:rsid w:val="009B4233"/>
    <w:rsid w:val="009B4C56"/>
    <w:rsid w:val="009B6425"/>
    <w:rsid w:val="009C0820"/>
    <w:rsid w:val="009C38B0"/>
    <w:rsid w:val="009C4EC3"/>
    <w:rsid w:val="009C5726"/>
    <w:rsid w:val="009D0C1D"/>
    <w:rsid w:val="009D67F6"/>
    <w:rsid w:val="009D70D7"/>
    <w:rsid w:val="009D74BC"/>
    <w:rsid w:val="009E0847"/>
    <w:rsid w:val="009E0872"/>
    <w:rsid w:val="009E0FE1"/>
    <w:rsid w:val="009E15DA"/>
    <w:rsid w:val="009E1B3D"/>
    <w:rsid w:val="009E2540"/>
    <w:rsid w:val="009E54A8"/>
    <w:rsid w:val="009E55DA"/>
    <w:rsid w:val="009F0D82"/>
    <w:rsid w:val="009F2764"/>
    <w:rsid w:val="00A00386"/>
    <w:rsid w:val="00A016F8"/>
    <w:rsid w:val="00A01F3B"/>
    <w:rsid w:val="00A035E0"/>
    <w:rsid w:val="00A03656"/>
    <w:rsid w:val="00A0406E"/>
    <w:rsid w:val="00A046C2"/>
    <w:rsid w:val="00A04CE7"/>
    <w:rsid w:val="00A069E3"/>
    <w:rsid w:val="00A07EDD"/>
    <w:rsid w:val="00A11307"/>
    <w:rsid w:val="00A117D1"/>
    <w:rsid w:val="00A12AEA"/>
    <w:rsid w:val="00A13AF3"/>
    <w:rsid w:val="00A14301"/>
    <w:rsid w:val="00A15123"/>
    <w:rsid w:val="00A20103"/>
    <w:rsid w:val="00A20759"/>
    <w:rsid w:val="00A20AAC"/>
    <w:rsid w:val="00A21388"/>
    <w:rsid w:val="00A21B08"/>
    <w:rsid w:val="00A22D19"/>
    <w:rsid w:val="00A236BB"/>
    <w:rsid w:val="00A2451B"/>
    <w:rsid w:val="00A27791"/>
    <w:rsid w:val="00A27A37"/>
    <w:rsid w:val="00A35D03"/>
    <w:rsid w:val="00A36FCF"/>
    <w:rsid w:val="00A40C4B"/>
    <w:rsid w:val="00A41355"/>
    <w:rsid w:val="00A41758"/>
    <w:rsid w:val="00A41BD5"/>
    <w:rsid w:val="00A438AA"/>
    <w:rsid w:val="00A43B92"/>
    <w:rsid w:val="00A475C9"/>
    <w:rsid w:val="00A54251"/>
    <w:rsid w:val="00A56A7C"/>
    <w:rsid w:val="00A56AF7"/>
    <w:rsid w:val="00A57C30"/>
    <w:rsid w:val="00A57E83"/>
    <w:rsid w:val="00A602DF"/>
    <w:rsid w:val="00A6120E"/>
    <w:rsid w:val="00A6179E"/>
    <w:rsid w:val="00A6244F"/>
    <w:rsid w:val="00A63087"/>
    <w:rsid w:val="00A64316"/>
    <w:rsid w:val="00A645C9"/>
    <w:rsid w:val="00A65516"/>
    <w:rsid w:val="00A668ED"/>
    <w:rsid w:val="00A70206"/>
    <w:rsid w:val="00A71715"/>
    <w:rsid w:val="00A731AF"/>
    <w:rsid w:val="00A75F99"/>
    <w:rsid w:val="00A764FE"/>
    <w:rsid w:val="00A804D9"/>
    <w:rsid w:val="00A8142A"/>
    <w:rsid w:val="00A81B27"/>
    <w:rsid w:val="00A81CF2"/>
    <w:rsid w:val="00A8203C"/>
    <w:rsid w:val="00A8297D"/>
    <w:rsid w:val="00A82F4C"/>
    <w:rsid w:val="00A83527"/>
    <w:rsid w:val="00A85594"/>
    <w:rsid w:val="00A90408"/>
    <w:rsid w:val="00A90EA0"/>
    <w:rsid w:val="00A92268"/>
    <w:rsid w:val="00A926BD"/>
    <w:rsid w:val="00A92915"/>
    <w:rsid w:val="00A92F92"/>
    <w:rsid w:val="00A94CC6"/>
    <w:rsid w:val="00A96052"/>
    <w:rsid w:val="00A96892"/>
    <w:rsid w:val="00A97D93"/>
    <w:rsid w:val="00AA13BE"/>
    <w:rsid w:val="00AA2051"/>
    <w:rsid w:val="00AA3392"/>
    <w:rsid w:val="00AB2C51"/>
    <w:rsid w:val="00AB4AF9"/>
    <w:rsid w:val="00AB732E"/>
    <w:rsid w:val="00AC15CD"/>
    <w:rsid w:val="00AC3CFF"/>
    <w:rsid w:val="00AC5245"/>
    <w:rsid w:val="00AC75FD"/>
    <w:rsid w:val="00AD0C01"/>
    <w:rsid w:val="00AD61A3"/>
    <w:rsid w:val="00AD6AE3"/>
    <w:rsid w:val="00AD6E1A"/>
    <w:rsid w:val="00AE00F1"/>
    <w:rsid w:val="00AE1F66"/>
    <w:rsid w:val="00AE3255"/>
    <w:rsid w:val="00AE47FC"/>
    <w:rsid w:val="00AE51B5"/>
    <w:rsid w:val="00AE5B74"/>
    <w:rsid w:val="00AE62AF"/>
    <w:rsid w:val="00AE7931"/>
    <w:rsid w:val="00AE7E10"/>
    <w:rsid w:val="00AF1E0A"/>
    <w:rsid w:val="00AF2E96"/>
    <w:rsid w:val="00AF4681"/>
    <w:rsid w:val="00AF4E56"/>
    <w:rsid w:val="00B03753"/>
    <w:rsid w:val="00B0488B"/>
    <w:rsid w:val="00B051B3"/>
    <w:rsid w:val="00B1020E"/>
    <w:rsid w:val="00B10C5F"/>
    <w:rsid w:val="00B10EBD"/>
    <w:rsid w:val="00B12011"/>
    <w:rsid w:val="00B12D2A"/>
    <w:rsid w:val="00B1301A"/>
    <w:rsid w:val="00B13EB7"/>
    <w:rsid w:val="00B1492C"/>
    <w:rsid w:val="00B14CD7"/>
    <w:rsid w:val="00B22454"/>
    <w:rsid w:val="00B242EA"/>
    <w:rsid w:val="00B24B1D"/>
    <w:rsid w:val="00B2530A"/>
    <w:rsid w:val="00B277E0"/>
    <w:rsid w:val="00B30B14"/>
    <w:rsid w:val="00B31B0B"/>
    <w:rsid w:val="00B34946"/>
    <w:rsid w:val="00B375ED"/>
    <w:rsid w:val="00B43713"/>
    <w:rsid w:val="00B47D88"/>
    <w:rsid w:val="00B519FD"/>
    <w:rsid w:val="00B520BC"/>
    <w:rsid w:val="00B5545E"/>
    <w:rsid w:val="00B5560C"/>
    <w:rsid w:val="00B55A67"/>
    <w:rsid w:val="00B56E08"/>
    <w:rsid w:val="00B60FD4"/>
    <w:rsid w:val="00B62221"/>
    <w:rsid w:val="00B635BE"/>
    <w:rsid w:val="00B63AF8"/>
    <w:rsid w:val="00B63D24"/>
    <w:rsid w:val="00B65085"/>
    <w:rsid w:val="00B70776"/>
    <w:rsid w:val="00B772B0"/>
    <w:rsid w:val="00B77511"/>
    <w:rsid w:val="00B8156D"/>
    <w:rsid w:val="00B81BF6"/>
    <w:rsid w:val="00B82D38"/>
    <w:rsid w:val="00B83023"/>
    <w:rsid w:val="00B844ED"/>
    <w:rsid w:val="00B84D0B"/>
    <w:rsid w:val="00B86547"/>
    <w:rsid w:val="00B924E6"/>
    <w:rsid w:val="00B92F17"/>
    <w:rsid w:val="00B931E1"/>
    <w:rsid w:val="00B94086"/>
    <w:rsid w:val="00B96BAC"/>
    <w:rsid w:val="00BA262D"/>
    <w:rsid w:val="00BA3FF5"/>
    <w:rsid w:val="00BA52F5"/>
    <w:rsid w:val="00BA5698"/>
    <w:rsid w:val="00BA654C"/>
    <w:rsid w:val="00BA7DB7"/>
    <w:rsid w:val="00BB09CE"/>
    <w:rsid w:val="00BB1730"/>
    <w:rsid w:val="00BB48D6"/>
    <w:rsid w:val="00BB4B00"/>
    <w:rsid w:val="00BB7E1A"/>
    <w:rsid w:val="00BC0004"/>
    <w:rsid w:val="00BC1D6B"/>
    <w:rsid w:val="00BC235A"/>
    <w:rsid w:val="00BC2497"/>
    <w:rsid w:val="00BC295A"/>
    <w:rsid w:val="00BC4689"/>
    <w:rsid w:val="00BC4D70"/>
    <w:rsid w:val="00BC66A5"/>
    <w:rsid w:val="00BC6725"/>
    <w:rsid w:val="00BC67FE"/>
    <w:rsid w:val="00BC79EB"/>
    <w:rsid w:val="00BD0064"/>
    <w:rsid w:val="00BD1FB8"/>
    <w:rsid w:val="00BD5497"/>
    <w:rsid w:val="00BD5F0B"/>
    <w:rsid w:val="00BD6D51"/>
    <w:rsid w:val="00BD7D94"/>
    <w:rsid w:val="00BD7FCF"/>
    <w:rsid w:val="00BE2193"/>
    <w:rsid w:val="00BE7991"/>
    <w:rsid w:val="00BE7C7C"/>
    <w:rsid w:val="00BF1AAE"/>
    <w:rsid w:val="00BF1F52"/>
    <w:rsid w:val="00BF328F"/>
    <w:rsid w:val="00BF4ABD"/>
    <w:rsid w:val="00BF4F35"/>
    <w:rsid w:val="00C00EE2"/>
    <w:rsid w:val="00C03BCC"/>
    <w:rsid w:val="00C05041"/>
    <w:rsid w:val="00C051B8"/>
    <w:rsid w:val="00C057DC"/>
    <w:rsid w:val="00C064DC"/>
    <w:rsid w:val="00C075C6"/>
    <w:rsid w:val="00C07DEA"/>
    <w:rsid w:val="00C07EE6"/>
    <w:rsid w:val="00C107C9"/>
    <w:rsid w:val="00C11C4D"/>
    <w:rsid w:val="00C12A4F"/>
    <w:rsid w:val="00C13BE1"/>
    <w:rsid w:val="00C16E2D"/>
    <w:rsid w:val="00C25BDA"/>
    <w:rsid w:val="00C3107F"/>
    <w:rsid w:val="00C33104"/>
    <w:rsid w:val="00C332D4"/>
    <w:rsid w:val="00C35080"/>
    <w:rsid w:val="00C41BEA"/>
    <w:rsid w:val="00C42235"/>
    <w:rsid w:val="00C42B19"/>
    <w:rsid w:val="00C42E9C"/>
    <w:rsid w:val="00C43E50"/>
    <w:rsid w:val="00C4574C"/>
    <w:rsid w:val="00C45F72"/>
    <w:rsid w:val="00C461FC"/>
    <w:rsid w:val="00C479F8"/>
    <w:rsid w:val="00C47F23"/>
    <w:rsid w:val="00C511A9"/>
    <w:rsid w:val="00C51AC2"/>
    <w:rsid w:val="00C521D4"/>
    <w:rsid w:val="00C526A0"/>
    <w:rsid w:val="00C53D37"/>
    <w:rsid w:val="00C54A77"/>
    <w:rsid w:val="00C560EC"/>
    <w:rsid w:val="00C56CEF"/>
    <w:rsid w:val="00C57864"/>
    <w:rsid w:val="00C61B02"/>
    <w:rsid w:val="00C628D3"/>
    <w:rsid w:val="00C637B5"/>
    <w:rsid w:val="00C6528F"/>
    <w:rsid w:val="00C67841"/>
    <w:rsid w:val="00C67EDD"/>
    <w:rsid w:val="00C70322"/>
    <w:rsid w:val="00C71073"/>
    <w:rsid w:val="00C7480A"/>
    <w:rsid w:val="00C75651"/>
    <w:rsid w:val="00C811EC"/>
    <w:rsid w:val="00C8286E"/>
    <w:rsid w:val="00C83E3B"/>
    <w:rsid w:val="00C84520"/>
    <w:rsid w:val="00C854D4"/>
    <w:rsid w:val="00C85A24"/>
    <w:rsid w:val="00C90074"/>
    <w:rsid w:val="00C90556"/>
    <w:rsid w:val="00C925B6"/>
    <w:rsid w:val="00C927EF"/>
    <w:rsid w:val="00C94C4B"/>
    <w:rsid w:val="00CA0D78"/>
    <w:rsid w:val="00CA0FF3"/>
    <w:rsid w:val="00CA4855"/>
    <w:rsid w:val="00CA5618"/>
    <w:rsid w:val="00CA6C09"/>
    <w:rsid w:val="00CB0C50"/>
    <w:rsid w:val="00CB24FE"/>
    <w:rsid w:val="00CB3348"/>
    <w:rsid w:val="00CB77CE"/>
    <w:rsid w:val="00CC32C3"/>
    <w:rsid w:val="00CC4E8F"/>
    <w:rsid w:val="00CC572C"/>
    <w:rsid w:val="00CC7F3E"/>
    <w:rsid w:val="00CD0DC3"/>
    <w:rsid w:val="00CD192A"/>
    <w:rsid w:val="00CD4257"/>
    <w:rsid w:val="00CD58FD"/>
    <w:rsid w:val="00CD7AD8"/>
    <w:rsid w:val="00CE11DE"/>
    <w:rsid w:val="00CE1C6C"/>
    <w:rsid w:val="00CE29C7"/>
    <w:rsid w:val="00CE2A89"/>
    <w:rsid w:val="00CE33BE"/>
    <w:rsid w:val="00CE4025"/>
    <w:rsid w:val="00CE4AF3"/>
    <w:rsid w:val="00CE6322"/>
    <w:rsid w:val="00CF3EB0"/>
    <w:rsid w:val="00CF50FB"/>
    <w:rsid w:val="00CF6649"/>
    <w:rsid w:val="00CF7B02"/>
    <w:rsid w:val="00D00388"/>
    <w:rsid w:val="00D035D2"/>
    <w:rsid w:val="00D03B6A"/>
    <w:rsid w:val="00D0456E"/>
    <w:rsid w:val="00D05645"/>
    <w:rsid w:val="00D06D92"/>
    <w:rsid w:val="00D06DF3"/>
    <w:rsid w:val="00D102A7"/>
    <w:rsid w:val="00D16218"/>
    <w:rsid w:val="00D20112"/>
    <w:rsid w:val="00D22C74"/>
    <w:rsid w:val="00D25628"/>
    <w:rsid w:val="00D27E2E"/>
    <w:rsid w:val="00D32A76"/>
    <w:rsid w:val="00D343FA"/>
    <w:rsid w:val="00D3547D"/>
    <w:rsid w:val="00D3603D"/>
    <w:rsid w:val="00D367B6"/>
    <w:rsid w:val="00D40673"/>
    <w:rsid w:val="00D407AB"/>
    <w:rsid w:val="00D418FF"/>
    <w:rsid w:val="00D41B67"/>
    <w:rsid w:val="00D41FAD"/>
    <w:rsid w:val="00D4303A"/>
    <w:rsid w:val="00D44A82"/>
    <w:rsid w:val="00D45830"/>
    <w:rsid w:val="00D458DA"/>
    <w:rsid w:val="00D46613"/>
    <w:rsid w:val="00D47F12"/>
    <w:rsid w:val="00D508AB"/>
    <w:rsid w:val="00D50C89"/>
    <w:rsid w:val="00D51543"/>
    <w:rsid w:val="00D529AB"/>
    <w:rsid w:val="00D55C98"/>
    <w:rsid w:val="00D57F51"/>
    <w:rsid w:val="00D60912"/>
    <w:rsid w:val="00D61B75"/>
    <w:rsid w:val="00D639C9"/>
    <w:rsid w:val="00D6526B"/>
    <w:rsid w:val="00D65C76"/>
    <w:rsid w:val="00D662D9"/>
    <w:rsid w:val="00D6681F"/>
    <w:rsid w:val="00D678F8"/>
    <w:rsid w:val="00D734C7"/>
    <w:rsid w:val="00D75742"/>
    <w:rsid w:val="00D76705"/>
    <w:rsid w:val="00D81DB3"/>
    <w:rsid w:val="00D82513"/>
    <w:rsid w:val="00D82928"/>
    <w:rsid w:val="00D82F4E"/>
    <w:rsid w:val="00D831B5"/>
    <w:rsid w:val="00D85B9B"/>
    <w:rsid w:val="00D879D3"/>
    <w:rsid w:val="00D94019"/>
    <w:rsid w:val="00D94DF7"/>
    <w:rsid w:val="00D958A9"/>
    <w:rsid w:val="00D968A1"/>
    <w:rsid w:val="00DA1C60"/>
    <w:rsid w:val="00DA2F73"/>
    <w:rsid w:val="00DA791C"/>
    <w:rsid w:val="00DA7983"/>
    <w:rsid w:val="00DB03D1"/>
    <w:rsid w:val="00DB0D7C"/>
    <w:rsid w:val="00DB2A01"/>
    <w:rsid w:val="00DB3A58"/>
    <w:rsid w:val="00DB47D9"/>
    <w:rsid w:val="00DB4E1D"/>
    <w:rsid w:val="00DC0952"/>
    <w:rsid w:val="00DC30BD"/>
    <w:rsid w:val="00DC462F"/>
    <w:rsid w:val="00DC484F"/>
    <w:rsid w:val="00DC7393"/>
    <w:rsid w:val="00DC7E9D"/>
    <w:rsid w:val="00DD1949"/>
    <w:rsid w:val="00DD379A"/>
    <w:rsid w:val="00DD3BF3"/>
    <w:rsid w:val="00DD57D5"/>
    <w:rsid w:val="00DD6343"/>
    <w:rsid w:val="00DD6A21"/>
    <w:rsid w:val="00DE1C53"/>
    <w:rsid w:val="00DE3C97"/>
    <w:rsid w:val="00DE60CA"/>
    <w:rsid w:val="00DE6C1B"/>
    <w:rsid w:val="00DE749C"/>
    <w:rsid w:val="00DF0677"/>
    <w:rsid w:val="00DF0F9F"/>
    <w:rsid w:val="00DF1157"/>
    <w:rsid w:val="00DF2A68"/>
    <w:rsid w:val="00DF72EA"/>
    <w:rsid w:val="00DF72EB"/>
    <w:rsid w:val="00E00216"/>
    <w:rsid w:val="00E0076A"/>
    <w:rsid w:val="00E02055"/>
    <w:rsid w:val="00E02C70"/>
    <w:rsid w:val="00E04994"/>
    <w:rsid w:val="00E062CE"/>
    <w:rsid w:val="00E1012E"/>
    <w:rsid w:val="00E1328B"/>
    <w:rsid w:val="00E23315"/>
    <w:rsid w:val="00E23EA4"/>
    <w:rsid w:val="00E24FA3"/>
    <w:rsid w:val="00E25BE7"/>
    <w:rsid w:val="00E25E48"/>
    <w:rsid w:val="00E264B8"/>
    <w:rsid w:val="00E26B28"/>
    <w:rsid w:val="00E27F45"/>
    <w:rsid w:val="00E31465"/>
    <w:rsid w:val="00E31802"/>
    <w:rsid w:val="00E31D2E"/>
    <w:rsid w:val="00E31F3B"/>
    <w:rsid w:val="00E32498"/>
    <w:rsid w:val="00E328CD"/>
    <w:rsid w:val="00E36B95"/>
    <w:rsid w:val="00E36FE5"/>
    <w:rsid w:val="00E4003F"/>
    <w:rsid w:val="00E43B79"/>
    <w:rsid w:val="00E458F6"/>
    <w:rsid w:val="00E45954"/>
    <w:rsid w:val="00E45E50"/>
    <w:rsid w:val="00E509EC"/>
    <w:rsid w:val="00E52382"/>
    <w:rsid w:val="00E56BCD"/>
    <w:rsid w:val="00E60F39"/>
    <w:rsid w:val="00E64248"/>
    <w:rsid w:val="00E64416"/>
    <w:rsid w:val="00E664B9"/>
    <w:rsid w:val="00E702CF"/>
    <w:rsid w:val="00E71282"/>
    <w:rsid w:val="00E71AD6"/>
    <w:rsid w:val="00E74099"/>
    <w:rsid w:val="00E76170"/>
    <w:rsid w:val="00E7697E"/>
    <w:rsid w:val="00E77EBE"/>
    <w:rsid w:val="00E82DEB"/>
    <w:rsid w:val="00E831DC"/>
    <w:rsid w:val="00E84A1F"/>
    <w:rsid w:val="00E86B9F"/>
    <w:rsid w:val="00E9133E"/>
    <w:rsid w:val="00E9160A"/>
    <w:rsid w:val="00E93C1F"/>
    <w:rsid w:val="00E95742"/>
    <w:rsid w:val="00EA0081"/>
    <w:rsid w:val="00EA2E4F"/>
    <w:rsid w:val="00EA3C93"/>
    <w:rsid w:val="00EA44D9"/>
    <w:rsid w:val="00EA4AEE"/>
    <w:rsid w:val="00EB0137"/>
    <w:rsid w:val="00EB5C05"/>
    <w:rsid w:val="00EB5ECF"/>
    <w:rsid w:val="00EB61BB"/>
    <w:rsid w:val="00EB6A76"/>
    <w:rsid w:val="00EB6A7B"/>
    <w:rsid w:val="00EB6CD0"/>
    <w:rsid w:val="00EC0E25"/>
    <w:rsid w:val="00EC2E40"/>
    <w:rsid w:val="00EC39FA"/>
    <w:rsid w:val="00ED4B26"/>
    <w:rsid w:val="00ED6599"/>
    <w:rsid w:val="00ED6C7D"/>
    <w:rsid w:val="00ED7300"/>
    <w:rsid w:val="00ED7466"/>
    <w:rsid w:val="00ED7EF7"/>
    <w:rsid w:val="00EE01DD"/>
    <w:rsid w:val="00EE0E58"/>
    <w:rsid w:val="00EE1912"/>
    <w:rsid w:val="00EE1DC7"/>
    <w:rsid w:val="00EE642B"/>
    <w:rsid w:val="00EE7E41"/>
    <w:rsid w:val="00EE7FFA"/>
    <w:rsid w:val="00EF0755"/>
    <w:rsid w:val="00EF291B"/>
    <w:rsid w:val="00EF2958"/>
    <w:rsid w:val="00EF3C01"/>
    <w:rsid w:val="00EF46C1"/>
    <w:rsid w:val="00EF4F66"/>
    <w:rsid w:val="00F00585"/>
    <w:rsid w:val="00F00771"/>
    <w:rsid w:val="00F00E56"/>
    <w:rsid w:val="00F065AE"/>
    <w:rsid w:val="00F07448"/>
    <w:rsid w:val="00F07982"/>
    <w:rsid w:val="00F1137E"/>
    <w:rsid w:val="00F1203F"/>
    <w:rsid w:val="00F12382"/>
    <w:rsid w:val="00F12577"/>
    <w:rsid w:val="00F140F7"/>
    <w:rsid w:val="00F149E2"/>
    <w:rsid w:val="00F14C6D"/>
    <w:rsid w:val="00F1756F"/>
    <w:rsid w:val="00F22BFC"/>
    <w:rsid w:val="00F24A2B"/>
    <w:rsid w:val="00F3146D"/>
    <w:rsid w:val="00F33F55"/>
    <w:rsid w:val="00F34BC9"/>
    <w:rsid w:val="00F35E0C"/>
    <w:rsid w:val="00F422F9"/>
    <w:rsid w:val="00F44FDF"/>
    <w:rsid w:val="00F47C2F"/>
    <w:rsid w:val="00F50CB7"/>
    <w:rsid w:val="00F51C96"/>
    <w:rsid w:val="00F51E28"/>
    <w:rsid w:val="00F51FEF"/>
    <w:rsid w:val="00F5228A"/>
    <w:rsid w:val="00F52A59"/>
    <w:rsid w:val="00F548AF"/>
    <w:rsid w:val="00F57D48"/>
    <w:rsid w:val="00F603BD"/>
    <w:rsid w:val="00F622CB"/>
    <w:rsid w:val="00F623DE"/>
    <w:rsid w:val="00F63BB8"/>
    <w:rsid w:val="00F64586"/>
    <w:rsid w:val="00F6667A"/>
    <w:rsid w:val="00F71E31"/>
    <w:rsid w:val="00F71F26"/>
    <w:rsid w:val="00F72207"/>
    <w:rsid w:val="00F74BAC"/>
    <w:rsid w:val="00F76B90"/>
    <w:rsid w:val="00F828DE"/>
    <w:rsid w:val="00F8302E"/>
    <w:rsid w:val="00F84B1C"/>
    <w:rsid w:val="00F85B86"/>
    <w:rsid w:val="00F8744A"/>
    <w:rsid w:val="00F876AC"/>
    <w:rsid w:val="00F87DD6"/>
    <w:rsid w:val="00F91105"/>
    <w:rsid w:val="00F921A4"/>
    <w:rsid w:val="00F92321"/>
    <w:rsid w:val="00FA07F7"/>
    <w:rsid w:val="00FA0FD9"/>
    <w:rsid w:val="00FA201E"/>
    <w:rsid w:val="00FA408B"/>
    <w:rsid w:val="00FA4916"/>
    <w:rsid w:val="00FA5FD5"/>
    <w:rsid w:val="00FA6675"/>
    <w:rsid w:val="00FA73E0"/>
    <w:rsid w:val="00FB15E8"/>
    <w:rsid w:val="00FB5F83"/>
    <w:rsid w:val="00FB6AF6"/>
    <w:rsid w:val="00FB7D68"/>
    <w:rsid w:val="00FC095C"/>
    <w:rsid w:val="00FC1038"/>
    <w:rsid w:val="00FC208C"/>
    <w:rsid w:val="00FC4386"/>
    <w:rsid w:val="00FC5E62"/>
    <w:rsid w:val="00FD01B5"/>
    <w:rsid w:val="00FD1D0A"/>
    <w:rsid w:val="00FD6494"/>
    <w:rsid w:val="00FE0224"/>
    <w:rsid w:val="00FE292C"/>
    <w:rsid w:val="00FE2F72"/>
    <w:rsid w:val="00FE30D4"/>
    <w:rsid w:val="00FE584B"/>
    <w:rsid w:val="00FF0DE7"/>
    <w:rsid w:val="00FF1432"/>
    <w:rsid w:val="00FF20D6"/>
    <w:rsid w:val="00FF671F"/>
    <w:rsid w:val="00FF7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612B22A-B1B3-4CF8-A3B3-6C15E681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uiPriority w:val="9"/>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uiPriority w:val="9"/>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D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2507429">
      <w:bodyDiv w:val="1"/>
      <w:marLeft w:val="0"/>
      <w:marRight w:val="0"/>
      <w:marTop w:val="0"/>
      <w:marBottom w:val="0"/>
      <w:divBdr>
        <w:top w:val="none" w:sz="0" w:space="0" w:color="auto"/>
        <w:left w:val="none" w:sz="0" w:space="0" w:color="auto"/>
        <w:bottom w:val="none" w:sz="0" w:space="0" w:color="auto"/>
        <w:right w:val="none" w:sz="0" w:space="0" w:color="auto"/>
      </w:divBdr>
      <w:divsChild>
        <w:div w:id="231891442">
          <w:marLeft w:val="0"/>
          <w:marRight w:val="0"/>
          <w:marTop w:val="0"/>
          <w:marBottom w:val="0"/>
          <w:divBdr>
            <w:top w:val="none" w:sz="0" w:space="0" w:color="auto"/>
            <w:left w:val="none" w:sz="0" w:space="0" w:color="auto"/>
            <w:bottom w:val="none" w:sz="0" w:space="0" w:color="auto"/>
            <w:right w:val="none" w:sz="0" w:space="0" w:color="auto"/>
          </w:divBdr>
          <w:divsChild>
            <w:div w:id="733701778">
              <w:marLeft w:val="0"/>
              <w:marRight w:val="0"/>
              <w:marTop w:val="0"/>
              <w:marBottom w:val="0"/>
              <w:divBdr>
                <w:top w:val="none" w:sz="0" w:space="0" w:color="auto"/>
                <w:left w:val="none" w:sz="0" w:space="0" w:color="auto"/>
                <w:bottom w:val="none" w:sz="0" w:space="0" w:color="auto"/>
                <w:right w:val="none" w:sz="0" w:space="0" w:color="auto"/>
              </w:divBdr>
              <w:divsChild>
                <w:div w:id="419523282">
                  <w:marLeft w:val="0"/>
                  <w:marRight w:val="0"/>
                  <w:marTop w:val="0"/>
                  <w:marBottom w:val="0"/>
                  <w:divBdr>
                    <w:top w:val="none" w:sz="0" w:space="0" w:color="auto"/>
                    <w:left w:val="none" w:sz="0" w:space="0" w:color="auto"/>
                    <w:bottom w:val="none" w:sz="0" w:space="0" w:color="auto"/>
                    <w:right w:val="none" w:sz="0" w:space="0" w:color="auto"/>
                  </w:divBdr>
                  <w:divsChild>
                    <w:div w:id="598374519">
                      <w:marLeft w:val="0"/>
                      <w:marRight w:val="0"/>
                      <w:marTop w:val="0"/>
                      <w:marBottom w:val="0"/>
                      <w:divBdr>
                        <w:top w:val="none" w:sz="0" w:space="0" w:color="auto"/>
                        <w:left w:val="none" w:sz="0" w:space="0" w:color="auto"/>
                        <w:bottom w:val="none" w:sz="0" w:space="0" w:color="auto"/>
                        <w:right w:val="none" w:sz="0" w:space="0" w:color="auto"/>
                      </w:divBdr>
                      <w:divsChild>
                        <w:div w:id="1066611653">
                          <w:marLeft w:val="0"/>
                          <w:marRight w:val="0"/>
                          <w:marTop w:val="0"/>
                          <w:marBottom w:val="0"/>
                          <w:divBdr>
                            <w:top w:val="none" w:sz="0" w:space="0" w:color="auto"/>
                            <w:left w:val="none" w:sz="0" w:space="0" w:color="auto"/>
                            <w:bottom w:val="none" w:sz="0" w:space="0" w:color="auto"/>
                            <w:right w:val="none" w:sz="0" w:space="0" w:color="auto"/>
                          </w:divBdr>
                          <w:divsChild>
                            <w:div w:id="664434157">
                              <w:marLeft w:val="0"/>
                              <w:marRight w:val="0"/>
                              <w:marTop w:val="0"/>
                              <w:marBottom w:val="0"/>
                              <w:divBdr>
                                <w:top w:val="none" w:sz="0" w:space="0" w:color="auto"/>
                                <w:left w:val="none" w:sz="0" w:space="0" w:color="auto"/>
                                <w:bottom w:val="none" w:sz="0" w:space="0" w:color="auto"/>
                                <w:right w:val="none" w:sz="0" w:space="0" w:color="auto"/>
                              </w:divBdr>
                              <w:divsChild>
                                <w:div w:id="339547202">
                                  <w:marLeft w:val="0"/>
                                  <w:marRight w:val="0"/>
                                  <w:marTop w:val="0"/>
                                  <w:marBottom w:val="0"/>
                                  <w:divBdr>
                                    <w:top w:val="none" w:sz="0" w:space="0" w:color="auto"/>
                                    <w:left w:val="none" w:sz="0" w:space="0" w:color="auto"/>
                                    <w:bottom w:val="none" w:sz="0" w:space="0" w:color="auto"/>
                                    <w:right w:val="none" w:sz="0" w:space="0" w:color="auto"/>
                                  </w:divBdr>
                                  <w:divsChild>
                                    <w:div w:id="19201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3886098">
      <w:bodyDiv w:val="1"/>
      <w:marLeft w:val="0"/>
      <w:marRight w:val="0"/>
      <w:marTop w:val="0"/>
      <w:marBottom w:val="0"/>
      <w:divBdr>
        <w:top w:val="none" w:sz="0" w:space="0" w:color="auto"/>
        <w:left w:val="none" w:sz="0" w:space="0" w:color="auto"/>
        <w:bottom w:val="none" w:sz="0" w:space="0" w:color="auto"/>
        <w:right w:val="none" w:sz="0" w:space="0" w:color="auto"/>
      </w:divBdr>
      <w:divsChild>
        <w:div w:id="4284934">
          <w:marLeft w:val="0"/>
          <w:marRight w:val="0"/>
          <w:marTop w:val="0"/>
          <w:marBottom w:val="0"/>
          <w:divBdr>
            <w:top w:val="none" w:sz="0" w:space="0" w:color="auto"/>
            <w:left w:val="none" w:sz="0" w:space="0" w:color="auto"/>
            <w:bottom w:val="none" w:sz="0" w:space="0" w:color="auto"/>
            <w:right w:val="none" w:sz="0" w:space="0" w:color="auto"/>
          </w:divBdr>
          <w:divsChild>
            <w:div w:id="1601639402">
              <w:marLeft w:val="0"/>
              <w:marRight w:val="0"/>
              <w:marTop w:val="0"/>
              <w:marBottom w:val="0"/>
              <w:divBdr>
                <w:top w:val="none" w:sz="0" w:space="0" w:color="auto"/>
                <w:left w:val="none" w:sz="0" w:space="0" w:color="auto"/>
                <w:bottom w:val="none" w:sz="0" w:space="0" w:color="auto"/>
                <w:right w:val="none" w:sz="0" w:space="0" w:color="auto"/>
              </w:divBdr>
              <w:divsChild>
                <w:div w:id="74012017">
                  <w:marLeft w:val="0"/>
                  <w:marRight w:val="0"/>
                  <w:marTop w:val="0"/>
                  <w:marBottom w:val="0"/>
                  <w:divBdr>
                    <w:top w:val="none" w:sz="0" w:space="0" w:color="auto"/>
                    <w:left w:val="none" w:sz="0" w:space="0" w:color="auto"/>
                    <w:bottom w:val="none" w:sz="0" w:space="0" w:color="auto"/>
                    <w:right w:val="none" w:sz="0" w:space="0" w:color="auto"/>
                  </w:divBdr>
                  <w:divsChild>
                    <w:div w:id="1025399648">
                      <w:marLeft w:val="0"/>
                      <w:marRight w:val="0"/>
                      <w:marTop w:val="0"/>
                      <w:marBottom w:val="0"/>
                      <w:divBdr>
                        <w:top w:val="none" w:sz="0" w:space="0" w:color="auto"/>
                        <w:left w:val="none" w:sz="0" w:space="0" w:color="auto"/>
                        <w:bottom w:val="none" w:sz="0" w:space="0" w:color="auto"/>
                        <w:right w:val="none" w:sz="0" w:space="0" w:color="auto"/>
                      </w:divBdr>
                      <w:divsChild>
                        <w:div w:id="1537933447">
                          <w:marLeft w:val="0"/>
                          <w:marRight w:val="0"/>
                          <w:marTop w:val="0"/>
                          <w:marBottom w:val="0"/>
                          <w:divBdr>
                            <w:top w:val="none" w:sz="0" w:space="0" w:color="auto"/>
                            <w:left w:val="none" w:sz="0" w:space="0" w:color="auto"/>
                            <w:bottom w:val="none" w:sz="0" w:space="0" w:color="auto"/>
                            <w:right w:val="none" w:sz="0" w:space="0" w:color="auto"/>
                          </w:divBdr>
                          <w:divsChild>
                            <w:div w:id="414783712">
                              <w:marLeft w:val="0"/>
                              <w:marRight w:val="0"/>
                              <w:marTop w:val="0"/>
                              <w:marBottom w:val="0"/>
                              <w:divBdr>
                                <w:top w:val="none" w:sz="0" w:space="0" w:color="auto"/>
                                <w:left w:val="none" w:sz="0" w:space="0" w:color="auto"/>
                                <w:bottom w:val="none" w:sz="0" w:space="0" w:color="auto"/>
                                <w:right w:val="none" w:sz="0" w:space="0" w:color="auto"/>
                              </w:divBdr>
                              <w:divsChild>
                                <w:div w:id="1244994956">
                                  <w:marLeft w:val="0"/>
                                  <w:marRight w:val="0"/>
                                  <w:marTop w:val="0"/>
                                  <w:marBottom w:val="0"/>
                                  <w:divBdr>
                                    <w:top w:val="none" w:sz="0" w:space="0" w:color="auto"/>
                                    <w:left w:val="none" w:sz="0" w:space="0" w:color="auto"/>
                                    <w:bottom w:val="none" w:sz="0" w:space="0" w:color="auto"/>
                                    <w:right w:val="none" w:sz="0" w:space="0" w:color="auto"/>
                                  </w:divBdr>
                                  <w:divsChild>
                                    <w:div w:id="107933321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61400">
      <w:bodyDiv w:val="1"/>
      <w:marLeft w:val="0"/>
      <w:marRight w:val="0"/>
      <w:marTop w:val="0"/>
      <w:marBottom w:val="0"/>
      <w:divBdr>
        <w:top w:val="none" w:sz="0" w:space="0" w:color="auto"/>
        <w:left w:val="none" w:sz="0" w:space="0" w:color="auto"/>
        <w:bottom w:val="none" w:sz="0" w:space="0" w:color="auto"/>
        <w:right w:val="none" w:sz="0" w:space="0" w:color="auto"/>
      </w:divBdr>
      <w:divsChild>
        <w:div w:id="2028022992">
          <w:marLeft w:val="0"/>
          <w:marRight w:val="0"/>
          <w:marTop w:val="0"/>
          <w:marBottom w:val="0"/>
          <w:divBdr>
            <w:top w:val="none" w:sz="0" w:space="0" w:color="auto"/>
            <w:left w:val="none" w:sz="0" w:space="0" w:color="auto"/>
            <w:bottom w:val="none" w:sz="0" w:space="0" w:color="auto"/>
            <w:right w:val="none" w:sz="0" w:space="0" w:color="auto"/>
          </w:divBdr>
          <w:divsChild>
            <w:div w:id="1015880469">
              <w:marLeft w:val="0"/>
              <w:marRight w:val="0"/>
              <w:marTop w:val="0"/>
              <w:marBottom w:val="0"/>
              <w:divBdr>
                <w:top w:val="none" w:sz="0" w:space="0" w:color="auto"/>
                <w:left w:val="none" w:sz="0" w:space="0" w:color="auto"/>
                <w:bottom w:val="none" w:sz="0" w:space="0" w:color="auto"/>
                <w:right w:val="none" w:sz="0" w:space="0" w:color="auto"/>
              </w:divBdr>
              <w:divsChild>
                <w:div w:id="516188709">
                  <w:marLeft w:val="0"/>
                  <w:marRight w:val="0"/>
                  <w:marTop w:val="0"/>
                  <w:marBottom w:val="0"/>
                  <w:divBdr>
                    <w:top w:val="none" w:sz="0" w:space="0" w:color="auto"/>
                    <w:left w:val="none" w:sz="0" w:space="0" w:color="auto"/>
                    <w:bottom w:val="none" w:sz="0" w:space="0" w:color="auto"/>
                    <w:right w:val="none" w:sz="0" w:space="0" w:color="auto"/>
                  </w:divBdr>
                  <w:divsChild>
                    <w:div w:id="2064477553">
                      <w:marLeft w:val="0"/>
                      <w:marRight w:val="0"/>
                      <w:marTop w:val="0"/>
                      <w:marBottom w:val="0"/>
                      <w:divBdr>
                        <w:top w:val="none" w:sz="0" w:space="0" w:color="auto"/>
                        <w:left w:val="none" w:sz="0" w:space="0" w:color="auto"/>
                        <w:bottom w:val="none" w:sz="0" w:space="0" w:color="auto"/>
                        <w:right w:val="none" w:sz="0" w:space="0" w:color="auto"/>
                      </w:divBdr>
                      <w:divsChild>
                        <w:div w:id="1333993481">
                          <w:marLeft w:val="0"/>
                          <w:marRight w:val="0"/>
                          <w:marTop w:val="0"/>
                          <w:marBottom w:val="0"/>
                          <w:divBdr>
                            <w:top w:val="none" w:sz="0" w:space="0" w:color="auto"/>
                            <w:left w:val="none" w:sz="0" w:space="0" w:color="auto"/>
                            <w:bottom w:val="none" w:sz="0" w:space="0" w:color="auto"/>
                            <w:right w:val="none" w:sz="0" w:space="0" w:color="auto"/>
                          </w:divBdr>
                          <w:divsChild>
                            <w:div w:id="834686219">
                              <w:marLeft w:val="0"/>
                              <w:marRight w:val="0"/>
                              <w:marTop w:val="0"/>
                              <w:marBottom w:val="0"/>
                              <w:divBdr>
                                <w:top w:val="none" w:sz="0" w:space="0" w:color="auto"/>
                                <w:left w:val="none" w:sz="0" w:space="0" w:color="auto"/>
                                <w:bottom w:val="none" w:sz="0" w:space="0" w:color="auto"/>
                                <w:right w:val="none" w:sz="0" w:space="0" w:color="auto"/>
                              </w:divBdr>
                              <w:divsChild>
                                <w:div w:id="1014695357">
                                  <w:marLeft w:val="0"/>
                                  <w:marRight w:val="0"/>
                                  <w:marTop w:val="0"/>
                                  <w:marBottom w:val="0"/>
                                  <w:divBdr>
                                    <w:top w:val="none" w:sz="0" w:space="0" w:color="auto"/>
                                    <w:left w:val="none" w:sz="0" w:space="0" w:color="auto"/>
                                    <w:bottom w:val="none" w:sz="0" w:space="0" w:color="auto"/>
                                    <w:right w:val="none" w:sz="0" w:space="0" w:color="auto"/>
                                  </w:divBdr>
                                  <w:divsChild>
                                    <w:div w:id="394553781">
                                      <w:blockQuote w:val="1"/>
                                      <w:marLeft w:val="450"/>
                                      <w:marRight w:val="450"/>
                                      <w:marTop w:val="225"/>
                                      <w:marBottom w:val="225"/>
                                      <w:divBdr>
                                        <w:top w:val="none" w:sz="0" w:space="0" w:color="auto"/>
                                        <w:left w:val="none" w:sz="0" w:space="0" w:color="auto"/>
                                        <w:bottom w:val="none" w:sz="0" w:space="0" w:color="auto"/>
                                        <w:right w:val="none" w:sz="0" w:space="0" w:color="auto"/>
                                      </w:divBdr>
                                    </w:div>
                                    <w:div w:id="1847088701">
                                      <w:blockQuote w:val="1"/>
                                      <w:marLeft w:val="450"/>
                                      <w:marRight w:val="450"/>
                                      <w:marTop w:val="225"/>
                                      <w:marBottom w:val="225"/>
                                      <w:divBdr>
                                        <w:top w:val="none" w:sz="0" w:space="0" w:color="auto"/>
                                        <w:left w:val="none" w:sz="0" w:space="0" w:color="auto"/>
                                        <w:bottom w:val="none" w:sz="0" w:space="0" w:color="auto"/>
                                        <w:right w:val="none" w:sz="0" w:space="0" w:color="auto"/>
                                      </w:divBdr>
                                    </w:div>
                                    <w:div w:id="385186356">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468046">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16186696">
      <w:bodyDiv w:val="1"/>
      <w:marLeft w:val="0"/>
      <w:marRight w:val="0"/>
      <w:marTop w:val="0"/>
      <w:marBottom w:val="0"/>
      <w:divBdr>
        <w:top w:val="none" w:sz="0" w:space="0" w:color="auto"/>
        <w:left w:val="none" w:sz="0" w:space="0" w:color="auto"/>
        <w:bottom w:val="none" w:sz="0" w:space="0" w:color="auto"/>
        <w:right w:val="none" w:sz="0" w:space="0" w:color="auto"/>
      </w:divBdr>
      <w:divsChild>
        <w:div w:id="209808647">
          <w:marLeft w:val="0"/>
          <w:marRight w:val="0"/>
          <w:marTop w:val="0"/>
          <w:marBottom w:val="0"/>
          <w:divBdr>
            <w:top w:val="none" w:sz="0" w:space="0" w:color="auto"/>
            <w:left w:val="none" w:sz="0" w:space="0" w:color="auto"/>
            <w:bottom w:val="none" w:sz="0" w:space="0" w:color="auto"/>
            <w:right w:val="none" w:sz="0" w:space="0" w:color="auto"/>
          </w:divBdr>
          <w:divsChild>
            <w:div w:id="938609905">
              <w:marLeft w:val="0"/>
              <w:marRight w:val="0"/>
              <w:marTop w:val="0"/>
              <w:marBottom w:val="0"/>
              <w:divBdr>
                <w:top w:val="none" w:sz="0" w:space="0" w:color="auto"/>
                <w:left w:val="none" w:sz="0" w:space="0" w:color="auto"/>
                <w:bottom w:val="none" w:sz="0" w:space="0" w:color="auto"/>
                <w:right w:val="none" w:sz="0" w:space="0" w:color="auto"/>
              </w:divBdr>
              <w:divsChild>
                <w:div w:id="449204711">
                  <w:marLeft w:val="0"/>
                  <w:marRight w:val="0"/>
                  <w:marTop w:val="0"/>
                  <w:marBottom w:val="0"/>
                  <w:divBdr>
                    <w:top w:val="none" w:sz="0" w:space="0" w:color="auto"/>
                    <w:left w:val="none" w:sz="0" w:space="0" w:color="auto"/>
                    <w:bottom w:val="none" w:sz="0" w:space="0" w:color="auto"/>
                    <w:right w:val="none" w:sz="0" w:space="0" w:color="auto"/>
                  </w:divBdr>
                  <w:divsChild>
                    <w:div w:id="1456169274">
                      <w:marLeft w:val="0"/>
                      <w:marRight w:val="0"/>
                      <w:marTop w:val="0"/>
                      <w:marBottom w:val="0"/>
                      <w:divBdr>
                        <w:top w:val="none" w:sz="0" w:space="0" w:color="auto"/>
                        <w:left w:val="none" w:sz="0" w:space="0" w:color="auto"/>
                        <w:bottom w:val="none" w:sz="0" w:space="0" w:color="auto"/>
                        <w:right w:val="none" w:sz="0" w:space="0" w:color="auto"/>
                      </w:divBdr>
                      <w:divsChild>
                        <w:div w:id="1823303736">
                          <w:marLeft w:val="0"/>
                          <w:marRight w:val="0"/>
                          <w:marTop w:val="0"/>
                          <w:marBottom w:val="0"/>
                          <w:divBdr>
                            <w:top w:val="none" w:sz="0" w:space="0" w:color="auto"/>
                            <w:left w:val="none" w:sz="0" w:space="0" w:color="auto"/>
                            <w:bottom w:val="none" w:sz="0" w:space="0" w:color="auto"/>
                            <w:right w:val="none" w:sz="0" w:space="0" w:color="auto"/>
                          </w:divBdr>
                          <w:divsChild>
                            <w:div w:id="1041634995">
                              <w:marLeft w:val="0"/>
                              <w:marRight w:val="0"/>
                              <w:marTop w:val="0"/>
                              <w:marBottom w:val="0"/>
                              <w:divBdr>
                                <w:top w:val="none" w:sz="0" w:space="0" w:color="auto"/>
                                <w:left w:val="none" w:sz="0" w:space="0" w:color="auto"/>
                                <w:bottom w:val="none" w:sz="0" w:space="0" w:color="auto"/>
                                <w:right w:val="none" w:sz="0" w:space="0" w:color="auto"/>
                              </w:divBdr>
                              <w:divsChild>
                                <w:div w:id="15439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manrights.gov.au/our-work/asylum-seekers-and-refugees/publications/forgotten-children-national-inquiry-child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our-work/asylum-seekers-and-refugees/national-inquiry-children-immigration-detention-2014/expert" TargetMode="External"/><Relationship Id="rId3" Type="http://schemas.openxmlformats.org/officeDocument/2006/relationships/hyperlink" Target="https://www.humanrights.gov.au/our-work/asylum-seekers-and-refugees/publications/tell-me-about-children-immigration-detention-nauru" TargetMode="External"/><Relationship Id="rId7" Type="http://schemas.openxmlformats.org/officeDocument/2006/relationships/hyperlink" Target="http://www.budget.gov.au/2015-16/content/bp2/html/index.htm" TargetMode="External"/><Relationship Id="rId2" Type="http://schemas.openxmlformats.org/officeDocument/2006/relationships/hyperlink" Target="https://www.humanrights.gov.au/our-work/asylum-seekers-and-refugees/publications/forgotten-children-national-inquiry-children" TargetMode="External"/><Relationship Id="rId1" Type="http://schemas.openxmlformats.org/officeDocument/2006/relationships/hyperlink" Target="http://www.austlii.edu.au/au/other/dfat/treaties/1991/4.html" TargetMode="External"/><Relationship Id="rId6" Type="http://schemas.openxmlformats.org/officeDocument/2006/relationships/hyperlink" Target="http://www.border.gov.au/Busi/Comp/Immigration-detention" TargetMode="External"/><Relationship Id="rId5" Type="http://schemas.openxmlformats.org/officeDocument/2006/relationships/hyperlink" Target="http://www.border.gov.au/Busi/Comp/Immigration-detention" TargetMode="External"/><Relationship Id="rId10" Type="http://schemas.openxmlformats.org/officeDocument/2006/relationships/hyperlink" Target="https://www.humanrights.gov.au/our-work/asylum-seekers-and-refugees/national-inquiry-children-immigration-detention-2014-1" TargetMode="External"/><Relationship Id="rId4" Type="http://schemas.openxmlformats.org/officeDocument/2006/relationships/hyperlink" Target="http://www.humanrights.gov.au/our-work/asylum-seekers-and-refugees/national-inquiry-children-immigration-detention-2014-0" TargetMode="External"/><Relationship Id="rId9" Type="http://schemas.openxmlformats.org/officeDocument/2006/relationships/hyperlink" Target="https://www.humanrights.gov.au/our-work/asylum-seekers-and-refugees/national-inquiry-children-immigration-detention-20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8697-6D18-40D7-8047-E89243E3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51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12104</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46</cp:revision>
  <cp:lastPrinted>2013-04-11T03:01:00Z</cp:lastPrinted>
  <dcterms:created xsi:type="dcterms:W3CDTF">2015-07-08T04:29:00Z</dcterms:created>
  <dcterms:modified xsi:type="dcterms:W3CDTF">2015-07-08T23:43:00Z</dcterms:modified>
</cp:coreProperties>
</file>