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4CF33" w14:textId="4DD80954" w:rsidR="009D1655" w:rsidRDefault="00147919" w:rsidP="00BD0443">
      <w:r>
        <w:rPr>
          <w:noProof/>
        </w:rPr>
        <w:drawing>
          <wp:inline distT="0" distB="0" distL="0" distR="0" wp14:anchorId="73EABFB1" wp14:editId="753F55DD">
            <wp:extent cx="5731510" cy="8102144"/>
            <wp:effectExtent l="0" t="0" r="0" b="635"/>
            <wp:docPr id="8" name="Immagine 8" descr="COVER IMAGE&#10;&#10;Cover photo features a young women in a wheel-chair in a work setting speaking with others outside of the photo.&#10;&#10;Cover title: Guidelines for the targeted recruitment of people with disability - November 2022.&#10;&#10;The cover includes the Australian Human Rights Commission logo and the IncludeAbility logo in the bottom left corn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COVER IMAGE&#10;&#10;Cover photo features a young women in a wheel-chair in a work setting speaking with others outside of the photo.&#10;&#10;Cover title: Guidelines for the targeted recruitment of people with disability - November 2022.&#10;&#10;The cover includes the Australian Human Rights Commission logo and the IncludeAbility logo in the bottom left corner.&#10;"/>
                    <pic:cNvPicPr/>
                  </pic:nvPicPr>
                  <pic:blipFill>
                    <a:blip r:embed="rId14" cstate="screen">
                      <a:extLst>
                        <a:ext uri="{28A0092B-C50C-407E-A947-70E740481C1C}">
                          <a14:useLocalDpi xmlns:a14="http://schemas.microsoft.com/office/drawing/2010/main" val="0"/>
                        </a:ext>
                      </a:extLst>
                    </a:blip>
                    <a:stretch>
                      <a:fillRect/>
                    </a:stretch>
                  </pic:blipFill>
                  <pic:spPr>
                    <a:xfrm>
                      <a:off x="0" y="0"/>
                      <a:ext cx="5731510" cy="8102144"/>
                    </a:xfrm>
                    <a:prstGeom prst="rect">
                      <a:avLst/>
                    </a:prstGeom>
                  </pic:spPr>
                </pic:pic>
              </a:graphicData>
            </a:graphic>
          </wp:inline>
        </w:drawing>
      </w:r>
    </w:p>
    <w:p w14:paraId="4630888E" w14:textId="6D45628D" w:rsidR="001F5450" w:rsidRDefault="001F5450">
      <w:pPr>
        <w:keepLines w:val="0"/>
        <w:spacing w:after="160" w:line="259" w:lineRule="auto"/>
        <w:rPr>
          <w:lang w:val="it-IT"/>
        </w:rPr>
      </w:pPr>
      <w:r>
        <w:rPr>
          <w:lang w:val="it-IT"/>
        </w:rPr>
        <w:br w:type="page"/>
      </w:r>
    </w:p>
    <w:p w14:paraId="52365103" w14:textId="77777777" w:rsidR="001E063A" w:rsidRPr="001E063A" w:rsidRDefault="001E063A" w:rsidP="001E063A">
      <w:pPr>
        <w:rPr>
          <w:lang w:val="it-IT"/>
        </w:rPr>
        <w:sectPr w:rsidR="001E063A" w:rsidRPr="001E063A" w:rsidSect="001A7C91">
          <w:endnotePr>
            <w:numFmt w:val="decimal"/>
          </w:endnotePr>
          <w:pgSz w:w="11906" w:h="16838"/>
          <w:pgMar w:top="1440" w:right="1440" w:bottom="1440" w:left="1440" w:header="709" w:footer="709" w:gutter="0"/>
          <w:cols w:space="708"/>
          <w:noEndnote/>
          <w:docGrid w:linePitch="360"/>
        </w:sectPr>
      </w:pPr>
    </w:p>
    <w:p w14:paraId="69675289" w14:textId="77777777" w:rsidR="001E063A" w:rsidRPr="000B74A3" w:rsidRDefault="001E063A" w:rsidP="001E063A">
      <w:pPr>
        <w:pStyle w:val="CopyrightText"/>
      </w:pPr>
      <w:bookmarkStart w:id="0" w:name="_Toc207761829"/>
      <w:r w:rsidRPr="000B74A3">
        <w:t>© Australian Human Rights Commission 2022.</w:t>
      </w:r>
    </w:p>
    <w:p w14:paraId="3BD63281" w14:textId="77777777" w:rsidR="001E063A" w:rsidRPr="000B74A3" w:rsidRDefault="001E063A" w:rsidP="001E063A">
      <w:pPr>
        <w:pStyle w:val="CopyrightText"/>
      </w:pPr>
      <w:r w:rsidRPr="000B74A3">
        <w:t>The Australian Human Rights Commission encourages the dissemination and exchange of information presented in this publication.</w:t>
      </w:r>
    </w:p>
    <w:p w14:paraId="5637609A" w14:textId="2581D4FB" w:rsidR="006B7046" w:rsidRPr="006B7046" w:rsidRDefault="001E063A" w:rsidP="006B7046">
      <w:r w:rsidRPr="006B7046">
        <w:drawing>
          <wp:inline distT="0" distB="0" distL="0" distR="0" wp14:anchorId="2C70063F" wp14:editId="60AC70C8">
            <wp:extent cx="687978" cy="240792"/>
            <wp:effectExtent l="0" t="0" r="0" b="635"/>
            <wp:docPr id="2" name="Immagine 1" descr="Creative Commons CC BY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descr="Creative Commons CC BY badge"/>
                    <pic:cNvPicPr/>
                  </pic:nvPicPr>
                  <pic:blipFill>
                    <a:blip r:embed="rId15" cstate="screen">
                      <a:extLst>
                        <a:ext uri="{28A0092B-C50C-407E-A947-70E740481C1C}">
                          <a14:useLocalDpi xmlns:a14="http://schemas.microsoft.com/office/drawing/2010/main"/>
                        </a:ext>
                      </a:extLst>
                    </a:blip>
                    <a:stretch>
                      <a:fillRect/>
                    </a:stretch>
                  </pic:blipFill>
                  <pic:spPr>
                    <a:xfrm>
                      <a:off x="0" y="0"/>
                      <a:ext cx="713371" cy="249680"/>
                    </a:xfrm>
                    <a:prstGeom prst="rect">
                      <a:avLst/>
                    </a:prstGeom>
                  </pic:spPr>
                </pic:pic>
              </a:graphicData>
            </a:graphic>
          </wp:inline>
        </w:drawing>
      </w:r>
    </w:p>
    <w:p w14:paraId="25E1044D" w14:textId="77777777" w:rsidR="001E063A" w:rsidRPr="000B74A3" w:rsidRDefault="001E063A" w:rsidP="001E063A">
      <w:pPr>
        <w:pStyle w:val="CopyrightText"/>
      </w:pPr>
      <w:r w:rsidRPr="000B74A3">
        <w:t xml:space="preserve">All material presented in this publication is licensed under the </w:t>
      </w:r>
      <w:r w:rsidRPr="006B7046">
        <w:rPr>
          <w:rStyle w:val="Enfasigrassetto"/>
        </w:rPr>
        <w:t>Creative Commons Attribution 4.0 International Licence</w:t>
      </w:r>
      <w:r w:rsidRPr="000B74A3">
        <w:t xml:space="preserve">, </w:t>
      </w:r>
      <w:proofErr w:type="gramStart"/>
      <w:r w:rsidRPr="000B74A3">
        <w:t>with the exception of</w:t>
      </w:r>
      <w:proofErr w:type="gramEnd"/>
      <w:r w:rsidRPr="000B74A3">
        <w:t>:</w:t>
      </w:r>
    </w:p>
    <w:p w14:paraId="446EC84D" w14:textId="77777777" w:rsidR="001E063A" w:rsidRPr="000B74A3" w:rsidRDefault="001E063A">
      <w:pPr>
        <w:pStyle w:val="CopyrightBullets"/>
        <w:keepLines w:val="0"/>
      </w:pPr>
      <w:r w:rsidRPr="000B74A3">
        <w:t xml:space="preserve">photographs and </w:t>
      </w:r>
      <w:proofErr w:type="gramStart"/>
      <w:r w:rsidRPr="000B74A3">
        <w:t>images;</w:t>
      </w:r>
      <w:proofErr w:type="gramEnd"/>
    </w:p>
    <w:p w14:paraId="69071301" w14:textId="77777777" w:rsidR="001E063A" w:rsidRPr="000B74A3" w:rsidRDefault="001E063A">
      <w:pPr>
        <w:pStyle w:val="CopyrightBullets"/>
        <w:keepLines w:val="0"/>
      </w:pPr>
      <w:r w:rsidRPr="000B74A3">
        <w:t xml:space="preserve">the Commission’s logo, any branding or </w:t>
      </w:r>
      <w:proofErr w:type="gramStart"/>
      <w:r w:rsidRPr="000B74A3">
        <w:t>trademarks;</w:t>
      </w:r>
      <w:proofErr w:type="gramEnd"/>
    </w:p>
    <w:p w14:paraId="4F70EFD2" w14:textId="77777777" w:rsidR="001E063A" w:rsidRPr="000B74A3" w:rsidRDefault="001E063A">
      <w:pPr>
        <w:pStyle w:val="CopyrightBullets"/>
        <w:keepLines w:val="0"/>
      </w:pPr>
      <w:r w:rsidRPr="000B74A3">
        <w:t>content or material provided by third parties; and</w:t>
      </w:r>
    </w:p>
    <w:p w14:paraId="3AAD18B1" w14:textId="77777777" w:rsidR="001E063A" w:rsidRPr="000B74A3" w:rsidRDefault="001E063A">
      <w:pPr>
        <w:pStyle w:val="CopyrightBullets"/>
        <w:keepLines w:val="0"/>
      </w:pPr>
      <w:r w:rsidRPr="000B74A3">
        <w:t>where otherwise indicated.</w:t>
      </w:r>
    </w:p>
    <w:p w14:paraId="1D990A21" w14:textId="77777777" w:rsidR="001E063A" w:rsidRPr="000B74A3" w:rsidRDefault="001E063A" w:rsidP="001E063A">
      <w:pPr>
        <w:pStyle w:val="CopyrightText"/>
      </w:pPr>
      <w:r w:rsidRPr="000B74A3">
        <w:t xml:space="preserve">To view a copy of this licence, </w:t>
      </w:r>
      <w:r w:rsidRPr="000B74A3">
        <w:rPr>
          <w:szCs w:val="20"/>
        </w:rPr>
        <w:t xml:space="preserve">visit </w:t>
      </w:r>
      <w:hyperlink r:id="rId16" w:history="1">
        <w:r w:rsidRPr="000B74A3">
          <w:rPr>
            <w:rStyle w:val="Collegamentoipertestuale"/>
            <w:szCs w:val="20"/>
          </w:rPr>
          <w:t>http://creativecommons.org/licenses/by/4.0/legalcode</w:t>
        </w:r>
      </w:hyperlink>
      <w:r w:rsidRPr="000B74A3">
        <w:t>.</w:t>
      </w:r>
    </w:p>
    <w:p w14:paraId="132666F0" w14:textId="77777777" w:rsidR="001E063A" w:rsidRPr="000B74A3" w:rsidRDefault="001E063A" w:rsidP="001E063A">
      <w:pPr>
        <w:pStyle w:val="CopyrightText"/>
      </w:pPr>
      <w:r w:rsidRPr="000B74A3">
        <w:t xml:space="preserve">In essence, you are free to copy, communicate and adapt the publication, </w:t>
      </w:r>
      <w:proofErr w:type="gramStart"/>
      <w:r w:rsidRPr="000B74A3">
        <w:t>as long as</w:t>
      </w:r>
      <w:proofErr w:type="gramEnd"/>
      <w:r w:rsidRPr="000B74A3">
        <w:t xml:space="preserve"> you attribute the Australian Human Rights Commission and abide by the other licence terms.</w:t>
      </w:r>
    </w:p>
    <w:p w14:paraId="4347BB96" w14:textId="7B4B478E" w:rsidR="001E063A" w:rsidRPr="000B74A3" w:rsidRDefault="001E063A" w:rsidP="001E063A">
      <w:pPr>
        <w:pStyle w:val="CopyrightText"/>
        <w:rPr>
          <w:rtl/>
          <w:lang w:bidi="ar-YE"/>
        </w:rPr>
      </w:pPr>
      <w:r w:rsidRPr="006B7046">
        <w:rPr>
          <w:rStyle w:val="Enfasigrassetto"/>
        </w:rPr>
        <w:t xml:space="preserve">Please give attribution </w:t>
      </w:r>
      <w:proofErr w:type="gramStart"/>
      <w:r w:rsidRPr="006B7046">
        <w:rPr>
          <w:rStyle w:val="Enfasigrassetto"/>
        </w:rPr>
        <w:t>to:</w:t>
      </w:r>
      <w:r w:rsidRPr="000B74A3">
        <w:rPr>
          <w:rFonts w:cs="Times New Roman"/>
          <w:rtl/>
          <w:lang w:bidi="ar-YE"/>
        </w:rPr>
        <w:t>©</w:t>
      </w:r>
      <w:proofErr w:type="gramEnd"/>
      <w:r w:rsidRPr="000B74A3">
        <w:rPr>
          <w:rFonts w:cs="Times New Roman"/>
          <w:rtl/>
          <w:lang w:bidi="ar-YE"/>
        </w:rPr>
        <w:t xml:space="preserve"> </w:t>
      </w:r>
      <w:r w:rsidR="00FE1231">
        <w:rPr>
          <w:rFonts w:cs="Times New Roman" w:hint="cs"/>
          <w:rtl/>
          <w:lang w:bidi="ar-YE"/>
        </w:rPr>
        <w:t xml:space="preserve"> </w:t>
      </w:r>
      <w:r w:rsidRPr="000B74A3">
        <w:rPr>
          <w:lang w:bidi="ar-YE"/>
        </w:rPr>
        <w:t>Australian Human Rights Commission 2022</w:t>
      </w:r>
      <w:r w:rsidRPr="000B74A3">
        <w:rPr>
          <w:rFonts w:cs="Times New Roman"/>
          <w:rtl/>
          <w:lang w:bidi="ar-YE"/>
        </w:rPr>
        <w:t>.</w:t>
      </w:r>
    </w:p>
    <w:p w14:paraId="31F43E63" w14:textId="331A148B" w:rsidR="001E063A" w:rsidRPr="000B74A3" w:rsidRDefault="00FB697F" w:rsidP="001E063A">
      <w:pPr>
        <w:pStyle w:val="CopyrightText"/>
        <w:rPr>
          <w:rStyle w:val="Enfasigrassetto"/>
        </w:rPr>
      </w:pPr>
      <w:r>
        <w:rPr>
          <w:rStyle w:val="Enfasigrassetto"/>
        </w:rPr>
        <w:t>G</w:t>
      </w:r>
      <w:r w:rsidR="001E063A" w:rsidRPr="000B74A3">
        <w:rPr>
          <w:rStyle w:val="Enfasigrassetto"/>
        </w:rPr>
        <w:t>uideline</w:t>
      </w:r>
      <w:r>
        <w:rPr>
          <w:rStyle w:val="Enfasigrassetto"/>
        </w:rPr>
        <w:t>s</w:t>
      </w:r>
      <w:r w:rsidR="001E063A" w:rsidRPr="000B74A3">
        <w:rPr>
          <w:rStyle w:val="Enfasigrassetto"/>
        </w:rPr>
        <w:t xml:space="preserve"> for</w:t>
      </w:r>
      <w:r>
        <w:rPr>
          <w:rStyle w:val="Enfasigrassetto"/>
        </w:rPr>
        <w:t xml:space="preserve"> the targeted recruitment of</w:t>
      </w:r>
      <w:r w:rsidR="001E063A" w:rsidRPr="000B74A3">
        <w:rPr>
          <w:rStyle w:val="Enfasigrassetto"/>
        </w:rPr>
        <w:t xml:space="preserve"> people with disability • 2022</w:t>
      </w:r>
    </w:p>
    <w:p w14:paraId="020A2E17" w14:textId="77777777" w:rsidR="001E063A" w:rsidRPr="000B74A3" w:rsidRDefault="001E063A" w:rsidP="001E063A">
      <w:pPr>
        <w:pStyle w:val="CopyrightText"/>
      </w:pPr>
      <w:r w:rsidRPr="000B74A3">
        <w:t>ISBN 978-1-925917-70-3</w:t>
      </w:r>
    </w:p>
    <w:p w14:paraId="5B96DED4" w14:textId="77777777" w:rsidR="001E063A" w:rsidRPr="000B74A3" w:rsidRDefault="001E063A" w:rsidP="001E063A">
      <w:pPr>
        <w:pStyle w:val="CopyrightText"/>
        <w:rPr>
          <w:rStyle w:val="Enfasigrassetto"/>
        </w:rPr>
      </w:pPr>
      <w:r w:rsidRPr="000B74A3">
        <w:rPr>
          <w:rStyle w:val="Enfasigrassetto"/>
        </w:rPr>
        <w:t>Acknowledgements</w:t>
      </w:r>
    </w:p>
    <w:p w14:paraId="45EF46E1" w14:textId="77777777" w:rsidR="001E063A" w:rsidRPr="000B74A3" w:rsidRDefault="001E063A" w:rsidP="001E063A">
      <w:pPr>
        <w:pStyle w:val="CopyrightText"/>
      </w:pPr>
      <w:r w:rsidRPr="000B74A3">
        <w:t>The Australian Human Rights Commission would like to thank the following individuals and organisations:</w:t>
      </w:r>
    </w:p>
    <w:p w14:paraId="077F0ABF" w14:textId="25C58F4E" w:rsidR="001E063A" w:rsidRPr="00811084" w:rsidRDefault="001E063A" w:rsidP="00811084">
      <w:pPr>
        <w:pStyle w:val="CopyrightTextIndent"/>
      </w:pPr>
      <w:r w:rsidRPr="00811084">
        <w:t>IncludeAbility Employer Network Members: Herbert Smith Freehills, NSW Public Service Commission, Australian Public Service Commission, ABC</w:t>
      </w:r>
      <w:r w:rsidR="00FB697F" w:rsidRPr="00811084">
        <w:t xml:space="preserve"> and</w:t>
      </w:r>
      <w:r w:rsidRPr="00811084">
        <w:t xml:space="preserve"> PwC</w:t>
      </w:r>
    </w:p>
    <w:p w14:paraId="2FCBEF2B" w14:textId="77777777" w:rsidR="001E063A" w:rsidRPr="00811084" w:rsidRDefault="001E063A" w:rsidP="00811084">
      <w:pPr>
        <w:pStyle w:val="CopyrightTextIndent"/>
      </w:pPr>
      <w:r w:rsidRPr="00811084">
        <w:t>IncludeAbility Ambassador: Sam Drummond</w:t>
      </w:r>
    </w:p>
    <w:p w14:paraId="3DA31DC9" w14:textId="77777777" w:rsidR="001E063A" w:rsidRPr="00622F9C" w:rsidRDefault="001E063A" w:rsidP="001E063A">
      <w:pPr>
        <w:pStyle w:val="CopyrightText"/>
        <w:rPr>
          <w:szCs w:val="20"/>
        </w:rPr>
      </w:pPr>
      <w:r w:rsidRPr="003E1F90">
        <w:t xml:space="preserve">This publication can be found in electronic format on the Australian Human Rights Commission’s website at </w:t>
      </w:r>
      <w:hyperlink r:id="rId17" w:history="1">
        <w:r w:rsidRPr="00622F9C">
          <w:rPr>
            <w:rStyle w:val="Collegamentoipertestuale"/>
            <w:szCs w:val="20"/>
          </w:rPr>
          <w:t>https://www.humanrights.gov.au/our-work/publications</w:t>
        </w:r>
      </w:hyperlink>
      <w:r w:rsidRPr="00622F9C">
        <w:rPr>
          <w:szCs w:val="20"/>
        </w:rPr>
        <w:t>.</w:t>
      </w:r>
    </w:p>
    <w:p w14:paraId="35BA87B4" w14:textId="77777777" w:rsidR="001E063A" w:rsidRPr="003E1F90" w:rsidRDefault="001E063A" w:rsidP="001E063A">
      <w:pPr>
        <w:pStyle w:val="CopyrightText"/>
      </w:pPr>
      <w:r w:rsidRPr="003E1F90">
        <w:t>For further information about the Australian Human Rights Commission or copyright in this publication, please contact:</w:t>
      </w:r>
    </w:p>
    <w:p w14:paraId="4FF4DC81" w14:textId="77777777" w:rsidR="001E063A" w:rsidRPr="00931CEC" w:rsidRDefault="001E063A" w:rsidP="00931CEC">
      <w:pPr>
        <w:pStyle w:val="CopyrightAddress"/>
      </w:pPr>
      <w:r w:rsidRPr="00931CEC">
        <w:t>Australian Human Rights Commission</w:t>
      </w:r>
    </w:p>
    <w:p w14:paraId="7FBC3214" w14:textId="77777777" w:rsidR="001E063A" w:rsidRPr="00931CEC" w:rsidRDefault="001E063A" w:rsidP="00931CEC">
      <w:pPr>
        <w:pStyle w:val="CopyrightAddress"/>
      </w:pPr>
      <w:r w:rsidRPr="00931CEC">
        <w:t>GPO Box 5218</w:t>
      </w:r>
    </w:p>
    <w:p w14:paraId="71DA14B6" w14:textId="77777777" w:rsidR="001E063A" w:rsidRPr="00931CEC" w:rsidRDefault="001E063A" w:rsidP="00931CEC">
      <w:pPr>
        <w:pStyle w:val="CopyrightAddress"/>
      </w:pPr>
      <w:r w:rsidRPr="00931CEC">
        <w:t>SYDNEY NSW 2001</w:t>
      </w:r>
    </w:p>
    <w:p w14:paraId="5659763D" w14:textId="77777777" w:rsidR="001E063A" w:rsidRPr="00931CEC" w:rsidRDefault="001E063A" w:rsidP="00931CEC">
      <w:pPr>
        <w:pStyle w:val="CopyrightAddress"/>
      </w:pPr>
      <w:r w:rsidRPr="00931CEC">
        <w:t>Telephone: (02) 9284 9600</w:t>
      </w:r>
    </w:p>
    <w:p w14:paraId="4119E032" w14:textId="77777777" w:rsidR="001E063A" w:rsidRPr="006B7046" w:rsidRDefault="001E063A" w:rsidP="00931CEC">
      <w:pPr>
        <w:pStyle w:val="CopyrightAddress"/>
      </w:pPr>
      <w:r w:rsidRPr="003E1F90">
        <w:t xml:space="preserve">Email: </w:t>
      </w:r>
      <w:hyperlink r:id="rId18" w:history="1">
        <w:r w:rsidRPr="00622F9C">
          <w:rPr>
            <w:rStyle w:val="Collegamentoipertestuale"/>
          </w:rPr>
          <w:t>communications@humanrights.gov.au</w:t>
        </w:r>
      </w:hyperlink>
    </w:p>
    <w:p w14:paraId="18BAB66F" w14:textId="4954E26E" w:rsidR="001E063A" w:rsidRPr="003E1F90" w:rsidRDefault="001E063A" w:rsidP="001E063A">
      <w:pPr>
        <w:pStyle w:val="CopyrightText"/>
      </w:pPr>
      <w:r w:rsidRPr="006B7046">
        <w:rPr>
          <w:rStyle w:val="Enfasigrassetto"/>
        </w:rPr>
        <w:t>Design and layout</w:t>
      </w:r>
      <w:r w:rsidRPr="003E1F90">
        <w:t xml:space="preserve"> </w:t>
      </w:r>
      <w:r w:rsidRPr="00931CEC">
        <w:t>Herbert Smith Freehills</w:t>
      </w:r>
      <w:r w:rsidR="00931CEC">
        <w:t xml:space="preserve"> and </w:t>
      </w:r>
      <w:r w:rsidR="00931CEC" w:rsidRPr="00931CEC">
        <w:rPr>
          <w:rStyle w:val="Enfasigrassetto"/>
        </w:rPr>
        <w:t>dancingirl</w:t>
      </w:r>
      <w:r w:rsidR="00931CEC">
        <w:t>d</w:t>
      </w:r>
      <w:r w:rsidR="00931CEC" w:rsidRPr="00931CEC">
        <w:t>esigns</w:t>
      </w:r>
    </w:p>
    <w:p w14:paraId="4DF572C0" w14:textId="54CF6303" w:rsidR="001E063A" w:rsidRPr="003E1F90" w:rsidRDefault="001E063A" w:rsidP="001E063A">
      <w:pPr>
        <w:pStyle w:val="CopyrightText"/>
      </w:pPr>
      <w:r w:rsidRPr="006B7046">
        <w:rPr>
          <w:rStyle w:val="Enfasigrassetto"/>
        </w:rPr>
        <w:t>Photography</w:t>
      </w:r>
      <w:r w:rsidRPr="003E1F90">
        <w:t xml:space="preserve"> </w:t>
      </w:r>
      <w:r w:rsidR="009C2974">
        <w:t>iStock, Design Pics Inc.</w:t>
      </w:r>
    </w:p>
    <w:p w14:paraId="5C4012F4" w14:textId="73373C25" w:rsidR="001E063A" w:rsidRDefault="001E063A" w:rsidP="001E063A">
      <w:pPr>
        <w:pStyle w:val="CopyrightText"/>
      </w:pPr>
      <w:r w:rsidRPr="006B7046">
        <w:rPr>
          <w:rStyle w:val="Enfasigrassetto"/>
        </w:rPr>
        <w:t>Cover</w:t>
      </w:r>
      <w:r w:rsidRPr="003E1F90">
        <w:t xml:space="preserve"> </w:t>
      </w:r>
      <w:r w:rsidR="00931CEC">
        <w:t>Getty Images</w:t>
      </w:r>
    </w:p>
    <w:p w14:paraId="55DA6132" w14:textId="28712B0A" w:rsidR="001F5450" w:rsidRDefault="001F5450">
      <w:pPr>
        <w:keepLines w:val="0"/>
        <w:spacing w:after="160" w:line="259" w:lineRule="auto"/>
      </w:pPr>
      <w:r>
        <w:br w:type="page"/>
      </w:r>
    </w:p>
    <w:p w14:paraId="78C4CB53" w14:textId="77AF1B70" w:rsidR="001E063A" w:rsidRPr="006B7046" w:rsidRDefault="001E063A" w:rsidP="006B7046"/>
    <w:p w14:paraId="13BC9652" w14:textId="77777777" w:rsidR="00A671C0" w:rsidRPr="006B7046" w:rsidRDefault="00A671C0" w:rsidP="006B7046"/>
    <w:p w14:paraId="49102230" w14:textId="6E3452E7" w:rsidR="001E063A" w:rsidRDefault="001E063A" w:rsidP="001E063A">
      <w:pPr>
        <w:pStyle w:val="Titolo"/>
      </w:pPr>
      <w:r>
        <w:t xml:space="preserve">Guidelines </w:t>
      </w:r>
      <w:r w:rsidR="00FB697F">
        <w:t>for the t</w:t>
      </w:r>
      <w:r>
        <w:t>argeted recruitment</w:t>
      </w:r>
      <w:r w:rsidR="00FB697F">
        <w:t xml:space="preserve"> </w:t>
      </w:r>
      <w:r>
        <w:t>of people with</w:t>
      </w:r>
      <w:r w:rsidR="00FB697F">
        <w:t xml:space="preserve"> </w:t>
      </w:r>
      <w:r>
        <w:t>disability</w:t>
      </w:r>
    </w:p>
    <w:p w14:paraId="0AFC6881" w14:textId="77777777" w:rsidR="001E063A" w:rsidRDefault="001E063A" w:rsidP="001E063A"/>
    <w:p w14:paraId="1041C0E8" w14:textId="77777777" w:rsidR="001E063A" w:rsidRPr="00833FE3" w:rsidRDefault="001E063A" w:rsidP="001E063A">
      <w:pPr>
        <w:pStyle w:val="Sottotitolo"/>
      </w:pPr>
      <w:r w:rsidRPr="00833FE3">
        <w:t>November 2022</w:t>
      </w:r>
    </w:p>
    <w:p w14:paraId="459245EB" w14:textId="77777777" w:rsidR="001E063A" w:rsidRDefault="001E063A" w:rsidP="001E063A"/>
    <w:p w14:paraId="69D518B6" w14:textId="77777777" w:rsidR="001E063A" w:rsidRDefault="001E063A" w:rsidP="001E063A"/>
    <w:p w14:paraId="2F21E2D2" w14:textId="77777777" w:rsidR="001E063A" w:rsidRPr="00E164C7" w:rsidRDefault="001E063A" w:rsidP="001E063A"/>
    <w:p w14:paraId="420770EC" w14:textId="77777777" w:rsidR="001E063A" w:rsidRPr="00833FE3" w:rsidRDefault="001E063A" w:rsidP="001E063A">
      <w:pPr>
        <w:pStyle w:val="Sottotitolo"/>
      </w:pPr>
      <w:r w:rsidRPr="00833FE3">
        <w:t>Australian Human Rights Commission</w:t>
      </w:r>
    </w:p>
    <w:p w14:paraId="3283F762" w14:textId="77777777" w:rsidR="001E063A" w:rsidRDefault="001E063A" w:rsidP="001E063A"/>
    <w:p w14:paraId="0BB648CA" w14:textId="77777777" w:rsidR="001E063A" w:rsidRDefault="001E063A" w:rsidP="001E063A"/>
    <w:p w14:paraId="6B132D38" w14:textId="77777777" w:rsidR="001E063A" w:rsidRDefault="001E063A" w:rsidP="001E063A"/>
    <w:p w14:paraId="59BAB441" w14:textId="77777777" w:rsidR="001E063A" w:rsidRDefault="001E063A" w:rsidP="001E063A"/>
    <w:p w14:paraId="6AA205A4" w14:textId="77777777" w:rsidR="001E063A" w:rsidRDefault="001E063A" w:rsidP="001E063A"/>
    <w:p w14:paraId="64BF5139" w14:textId="77777777" w:rsidR="001E063A" w:rsidRDefault="001E063A" w:rsidP="001E063A"/>
    <w:p w14:paraId="1A9BE016" w14:textId="77777777" w:rsidR="001E063A" w:rsidRPr="00E164C7" w:rsidRDefault="001E063A" w:rsidP="001E063A">
      <w:pPr>
        <w:jc w:val="center"/>
      </w:pPr>
      <w:r>
        <w:rPr>
          <w:noProof/>
        </w:rPr>
        <w:drawing>
          <wp:inline distT="0" distB="0" distL="0" distR="0" wp14:anchorId="68F06071" wp14:editId="6DF52213">
            <wp:extent cx="1731696" cy="588376"/>
            <wp:effectExtent l="0" t="0" r="0" b="0"/>
            <wp:docPr id="13" name="Immagine 13" descr="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Australian Human Rights Commission logo"/>
                    <pic:cNvPicPr/>
                  </pic:nvPicPr>
                  <pic:blipFill>
                    <a:blip r:embed="rId19" cstate="screen">
                      <a:extLst>
                        <a:ext uri="{28A0092B-C50C-407E-A947-70E740481C1C}">
                          <a14:useLocalDpi xmlns:a14="http://schemas.microsoft.com/office/drawing/2010/main"/>
                        </a:ext>
                      </a:extLst>
                    </a:blip>
                    <a:stretch>
                      <a:fillRect/>
                    </a:stretch>
                  </pic:blipFill>
                  <pic:spPr>
                    <a:xfrm>
                      <a:off x="0" y="0"/>
                      <a:ext cx="1837604" cy="624360"/>
                    </a:xfrm>
                    <a:prstGeom prst="rect">
                      <a:avLst/>
                    </a:prstGeom>
                  </pic:spPr>
                </pic:pic>
              </a:graphicData>
            </a:graphic>
          </wp:inline>
        </w:drawing>
      </w:r>
    </w:p>
    <w:p w14:paraId="2124075D" w14:textId="4ADBAB44" w:rsidR="001E063A" w:rsidRPr="006B7046" w:rsidRDefault="001E063A" w:rsidP="006B7046">
      <w:r w:rsidRPr="006B7046">
        <w:br w:type="page"/>
      </w:r>
    </w:p>
    <w:p w14:paraId="7E3B43C3" w14:textId="5E8A55C6" w:rsidR="001E063A" w:rsidRPr="00BF05F7" w:rsidRDefault="001E063A" w:rsidP="003A7923">
      <w:pPr>
        <w:pStyle w:val="Titolosommario"/>
      </w:pPr>
      <w:r w:rsidRPr="00E96AD1">
        <w:rPr>
          <w:bCs w:val="0"/>
        </w:rPr>
        <w:t>Contents</w:t>
      </w:r>
    </w:p>
    <w:p w14:paraId="09B337EA" w14:textId="0C97E684" w:rsidR="003A5191" w:rsidRDefault="00220A01" w:rsidP="00BF05F7">
      <w:pPr>
        <w:pStyle w:val="Sommario4"/>
        <w:rPr>
          <w:rFonts w:asciiTheme="minorHAnsi" w:eastAsiaTheme="minorEastAsia" w:hAnsiTheme="minorHAnsi" w:cstheme="minorBidi"/>
          <w:sz w:val="24"/>
          <w:szCs w:val="24"/>
          <w:lang w:val="it-IT" w:eastAsia="it-IT"/>
        </w:rPr>
      </w:pPr>
      <w:r>
        <w:rPr>
          <w:rFonts w:eastAsiaTheme="minorEastAsia"/>
          <w:sz w:val="22"/>
          <w:szCs w:val="22"/>
        </w:rPr>
        <w:fldChar w:fldCharType="begin"/>
      </w:r>
      <w:r>
        <w:rPr>
          <w:rFonts w:eastAsiaTheme="minorEastAsia"/>
          <w:sz w:val="22"/>
          <w:szCs w:val="22"/>
        </w:rPr>
        <w:instrText xml:space="preserve"> TOC \o "1-3" \h \z \t "Titolo 5;4;Titolo 6;2" </w:instrText>
      </w:r>
      <w:r>
        <w:rPr>
          <w:rFonts w:eastAsiaTheme="minorEastAsia"/>
          <w:sz w:val="22"/>
          <w:szCs w:val="22"/>
        </w:rPr>
        <w:fldChar w:fldCharType="separate"/>
      </w:r>
      <w:hyperlink w:anchor="_Toc118316265" w:history="1">
        <w:r w:rsidR="003A5191" w:rsidRPr="00D97E94">
          <w:rPr>
            <w:rStyle w:val="Collegamentoipertestuale"/>
          </w:rPr>
          <w:t>Foreword</w:t>
        </w:r>
        <w:r w:rsidR="003A5191">
          <w:rPr>
            <w:webHidden/>
          </w:rPr>
          <w:tab/>
        </w:r>
        <w:r w:rsidR="003A5191">
          <w:rPr>
            <w:webHidden/>
          </w:rPr>
          <w:fldChar w:fldCharType="begin"/>
        </w:r>
        <w:r w:rsidR="003A5191">
          <w:rPr>
            <w:webHidden/>
          </w:rPr>
          <w:instrText xml:space="preserve"> PAGEREF _Toc118316265 \h </w:instrText>
        </w:r>
        <w:r w:rsidR="003A5191">
          <w:rPr>
            <w:webHidden/>
          </w:rPr>
        </w:r>
        <w:r w:rsidR="003A5191">
          <w:rPr>
            <w:webHidden/>
          </w:rPr>
          <w:fldChar w:fldCharType="separate"/>
        </w:r>
        <w:r w:rsidR="003A378B">
          <w:rPr>
            <w:webHidden/>
          </w:rPr>
          <w:t>6</w:t>
        </w:r>
        <w:r w:rsidR="003A5191">
          <w:rPr>
            <w:webHidden/>
          </w:rPr>
          <w:fldChar w:fldCharType="end"/>
        </w:r>
      </w:hyperlink>
    </w:p>
    <w:p w14:paraId="3B74BF69" w14:textId="672F0CF5" w:rsidR="003A5191" w:rsidRDefault="003D2388" w:rsidP="00BF05F7">
      <w:pPr>
        <w:pStyle w:val="Sommario4"/>
        <w:rPr>
          <w:rFonts w:asciiTheme="minorHAnsi" w:eastAsiaTheme="minorEastAsia" w:hAnsiTheme="minorHAnsi" w:cstheme="minorBidi"/>
          <w:sz w:val="24"/>
          <w:szCs w:val="24"/>
          <w:lang w:val="it-IT" w:eastAsia="it-IT"/>
        </w:rPr>
      </w:pPr>
      <w:hyperlink w:anchor="_Toc118316266" w:history="1">
        <w:r w:rsidR="003A5191" w:rsidRPr="00D97E94">
          <w:rPr>
            <w:rStyle w:val="Collegamentoipertestuale"/>
          </w:rPr>
          <w:t>Executive summary</w:t>
        </w:r>
        <w:r w:rsidR="003A5191">
          <w:rPr>
            <w:webHidden/>
          </w:rPr>
          <w:tab/>
        </w:r>
        <w:r w:rsidR="003A5191">
          <w:rPr>
            <w:webHidden/>
          </w:rPr>
          <w:fldChar w:fldCharType="begin"/>
        </w:r>
        <w:r w:rsidR="003A5191">
          <w:rPr>
            <w:webHidden/>
          </w:rPr>
          <w:instrText xml:space="preserve"> PAGEREF _Toc118316266 \h </w:instrText>
        </w:r>
        <w:r w:rsidR="003A5191">
          <w:rPr>
            <w:webHidden/>
          </w:rPr>
        </w:r>
        <w:r w:rsidR="003A5191">
          <w:rPr>
            <w:webHidden/>
          </w:rPr>
          <w:fldChar w:fldCharType="separate"/>
        </w:r>
        <w:r w:rsidR="003A378B">
          <w:rPr>
            <w:webHidden/>
          </w:rPr>
          <w:t>8</w:t>
        </w:r>
        <w:r w:rsidR="003A5191">
          <w:rPr>
            <w:webHidden/>
          </w:rPr>
          <w:fldChar w:fldCharType="end"/>
        </w:r>
      </w:hyperlink>
    </w:p>
    <w:p w14:paraId="08DFE9DA" w14:textId="0A1EF6A9" w:rsidR="003A5191" w:rsidRDefault="003D2388">
      <w:pPr>
        <w:pStyle w:val="Sommario2"/>
        <w:rPr>
          <w:rFonts w:asciiTheme="minorHAnsi" w:eastAsiaTheme="minorEastAsia" w:hAnsiTheme="minorHAnsi" w:cstheme="minorBidi"/>
          <w:bCs w:val="0"/>
          <w:sz w:val="24"/>
          <w:szCs w:val="24"/>
          <w:lang w:val="it-IT" w:eastAsia="it-IT"/>
        </w:rPr>
      </w:pPr>
      <w:hyperlink w:anchor="_Toc118316267" w:history="1">
        <w:r w:rsidR="003A5191" w:rsidRPr="00D97E94">
          <w:rPr>
            <w:rStyle w:val="Collegamentoipertestuale"/>
          </w:rPr>
          <w:t>What is a targeted recruitment strategy?</w:t>
        </w:r>
        <w:r w:rsidR="003A5191">
          <w:rPr>
            <w:webHidden/>
          </w:rPr>
          <w:tab/>
        </w:r>
        <w:r w:rsidR="003A5191">
          <w:rPr>
            <w:webHidden/>
          </w:rPr>
          <w:fldChar w:fldCharType="begin"/>
        </w:r>
        <w:r w:rsidR="003A5191">
          <w:rPr>
            <w:webHidden/>
          </w:rPr>
          <w:instrText xml:space="preserve"> PAGEREF _Toc118316267 \h </w:instrText>
        </w:r>
        <w:r w:rsidR="003A5191">
          <w:rPr>
            <w:webHidden/>
          </w:rPr>
        </w:r>
        <w:r w:rsidR="003A5191">
          <w:rPr>
            <w:webHidden/>
          </w:rPr>
          <w:fldChar w:fldCharType="separate"/>
        </w:r>
        <w:r w:rsidR="003A378B">
          <w:rPr>
            <w:webHidden/>
          </w:rPr>
          <w:t>10</w:t>
        </w:r>
        <w:r w:rsidR="003A5191">
          <w:rPr>
            <w:webHidden/>
          </w:rPr>
          <w:fldChar w:fldCharType="end"/>
        </w:r>
      </w:hyperlink>
    </w:p>
    <w:p w14:paraId="111B0759" w14:textId="02D8E0C1" w:rsidR="003A5191" w:rsidRDefault="003D2388">
      <w:pPr>
        <w:pStyle w:val="Sommario2"/>
        <w:rPr>
          <w:rFonts w:asciiTheme="minorHAnsi" w:eastAsiaTheme="minorEastAsia" w:hAnsiTheme="minorHAnsi" w:cstheme="minorBidi"/>
          <w:bCs w:val="0"/>
          <w:sz w:val="24"/>
          <w:szCs w:val="24"/>
          <w:lang w:val="it-IT" w:eastAsia="it-IT"/>
        </w:rPr>
      </w:pPr>
      <w:hyperlink w:anchor="_Toc118316268" w:history="1">
        <w:r w:rsidR="003A5191" w:rsidRPr="00D97E94">
          <w:rPr>
            <w:rStyle w:val="Collegamentoipertestuale"/>
          </w:rPr>
          <w:t>What is a special measure?</w:t>
        </w:r>
        <w:r w:rsidR="003A5191">
          <w:rPr>
            <w:webHidden/>
          </w:rPr>
          <w:tab/>
        </w:r>
        <w:r w:rsidR="003A5191">
          <w:rPr>
            <w:webHidden/>
          </w:rPr>
          <w:fldChar w:fldCharType="begin"/>
        </w:r>
        <w:r w:rsidR="003A5191">
          <w:rPr>
            <w:webHidden/>
          </w:rPr>
          <w:instrText xml:space="preserve"> PAGEREF _Toc118316268 \h </w:instrText>
        </w:r>
        <w:r w:rsidR="003A5191">
          <w:rPr>
            <w:webHidden/>
          </w:rPr>
        </w:r>
        <w:r w:rsidR="003A5191">
          <w:rPr>
            <w:webHidden/>
          </w:rPr>
          <w:fldChar w:fldCharType="separate"/>
        </w:r>
        <w:r w:rsidR="003A378B">
          <w:rPr>
            <w:webHidden/>
          </w:rPr>
          <w:t>10</w:t>
        </w:r>
        <w:r w:rsidR="003A5191">
          <w:rPr>
            <w:webHidden/>
          </w:rPr>
          <w:fldChar w:fldCharType="end"/>
        </w:r>
      </w:hyperlink>
    </w:p>
    <w:p w14:paraId="54F588D1" w14:textId="3FB5345F" w:rsidR="003A5191" w:rsidRDefault="003D2388">
      <w:pPr>
        <w:pStyle w:val="Sommario2"/>
        <w:rPr>
          <w:rFonts w:asciiTheme="minorHAnsi" w:eastAsiaTheme="minorEastAsia" w:hAnsiTheme="minorHAnsi" w:cstheme="minorBidi"/>
          <w:bCs w:val="0"/>
          <w:sz w:val="24"/>
          <w:szCs w:val="24"/>
          <w:lang w:val="it-IT" w:eastAsia="it-IT"/>
        </w:rPr>
      </w:pPr>
      <w:hyperlink w:anchor="_Toc118316269" w:history="1">
        <w:r w:rsidR="003A5191" w:rsidRPr="00D97E94">
          <w:rPr>
            <w:rStyle w:val="Collegamentoipertestuale"/>
          </w:rPr>
          <w:t>Purpose of the Guidelines</w:t>
        </w:r>
        <w:r w:rsidR="003A5191">
          <w:rPr>
            <w:webHidden/>
          </w:rPr>
          <w:tab/>
        </w:r>
        <w:r w:rsidR="003A5191">
          <w:rPr>
            <w:webHidden/>
          </w:rPr>
          <w:fldChar w:fldCharType="begin"/>
        </w:r>
        <w:r w:rsidR="003A5191">
          <w:rPr>
            <w:webHidden/>
          </w:rPr>
          <w:instrText xml:space="preserve"> PAGEREF _Toc118316269 \h </w:instrText>
        </w:r>
        <w:r w:rsidR="003A5191">
          <w:rPr>
            <w:webHidden/>
          </w:rPr>
        </w:r>
        <w:r w:rsidR="003A5191">
          <w:rPr>
            <w:webHidden/>
          </w:rPr>
          <w:fldChar w:fldCharType="separate"/>
        </w:r>
        <w:r w:rsidR="003A378B">
          <w:rPr>
            <w:webHidden/>
          </w:rPr>
          <w:t>10</w:t>
        </w:r>
        <w:r w:rsidR="003A5191">
          <w:rPr>
            <w:webHidden/>
          </w:rPr>
          <w:fldChar w:fldCharType="end"/>
        </w:r>
      </w:hyperlink>
    </w:p>
    <w:p w14:paraId="6A8EAF90" w14:textId="7679BD25" w:rsidR="003A5191" w:rsidRDefault="003D2388">
      <w:pPr>
        <w:pStyle w:val="Sommario2"/>
        <w:rPr>
          <w:rFonts w:asciiTheme="minorHAnsi" w:eastAsiaTheme="minorEastAsia" w:hAnsiTheme="minorHAnsi" w:cstheme="minorBidi"/>
          <w:bCs w:val="0"/>
          <w:sz w:val="24"/>
          <w:szCs w:val="24"/>
          <w:lang w:val="it-IT" w:eastAsia="it-IT"/>
        </w:rPr>
      </w:pPr>
      <w:hyperlink w:anchor="_Toc118316270" w:history="1">
        <w:r w:rsidR="003A5191" w:rsidRPr="00D97E94">
          <w:rPr>
            <w:rStyle w:val="Collegamentoipertestuale"/>
          </w:rPr>
          <w:t>Genuine occupational requirements</w:t>
        </w:r>
        <w:r w:rsidR="003A5191">
          <w:rPr>
            <w:webHidden/>
          </w:rPr>
          <w:tab/>
        </w:r>
        <w:r w:rsidR="003A5191">
          <w:rPr>
            <w:webHidden/>
          </w:rPr>
          <w:fldChar w:fldCharType="begin"/>
        </w:r>
        <w:r w:rsidR="003A5191">
          <w:rPr>
            <w:webHidden/>
          </w:rPr>
          <w:instrText xml:space="preserve"> PAGEREF _Toc118316270 \h </w:instrText>
        </w:r>
        <w:r w:rsidR="003A5191">
          <w:rPr>
            <w:webHidden/>
          </w:rPr>
        </w:r>
        <w:r w:rsidR="003A5191">
          <w:rPr>
            <w:webHidden/>
          </w:rPr>
          <w:fldChar w:fldCharType="separate"/>
        </w:r>
        <w:r w:rsidR="003A378B">
          <w:rPr>
            <w:webHidden/>
          </w:rPr>
          <w:t>11</w:t>
        </w:r>
        <w:r w:rsidR="003A5191">
          <w:rPr>
            <w:webHidden/>
          </w:rPr>
          <w:fldChar w:fldCharType="end"/>
        </w:r>
      </w:hyperlink>
    </w:p>
    <w:p w14:paraId="7EF207E4" w14:textId="3D7F67FE" w:rsidR="003A5191" w:rsidRDefault="003D2388">
      <w:pPr>
        <w:pStyle w:val="Sommario1"/>
        <w:rPr>
          <w:rFonts w:asciiTheme="minorHAnsi" w:eastAsiaTheme="minorEastAsia" w:hAnsiTheme="minorHAnsi" w:cstheme="minorBidi"/>
          <w:b w:val="0"/>
          <w:bCs w:val="0"/>
          <w:sz w:val="24"/>
          <w:szCs w:val="24"/>
          <w:lang w:val="it-IT" w:eastAsia="it-IT"/>
        </w:rPr>
      </w:pPr>
      <w:hyperlink w:anchor="_Toc118316271" w:history="1">
        <w:r w:rsidR="003A5191" w:rsidRPr="00D97E94">
          <w:rPr>
            <w:rStyle w:val="Collegamentoipertestuale"/>
          </w:rPr>
          <w:t>1.</w:t>
        </w:r>
        <w:r w:rsidR="003A5191">
          <w:rPr>
            <w:rFonts w:asciiTheme="minorHAnsi" w:eastAsiaTheme="minorEastAsia" w:hAnsiTheme="minorHAnsi" w:cstheme="minorBidi"/>
            <w:b w:val="0"/>
            <w:bCs w:val="0"/>
            <w:sz w:val="24"/>
            <w:szCs w:val="24"/>
            <w:lang w:val="it-IT" w:eastAsia="it-IT"/>
          </w:rPr>
          <w:tab/>
        </w:r>
        <w:r w:rsidR="003A5191" w:rsidRPr="00D97E94">
          <w:rPr>
            <w:rStyle w:val="Collegamentoipertestuale"/>
          </w:rPr>
          <w:t>About the Guidelines</w:t>
        </w:r>
        <w:r w:rsidR="003A5191">
          <w:rPr>
            <w:webHidden/>
          </w:rPr>
          <w:tab/>
        </w:r>
        <w:r w:rsidR="003A5191">
          <w:rPr>
            <w:webHidden/>
          </w:rPr>
          <w:fldChar w:fldCharType="begin"/>
        </w:r>
        <w:r w:rsidR="003A5191">
          <w:rPr>
            <w:webHidden/>
          </w:rPr>
          <w:instrText xml:space="preserve"> PAGEREF _Toc118316271 \h </w:instrText>
        </w:r>
        <w:r w:rsidR="003A5191">
          <w:rPr>
            <w:webHidden/>
          </w:rPr>
        </w:r>
        <w:r w:rsidR="003A5191">
          <w:rPr>
            <w:webHidden/>
          </w:rPr>
          <w:fldChar w:fldCharType="separate"/>
        </w:r>
        <w:r w:rsidR="003A378B">
          <w:rPr>
            <w:webHidden/>
          </w:rPr>
          <w:t>12</w:t>
        </w:r>
        <w:r w:rsidR="003A5191">
          <w:rPr>
            <w:webHidden/>
          </w:rPr>
          <w:fldChar w:fldCharType="end"/>
        </w:r>
      </w:hyperlink>
    </w:p>
    <w:p w14:paraId="2625BB34" w14:textId="574E15C9" w:rsidR="003A5191" w:rsidRDefault="003D2388">
      <w:pPr>
        <w:pStyle w:val="Sommario2"/>
        <w:rPr>
          <w:rFonts w:asciiTheme="minorHAnsi" w:eastAsiaTheme="minorEastAsia" w:hAnsiTheme="minorHAnsi" w:cstheme="minorBidi"/>
          <w:bCs w:val="0"/>
          <w:sz w:val="24"/>
          <w:szCs w:val="24"/>
          <w:lang w:val="it-IT" w:eastAsia="it-IT"/>
        </w:rPr>
      </w:pPr>
      <w:hyperlink w:anchor="_Toc118316272" w:history="1">
        <w:r w:rsidR="003A5191" w:rsidRPr="00D97E94">
          <w:rPr>
            <w:rStyle w:val="Collegamentoipertestuale"/>
          </w:rPr>
          <w:t>1.1</w:t>
        </w:r>
        <w:r w:rsidR="003A5191">
          <w:rPr>
            <w:rFonts w:asciiTheme="minorHAnsi" w:eastAsiaTheme="minorEastAsia" w:hAnsiTheme="minorHAnsi" w:cstheme="minorBidi"/>
            <w:bCs w:val="0"/>
            <w:sz w:val="24"/>
            <w:szCs w:val="24"/>
            <w:lang w:val="it-IT" w:eastAsia="it-IT"/>
          </w:rPr>
          <w:tab/>
        </w:r>
        <w:r w:rsidR="003A5191" w:rsidRPr="00D97E94">
          <w:rPr>
            <w:rStyle w:val="Collegamentoipertestuale"/>
          </w:rPr>
          <w:t>Nature of the Guidelines</w:t>
        </w:r>
        <w:r w:rsidR="003A5191">
          <w:rPr>
            <w:webHidden/>
          </w:rPr>
          <w:tab/>
        </w:r>
        <w:r w:rsidR="003A5191">
          <w:rPr>
            <w:webHidden/>
          </w:rPr>
          <w:fldChar w:fldCharType="begin"/>
        </w:r>
        <w:r w:rsidR="003A5191">
          <w:rPr>
            <w:webHidden/>
          </w:rPr>
          <w:instrText xml:space="preserve"> PAGEREF _Toc118316272 \h </w:instrText>
        </w:r>
        <w:r w:rsidR="003A5191">
          <w:rPr>
            <w:webHidden/>
          </w:rPr>
        </w:r>
        <w:r w:rsidR="003A5191">
          <w:rPr>
            <w:webHidden/>
          </w:rPr>
          <w:fldChar w:fldCharType="separate"/>
        </w:r>
        <w:r w:rsidR="003A378B">
          <w:rPr>
            <w:webHidden/>
          </w:rPr>
          <w:t>12</w:t>
        </w:r>
        <w:r w:rsidR="003A5191">
          <w:rPr>
            <w:webHidden/>
          </w:rPr>
          <w:fldChar w:fldCharType="end"/>
        </w:r>
      </w:hyperlink>
    </w:p>
    <w:p w14:paraId="108B79A8" w14:textId="55496F83" w:rsidR="003A5191" w:rsidRDefault="003D2388">
      <w:pPr>
        <w:pStyle w:val="Sommario1"/>
        <w:rPr>
          <w:rFonts w:asciiTheme="minorHAnsi" w:eastAsiaTheme="minorEastAsia" w:hAnsiTheme="minorHAnsi" w:cstheme="minorBidi"/>
          <w:b w:val="0"/>
          <w:bCs w:val="0"/>
          <w:sz w:val="24"/>
          <w:szCs w:val="24"/>
          <w:lang w:val="it-IT" w:eastAsia="it-IT"/>
        </w:rPr>
      </w:pPr>
      <w:hyperlink w:anchor="_Toc118316273" w:history="1">
        <w:r w:rsidR="003A5191" w:rsidRPr="00D97E94">
          <w:rPr>
            <w:rStyle w:val="Collegamentoipertestuale"/>
          </w:rPr>
          <w:t>2.</w:t>
        </w:r>
        <w:r w:rsidR="003A5191">
          <w:rPr>
            <w:rFonts w:asciiTheme="minorHAnsi" w:eastAsiaTheme="minorEastAsia" w:hAnsiTheme="minorHAnsi" w:cstheme="minorBidi"/>
            <w:b w:val="0"/>
            <w:bCs w:val="0"/>
            <w:sz w:val="24"/>
            <w:szCs w:val="24"/>
            <w:lang w:val="it-IT" w:eastAsia="it-IT"/>
          </w:rPr>
          <w:tab/>
        </w:r>
        <w:r w:rsidR="003A5191" w:rsidRPr="00D97E94">
          <w:rPr>
            <w:rStyle w:val="Collegamentoipertestuale"/>
          </w:rPr>
          <w:t>Targeted recruitment of people with disability</w:t>
        </w:r>
        <w:r w:rsidR="003A5191">
          <w:rPr>
            <w:webHidden/>
          </w:rPr>
          <w:tab/>
        </w:r>
        <w:r w:rsidR="003A5191">
          <w:rPr>
            <w:webHidden/>
          </w:rPr>
          <w:fldChar w:fldCharType="begin"/>
        </w:r>
        <w:r w:rsidR="003A5191">
          <w:rPr>
            <w:webHidden/>
          </w:rPr>
          <w:instrText xml:space="preserve"> PAGEREF _Toc118316273 \h </w:instrText>
        </w:r>
        <w:r w:rsidR="003A5191">
          <w:rPr>
            <w:webHidden/>
          </w:rPr>
        </w:r>
        <w:r w:rsidR="003A5191">
          <w:rPr>
            <w:webHidden/>
          </w:rPr>
          <w:fldChar w:fldCharType="separate"/>
        </w:r>
        <w:r w:rsidR="003A378B">
          <w:rPr>
            <w:webHidden/>
          </w:rPr>
          <w:t>13</w:t>
        </w:r>
        <w:r w:rsidR="003A5191">
          <w:rPr>
            <w:webHidden/>
          </w:rPr>
          <w:fldChar w:fldCharType="end"/>
        </w:r>
      </w:hyperlink>
    </w:p>
    <w:p w14:paraId="51C6EB9C" w14:textId="44A97BAD" w:rsidR="003A5191" w:rsidRDefault="003D2388">
      <w:pPr>
        <w:pStyle w:val="Sommario2"/>
        <w:rPr>
          <w:rFonts w:asciiTheme="minorHAnsi" w:eastAsiaTheme="minorEastAsia" w:hAnsiTheme="minorHAnsi" w:cstheme="minorBidi"/>
          <w:bCs w:val="0"/>
          <w:sz w:val="24"/>
          <w:szCs w:val="24"/>
          <w:lang w:val="it-IT" w:eastAsia="it-IT"/>
        </w:rPr>
      </w:pPr>
      <w:hyperlink w:anchor="_Toc118316274" w:history="1">
        <w:r w:rsidR="003A5191" w:rsidRPr="00D97E94">
          <w:rPr>
            <w:rStyle w:val="Collegamentoipertestuale"/>
          </w:rPr>
          <w:t>2.1</w:t>
        </w:r>
        <w:r w:rsidR="003A5191">
          <w:rPr>
            <w:rFonts w:asciiTheme="minorHAnsi" w:eastAsiaTheme="minorEastAsia" w:hAnsiTheme="minorHAnsi" w:cstheme="minorBidi"/>
            <w:bCs w:val="0"/>
            <w:sz w:val="24"/>
            <w:szCs w:val="24"/>
            <w:lang w:val="it-IT" w:eastAsia="it-IT"/>
          </w:rPr>
          <w:tab/>
        </w:r>
        <w:r w:rsidR="003A5191" w:rsidRPr="00D97E94">
          <w:rPr>
            <w:rStyle w:val="Collegamentoipertestuale"/>
          </w:rPr>
          <w:t>What is a targeted recruitment strategy?</w:t>
        </w:r>
        <w:r w:rsidR="003A5191">
          <w:rPr>
            <w:webHidden/>
          </w:rPr>
          <w:tab/>
        </w:r>
        <w:r w:rsidR="003A5191">
          <w:rPr>
            <w:webHidden/>
          </w:rPr>
          <w:fldChar w:fldCharType="begin"/>
        </w:r>
        <w:r w:rsidR="003A5191">
          <w:rPr>
            <w:webHidden/>
          </w:rPr>
          <w:instrText xml:space="preserve"> PAGEREF _Toc118316274 \h </w:instrText>
        </w:r>
        <w:r w:rsidR="003A5191">
          <w:rPr>
            <w:webHidden/>
          </w:rPr>
        </w:r>
        <w:r w:rsidR="003A5191">
          <w:rPr>
            <w:webHidden/>
          </w:rPr>
          <w:fldChar w:fldCharType="separate"/>
        </w:r>
        <w:r w:rsidR="003A378B">
          <w:rPr>
            <w:webHidden/>
          </w:rPr>
          <w:t>13</w:t>
        </w:r>
        <w:r w:rsidR="003A5191">
          <w:rPr>
            <w:webHidden/>
          </w:rPr>
          <w:fldChar w:fldCharType="end"/>
        </w:r>
      </w:hyperlink>
    </w:p>
    <w:p w14:paraId="5749A7BF" w14:textId="11210CDF" w:rsidR="003A5191" w:rsidRDefault="003D2388">
      <w:pPr>
        <w:pStyle w:val="Sommario2"/>
        <w:rPr>
          <w:rFonts w:asciiTheme="minorHAnsi" w:eastAsiaTheme="minorEastAsia" w:hAnsiTheme="minorHAnsi" w:cstheme="minorBidi"/>
          <w:bCs w:val="0"/>
          <w:sz w:val="24"/>
          <w:szCs w:val="24"/>
          <w:lang w:val="it-IT" w:eastAsia="it-IT"/>
        </w:rPr>
      </w:pPr>
      <w:hyperlink w:anchor="_Toc118316275" w:history="1">
        <w:r w:rsidR="003A5191" w:rsidRPr="00D97E94">
          <w:rPr>
            <w:rStyle w:val="Collegamentoipertestuale"/>
          </w:rPr>
          <w:t>2.2</w:t>
        </w:r>
        <w:r w:rsidR="003A5191">
          <w:rPr>
            <w:rFonts w:asciiTheme="minorHAnsi" w:eastAsiaTheme="minorEastAsia" w:hAnsiTheme="minorHAnsi" w:cstheme="minorBidi"/>
            <w:bCs w:val="0"/>
            <w:sz w:val="24"/>
            <w:szCs w:val="24"/>
            <w:lang w:val="it-IT" w:eastAsia="it-IT"/>
          </w:rPr>
          <w:tab/>
        </w:r>
        <w:r w:rsidR="003A5191" w:rsidRPr="00D97E94">
          <w:rPr>
            <w:rStyle w:val="Collegamentoipertestuale"/>
          </w:rPr>
          <w:t>Why consider targeted recruitment strategies?</w:t>
        </w:r>
        <w:r w:rsidR="003A5191">
          <w:rPr>
            <w:webHidden/>
          </w:rPr>
          <w:tab/>
        </w:r>
        <w:r w:rsidR="003A5191">
          <w:rPr>
            <w:webHidden/>
          </w:rPr>
          <w:fldChar w:fldCharType="begin"/>
        </w:r>
        <w:r w:rsidR="003A5191">
          <w:rPr>
            <w:webHidden/>
          </w:rPr>
          <w:instrText xml:space="preserve"> PAGEREF _Toc118316275 \h </w:instrText>
        </w:r>
        <w:r w:rsidR="003A5191">
          <w:rPr>
            <w:webHidden/>
          </w:rPr>
        </w:r>
        <w:r w:rsidR="003A5191">
          <w:rPr>
            <w:webHidden/>
          </w:rPr>
          <w:fldChar w:fldCharType="separate"/>
        </w:r>
        <w:r w:rsidR="003A378B">
          <w:rPr>
            <w:webHidden/>
          </w:rPr>
          <w:t>15</w:t>
        </w:r>
        <w:r w:rsidR="003A5191">
          <w:rPr>
            <w:webHidden/>
          </w:rPr>
          <w:fldChar w:fldCharType="end"/>
        </w:r>
      </w:hyperlink>
    </w:p>
    <w:p w14:paraId="3FB52FB1" w14:textId="3A98A126" w:rsidR="003A5191" w:rsidRDefault="003D2388">
      <w:pPr>
        <w:pStyle w:val="Sommario1"/>
        <w:rPr>
          <w:rFonts w:asciiTheme="minorHAnsi" w:eastAsiaTheme="minorEastAsia" w:hAnsiTheme="minorHAnsi" w:cstheme="minorBidi"/>
          <w:b w:val="0"/>
          <w:bCs w:val="0"/>
          <w:sz w:val="24"/>
          <w:szCs w:val="24"/>
          <w:lang w:val="it-IT" w:eastAsia="it-IT"/>
        </w:rPr>
      </w:pPr>
      <w:hyperlink w:anchor="_Toc118316276" w:history="1">
        <w:r w:rsidR="003A5191" w:rsidRPr="00D97E94">
          <w:rPr>
            <w:rStyle w:val="Collegamentoipertestuale"/>
          </w:rPr>
          <w:t>3.</w:t>
        </w:r>
        <w:r w:rsidR="003A5191">
          <w:rPr>
            <w:rFonts w:asciiTheme="minorHAnsi" w:eastAsiaTheme="minorEastAsia" w:hAnsiTheme="minorHAnsi" w:cstheme="minorBidi"/>
            <w:b w:val="0"/>
            <w:bCs w:val="0"/>
            <w:sz w:val="24"/>
            <w:szCs w:val="24"/>
            <w:lang w:val="it-IT" w:eastAsia="it-IT"/>
          </w:rPr>
          <w:tab/>
        </w:r>
        <w:r w:rsidR="003A5191" w:rsidRPr="00D97E94">
          <w:rPr>
            <w:rStyle w:val="Collegamentoipertestuale"/>
          </w:rPr>
          <w:t>What the law says</w:t>
        </w:r>
        <w:r w:rsidR="003A5191">
          <w:rPr>
            <w:webHidden/>
          </w:rPr>
          <w:tab/>
        </w:r>
        <w:r w:rsidR="003A5191">
          <w:rPr>
            <w:webHidden/>
          </w:rPr>
          <w:fldChar w:fldCharType="begin"/>
        </w:r>
        <w:r w:rsidR="003A5191">
          <w:rPr>
            <w:webHidden/>
          </w:rPr>
          <w:instrText xml:space="preserve"> PAGEREF _Toc118316276 \h </w:instrText>
        </w:r>
        <w:r w:rsidR="003A5191">
          <w:rPr>
            <w:webHidden/>
          </w:rPr>
        </w:r>
        <w:r w:rsidR="003A5191">
          <w:rPr>
            <w:webHidden/>
          </w:rPr>
          <w:fldChar w:fldCharType="separate"/>
        </w:r>
        <w:r w:rsidR="003A378B">
          <w:rPr>
            <w:webHidden/>
          </w:rPr>
          <w:t>18</w:t>
        </w:r>
        <w:r w:rsidR="003A5191">
          <w:rPr>
            <w:webHidden/>
          </w:rPr>
          <w:fldChar w:fldCharType="end"/>
        </w:r>
      </w:hyperlink>
    </w:p>
    <w:p w14:paraId="24F362F5" w14:textId="6F74D559" w:rsidR="003A5191" w:rsidRDefault="003D2388">
      <w:pPr>
        <w:pStyle w:val="Sommario2"/>
        <w:rPr>
          <w:rFonts w:asciiTheme="minorHAnsi" w:eastAsiaTheme="minorEastAsia" w:hAnsiTheme="minorHAnsi" w:cstheme="minorBidi"/>
          <w:bCs w:val="0"/>
          <w:sz w:val="24"/>
          <w:szCs w:val="24"/>
          <w:lang w:val="it-IT" w:eastAsia="it-IT"/>
        </w:rPr>
      </w:pPr>
      <w:hyperlink w:anchor="_Toc118316277" w:history="1">
        <w:r w:rsidR="003A5191" w:rsidRPr="00D97E94">
          <w:rPr>
            <w:rStyle w:val="Collegamentoipertestuale"/>
          </w:rPr>
          <w:t>3.1</w:t>
        </w:r>
        <w:r w:rsidR="003A5191">
          <w:rPr>
            <w:rFonts w:asciiTheme="minorHAnsi" w:eastAsiaTheme="minorEastAsia" w:hAnsiTheme="minorHAnsi" w:cstheme="minorBidi"/>
            <w:bCs w:val="0"/>
            <w:sz w:val="24"/>
            <w:szCs w:val="24"/>
            <w:lang w:val="it-IT" w:eastAsia="it-IT"/>
          </w:rPr>
          <w:tab/>
        </w:r>
        <w:r w:rsidR="003A5191" w:rsidRPr="00D97E94">
          <w:rPr>
            <w:rStyle w:val="Collegamentoipertestuale"/>
          </w:rPr>
          <w:t>Overview of anti-discrimination laws</w:t>
        </w:r>
        <w:r w:rsidR="003A5191">
          <w:rPr>
            <w:webHidden/>
          </w:rPr>
          <w:tab/>
        </w:r>
        <w:r w:rsidR="003A5191">
          <w:rPr>
            <w:webHidden/>
          </w:rPr>
          <w:fldChar w:fldCharType="begin"/>
        </w:r>
        <w:r w:rsidR="003A5191">
          <w:rPr>
            <w:webHidden/>
          </w:rPr>
          <w:instrText xml:space="preserve"> PAGEREF _Toc118316277 \h </w:instrText>
        </w:r>
        <w:r w:rsidR="003A5191">
          <w:rPr>
            <w:webHidden/>
          </w:rPr>
        </w:r>
        <w:r w:rsidR="003A5191">
          <w:rPr>
            <w:webHidden/>
          </w:rPr>
          <w:fldChar w:fldCharType="separate"/>
        </w:r>
        <w:r w:rsidR="003A378B">
          <w:rPr>
            <w:webHidden/>
          </w:rPr>
          <w:t>18</w:t>
        </w:r>
        <w:r w:rsidR="003A5191">
          <w:rPr>
            <w:webHidden/>
          </w:rPr>
          <w:fldChar w:fldCharType="end"/>
        </w:r>
      </w:hyperlink>
    </w:p>
    <w:p w14:paraId="282819B0" w14:textId="112B1C09" w:rsidR="003A5191" w:rsidRDefault="003D2388">
      <w:pPr>
        <w:pStyle w:val="Sommario2"/>
        <w:rPr>
          <w:rFonts w:asciiTheme="minorHAnsi" w:eastAsiaTheme="minorEastAsia" w:hAnsiTheme="minorHAnsi" w:cstheme="minorBidi"/>
          <w:bCs w:val="0"/>
          <w:sz w:val="24"/>
          <w:szCs w:val="24"/>
          <w:lang w:val="it-IT" w:eastAsia="it-IT"/>
        </w:rPr>
      </w:pPr>
      <w:hyperlink w:anchor="_Toc118316278" w:history="1">
        <w:r w:rsidR="003A5191" w:rsidRPr="00D97E94">
          <w:rPr>
            <w:rStyle w:val="Collegamentoipertestuale"/>
          </w:rPr>
          <w:t>3.2</w:t>
        </w:r>
        <w:r w:rsidR="003A5191">
          <w:rPr>
            <w:rFonts w:asciiTheme="minorHAnsi" w:eastAsiaTheme="minorEastAsia" w:hAnsiTheme="minorHAnsi" w:cstheme="minorBidi"/>
            <w:bCs w:val="0"/>
            <w:sz w:val="24"/>
            <w:szCs w:val="24"/>
            <w:lang w:val="it-IT" w:eastAsia="it-IT"/>
          </w:rPr>
          <w:tab/>
        </w:r>
        <w:r w:rsidR="003A5191" w:rsidRPr="00D97E94">
          <w:rPr>
            <w:rStyle w:val="Collegamentoipertestuale"/>
          </w:rPr>
          <w:t>Exemptions/exceptions under anti-discrimination legislation</w:t>
        </w:r>
        <w:r w:rsidR="003A5191">
          <w:rPr>
            <w:webHidden/>
          </w:rPr>
          <w:tab/>
        </w:r>
        <w:r w:rsidR="003A5191">
          <w:rPr>
            <w:webHidden/>
          </w:rPr>
          <w:fldChar w:fldCharType="begin"/>
        </w:r>
        <w:r w:rsidR="003A5191">
          <w:rPr>
            <w:webHidden/>
          </w:rPr>
          <w:instrText xml:space="preserve"> PAGEREF _Toc118316278 \h </w:instrText>
        </w:r>
        <w:r w:rsidR="003A5191">
          <w:rPr>
            <w:webHidden/>
          </w:rPr>
        </w:r>
        <w:r w:rsidR="003A5191">
          <w:rPr>
            <w:webHidden/>
          </w:rPr>
          <w:fldChar w:fldCharType="separate"/>
        </w:r>
        <w:r w:rsidR="003A378B">
          <w:rPr>
            <w:webHidden/>
          </w:rPr>
          <w:t>19</w:t>
        </w:r>
        <w:r w:rsidR="003A5191">
          <w:rPr>
            <w:webHidden/>
          </w:rPr>
          <w:fldChar w:fldCharType="end"/>
        </w:r>
      </w:hyperlink>
    </w:p>
    <w:p w14:paraId="256E2FC2" w14:textId="02F83CB8" w:rsidR="003A5191" w:rsidRDefault="003D2388">
      <w:pPr>
        <w:pStyle w:val="Sommario3"/>
        <w:rPr>
          <w:rFonts w:asciiTheme="minorHAnsi" w:eastAsiaTheme="minorEastAsia" w:hAnsiTheme="minorHAnsi" w:cstheme="minorBidi"/>
          <w:bCs w:val="0"/>
          <w:sz w:val="24"/>
          <w:szCs w:val="24"/>
          <w:lang w:val="it-IT" w:eastAsia="it-IT"/>
        </w:rPr>
      </w:pPr>
      <w:hyperlink w:anchor="_Toc118316279" w:history="1">
        <w:r w:rsidR="003A5191" w:rsidRPr="00D97E94">
          <w:rPr>
            <w:rStyle w:val="Collegamentoipertestuale"/>
          </w:rPr>
          <w:t>(a)</w:t>
        </w:r>
        <w:r w:rsidR="003A5191">
          <w:rPr>
            <w:rFonts w:asciiTheme="minorHAnsi" w:eastAsiaTheme="minorEastAsia" w:hAnsiTheme="minorHAnsi" w:cstheme="minorBidi"/>
            <w:bCs w:val="0"/>
            <w:sz w:val="24"/>
            <w:szCs w:val="24"/>
            <w:lang w:val="it-IT" w:eastAsia="it-IT"/>
          </w:rPr>
          <w:tab/>
        </w:r>
        <w:r w:rsidR="003A5191" w:rsidRPr="00D97E94">
          <w:rPr>
            <w:rStyle w:val="Collegamentoipertestuale"/>
          </w:rPr>
          <w:t>Special measures</w:t>
        </w:r>
        <w:r w:rsidR="003A5191">
          <w:rPr>
            <w:webHidden/>
          </w:rPr>
          <w:tab/>
        </w:r>
        <w:r w:rsidR="003A5191">
          <w:rPr>
            <w:webHidden/>
          </w:rPr>
          <w:fldChar w:fldCharType="begin"/>
        </w:r>
        <w:r w:rsidR="003A5191">
          <w:rPr>
            <w:webHidden/>
          </w:rPr>
          <w:instrText xml:space="preserve"> PAGEREF _Toc118316279 \h </w:instrText>
        </w:r>
        <w:r w:rsidR="003A5191">
          <w:rPr>
            <w:webHidden/>
          </w:rPr>
        </w:r>
        <w:r w:rsidR="003A5191">
          <w:rPr>
            <w:webHidden/>
          </w:rPr>
          <w:fldChar w:fldCharType="separate"/>
        </w:r>
        <w:r w:rsidR="003A378B">
          <w:rPr>
            <w:webHidden/>
          </w:rPr>
          <w:t>20</w:t>
        </w:r>
        <w:r w:rsidR="003A5191">
          <w:rPr>
            <w:webHidden/>
          </w:rPr>
          <w:fldChar w:fldCharType="end"/>
        </w:r>
      </w:hyperlink>
    </w:p>
    <w:p w14:paraId="0F2AEF82" w14:textId="23BF7749" w:rsidR="003A5191" w:rsidRDefault="003D2388">
      <w:pPr>
        <w:pStyle w:val="Sommario3"/>
        <w:rPr>
          <w:rFonts w:asciiTheme="minorHAnsi" w:eastAsiaTheme="minorEastAsia" w:hAnsiTheme="minorHAnsi" w:cstheme="minorBidi"/>
          <w:bCs w:val="0"/>
          <w:sz w:val="24"/>
          <w:szCs w:val="24"/>
          <w:lang w:val="it-IT" w:eastAsia="it-IT"/>
        </w:rPr>
      </w:pPr>
      <w:hyperlink w:anchor="_Toc118316280" w:history="1">
        <w:r w:rsidR="003A5191" w:rsidRPr="00D97E94">
          <w:rPr>
            <w:rStyle w:val="Collegamentoipertestuale"/>
          </w:rPr>
          <w:t>(b)</w:t>
        </w:r>
        <w:r w:rsidR="003A5191">
          <w:rPr>
            <w:rFonts w:asciiTheme="minorHAnsi" w:eastAsiaTheme="minorEastAsia" w:hAnsiTheme="minorHAnsi" w:cstheme="minorBidi"/>
            <w:bCs w:val="0"/>
            <w:sz w:val="24"/>
            <w:szCs w:val="24"/>
            <w:lang w:val="it-IT" w:eastAsia="it-IT"/>
          </w:rPr>
          <w:tab/>
        </w:r>
        <w:r w:rsidR="003A5191" w:rsidRPr="00D97E94">
          <w:rPr>
            <w:rStyle w:val="Collegamentoipertestuale"/>
          </w:rPr>
          <w:t>Key elements of a special measure – federal law</w:t>
        </w:r>
        <w:r w:rsidR="003A5191">
          <w:rPr>
            <w:webHidden/>
          </w:rPr>
          <w:tab/>
        </w:r>
        <w:r w:rsidR="003A5191">
          <w:rPr>
            <w:webHidden/>
          </w:rPr>
          <w:fldChar w:fldCharType="begin"/>
        </w:r>
        <w:r w:rsidR="003A5191">
          <w:rPr>
            <w:webHidden/>
          </w:rPr>
          <w:instrText xml:space="preserve"> PAGEREF _Toc118316280 \h </w:instrText>
        </w:r>
        <w:r w:rsidR="003A5191">
          <w:rPr>
            <w:webHidden/>
          </w:rPr>
        </w:r>
        <w:r w:rsidR="003A5191">
          <w:rPr>
            <w:webHidden/>
          </w:rPr>
          <w:fldChar w:fldCharType="separate"/>
        </w:r>
        <w:r w:rsidR="003A378B">
          <w:rPr>
            <w:webHidden/>
          </w:rPr>
          <w:t>21</w:t>
        </w:r>
        <w:r w:rsidR="003A5191">
          <w:rPr>
            <w:webHidden/>
          </w:rPr>
          <w:fldChar w:fldCharType="end"/>
        </w:r>
      </w:hyperlink>
    </w:p>
    <w:p w14:paraId="7D331362" w14:textId="18BB4541" w:rsidR="003A5191" w:rsidRDefault="003D2388">
      <w:pPr>
        <w:pStyle w:val="Sommario3"/>
        <w:rPr>
          <w:rFonts w:asciiTheme="minorHAnsi" w:eastAsiaTheme="minorEastAsia" w:hAnsiTheme="minorHAnsi" w:cstheme="minorBidi"/>
          <w:bCs w:val="0"/>
          <w:sz w:val="24"/>
          <w:szCs w:val="24"/>
          <w:lang w:val="it-IT" w:eastAsia="it-IT"/>
        </w:rPr>
      </w:pPr>
      <w:hyperlink w:anchor="_Toc118316281" w:history="1">
        <w:r w:rsidR="003A5191" w:rsidRPr="00D97E94">
          <w:rPr>
            <w:rStyle w:val="Collegamentoipertestuale"/>
          </w:rPr>
          <w:t>(c)</w:t>
        </w:r>
        <w:r w:rsidR="003A5191">
          <w:rPr>
            <w:rFonts w:asciiTheme="minorHAnsi" w:eastAsiaTheme="minorEastAsia" w:hAnsiTheme="minorHAnsi" w:cstheme="minorBidi"/>
            <w:bCs w:val="0"/>
            <w:sz w:val="24"/>
            <w:szCs w:val="24"/>
            <w:lang w:val="it-IT" w:eastAsia="it-IT"/>
          </w:rPr>
          <w:tab/>
        </w:r>
        <w:r w:rsidR="003A5191" w:rsidRPr="00D97E94">
          <w:rPr>
            <w:rStyle w:val="Collegamentoipertestuale"/>
          </w:rPr>
          <w:t>Key elements of a special measure – other jurisdictions</w:t>
        </w:r>
        <w:r w:rsidR="003A5191">
          <w:rPr>
            <w:webHidden/>
          </w:rPr>
          <w:tab/>
        </w:r>
        <w:r w:rsidR="003A5191">
          <w:rPr>
            <w:webHidden/>
          </w:rPr>
          <w:fldChar w:fldCharType="begin"/>
        </w:r>
        <w:r w:rsidR="003A5191">
          <w:rPr>
            <w:webHidden/>
          </w:rPr>
          <w:instrText xml:space="preserve"> PAGEREF _Toc118316281 \h </w:instrText>
        </w:r>
        <w:r w:rsidR="003A5191">
          <w:rPr>
            <w:webHidden/>
          </w:rPr>
        </w:r>
        <w:r w:rsidR="003A5191">
          <w:rPr>
            <w:webHidden/>
          </w:rPr>
          <w:fldChar w:fldCharType="separate"/>
        </w:r>
        <w:r w:rsidR="003A378B">
          <w:rPr>
            <w:webHidden/>
          </w:rPr>
          <w:t>21</w:t>
        </w:r>
        <w:r w:rsidR="003A5191">
          <w:rPr>
            <w:webHidden/>
          </w:rPr>
          <w:fldChar w:fldCharType="end"/>
        </w:r>
      </w:hyperlink>
    </w:p>
    <w:p w14:paraId="2B7B898B" w14:textId="1FEA899D" w:rsidR="003A5191" w:rsidRDefault="003D2388">
      <w:pPr>
        <w:pStyle w:val="Sommario3"/>
        <w:rPr>
          <w:rFonts w:asciiTheme="minorHAnsi" w:eastAsiaTheme="minorEastAsia" w:hAnsiTheme="minorHAnsi" w:cstheme="minorBidi"/>
          <w:bCs w:val="0"/>
          <w:sz w:val="24"/>
          <w:szCs w:val="24"/>
          <w:lang w:val="it-IT" w:eastAsia="it-IT"/>
        </w:rPr>
      </w:pPr>
      <w:hyperlink w:anchor="_Toc118316282" w:history="1">
        <w:r w:rsidR="003A5191" w:rsidRPr="00D97E94">
          <w:rPr>
            <w:rStyle w:val="Collegamentoipertestuale"/>
          </w:rPr>
          <w:t>(d)</w:t>
        </w:r>
        <w:r w:rsidR="003A5191">
          <w:rPr>
            <w:rFonts w:asciiTheme="minorHAnsi" w:eastAsiaTheme="minorEastAsia" w:hAnsiTheme="minorHAnsi" w:cstheme="minorBidi"/>
            <w:bCs w:val="0"/>
            <w:sz w:val="24"/>
            <w:szCs w:val="24"/>
            <w:lang w:val="it-IT" w:eastAsia="it-IT"/>
          </w:rPr>
          <w:tab/>
        </w:r>
        <w:r w:rsidR="003A5191" w:rsidRPr="00D97E94">
          <w:rPr>
            <w:rStyle w:val="Collegamentoipertestuale"/>
          </w:rPr>
          <w:t>Could a targeted recruitment strategy be a special measure?</w:t>
        </w:r>
        <w:r w:rsidR="003A5191">
          <w:rPr>
            <w:webHidden/>
          </w:rPr>
          <w:tab/>
        </w:r>
        <w:r w:rsidR="003A5191">
          <w:rPr>
            <w:webHidden/>
          </w:rPr>
          <w:fldChar w:fldCharType="begin"/>
        </w:r>
        <w:r w:rsidR="003A5191">
          <w:rPr>
            <w:webHidden/>
          </w:rPr>
          <w:instrText xml:space="preserve"> PAGEREF _Toc118316282 \h </w:instrText>
        </w:r>
        <w:r w:rsidR="003A5191">
          <w:rPr>
            <w:webHidden/>
          </w:rPr>
        </w:r>
        <w:r w:rsidR="003A5191">
          <w:rPr>
            <w:webHidden/>
          </w:rPr>
          <w:fldChar w:fldCharType="separate"/>
        </w:r>
        <w:r w:rsidR="003A378B">
          <w:rPr>
            <w:webHidden/>
          </w:rPr>
          <w:t>21</w:t>
        </w:r>
        <w:r w:rsidR="003A5191">
          <w:rPr>
            <w:webHidden/>
          </w:rPr>
          <w:fldChar w:fldCharType="end"/>
        </w:r>
      </w:hyperlink>
    </w:p>
    <w:p w14:paraId="3D58658C" w14:textId="3D5E8B80" w:rsidR="003A5191" w:rsidRDefault="003D2388">
      <w:pPr>
        <w:pStyle w:val="Sommario3"/>
        <w:rPr>
          <w:rFonts w:asciiTheme="minorHAnsi" w:eastAsiaTheme="minorEastAsia" w:hAnsiTheme="minorHAnsi" w:cstheme="minorBidi"/>
          <w:bCs w:val="0"/>
          <w:sz w:val="24"/>
          <w:szCs w:val="24"/>
          <w:lang w:val="it-IT" w:eastAsia="it-IT"/>
        </w:rPr>
      </w:pPr>
      <w:hyperlink w:anchor="_Toc118316283" w:history="1">
        <w:r w:rsidR="003A5191" w:rsidRPr="00D97E94">
          <w:rPr>
            <w:rStyle w:val="Collegamentoipertestuale"/>
          </w:rPr>
          <w:t>(e)</w:t>
        </w:r>
        <w:r w:rsidR="003A5191">
          <w:rPr>
            <w:rFonts w:asciiTheme="minorHAnsi" w:eastAsiaTheme="minorEastAsia" w:hAnsiTheme="minorHAnsi" w:cstheme="minorBidi"/>
            <w:bCs w:val="0"/>
            <w:sz w:val="24"/>
            <w:szCs w:val="24"/>
            <w:lang w:val="it-IT" w:eastAsia="it-IT"/>
          </w:rPr>
          <w:tab/>
        </w:r>
        <w:r w:rsidR="003A5191" w:rsidRPr="00D97E94">
          <w:rPr>
            <w:rStyle w:val="Collegamentoipertestuale"/>
          </w:rPr>
          <w:t>Genuine occupational requirements</w:t>
        </w:r>
        <w:r w:rsidR="003A5191">
          <w:rPr>
            <w:webHidden/>
          </w:rPr>
          <w:tab/>
        </w:r>
        <w:r w:rsidR="003A5191">
          <w:rPr>
            <w:webHidden/>
          </w:rPr>
          <w:fldChar w:fldCharType="begin"/>
        </w:r>
        <w:r w:rsidR="003A5191">
          <w:rPr>
            <w:webHidden/>
          </w:rPr>
          <w:instrText xml:space="preserve"> PAGEREF _Toc118316283 \h </w:instrText>
        </w:r>
        <w:r w:rsidR="003A5191">
          <w:rPr>
            <w:webHidden/>
          </w:rPr>
        </w:r>
        <w:r w:rsidR="003A5191">
          <w:rPr>
            <w:webHidden/>
          </w:rPr>
          <w:fldChar w:fldCharType="separate"/>
        </w:r>
        <w:r w:rsidR="003A378B">
          <w:rPr>
            <w:webHidden/>
          </w:rPr>
          <w:t>22</w:t>
        </w:r>
        <w:r w:rsidR="003A5191">
          <w:rPr>
            <w:webHidden/>
          </w:rPr>
          <w:fldChar w:fldCharType="end"/>
        </w:r>
      </w:hyperlink>
    </w:p>
    <w:p w14:paraId="033C93B7" w14:textId="09B1E31B" w:rsidR="003A5191" w:rsidRDefault="003D2388">
      <w:pPr>
        <w:pStyle w:val="Sommario2"/>
        <w:rPr>
          <w:rStyle w:val="Collegamentoipertestuale"/>
        </w:rPr>
      </w:pPr>
      <w:hyperlink w:anchor="_Toc118316284" w:history="1">
        <w:r w:rsidR="003A5191" w:rsidRPr="00D97E94">
          <w:rPr>
            <w:rStyle w:val="Collegamentoipertestuale"/>
          </w:rPr>
          <w:t>3.3</w:t>
        </w:r>
        <w:r w:rsidR="003A5191">
          <w:rPr>
            <w:rFonts w:asciiTheme="minorHAnsi" w:eastAsiaTheme="minorEastAsia" w:hAnsiTheme="minorHAnsi" w:cstheme="minorBidi"/>
            <w:bCs w:val="0"/>
            <w:sz w:val="24"/>
            <w:szCs w:val="24"/>
            <w:lang w:val="it-IT" w:eastAsia="it-IT"/>
          </w:rPr>
          <w:tab/>
        </w:r>
        <w:r w:rsidR="003A5191" w:rsidRPr="00D97E94">
          <w:rPr>
            <w:rStyle w:val="Collegamentoipertestuale"/>
          </w:rPr>
          <w:t>Overview of relevant anti-discrimination law provisions</w:t>
        </w:r>
        <w:r w:rsidR="003A5191">
          <w:rPr>
            <w:webHidden/>
          </w:rPr>
          <w:tab/>
        </w:r>
        <w:r w:rsidR="003A5191">
          <w:rPr>
            <w:webHidden/>
          </w:rPr>
          <w:fldChar w:fldCharType="begin"/>
        </w:r>
        <w:r w:rsidR="003A5191">
          <w:rPr>
            <w:webHidden/>
          </w:rPr>
          <w:instrText xml:space="preserve"> PAGEREF _Toc118316284 \h </w:instrText>
        </w:r>
        <w:r w:rsidR="003A5191">
          <w:rPr>
            <w:webHidden/>
          </w:rPr>
        </w:r>
        <w:r w:rsidR="003A5191">
          <w:rPr>
            <w:webHidden/>
          </w:rPr>
          <w:fldChar w:fldCharType="separate"/>
        </w:r>
        <w:r w:rsidR="003A378B">
          <w:rPr>
            <w:webHidden/>
          </w:rPr>
          <w:t>22</w:t>
        </w:r>
        <w:r w:rsidR="003A5191">
          <w:rPr>
            <w:webHidden/>
          </w:rPr>
          <w:fldChar w:fldCharType="end"/>
        </w:r>
      </w:hyperlink>
    </w:p>
    <w:p w14:paraId="71922FA9" w14:textId="103B5657" w:rsidR="003A5191" w:rsidRPr="003A5191" w:rsidRDefault="003A5191" w:rsidP="003A5191">
      <w:pPr>
        <w:keepLines w:val="0"/>
        <w:spacing w:after="160" w:line="259" w:lineRule="auto"/>
        <w:rPr>
          <w:noProof/>
        </w:rPr>
      </w:pPr>
      <w:r>
        <w:rPr>
          <w:noProof/>
        </w:rPr>
        <w:br w:type="page"/>
      </w:r>
    </w:p>
    <w:p w14:paraId="45FB7D84" w14:textId="353F805F" w:rsidR="003A5191" w:rsidRDefault="003D2388">
      <w:pPr>
        <w:pStyle w:val="Sommario1"/>
        <w:rPr>
          <w:rFonts w:asciiTheme="minorHAnsi" w:eastAsiaTheme="minorEastAsia" w:hAnsiTheme="minorHAnsi" w:cstheme="minorBidi"/>
          <w:b w:val="0"/>
          <w:bCs w:val="0"/>
          <w:sz w:val="24"/>
          <w:szCs w:val="24"/>
          <w:lang w:val="it-IT" w:eastAsia="it-IT"/>
        </w:rPr>
      </w:pPr>
      <w:hyperlink w:anchor="_Toc118316285" w:history="1">
        <w:r w:rsidR="003A5191" w:rsidRPr="00D97E94">
          <w:rPr>
            <w:rStyle w:val="Collegamentoipertestuale"/>
          </w:rPr>
          <w:t>4.</w:t>
        </w:r>
        <w:r w:rsidR="003A5191">
          <w:rPr>
            <w:rFonts w:asciiTheme="minorHAnsi" w:eastAsiaTheme="minorEastAsia" w:hAnsiTheme="minorHAnsi" w:cstheme="minorBidi"/>
            <w:b w:val="0"/>
            <w:bCs w:val="0"/>
            <w:sz w:val="24"/>
            <w:szCs w:val="24"/>
            <w:lang w:val="it-IT" w:eastAsia="it-IT"/>
          </w:rPr>
          <w:tab/>
        </w:r>
        <w:r w:rsidR="003A5191" w:rsidRPr="00D97E94">
          <w:rPr>
            <w:rStyle w:val="Collegamentoipertestuale"/>
          </w:rPr>
          <w:t xml:space="preserve">Special measure requirements for implementing targeted recruitment </w:t>
        </w:r>
        <w:r w:rsidR="003A5191">
          <w:rPr>
            <w:rStyle w:val="Collegamentoipertestuale"/>
          </w:rPr>
          <w:br/>
        </w:r>
        <w:r w:rsidR="003A5191" w:rsidRPr="00D97E94">
          <w:rPr>
            <w:rStyle w:val="Collegamentoipertestuale"/>
          </w:rPr>
          <w:t>strategies for people with disability</w:t>
        </w:r>
        <w:r w:rsidR="003A5191">
          <w:rPr>
            <w:webHidden/>
          </w:rPr>
          <w:tab/>
        </w:r>
        <w:r w:rsidR="003A5191">
          <w:rPr>
            <w:webHidden/>
          </w:rPr>
          <w:fldChar w:fldCharType="begin"/>
        </w:r>
        <w:r w:rsidR="003A5191">
          <w:rPr>
            <w:webHidden/>
          </w:rPr>
          <w:instrText xml:space="preserve"> PAGEREF _Toc118316285 \h </w:instrText>
        </w:r>
        <w:r w:rsidR="003A5191">
          <w:rPr>
            <w:webHidden/>
          </w:rPr>
        </w:r>
        <w:r w:rsidR="003A5191">
          <w:rPr>
            <w:webHidden/>
          </w:rPr>
          <w:fldChar w:fldCharType="separate"/>
        </w:r>
        <w:r w:rsidR="003A378B">
          <w:rPr>
            <w:webHidden/>
          </w:rPr>
          <w:t>24</w:t>
        </w:r>
        <w:r w:rsidR="003A5191">
          <w:rPr>
            <w:webHidden/>
          </w:rPr>
          <w:fldChar w:fldCharType="end"/>
        </w:r>
      </w:hyperlink>
    </w:p>
    <w:p w14:paraId="5C0B06F9" w14:textId="349D0378" w:rsidR="003A5191" w:rsidRDefault="003D2388">
      <w:pPr>
        <w:pStyle w:val="Sommario2"/>
        <w:rPr>
          <w:rFonts w:asciiTheme="minorHAnsi" w:eastAsiaTheme="minorEastAsia" w:hAnsiTheme="minorHAnsi" w:cstheme="minorBidi"/>
          <w:bCs w:val="0"/>
          <w:sz w:val="24"/>
          <w:szCs w:val="24"/>
          <w:lang w:val="it-IT" w:eastAsia="it-IT"/>
        </w:rPr>
      </w:pPr>
      <w:hyperlink w:anchor="_Toc118316286" w:history="1">
        <w:r w:rsidR="003A5191" w:rsidRPr="00D97E94">
          <w:rPr>
            <w:rStyle w:val="Collegamentoipertestuale"/>
          </w:rPr>
          <w:t>4.1</w:t>
        </w:r>
        <w:r w:rsidR="003A5191">
          <w:rPr>
            <w:rFonts w:asciiTheme="minorHAnsi" w:eastAsiaTheme="minorEastAsia" w:hAnsiTheme="minorHAnsi" w:cstheme="minorBidi"/>
            <w:bCs w:val="0"/>
            <w:sz w:val="24"/>
            <w:szCs w:val="24"/>
            <w:lang w:val="it-IT" w:eastAsia="it-IT"/>
          </w:rPr>
          <w:tab/>
        </w:r>
        <w:r w:rsidR="003A5191" w:rsidRPr="00D97E94">
          <w:rPr>
            <w:rStyle w:val="Collegamentoipertestuale"/>
          </w:rPr>
          <w:t xml:space="preserve">Explain the inequality or the special needs required to be met amongst </w:t>
        </w:r>
        <w:r w:rsidR="003A5191">
          <w:rPr>
            <w:rStyle w:val="Collegamentoipertestuale"/>
          </w:rPr>
          <w:br/>
        </w:r>
        <w:r w:rsidR="003A5191" w:rsidRPr="00D97E94">
          <w:rPr>
            <w:rStyle w:val="Collegamentoipertestuale"/>
          </w:rPr>
          <w:t>the targeted group</w:t>
        </w:r>
        <w:r w:rsidR="003A5191">
          <w:rPr>
            <w:webHidden/>
          </w:rPr>
          <w:tab/>
        </w:r>
        <w:r w:rsidR="003A5191">
          <w:rPr>
            <w:webHidden/>
          </w:rPr>
          <w:fldChar w:fldCharType="begin"/>
        </w:r>
        <w:r w:rsidR="003A5191">
          <w:rPr>
            <w:webHidden/>
          </w:rPr>
          <w:instrText xml:space="preserve"> PAGEREF _Toc118316286 \h </w:instrText>
        </w:r>
        <w:r w:rsidR="003A5191">
          <w:rPr>
            <w:webHidden/>
          </w:rPr>
        </w:r>
        <w:r w:rsidR="003A5191">
          <w:rPr>
            <w:webHidden/>
          </w:rPr>
          <w:fldChar w:fldCharType="separate"/>
        </w:r>
        <w:r w:rsidR="003A378B">
          <w:rPr>
            <w:webHidden/>
          </w:rPr>
          <w:t>26</w:t>
        </w:r>
        <w:r w:rsidR="003A5191">
          <w:rPr>
            <w:webHidden/>
          </w:rPr>
          <w:fldChar w:fldCharType="end"/>
        </w:r>
      </w:hyperlink>
    </w:p>
    <w:p w14:paraId="2E175D05" w14:textId="51714DB7" w:rsidR="003A5191" w:rsidRDefault="003D2388">
      <w:pPr>
        <w:pStyle w:val="Sommario3"/>
        <w:rPr>
          <w:rFonts w:asciiTheme="minorHAnsi" w:eastAsiaTheme="minorEastAsia" w:hAnsiTheme="minorHAnsi" w:cstheme="minorBidi"/>
          <w:bCs w:val="0"/>
          <w:sz w:val="24"/>
          <w:szCs w:val="24"/>
          <w:lang w:val="it-IT" w:eastAsia="it-IT"/>
        </w:rPr>
      </w:pPr>
      <w:hyperlink w:anchor="_Toc118316287" w:history="1">
        <w:r w:rsidR="003A5191" w:rsidRPr="00D97E94">
          <w:rPr>
            <w:rStyle w:val="Collegamentoipertestuale"/>
          </w:rPr>
          <w:t>(a)</w:t>
        </w:r>
        <w:r w:rsidR="003A5191">
          <w:rPr>
            <w:rFonts w:asciiTheme="minorHAnsi" w:eastAsiaTheme="minorEastAsia" w:hAnsiTheme="minorHAnsi" w:cstheme="minorBidi"/>
            <w:bCs w:val="0"/>
            <w:sz w:val="24"/>
            <w:szCs w:val="24"/>
            <w:lang w:val="it-IT" w:eastAsia="it-IT"/>
          </w:rPr>
          <w:tab/>
        </w:r>
        <w:r w:rsidR="003A5191" w:rsidRPr="00D97E94">
          <w:rPr>
            <w:rStyle w:val="Collegamentoipertestuale"/>
          </w:rPr>
          <w:t>Inequality or lack of equal opportunity</w:t>
        </w:r>
        <w:r w:rsidR="003A5191">
          <w:rPr>
            <w:webHidden/>
          </w:rPr>
          <w:tab/>
        </w:r>
        <w:r w:rsidR="003A5191">
          <w:rPr>
            <w:webHidden/>
          </w:rPr>
          <w:fldChar w:fldCharType="begin"/>
        </w:r>
        <w:r w:rsidR="003A5191">
          <w:rPr>
            <w:webHidden/>
          </w:rPr>
          <w:instrText xml:space="preserve"> PAGEREF _Toc118316287 \h </w:instrText>
        </w:r>
        <w:r w:rsidR="003A5191">
          <w:rPr>
            <w:webHidden/>
          </w:rPr>
        </w:r>
        <w:r w:rsidR="003A5191">
          <w:rPr>
            <w:webHidden/>
          </w:rPr>
          <w:fldChar w:fldCharType="separate"/>
        </w:r>
        <w:r w:rsidR="003A378B">
          <w:rPr>
            <w:webHidden/>
          </w:rPr>
          <w:t>26</w:t>
        </w:r>
        <w:r w:rsidR="003A5191">
          <w:rPr>
            <w:webHidden/>
          </w:rPr>
          <w:fldChar w:fldCharType="end"/>
        </w:r>
      </w:hyperlink>
    </w:p>
    <w:p w14:paraId="51584522" w14:textId="4E1E8EFC" w:rsidR="003A5191" w:rsidRDefault="003D2388">
      <w:pPr>
        <w:pStyle w:val="Sommario3"/>
        <w:rPr>
          <w:rFonts w:asciiTheme="minorHAnsi" w:eastAsiaTheme="minorEastAsia" w:hAnsiTheme="minorHAnsi" w:cstheme="minorBidi"/>
          <w:bCs w:val="0"/>
          <w:sz w:val="24"/>
          <w:szCs w:val="24"/>
          <w:lang w:val="it-IT" w:eastAsia="it-IT"/>
        </w:rPr>
      </w:pPr>
      <w:hyperlink w:anchor="_Toc118316288" w:history="1">
        <w:r w:rsidR="003A5191" w:rsidRPr="00D97E94">
          <w:rPr>
            <w:rStyle w:val="Collegamentoipertestuale"/>
          </w:rPr>
          <w:t>(b)</w:t>
        </w:r>
        <w:r w:rsidR="003A5191">
          <w:rPr>
            <w:rFonts w:asciiTheme="minorHAnsi" w:eastAsiaTheme="minorEastAsia" w:hAnsiTheme="minorHAnsi" w:cstheme="minorBidi"/>
            <w:bCs w:val="0"/>
            <w:sz w:val="24"/>
            <w:szCs w:val="24"/>
            <w:lang w:val="it-IT" w:eastAsia="it-IT"/>
          </w:rPr>
          <w:tab/>
        </w:r>
        <w:r w:rsidR="003A5191" w:rsidRPr="00D97E94">
          <w:rPr>
            <w:rStyle w:val="Collegamentoipertestuale"/>
          </w:rPr>
          <w:t>Special needs</w:t>
        </w:r>
        <w:r w:rsidR="003A5191">
          <w:rPr>
            <w:webHidden/>
          </w:rPr>
          <w:tab/>
        </w:r>
        <w:r w:rsidR="003A5191">
          <w:rPr>
            <w:webHidden/>
          </w:rPr>
          <w:fldChar w:fldCharType="begin"/>
        </w:r>
        <w:r w:rsidR="003A5191">
          <w:rPr>
            <w:webHidden/>
          </w:rPr>
          <w:instrText xml:space="preserve"> PAGEREF _Toc118316288 \h </w:instrText>
        </w:r>
        <w:r w:rsidR="003A5191">
          <w:rPr>
            <w:webHidden/>
          </w:rPr>
        </w:r>
        <w:r w:rsidR="003A5191">
          <w:rPr>
            <w:webHidden/>
          </w:rPr>
          <w:fldChar w:fldCharType="separate"/>
        </w:r>
        <w:r w:rsidR="003A378B">
          <w:rPr>
            <w:webHidden/>
          </w:rPr>
          <w:t>26</w:t>
        </w:r>
        <w:r w:rsidR="003A5191">
          <w:rPr>
            <w:webHidden/>
          </w:rPr>
          <w:fldChar w:fldCharType="end"/>
        </w:r>
      </w:hyperlink>
    </w:p>
    <w:p w14:paraId="42610BA8" w14:textId="6126E990" w:rsidR="003A5191" w:rsidRDefault="003D2388">
      <w:pPr>
        <w:pStyle w:val="Sommario2"/>
        <w:rPr>
          <w:rFonts w:asciiTheme="minorHAnsi" w:eastAsiaTheme="minorEastAsia" w:hAnsiTheme="minorHAnsi" w:cstheme="minorBidi"/>
          <w:bCs w:val="0"/>
          <w:sz w:val="24"/>
          <w:szCs w:val="24"/>
          <w:lang w:val="it-IT" w:eastAsia="it-IT"/>
        </w:rPr>
      </w:pPr>
      <w:hyperlink w:anchor="_Toc118316289" w:history="1">
        <w:r w:rsidR="003A5191" w:rsidRPr="00D97E94">
          <w:rPr>
            <w:rStyle w:val="Collegamentoipertestuale"/>
          </w:rPr>
          <w:t>4.2</w:t>
        </w:r>
        <w:r w:rsidR="003A5191">
          <w:rPr>
            <w:rFonts w:asciiTheme="minorHAnsi" w:eastAsiaTheme="minorEastAsia" w:hAnsiTheme="minorHAnsi" w:cstheme="minorBidi"/>
            <w:bCs w:val="0"/>
            <w:sz w:val="24"/>
            <w:szCs w:val="24"/>
            <w:lang w:val="it-IT" w:eastAsia="it-IT"/>
          </w:rPr>
          <w:tab/>
        </w:r>
        <w:r w:rsidR="003A5191" w:rsidRPr="00D97E94">
          <w:rPr>
            <w:rStyle w:val="Collegamentoipertestuale"/>
          </w:rPr>
          <w:t xml:space="preserve">Explain how the strategy is reasonably intended, and is necessary, to ensure </w:t>
        </w:r>
        <w:r w:rsidR="003A5191">
          <w:rPr>
            <w:rStyle w:val="Collegamentoipertestuale"/>
          </w:rPr>
          <w:br/>
        </w:r>
        <w:r w:rsidR="003A5191" w:rsidRPr="00D97E94">
          <w:rPr>
            <w:rStyle w:val="Collegamentoipertestuale"/>
          </w:rPr>
          <w:t>equal opportunity or meet the special needs identified</w:t>
        </w:r>
        <w:r w:rsidR="003A5191">
          <w:rPr>
            <w:webHidden/>
          </w:rPr>
          <w:tab/>
        </w:r>
        <w:r w:rsidR="003A5191">
          <w:rPr>
            <w:webHidden/>
          </w:rPr>
          <w:fldChar w:fldCharType="begin"/>
        </w:r>
        <w:r w:rsidR="003A5191">
          <w:rPr>
            <w:webHidden/>
          </w:rPr>
          <w:instrText xml:space="preserve"> PAGEREF _Toc118316289 \h </w:instrText>
        </w:r>
        <w:r w:rsidR="003A5191">
          <w:rPr>
            <w:webHidden/>
          </w:rPr>
        </w:r>
        <w:r w:rsidR="003A5191">
          <w:rPr>
            <w:webHidden/>
          </w:rPr>
          <w:fldChar w:fldCharType="separate"/>
        </w:r>
        <w:r w:rsidR="003A378B">
          <w:rPr>
            <w:webHidden/>
          </w:rPr>
          <w:t>27</w:t>
        </w:r>
        <w:r w:rsidR="003A5191">
          <w:rPr>
            <w:webHidden/>
          </w:rPr>
          <w:fldChar w:fldCharType="end"/>
        </w:r>
      </w:hyperlink>
    </w:p>
    <w:p w14:paraId="200911DC" w14:textId="080B1AC2" w:rsidR="003A5191" w:rsidRDefault="003D2388">
      <w:pPr>
        <w:pStyle w:val="Sommario2"/>
        <w:rPr>
          <w:rFonts w:asciiTheme="minorHAnsi" w:eastAsiaTheme="minorEastAsia" w:hAnsiTheme="minorHAnsi" w:cstheme="minorBidi"/>
          <w:bCs w:val="0"/>
          <w:sz w:val="24"/>
          <w:szCs w:val="24"/>
          <w:lang w:val="it-IT" w:eastAsia="it-IT"/>
        </w:rPr>
      </w:pPr>
      <w:hyperlink w:anchor="_Toc118316290" w:history="1">
        <w:r w:rsidR="003A5191" w:rsidRPr="00D97E94">
          <w:rPr>
            <w:rStyle w:val="Collegamentoipertestuale"/>
          </w:rPr>
          <w:t>4.3</w:t>
        </w:r>
        <w:r w:rsidR="003A5191">
          <w:rPr>
            <w:rFonts w:asciiTheme="minorHAnsi" w:eastAsiaTheme="minorEastAsia" w:hAnsiTheme="minorHAnsi" w:cstheme="minorBidi"/>
            <w:bCs w:val="0"/>
            <w:sz w:val="24"/>
            <w:szCs w:val="24"/>
            <w:lang w:val="it-IT" w:eastAsia="it-IT"/>
          </w:rPr>
          <w:tab/>
        </w:r>
        <w:r w:rsidR="003A5191" w:rsidRPr="00D97E94">
          <w:rPr>
            <w:rStyle w:val="Collegamentoipertestuale"/>
          </w:rPr>
          <w:t xml:space="preserve">Demonstrate that the strategy is otherwise reasonable and proportionate in </w:t>
        </w:r>
        <w:r w:rsidR="003A5191">
          <w:rPr>
            <w:rStyle w:val="Collegamentoipertestuale"/>
          </w:rPr>
          <w:br/>
        </w:r>
        <w:r w:rsidR="003A5191" w:rsidRPr="00D97E94">
          <w:rPr>
            <w:rStyle w:val="Collegamentoipertestuale"/>
          </w:rPr>
          <w:t>its intention and effect</w:t>
        </w:r>
        <w:r w:rsidR="003A5191">
          <w:rPr>
            <w:webHidden/>
          </w:rPr>
          <w:tab/>
        </w:r>
        <w:r w:rsidR="003A5191">
          <w:rPr>
            <w:webHidden/>
          </w:rPr>
          <w:fldChar w:fldCharType="begin"/>
        </w:r>
        <w:r w:rsidR="003A5191">
          <w:rPr>
            <w:webHidden/>
          </w:rPr>
          <w:instrText xml:space="preserve"> PAGEREF _Toc118316290 \h </w:instrText>
        </w:r>
        <w:r w:rsidR="003A5191">
          <w:rPr>
            <w:webHidden/>
          </w:rPr>
        </w:r>
        <w:r w:rsidR="003A5191">
          <w:rPr>
            <w:webHidden/>
          </w:rPr>
          <w:fldChar w:fldCharType="separate"/>
        </w:r>
        <w:r w:rsidR="003A378B">
          <w:rPr>
            <w:webHidden/>
          </w:rPr>
          <w:t>28</w:t>
        </w:r>
        <w:r w:rsidR="003A5191">
          <w:rPr>
            <w:webHidden/>
          </w:rPr>
          <w:fldChar w:fldCharType="end"/>
        </w:r>
      </w:hyperlink>
    </w:p>
    <w:p w14:paraId="16FEF8FF" w14:textId="73EE68AD" w:rsidR="003A5191" w:rsidRDefault="003D2388">
      <w:pPr>
        <w:pStyle w:val="Sommario2"/>
        <w:rPr>
          <w:rFonts w:asciiTheme="minorHAnsi" w:eastAsiaTheme="minorEastAsia" w:hAnsiTheme="minorHAnsi" w:cstheme="minorBidi"/>
          <w:bCs w:val="0"/>
          <w:sz w:val="24"/>
          <w:szCs w:val="24"/>
          <w:lang w:val="it-IT" w:eastAsia="it-IT"/>
        </w:rPr>
      </w:pPr>
      <w:hyperlink w:anchor="_Toc118316291" w:history="1">
        <w:r w:rsidR="003A5191" w:rsidRPr="00D97E94">
          <w:rPr>
            <w:rStyle w:val="Collegamentoipertestuale"/>
          </w:rPr>
          <w:t>4.4</w:t>
        </w:r>
        <w:r w:rsidR="003A5191">
          <w:rPr>
            <w:rFonts w:asciiTheme="minorHAnsi" w:eastAsiaTheme="minorEastAsia" w:hAnsiTheme="minorHAnsi" w:cstheme="minorBidi"/>
            <w:bCs w:val="0"/>
            <w:sz w:val="24"/>
            <w:szCs w:val="24"/>
            <w:lang w:val="it-IT" w:eastAsia="it-IT"/>
          </w:rPr>
          <w:tab/>
        </w:r>
        <w:r w:rsidR="003A5191" w:rsidRPr="00D97E94">
          <w:rPr>
            <w:rStyle w:val="Collegamentoipertestuale"/>
          </w:rPr>
          <w:t>Plan for the strategy to be regularly reviewed to ensure that it remains necessary</w:t>
        </w:r>
        <w:r w:rsidR="003A5191">
          <w:rPr>
            <w:webHidden/>
          </w:rPr>
          <w:tab/>
        </w:r>
        <w:r w:rsidR="003A5191">
          <w:rPr>
            <w:webHidden/>
          </w:rPr>
          <w:fldChar w:fldCharType="begin"/>
        </w:r>
        <w:r w:rsidR="003A5191">
          <w:rPr>
            <w:webHidden/>
          </w:rPr>
          <w:instrText xml:space="preserve"> PAGEREF _Toc118316291 \h </w:instrText>
        </w:r>
        <w:r w:rsidR="003A5191">
          <w:rPr>
            <w:webHidden/>
          </w:rPr>
        </w:r>
        <w:r w:rsidR="003A5191">
          <w:rPr>
            <w:webHidden/>
          </w:rPr>
          <w:fldChar w:fldCharType="separate"/>
        </w:r>
        <w:r w:rsidR="003A378B">
          <w:rPr>
            <w:webHidden/>
          </w:rPr>
          <w:t>28</w:t>
        </w:r>
        <w:r w:rsidR="003A5191">
          <w:rPr>
            <w:webHidden/>
          </w:rPr>
          <w:fldChar w:fldCharType="end"/>
        </w:r>
      </w:hyperlink>
    </w:p>
    <w:p w14:paraId="4EA2FA78" w14:textId="2BA7E853" w:rsidR="003A5191" w:rsidRDefault="003D2388">
      <w:pPr>
        <w:pStyle w:val="Sommario1"/>
        <w:rPr>
          <w:rFonts w:asciiTheme="minorHAnsi" w:eastAsiaTheme="minorEastAsia" w:hAnsiTheme="minorHAnsi" w:cstheme="minorBidi"/>
          <w:b w:val="0"/>
          <w:bCs w:val="0"/>
          <w:sz w:val="24"/>
          <w:szCs w:val="24"/>
          <w:lang w:val="it-IT" w:eastAsia="it-IT"/>
        </w:rPr>
      </w:pPr>
      <w:hyperlink w:anchor="_Toc118316292" w:history="1">
        <w:r w:rsidR="003A5191" w:rsidRPr="00D97E94">
          <w:rPr>
            <w:rStyle w:val="Collegamentoipertestuale"/>
          </w:rPr>
          <w:t>5.</w:t>
        </w:r>
        <w:r w:rsidR="003A5191">
          <w:rPr>
            <w:rFonts w:asciiTheme="minorHAnsi" w:eastAsiaTheme="minorEastAsia" w:hAnsiTheme="minorHAnsi" w:cstheme="minorBidi"/>
            <w:b w:val="0"/>
            <w:bCs w:val="0"/>
            <w:sz w:val="24"/>
            <w:szCs w:val="24"/>
            <w:lang w:val="it-IT" w:eastAsia="it-IT"/>
          </w:rPr>
          <w:tab/>
        </w:r>
        <w:r w:rsidR="003A5191" w:rsidRPr="00D97E94">
          <w:rPr>
            <w:rStyle w:val="Collegamentoipertestuale"/>
          </w:rPr>
          <w:t>Practical guidance on designing and implementing a targeted recruitment strategy</w:t>
        </w:r>
        <w:r w:rsidR="003A5191">
          <w:rPr>
            <w:webHidden/>
          </w:rPr>
          <w:tab/>
        </w:r>
        <w:r w:rsidR="003A5191">
          <w:rPr>
            <w:webHidden/>
          </w:rPr>
          <w:fldChar w:fldCharType="begin"/>
        </w:r>
        <w:r w:rsidR="003A5191">
          <w:rPr>
            <w:webHidden/>
          </w:rPr>
          <w:instrText xml:space="preserve"> PAGEREF _Toc118316292 \h </w:instrText>
        </w:r>
        <w:r w:rsidR="003A5191">
          <w:rPr>
            <w:webHidden/>
          </w:rPr>
        </w:r>
        <w:r w:rsidR="003A5191">
          <w:rPr>
            <w:webHidden/>
          </w:rPr>
          <w:fldChar w:fldCharType="separate"/>
        </w:r>
        <w:r w:rsidR="003A378B">
          <w:rPr>
            <w:webHidden/>
          </w:rPr>
          <w:t>29</w:t>
        </w:r>
        <w:r w:rsidR="003A5191">
          <w:rPr>
            <w:webHidden/>
          </w:rPr>
          <w:fldChar w:fldCharType="end"/>
        </w:r>
      </w:hyperlink>
    </w:p>
    <w:p w14:paraId="5D6FB166" w14:textId="5C1ED8EF" w:rsidR="003A5191" w:rsidRDefault="003D2388">
      <w:pPr>
        <w:pStyle w:val="Sommario2"/>
        <w:rPr>
          <w:rFonts w:asciiTheme="minorHAnsi" w:eastAsiaTheme="minorEastAsia" w:hAnsiTheme="minorHAnsi" w:cstheme="minorBidi"/>
          <w:bCs w:val="0"/>
          <w:sz w:val="24"/>
          <w:szCs w:val="24"/>
          <w:lang w:val="it-IT" w:eastAsia="it-IT"/>
        </w:rPr>
      </w:pPr>
      <w:hyperlink w:anchor="_Toc118316293" w:history="1">
        <w:r w:rsidR="003A5191" w:rsidRPr="00D97E94">
          <w:rPr>
            <w:rStyle w:val="Collegamentoipertestuale"/>
          </w:rPr>
          <w:t>5.1</w:t>
        </w:r>
        <w:r w:rsidR="003A5191">
          <w:rPr>
            <w:rFonts w:asciiTheme="minorHAnsi" w:eastAsiaTheme="minorEastAsia" w:hAnsiTheme="minorHAnsi" w:cstheme="minorBidi"/>
            <w:bCs w:val="0"/>
            <w:sz w:val="24"/>
            <w:szCs w:val="24"/>
            <w:lang w:val="it-IT" w:eastAsia="it-IT"/>
          </w:rPr>
          <w:tab/>
        </w:r>
        <w:r w:rsidR="003A5191" w:rsidRPr="00D97E94">
          <w:rPr>
            <w:rStyle w:val="Collegamentoipertestuale"/>
          </w:rPr>
          <w:t>Document a clear intention</w:t>
        </w:r>
        <w:r w:rsidR="003A5191">
          <w:rPr>
            <w:webHidden/>
          </w:rPr>
          <w:tab/>
        </w:r>
        <w:r w:rsidR="003A5191">
          <w:rPr>
            <w:webHidden/>
          </w:rPr>
          <w:fldChar w:fldCharType="begin"/>
        </w:r>
        <w:r w:rsidR="003A5191">
          <w:rPr>
            <w:webHidden/>
          </w:rPr>
          <w:instrText xml:space="preserve"> PAGEREF _Toc118316293 \h </w:instrText>
        </w:r>
        <w:r w:rsidR="003A5191">
          <w:rPr>
            <w:webHidden/>
          </w:rPr>
        </w:r>
        <w:r w:rsidR="003A5191">
          <w:rPr>
            <w:webHidden/>
          </w:rPr>
          <w:fldChar w:fldCharType="separate"/>
        </w:r>
        <w:r w:rsidR="003A378B">
          <w:rPr>
            <w:webHidden/>
          </w:rPr>
          <w:t>29</w:t>
        </w:r>
        <w:r w:rsidR="003A5191">
          <w:rPr>
            <w:webHidden/>
          </w:rPr>
          <w:fldChar w:fldCharType="end"/>
        </w:r>
      </w:hyperlink>
    </w:p>
    <w:p w14:paraId="20F56DCC" w14:textId="2AE29163" w:rsidR="003A5191" w:rsidRDefault="003D2388">
      <w:pPr>
        <w:pStyle w:val="Sommario2"/>
        <w:rPr>
          <w:rFonts w:asciiTheme="minorHAnsi" w:eastAsiaTheme="minorEastAsia" w:hAnsiTheme="minorHAnsi" w:cstheme="minorBidi"/>
          <w:bCs w:val="0"/>
          <w:sz w:val="24"/>
          <w:szCs w:val="24"/>
          <w:lang w:val="it-IT" w:eastAsia="it-IT"/>
        </w:rPr>
      </w:pPr>
      <w:hyperlink w:anchor="_Toc118316294" w:history="1">
        <w:r w:rsidR="003A5191" w:rsidRPr="00D97E94">
          <w:rPr>
            <w:rStyle w:val="Collegamentoipertestuale"/>
          </w:rPr>
          <w:t>5.2</w:t>
        </w:r>
        <w:r w:rsidR="003A5191">
          <w:rPr>
            <w:rFonts w:asciiTheme="minorHAnsi" w:eastAsiaTheme="minorEastAsia" w:hAnsiTheme="minorHAnsi" w:cstheme="minorBidi"/>
            <w:bCs w:val="0"/>
            <w:sz w:val="24"/>
            <w:szCs w:val="24"/>
            <w:lang w:val="it-IT" w:eastAsia="it-IT"/>
          </w:rPr>
          <w:tab/>
        </w:r>
        <w:r w:rsidR="003A5191" w:rsidRPr="00D97E94">
          <w:rPr>
            <w:rStyle w:val="Collegamentoipertestuale"/>
          </w:rPr>
          <w:t>Establish the legal basis for targeted recruitment</w:t>
        </w:r>
        <w:r w:rsidR="003A5191">
          <w:rPr>
            <w:webHidden/>
          </w:rPr>
          <w:tab/>
        </w:r>
        <w:r w:rsidR="003A5191">
          <w:rPr>
            <w:webHidden/>
          </w:rPr>
          <w:fldChar w:fldCharType="begin"/>
        </w:r>
        <w:r w:rsidR="003A5191">
          <w:rPr>
            <w:webHidden/>
          </w:rPr>
          <w:instrText xml:space="preserve"> PAGEREF _Toc118316294 \h </w:instrText>
        </w:r>
        <w:r w:rsidR="003A5191">
          <w:rPr>
            <w:webHidden/>
          </w:rPr>
        </w:r>
        <w:r w:rsidR="003A5191">
          <w:rPr>
            <w:webHidden/>
          </w:rPr>
          <w:fldChar w:fldCharType="separate"/>
        </w:r>
        <w:r w:rsidR="003A378B">
          <w:rPr>
            <w:webHidden/>
          </w:rPr>
          <w:t>29</w:t>
        </w:r>
        <w:r w:rsidR="003A5191">
          <w:rPr>
            <w:webHidden/>
          </w:rPr>
          <w:fldChar w:fldCharType="end"/>
        </w:r>
      </w:hyperlink>
    </w:p>
    <w:p w14:paraId="0281F97D" w14:textId="4902DBF0" w:rsidR="003A5191" w:rsidRDefault="003D2388">
      <w:pPr>
        <w:pStyle w:val="Sommario2"/>
        <w:rPr>
          <w:rFonts w:asciiTheme="minorHAnsi" w:eastAsiaTheme="minorEastAsia" w:hAnsiTheme="minorHAnsi" w:cstheme="minorBidi"/>
          <w:bCs w:val="0"/>
          <w:sz w:val="24"/>
          <w:szCs w:val="24"/>
          <w:lang w:val="it-IT" w:eastAsia="it-IT"/>
        </w:rPr>
      </w:pPr>
      <w:hyperlink w:anchor="_Toc118316295" w:history="1">
        <w:r w:rsidR="003A5191" w:rsidRPr="00D97E94">
          <w:rPr>
            <w:rStyle w:val="Collegamentoipertestuale"/>
          </w:rPr>
          <w:t>5.3</w:t>
        </w:r>
        <w:r w:rsidR="003A5191">
          <w:rPr>
            <w:rFonts w:asciiTheme="minorHAnsi" w:eastAsiaTheme="minorEastAsia" w:hAnsiTheme="minorHAnsi" w:cstheme="minorBidi"/>
            <w:bCs w:val="0"/>
            <w:sz w:val="24"/>
            <w:szCs w:val="24"/>
            <w:lang w:val="it-IT" w:eastAsia="it-IT"/>
          </w:rPr>
          <w:tab/>
        </w:r>
        <w:r w:rsidR="003A5191" w:rsidRPr="00D97E94">
          <w:rPr>
            <w:rStyle w:val="Collegamentoipertestuale"/>
          </w:rPr>
          <w:t>Communicate the intention of the recruitment strategy</w:t>
        </w:r>
        <w:r w:rsidR="003A5191">
          <w:rPr>
            <w:webHidden/>
          </w:rPr>
          <w:tab/>
        </w:r>
        <w:r w:rsidR="003A5191">
          <w:rPr>
            <w:webHidden/>
          </w:rPr>
          <w:fldChar w:fldCharType="begin"/>
        </w:r>
        <w:r w:rsidR="003A5191">
          <w:rPr>
            <w:webHidden/>
          </w:rPr>
          <w:instrText xml:space="preserve"> PAGEREF _Toc118316295 \h </w:instrText>
        </w:r>
        <w:r w:rsidR="003A5191">
          <w:rPr>
            <w:webHidden/>
          </w:rPr>
        </w:r>
        <w:r w:rsidR="003A5191">
          <w:rPr>
            <w:webHidden/>
          </w:rPr>
          <w:fldChar w:fldCharType="separate"/>
        </w:r>
        <w:r w:rsidR="003A378B">
          <w:rPr>
            <w:webHidden/>
          </w:rPr>
          <w:t>30</w:t>
        </w:r>
        <w:r w:rsidR="003A5191">
          <w:rPr>
            <w:webHidden/>
          </w:rPr>
          <w:fldChar w:fldCharType="end"/>
        </w:r>
      </w:hyperlink>
    </w:p>
    <w:p w14:paraId="4F4CE3BC" w14:textId="543AE586" w:rsidR="003A5191" w:rsidRDefault="003D2388">
      <w:pPr>
        <w:pStyle w:val="Sommario2"/>
        <w:rPr>
          <w:rFonts w:asciiTheme="minorHAnsi" w:eastAsiaTheme="minorEastAsia" w:hAnsiTheme="minorHAnsi" w:cstheme="minorBidi"/>
          <w:bCs w:val="0"/>
          <w:sz w:val="24"/>
          <w:szCs w:val="24"/>
          <w:lang w:val="it-IT" w:eastAsia="it-IT"/>
        </w:rPr>
      </w:pPr>
      <w:hyperlink w:anchor="_Toc118316296" w:history="1">
        <w:r w:rsidR="003A5191" w:rsidRPr="00D97E94">
          <w:rPr>
            <w:rStyle w:val="Collegamentoipertestuale"/>
          </w:rPr>
          <w:t>5.4</w:t>
        </w:r>
        <w:r w:rsidR="003A5191">
          <w:rPr>
            <w:rFonts w:asciiTheme="minorHAnsi" w:eastAsiaTheme="minorEastAsia" w:hAnsiTheme="minorHAnsi" w:cstheme="minorBidi"/>
            <w:bCs w:val="0"/>
            <w:sz w:val="24"/>
            <w:szCs w:val="24"/>
            <w:lang w:val="it-IT" w:eastAsia="it-IT"/>
          </w:rPr>
          <w:tab/>
        </w:r>
        <w:r w:rsidR="003A5191" w:rsidRPr="00D97E94">
          <w:rPr>
            <w:rStyle w:val="Collegamentoipertestuale"/>
          </w:rPr>
          <w:t xml:space="preserve">Seek the participation and inclusion of persons with disability in the strategy’s </w:t>
        </w:r>
        <w:r w:rsidR="003A5191">
          <w:rPr>
            <w:rStyle w:val="Collegamentoipertestuale"/>
          </w:rPr>
          <w:br/>
        </w:r>
        <w:r w:rsidR="003A5191" w:rsidRPr="00D97E94">
          <w:rPr>
            <w:rStyle w:val="Collegamentoipertestuale"/>
          </w:rPr>
          <w:t>design and implementation</w:t>
        </w:r>
        <w:r w:rsidR="003A5191">
          <w:rPr>
            <w:webHidden/>
          </w:rPr>
          <w:tab/>
        </w:r>
        <w:r w:rsidR="003A5191">
          <w:rPr>
            <w:webHidden/>
          </w:rPr>
          <w:fldChar w:fldCharType="begin"/>
        </w:r>
        <w:r w:rsidR="003A5191">
          <w:rPr>
            <w:webHidden/>
          </w:rPr>
          <w:instrText xml:space="preserve"> PAGEREF _Toc118316296 \h </w:instrText>
        </w:r>
        <w:r w:rsidR="003A5191">
          <w:rPr>
            <w:webHidden/>
          </w:rPr>
        </w:r>
        <w:r w:rsidR="003A5191">
          <w:rPr>
            <w:webHidden/>
          </w:rPr>
          <w:fldChar w:fldCharType="separate"/>
        </w:r>
        <w:r w:rsidR="003A378B">
          <w:rPr>
            <w:webHidden/>
          </w:rPr>
          <w:t>30</w:t>
        </w:r>
        <w:r w:rsidR="003A5191">
          <w:rPr>
            <w:webHidden/>
          </w:rPr>
          <w:fldChar w:fldCharType="end"/>
        </w:r>
      </w:hyperlink>
    </w:p>
    <w:p w14:paraId="53C98D66" w14:textId="0E697150" w:rsidR="003A5191" w:rsidRDefault="003D2388">
      <w:pPr>
        <w:pStyle w:val="Sommario2"/>
        <w:rPr>
          <w:rFonts w:asciiTheme="minorHAnsi" w:eastAsiaTheme="minorEastAsia" w:hAnsiTheme="minorHAnsi" w:cstheme="minorBidi"/>
          <w:bCs w:val="0"/>
          <w:sz w:val="24"/>
          <w:szCs w:val="24"/>
          <w:lang w:val="it-IT" w:eastAsia="it-IT"/>
        </w:rPr>
      </w:pPr>
      <w:hyperlink w:anchor="_Toc118316297" w:history="1">
        <w:r w:rsidR="003A5191" w:rsidRPr="00D97E94">
          <w:rPr>
            <w:rStyle w:val="Collegamentoipertestuale"/>
          </w:rPr>
          <w:t>5.5</w:t>
        </w:r>
        <w:r w:rsidR="003A5191">
          <w:rPr>
            <w:rFonts w:asciiTheme="minorHAnsi" w:eastAsiaTheme="minorEastAsia" w:hAnsiTheme="minorHAnsi" w:cstheme="minorBidi"/>
            <w:bCs w:val="0"/>
            <w:sz w:val="24"/>
            <w:szCs w:val="24"/>
            <w:lang w:val="it-IT" w:eastAsia="it-IT"/>
          </w:rPr>
          <w:tab/>
        </w:r>
        <w:r w:rsidR="003A5191" w:rsidRPr="00D97E94">
          <w:rPr>
            <w:rStyle w:val="Collegamentoipertestuale"/>
          </w:rPr>
          <w:t>Ensure inclusive communication</w:t>
        </w:r>
        <w:r w:rsidR="003A5191">
          <w:rPr>
            <w:webHidden/>
          </w:rPr>
          <w:tab/>
        </w:r>
        <w:r w:rsidR="003A5191">
          <w:rPr>
            <w:webHidden/>
          </w:rPr>
          <w:fldChar w:fldCharType="begin"/>
        </w:r>
        <w:r w:rsidR="003A5191">
          <w:rPr>
            <w:webHidden/>
          </w:rPr>
          <w:instrText xml:space="preserve"> PAGEREF _Toc118316297 \h </w:instrText>
        </w:r>
        <w:r w:rsidR="003A5191">
          <w:rPr>
            <w:webHidden/>
          </w:rPr>
        </w:r>
        <w:r w:rsidR="003A5191">
          <w:rPr>
            <w:webHidden/>
          </w:rPr>
          <w:fldChar w:fldCharType="separate"/>
        </w:r>
        <w:r w:rsidR="003A378B">
          <w:rPr>
            <w:webHidden/>
          </w:rPr>
          <w:t>31</w:t>
        </w:r>
        <w:r w:rsidR="003A5191">
          <w:rPr>
            <w:webHidden/>
          </w:rPr>
          <w:fldChar w:fldCharType="end"/>
        </w:r>
      </w:hyperlink>
    </w:p>
    <w:p w14:paraId="76425453" w14:textId="7B2937BC" w:rsidR="003A5191" w:rsidRDefault="003D2388">
      <w:pPr>
        <w:pStyle w:val="Sommario2"/>
        <w:rPr>
          <w:rFonts w:asciiTheme="minorHAnsi" w:eastAsiaTheme="minorEastAsia" w:hAnsiTheme="minorHAnsi" w:cstheme="minorBidi"/>
          <w:bCs w:val="0"/>
          <w:sz w:val="24"/>
          <w:szCs w:val="24"/>
          <w:lang w:val="it-IT" w:eastAsia="it-IT"/>
        </w:rPr>
      </w:pPr>
      <w:hyperlink w:anchor="_Toc118316298" w:history="1">
        <w:r w:rsidR="003A5191" w:rsidRPr="00D97E94">
          <w:rPr>
            <w:rStyle w:val="Collegamentoipertestuale"/>
          </w:rPr>
          <w:t>5.6</w:t>
        </w:r>
        <w:r w:rsidR="003A5191">
          <w:rPr>
            <w:rFonts w:asciiTheme="minorHAnsi" w:eastAsiaTheme="minorEastAsia" w:hAnsiTheme="minorHAnsi" w:cstheme="minorBidi"/>
            <w:bCs w:val="0"/>
            <w:sz w:val="24"/>
            <w:szCs w:val="24"/>
            <w:lang w:val="it-IT" w:eastAsia="it-IT"/>
          </w:rPr>
          <w:tab/>
        </w:r>
        <w:r w:rsidR="003A5191" w:rsidRPr="00D97E94">
          <w:rPr>
            <w:rStyle w:val="Collegamentoipertestuale"/>
          </w:rPr>
          <w:t>Establish accessible and inclusive recruitment practices</w:t>
        </w:r>
        <w:r w:rsidR="003A5191">
          <w:rPr>
            <w:webHidden/>
          </w:rPr>
          <w:tab/>
        </w:r>
        <w:r w:rsidR="003A5191">
          <w:rPr>
            <w:webHidden/>
          </w:rPr>
          <w:fldChar w:fldCharType="begin"/>
        </w:r>
        <w:r w:rsidR="003A5191">
          <w:rPr>
            <w:webHidden/>
          </w:rPr>
          <w:instrText xml:space="preserve"> PAGEREF _Toc118316298 \h </w:instrText>
        </w:r>
        <w:r w:rsidR="003A5191">
          <w:rPr>
            <w:webHidden/>
          </w:rPr>
        </w:r>
        <w:r w:rsidR="003A5191">
          <w:rPr>
            <w:webHidden/>
          </w:rPr>
          <w:fldChar w:fldCharType="separate"/>
        </w:r>
        <w:r w:rsidR="003A378B">
          <w:rPr>
            <w:webHidden/>
          </w:rPr>
          <w:t>31</w:t>
        </w:r>
        <w:r w:rsidR="003A5191">
          <w:rPr>
            <w:webHidden/>
          </w:rPr>
          <w:fldChar w:fldCharType="end"/>
        </w:r>
      </w:hyperlink>
    </w:p>
    <w:p w14:paraId="69A9DEEC" w14:textId="51FACE11" w:rsidR="003A5191" w:rsidRDefault="003D2388">
      <w:pPr>
        <w:pStyle w:val="Sommario2"/>
        <w:rPr>
          <w:rFonts w:asciiTheme="minorHAnsi" w:eastAsiaTheme="minorEastAsia" w:hAnsiTheme="minorHAnsi" w:cstheme="minorBidi"/>
          <w:bCs w:val="0"/>
          <w:sz w:val="24"/>
          <w:szCs w:val="24"/>
          <w:lang w:val="it-IT" w:eastAsia="it-IT"/>
        </w:rPr>
      </w:pPr>
      <w:hyperlink w:anchor="_Toc118316299" w:history="1">
        <w:r w:rsidR="003A5191" w:rsidRPr="00D97E94">
          <w:rPr>
            <w:rStyle w:val="Collegamentoipertestuale"/>
          </w:rPr>
          <w:t>5.7</w:t>
        </w:r>
        <w:r w:rsidR="003A5191">
          <w:rPr>
            <w:rFonts w:asciiTheme="minorHAnsi" w:eastAsiaTheme="minorEastAsia" w:hAnsiTheme="minorHAnsi" w:cstheme="minorBidi"/>
            <w:bCs w:val="0"/>
            <w:sz w:val="24"/>
            <w:szCs w:val="24"/>
            <w:lang w:val="it-IT" w:eastAsia="it-IT"/>
          </w:rPr>
          <w:tab/>
        </w:r>
        <w:r w:rsidR="003A5191" w:rsidRPr="00D97E94">
          <w:rPr>
            <w:rStyle w:val="Collegamentoipertestuale"/>
          </w:rPr>
          <w:t>Create an accessible and inclusive workplace</w:t>
        </w:r>
        <w:r w:rsidR="003A5191">
          <w:rPr>
            <w:webHidden/>
          </w:rPr>
          <w:tab/>
        </w:r>
        <w:r w:rsidR="003A5191">
          <w:rPr>
            <w:webHidden/>
          </w:rPr>
          <w:fldChar w:fldCharType="begin"/>
        </w:r>
        <w:r w:rsidR="003A5191">
          <w:rPr>
            <w:webHidden/>
          </w:rPr>
          <w:instrText xml:space="preserve"> PAGEREF _Toc118316299 \h </w:instrText>
        </w:r>
        <w:r w:rsidR="003A5191">
          <w:rPr>
            <w:webHidden/>
          </w:rPr>
        </w:r>
        <w:r w:rsidR="003A5191">
          <w:rPr>
            <w:webHidden/>
          </w:rPr>
          <w:fldChar w:fldCharType="separate"/>
        </w:r>
        <w:r w:rsidR="003A378B">
          <w:rPr>
            <w:webHidden/>
          </w:rPr>
          <w:t>32</w:t>
        </w:r>
        <w:r w:rsidR="003A5191">
          <w:rPr>
            <w:webHidden/>
          </w:rPr>
          <w:fldChar w:fldCharType="end"/>
        </w:r>
      </w:hyperlink>
    </w:p>
    <w:p w14:paraId="34D9FDCB" w14:textId="042902F7" w:rsidR="003A5191" w:rsidRDefault="003D2388">
      <w:pPr>
        <w:pStyle w:val="Sommario1"/>
        <w:rPr>
          <w:rFonts w:asciiTheme="minorHAnsi" w:eastAsiaTheme="minorEastAsia" w:hAnsiTheme="minorHAnsi" w:cstheme="minorBidi"/>
          <w:b w:val="0"/>
          <w:bCs w:val="0"/>
          <w:sz w:val="24"/>
          <w:szCs w:val="24"/>
          <w:lang w:val="it-IT" w:eastAsia="it-IT"/>
        </w:rPr>
      </w:pPr>
      <w:hyperlink w:anchor="_Toc118316300" w:history="1">
        <w:r w:rsidR="003A5191" w:rsidRPr="00D97E94">
          <w:rPr>
            <w:rStyle w:val="Collegamentoipertestuale"/>
          </w:rPr>
          <w:t>6.</w:t>
        </w:r>
        <w:r w:rsidR="003A5191">
          <w:rPr>
            <w:rFonts w:asciiTheme="minorHAnsi" w:eastAsiaTheme="minorEastAsia" w:hAnsiTheme="minorHAnsi" w:cstheme="minorBidi"/>
            <w:b w:val="0"/>
            <w:bCs w:val="0"/>
            <w:sz w:val="24"/>
            <w:szCs w:val="24"/>
            <w:lang w:val="it-IT" w:eastAsia="it-IT"/>
          </w:rPr>
          <w:tab/>
        </w:r>
        <w:r w:rsidR="003A5191" w:rsidRPr="00D97E94">
          <w:rPr>
            <w:rStyle w:val="Collegamentoipertestuale"/>
          </w:rPr>
          <w:t>Applying for statutory exemptions</w:t>
        </w:r>
        <w:r w:rsidR="003A5191">
          <w:rPr>
            <w:webHidden/>
          </w:rPr>
          <w:tab/>
        </w:r>
        <w:r w:rsidR="003A5191">
          <w:rPr>
            <w:webHidden/>
          </w:rPr>
          <w:fldChar w:fldCharType="begin"/>
        </w:r>
        <w:r w:rsidR="003A5191">
          <w:rPr>
            <w:webHidden/>
          </w:rPr>
          <w:instrText xml:space="preserve"> PAGEREF _Toc118316300 \h </w:instrText>
        </w:r>
        <w:r w:rsidR="003A5191">
          <w:rPr>
            <w:webHidden/>
          </w:rPr>
        </w:r>
        <w:r w:rsidR="003A5191">
          <w:rPr>
            <w:webHidden/>
          </w:rPr>
          <w:fldChar w:fldCharType="separate"/>
        </w:r>
        <w:r w:rsidR="003A378B">
          <w:rPr>
            <w:webHidden/>
          </w:rPr>
          <w:t>34</w:t>
        </w:r>
        <w:r w:rsidR="003A5191">
          <w:rPr>
            <w:webHidden/>
          </w:rPr>
          <w:fldChar w:fldCharType="end"/>
        </w:r>
      </w:hyperlink>
    </w:p>
    <w:p w14:paraId="29EA2A77" w14:textId="67BC6AA6" w:rsidR="003A5191" w:rsidRDefault="003D2388">
      <w:pPr>
        <w:pStyle w:val="Sommario2"/>
        <w:rPr>
          <w:rFonts w:asciiTheme="minorHAnsi" w:eastAsiaTheme="minorEastAsia" w:hAnsiTheme="minorHAnsi" w:cstheme="minorBidi"/>
          <w:bCs w:val="0"/>
          <w:sz w:val="24"/>
          <w:szCs w:val="24"/>
          <w:lang w:val="it-IT" w:eastAsia="it-IT"/>
        </w:rPr>
      </w:pPr>
      <w:hyperlink w:anchor="_Toc118316301" w:history="1">
        <w:r w:rsidR="003A5191" w:rsidRPr="00D97E94">
          <w:rPr>
            <w:rStyle w:val="Collegamentoipertestuale"/>
          </w:rPr>
          <w:t>6.1</w:t>
        </w:r>
        <w:r w:rsidR="003A5191">
          <w:rPr>
            <w:rFonts w:asciiTheme="minorHAnsi" w:eastAsiaTheme="minorEastAsia" w:hAnsiTheme="minorHAnsi" w:cstheme="minorBidi"/>
            <w:bCs w:val="0"/>
            <w:sz w:val="24"/>
            <w:szCs w:val="24"/>
            <w:lang w:val="it-IT" w:eastAsia="it-IT"/>
          </w:rPr>
          <w:tab/>
        </w:r>
        <w:r w:rsidR="003A5191" w:rsidRPr="00D97E94">
          <w:rPr>
            <w:rStyle w:val="Collegamentoipertestuale"/>
          </w:rPr>
          <w:t>New South Wales</w:t>
        </w:r>
        <w:r w:rsidR="003A5191">
          <w:rPr>
            <w:webHidden/>
          </w:rPr>
          <w:tab/>
        </w:r>
        <w:r w:rsidR="003A5191">
          <w:rPr>
            <w:webHidden/>
          </w:rPr>
          <w:fldChar w:fldCharType="begin"/>
        </w:r>
        <w:r w:rsidR="003A5191">
          <w:rPr>
            <w:webHidden/>
          </w:rPr>
          <w:instrText xml:space="preserve"> PAGEREF _Toc118316301 \h </w:instrText>
        </w:r>
        <w:r w:rsidR="003A5191">
          <w:rPr>
            <w:webHidden/>
          </w:rPr>
        </w:r>
        <w:r w:rsidR="003A5191">
          <w:rPr>
            <w:webHidden/>
          </w:rPr>
          <w:fldChar w:fldCharType="separate"/>
        </w:r>
        <w:r w:rsidR="003A378B">
          <w:rPr>
            <w:webHidden/>
          </w:rPr>
          <w:t>34</w:t>
        </w:r>
        <w:r w:rsidR="003A5191">
          <w:rPr>
            <w:webHidden/>
          </w:rPr>
          <w:fldChar w:fldCharType="end"/>
        </w:r>
      </w:hyperlink>
    </w:p>
    <w:p w14:paraId="176BE948" w14:textId="64D6325E" w:rsidR="003A5191" w:rsidRDefault="003D2388">
      <w:pPr>
        <w:pStyle w:val="Sommario2"/>
        <w:rPr>
          <w:rFonts w:asciiTheme="minorHAnsi" w:eastAsiaTheme="minorEastAsia" w:hAnsiTheme="minorHAnsi" w:cstheme="minorBidi"/>
          <w:bCs w:val="0"/>
          <w:sz w:val="24"/>
          <w:szCs w:val="24"/>
          <w:lang w:val="it-IT" w:eastAsia="it-IT"/>
        </w:rPr>
      </w:pPr>
      <w:hyperlink w:anchor="_Toc118316302" w:history="1">
        <w:r w:rsidR="003A5191" w:rsidRPr="00D97E94">
          <w:rPr>
            <w:rStyle w:val="Collegamentoipertestuale"/>
          </w:rPr>
          <w:t>6.2</w:t>
        </w:r>
        <w:r w:rsidR="003A5191">
          <w:rPr>
            <w:rFonts w:asciiTheme="minorHAnsi" w:eastAsiaTheme="minorEastAsia" w:hAnsiTheme="minorHAnsi" w:cstheme="minorBidi"/>
            <w:bCs w:val="0"/>
            <w:sz w:val="24"/>
            <w:szCs w:val="24"/>
            <w:lang w:val="it-IT" w:eastAsia="it-IT"/>
          </w:rPr>
          <w:tab/>
        </w:r>
        <w:r w:rsidR="003A5191" w:rsidRPr="00D97E94">
          <w:rPr>
            <w:rStyle w:val="Collegamentoipertestuale"/>
          </w:rPr>
          <w:t>Tasmania</w:t>
        </w:r>
        <w:r w:rsidR="003A5191">
          <w:rPr>
            <w:webHidden/>
          </w:rPr>
          <w:tab/>
        </w:r>
        <w:r w:rsidR="003A5191">
          <w:rPr>
            <w:webHidden/>
          </w:rPr>
          <w:fldChar w:fldCharType="begin"/>
        </w:r>
        <w:r w:rsidR="003A5191">
          <w:rPr>
            <w:webHidden/>
          </w:rPr>
          <w:instrText xml:space="preserve"> PAGEREF _Toc118316302 \h </w:instrText>
        </w:r>
        <w:r w:rsidR="003A5191">
          <w:rPr>
            <w:webHidden/>
          </w:rPr>
        </w:r>
        <w:r w:rsidR="003A5191">
          <w:rPr>
            <w:webHidden/>
          </w:rPr>
          <w:fldChar w:fldCharType="separate"/>
        </w:r>
        <w:r w:rsidR="003A378B">
          <w:rPr>
            <w:webHidden/>
          </w:rPr>
          <w:t>36</w:t>
        </w:r>
        <w:r w:rsidR="003A5191">
          <w:rPr>
            <w:webHidden/>
          </w:rPr>
          <w:fldChar w:fldCharType="end"/>
        </w:r>
      </w:hyperlink>
    </w:p>
    <w:p w14:paraId="21E11EAA" w14:textId="615BA598" w:rsidR="003A5191" w:rsidRDefault="003D2388">
      <w:pPr>
        <w:pStyle w:val="Sommario2"/>
        <w:rPr>
          <w:rFonts w:asciiTheme="minorHAnsi" w:eastAsiaTheme="minorEastAsia" w:hAnsiTheme="minorHAnsi" w:cstheme="minorBidi"/>
          <w:bCs w:val="0"/>
          <w:sz w:val="24"/>
          <w:szCs w:val="24"/>
          <w:lang w:val="it-IT" w:eastAsia="it-IT"/>
        </w:rPr>
      </w:pPr>
      <w:hyperlink w:anchor="_Toc118316303" w:history="1">
        <w:r w:rsidR="003A5191" w:rsidRPr="00D97E94">
          <w:rPr>
            <w:rStyle w:val="Collegamentoipertestuale"/>
          </w:rPr>
          <w:t>6.3</w:t>
        </w:r>
        <w:r w:rsidR="003A5191">
          <w:rPr>
            <w:rFonts w:asciiTheme="minorHAnsi" w:eastAsiaTheme="minorEastAsia" w:hAnsiTheme="minorHAnsi" w:cstheme="minorBidi"/>
            <w:bCs w:val="0"/>
            <w:sz w:val="24"/>
            <w:szCs w:val="24"/>
            <w:lang w:val="it-IT" w:eastAsia="it-IT"/>
          </w:rPr>
          <w:tab/>
        </w:r>
        <w:r w:rsidR="003A5191" w:rsidRPr="00D97E94">
          <w:rPr>
            <w:rStyle w:val="Collegamentoipertestuale"/>
          </w:rPr>
          <w:t>Other jurisdictions</w:t>
        </w:r>
        <w:r w:rsidR="003A5191">
          <w:rPr>
            <w:webHidden/>
          </w:rPr>
          <w:tab/>
        </w:r>
        <w:r w:rsidR="003A5191">
          <w:rPr>
            <w:webHidden/>
          </w:rPr>
          <w:fldChar w:fldCharType="begin"/>
        </w:r>
        <w:r w:rsidR="003A5191">
          <w:rPr>
            <w:webHidden/>
          </w:rPr>
          <w:instrText xml:space="preserve"> PAGEREF _Toc118316303 \h </w:instrText>
        </w:r>
        <w:r w:rsidR="003A5191">
          <w:rPr>
            <w:webHidden/>
          </w:rPr>
        </w:r>
        <w:r w:rsidR="003A5191">
          <w:rPr>
            <w:webHidden/>
          </w:rPr>
          <w:fldChar w:fldCharType="separate"/>
        </w:r>
        <w:r w:rsidR="003A378B">
          <w:rPr>
            <w:webHidden/>
          </w:rPr>
          <w:t>37</w:t>
        </w:r>
        <w:r w:rsidR="003A5191">
          <w:rPr>
            <w:webHidden/>
          </w:rPr>
          <w:fldChar w:fldCharType="end"/>
        </w:r>
      </w:hyperlink>
    </w:p>
    <w:p w14:paraId="54621960" w14:textId="6B1D7915" w:rsidR="003A5191" w:rsidRDefault="003D2388">
      <w:pPr>
        <w:pStyle w:val="Sommario1"/>
        <w:rPr>
          <w:rFonts w:asciiTheme="minorHAnsi" w:eastAsiaTheme="minorEastAsia" w:hAnsiTheme="minorHAnsi" w:cstheme="minorBidi"/>
          <w:b w:val="0"/>
          <w:bCs w:val="0"/>
          <w:sz w:val="24"/>
          <w:szCs w:val="24"/>
          <w:lang w:val="it-IT" w:eastAsia="it-IT"/>
        </w:rPr>
      </w:pPr>
      <w:hyperlink w:anchor="_Toc118316304" w:history="1">
        <w:r w:rsidR="003A5191" w:rsidRPr="00D97E94">
          <w:rPr>
            <w:rStyle w:val="Collegamentoipertestuale"/>
          </w:rPr>
          <w:t>7.</w:t>
        </w:r>
        <w:r w:rsidR="003A5191">
          <w:rPr>
            <w:rFonts w:asciiTheme="minorHAnsi" w:eastAsiaTheme="minorEastAsia" w:hAnsiTheme="minorHAnsi" w:cstheme="minorBidi"/>
            <w:b w:val="0"/>
            <w:bCs w:val="0"/>
            <w:sz w:val="24"/>
            <w:szCs w:val="24"/>
            <w:lang w:val="it-IT" w:eastAsia="it-IT"/>
          </w:rPr>
          <w:tab/>
        </w:r>
        <w:r w:rsidR="003A5191" w:rsidRPr="00D97E94">
          <w:rPr>
            <w:rStyle w:val="Collegamentoipertestuale"/>
          </w:rPr>
          <w:t>More information and contact details – Federal, state and territory bodies</w:t>
        </w:r>
        <w:r w:rsidR="003A5191">
          <w:rPr>
            <w:webHidden/>
          </w:rPr>
          <w:tab/>
        </w:r>
        <w:r w:rsidR="003A5191">
          <w:rPr>
            <w:webHidden/>
          </w:rPr>
          <w:fldChar w:fldCharType="begin"/>
        </w:r>
        <w:r w:rsidR="003A5191">
          <w:rPr>
            <w:webHidden/>
          </w:rPr>
          <w:instrText xml:space="preserve"> PAGEREF _Toc118316304 \h </w:instrText>
        </w:r>
        <w:r w:rsidR="003A5191">
          <w:rPr>
            <w:webHidden/>
          </w:rPr>
        </w:r>
        <w:r w:rsidR="003A5191">
          <w:rPr>
            <w:webHidden/>
          </w:rPr>
          <w:fldChar w:fldCharType="separate"/>
        </w:r>
        <w:r w:rsidR="003A378B">
          <w:rPr>
            <w:webHidden/>
          </w:rPr>
          <w:t>38</w:t>
        </w:r>
        <w:r w:rsidR="003A5191">
          <w:rPr>
            <w:webHidden/>
          </w:rPr>
          <w:fldChar w:fldCharType="end"/>
        </w:r>
      </w:hyperlink>
    </w:p>
    <w:p w14:paraId="52746BDD" w14:textId="7C3796C7" w:rsidR="003A5191" w:rsidRDefault="003D2388" w:rsidP="00BF05F7">
      <w:pPr>
        <w:pStyle w:val="Sommario4"/>
        <w:rPr>
          <w:rFonts w:asciiTheme="minorHAnsi" w:eastAsiaTheme="minorEastAsia" w:hAnsiTheme="minorHAnsi" w:cstheme="minorBidi"/>
          <w:sz w:val="24"/>
          <w:szCs w:val="24"/>
          <w:lang w:val="it-IT" w:eastAsia="it-IT"/>
        </w:rPr>
      </w:pPr>
      <w:hyperlink w:anchor="_Toc118316305" w:history="1">
        <w:r w:rsidR="003A5191" w:rsidRPr="00D97E94">
          <w:rPr>
            <w:rStyle w:val="Collegamentoipertestuale"/>
          </w:rPr>
          <w:t>Appendix – Template for documenting a targeted recruitment strategy addressing special measure criteria</w:t>
        </w:r>
        <w:r w:rsidR="003A5191">
          <w:rPr>
            <w:webHidden/>
          </w:rPr>
          <w:tab/>
        </w:r>
        <w:r w:rsidR="003A5191">
          <w:rPr>
            <w:webHidden/>
          </w:rPr>
          <w:fldChar w:fldCharType="begin"/>
        </w:r>
        <w:r w:rsidR="003A5191">
          <w:rPr>
            <w:webHidden/>
          </w:rPr>
          <w:instrText xml:space="preserve"> PAGEREF _Toc118316305 \h </w:instrText>
        </w:r>
        <w:r w:rsidR="003A5191">
          <w:rPr>
            <w:webHidden/>
          </w:rPr>
        </w:r>
        <w:r w:rsidR="003A5191">
          <w:rPr>
            <w:webHidden/>
          </w:rPr>
          <w:fldChar w:fldCharType="separate"/>
        </w:r>
        <w:r w:rsidR="003A378B">
          <w:rPr>
            <w:webHidden/>
          </w:rPr>
          <w:t>3</w:t>
        </w:r>
        <w:r w:rsidR="003A378B">
          <w:rPr>
            <w:webHidden/>
          </w:rPr>
          <w:t>9</w:t>
        </w:r>
        <w:r w:rsidR="003A5191">
          <w:rPr>
            <w:webHidden/>
          </w:rPr>
          <w:fldChar w:fldCharType="end"/>
        </w:r>
      </w:hyperlink>
    </w:p>
    <w:p w14:paraId="1DD477DF" w14:textId="575ADE04" w:rsidR="001E063A" w:rsidRDefault="00220A01" w:rsidP="001E063A">
      <w:r>
        <w:rPr>
          <w:rFonts w:eastAsiaTheme="minorEastAsia" w:cs="Open Sans"/>
          <w:noProof/>
          <w:sz w:val="22"/>
          <w:szCs w:val="22"/>
          <w:lang w:val="en-US" w:eastAsia="en-US"/>
        </w:rPr>
        <w:fldChar w:fldCharType="end"/>
      </w:r>
    </w:p>
    <w:p w14:paraId="5D78D60C" w14:textId="77777777" w:rsidR="001E063A" w:rsidRDefault="001E063A" w:rsidP="001E063A"/>
    <w:p w14:paraId="7B0757FC" w14:textId="3BA26BB2" w:rsidR="005B0C9C" w:rsidRDefault="005B0C9C">
      <w:pPr>
        <w:keepLines w:val="0"/>
        <w:spacing w:after="160" w:line="259" w:lineRule="auto"/>
      </w:pPr>
      <w:r>
        <w:br w:type="page"/>
      </w:r>
    </w:p>
    <w:p w14:paraId="13503798" w14:textId="52652E0B" w:rsidR="009A530B" w:rsidRDefault="00147919" w:rsidP="00147919">
      <w:pPr>
        <w:jc w:val="right"/>
      </w:pPr>
      <w:r>
        <w:rPr>
          <w:noProof/>
        </w:rPr>
        <w:drawing>
          <wp:inline distT="0" distB="0" distL="0" distR="0" wp14:anchorId="0EA43025" wp14:editId="30E840FB">
            <wp:extent cx="3498096" cy="2072421"/>
            <wp:effectExtent l="0" t="0" r="0" b="0"/>
            <wp:docPr id="4" name="Immagine 4" descr="Headshot image of Dr Ben Gauntlett, Disability Discrimination Commissioner, Australian Human Right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Headshot image of Dr Ben Gauntlett, Disability Discrimination Commissioner, Australian Human Rights Commissi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9145" cy="2120438"/>
                    </a:xfrm>
                    <a:prstGeom prst="rect">
                      <a:avLst/>
                    </a:prstGeom>
                  </pic:spPr>
                </pic:pic>
              </a:graphicData>
            </a:graphic>
          </wp:inline>
        </w:drawing>
      </w:r>
    </w:p>
    <w:p w14:paraId="5E774E21" w14:textId="77777777" w:rsidR="000B6852" w:rsidRDefault="001E063A" w:rsidP="009A530B">
      <w:pPr>
        <w:pStyle w:val="Titolo5"/>
      </w:pPr>
      <w:bookmarkStart w:id="1" w:name="_Toc118316265"/>
      <w:r w:rsidRPr="002151DA">
        <w:t>Foreword</w:t>
      </w:r>
      <w:bookmarkEnd w:id="1"/>
    </w:p>
    <w:p w14:paraId="736DD35A" w14:textId="77777777" w:rsidR="001E063A" w:rsidRDefault="001E063A" w:rsidP="001E063A">
      <w:r>
        <w:t>The employment of people with disability is a critical issue for all Australians.</w:t>
      </w:r>
    </w:p>
    <w:p w14:paraId="57521EBA" w14:textId="6AFCFC62" w:rsidR="001E063A" w:rsidRDefault="001E063A" w:rsidP="001E063A">
      <w:r>
        <w:t>However, the rate of employment of people with disability in Australia has remained stagnant for decades. As a country, we need to do more. We know employment and economic participation are good for</w:t>
      </w:r>
      <w:r w:rsidR="00725F1C">
        <w:t xml:space="preserve"> an individual</w:t>
      </w:r>
      <w:r>
        <w:t xml:space="preserve">’s self-esteem, </w:t>
      </w:r>
      <w:proofErr w:type="gramStart"/>
      <w:r>
        <w:t>health</w:t>
      </w:r>
      <w:proofErr w:type="gramEnd"/>
      <w:r>
        <w:t xml:space="preserve"> and financial independence. These benefits are magnified for people with disability.</w:t>
      </w:r>
    </w:p>
    <w:p w14:paraId="0471A94E" w14:textId="77777777" w:rsidR="001E063A" w:rsidRDefault="001E063A" w:rsidP="001E063A">
      <w:r>
        <w:t>The justification that is often forgotten when discussing the employment of people with disability is the long-term benefit to the employer. People with disability are hard-working and diligent employees who enable organisations to better understand and cater for a significant group of people in the community.</w:t>
      </w:r>
    </w:p>
    <w:p w14:paraId="1778BFC0" w14:textId="066B25B5" w:rsidR="001E063A" w:rsidRDefault="001E063A" w:rsidP="001E063A">
      <w:r>
        <w:t>We need to explore novel and unique methods to ensure people with disability obtain not just a job, but a good job.</w:t>
      </w:r>
    </w:p>
    <w:p w14:paraId="0E60D4E3" w14:textId="734317B4" w:rsidR="001E063A" w:rsidRDefault="001E063A" w:rsidP="001E063A">
      <w:r>
        <w:t xml:space="preserve">One method an employer </w:t>
      </w:r>
      <w:r w:rsidR="005C4B95">
        <w:t xml:space="preserve">can </w:t>
      </w:r>
      <w:r>
        <w:t xml:space="preserve">use to </w:t>
      </w:r>
      <w:r w:rsidR="005C4B95">
        <w:t xml:space="preserve">increase </w:t>
      </w:r>
      <w:r w:rsidR="00674218">
        <w:t>its</w:t>
      </w:r>
      <w:r w:rsidR="005C4B95">
        <w:t xml:space="preserve"> number of</w:t>
      </w:r>
      <w:r>
        <w:t xml:space="preserve"> </w:t>
      </w:r>
      <w:r w:rsidR="00674218">
        <w:t xml:space="preserve">employees </w:t>
      </w:r>
      <w:r>
        <w:t xml:space="preserve">with disability is to undertake a targeted recruitment </w:t>
      </w:r>
      <w:r w:rsidR="008E0F58">
        <w:t>strategy</w:t>
      </w:r>
      <w:r>
        <w:t xml:space="preserve">, which is a recruitment campaign that </w:t>
      </w:r>
      <w:r w:rsidR="008E0F58">
        <w:t xml:space="preserve">solely </w:t>
      </w:r>
      <w:r>
        <w:t xml:space="preserve">targets people with disability. This is potentially a form of ’special measure’ that makes such </w:t>
      </w:r>
      <w:r w:rsidR="008E0F58">
        <w:t xml:space="preserve">a </w:t>
      </w:r>
      <w:r>
        <w:t xml:space="preserve">targeted campaign lawful under the </w:t>
      </w:r>
      <w:r w:rsidRPr="006B7046">
        <w:rPr>
          <w:rStyle w:val="Enfasicorsivo"/>
        </w:rPr>
        <w:t>Disability Discrimination Act 1992</w:t>
      </w:r>
      <w:r w:rsidRPr="006B7046">
        <w:t xml:space="preserve"> </w:t>
      </w:r>
      <w:r>
        <w:t>(Cth) (</w:t>
      </w:r>
      <w:r w:rsidRPr="006B7046">
        <w:rPr>
          <w:rStyle w:val="Enfasigrassetto"/>
        </w:rPr>
        <w:t>Disability Discrimination Act</w:t>
      </w:r>
      <w:r>
        <w:t>) and state and territory equal opportunity or anti-discrimination legislation.</w:t>
      </w:r>
    </w:p>
    <w:p w14:paraId="33D3BB6B" w14:textId="748F00D7" w:rsidR="001E063A" w:rsidRDefault="00AF3324" w:rsidP="001E063A">
      <w:r>
        <w:t xml:space="preserve">There are many misconceptions concerning targeted recruitment campaigns, and the Guidelines for the Targeted Recruitment of People with Disability (the Guidelines) seek to ameliorate some of those concerns. In short, aside from New South Wales (and noting the </w:t>
      </w:r>
      <w:proofErr w:type="gramStart"/>
      <w:r>
        <w:t>particular view</w:t>
      </w:r>
      <w:proofErr w:type="gramEnd"/>
      <w:r>
        <w:t xml:space="preserve"> adopted in Tasmania), there is no need to get any form of authorisation before undertaking a targeted recruitment campaign provided that it can be considered a ’special measure’.</w:t>
      </w:r>
    </w:p>
    <w:p w14:paraId="7EA3A8A4" w14:textId="77777777" w:rsidR="003E224E" w:rsidRDefault="003E224E">
      <w:pPr>
        <w:keepLines w:val="0"/>
        <w:spacing w:after="160" w:line="259" w:lineRule="auto"/>
      </w:pPr>
      <w:r>
        <w:br w:type="page"/>
      </w:r>
    </w:p>
    <w:p w14:paraId="5CC9BF20" w14:textId="55C4EC22" w:rsidR="001E063A" w:rsidRDefault="001E063A" w:rsidP="001E063A">
      <w:r>
        <w:t>Th</w:t>
      </w:r>
      <w:r w:rsidR="00AF3324">
        <w:t>e</w:t>
      </w:r>
      <w:r>
        <w:t xml:space="preserve"> </w:t>
      </w:r>
      <w:r w:rsidR="00AF3324">
        <w:t>G</w:t>
      </w:r>
      <w:r>
        <w:t>uide</w:t>
      </w:r>
      <w:r w:rsidR="00AF3324">
        <w:t>lines</w:t>
      </w:r>
      <w:r>
        <w:t xml:space="preserve"> </w:t>
      </w:r>
      <w:r w:rsidR="00F66456">
        <w:t>are</w:t>
      </w:r>
      <w:r>
        <w:t xml:space="preserve"> produced as part of </w:t>
      </w:r>
      <w:r w:rsidR="00F66456">
        <w:t xml:space="preserve">the </w:t>
      </w:r>
      <w:r>
        <w:t>Australian Human Rights Commission’s IncludeAbility Project (</w:t>
      </w:r>
      <w:hyperlink r:id="rId21" w:history="1">
        <w:r w:rsidRPr="00D96758">
          <w:rPr>
            <w:rStyle w:val="Collegamentoipertestuale"/>
          </w:rPr>
          <w:t>www.includeability.gov.au</w:t>
        </w:r>
      </w:hyperlink>
      <w:r>
        <w:t>). The Project is designed to support employers to create meaningful employment opportunities for people with disability</w:t>
      </w:r>
      <w:r w:rsidR="00E556EB">
        <w:t xml:space="preserve">. It is </w:t>
      </w:r>
      <w:r>
        <w:t>funded by the Paul Ramsay Foundation and the Australian Department of Social Services.</w:t>
      </w:r>
    </w:p>
    <w:p w14:paraId="42B624DD" w14:textId="5FBB6DE0" w:rsidR="001E063A" w:rsidRPr="00146895" w:rsidRDefault="001E063A" w:rsidP="00C3080F">
      <w:pPr>
        <w:spacing w:after="240"/>
      </w:pPr>
      <w:r>
        <w:t xml:space="preserve">We would like to thank Herbert Smith Freehills, an IncludeAbility Employer Network Member, for its pro bono assistance in completing the </w:t>
      </w:r>
      <w:r w:rsidR="00F66456">
        <w:t>G</w:t>
      </w:r>
      <w:r>
        <w:t>uide</w:t>
      </w:r>
      <w:r w:rsidR="00F66456">
        <w:t>lines</w:t>
      </w:r>
      <w:r>
        <w:t>.</w:t>
      </w:r>
    </w:p>
    <w:bookmarkEnd w:id="0"/>
    <w:p w14:paraId="60B0FDE3" w14:textId="544B032D" w:rsidR="001E063A" w:rsidRPr="002151DA" w:rsidRDefault="00C3080F" w:rsidP="001E063A">
      <w:pPr>
        <w:rPr>
          <w:rFonts w:cs="Open Sans"/>
        </w:rPr>
      </w:pPr>
      <w:r>
        <w:rPr>
          <w:rFonts w:cs="Open Sans"/>
          <w:noProof/>
        </w:rPr>
        <w:drawing>
          <wp:inline distT="0" distB="0" distL="0" distR="0" wp14:anchorId="5CC5C67D" wp14:editId="569B885E">
            <wp:extent cx="1619218" cy="558351"/>
            <wp:effectExtent l="0" t="0" r="0" b="635"/>
            <wp:docPr id="19" name="Immagine 19" descr="Signature Ben Gauntlett, Disability Discrimination Commissioner, Australian Human Right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Signature Ben Gauntlett, Disability Discrimination Commissioner, Australian Human Rights Commission"/>
                    <pic:cNvPicPr/>
                  </pic:nvPicPr>
                  <pic:blipFill>
                    <a:blip r:embed="rId22" cstate="screen">
                      <a:extLst>
                        <a:ext uri="{28A0092B-C50C-407E-A947-70E740481C1C}">
                          <a14:useLocalDpi xmlns:a14="http://schemas.microsoft.com/office/drawing/2010/main"/>
                        </a:ext>
                      </a:extLst>
                    </a:blip>
                    <a:stretch>
                      <a:fillRect/>
                    </a:stretch>
                  </pic:blipFill>
                  <pic:spPr>
                    <a:xfrm>
                      <a:off x="0" y="0"/>
                      <a:ext cx="1683807" cy="580623"/>
                    </a:xfrm>
                    <a:prstGeom prst="rect">
                      <a:avLst/>
                    </a:prstGeom>
                  </pic:spPr>
                </pic:pic>
              </a:graphicData>
            </a:graphic>
          </wp:inline>
        </w:drawing>
      </w:r>
    </w:p>
    <w:p w14:paraId="2C73ED50" w14:textId="77777777" w:rsidR="00686329" w:rsidRDefault="001E063A" w:rsidP="00E30545">
      <w:r w:rsidRPr="006B7046">
        <w:rPr>
          <w:rStyle w:val="Enfasigrassetto"/>
        </w:rPr>
        <w:t>Dr Ben Gauntlett</w:t>
      </w:r>
      <w:r w:rsidRPr="006B7046">
        <w:br/>
      </w:r>
      <w:r w:rsidRPr="00622613">
        <w:t>Disability Discrimination Commissioner</w:t>
      </w:r>
    </w:p>
    <w:p w14:paraId="22370058" w14:textId="7663F0CC" w:rsidR="00EC5225" w:rsidRDefault="00EC5225" w:rsidP="00E30545">
      <w:r>
        <w:br w:type="page"/>
      </w:r>
    </w:p>
    <w:p w14:paraId="52E40D9C" w14:textId="77777777" w:rsidR="000B6852" w:rsidRDefault="001E063A" w:rsidP="009A530B">
      <w:pPr>
        <w:pStyle w:val="Titolo5"/>
      </w:pPr>
      <w:bookmarkStart w:id="2" w:name="_Toc118316266"/>
      <w:r w:rsidRPr="00A41387">
        <w:t>Executive summary</w:t>
      </w:r>
      <w:bookmarkEnd w:id="2"/>
    </w:p>
    <w:p w14:paraId="70402042" w14:textId="5728FE02" w:rsidR="00EC5225" w:rsidRDefault="001E063A" w:rsidP="001E063A">
      <w:pPr>
        <w:rPr>
          <w:lang w:eastAsia="en-US"/>
        </w:rPr>
      </w:pPr>
      <w:r>
        <w:rPr>
          <w:lang w:eastAsia="en-US"/>
        </w:rPr>
        <w:t>More than 4 million people in Australia have a disability, yet this significant part of the population is being left behind in the labour market.</w:t>
      </w:r>
      <w:r>
        <w:rPr>
          <w:rStyle w:val="Rimandonotadichiusura"/>
          <w:lang w:eastAsia="en-US"/>
        </w:rPr>
        <w:endnoteReference w:id="2"/>
      </w:r>
      <w:r>
        <w:rPr>
          <w:lang w:eastAsia="en-US"/>
        </w:rPr>
        <w:t xml:space="preserve"> Currently, the employment rate for people with disability who are of working age is just 48%, compared with 80% of people without disability.</w:t>
      </w:r>
      <w:r>
        <w:rPr>
          <w:rStyle w:val="Rimandonotadichiusura"/>
          <w:lang w:eastAsia="en-US"/>
        </w:rPr>
        <w:endnoteReference w:id="3"/>
      </w:r>
      <w:r>
        <w:rPr>
          <w:lang w:eastAsia="en-US"/>
        </w:rPr>
        <w:t xml:space="preserve"> </w:t>
      </w:r>
    </w:p>
    <w:p w14:paraId="16D7F1B4" w14:textId="0ED677D0" w:rsidR="001E063A" w:rsidRDefault="001E063A" w:rsidP="001E063A">
      <w:pPr>
        <w:rPr>
          <w:lang w:eastAsia="en-US"/>
        </w:rPr>
      </w:pPr>
      <w:r>
        <w:rPr>
          <w:lang w:eastAsia="en-US"/>
        </w:rPr>
        <w:t>Th</w:t>
      </w:r>
      <w:r w:rsidR="0093780F">
        <w:rPr>
          <w:lang w:eastAsia="en-US"/>
        </w:rPr>
        <w:t>ese numbers</w:t>
      </w:r>
      <w:r>
        <w:rPr>
          <w:lang w:eastAsia="en-US"/>
        </w:rPr>
        <w:t xml:space="preserve"> reinforce that employers can do far more to tap into the talents and expertise of this diverse group. If we work together to address th</w:t>
      </w:r>
      <w:r w:rsidR="00862266">
        <w:rPr>
          <w:lang w:eastAsia="en-US"/>
        </w:rPr>
        <w:t>e</w:t>
      </w:r>
      <w:r>
        <w:rPr>
          <w:lang w:eastAsia="en-US"/>
        </w:rPr>
        <w:t xml:space="preserve"> employment gap, everybody benefits.</w:t>
      </w:r>
    </w:p>
    <w:p w14:paraId="0CB9B3A3" w14:textId="20DA158B" w:rsidR="00686329" w:rsidRDefault="001E063A" w:rsidP="001E063A">
      <w:pPr>
        <w:rPr>
          <w:lang w:eastAsia="en-US"/>
        </w:rPr>
      </w:pPr>
      <w:r>
        <w:rPr>
          <w:lang w:eastAsia="en-US"/>
        </w:rPr>
        <w:t>The benefits of improving employment opportunities for people with disability are clear</w:t>
      </w:r>
      <w:r w:rsidR="009D24A9">
        <w:rPr>
          <w:lang w:eastAsia="en-US"/>
        </w:rPr>
        <w:t xml:space="preserve"> with individuals, businesses, </w:t>
      </w:r>
      <w:proofErr w:type="gramStart"/>
      <w:r w:rsidR="009D24A9">
        <w:rPr>
          <w:lang w:eastAsia="en-US"/>
        </w:rPr>
        <w:t>society</w:t>
      </w:r>
      <w:proofErr w:type="gramEnd"/>
      <w:r w:rsidR="009D24A9">
        <w:rPr>
          <w:lang w:eastAsia="en-US"/>
        </w:rPr>
        <w:t xml:space="preserve"> and the economy all benefiting</w:t>
      </w:r>
      <w:r>
        <w:rPr>
          <w:lang w:eastAsia="en-US"/>
        </w:rPr>
        <w:t>.</w:t>
      </w:r>
    </w:p>
    <w:p w14:paraId="7D2C2025" w14:textId="48FDF230" w:rsidR="00686329" w:rsidRDefault="00686329" w:rsidP="005B0C9C">
      <w:pPr>
        <w:keepLines w:val="0"/>
        <w:spacing w:after="160" w:line="259" w:lineRule="auto"/>
        <w:rPr>
          <w:lang w:eastAsia="en-US"/>
        </w:rPr>
      </w:pPr>
      <w:r>
        <w:rPr>
          <w:lang w:eastAsia="en-US"/>
        </w:rPr>
        <w:br w:type="page"/>
      </w:r>
    </w:p>
    <w:p w14:paraId="2FC1AE4E" w14:textId="6E636F89" w:rsidR="0006639B" w:rsidRDefault="00D85A77" w:rsidP="001E063A">
      <w:pPr>
        <w:rPr>
          <w:lang w:eastAsia="en-US"/>
        </w:rPr>
      </w:pPr>
      <w:r>
        <w:rPr>
          <w:noProof/>
        </w:rPr>
        <w:drawing>
          <wp:inline distT="0" distB="0" distL="0" distR="0" wp14:anchorId="7E1E3ABB" wp14:editId="178331DC">
            <wp:extent cx="5731200" cy="8341200"/>
            <wp:effectExtent l="0" t="0" r="0" b="3175"/>
            <wp:docPr id="3" name="Immagine 3" descr="NFOGRAPHIC - IMPROVING EMPLOYMENT OPPORTUNITIES&#10;&#10;Four panels containing the following information.&#10;&#10;Panel 1: &#10;Individuals – contributing to financial independence, identity, and self-worth, and upholding the right for individuals with disability to have a job.*&#10;&#10;* Australian Human Rights Commission, IncludeAbility, ‘Factsheet: The economic and business benefits of employing people with disability’, 2021. At https://includeability.gov.au/resources-employers (viewed 3 August 2022). See also Commonwealth of Australia (Department of Social Services), Australia’s Disability Strategy 2021-2031, 2021, 9-10. At https://www.disabilitygateway.gov.au/document/3106 (viewed 3 August 2022).&#10;&#10;Panel 2: &#10;Businesses – an Accenture report found that 45 companies that identified as ‘Disability Inclusion Champions’ outperformed 95 other companies chosen as part of a sample. Champions achieved, on average, 28% higher revenue, double the net income and 30% higher profit margins over the four-year period analysed. This suggests that more profitable companies tend to have disability inclusion initiatives.*&#10;&#10;* Accenture with Disability:IN and American Association of People with Disabilities, Getting to Equal: The Disability Inclusion Advantage, Research Report, 2018. At https://www.accenture.com/_acnmedia/PDF-89/Accenture-Disability-Inclusion-Research-Report.pdf (viewed 3 August 2022).&#10;&#10;Panel 3: &#10;Society – creating a more inclusive society, where the diversity of employees reflects the community they work for.*&#10;&#10;* Australian Human Rights Commission, IncludeAbility, ‘Disability and Employment in Australia’, 2021. At https://includeability.gov.au/resources-employers/disability-and-employment-australia (viewed 3 August 2022).&#10;  &#10;Panel 4: &#10;The Australian economy – boosting Gross Domestic Product by approximately $50 billion by 2050 by increasing labour force participation of people with disability to 70%.*&#10;&#10;* Australian Human Rights Commission, Willing to Work, National Inquiry into Employment Discrimination Against Older Australians and Australians with Disability, 2016, 12, citing PricewaterhouseCoopers, Disability expectations: Investing in a better life, a stronger Australia (2011), 26. At https://humanrights.gov.au/our-work/disability-rights/publications/willing-work-national-inquiry-employment-discrimination (viewed 3 Augus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NFOGRAPHIC - IMPROVING EMPLOYMENT OPPORTUNITIES&#10;&#10;Four panels containing the following information.&#10;&#10;Panel 1: &#10;Individuals – contributing to financial independence, identity, and self-worth, and upholding the right for individuals with disability to have a job.*&#10;&#10;* Australian Human Rights Commission, IncludeAbility, ‘Factsheet: The economic and business benefits of employing people with disability’, 2021. At https://includeability.gov.au/resources-employers (viewed 3 August 2022). See also Commonwealth of Australia (Department of Social Services), Australia’s Disability Strategy 2021-2031, 2021, 9-10. At https://www.disabilitygateway.gov.au/document/3106 (viewed 3 August 2022).&#10;&#10;Panel 2: &#10;Businesses – an Accenture report found that 45 companies that identified as ‘Disability Inclusion Champions’ outperformed 95 other companies chosen as part of a sample. Champions achieved, on average, 28% higher revenue, double the net income and 30% higher profit margins over the four-year period analysed. This suggests that more profitable companies tend to have disability inclusion initiatives.*&#10;&#10;* Accenture with Disability:IN and American Association of People with Disabilities, Getting to Equal: The Disability Inclusion Advantage, Research Report, 2018. At https://www.accenture.com/_acnmedia/PDF-89/Accenture-Disability-Inclusion-Research-Report.pdf (viewed 3 August 2022).&#10;&#10;Panel 3: &#10;Society – creating a more inclusive society, where the diversity of employees reflects the community they work for.*&#10;&#10;* Australian Human Rights Commission, IncludeAbility, ‘Disability and Employment in Australia’, 2021. At https://includeability.gov.au/resources-employers/disability-and-employment-australia (viewed 3 August 2022).&#10;  &#10;Panel 4: &#10;The Australian economy – boosting Gross Domestic Product by approximately $50 billion by 2050 by increasing labour force participation of people with disability to 70%.*&#10;&#10;* Australian Human Rights Commission, Willing to Work, National Inquiry into Employment Discrimination Against Older Australians and Australians with Disability, 2016, 12, citing PricewaterhouseCoopers, Disability expectations: Investing in a better life, a stronger Australia (2011), 26. At https://humanrights.gov.au/our-work/disability-rights/publications/willing-work-national-inquiry-employment-discrimination (viewed 3 August 2022)."/>
                    <pic:cNvPicPr/>
                  </pic:nvPicPr>
                  <pic:blipFill>
                    <a:blip r:embed="rId23" cstate="screen">
                      <a:extLst>
                        <a:ext uri="{28A0092B-C50C-407E-A947-70E740481C1C}">
                          <a14:useLocalDpi xmlns:a14="http://schemas.microsoft.com/office/drawing/2010/main"/>
                        </a:ext>
                      </a:extLst>
                    </a:blip>
                    <a:stretch>
                      <a:fillRect/>
                    </a:stretch>
                  </pic:blipFill>
                  <pic:spPr>
                    <a:xfrm>
                      <a:off x="0" y="0"/>
                      <a:ext cx="5731200" cy="8341200"/>
                    </a:xfrm>
                    <a:prstGeom prst="rect">
                      <a:avLst/>
                    </a:prstGeom>
                  </pic:spPr>
                </pic:pic>
              </a:graphicData>
            </a:graphic>
          </wp:inline>
        </w:drawing>
      </w:r>
    </w:p>
    <w:p w14:paraId="6C6CCADC" w14:textId="0D204316" w:rsidR="001E063A" w:rsidRDefault="001E063A" w:rsidP="001E063A">
      <w:pPr>
        <w:rPr>
          <w:lang w:eastAsia="en-US"/>
        </w:rPr>
      </w:pPr>
      <w:r>
        <w:rPr>
          <w:lang w:eastAsia="en-US"/>
        </w:rPr>
        <w:t>To achieve the</w:t>
      </w:r>
      <w:r w:rsidR="0064250E">
        <w:rPr>
          <w:lang w:eastAsia="en-US"/>
        </w:rPr>
        <w:t xml:space="preserve"> full</w:t>
      </w:r>
      <w:r>
        <w:rPr>
          <w:lang w:eastAsia="en-US"/>
        </w:rPr>
        <w:t xml:space="preserve"> benefits, a multi-faceted focus on the </w:t>
      </w:r>
      <w:r w:rsidRPr="00405FD8">
        <w:rPr>
          <w:rStyle w:val="Enfasigrassetto"/>
        </w:rPr>
        <w:t>recruitment</w:t>
      </w:r>
      <w:r w:rsidRPr="006339BE">
        <w:t>,</w:t>
      </w:r>
      <w:r w:rsidRPr="00405FD8">
        <w:rPr>
          <w:rStyle w:val="Enfasigrassetto"/>
        </w:rPr>
        <w:t xml:space="preserve"> </w:t>
      </w:r>
      <w:proofErr w:type="gramStart"/>
      <w:r w:rsidRPr="00405FD8">
        <w:rPr>
          <w:rStyle w:val="Enfasigrassetto"/>
        </w:rPr>
        <w:t>retention</w:t>
      </w:r>
      <w:proofErr w:type="gramEnd"/>
      <w:r w:rsidRPr="006B7046">
        <w:t xml:space="preserve"> </w:t>
      </w:r>
      <w:r>
        <w:rPr>
          <w:lang w:eastAsia="en-US"/>
        </w:rPr>
        <w:t xml:space="preserve">and </w:t>
      </w:r>
      <w:r w:rsidRPr="00405FD8">
        <w:rPr>
          <w:rStyle w:val="Enfasigrassetto"/>
        </w:rPr>
        <w:t>advancement</w:t>
      </w:r>
      <w:r>
        <w:rPr>
          <w:lang w:eastAsia="en-US"/>
        </w:rPr>
        <w:t xml:space="preserve"> of employees with disability is critical to achieving strong employment outcomes for individuals, employers and the community as a whole.</w:t>
      </w:r>
    </w:p>
    <w:p w14:paraId="24AF43CC" w14:textId="29BA4C6E" w:rsidR="001E063A" w:rsidRDefault="001E063A" w:rsidP="001E063A">
      <w:pPr>
        <w:rPr>
          <w:lang w:eastAsia="en-US"/>
        </w:rPr>
      </w:pPr>
      <w:r>
        <w:rPr>
          <w:lang w:eastAsia="en-US"/>
        </w:rPr>
        <w:t xml:space="preserve">As part of broader comprehensive employer strategies to </w:t>
      </w:r>
      <w:r w:rsidR="00D77C6C">
        <w:rPr>
          <w:lang w:eastAsia="en-US"/>
        </w:rPr>
        <w:t xml:space="preserve">achieve </w:t>
      </w:r>
      <w:r>
        <w:rPr>
          <w:lang w:eastAsia="en-US"/>
        </w:rPr>
        <w:t>greater workforce diversity, targeted recruitment strategies are crucial to addressing the discrimination and attitudinal, systemic, and structural barriers faced by people with disability in securing work opportunities. They are also key to achieving inclusive workplaces and communities.</w:t>
      </w:r>
    </w:p>
    <w:p w14:paraId="72C8B5E8" w14:textId="77777777" w:rsidR="001E063A" w:rsidRPr="00084D7F" w:rsidRDefault="001E063A" w:rsidP="009A530B">
      <w:pPr>
        <w:pStyle w:val="Titolo6"/>
        <w:rPr>
          <w:bCs/>
        </w:rPr>
      </w:pPr>
      <w:bookmarkStart w:id="3" w:name="_Toc111121569"/>
      <w:bookmarkStart w:id="4" w:name="_Toc117886742"/>
      <w:bookmarkStart w:id="5" w:name="_Toc118316267"/>
      <w:r w:rsidRPr="00084D7F">
        <w:t xml:space="preserve">What is a </w:t>
      </w:r>
      <w:r w:rsidRPr="009A530B">
        <w:t>targeted</w:t>
      </w:r>
      <w:r w:rsidRPr="00084D7F">
        <w:t xml:space="preserve"> recruitment strategy?</w:t>
      </w:r>
      <w:bookmarkEnd w:id="3"/>
      <w:bookmarkEnd w:id="4"/>
      <w:bookmarkEnd w:id="5"/>
    </w:p>
    <w:p w14:paraId="53A62D07" w14:textId="77777777" w:rsidR="00FE1231" w:rsidRDefault="001E063A" w:rsidP="00FE1231">
      <w:r>
        <w:t>Under a targeted recruitment strategy, employers target their recruitment of roles towards people with disability (or a particular disability), for example to increase equality, or for roles which are themselves directed to meeting the special needs</w:t>
      </w:r>
      <w:r>
        <w:rPr>
          <w:rStyle w:val="Rimandonotadichiusura"/>
        </w:rPr>
        <w:endnoteReference w:id="4"/>
      </w:r>
      <w:r>
        <w:t xml:space="preserve"> of people with disability (or a particular disability).</w:t>
      </w:r>
    </w:p>
    <w:p w14:paraId="6BD40BB0" w14:textId="27DBB291" w:rsidR="001E063A" w:rsidRPr="00084D7F" w:rsidRDefault="001E063A" w:rsidP="00FE1231">
      <w:pPr>
        <w:pStyle w:val="Titolo6"/>
        <w:rPr>
          <w:bCs/>
        </w:rPr>
      </w:pPr>
      <w:bookmarkStart w:id="6" w:name="_Toc111121570"/>
      <w:bookmarkStart w:id="7" w:name="_Toc117886743"/>
      <w:bookmarkStart w:id="8" w:name="_Toc118316268"/>
      <w:r w:rsidRPr="00084D7F">
        <w:t>What is a special measure?</w:t>
      </w:r>
      <w:bookmarkEnd w:id="6"/>
      <w:bookmarkEnd w:id="7"/>
      <w:bookmarkEnd w:id="8"/>
    </w:p>
    <w:p w14:paraId="40D15F11" w14:textId="77777777" w:rsidR="001E063A" w:rsidRDefault="001E063A" w:rsidP="001E063A">
      <w:pPr>
        <w:keepNext/>
      </w:pPr>
      <w:r>
        <w:t>A ‘s</w:t>
      </w:r>
      <w:r w:rsidRPr="00C00D40">
        <w:t>pecial measure</w:t>
      </w:r>
      <w:r>
        <w:t>’</w:t>
      </w:r>
      <w:r>
        <w:rPr>
          <w:rStyle w:val="Rimandonotadichiusura"/>
        </w:rPr>
        <w:endnoteReference w:id="5"/>
      </w:r>
      <w:r w:rsidRPr="00C00D40">
        <w:t xml:space="preserve"> is</w:t>
      </w:r>
      <w:r>
        <w:t xml:space="preserve"> </w:t>
      </w:r>
      <w:r w:rsidRPr="00C00D40">
        <w:t>a</w:t>
      </w:r>
      <w:r>
        <w:t xml:space="preserve"> positive</w:t>
      </w:r>
      <w:r w:rsidRPr="00C00D40">
        <w:t xml:space="preserve"> action taken to </w:t>
      </w:r>
      <w:r>
        <w:t>promote equality for</w:t>
      </w:r>
      <w:r w:rsidRPr="00C00D40">
        <w:t xml:space="preserve"> </w:t>
      </w:r>
      <w:r>
        <w:t xml:space="preserve">a </w:t>
      </w:r>
      <w:r w:rsidRPr="00C00D40">
        <w:t xml:space="preserve">group of people </w:t>
      </w:r>
      <w:r>
        <w:t xml:space="preserve">with a protected attribute, such as disability, </w:t>
      </w:r>
      <w:proofErr w:type="gramStart"/>
      <w:r>
        <w:t>in order to</w:t>
      </w:r>
      <w:proofErr w:type="gramEnd"/>
      <w:r>
        <w:t xml:space="preserve"> overcome the entrenched disadvantage that the people in that group face. It may be an act that is intended to ensure equality of opportunity for the group or to meet their special needs. </w:t>
      </w:r>
      <w:r w:rsidRPr="00C00D40">
        <w:t>Special measures are sometimes described as acts of ‘positive discrimination’</w:t>
      </w:r>
      <w:r>
        <w:t xml:space="preserve"> or ‘affirmative action’.</w:t>
      </w:r>
    </w:p>
    <w:p w14:paraId="3B38DA08" w14:textId="6B12DC98" w:rsidR="001E063A" w:rsidRDefault="001E063A" w:rsidP="001E063A">
      <w:r>
        <w:t xml:space="preserve">A targeted recruitment strategy can be an example of a special measure, </w:t>
      </w:r>
      <w:proofErr w:type="gramStart"/>
      <w:r>
        <w:t>provided that</w:t>
      </w:r>
      <w:proofErr w:type="gramEnd"/>
      <w:r>
        <w:t xml:space="preserve"> it meets the legislative requirements of a ‘special measure’ under the Disability Discrimination Act and applicable state or territory anti-discrimination law provisions.</w:t>
      </w:r>
    </w:p>
    <w:p w14:paraId="708BE55C" w14:textId="6B2EBA48" w:rsidR="00D37887" w:rsidRDefault="001E063A" w:rsidP="00686329">
      <w:r>
        <w:t>If a program like a targeted recruitment strategy is a special measure, then it does not amount to unlawful discrimination under federal, state or territory anti-discrimination law. However, there is no ‘special measure’ provision in the relevant New South Wales</w:t>
      </w:r>
      <w:r w:rsidR="0038767D">
        <w:t xml:space="preserve"> (NSW)</w:t>
      </w:r>
      <w:r>
        <w:t xml:space="preserve"> law. In some circumstances, employers may have to apply for </w:t>
      </w:r>
      <w:r w:rsidR="00456E20">
        <w:t xml:space="preserve">a </w:t>
      </w:r>
      <w:r>
        <w:t xml:space="preserve">statutory exemption to comply with </w:t>
      </w:r>
      <w:r w:rsidR="0038767D">
        <w:t>NSW</w:t>
      </w:r>
      <w:r>
        <w:t xml:space="preserve"> law.</w:t>
      </w:r>
      <w:bookmarkStart w:id="9" w:name="_Toc111121571"/>
      <w:bookmarkStart w:id="10" w:name="_Toc117886744"/>
    </w:p>
    <w:p w14:paraId="2084BAE2" w14:textId="5967044C" w:rsidR="001E063A" w:rsidRPr="00084D7F" w:rsidRDefault="00702DC6" w:rsidP="009A530B">
      <w:pPr>
        <w:pStyle w:val="Titolo6"/>
        <w:rPr>
          <w:bCs/>
        </w:rPr>
      </w:pPr>
      <w:bookmarkStart w:id="11" w:name="_Toc118316269"/>
      <w:r w:rsidRPr="00084D7F">
        <w:t>Purpose of th</w:t>
      </w:r>
      <w:r>
        <w:t>e</w:t>
      </w:r>
      <w:r w:rsidRPr="00084D7F">
        <w:t xml:space="preserve"> </w:t>
      </w:r>
      <w:r w:rsidR="007315F9">
        <w:t>G</w:t>
      </w:r>
      <w:r w:rsidRPr="00084D7F">
        <w:t>uideline</w:t>
      </w:r>
      <w:bookmarkEnd w:id="9"/>
      <w:r>
        <w:t>s</w:t>
      </w:r>
      <w:bookmarkEnd w:id="10"/>
      <w:bookmarkEnd w:id="11"/>
    </w:p>
    <w:p w14:paraId="41A08B2E" w14:textId="659AACF6" w:rsidR="00702DC6" w:rsidRDefault="00702DC6" w:rsidP="0066509D">
      <w:r>
        <w:t>The Guidelines provide general guidance to employers on designing and documenting targeted recruitment strategies. The Guidelines also provide general guidance about meeting the requirements of a ‘special measure’ under federal, state and territory anti-discrimination laws, including on the practical steps employers can take to implement a targeted recruitment strategy as a ‘special measure’. The documentation gathered in accordance with the Guidelines will help employers to establish that their strategy is a special measure and is consistent with anti-discrimination laws.</w:t>
      </w:r>
    </w:p>
    <w:p w14:paraId="3462E52A" w14:textId="69509CAD" w:rsidR="00D37887" w:rsidRDefault="00702DC6" w:rsidP="00702DC6">
      <w:r>
        <w:t xml:space="preserve">The Guidelines also provide an outline of how to apply to regulators in </w:t>
      </w:r>
      <w:r w:rsidR="008D727F">
        <w:t>NSW</w:t>
      </w:r>
      <w:r>
        <w:t xml:space="preserve"> and Tasmania for a statutory exemption, where necessary, to undertake a</w:t>
      </w:r>
      <w:r w:rsidR="00F12A0B">
        <w:t> </w:t>
      </w:r>
      <w:r>
        <w:t xml:space="preserve">targeted recruitment </w:t>
      </w:r>
      <w:r w:rsidR="002A0AF3">
        <w:t>strategy</w:t>
      </w:r>
      <w:r>
        <w:t>.</w:t>
      </w:r>
    </w:p>
    <w:p w14:paraId="50FE586B" w14:textId="3912D406" w:rsidR="001E063A" w:rsidRPr="00084D7F" w:rsidRDefault="001E063A" w:rsidP="00571F06">
      <w:pPr>
        <w:pStyle w:val="Titolo6"/>
      </w:pPr>
      <w:bookmarkStart w:id="12" w:name="_Toc111121572"/>
      <w:bookmarkStart w:id="13" w:name="_Toc117886745"/>
      <w:bookmarkStart w:id="14" w:name="_Toc118316270"/>
      <w:r w:rsidRPr="00084D7F">
        <w:t>Genuine occupational requirements</w:t>
      </w:r>
      <w:bookmarkEnd w:id="12"/>
      <w:bookmarkEnd w:id="13"/>
      <w:bookmarkEnd w:id="14"/>
    </w:p>
    <w:p w14:paraId="55C9258D" w14:textId="77777777" w:rsidR="00EC5225" w:rsidRDefault="00702DC6" w:rsidP="001E063A">
      <w:pPr>
        <w:rPr>
          <w:lang w:eastAsia="en-US"/>
        </w:rPr>
      </w:pPr>
      <w:r>
        <w:rPr>
          <w:lang w:eastAsia="en-US"/>
        </w:rPr>
        <w:t xml:space="preserve">The Guidelines note that in several state and territory jurisdictions, targeted recruitment strategies may also fall within ‘genuine occupational requirements’ exceptions under relevant laws. Where engaged and if their elements are met, the strategies are </w:t>
      </w:r>
      <w:r w:rsidRPr="004976D5">
        <w:rPr>
          <w:lang w:eastAsia="en-US"/>
        </w:rPr>
        <w:t>lawful</w:t>
      </w:r>
      <w:r>
        <w:rPr>
          <w:lang w:eastAsia="en-US"/>
        </w:rPr>
        <w:t>, and there is no need for an employer to apply for a general statutory exemption.</w:t>
      </w:r>
    </w:p>
    <w:p w14:paraId="7866EDCA" w14:textId="77777777" w:rsidR="00686329" w:rsidRDefault="00686329" w:rsidP="001E063A">
      <w:pPr>
        <w:rPr>
          <w:lang w:eastAsia="en-US"/>
        </w:rPr>
      </w:pPr>
    </w:p>
    <w:p w14:paraId="47446E1D" w14:textId="5A22A92F" w:rsidR="001E063A" w:rsidRDefault="001E063A" w:rsidP="00023347">
      <w:pPr>
        <w:pStyle w:val="Titolo1"/>
      </w:pPr>
      <w:bookmarkStart w:id="15" w:name="_Toc110462742"/>
      <w:bookmarkStart w:id="16" w:name="_Toc118316271"/>
      <w:r>
        <w:t>About th</w:t>
      </w:r>
      <w:r w:rsidR="00931CEC">
        <w:t>e</w:t>
      </w:r>
      <w:r>
        <w:t xml:space="preserve"> </w:t>
      </w:r>
      <w:r w:rsidR="00702DC6">
        <w:t>G</w:t>
      </w:r>
      <w:r>
        <w:t>uideline</w:t>
      </w:r>
      <w:bookmarkEnd w:id="15"/>
      <w:r w:rsidR="00931CEC">
        <w:t>s</w:t>
      </w:r>
      <w:bookmarkEnd w:id="16"/>
    </w:p>
    <w:p w14:paraId="4FF26F1F" w14:textId="2F26477C" w:rsidR="00E96AD1" w:rsidRDefault="00E96AD1" w:rsidP="005B0C9C">
      <w:pPr>
        <w:pStyle w:val="Titolo2"/>
      </w:pPr>
      <w:bookmarkStart w:id="17" w:name="_Toc118316272"/>
      <w:r>
        <w:t>Nature of the Guidelines</w:t>
      </w:r>
      <w:bookmarkEnd w:id="17"/>
    </w:p>
    <w:p w14:paraId="53325066" w14:textId="58EF1CA5" w:rsidR="00702DC6" w:rsidRDefault="00702DC6" w:rsidP="0066509D">
      <w:r>
        <w:t xml:space="preserve">The Australian Human Rights Commission (the </w:t>
      </w:r>
      <w:r w:rsidRPr="00702DC6">
        <w:rPr>
          <w:rStyle w:val="Enfasigrassetto"/>
        </w:rPr>
        <w:t>Commission</w:t>
      </w:r>
      <w:r>
        <w:t xml:space="preserve">) has prepared the Guidelines in the exercise of its function under section 67(1)(k) of the </w:t>
      </w:r>
      <w:r w:rsidRPr="006B7046">
        <w:rPr>
          <w:rStyle w:val="Enfasicorsivo"/>
        </w:rPr>
        <w:t>Disability Discrimination Act</w:t>
      </w:r>
      <w:r>
        <w:t>.</w:t>
      </w:r>
      <w:r>
        <w:rPr>
          <w:rStyle w:val="Rimandonotadichiusura"/>
        </w:rPr>
        <w:endnoteReference w:id="6"/>
      </w:r>
      <w:r>
        <w:t xml:space="preserve"> The Guidelines have been prepared in consultation with the Commission’s state and territory counterpart </w:t>
      </w:r>
      <w:r w:rsidRPr="007065B9">
        <w:t>bodies</w:t>
      </w:r>
      <w:r>
        <w:t>.</w:t>
      </w:r>
      <w:r w:rsidRPr="00C1200B">
        <w:rPr>
          <w:highlight w:val="yellow"/>
        </w:rPr>
        <w:t xml:space="preserve"> </w:t>
      </w:r>
    </w:p>
    <w:p w14:paraId="4C434C38" w14:textId="03CAE505" w:rsidR="00D37887" w:rsidRDefault="00702DC6" w:rsidP="0066509D">
      <w:r>
        <w:t xml:space="preserve">The Guidelines are not legally binding and should be read in conjunction with the whole of the </w:t>
      </w:r>
      <w:r w:rsidRPr="006645F4">
        <w:t>Disability Discrimination Act</w:t>
      </w:r>
      <w:r>
        <w:t xml:space="preserve">, and state and territory anti-discrimination laws. An organisation or individual may not be protected from a finding of unlawful discrimination if they claim that they conformed with, or relied on, the Guidelines. Organisations or individuals should seek their own independent legal advice if they have concerns regarding their compliance with the </w:t>
      </w:r>
      <w:r w:rsidRPr="006645F4">
        <w:t>Disability Discrimination Act</w:t>
      </w:r>
      <w:r>
        <w:t xml:space="preserve"> or with relevant state or territory anti-discrimination legislation.</w:t>
      </w:r>
    </w:p>
    <w:p w14:paraId="4CCFE127" w14:textId="19C0942F" w:rsidR="00702DC6" w:rsidRPr="00A9012A" w:rsidRDefault="00702DC6" w:rsidP="00E96AD1">
      <w:r>
        <w:t xml:space="preserve">However, in the view of the Commission </w:t>
      </w:r>
      <w:r w:rsidRPr="008E4C08">
        <w:t>and its state and territory counterpart bodies</w:t>
      </w:r>
      <w:r w:rsidRPr="00DA285D">
        <w:t>, detailed</w:t>
      </w:r>
      <w:r>
        <w:t xml:space="preserve"> documentation gathered in accordance with the Guidelines will help employers establish that their targeted recruitment strategy is a special measure, and consistent with the </w:t>
      </w:r>
      <w:r w:rsidRPr="006645F4">
        <w:t>Disability Discrimination Act</w:t>
      </w:r>
      <w:r>
        <w:t xml:space="preserve">, and state and territory anti-discrimination </w:t>
      </w:r>
      <w:r w:rsidRPr="00A9012A">
        <w:t xml:space="preserve">laws (other than in NSW – see </w:t>
      </w:r>
      <w:r w:rsidRPr="008E17D5">
        <w:t xml:space="preserve">Part </w:t>
      </w:r>
      <w:r w:rsidR="003D07CB" w:rsidRPr="008E17D5">
        <w:t>6</w:t>
      </w:r>
      <w:r w:rsidRPr="008E17D5">
        <w:t>.1</w:t>
      </w:r>
      <w:r w:rsidRPr="00A9012A">
        <w:t xml:space="preserve"> below).</w:t>
      </w:r>
    </w:p>
    <w:p w14:paraId="6439ECCE" w14:textId="0C019EBA" w:rsidR="00EC5225" w:rsidRDefault="00702DC6" w:rsidP="0066509D">
      <w:r w:rsidRPr="0066509D">
        <w:t>It should also be noted that it is rare for the Commission or its state and territory counterpart bodies to receive complaints about targeted recruitment strategies for people with disability. At the federal level, few complaints about targeted recruitment strategies for people with disability have been received and</w:t>
      </w:r>
      <w:r w:rsidR="00052814">
        <w:t xml:space="preserve">, at the time of publication </w:t>
      </w:r>
      <w:r w:rsidR="003F4669">
        <w:t>of the Guidelines,</w:t>
      </w:r>
      <w:r w:rsidRPr="0066509D">
        <w:t xml:space="preserve"> none have proceeded to court.</w:t>
      </w:r>
    </w:p>
    <w:p w14:paraId="13A64A96" w14:textId="4FC5872B" w:rsidR="00267A5F" w:rsidRDefault="005B0C9C">
      <w:pPr>
        <w:keepLines w:val="0"/>
        <w:spacing w:after="160" w:line="259" w:lineRule="auto"/>
      </w:pPr>
      <w:r>
        <w:br w:type="page"/>
      </w:r>
    </w:p>
    <w:p w14:paraId="6BDDF99E" w14:textId="776909B5" w:rsidR="001E063A" w:rsidRDefault="001E063A">
      <w:pPr>
        <w:pStyle w:val="Titolo1"/>
      </w:pPr>
      <w:bookmarkStart w:id="18" w:name="_Toc118316273"/>
      <w:r>
        <w:t>Targeted recruitment of people with</w:t>
      </w:r>
      <w:r w:rsidR="009F4004">
        <w:t> </w:t>
      </w:r>
      <w:r>
        <w:t>disability</w:t>
      </w:r>
      <w:bookmarkEnd w:id="18"/>
    </w:p>
    <w:p w14:paraId="7A6A5FF4" w14:textId="641B810B" w:rsidR="00E96AD1" w:rsidRDefault="00E96AD1" w:rsidP="00BB3EEB">
      <w:pPr>
        <w:pStyle w:val="Titolo2"/>
        <w:spacing w:before="0"/>
      </w:pPr>
      <w:bookmarkStart w:id="19" w:name="_Toc118316274"/>
      <w:r>
        <w:t>What is a targeted recruitment strategy?</w:t>
      </w:r>
      <w:bookmarkEnd w:id="19"/>
    </w:p>
    <w:p w14:paraId="0FDAB487" w14:textId="3532FC45" w:rsidR="00686329" w:rsidRDefault="001E063A" w:rsidP="00686329">
      <w:r>
        <w:t xml:space="preserve">Under a targeted </w:t>
      </w:r>
      <w:r w:rsidRPr="00F05E50">
        <w:t>recruitment</w:t>
      </w:r>
      <w:r>
        <w:t xml:space="preserve"> strategy, employers target recruitment campaigns towards people with disability, or with a particular disability. There are a range of reasons </w:t>
      </w:r>
      <w:r w:rsidRPr="0020706B">
        <w:t>why</w:t>
      </w:r>
      <w:r>
        <w:t xml:space="preserve"> an employer may reasonably choose to target its recruitment in this way, for example:</w:t>
      </w:r>
    </w:p>
    <w:p w14:paraId="6D080B8C" w14:textId="682ACEEA" w:rsidR="001E063A" w:rsidRDefault="001E063A" w:rsidP="000C6E59">
      <w:pPr>
        <w:pStyle w:val="Puntoelenco"/>
      </w:pPr>
      <w:r>
        <w:t>to increase equality and diversity within their organisation and ensure that opportunities are made available to the targeted group within the broader community</w:t>
      </w:r>
    </w:p>
    <w:p w14:paraId="14235DD0" w14:textId="7257727F" w:rsidR="001E063A" w:rsidRDefault="000E22A3" w:rsidP="005B0C9C">
      <w:pPr>
        <w:pStyle w:val="Puntoelenco"/>
      </w:pPr>
      <w:r>
        <w:t xml:space="preserve">to ensure that the special needs of service recipients are better recognised and met </w:t>
      </w:r>
      <w:r w:rsidR="001E063A">
        <w:t>for a role which involves developing or implementing policies, programs or services which are themselves directed towards people with disability.</w:t>
      </w:r>
    </w:p>
    <w:p w14:paraId="1B9583C2" w14:textId="51EC5B01" w:rsidR="005B0C9C" w:rsidRPr="005B0C9C" w:rsidRDefault="005B0C9C" w:rsidP="005B0C9C">
      <w:pPr>
        <w:keepLines w:val="0"/>
        <w:spacing w:after="160" w:line="259" w:lineRule="auto"/>
      </w:pPr>
      <w:r>
        <w:br w:type="page"/>
      </w:r>
    </w:p>
    <w:p w14:paraId="331EF0B5" w14:textId="0D24E735" w:rsidR="005614E5" w:rsidRPr="005614E5" w:rsidRDefault="005614E5" w:rsidP="005614E5">
      <w:r>
        <w:rPr>
          <w:noProof/>
        </w:rPr>
        <mc:AlternateContent>
          <mc:Choice Requires="wps">
            <w:drawing>
              <wp:inline distT="0" distB="0" distL="0" distR="0" wp14:anchorId="1DB738E9" wp14:editId="091E8C91">
                <wp:extent cx="5662800" cy="0"/>
                <wp:effectExtent l="0" t="12700" r="14605" b="12700"/>
                <wp:docPr id="59" name="Connettore 1 59" descr="Orange line to indicate start of text box"/>
                <wp:cNvGraphicFramePr/>
                <a:graphic xmlns:a="http://schemas.openxmlformats.org/drawingml/2006/main">
                  <a:graphicData uri="http://schemas.microsoft.com/office/word/2010/wordprocessingShape">
                    <wps:wsp>
                      <wps:cNvCnPr/>
                      <wps:spPr>
                        <a:xfrm>
                          <a:off x="0" y="0"/>
                          <a:ext cx="5662800"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inline>
            </w:drawing>
          </mc:Choice>
          <mc:Fallback>
            <w:pict>
              <v:line w14:anchorId="690DE011" id="Connettore 1 59" o:spid="_x0000_s1026" alt="Orange line to indicate start of text box" style="visibility:visible;mso-wrap-style:square;mso-left-percent:-10001;mso-top-percent:-10001;mso-position-horizontal:absolute;mso-position-horizontal-relative:char;mso-position-vertical:absolute;mso-position-vertical-relative:line;mso-left-percent:-10001;mso-top-percent:-10001" from="0,0" to="445.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" strokecolor="#f27166 [3207]" strokeweight="1.5pt">
                <v:stroke joinstyle="miter"/>
                <w10:anchorlock/>
              </v:line>
            </w:pict>
          </mc:Fallback>
        </mc:AlternateContent>
      </w:r>
    </w:p>
    <w:p w14:paraId="48F92DE0" w14:textId="12F098B4" w:rsidR="005614E5" w:rsidRDefault="005614E5" w:rsidP="003A7923">
      <w:pPr>
        <w:pStyle w:val="CaseStudyHeading1"/>
        <w:cnfStyle w:val="101000000000" w:firstRow="1" w:lastRow="0" w:firstColumn="1" w:lastColumn="0" w:oddVBand="0" w:evenVBand="0" w:oddHBand="0" w:evenHBand="0" w:firstRowFirstColumn="0" w:firstRowLastColumn="0" w:lastRowFirstColumn="0" w:lastRowLastColumn="0"/>
      </w:pPr>
      <w:r w:rsidRPr="00930FFF">
        <w:t xml:space="preserve">Case </w:t>
      </w:r>
      <w:r>
        <w:t>S</w:t>
      </w:r>
      <w:r w:rsidRPr="00930FFF">
        <w:t>t</w:t>
      </w:r>
      <w:r w:rsidRPr="00C8645A">
        <w:t>u</w:t>
      </w:r>
      <w:r w:rsidRPr="00930FFF">
        <w:t>dy</w:t>
      </w:r>
    </w:p>
    <w:p w14:paraId="1A61B77B" w14:textId="77777777" w:rsidR="005614E5" w:rsidRPr="006B7046" w:rsidRDefault="005614E5" w:rsidP="003A7923">
      <w:pPr>
        <w:pStyle w:val="CaseStudyHeading2"/>
        <w:cnfStyle w:val="101000000000" w:firstRow="1" w:lastRow="0" w:firstColumn="1" w:lastColumn="0" w:oddVBand="0" w:evenVBand="0" w:oddHBand="0" w:evenHBand="0" w:firstRowFirstColumn="0" w:firstRowLastColumn="0" w:lastRowFirstColumn="0" w:lastRowLastColumn="0"/>
      </w:pPr>
      <w:r w:rsidRPr="00930FFF">
        <w:t>Department of Regional NSW</w:t>
      </w:r>
    </w:p>
    <w:p w14:paraId="31C899A4" w14:textId="77777777" w:rsidR="005614E5" w:rsidRPr="00930FFF" w:rsidRDefault="005614E5" w:rsidP="00532A83">
      <w:pPr>
        <w:pStyle w:val="CaseStudyText"/>
        <w:cnfStyle w:val="101000000000" w:firstRow="1" w:lastRow="0" w:firstColumn="1" w:lastColumn="0" w:oddVBand="0" w:evenVBand="0" w:oddHBand="0" w:evenHBand="0" w:firstRowFirstColumn="0" w:firstRowLastColumn="0" w:lastRowFirstColumn="0" w:lastRowLastColumn="0"/>
      </w:pPr>
      <w:r w:rsidRPr="00930FFF">
        <w:t xml:space="preserve">The Department of Regional NSW recently announced its Assistant Project Officer disability targeted talent pool recruitment process. For successful candidates, being placed in the pool provides the opportunity to be ‘placed in the front of the queue’ for many roles with the Department, as they become available. These roles will provide project and operational support for the development and delivery of projects across the Department and the state of NSW. </w:t>
      </w:r>
    </w:p>
    <w:p w14:paraId="77BAE5A4" w14:textId="77777777" w:rsidR="005614E5" w:rsidRPr="00930FFF" w:rsidRDefault="005614E5" w:rsidP="00532A83">
      <w:pPr>
        <w:pStyle w:val="CaseStudyText"/>
        <w:cnfStyle w:val="101000000000" w:firstRow="1" w:lastRow="0" w:firstColumn="1" w:lastColumn="0" w:oddVBand="0" w:evenVBand="0" w:oddHBand="0" w:evenHBand="0" w:firstRowFirstColumn="0" w:firstRowLastColumn="0" w:lastRowFirstColumn="0" w:lastRowLastColumn="0"/>
      </w:pPr>
      <w:r w:rsidRPr="00930FFF">
        <w:t xml:space="preserve">The advertisement is clearly linked to the NSW Government’s </w:t>
      </w:r>
      <w:hyperlink r:id="rId24" w:history="1">
        <w:r>
          <w:rPr>
            <w:rStyle w:val="Collegamentovisitato"/>
          </w:rPr>
          <w:t>‘Age of Inclusion’ strategy</w:t>
        </w:r>
      </w:hyperlink>
      <w:r w:rsidRPr="00930FFF">
        <w:t xml:space="preserve"> which champions and advocates for the inclusion of people with disability across its workplaces. It </w:t>
      </w:r>
      <w:r>
        <w:t>simultaneously</w:t>
      </w:r>
      <w:r w:rsidRPr="00930FFF">
        <w:t xml:space="preserve"> reinforces the Department’s own commitment to diversity and inclusion as core values, and the community benefits of this approach:</w:t>
      </w:r>
    </w:p>
    <w:p w14:paraId="5808C634" w14:textId="77777777" w:rsidR="005614E5" w:rsidRPr="00532A83" w:rsidRDefault="005614E5" w:rsidP="00532A83">
      <w:pPr>
        <w:pStyle w:val="CaseStudyIndent"/>
        <w:cnfStyle w:val="101000000000" w:firstRow="1" w:lastRow="0" w:firstColumn="1" w:lastColumn="0" w:oddVBand="0" w:evenVBand="0" w:oddHBand="0" w:evenHBand="0" w:firstRowFirstColumn="0" w:firstRowLastColumn="0" w:lastRowFirstColumn="0" w:lastRowLastColumn="0"/>
      </w:pPr>
      <w:r w:rsidRPr="00532A83">
        <w:t xml:space="preserve">The Department of Regional NSW is a workplace where everyone </w:t>
      </w:r>
      <w:proofErr w:type="gramStart"/>
      <w:r w:rsidRPr="00532A83">
        <w:t>is able to</w:t>
      </w:r>
      <w:proofErr w:type="gramEnd"/>
      <w:r w:rsidRPr="00532A83">
        <w:t xml:space="preserve"> contribute and participate to their full potential, and we are proud to have a team that reflects the richness and complexity of the regional NSW communities we serve.</w:t>
      </w:r>
      <w:r w:rsidRPr="00532A83">
        <w:rPr>
          <w:rStyle w:val="Rimandonotadichiusura"/>
        </w:rPr>
        <w:endnoteReference w:id="7"/>
      </w:r>
    </w:p>
    <w:p w14:paraId="63A89C05" w14:textId="77777777" w:rsidR="005614E5" w:rsidRPr="00930FFF" w:rsidRDefault="005614E5" w:rsidP="00532A83">
      <w:pPr>
        <w:pStyle w:val="CaseStudyText"/>
        <w:cnfStyle w:val="101000000000" w:firstRow="1" w:lastRow="0" w:firstColumn="1" w:lastColumn="0" w:oddVBand="0" w:evenVBand="0" w:oddHBand="0" w:evenHBand="0" w:firstRowFirstColumn="0" w:firstRowLastColumn="0" w:lastRowFirstColumn="0" w:lastRowLastColumn="0"/>
      </w:pPr>
      <w:r>
        <w:t>The strategy</w:t>
      </w:r>
      <w:r w:rsidRPr="00930FFF">
        <w:t xml:space="preserve"> </w:t>
      </w:r>
      <w:r>
        <w:t>further</w:t>
      </w:r>
      <w:r w:rsidRPr="00930FFF">
        <w:t xml:space="preserve"> reinforces that:</w:t>
      </w:r>
    </w:p>
    <w:p w14:paraId="56765191" w14:textId="77777777" w:rsidR="005614E5" w:rsidRPr="00930FFF" w:rsidRDefault="005614E5">
      <w:pPr>
        <w:pStyle w:val="Puntoelenco"/>
        <w:cnfStyle w:val="101000000000" w:firstRow="1" w:lastRow="0" w:firstColumn="1" w:lastColumn="0" w:oddVBand="0" w:evenVBand="0" w:oddHBand="0" w:evenHBand="0" w:firstRowFirstColumn="0" w:firstRowLastColumn="0" w:lastRowFirstColumn="0" w:lastRowLastColumn="0"/>
      </w:pPr>
      <w:r>
        <w:t>F</w:t>
      </w:r>
      <w:r w:rsidRPr="00930FFF">
        <w:t>lexible working arrangements are supported (including through hybrid working environments being available, and full-time, part-time and job share applications all being considered). Flexibility in interviewing arrangements is also available</w:t>
      </w:r>
      <w:r>
        <w:t>.</w:t>
      </w:r>
    </w:p>
    <w:p w14:paraId="14241B25" w14:textId="77777777" w:rsidR="005614E5" w:rsidRPr="00930FFF" w:rsidRDefault="005614E5">
      <w:pPr>
        <w:pStyle w:val="Puntoelenco"/>
        <w:cnfStyle w:val="101000000000" w:firstRow="1" w:lastRow="0" w:firstColumn="1" w:lastColumn="0" w:oddVBand="0" w:evenVBand="0" w:oddHBand="0" w:evenHBand="0" w:firstRowFirstColumn="0" w:firstRowLastColumn="0" w:lastRowFirstColumn="0" w:lastRowLastColumn="0"/>
      </w:pPr>
      <w:r>
        <w:t>I</w:t>
      </w:r>
      <w:r w:rsidRPr="00930FFF">
        <w:t>f adjustments are required in completing applications, interviewing, comp</w:t>
      </w:r>
      <w:r>
        <w:t>l</w:t>
      </w:r>
      <w:r w:rsidRPr="00930FFF">
        <w:t>eting any pre-employment testing, or otherwise participating in the recruitment selection process, a Departmental Disability Recruitment Specialist is available to help (contact details provided)</w:t>
      </w:r>
      <w:r>
        <w:t>.</w:t>
      </w:r>
    </w:p>
    <w:p w14:paraId="48320A65" w14:textId="77777777" w:rsidR="005614E5" w:rsidRPr="00930FFF" w:rsidRDefault="005614E5">
      <w:pPr>
        <w:pStyle w:val="Puntoelenco"/>
        <w:cnfStyle w:val="101000000000" w:firstRow="1" w:lastRow="0" w:firstColumn="1" w:lastColumn="0" w:oddVBand="0" w:evenVBand="0" w:oddHBand="0" w:evenHBand="0" w:firstRowFirstColumn="0" w:firstRowLastColumn="0" w:lastRowFirstColumn="0" w:lastRowLastColumn="0"/>
      </w:pPr>
      <w:r>
        <w:t>T</w:t>
      </w:r>
      <w:r w:rsidRPr="00930FFF">
        <w:t xml:space="preserve">he Department will soon be launching a Reasonable Adjustments Passport which will make it easier </w:t>
      </w:r>
      <w:r>
        <w:t>for</w:t>
      </w:r>
      <w:r w:rsidRPr="00930FFF">
        <w:t xml:space="preserve"> its staff to request workplace adjustments</w:t>
      </w:r>
      <w:r>
        <w:t>.</w:t>
      </w:r>
    </w:p>
    <w:p w14:paraId="42C5A81F" w14:textId="77777777" w:rsidR="005614E5" w:rsidRPr="00930FFF" w:rsidRDefault="005614E5">
      <w:pPr>
        <w:pStyle w:val="Puntoelenco"/>
        <w:cnfStyle w:val="101000000000" w:firstRow="1" w:lastRow="0" w:firstColumn="1" w:lastColumn="0" w:oddVBand="0" w:evenVBand="0" w:oddHBand="0" w:evenHBand="0" w:firstRowFirstColumn="0" w:firstRowLastColumn="0" w:lastRowFirstColumn="0" w:lastRowLastColumn="0"/>
      </w:pPr>
      <w:r>
        <w:t>T</w:t>
      </w:r>
      <w:r w:rsidRPr="00930FFF">
        <w:t>he Department partners closely with several organisations including the Australian Network on Disability.</w:t>
      </w:r>
    </w:p>
    <w:p w14:paraId="33CF8887" w14:textId="5BC68A55" w:rsidR="005614E5" w:rsidRDefault="005614E5" w:rsidP="00532A83">
      <w:pPr>
        <w:pStyle w:val="CaseStudyText"/>
        <w:cnfStyle w:val="101000000000" w:firstRow="1" w:lastRow="0" w:firstColumn="1" w:lastColumn="0" w:oddVBand="0" w:evenVBand="0" w:oddHBand="0" w:evenHBand="0" w:firstRowFirstColumn="0" w:firstRowLastColumn="0" w:lastRowFirstColumn="0" w:lastRowLastColumn="0"/>
      </w:pPr>
      <w:r w:rsidRPr="00532A83">
        <w:t>Applicants with disability are encouraged to consider more generally working with the Department as part of the strategy, with other disability targeted processes (for example, recruitment for assistant policy officers) being clearly visible on the site.</w:t>
      </w:r>
      <w:r w:rsidRPr="00532A83">
        <w:rPr>
          <w:rStyle w:val="Rimandonotadichiusura"/>
        </w:rPr>
        <w:endnoteReference w:id="8"/>
      </w:r>
    </w:p>
    <w:p w14:paraId="5C8FAD92" w14:textId="77777777" w:rsidR="005614E5" w:rsidRDefault="005614E5" w:rsidP="005614E5">
      <w:r>
        <w:rPr>
          <w:noProof/>
        </w:rPr>
        <mc:AlternateContent>
          <mc:Choice Requires="wps">
            <w:drawing>
              <wp:inline distT="0" distB="0" distL="0" distR="0" wp14:anchorId="0F0293A8" wp14:editId="71CB9A4F">
                <wp:extent cx="5662800" cy="0"/>
                <wp:effectExtent l="0" t="12700" r="14605" b="12700"/>
                <wp:docPr id="60" name="Connettore 1 60" descr="Orange line to indicate end of text box"/>
                <wp:cNvGraphicFramePr/>
                <a:graphic xmlns:a="http://schemas.openxmlformats.org/drawingml/2006/main">
                  <a:graphicData uri="http://schemas.microsoft.com/office/word/2010/wordprocessingShape">
                    <wps:wsp>
                      <wps:cNvCnPr/>
                      <wps:spPr>
                        <a:xfrm>
                          <a:off x="0" y="0"/>
                          <a:ext cx="5662800"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inline>
            </w:drawing>
          </mc:Choice>
          <mc:Fallback>
            <w:pict>
              <v:line w14:anchorId="5304B188" id="Connettore 1 60" o:spid="_x0000_s1026" alt="Orange line to indicate end of text box" style="visibility:visible;mso-wrap-style:square;mso-left-percent:-10001;mso-top-percent:-10001;mso-position-horizontal:absolute;mso-position-horizontal-relative:char;mso-position-vertical:absolute;mso-position-vertical-relative:line;mso-left-percent:-10001;mso-top-percent:-10001" from="0,0" to="445.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" strokecolor="#f27166 [3207]" strokeweight="1.5pt">
                <v:stroke joinstyle="miter"/>
                <w10:anchorlock/>
              </v:line>
            </w:pict>
          </mc:Fallback>
        </mc:AlternateContent>
      </w:r>
    </w:p>
    <w:p w14:paraId="6AB5D3EA" w14:textId="094FF68A" w:rsidR="005614E5" w:rsidRDefault="005614E5">
      <w:pPr>
        <w:keepLines w:val="0"/>
        <w:spacing w:after="160" w:line="259" w:lineRule="auto"/>
        <w:rPr>
          <w:bCs w:val="0"/>
        </w:rPr>
      </w:pPr>
      <w:r>
        <w:br w:type="page"/>
      </w:r>
    </w:p>
    <w:p w14:paraId="3CA8457F" w14:textId="735A6E15" w:rsidR="00E96AD1" w:rsidRDefault="00E96AD1" w:rsidP="00E96AD1">
      <w:pPr>
        <w:pStyle w:val="Titolo2"/>
      </w:pPr>
      <w:bookmarkStart w:id="20" w:name="_Toc118316275"/>
      <w:r>
        <w:t>Why consider targeted recruitment strategies?</w:t>
      </w:r>
      <w:bookmarkEnd w:id="20"/>
    </w:p>
    <w:p w14:paraId="4D9831A1" w14:textId="127C1116" w:rsidR="001E063A" w:rsidRDefault="001E063A" w:rsidP="001E063A">
      <w:r>
        <w:t xml:space="preserve">Increased employment of people with disability will benefit individuals, organisations, and our </w:t>
      </w:r>
      <w:proofErr w:type="gramStart"/>
      <w:r>
        <w:t>community as a whole</w:t>
      </w:r>
      <w:proofErr w:type="gramEnd"/>
      <w:r>
        <w:t xml:space="preserve">. </w:t>
      </w:r>
    </w:p>
    <w:p w14:paraId="62B4C980" w14:textId="3B5056E3" w:rsidR="001E063A" w:rsidRDefault="001E063A" w:rsidP="001E063A">
      <w:r>
        <w:t>The Commission’s IncludeAbility project undertook a systematic review of 39 international studies and found four key improvements to business which flowed from increased employment of people with disability:</w:t>
      </w:r>
    </w:p>
    <w:p w14:paraId="30A95C2B" w14:textId="68640B9F" w:rsidR="004222D2" w:rsidRDefault="001E063A" w:rsidP="004222D2">
      <w:pPr>
        <w:pStyle w:val="Puntoelenco"/>
      </w:pPr>
      <w:r w:rsidRPr="00532A83">
        <w:rPr>
          <w:rStyle w:val="Enfasigrassetto"/>
        </w:rPr>
        <w:t>Improvements in profitability</w:t>
      </w:r>
      <w:r>
        <w:t xml:space="preserve"> related to both employee performance and increased customer satisfaction. Employees with disability consistently demonstrated punctuality, loyalty and high attendance rates leading to improved customer experience and a competitive advantage for the business.</w:t>
      </w:r>
    </w:p>
    <w:p w14:paraId="269410A8" w14:textId="447E212C" w:rsidR="001E063A" w:rsidRDefault="001E063A" w:rsidP="000C6E59">
      <w:pPr>
        <w:pStyle w:val="Puntoelenco"/>
      </w:pPr>
      <w:r w:rsidRPr="00217387">
        <w:rPr>
          <w:rStyle w:val="Enfasigrassetto"/>
        </w:rPr>
        <w:t>Inclusive</w:t>
      </w:r>
      <w:r w:rsidRPr="00532A83">
        <w:rPr>
          <w:rStyle w:val="Enfasigrassetto"/>
        </w:rPr>
        <w:t xml:space="preserve"> and diverse workplace culture</w:t>
      </w:r>
      <w:r>
        <w:t xml:space="preserve"> which benefited all employees and increased workplace motivation and engagement.</w:t>
      </w:r>
    </w:p>
    <w:p w14:paraId="194FD620" w14:textId="2096543D" w:rsidR="001E063A" w:rsidRDefault="001E063A">
      <w:pPr>
        <w:pStyle w:val="Puntoelenco"/>
      </w:pPr>
      <w:r w:rsidRPr="00532A83">
        <w:rPr>
          <w:rStyle w:val="Enfasigrassetto"/>
        </w:rPr>
        <w:t>Increased ability awareness</w:t>
      </w:r>
      <w:r w:rsidR="00B57776">
        <w:t>,</w:t>
      </w:r>
      <w:r>
        <w:t xml:space="preserve"> including challenging stereotypes and misperceptions of disability and recognition of the benefits of hiring people with disability.</w:t>
      </w:r>
    </w:p>
    <w:p w14:paraId="26D63BFB" w14:textId="0F191973" w:rsidR="001E063A" w:rsidRDefault="001E063A">
      <w:pPr>
        <w:pStyle w:val="Puntoelenco"/>
      </w:pPr>
      <w:r w:rsidRPr="00532A83">
        <w:rPr>
          <w:rStyle w:val="Enfasigrassetto"/>
        </w:rPr>
        <w:t>Secondary benefits for employees with disability</w:t>
      </w:r>
      <w:r>
        <w:t>,</w:t>
      </w:r>
      <w:r w:rsidR="00702DC6">
        <w:t xml:space="preserve"> </w:t>
      </w:r>
      <w:r>
        <w:t xml:space="preserve">who reported improved quality of life, enhanced </w:t>
      </w:r>
      <w:proofErr w:type="gramStart"/>
      <w:r>
        <w:t>self-confidence</w:t>
      </w:r>
      <w:proofErr w:type="gramEnd"/>
      <w:r>
        <w:t xml:space="preserve"> and a sense of community.</w:t>
      </w:r>
      <w:r>
        <w:rPr>
          <w:rStyle w:val="Rimandonotadichiusura"/>
        </w:rPr>
        <w:endnoteReference w:id="9"/>
      </w:r>
    </w:p>
    <w:p w14:paraId="660F3D6B" w14:textId="77777777" w:rsidR="00EC5225" w:rsidRDefault="001E063A" w:rsidP="00532A83">
      <w:r>
        <w:t>Within a broader disability employment action framework, targeted employment recruitment is one of many strategies that can play an essential role in achieving these outcomes</w:t>
      </w:r>
      <w:r w:rsidR="00BB2A39">
        <w:t>.</w:t>
      </w:r>
    </w:p>
    <w:p w14:paraId="5A3AAA5E" w14:textId="489B2AD5" w:rsidR="001E063A" w:rsidRDefault="005B0C9C" w:rsidP="006339BE">
      <w:pPr>
        <w:keepLines w:val="0"/>
        <w:spacing w:after="160" w:line="259" w:lineRule="auto"/>
      </w:pPr>
      <w:r>
        <w:br w:type="page"/>
      </w:r>
    </w:p>
    <w:p w14:paraId="7C2AA630" w14:textId="77777777" w:rsidR="005614E5" w:rsidRDefault="005614E5" w:rsidP="005614E5">
      <w:r>
        <w:rPr>
          <w:noProof/>
        </w:rPr>
        <mc:AlternateContent>
          <mc:Choice Requires="wps">
            <w:drawing>
              <wp:inline distT="0" distB="0" distL="0" distR="0" wp14:anchorId="0B368590" wp14:editId="2EEF410D">
                <wp:extent cx="5662800" cy="0"/>
                <wp:effectExtent l="0" t="12700" r="14605" b="12700"/>
                <wp:docPr id="55" name="Connettore 1 55" descr="Orange line to indicate start of text box"/>
                <wp:cNvGraphicFramePr/>
                <a:graphic xmlns:a="http://schemas.openxmlformats.org/drawingml/2006/main">
                  <a:graphicData uri="http://schemas.microsoft.com/office/word/2010/wordprocessingShape">
                    <wps:wsp>
                      <wps:cNvCnPr/>
                      <wps:spPr>
                        <a:xfrm>
                          <a:off x="0" y="0"/>
                          <a:ext cx="5662800"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inline>
            </w:drawing>
          </mc:Choice>
          <mc:Fallback>
            <w:pict>
              <v:line w14:anchorId="5FCFF754" id="Connettore 1 55" o:spid="_x0000_s1026" alt="Orange line to indicate start of text box" style="visibility:visible;mso-wrap-style:square;mso-left-percent:-10001;mso-top-percent:-10001;mso-position-horizontal:absolute;mso-position-horizontal-relative:char;mso-position-vertical:absolute;mso-position-vertical-relative:line;mso-left-percent:-10001;mso-top-percent:-10001" from="0,0" to="445.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" strokecolor="#f27166 [3207]" strokeweight="1.5pt">
                <v:stroke joinstyle="miter"/>
                <w10:anchorlock/>
              </v:line>
            </w:pict>
          </mc:Fallback>
        </mc:AlternateContent>
      </w:r>
    </w:p>
    <w:p w14:paraId="22F0B882" w14:textId="77777777" w:rsidR="005614E5" w:rsidRDefault="005614E5" w:rsidP="00532A83">
      <w:pPr>
        <w:pStyle w:val="CaseStudyHeading1"/>
        <w:cnfStyle w:val="101000000000" w:firstRow="1" w:lastRow="0" w:firstColumn="1" w:lastColumn="0" w:oddVBand="0" w:evenVBand="0" w:oddHBand="0" w:evenHBand="0" w:firstRowFirstColumn="0" w:firstRowLastColumn="0" w:lastRowFirstColumn="0" w:lastRowLastColumn="0"/>
      </w:pPr>
      <w:r w:rsidRPr="0052495E">
        <w:t xml:space="preserve">Case </w:t>
      </w:r>
      <w:r>
        <w:t>S</w:t>
      </w:r>
      <w:r w:rsidRPr="0052495E">
        <w:t>tudy</w:t>
      </w:r>
    </w:p>
    <w:p w14:paraId="07E30F3F" w14:textId="77777777" w:rsidR="005614E5" w:rsidRPr="006B7046" w:rsidRDefault="005614E5" w:rsidP="00532A83">
      <w:pPr>
        <w:pStyle w:val="CaseStudyHeading2"/>
        <w:cnfStyle w:val="101000000000" w:firstRow="1" w:lastRow="0" w:firstColumn="1" w:lastColumn="0" w:oddVBand="0" w:evenVBand="0" w:oddHBand="0" w:evenHBand="0" w:firstRowFirstColumn="0" w:firstRowLastColumn="0" w:lastRowFirstColumn="0" w:lastRowLastColumn="0"/>
      </w:pPr>
      <w:r>
        <w:t>Australian Public Service</w:t>
      </w:r>
    </w:p>
    <w:p w14:paraId="2CCCAA52" w14:textId="77777777" w:rsidR="005614E5" w:rsidRPr="003B20DE" w:rsidRDefault="005614E5" w:rsidP="001B1580">
      <w:pPr>
        <w:pStyle w:val="CaseStudyText"/>
        <w:cnfStyle w:val="101000000000" w:firstRow="1" w:lastRow="0" w:firstColumn="1" w:lastColumn="0" w:oddVBand="0" w:evenVBand="0" w:oddHBand="0" w:evenHBand="0" w:firstRowFirstColumn="0" w:firstRowLastColumn="0" w:lastRowFirstColumn="0" w:lastRowLastColumn="0"/>
      </w:pPr>
      <w:r w:rsidRPr="00D47343">
        <w:t xml:space="preserve">The Australian Government’s </w:t>
      </w:r>
      <w:hyperlink r:id="rId25" w:history="1">
        <w:r w:rsidRPr="003D3A1C">
          <w:rPr>
            <w:rStyle w:val="Collegamentoipertestuale"/>
          </w:rPr>
          <w:t>Australian Public Service Disability Employment Strategy 2020–25</w:t>
        </w:r>
      </w:hyperlink>
      <w:r w:rsidRPr="00D47343">
        <w:t xml:space="preserve"> sets out a comprehensive plan to improve the representation of people with disability at all levels in th</w:t>
      </w:r>
      <w:r w:rsidRPr="003B20DE">
        <w:t>e Australian Public Service (</w:t>
      </w:r>
      <w:r w:rsidRPr="00532A83">
        <w:rPr>
          <w:rStyle w:val="Enfasigrassetto"/>
        </w:rPr>
        <w:t>APS</w:t>
      </w:r>
      <w:r w:rsidRPr="003B20DE">
        <w:t>). To achieve the Australian Government’s target of a 7</w:t>
      </w:r>
      <w:r>
        <w:t>%</w:t>
      </w:r>
      <w:r w:rsidRPr="003B20DE">
        <w:t xml:space="preserve"> employment</w:t>
      </w:r>
      <w:r>
        <w:t xml:space="preserve"> </w:t>
      </w:r>
      <w:r w:rsidRPr="003B20DE">
        <w:t xml:space="preserve">rate </w:t>
      </w:r>
      <w:r>
        <w:t>of people with disability</w:t>
      </w:r>
      <w:r w:rsidRPr="003B20DE">
        <w:t xml:space="preserve"> by 2025, it requires all </w:t>
      </w:r>
      <w:r>
        <w:t xml:space="preserve">public service </w:t>
      </w:r>
      <w:r w:rsidRPr="003B20DE">
        <w:t xml:space="preserve">agencies to take an active approach to recruitment, </w:t>
      </w:r>
      <w:proofErr w:type="gramStart"/>
      <w:r w:rsidRPr="003B20DE">
        <w:t>promotion</w:t>
      </w:r>
      <w:proofErr w:type="gramEnd"/>
      <w:r w:rsidRPr="003B20DE">
        <w:t xml:space="preserve"> and retention.</w:t>
      </w:r>
    </w:p>
    <w:p w14:paraId="42AEDBBD" w14:textId="77777777" w:rsidR="005614E5" w:rsidRPr="00D47343" w:rsidRDefault="005614E5" w:rsidP="001B1580">
      <w:pPr>
        <w:pStyle w:val="CaseStudyText"/>
        <w:cnfStyle w:val="101000000000" w:firstRow="1" w:lastRow="0" w:firstColumn="1" w:lastColumn="0" w:oddVBand="0" w:evenVBand="0" w:oddHBand="0" w:evenHBand="0" w:firstRowFirstColumn="0" w:firstRowLastColumn="0" w:lastRowFirstColumn="0" w:lastRowLastColumn="0"/>
      </w:pPr>
      <w:r w:rsidRPr="003B20DE">
        <w:t xml:space="preserve">The </w:t>
      </w:r>
      <w:r>
        <w:t>strategy</w:t>
      </w:r>
      <w:r w:rsidRPr="003B20DE">
        <w:t xml:space="preserve"> clearly rec</w:t>
      </w:r>
      <w:r w:rsidRPr="00D47343">
        <w:t>ognises why this change is needed across APS workforces:</w:t>
      </w:r>
    </w:p>
    <w:p w14:paraId="4930B43B" w14:textId="77777777" w:rsidR="005614E5" w:rsidRPr="00D47343" w:rsidRDefault="005614E5" w:rsidP="001B1580">
      <w:pPr>
        <w:pStyle w:val="CaseStudyIndent"/>
        <w:cnfStyle w:val="101000000000" w:firstRow="1" w:lastRow="0" w:firstColumn="1" w:lastColumn="0" w:oddVBand="0" w:evenVBand="0" w:oddHBand="0" w:evenHBand="0" w:firstRowFirstColumn="0" w:firstRowLastColumn="0" w:lastRowFirstColumn="0" w:lastRowLastColumn="0"/>
      </w:pPr>
      <w:r w:rsidRPr="006B7046">
        <w:rPr>
          <w:rStyle w:val="Enfasicorsivo"/>
        </w:rPr>
        <w:t>An APS workforce that better reflects the diversity of the Australian community will help produce programs, policies and services that meet the community’s diverse needs. People with disability bring lived experiences and expertise to the workplace and want to make a positive difference</w:t>
      </w:r>
      <w:r w:rsidRPr="00D47343">
        <w:t>.</w:t>
      </w:r>
      <w:r>
        <w:rPr>
          <w:rStyle w:val="Rimandonotadichiusura"/>
        </w:rPr>
        <w:endnoteReference w:id="10"/>
      </w:r>
    </w:p>
    <w:p w14:paraId="6C7F1BB7" w14:textId="77777777" w:rsidR="005614E5" w:rsidRPr="009549EE" w:rsidRDefault="005614E5" w:rsidP="001B1580">
      <w:pPr>
        <w:pStyle w:val="CaseStudyText"/>
        <w:cnfStyle w:val="101000000000" w:firstRow="1" w:lastRow="0" w:firstColumn="1" w:lastColumn="0" w:oddVBand="0" w:evenVBand="0" w:oddHBand="0" w:evenHBand="0" w:firstRowFirstColumn="0" w:firstRowLastColumn="0" w:lastRowFirstColumn="0" w:lastRowLastColumn="0"/>
      </w:pPr>
      <w:r>
        <w:t>The strategy</w:t>
      </w:r>
      <w:r w:rsidRPr="009549EE">
        <w:t xml:space="preserve"> specifically encourages the use of affirmative measures to expand the range of employment pathways into the APS across entry level, middle </w:t>
      </w:r>
      <w:proofErr w:type="gramStart"/>
      <w:r w:rsidRPr="009549EE">
        <w:t>management</w:t>
      </w:r>
      <w:proofErr w:type="gramEnd"/>
      <w:r w:rsidRPr="009549EE">
        <w:t xml:space="preserve"> and senior roles. The </w:t>
      </w:r>
      <w:r>
        <w:t>strategy</w:t>
      </w:r>
      <w:r w:rsidRPr="009549EE">
        <w:t xml:space="preserve"> highlights that:</w:t>
      </w:r>
    </w:p>
    <w:p w14:paraId="635724FA" w14:textId="77777777" w:rsidR="005614E5" w:rsidRPr="00F44187" w:rsidRDefault="005614E5" w:rsidP="001B1580">
      <w:pPr>
        <w:pStyle w:val="CaseStudyIndent"/>
        <w:cnfStyle w:val="101000000000" w:firstRow="1" w:lastRow="0" w:firstColumn="1" w:lastColumn="0" w:oddVBand="0" w:evenVBand="0" w:oddHBand="0" w:evenHBand="0" w:firstRowFirstColumn="0" w:firstRowLastColumn="0" w:lastRowFirstColumn="0" w:lastRowLastColumn="0"/>
      </w:pPr>
      <w:r w:rsidRPr="006B7046">
        <w:rPr>
          <w:rStyle w:val="Enfasicorsivo"/>
        </w:rPr>
        <w:t xml:space="preserve">Affirmative measures for people with disability and targeted pathways can act as strong attractors for prospective </w:t>
      </w:r>
      <w:proofErr w:type="gramStart"/>
      <w:r w:rsidRPr="006B7046">
        <w:rPr>
          <w:rStyle w:val="Enfasicorsivo"/>
        </w:rPr>
        <w:t>employees, and</w:t>
      </w:r>
      <w:proofErr w:type="gramEnd"/>
      <w:r w:rsidRPr="006B7046">
        <w:rPr>
          <w:rStyle w:val="Enfasicorsivo"/>
        </w:rPr>
        <w:t xml:space="preserve"> demonstrate employer commitment. Agencies must actively identify opportunities to use affirmative measures across all levels, entry points and roles within their organisation</w:t>
      </w:r>
      <w:r w:rsidRPr="00F44187">
        <w:t>.</w:t>
      </w:r>
      <w:r>
        <w:rPr>
          <w:rStyle w:val="Rimandonotadichiusura"/>
        </w:rPr>
        <w:endnoteReference w:id="11"/>
      </w:r>
    </w:p>
    <w:p w14:paraId="2132816F" w14:textId="77777777" w:rsidR="005614E5" w:rsidRPr="00930FFF" w:rsidRDefault="005614E5" w:rsidP="001B1580">
      <w:pPr>
        <w:pStyle w:val="CaseStudyText"/>
        <w:cnfStyle w:val="101000000000" w:firstRow="1" w:lastRow="0" w:firstColumn="1" w:lastColumn="0" w:oddVBand="0" w:evenVBand="0" w:oddHBand="0" w:evenHBand="0" w:firstRowFirstColumn="0" w:firstRowLastColumn="0" w:lastRowFirstColumn="0" w:lastRowLastColumn="0"/>
      </w:pPr>
      <w:r w:rsidRPr="00F44187">
        <w:t xml:space="preserve">The </w:t>
      </w:r>
      <w:r>
        <w:t>strategy</w:t>
      </w:r>
      <w:r w:rsidRPr="00F44187">
        <w:t xml:space="preserve"> also recognises that the success of targeted pathways increases when there is significant attention paid to supporting job-readiness and the readiness of the workplace. To encourage and assist applicants with disability to apply for APS jobs, the Australian Public Service Commission has created a guide about affirmative employment </w:t>
      </w:r>
      <w:r w:rsidRPr="00FF66CA">
        <w:t>measures.</w:t>
      </w:r>
      <w:r w:rsidRPr="00FF66CA">
        <w:rPr>
          <w:rStyle w:val="Rimandonotadichiusura"/>
        </w:rPr>
        <w:endnoteReference w:id="12"/>
      </w:r>
    </w:p>
    <w:p w14:paraId="6DE89624" w14:textId="77777777" w:rsidR="005614E5" w:rsidRDefault="005614E5" w:rsidP="005614E5">
      <w:r>
        <w:rPr>
          <w:noProof/>
        </w:rPr>
        <mc:AlternateContent>
          <mc:Choice Requires="wps">
            <w:drawing>
              <wp:inline distT="0" distB="0" distL="0" distR="0" wp14:anchorId="0ED4E42F" wp14:editId="228ABD3B">
                <wp:extent cx="5662800" cy="0"/>
                <wp:effectExtent l="0" t="12700" r="14605" b="12700"/>
                <wp:docPr id="58" name="Connettore 1 58" descr="Orange line to indicate end of text box&#10;"/>
                <wp:cNvGraphicFramePr/>
                <a:graphic xmlns:a="http://schemas.openxmlformats.org/drawingml/2006/main">
                  <a:graphicData uri="http://schemas.microsoft.com/office/word/2010/wordprocessingShape">
                    <wps:wsp>
                      <wps:cNvCnPr/>
                      <wps:spPr>
                        <a:xfrm>
                          <a:off x="0" y="0"/>
                          <a:ext cx="5662800"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inline>
            </w:drawing>
          </mc:Choice>
          <mc:Fallback>
            <w:pict>
              <v:line w14:anchorId="5A74029C" id="Connettore 1 58" o:spid="_x0000_s1026" alt="Orange line to indicate end of text box&#10;" style="visibility:visible;mso-wrap-style:square;mso-left-percent:-10001;mso-top-percent:-10001;mso-position-horizontal:absolute;mso-position-horizontal-relative:char;mso-position-vertical:absolute;mso-position-vertical-relative:line;mso-left-percent:-10001;mso-top-percent:-10001" from="0,0" to="445.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" strokecolor="#f27166 [3207]" strokeweight="1.5pt">
                <v:stroke joinstyle="miter"/>
                <w10:anchorlock/>
              </v:line>
            </w:pict>
          </mc:Fallback>
        </mc:AlternateContent>
      </w:r>
    </w:p>
    <w:p w14:paraId="732E3AA5" w14:textId="673B6D9A" w:rsidR="005614E5" w:rsidRDefault="005614E5" w:rsidP="001E063A"/>
    <w:p w14:paraId="7D7ED6B3" w14:textId="11024E64" w:rsidR="001E063A" w:rsidRDefault="001B1580" w:rsidP="002E582F">
      <w:pPr>
        <w:keepLines w:val="0"/>
        <w:spacing w:after="160" w:line="259" w:lineRule="auto"/>
      </w:pPr>
      <w:r>
        <w:br w:type="page"/>
      </w:r>
    </w:p>
    <w:p w14:paraId="1E1E63A3" w14:textId="1BD3CC1E" w:rsidR="005614E5" w:rsidRPr="00930FFF" w:rsidRDefault="005614E5" w:rsidP="002E582F">
      <w:pPr>
        <w:keepLines w:val="0"/>
        <w:spacing w:after="160" w:line="259" w:lineRule="auto"/>
      </w:pPr>
      <w:r>
        <w:rPr>
          <w:noProof/>
        </w:rPr>
        <mc:AlternateContent>
          <mc:Choice Requires="wps">
            <w:drawing>
              <wp:inline distT="0" distB="0" distL="0" distR="0" wp14:anchorId="6EB257D0" wp14:editId="34B3FAC8">
                <wp:extent cx="5662800" cy="0"/>
                <wp:effectExtent l="0" t="12700" r="14605" b="12700"/>
                <wp:docPr id="47" name="Connettore 1 47" descr="Orange line to indicate start of text box"/>
                <wp:cNvGraphicFramePr/>
                <a:graphic xmlns:a="http://schemas.openxmlformats.org/drawingml/2006/main">
                  <a:graphicData uri="http://schemas.microsoft.com/office/word/2010/wordprocessingShape">
                    <wps:wsp>
                      <wps:cNvCnPr/>
                      <wps:spPr>
                        <a:xfrm>
                          <a:off x="0" y="0"/>
                          <a:ext cx="5662800"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inline>
            </w:drawing>
          </mc:Choice>
          <mc:Fallback>
            <w:pict>
              <v:line w14:anchorId="6F00D156" id="Connettore 1 47" o:spid="_x0000_s1026" alt="Orange line to indicate start of text box" style="visibility:visible;mso-wrap-style:square;mso-left-percent:-10001;mso-top-percent:-10001;mso-position-horizontal:absolute;mso-position-horizontal-relative:char;mso-position-vertical:absolute;mso-position-vertical-relative:line;mso-left-percent:-10001;mso-top-percent:-10001" from="0,0" to="445.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" strokecolor="#f27166 [3207]" strokeweight="1.5pt">
                <v:stroke joinstyle="miter"/>
                <w10:anchorlock/>
              </v:line>
            </w:pict>
          </mc:Fallback>
        </mc:AlternateContent>
      </w:r>
    </w:p>
    <w:p w14:paraId="4FCF5FCE" w14:textId="77777777" w:rsidR="005614E5" w:rsidRDefault="005614E5" w:rsidP="001B1580">
      <w:pPr>
        <w:pStyle w:val="CaseStudyHeading1"/>
        <w:cnfStyle w:val="101000000000" w:firstRow="1" w:lastRow="0" w:firstColumn="1" w:lastColumn="0" w:oddVBand="0" w:evenVBand="0" w:oddHBand="0" w:evenHBand="0" w:firstRowFirstColumn="0" w:firstRowLastColumn="0" w:lastRowFirstColumn="0" w:lastRowLastColumn="0"/>
      </w:pPr>
      <w:r>
        <w:t>Case Study</w:t>
      </w:r>
    </w:p>
    <w:p w14:paraId="619B542D" w14:textId="77777777" w:rsidR="005614E5" w:rsidRPr="001B1580" w:rsidRDefault="005614E5" w:rsidP="001B1580">
      <w:pPr>
        <w:pStyle w:val="CaseStudyHeading2"/>
        <w:cnfStyle w:val="101000000000" w:firstRow="1" w:lastRow="0" w:firstColumn="1" w:lastColumn="0" w:oddVBand="0" w:evenVBand="0" w:oddHBand="0" w:evenHBand="0" w:firstRowFirstColumn="0" w:firstRowLastColumn="0" w:lastRowFirstColumn="0" w:lastRowLastColumn="0"/>
      </w:pPr>
      <w:r w:rsidRPr="001B1580">
        <w:t>ABC Regional Storyteller Scholarship</w:t>
      </w:r>
    </w:p>
    <w:p w14:paraId="1EF9233B" w14:textId="77777777" w:rsidR="005614E5" w:rsidRPr="00FD1BCB" w:rsidRDefault="005614E5" w:rsidP="001B1580">
      <w:pPr>
        <w:pStyle w:val="CaseStudyText"/>
        <w:cnfStyle w:val="101000000000" w:firstRow="1" w:lastRow="0" w:firstColumn="1" w:lastColumn="0" w:oddVBand="0" w:evenVBand="0" w:oddHBand="0" w:evenHBand="0" w:firstRowFirstColumn="0" w:firstRowLastColumn="0" w:lastRowFirstColumn="0" w:lastRowLastColumn="0"/>
      </w:pPr>
      <w:r w:rsidRPr="00FF66CA">
        <w:t>The ABC’s Regional Storyteller Scholarship recognises the early career value of supporting emerging content makers with disability who live outside capital cities, helping</w:t>
      </w:r>
      <w:r w:rsidRPr="00FD1BCB">
        <w:t xml:space="preserve"> them to challenge perceptions they face within the broader community, as well as </w:t>
      </w:r>
      <w:r>
        <w:t xml:space="preserve">to </w:t>
      </w:r>
      <w:r w:rsidRPr="00FD1BCB">
        <w:t>break down unnecessary barriers.</w:t>
      </w:r>
    </w:p>
    <w:p w14:paraId="56C962F4" w14:textId="77777777" w:rsidR="005614E5" w:rsidRPr="00FF66CA" w:rsidRDefault="005614E5" w:rsidP="001B1580">
      <w:pPr>
        <w:pStyle w:val="CaseStudyText"/>
        <w:cnfStyle w:val="101000000000" w:firstRow="1" w:lastRow="0" w:firstColumn="1" w:lastColumn="0" w:oddVBand="0" w:evenVBand="0" w:oddHBand="0" w:evenHBand="0" w:firstRowFirstColumn="0" w:firstRowLastColumn="0" w:lastRowFirstColumn="0" w:lastRowLastColumn="0"/>
      </w:pPr>
      <w:r w:rsidRPr="00FD1BCB">
        <w:t>Scholars</w:t>
      </w:r>
      <w:r w:rsidRPr="00FF66CA">
        <w:t>hip winners work with various ABC teams over three months to develop their skills, produce content and gain valuable employment experience.</w:t>
      </w:r>
    </w:p>
    <w:p w14:paraId="06E6004A" w14:textId="77777777" w:rsidR="005614E5" w:rsidRPr="00FD1BCB" w:rsidRDefault="005614E5" w:rsidP="001B1580">
      <w:pPr>
        <w:pStyle w:val="CaseStudyText"/>
        <w:cnfStyle w:val="101000000000" w:firstRow="1" w:lastRow="0" w:firstColumn="1" w:lastColumn="0" w:oddVBand="0" w:evenVBand="0" w:oddHBand="0" w:evenHBand="0" w:firstRowFirstColumn="0" w:firstRowLastColumn="0" w:lastRowFirstColumn="0" w:lastRowLastColumn="0"/>
      </w:pPr>
      <w:r w:rsidRPr="00FF66CA">
        <w:t>The ABC’s 2022 Regional Storyteller Scholarship has been awarded to two content makers with disability from regional NSW and Que</w:t>
      </w:r>
      <w:r w:rsidRPr="00FD1BCB">
        <w:t>ensland: Jessica Horner from Wagga Wagga, NSW</w:t>
      </w:r>
      <w:r>
        <w:t>,</w:t>
      </w:r>
      <w:r w:rsidRPr="00FD1BCB">
        <w:t xml:space="preserve"> and Raven Cook from Cairns, Queensland.</w:t>
      </w:r>
    </w:p>
    <w:p w14:paraId="40A5BB99" w14:textId="77777777" w:rsidR="005614E5" w:rsidRPr="00FF66CA" w:rsidRDefault="005614E5" w:rsidP="001B1580">
      <w:pPr>
        <w:pStyle w:val="CaseStudyText"/>
        <w:cnfStyle w:val="101000000000" w:firstRow="1" w:lastRow="0" w:firstColumn="1" w:lastColumn="0" w:oddVBand="0" w:evenVBand="0" w:oddHBand="0" w:evenHBand="0" w:firstRowFirstColumn="0" w:firstRowLastColumn="0" w:lastRowFirstColumn="0" w:lastRowLastColumn="0"/>
      </w:pPr>
      <w:r w:rsidRPr="00FD1BCB">
        <w:t>Beyond the value to scholarship recipients themselves, ABC Regional &amp; Local Director, Judith Whelan, has particularly highlighted</w:t>
      </w:r>
      <w:r w:rsidRPr="00FF66CA">
        <w:t xml:space="preserve"> the broader value to public broadcasting of this scholarship:</w:t>
      </w:r>
    </w:p>
    <w:p w14:paraId="62BC1280" w14:textId="02CD549D" w:rsidR="00646761" w:rsidRDefault="005614E5" w:rsidP="005614E5">
      <w:pPr>
        <w:pStyle w:val="CaseStudyIndent"/>
        <w:cnfStyle w:val="101000000000" w:firstRow="1" w:lastRow="0" w:firstColumn="1" w:lastColumn="0" w:oddVBand="0" w:evenVBand="0" w:oddHBand="0" w:evenHBand="0" w:firstRowFirstColumn="0" w:firstRowLastColumn="0" w:lastRowFirstColumn="0" w:lastRowLastColumn="0"/>
      </w:pPr>
      <w:r w:rsidRPr="006B7046">
        <w:rPr>
          <w:rStyle w:val="Enfasicorsivo"/>
        </w:rPr>
        <w:t>Each year we have seen some exceptional talent emerge and some exceptional storytelling produced, all of which have resonated strongly with our audiences</w:t>
      </w:r>
      <w:r w:rsidRPr="00FF66CA">
        <w:t>.</w:t>
      </w:r>
      <w:r w:rsidRPr="00FF66CA">
        <w:rPr>
          <w:rStyle w:val="Rimandonotadichiusura"/>
        </w:rPr>
        <w:endnoteReference w:id="13"/>
      </w:r>
    </w:p>
    <w:p w14:paraId="14C745D0" w14:textId="3BCDF7C2" w:rsidR="005614E5" w:rsidRDefault="005614E5" w:rsidP="001E063A">
      <w:r>
        <w:rPr>
          <w:noProof/>
        </w:rPr>
        <mc:AlternateContent>
          <mc:Choice Requires="wps">
            <w:drawing>
              <wp:inline distT="0" distB="0" distL="0" distR="0" wp14:anchorId="67A693FB" wp14:editId="23C697D4">
                <wp:extent cx="5662800" cy="0"/>
                <wp:effectExtent l="0" t="12700" r="14605" b="12700"/>
                <wp:docPr id="50" name="Connettore 1 50" descr="Orange line to indicate end of text box"/>
                <wp:cNvGraphicFramePr/>
                <a:graphic xmlns:a="http://schemas.openxmlformats.org/drawingml/2006/main">
                  <a:graphicData uri="http://schemas.microsoft.com/office/word/2010/wordprocessingShape">
                    <wps:wsp>
                      <wps:cNvCnPr/>
                      <wps:spPr>
                        <a:xfrm>
                          <a:off x="0" y="0"/>
                          <a:ext cx="5662800"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inline>
            </w:drawing>
          </mc:Choice>
          <mc:Fallback>
            <w:pict>
              <v:line w14:anchorId="481B7E95" id="Connettore 1 50" o:spid="_x0000_s1026" alt="Orange line to indicate end of text box" style="visibility:visible;mso-wrap-style:square;mso-left-percent:-10001;mso-top-percent:-10001;mso-position-horizontal:absolute;mso-position-horizontal-relative:char;mso-position-vertical:absolute;mso-position-vertical-relative:line;mso-left-percent:-10001;mso-top-percent:-10001" from="0,0" to="445.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" strokecolor="#f27166 [3207]" strokeweight="1.5pt">
                <v:stroke joinstyle="miter"/>
                <w10:anchorlock/>
              </v:line>
            </w:pict>
          </mc:Fallback>
        </mc:AlternateContent>
      </w:r>
    </w:p>
    <w:p w14:paraId="4AD13135" w14:textId="25FAC257" w:rsidR="001E063A" w:rsidRDefault="00E763ED" w:rsidP="001E063A">
      <w:r>
        <w:rPr>
          <w:b/>
          <w:noProof/>
          <w:lang w:eastAsia="en-US"/>
        </w:rPr>
        <mc:AlternateContent>
          <mc:Choice Requires="wps">
            <w:drawing>
              <wp:anchor distT="0" distB="0" distL="114300" distR="114300" simplePos="0" relativeHeight="251655168" behindDoc="0" locked="0" layoutInCell="1" allowOverlap="1" wp14:anchorId="6F0F2752" wp14:editId="0AB6A732">
                <wp:simplePos x="0" y="0"/>
                <wp:positionH relativeFrom="column">
                  <wp:posOffset>4245610</wp:posOffset>
                </wp:positionH>
                <wp:positionV relativeFrom="paragraph">
                  <wp:posOffset>6952974</wp:posOffset>
                </wp:positionV>
                <wp:extent cx="2391019" cy="2808000"/>
                <wp:effectExtent l="0" t="0" r="0" b="0"/>
                <wp:wrapNone/>
                <wp:docPr id="56" name="Casella di testo 56"/>
                <wp:cNvGraphicFramePr/>
                <a:graphic xmlns:a="http://schemas.openxmlformats.org/drawingml/2006/main">
                  <a:graphicData uri="http://schemas.microsoft.com/office/word/2010/wordprocessingShape">
                    <wps:wsp>
                      <wps:cNvSpPr txBox="1"/>
                      <wps:spPr>
                        <a:xfrm>
                          <a:off x="0" y="0"/>
                          <a:ext cx="2391019" cy="2808000"/>
                        </a:xfrm>
                        <a:prstGeom prst="rect">
                          <a:avLst/>
                        </a:prstGeom>
                        <a:noFill/>
                        <a:ln w="6350">
                          <a:noFill/>
                        </a:ln>
                      </wps:spPr>
                      <wps:txbx>
                        <w:txbxContent>
                          <w:p w14:paraId="43F7ECC6" w14:textId="15F653BE" w:rsidR="00E763ED" w:rsidRPr="00F12A0B" w:rsidRDefault="009A530B" w:rsidP="00E763ED">
                            <w:pPr>
                              <w:pStyle w:val="SectionNumber"/>
                              <w:rPr>
                                <w14:shadow w14:blurRad="50800" w14:dist="38100" w14:dir="2700000" w14:sx="100000" w14:sy="100000" w14:kx="0" w14:ky="0" w14:algn="tl">
                                  <w14:srgbClr w14:val="000000">
                                    <w14:alpha w14:val="60000"/>
                                  </w14:srgbClr>
                                </w14:shadow>
                              </w:rPr>
                            </w:pPr>
                            <w:r>
                              <w:rPr>
                                <w14:shadow w14:blurRad="50800" w14:dist="38100" w14:dir="2700000" w14:sx="100000" w14:sy="100000" w14:kx="0" w14:ky="0" w14:algn="tl">
                                  <w14:srgbClr w14:val="000000">
                                    <w14:alpha w14:val="60000"/>
                                  </w14:srgbClr>
                                </w14:shadow>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0F2752" id="_x0000_t202" coordsize="21600,21600" o:spt="202" path="m,l,21600r21600,l21600,xe">
                <v:stroke joinstyle="miter"/>
                <v:path gradientshapeok="t" o:connecttype="rect"/>
              </v:shapetype>
              <v:shape id="Casella di testo 56" o:spid="_x0000_s1026" type="#_x0000_t202" style="position:absolute;margin-left:334.3pt;margin-top:547.5pt;width:188.25pt;height:221.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" filled="f" stroked="f" strokeweight=".5pt">
                <v:textbox>
                  <w:txbxContent>
                    <w:p w14:paraId="43F7ECC6" w14:textId="15F653BE" w:rsidR="00E763ED" w:rsidRPr="00F12A0B" w:rsidRDefault="009A530B" w:rsidP="00E763ED">
                      <w:pPr>
                        <w:pStyle w:val="SectionNumber"/>
                        <w:rPr>
                          <w14:shadow w14:blurRad="50800" w14:dist="38100" w14:dir="2700000" w14:sx="100000" w14:sy="100000" w14:kx="0" w14:ky="0" w14:algn="tl">
                            <w14:srgbClr w14:val="000000">
                              <w14:alpha w14:val="60000"/>
                            </w14:srgbClr>
                          </w14:shadow>
                        </w:rPr>
                      </w:pPr>
                      <w:r>
                        <w:rPr>
                          <w14:shadow w14:blurRad="50800" w14:dist="38100" w14:dir="2700000" w14:sx="100000" w14:sy="100000" w14:kx="0" w14:ky="0" w14:algn="tl">
                            <w14:srgbClr w14:val="000000">
                              <w14:alpha w14:val="60000"/>
                            </w14:srgbClr>
                          </w14:shadow>
                        </w:rPr>
                        <w:t>3</w:t>
                      </w:r>
                    </w:p>
                  </w:txbxContent>
                </v:textbox>
              </v:shape>
            </w:pict>
          </mc:Fallback>
        </mc:AlternateContent>
      </w:r>
      <w:r w:rsidR="001E063A">
        <w:br w:type="page"/>
      </w:r>
    </w:p>
    <w:p w14:paraId="4D26D34C" w14:textId="77777777" w:rsidR="00D37887" w:rsidRDefault="001E063A" w:rsidP="001E063A">
      <w:pPr>
        <w:pStyle w:val="Titolo1"/>
        <w:rPr>
          <w:lang w:eastAsia="en-US"/>
        </w:rPr>
      </w:pPr>
      <w:bookmarkStart w:id="21" w:name="_Toc118316276"/>
      <w:r>
        <w:rPr>
          <w:lang w:eastAsia="en-US"/>
        </w:rPr>
        <w:t>What the law says</w:t>
      </w:r>
      <w:bookmarkEnd w:id="21"/>
    </w:p>
    <w:p w14:paraId="0E4A1BB1" w14:textId="2796C0FE" w:rsidR="00E96AD1" w:rsidRDefault="00E96AD1" w:rsidP="00E96AD1">
      <w:pPr>
        <w:pStyle w:val="Titolo2"/>
        <w:spacing w:before="0"/>
      </w:pPr>
      <w:bookmarkStart w:id="22" w:name="_Toc110462744"/>
      <w:bookmarkStart w:id="23" w:name="_Toc118316277"/>
      <w:r>
        <w:t>Overview of anti-discrimination laws</w:t>
      </w:r>
      <w:bookmarkEnd w:id="22"/>
      <w:bookmarkEnd w:id="23"/>
    </w:p>
    <w:p w14:paraId="4CFF29E4" w14:textId="4371FADC" w:rsidR="001E063A" w:rsidRDefault="001E063A" w:rsidP="001E063A">
      <w:pPr>
        <w:rPr>
          <w:lang w:eastAsia="en-US"/>
        </w:rPr>
      </w:pPr>
      <w:r>
        <w:rPr>
          <w:lang w:eastAsia="en-US"/>
        </w:rPr>
        <w:t xml:space="preserve">Anti-discrimination laws in all Australian federal, state and territory jurisdictions prohibit discrimination </w:t>
      </w:r>
      <w:proofErr w:type="gramStart"/>
      <w:r>
        <w:rPr>
          <w:lang w:eastAsia="en-US"/>
        </w:rPr>
        <w:t>on the basis of</w:t>
      </w:r>
      <w:proofErr w:type="gramEnd"/>
      <w:r>
        <w:rPr>
          <w:lang w:eastAsia="en-US"/>
        </w:rPr>
        <w:t xml:space="preserve"> disability across many areas of public life, including employment. With respect to the federal </w:t>
      </w:r>
      <w:r w:rsidRPr="00254E03">
        <w:rPr>
          <w:bCs w:val="0"/>
        </w:rPr>
        <w:t>Disability Discrimination Act</w:t>
      </w:r>
      <w:r>
        <w:rPr>
          <w:lang w:eastAsia="en-US"/>
        </w:rPr>
        <w:t xml:space="preserve">, for example, the prohibition on unlawful discrimination </w:t>
      </w:r>
      <w:proofErr w:type="gramStart"/>
      <w:r>
        <w:rPr>
          <w:lang w:eastAsia="en-US"/>
        </w:rPr>
        <w:t>in the area of</w:t>
      </w:r>
      <w:proofErr w:type="gramEnd"/>
      <w:r>
        <w:rPr>
          <w:lang w:eastAsia="en-US"/>
        </w:rPr>
        <w:t xml:space="preserve"> </w:t>
      </w:r>
      <w:r w:rsidRPr="00DA285D">
        <w:rPr>
          <w:lang w:eastAsia="en-US"/>
        </w:rPr>
        <w:t xml:space="preserve">employment extends to </w:t>
      </w:r>
      <w:r w:rsidRPr="00A6038F">
        <w:rPr>
          <w:lang w:eastAsia="en-US"/>
        </w:rPr>
        <w:t>recruitment processes, the terms and conditions on which employment is offered or provided, access to promotion, transfer, training or other benefits associated with employment, dismissal, or subjecting an employee to any other detriment.</w:t>
      </w:r>
      <w:r w:rsidRPr="00A6038F">
        <w:rPr>
          <w:rStyle w:val="Rimandonotadichiusura"/>
          <w:lang w:eastAsia="en-US"/>
        </w:rPr>
        <w:endnoteReference w:id="14"/>
      </w:r>
    </w:p>
    <w:p w14:paraId="73F6EB2A" w14:textId="77777777" w:rsidR="001E063A" w:rsidRDefault="001E063A" w:rsidP="001E063A">
      <w:r w:rsidRPr="00026F93">
        <w:t xml:space="preserve">The </w:t>
      </w:r>
      <w:r w:rsidRPr="00254E03">
        <w:rPr>
          <w:bCs w:val="0"/>
        </w:rPr>
        <w:t>Disability Discrimination Act</w:t>
      </w:r>
      <w:r w:rsidRPr="00780E52" w:rsidDel="00780E52">
        <w:t xml:space="preserve"> </w:t>
      </w:r>
      <w:r w:rsidRPr="00026F93">
        <w:t xml:space="preserve">covers people who have temporary and permanent disabilities; physical, intellectual, sensory, neurological, </w:t>
      </w:r>
      <w:proofErr w:type="gramStart"/>
      <w:r w:rsidRPr="00026F93">
        <w:t>learning</w:t>
      </w:r>
      <w:proofErr w:type="gramEnd"/>
      <w:r w:rsidRPr="00026F93">
        <w:t xml:space="preserve"> and psychosocial disabilities, diseases or illnesses, physical disfigurement, medical conditions, and work-related injuries</w:t>
      </w:r>
      <w:r>
        <w:t>.</w:t>
      </w:r>
      <w:r>
        <w:rPr>
          <w:rStyle w:val="Rimandonotadichiusura"/>
        </w:rPr>
        <w:endnoteReference w:id="15"/>
      </w:r>
      <w:r>
        <w:t xml:space="preserve"> I</w:t>
      </w:r>
      <w:r w:rsidRPr="00E228A9">
        <w:t>t extends to disabilities that people have had in the past and potential future disabilities, as well as disabilities that people are assumed to have.</w:t>
      </w:r>
    </w:p>
    <w:p w14:paraId="62A89434" w14:textId="24327C8C" w:rsidR="001E063A" w:rsidRDefault="001E063A" w:rsidP="001E063A">
      <w:pPr>
        <w:keepNext/>
        <w:rPr>
          <w:lang w:eastAsia="en-US"/>
        </w:rPr>
      </w:pPr>
      <w:r>
        <w:rPr>
          <w:lang w:eastAsia="en-US"/>
        </w:rPr>
        <w:t>Generally, discrimination falls into two categories:</w:t>
      </w:r>
    </w:p>
    <w:p w14:paraId="784A8918" w14:textId="0B0A387C" w:rsidR="001F5450" w:rsidRDefault="001E063A">
      <w:pPr>
        <w:pStyle w:val="Puntoelenco"/>
      </w:pPr>
      <w:r w:rsidRPr="001B1580">
        <w:rPr>
          <w:rStyle w:val="Enfasigrassetto"/>
        </w:rPr>
        <w:t>Direct discrimination</w:t>
      </w:r>
      <w:r>
        <w:t xml:space="preserve"> </w:t>
      </w:r>
      <w:r w:rsidRPr="00E938B3">
        <w:t>occurs where a person is treated less favourably because of their protected attribute</w:t>
      </w:r>
      <w:r>
        <w:t xml:space="preserve"> –</w:t>
      </w:r>
      <w:r w:rsidRPr="00E938B3">
        <w:t xml:space="preserve"> for example, refusing to employ a person because of their disability</w:t>
      </w:r>
      <w:r>
        <w:t>.</w:t>
      </w:r>
    </w:p>
    <w:p w14:paraId="5E7A67BC" w14:textId="09AF5558" w:rsidR="001E063A" w:rsidRPr="00E938B3" w:rsidRDefault="001E063A" w:rsidP="00D905CB">
      <w:pPr>
        <w:pStyle w:val="Puntoelenco"/>
      </w:pPr>
      <w:r w:rsidRPr="001B1580">
        <w:rPr>
          <w:rStyle w:val="Enfasigrassetto"/>
        </w:rPr>
        <w:t>Indirect discrimination</w:t>
      </w:r>
      <w:r w:rsidRPr="00E938B3">
        <w:t xml:space="preserve"> occurs whe</w:t>
      </w:r>
      <w:r>
        <w:t>re</w:t>
      </w:r>
      <w:r w:rsidRPr="00E938B3">
        <w:t xml:space="preserve"> an unreasonable condition or requirement is imposed on a person who, because of</w:t>
      </w:r>
      <w:r>
        <w:t xml:space="preserve"> their protected attribute, </w:t>
      </w:r>
      <w:r w:rsidRPr="00E938B3">
        <w:t xml:space="preserve">cannot comply with </w:t>
      </w:r>
      <w:r w:rsidR="00C802A9">
        <w:t>the</w:t>
      </w:r>
      <w:r w:rsidRPr="00E938B3">
        <w:t xml:space="preserve"> condition or requirement, which has the effect of disadvantaging </w:t>
      </w:r>
      <w:r>
        <w:t>that person</w:t>
      </w:r>
      <w:r w:rsidRPr="00E938B3">
        <w:t>.</w:t>
      </w:r>
      <w:r>
        <w:t xml:space="preserve"> </w:t>
      </w:r>
      <w:r w:rsidRPr="00E938B3">
        <w:t>For example, imposing a requirement that all employees attend a work conference at a building which is only accessible by stairs may indirectly discriminate against an employee who uses a wheelchair, if that requirement is unreasonable in the circumstances.</w:t>
      </w:r>
    </w:p>
    <w:p w14:paraId="18EA879E" w14:textId="090C4A0B" w:rsidR="001E063A" w:rsidRPr="007E3AE5" w:rsidRDefault="001E063A" w:rsidP="001E063A">
      <w:pPr>
        <w:rPr>
          <w:lang w:eastAsia="en-US"/>
        </w:rPr>
      </w:pPr>
      <w:r w:rsidRPr="007E3AE5">
        <w:rPr>
          <w:lang w:eastAsia="en-US"/>
        </w:rPr>
        <w:t xml:space="preserve">In addition, </w:t>
      </w:r>
      <w:r w:rsidR="00390460">
        <w:rPr>
          <w:lang w:eastAsia="en-US"/>
        </w:rPr>
        <w:t xml:space="preserve">under </w:t>
      </w:r>
      <w:r w:rsidRPr="007E3AE5">
        <w:rPr>
          <w:lang w:eastAsia="en-US"/>
        </w:rPr>
        <w:t xml:space="preserve">the </w:t>
      </w:r>
      <w:r w:rsidRPr="00254E03">
        <w:rPr>
          <w:bCs w:val="0"/>
        </w:rPr>
        <w:t>Disability Discrimination Act</w:t>
      </w:r>
      <w:r w:rsidRPr="007E3AE5" w:rsidDel="00780E52">
        <w:t xml:space="preserve"> </w:t>
      </w:r>
      <w:r w:rsidR="00803931">
        <w:t>a</w:t>
      </w:r>
      <w:r w:rsidR="00BD7480">
        <w:t xml:space="preserve"> failure to provide </w:t>
      </w:r>
      <w:r w:rsidR="00EA7EF7">
        <w:t>‘</w:t>
      </w:r>
      <w:r w:rsidR="00BD7480">
        <w:t>reasonable adjustments</w:t>
      </w:r>
      <w:r w:rsidR="00EA7EF7">
        <w:t>’</w:t>
      </w:r>
      <w:r w:rsidR="00BD7480">
        <w:t xml:space="preserve"> to a person with a disability </w:t>
      </w:r>
      <w:r w:rsidR="00B469F8">
        <w:t xml:space="preserve">may amount to direct or indirect disability discrimination. </w:t>
      </w:r>
      <w:r w:rsidR="00F45C1E">
        <w:t xml:space="preserve"> </w:t>
      </w:r>
      <w:r w:rsidRPr="007E3AE5">
        <w:rPr>
          <w:lang w:eastAsia="en-US"/>
        </w:rPr>
        <w:t xml:space="preserve">Victorian anti-discrimination law contains a positive duty to make reasonable adjustments for people with disability, and the concept of </w:t>
      </w:r>
      <w:r w:rsidRPr="006645F4">
        <w:rPr>
          <w:lang w:eastAsia="en-US"/>
        </w:rPr>
        <w:t>needing</w:t>
      </w:r>
      <w:r w:rsidRPr="006B7046">
        <w:t xml:space="preserve"> </w:t>
      </w:r>
      <w:r w:rsidRPr="007E3AE5">
        <w:rPr>
          <w:lang w:eastAsia="en-US"/>
        </w:rPr>
        <w:t xml:space="preserve">to </w:t>
      </w:r>
      <w:proofErr w:type="gramStart"/>
      <w:r w:rsidRPr="007E3AE5">
        <w:rPr>
          <w:lang w:eastAsia="en-US"/>
        </w:rPr>
        <w:t>make adjustments</w:t>
      </w:r>
      <w:proofErr w:type="gramEnd"/>
      <w:r w:rsidRPr="007E3AE5">
        <w:rPr>
          <w:lang w:eastAsia="en-US"/>
        </w:rPr>
        <w:t xml:space="preserve"> is also recognised across other jurisdictions.</w:t>
      </w:r>
      <w:r w:rsidRPr="00AD362D">
        <w:rPr>
          <w:rStyle w:val="Rimandonotadichiusura"/>
          <w:szCs w:val="20"/>
          <w:lang w:eastAsia="en-US"/>
        </w:rPr>
        <w:endnoteReference w:id="16"/>
      </w:r>
      <w:r w:rsidRPr="007E3AE5">
        <w:rPr>
          <w:lang w:eastAsia="en-US"/>
        </w:rPr>
        <w:t xml:space="preserve"> For example, it may be a reasonable adjustment to provide an employee </w:t>
      </w:r>
      <w:r>
        <w:rPr>
          <w:lang w:eastAsia="en-US"/>
        </w:rPr>
        <w:t>who has</w:t>
      </w:r>
      <w:r w:rsidRPr="007E3AE5">
        <w:rPr>
          <w:lang w:eastAsia="en-US"/>
        </w:rPr>
        <w:t xml:space="preserve"> </w:t>
      </w:r>
      <w:r>
        <w:rPr>
          <w:lang w:eastAsia="en-US"/>
        </w:rPr>
        <w:t>low vision</w:t>
      </w:r>
      <w:r w:rsidRPr="007E3AE5">
        <w:rPr>
          <w:lang w:eastAsia="en-US"/>
        </w:rPr>
        <w:t xml:space="preserve"> with a larger computer monitor. Employers that fail to make reasonable adjustments to facilitate the employee performing their role may have discriminated against them.</w:t>
      </w:r>
    </w:p>
    <w:p w14:paraId="78617696" w14:textId="1618DBCB" w:rsidR="001E063A" w:rsidRDefault="001E063A" w:rsidP="001E063A">
      <w:pPr>
        <w:rPr>
          <w:lang w:eastAsia="en-US"/>
        </w:rPr>
      </w:pPr>
      <w:r>
        <w:rPr>
          <w:lang w:eastAsia="en-US"/>
        </w:rPr>
        <w:t xml:space="preserve">However, employers are not required to </w:t>
      </w:r>
      <w:proofErr w:type="gramStart"/>
      <w:r>
        <w:rPr>
          <w:lang w:eastAsia="en-US"/>
        </w:rPr>
        <w:t>make adjustments</w:t>
      </w:r>
      <w:proofErr w:type="gramEnd"/>
      <w:r>
        <w:rPr>
          <w:lang w:eastAsia="en-US"/>
        </w:rPr>
        <w:t xml:space="preserve"> where this would amount to an ‘unjustifiable hardship’ for the employer (for example, because making the adjustment would be too expensive, difficult, time-consuming or would cause some other hardship).</w:t>
      </w:r>
      <w:r>
        <w:rPr>
          <w:rStyle w:val="Rimandonotadichiusura"/>
          <w:lang w:eastAsia="en-US"/>
        </w:rPr>
        <w:endnoteReference w:id="17"/>
      </w:r>
    </w:p>
    <w:p w14:paraId="0B476402" w14:textId="1D575226" w:rsidR="005B0C9C" w:rsidRDefault="005B0C9C" w:rsidP="005B0C9C">
      <w:pPr>
        <w:keepLines w:val="0"/>
        <w:spacing w:after="160" w:line="259" w:lineRule="auto"/>
        <w:rPr>
          <w:lang w:eastAsia="en-US"/>
        </w:rPr>
      </w:pPr>
      <w:r>
        <w:rPr>
          <w:lang w:eastAsia="en-US"/>
        </w:rPr>
        <w:br w:type="page"/>
      </w:r>
    </w:p>
    <w:p w14:paraId="4E0F4F8D" w14:textId="614A9CCB" w:rsidR="001E063A" w:rsidRDefault="001E063A">
      <w:pPr>
        <w:pStyle w:val="Titolo2"/>
      </w:pPr>
      <w:bookmarkStart w:id="24" w:name="_Toc110462745"/>
      <w:bookmarkStart w:id="25" w:name="_Toc118316278"/>
      <w:r>
        <w:t>Exemptions/</w:t>
      </w:r>
      <w:r w:rsidR="00957753">
        <w:t>e</w:t>
      </w:r>
      <w:r w:rsidRPr="00726C27">
        <w:t>xceptions</w:t>
      </w:r>
      <w:r>
        <w:t xml:space="preserve"> under anti-discrimination legislation</w:t>
      </w:r>
      <w:bookmarkEnd w:id="24"/>
      <w:bookmarkEnd w:id="25"/>
    </w:p>
    <w:p w14:paraId="3C6BC630" w14:textId="361FE148" w:rsidR="00D37887" w:rsidRDefault="001E063A" w:rsidP="001E063A">
      <w:r>
        <w:t>As outlined above, relevant anti-discrimination legislation in Australia is generally directed towards eliminating discrimination against persons on the ground of disability in key areas of public life, ensuring that persons with disability have the same rights to equality before the law, and promoting acceptance and recognition that they have the same fundamental rights as the rest of the community.</w:t>
      </w:r>
      <w:r>
        <w:rPr>
          <w:rStyle w:val="Rimandonotadichiusura"/>
        </w:rPr>
        <w:endnoteReference w:id="18"/>
      </w:r>
    </w:p>
    <w:p w14:paraId="0D9F03D8" w14:textId="52350AFC" w:rsidR="001E063A" w:rsidRDefault="001E063A" w:rsidP="001E063A">
      <w:r>
        <w:t xml:space="preserve">Relevant laws contain two </w:t>
      </w:r>
      <w:proofErr w:type="gramStart"/>
      <w:r>
        <w:t>key</w:t>
      </w:r>
      <w:proofErr w:type="gramEnd"/>
      <w:r>
        <w:t xml:space="preserve"> ‘exemptions’ or ‘exceptions’</w:t>
      </w:r>
      <w:r>
        <w:rPr>
          <w:rStyle w:val="Rimandonotadichiusura"/>
        </w:rPr>
        <w:endnoteReference w:id="19"/>
      </w:r>
      <w:r>
        <w:t xml:space="preserve"> to this general premise,</w:t>
      </w:r>
      <w:r>
        <w:rPr>
          <w:rStyle w:val="Rimandonotadichiusura"/>
        </w:rPr>
        <w:endnoteReference w:id="20"/>
      </w:r>
      <w:r>
        <w:t xml:space="preserve"> which are highly relevant to the </w:t>
      </w:r>
      <w:r w:rsidRPr="001B42F0">
        <w:t xml:space="preserve">targeted recruitment of </w:t>
      </w:r>
      <w:r>
        <w:t>people</w:t>
      </w:r>
      <w:r w:rsidRPr="001B42F0">
        <w:t xml:space="preserve"> with disability: </w:t>
      </w:r>
    </w:p>
    <w:p w14:paraId="2863383B" w14:textId="6781622C" w:rsidR="001E063A" w:rsidRPr="00E938B3" w:rsidRDefault="001E063A">
      <w:pPr>
        <w:pStyle w:val="Puntoelenco"/>
      </w:pPr>
      <w:r w:rsidRPr="00E938B3">
        <w:t>‘</w:t>
      </w:r>
      <w:proofErr w:type="gramStart"/>
      <w:r w:rsidRPr="00E938B3">
        <w:t>special</w:t>
      </w:r>
      <w:proofErr w:type="gramEnd"/>
      <w:r w:rsidRPr="00E938B3">
        <w:t xml:space="preserve"> measures’ provisions</w:t>
      </w:r>
    </w:p>
    <w:p w14:paraId="36326110" w14:textId="3194C3DA" w:rsidR="00686329" w:rsidRDefault="001E063A" w:rsidP="005B0C9C">
      <w:pPr>
        <w:pStyle w:val="Puntoelenco"/>
      </w:pPr>
      <w:r w:rsidRPr="00E938B3">
        <w:t>‘</w:t>
      </w:r>
      <w:proofErr w:type="gramStart"/>
      <w:r w:rsidRPr="00E938B3">
        <w:t>genuine</w:t>
      </w:r>
      <w:proofErr w:type="gramEnd"/>
      <w:r w:rsidRPr="00E938B3">
        <w:t xml:space="preserve"> occupational requirement’ provisions.</w:t>
      </w:r>
    </w:p>
    <w:p w14:paraId="4DC82BC9" w14:textId="57F35184" w:rsidR="00686329" w:rsidRDefault="00686329">
      <w:pPr>
        <w:keepLines w:val="0"/>
        <w:spacing w:after="160" w:line="259" w:lineRule="auto"/>
        <w:rPr>
          <w:bCs w:val="0"/>
          <w:iCs/>
          <w:szCs w:val="22"/>
        </w:rPr>
      </w:pPr>
      <w:r>
        <w:br w:type="page"/>
      </w:r>
    </w:p>
    <w:p w14:paraId="2932CF95" w14:textId="7AB487A2" w:rsidR="009C5208" w:rsidRPr="009C5208" w:rsidRDefault="001E063A" w:rsidP="009C5208">
      <w:pPr>
        <w:pStyle w:val="Titolo3"/>
      </w:pPr>
      <w:bookmarkStart w:id="26" w:name="_Toc110462746"/>
      <w:bookmarkStart w:id="27" w:name="_Toc118316279"/>
      <w:r w:rsidRPr="00C00D40">
        <w:t>Special measures</w:t>
      </w:r>
      <w:bookmarkEnd w:id="26"/>
      <w:bookmarkEnd w:id="27"/>
      <w:r w:rsidR="002E25EB">
        <w:br/>
      </w:r>
    </w:p>
    <w:p w14:paraId="7F4885C6" w14:textId="75F3AA34" w:rsidR="00550C99" w:rsidRDefault="005614E5" w:rsidP="001E063A">
      <w:pPr>
        <w:rPr>
          <w:lang w:eastAsia="en-US"/>
        </w:rPr>
      </w:pPr>
      <w:r>
        <w:rPr>
          <w:noProof/>
          <w:lang w:eastAsia="en-US"/>
        </w:rPr>
        <w:drawing>
          <wp:inline distT="0" distB="0" distL="0" distR="0" wp14:anchorId="1FD571AC" wp14:editId="7E73E41A">
            <wp:extent cx="5731200" cy="6372000"/>
            <wp:effectExtent l="0" t="0" r="0" b="3810"/>
            <wp:docPr id="42" name="Immagine 42" descr="INFOGRAPHIC - SPECIAL MEASURES&#10;&#10;Infographic consisting of two panels. &#10;&#10;The first panel has a teal blue background and shows four enthusiastic office workers including two males and two women shaking hands.&#10;&#10;Text inside the first panel reads:&#10; &#10;A ‘special measure’* is, generally, a positive action taken to promote equality for a group of people with a protected attribute, in order to overcome the entrenched disadvantage that they face because of that attribute. It may be an act which is intended to ensure equality or equal opportunity for the group, or to meet their special needs. Special measures are sometimes described as acts of ‘positive discrimination’.&#10;&#10;* The language used in the laws to describe such positive actions differs between the legislation in each state and territory. Sometimes they are called ‘equal opportunity measures’, but for the purposes of the Guidelines they will be referred to generally as ‘special measures’.&#10;&#10;Second panel with orange background featuring two female office-workers. &#10;&#10;Text inside the second panel reads:&#10;&#10;An employer who relies on a special measure exemption has the onus of proof and must establish the key elements under the relevant legislation.&#10;&#10;Anti-discrimination law recognises that ‘equality’ does not always mean identical treatment. That is, to achieve genuine equality, it may be necessary to treat people differently in order to address existing in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descr="INFOGRAPHIC - SPECIAL MEASURES&#10;&#10;Infographic consisting of two panels. &#10;&#10;The first panel has a teal blue background and shows four enthusiastic office workers including two males and two women shaking hands.&#10;&#10;Text inside the first panel reads:&#10; &#10;A ‘special measure’* is, generally, a positive action taken to promote equality for a group of people with a protected attribute, in order to overcome the entrenched disadvantage that they face because of that attribute. It may be an act which is intended to ensure equality or equal opportunity for the group, or to meet their special needs. Special measures are sometimes described as acts of ‘positive discrimination’.&#10;&#10;* The language used in the laws to describe such positive actions differs between the legislation in each state and territory. Sometimes they are called ‘equal opportunity measures’, but for the purposes of the Guidelines they will be referred to generally as ‘special measures’.&#10;&#10;Second panel with orange background featuring two female office-workers. &#10;&#10;Text inside the second panel reads:&#10;&#10;An employer who relies on a special measure exemption has the onus of proof and must establish the key elements under the relevant legislation.&#10;&#10;Anti-discrimination law recognises that ‘equality’ does not always mean identical treatment. That is, to achieve genuine equality, it may be necessary to treat people differently in order to address existing inequality."/>
                    <pic:cNvPicPr/>
                  </pic:nvPicPr>
                  <pic:blipFill>
                    <a:blip r:embed="rId26" cstate="screen">
                      <a:extLst>
                        <a:ext uri="{28A0092B-C50C-407E-A947-70E740481C1C}">
                          <a14:useLocalDpi xmlns:a14="http://schemas.microsoft.com/office/drawing/2010/main"/>
                        </a:ext>
                      </a:extLst>
                    </a:blip>
                    <a:stretch>
                      <a:fillRect/>
                    </a:stretch>
                  </pic:blipFill>
                  <pic:spPr>
                    <a:xfrm>
                      <a:off x="0" y="0"/>
                      <a:ext cx="5731200" cy="6372000"/>
                    </a:xfrm>
                    <a:prstGeom prst="rect">
                      <a:avLst/>
                    </a:prstGeom>
                  </pic:spPr>
                </pic:pic>
              </a:graphicData>
            </a:graphic>
          </wp:inline>
        </w:drawing>
      </w:r>
    </w:p>
    <w:p w14:paraId="68151287" w14:textId="77777777" w:rsidR="00686329" w:rsidRDefault="00686329">
      <w:pPr>
        <w:keepLines w:val="0"/>
        <w:spacing w:after="160" w:line="259" w:lineRule="auto"/>
        <w:rPr>
          <w:lang w:eastAsia="en-US"/>
        </w:rPr>
      </w:pPr>
    </w:p>
    <w:p w14:paraId="182FA19B" w14:textId="0B74A93A" w:rsidR="00EC5225" w:rsidRPr="00686329" w:rsidRDefault="000C4B45" w:rsidP="00686329">
      <w:pPr>
        <w:keepLines w:val="0"/>
        <w:spacing w:after="160" w:line="259" w:lineRule="auto"/>
        <w:rPr>
          <w:lang w:eastAsia="en-US"/>
        </w:rPr>
      </w:pPr>
      <w:r>
        <w:rPr>
          <w:lang w:eastAsia="en-US"/>
        </w:rPr>
        <w:br w:type="page"/>
      </w:r>
    </w:p>
    <w:p w14:paraId="491F10A9" w14:textId="77777777" w:rsidR="001E063A" w:rsidRPr="00742832" w:rsidRDefault="001E063A" w:rsidP="00E763ED">
      <w:pPr>
        <w:pStyle w:val="Titolo3"/>
        <w:spacing w:before="0"/>
      </w:pPr>
      <w:bookmarkStart w:id="28" w:name="_Toc118316280"/>
      <w:r w:rsidRPr="00742832">
        <w:t xml:space="preserve">Key elements of a special measure – </w:t>
      </w:r>
      <w:r>
        <w:t>federal</w:t>
      </w:r>
      <w:r w:rsidRPr="00742832">
        <w:t xml:space="preserve"> law</w:t>
      </w:r>
      <w:bookmarkEnd w:id="28"/>
    </w:p>
    <w:p w14:paraId="47CEF298" w14:textId="08A8E3B3" w:rsidR="001E063A" w:rsidRDefault="001E063A" w:rsidP="001E063A">
      <w:r>
        <w:t xml:space="preserve">Under the </w:t>
      </w:r>
      <w:r w:rsidRPr="00254E03">
        <w:rPr>
          <w:bCs w:val="0"/>
        </w:rPr>
        <w:t>Disability Discrimination Act</w:t>
      </w:r>
      <w:r>
        <w:t>, the elements of a special measure are:</w:t>
      </w:r>
    </w:p>
    <w:p w14:paraId="693D8AD5" w14:textId="77777777" w:rsidR="001E063A" w:rsidRDefault="001E063A">
      <w:pPr>
        <w:pStyle w:val="Puntoelenco"/>
      </w:pPr>
      <w:r>
        <w:t>t</w:t>
      </w:r>
      <w:r w:rsidRPr="00F45DBF">
        <w:t xml:space="preserve">he </w:t>
      </w:r>
      <w:r>
        <w:t>measure</w:t>
      </w:r>
      <w:r w:rsidRPr="00F45DBF">
        <w:t xml:space="preserve"> must be </w:t>
      </w:r>
      <w:r w:rsidRPr="001B1580">
        <w:rPr>
          <w:rStyle w:val="Enfasigrassetto"/>
        </w:rPr>
        <w:t>reasonably intended</w:t>
      </w:r>
      <w:r>
        <w:t xml:space="preserve"> to</w:t>
      </w:r>
    </w:p>
    <w:p w14:paraId="7903F082" w14:textId="77777777" w:rsidR="001E063A" w:rsidRPr="0007237E" w:rsidRDefault="001E063A">
      <w:pPr>
        <w:pStyle w:val="Puntoelenco2"/>
      </w:pPr>
      <w:r>
        <w:t xml:space="preserve">ensure that persons who have a disability have </w:t>
      </w:r>
      <w:r w:rsidRPr="001B1580">
        <w:rPr>
          <w:rStyle w:val="Enfasigrassetto"/>
        </w:rPr>
        <w:t>equal opportunities</w:t>
      </w:r>
      <w:r w:rsidRPr="006B7046">
        <w:t xml:space="preserve"> </w:t>
      </w:r>
      <w:r>
        <w:t xml:space="preserve">with other persons in areas of public life covered by the </w:t>
      </w:r>
      <w:r w:rsidRPr="00254E03">
        <w:t>Disability Discrimination Act</w:t>
      </w:r>
      <w:r w:rsidDel="00780E52">
        <w:t xml:space="preserve"> </w:t>
      </w:r>
      <w:r>
        <w:t xml:space="preserve">(in this case, employment), </w:t>
      </w:r>
      <w:r w:rsidRPr="006B7046">
        <w:rPr>
          <w:rStyle w:val="Enfasicorsivo"/>
        </w:rPr>
        <w:t>or</w:t>
      </w:r>
    </w:p>
    <w:p w14:paraId="272E90FB" w14:textId="77777777" w:rsidR="001E063A" w:rsidRDefault="001E063A">
      <w:pPr>
        <w:pStyle w:val="Puntoelenco2"/>
      </w:pPr>
      <w:r>
        <w:t xml:space="preserve">afford persons with disability, or a particular disability, goods or access to facilities, </w:t>
      </w:r>
      <w:proofErr w:type="gramStart"/>
      <w:r>
        <w:t>services</w:t>
      </w:r>
      <w:proofErr w:type="gramEnd"/>
      <w:r>
        <w:t xml:space="preserve"> or opportunities (or grants, benefits or programs)</w:t>
      </w:r>
      <w:r>
        <w:rPr>
          <w:rStyle w:val="Rimandonotadichiusura"/>
        </w:rPr>
        <w:endnoteReference w:id="21"/>
      </w:r>
      <w:r>
        <w:t xml:space="preserve"> to </w:t>
      </w:r>
      <w:r w:rsidRPr="001B1580">
        <w:rPr>
          <w:rStyle w:val="Enfasigrassetto"/>
        </w:rPr>
        <w:t>meet their special needs</w:t>
      </w:r>
      <w:r>
        <w:t xml:space="preserve"> in relation to:</w:t>
      </w:r>
    </w:p>
    <w:p w14:paraId="407CBA6F" w14:textId="77777777" w:rsidR="001E063A" w:rsidRDefault="001E063A">
      <w:pPr>
        <w:pStyle w:val="Puntoelenco3"/>
      </w:pPr>
      <w:r>
        <w:t>employment, education, accommodation, clubs, or sport, or</w:t>
      </w:r>
    </w:p>
    <w:p w14:paraId="0C091895" w14:textId="77777777" w:rsidR="001E063A" w:rsidRDefault="001E063A">
      <w:pPr>
        <w:pStyle w:val="Puntoelenco3"/>
      </w:pPr>
      <w:r>
        <w:t xml:space="preserve">the provision of goods, services, </w:t>
      </w:r>
      <w:proofErr w:type="gramStart"/>
      <w:r>
        <w:t>facilities</w:t>
      </w:r>
      <w:proofErr w:type="gramEnd"/>
      <w:r>
        <w:t xml:space="preserve"> or land, or</w:t>
      </w:r>
    </w:p>
    <w:p w14:paraId="5400C0F4" w14:textId="77777777" w:rsidR="001E063A" w:rsidRDefault="001E063A">
      <w:pPr>
        <w:pStyle w:val="Puntoelenco3"/>
      </w:pPr>
      <w:r>
        <w:t>the making available of facilities, or</w:t>
      </w:r>
    </w:p>
    <w:p w14:paraId="3BF72CA7" w14:textId="77777777" w:rsidR="001E063A" w:rsidRDefault="001E063A">
      <w:pPr>
        <w:pStyle w:val="Puntoelenco3"/>
      </w:pPr>
      <w:r>
        <w:t>the administration of Commonwealth laws and programs, or</w:t>
      </w:r>
    </w:p>
    <w:p w14:paraId="1478DE9C" w14:textId="4FEDD8A4" w:rsidR="001E063A" w:rsidRDefault="001E063A">
      <w:pPr>
        <w:pStyle w:val="Puntoelenco3"/>
      </w:pPr>
      <w:r>
        <w:t>their capacity to live independently.</w:t>
      </w:r>
    </w:p>
    <w:p w14:paraId="7C00B546" w14:textId="77777777" w:rsidR="001E063A" w:rsidRDefault="001E063A">
      <w:pPr>
        <w:pStyle w:val="Puntoelenco"/>
      </w:pPr>
      <w:r>
        <w:t>However</w:t>
      </w:r>
    </w:p>
    <w:p w14:paraId="42373DE2" w14:textId="77777777" w:rsidR="001E063A" w:rsidRDefault="001E063A">
      <w:pPr>
        <w:pStyle w:val="Puntoelenco2"/>
      </w:pPr>
      <w:r>
        <w:t xml:space="preserve">any discriminatory effect of the measure must be </w:t>
      </w:r>
      <w:r w:rsidRPr="001B1580">
        <w:rPr>
          <w:rStyle w:val="Enfasigrassetto"/>
        </w:rPr>
        <w:t>necessary</w:t>
      </w:r>
      <w:r>
        <w:t xml:space="preserve"> for implementing the special measure, and</w:t>
      </w:r>
    </w:p>
    <w:p w14:paraId="5C4DDFE4" w14:textId="220A97AA" w:rsidR="001E063A" w:rsidRDefault="001E063A">
      <w:pPr>
        <w:pStyle w:val="Puntoelenco2"/>
      </w:pPr>
      <w:r>
        <w:t xml:space="preserve">the exemption for special measures does not apply in relation to the </w:t>
      </w:r>
      <w:r w:rsidRPr="00A6038F">
        <w:t>rates of salary or wages</w:t>
      </w:r>
      <w:r>
        <w:t xml:space="preserve"> paid to persons with disability (which are dealt with elsewhere in the </w:t>
      </w:r>
      <w:r w:rsidRPr="00254E03">
        <w:t>Disability Discrimination Act</w:t>
      </w:r>
      <w:r>
        <w:t>).</w:t>
      </w:r>
      <w:r>
        <w:rPr>
          <w:rStyle w:val="Rimandonotadichiusura"/>
        </w:rPr>
        <w:endnoteReference w:id="22"/>
      </w:r>
      <w:r>
        <w:t xml:space="preserve"> </w:t>
      </w:r>
    </w:p>
    <w:p w14:paraId="32931109" w14:textId="77777777" w:rsidR="001E063A" w:rsidRPr="001B1580" w:rsidRDefault="001E063A">
      <w:pPr>
        <w:pStyle w:val="Titolo3"/>
      </w:pPr>
      <w:bookmarkStart w:id="29" w:name="_Toc118316281"/>
      <w:r w:rsidRPr="001B1580">
        <w:t>Key elements of a special measure – other jurisdictions</w:t>
      </w:r>
      <w:bookmarkEnd w:id="29"/>
    </w:p>
    <w:p w14:paraId="4F014CA0" w14:textId="77777777" w:rsidR="001E063A" w:rsidRDefault="001E063A" w:rsidP="001B1580">
      <w:pPr>
        <w:rPr>
          <w:lang w:eastAsia="en-US"/>
        </w:rPr>
      </w:pPr>
      <w:r>
        <w:rPr>
          <w:lang w:eastAsia="en-US"/>
        </w:rPr>
        <w:t>The core elements of a special measure are essentially the same under all federal, state and territory anti-discrimination laws except NSW. However, the wording of the criteria in the legislation of each jurisdiction differs slightly.</w:t>
      </w:r>
      <w:r>
        <w:rPr>
          <w:rStyle w:val="Rimandonotadichiusura"/>
          <w:lang w:eastAsia="en-US"/>
        </w:rPr>
        <w:endnoteReference w:id="23"/>
      </w:r>
    </w:p>
    <w:p w14:paraId="7FE58577" w14:textId="2F3F1F73" w:rsidR="001E063A" w:rsidRPr="00CF2EC9" w:rsidRDefault="001E063A" w:rsidP="001B1580">
      <w:r w:rsidRPr="00A57543">
        <w:t xml:space="preserve">Importantly, there is no relevant </w:t>
      </w:r>
      <w:r>
        <w:t>‘</w:t>
      </w:r>
      <w:r w:rsidRPr="00A57543">
        <w:t>special measures</w:t>
      </w:r>
      <w:r>
        <w:t>’</w:t>
      </w:r>
      <w:r w:rsidRPr="00A57543">
        <w:t xml:space="preserve"> </w:t>
      </w:r>
      <w:r>
        <w:t>exception</w:t>
      </w:r>
      <w:r w:rsidRPr="00A57543">
        <w:t xml:space="preserve"> under the </w:t>
      </w:r>
      <w:r w:rsidRPr="001B1580">
        <w:rPr>
          <w:rStyle w:val="Enfasicorsivo"/>
        </w:rPr>
        <w:t>Anti-Discrimination Act 1977</w:t>
      </w:r>
      <w:r w:rsidRPr="00CF2EC9">
        <w:t xml:space="preserve"> (NSW) (</w:t>
      </w:r>
      <w:r w:rsidRPr="001B1580">
        <w:rPr>
          <w:rStyle w:val="Enfasigrassetto"/>
        </w:rPr>
        <w:t>the NSW Act</w:t>
      </w:r>
      <w:r w:rsidRPr="00CF2EC9">
        <w:t>).</w:t>
      </w:r>
      <w:r>
        <w:t xml:space="preserve"> In some circumstances, employers wanting to conduct targeted recruitment for people with disability in NSW may have to apply for a statutory exemption from the NSW Act</w:t>
      </w:r>
      <w:r w:rsidRPr="00CF2EC9">
        <w:t>.</w:t>
      </w:r>
      <w:r w:rsidRPr="00CF2EC9">
        <w:rPr>
          <w:rStyle w:val="Rimandonotadichiusura"/>
        </w:rPr>
        <w:endnoteReference w:id="24"/>
      </w:r>
    </w:p>
    <w:p w14:paraId="233E234A" w14:textId="451ED16A" w:rsidR="001E063A" w:rsidRPr="006B7046" w:rsidRDefault="001E063A" w:rsidP="002930C9">
      <w:r w:rsidRPr="00194619">
        <w:t xml:space="preserve">In addition, in Tasmania, the Anti-Discrimination Commissioner encourages employers to seek a statutory exemption for a targeted </w:t>
      </w:r>
      <w:r>
        <w:t xml:space="preserve">short-term </w:t>
      </w:r>
      <w:r w:rsidRPr="00194619">
        <w:t>recruitment strategy.</w:t>
      </w:r>
      <w:r w:rsidRPr="006B7046">
        <w:rPr>
          <w:rStyle w:val="Rimandonotadichiusura"/>
        </w:rPr>
        <w:endnoteReference w:id="25"/>
      </w:r>
      <w:r w:rsidRPr="00194619">
        <w:t xml:space="preserve"> </w:t>
      </w:r>
      <w:r w:rsidR="00957753" w:rsidRPr="006B7046">
        <w:t xml:space="preserve">The NSW and Tasmanian requirements are discussed in Parts </w:t>
      </w:r>
      <w:r w:rsidR="00801C9B" w:rsidRPr="006B7046">
        <w:t>6</w:t>
      </w:r>
      <w:r w:rsidR="00957753" w:rsidRPr="006B7046">
        <w:t xml:space="preserve">.1 and </w:t>
      </w:r>
      <w:r w:rsidR="00801C9B" w:rsidRPr="006B7046">
        <w:t>6</w:t>
      </w:r>
      <w:r w:rsidR="00957753" w:rsidRPr="006B7046">
        <w:t>.2 below.</w:t>
      </w:r>
    </w:p>
    <w:p w14:paraId="21DC8781" w14:textId="77777777" w:rsidR="001E063A" w:rsidRDefault="001E063A">
      <w:pPr>
        <w:pStyle w:val="Titolo3"/>
      </w:pPr>
      <w:bookmarkStart w:id="30" w:name="_Toc118316282"/>
      <w:r>
        <w:t>Could a targeted recruitment strategy be a special measure?</w:t>
      </w:r>
      <w:bookmarkEnd w:id="30"/>
    </w:p>
    <w:p w14:paraId="24472D7E" w14:textId="5233FF9A" w:rsidR="001E063A" w:rsidRPr="00B03633" w:rsidRDefault="001E063A" w:rsidP="001E063A">
      <w:r w:rsidRPr="00B03633">
        <w:t xml:space="preserve">A targeted recruitment strategy can be an example of a ‘special measure’, </w:t>
      </w:r>
      <w:proofErr w:type="gramStart"/>
      <w:r w:rsidRPr="00B03633">
        <w:t>provided that</w:t>
      </w:r>
      <w:proofErr w:type="gramEnd"/>
      <w:r w:rsidRPr="00B03633">
        <w:t xml:space="preserve"> it meets the legislative requirements of a ‘special measure’ under the </w:t>
      </w:r>
      <w:r>
        <w:t xml:space="preserve">federal </w:t>
      </w:r>
      <w:r w:rsidRPr="00B03633">
        <w:rPr>
          <w:bCs w:val="0"/>
        </w:rPr>
        <w:t>Disability Discrimination Act</w:t>
      </w:r>
      <w:r w:rsidRPr="00B03633">
        <w:t xml:space="preserve"> and applicable state or territory anti-discrimination law provisions.</w:t>
      </w:r>
    </w:p>
    <w:p w14:paraId="59A8F524" w14:textId="77777777" w:rsidR="001E063A" w:rsidRDefault="001E063A" w:rsidP="001E063A">
      <w:r w:rsidRPr="00B03633">
        <w:t xml:space="preserve">If a program like a targeted recruitment strategy is a ‘special measure’, then it does not amount to </w:t>
      </w:r>
      <w:r>
        <w:t xml:space="preserve">unlawful </w:t>
      </w:r>
      <w:r w:rsidRPr="00B03633">
        <w:t>discrimination under federal, state or territory anti-discrimination law (noting that there is no ‘special measure’ provision in the relevant New South Wales law).</w:t>
      </w:r>
      <w:r w:rsidRPr="00B03633">
        <w:rPr>
          <w:rStyle w:val="Rimandonotadichiusura"/>
        </w:rPr>
        <w:endnoteReference w:id="26"/>
      </w:r>
    </w:p>
    <w:p w14:paraId="41D15306" w14:textId="3128A830" w:rsidR="001E063A" w:rsidRPr="00DE6CDB" w:rsidRDefault="001E063A" w:rsidP="00C41A0B">
      <w:pPr>
        <w:pStyle w:val="Titolo3"/>
      </w:pPr>
      <w:bookmarkStart w:id="31" w:name="_Toc110462747"/>
      <w:bookmarkStart w:id="32" w:name="_Toc118316283"/>
      <w:r w:rsidRPr="00C41A0B">
        <w:t>Genuine</w:t>
      </w:r>
      <w:r w:rsidRPr="00DE6CDB">
        <w:t xml:space="preserve"> </w:t>
      </w:r>
      <w:r w:rsidRPr="002D3ABC">
        <w:t>occupational</w:t>
      </w:r>
      <w:r w:rsidRPr="00DE6CDB">
        <w:t xml:space="preserve"> </w:t>
      </w:r>
      <w:r w:rsidRPr="0031549D">
        <w:t>requirements</w:t>
      </w:r>
      <w:bookmarkEnd w:id="31"/>
      <w:bookmarkEnd w:id="32"/>
    </w:p>
    <w:p w14:paraId="166AEB11" w14:textId="77777777" w:rsidR="001E063A" w:rsidRPr="00C71F6A" w:rsidRDefault="001E063A" w:rsidP="001E063A">
      <w:r w:rsidRPr="00C71F6A">
        <w:t>Certain state and territory anti-discrimination laws also contain separate provisions which apply if having a disability is a genuine occupational qualification or requirement for a particular job.</w:t>
      </w:r>
      <w:r w:rsidRPr="00C71F6A">
        <w:rPr>
          <w:rStyle w:val="Rimandonotadichiusura"/>
        </w:rPr>
        <w:endnoteReference w:id="27"/>
      </w:r>
      <w:r>
        <w:t xml:space="preserve"> In general, the concept of</w:t>
      </w:r>
      <w:r w:rsidRPr="00C71F6A">
        <w:t xml:space="preserve"> ‘genuine occupational qualification’ permits discrimination when employing someone because of an overriding consideration in the performance of the job.</w:t>
      </w:r>
      <w:r w:rsidRPr="00C71F6A">
        <w:rPr>
          <w:rStyle w:val="Rimandonotadichiusura"/>
        </w:rPr>
        <w:endnoteReference w:id="28"/>
      </w:r>
      <w:r>
        <w:t xml:space="preserve"> </w:t>
      </w:r>
      <w:r w:rsidRPr="00C71F6A">
        <w:t>It identifies what the character of the work is such that it is better or preferably done by someone with a particular attribute, including for reasons of empathy or authenticity.</w:t>
      </w:r>
      <w:r w:rsidRPr="00C71F6A">
        <w:rPr>
          <w:rStyle w:val="Rimandonotadichiusura"/>
        </w:rPr>
        <w:endnoteReference w:id="29"/>
      </w:r>
    </w:p>
    <w:p w14:paraId="03F380A2" w14:textId="17A1EB62" w:rsidR="007A29D3" w:rsidRPr="00C71F6A" w:rsidRDefault="001E063A" w:rsidP="001E063A">
      <w:r w:rsidRPr="00C71F6A">
        <w:t xml:space="preserve">For example, this may include roles </w:t>
      </w:r>
      <w:r>
        <w:t>that</w:t>
      </w:r>
      <w:r w:rsidRPr="00C71F6A">
        <w:t xml:space="preserve"> provide persons with a particular disability with services for the purpose of promoting their welfare, </w:t>
      </w:r>
      <w:r>
        <w:t>where</w:t>
      </w:r>
      <w:r w:rsidRPr="00C71F6A">
        <w:t xml:space="preserve"> those services are most effectively provided by a person with the same disability.</w:t>
      </w:r>
      <w:r>
        <w:t xml:space="preserve"> </w:t>
      </w:r>
      <w:r w:rsidRPr="00C71F6A">
        <w:t>A company may create the position to be performed by a person with disability to provide support and information to service users who are themselves people with disability.</w:t>
      </w:r>
    </w:p>
    <w:p w14:paraId="14E7F6E6" w14:textId="1130C929" w:rsidR="001E063A" w:rsidRPr="00C71F6A" w:rsidRDefault="009F4004" w:rsidP="001E063A">
      <w:r w:rsidRPr="00C71F6A">
        <w:t xml:space="preserve">The wording and scope of the genuine occupational requirement provisions vary across </w:t>
      </w:r>
      <w:r w:rsidR="00644034">
        <w:t xml:space="preserve">each </w:t>
      </w:r>
      <w:r w:rsidR="0013584B">
        <w:t>s</w:t>
      </w:r>
      <w:r w:rsidR="00644034">
        <w:t>t</w:t>
      </w:r>
      <w:r w:rsidRPr="00C71F6A">
        <w:t xml:space="preserve">ate and </w:t>
      </w:r>
      <w:r w:rsidR="0013584B">
        <w:t>t</w:t>
      </w:r>
      <w:r w:rsidRPr="00C71F6A">
        <w:t>erritor</w:t>
      </w:r>
      <w:r w:rsidR="00644034">
        <w:t>y</w:t>
      </w:r>
      <w:r w:rsidRPr="00C71F6A">
        <w:t xml:space="preserve">. Employers will need to check the wording of the law in the </w:t>
      </w:r>
      <w:r w:rsidR="0013584B">
        <w:t>s</w:t>
      </w:r>
      <w:r w:rsidRPr="00C71F6A">
        <w:t xml:space="preserve">tate and/or </w:t>
      </w:r>
      <w:r w:rsidR="0013584B">
        <w:t>t</w:t>
      </w:r>
      <w:r w:rsidRPr="00C71F6A">
        <w:t>erritor</w:t>
      </w:r>
      <w:r w:rsidR="00EB4BBA">
        <w:t>y</w:t>
      </w:r>
      <w:r w:rsidRPr="00C71F6A">
        <w:t xml:space="preserve"> in which they operate to see if the jobs they intend to advertise would fall within the provision (see </w:t>
      </w:r>
      <w:r>
        <w:t>T</w:t>
      </w:r>
      <w:r w:rsidRPr="00C71F6A">
        <w:t xml:space="preserve">able 1 </w:t>
      </w:r>
      <w:r w:rsidRPr="008E17D5">
        <w:t xml:space="preserve">at Part </w:t>
      </w:r>
      <w:r w:rsidR="007F07BD" w:rsidRPr="008E17D5">
        <w:t>3</w:t>
      </w:r>
      <w:r w:rsidRPr="008E17D5">
        <w:t>.3 below</w:t>
      </w:r>
      <w:r w:rsidRPr="00C71F6A">
        <w:t>).</w:t>
      </w:r>
    </w:p>
    <w:p w14:paraId="21F791A6" w14:textId="62043116" w:rsidR="001E063A" w:rsidRPr="00C71F6A" w:rsidRDefault="001E063A" w:rsidP="00F16368">
      <w:pPr>
        <w:pStyle w:val="Normal-12ptafter"/>
      </w:pPr>
      <w:r w:rsidRPr="00C71F6A">
        <w:t>If th</w:t>
      </w:r>
      <w:r w:rsidR="009518DD">
        <w:t>e genuine occupational requirement</w:t>
      </w:r>
      <w:r w:rsidRPr="00C71F6A">
        <w:t xml:space="preserve"> provision does apply to the </w:t>
      </w:r>
      <w:proofErr w:type="gramStart"/>
      <w:r w:rsidRPr="00C71F6A">
        <w:t>particular position</w:t>
      </w:r>
      <w:proofErr w:type="gramEnd"/>
      <w:r w:rsidRPr="00C71F6A">
        <w:t>, it is recommended that in advertisements for the position</w:t>
      </w:r>
      <w:r w:rsidR="009518DD">
        <w:t>,</w:t>
      </w:r>
      <w:r w:rsidRPr="00C71F6A">
        <w:t xml:space="preserve"> the employer include prominent wording to the effect that:</w:t>
      </w:r>
    </w:p>
    <w:p w14:paraId="319B5AB5" w14:textId="77777777" w:rsidR="001E063A" w:rsidRPr="004F676B" w:rsidRDefault="001E063A" w:rsidP="00550FCC">
      <w:pPr>
        <w:pStyle w:val="Citazioneintensa"/>
        <w:pBdr>
          <w:left w:val="single" w:sz="36" w:space="12" w:color="F27166" w:themeColor="accent4"/>
        </w:pBdr>
      </w:pPr>
      <w:r w:rsidRPr="004F676B">
        <w:t>‘[Name of employer] considers that having a disability is a genuine occupational requirement for this position under [insert relevant provisions]’.</w:t>
      </w:r>
    </w:p>
    <w:p w14:paraId="0C4BF832" w14:textId="67B918DE" w:rsidR="005B0C9C" w:rsidRDefault="001E063A" w:rsidP="00F16368">
      <w:pPr>
        <w:pStyle w:val="Normal-12ptbefore"/>
      </w:pPr>
      <w:r w:rsidRPr="00C71F6A">
        <w:t>Note</w:t>
      </w:r>
      <w:r>
        <w:t>,</w:t>
      </w:r>
      <w:r w:rsidRPr="00C71F6A">
        <w:t xml:space="preserve"> however</w:t>
      </w:r>
      <w:r>
        <w:t>,</w:t>
      </w:r>
      <w:r w:rsidRPr="00C71F6A">
        <w:t xml:space="preserve"> that the </w:t>
      </w:r>
      <w:r w:rsidR="0029064C">
        <w:t xml:space="preserve">federal </w:t>
      </w:r>
      <w:r w:rsidRPr="00254E03">
        <w:t>Disability Discrimination Act</w:t>
      </w:r>
      <w:r w:rsidRPr="00C71F6A">
        <w:t xml:space="preserve"> does not include an exception for genuine occupational requirements.</w:t>
      </w:r>
      <w:r w:rsidRPr="00C71F6A">
        <w:rPr>
          <w:rStyle w:val="Rimandonotadichiusura"/>
        </w:rPr>
        <w:endnoteReference w:id="30"/>
      </w:r>
      <w:r w:rsidRPr="00C71F6A">
        <w:t xml:space="preserve"> </w:t>
      </w:r>
      <w:r w:rsidR="009F4004" w:rsidRPr="00C71F6A">
        <w:t xml:space="preserve">This means that even if having a disability is a genuine occupational requirement for a position, an employer will still need to satisfy </w:t>
      </w:r>
      <w:r w:rsidR="009F4004">
        <w:t>itself</w:t>
      </w:r>
      <w:r w:rsidR="009F4004" w:rsidRPr="00C71F6A">
        <w:t xml:space="preserve">, and be prepared to demonstrate that recruitment for this position also meets the criteria for a special measure (set </w:t>
      </w:r>
      <w:r w:rsidR="009F4004" w:rsidRPr="008E17D5">
        <w:t xml:space="preserve">out in Part </w:t>
      </w:r>
      <w:r w:rsidR="007F07BD" w:rsidRPr="008E17D5">
        <w:t>4</w:t>
      </w:r>
      <w:r w:rsidR="009F4004" w:rsidRPr="008E17D5">
        <w:t xml:space="preserve"> of</w:t>
      </w:r>
      <w:r w:rsidR="009F4004" w:rsidRPr="00C71F6A">
        <w:t xml:space="preserve"> th</w:t>
      </w:r>
      <w:r w:rsidR="009F4004">
        <w:t>e</w:t>
      </w:r>
      <w:r w:rsidR="009F4004" w:rsidRPr="00C71F6A">
        <w:t xml:space="preserve"> </w:t>
      </w:r>
      <w:r w:rsidR="009F4004">
        <w:t>G</w:t>
      </w:r>
      <w:r w:rsidR="009F4004" w:rsidRPr="00C71F6A">
        <w:t>uideline</w:t>
      </w:r>
      <w:r w:rsidR="009F4004">
        <w:t>s</w:t>
      </w:r>
      <w:r w:rsidR="009F4004" w:rsidRPr="00C71F6A">
        <w:t xml:space="preserve">) in order to comply with the </w:t>
      </w:r>
      <w:r w:rsidR="009F4004" w:rsidRPr="00254E03">
        <w:t>Disability Discrimination Act</w:t>
      </w:r>
      <w:r w:rsidR="009F4004">
        <w:t>.</w:t>
      </w:r>
    </w:p>
    <w:p w14:paraId="2FF13013" w14:textId="36CBF92B" w:rsidR="001E063A" w:rsidRPr="00D60DA5" w:rsidRDefault="001E063A">
      <w:pPr>
        <w:pStyle w:val="Titolo2"/>
      </w:pPr>
      <w:bookmarkStart w:id="33" w:name="_Toc110462748"/>
      <w:bookmarkStart w:id="34" w:name="_Toc118316284"/>
      <w:r w:rsidRPr="00D60DA5">
        <w:t>Overview of relevant anti-discrimination law provisions</w:t>
      </w:r>
      <w:bookmarkEnd w:id="33"/>
      <w:bookmarkEnd w:id="34"/>
    </w:p>
    <w:p w14:paraId="5501BC8B" w14:textId="21D9A8EE" w:rsidR="009F4004" w:rsidRDefault="009F4004" w:rsidP="005A032A">
      <w:pPr>
        <w:spacing w:after="360"/>
      </w:pPr>
      <w:r>
        <w:t>As outlined above, anti-discrimination legislation exists at a federal level as well as in each state and territory in Australia. The relevant legislative provisions in each state and territory are summarised in the table below.</w:t>
      </w:r>
    </w:p>
    <w:p w14:paraId="36326DF4" w14:textId="77777777" w:rsidR="005B0C9C" w:rsidRDefault="005B0C9C" w:rsidP="005A032A">
      <w:pPr>
        <w:spacing w:after="360"/>
      </w:pPr>
    </w:p>
    <w:tbl>
      <w:tblPr>
        <w:tblStyle w:val="Tabellaelenco4-colore4"/>
        <w:tblW w:w="5000" w:type="pct"/>
        <w:tblLook w:val="04A0" w:firstRow="1" w:lastRow="0" w:firstColumn="1" w:lastColumn="0" w:noHBand="0" w:noVBand="1"/>
      </w:tblPr>
      <w:tblGrid>
        <w:gridCol w:w="1912"/>
        <w:gridCol w:w="1740"/>
        <w:gridCol w:w="1740"/>
        <w:gridCol w:w="1715"/>
        <w:gridCol w:w="1919"/>
      </w:tblGrid>
      <w:tr w:rsidR="005B0C9C" w:rsidRPr="003648DD" w14:paraId="76D6E36D" w14:textId="77777777" w:rsidTr="001C232C">
        <w:trPr>
          <w:cnfStyle w:val="100000000000" w:firstRow="1" w:lastRow="0" w:firstColumn="0" w:lastColumn="0" w:oddVBand="0" w:evenVBand="0" w:oddHBand="0" w:evenHBand="0" w:firstRowFirstColumn="0" w:firstRowLastColumn="0" w:lastRowFirstColumn="0" w:lastRowLastColumn="0"/>
          <w:trHeight w:val="1314"/>
          <w:tblHeader/>
        </w:trPr>
        <w:tc>
          <w:tcPr>
            <w:cnfStyle w:val="001000000000" w:firstRow="0" w:lastRow="0" w:firstColumn="1" w:lastColumn="0" w:oddVBand="0" w:evenVBand="0" w:oddHBand="0" w:evenHBand="0" w:firstRowFirstColumn="0" w:firstRowLastColumn="0" w:lastRowFirstColumn="0" w:lastRowLastColumn="0"/>
            <w:tcW w:w="1059" w:type="pct"/>
          </w:tcPr>
          <w:p w14:paraId="7B84EE17" w14:textId="77777777" w:rsidR="005B0C9C" w:rsidRPr="00E96AD1" w:rsidRDefault="005B0C9C" w:rsidP="00A26492">
            <w:pPr>
              <w:pStyle w:val="TableHeading"/>
              <w:rPr>
                <w:b/>
                <w:bCs w:val="0"/>
              </w:rPr>
            </w:pPr>
            <w:r w:rsidRPr="00E96AD1">
              <w:rPr>
                <w:b/>
                <w:bCs w:val="0"/>
              </w:rPr>
              <w:t>Jurisdiction</w:t>
            </w:r>
          </w:p>
        </w:tc>
        <w:tc>
          <w:tcPr>
            <w:tcW w:w="964" w:type="pct"/>
          </w:tcPr>
          <w:p w14:paraId="35AEEF61" w14:textId="77777777" w:rsidR="005B0C9C" w:rsidRPr="00E96AD1" w:rsidRDefault="005B0C9C" w:rsidP="00A26492">
            <w:pPr>
              <w:pStyle w:val="TableHeading"/>
              <w:cnfStyle w:val="100000000000" w:firstRow="1" w:lastRow="0" w:firstColumn="0" w:lastColumn="0" w:oddVBand="0" w:evenVBand="0" w:oddHBand="0" w:evenHBand="0" w:firstRowFirstColumn="0" w:firstRowLastColumn="0" w:lastRowFirstColumn="0" w:lastRowLastColumn="0"/>
            </w:pPr>
            <w:r w:rsidRPr="00E96AD1">
              <w:t>Legislation</w:t>
            </w:r>
          </w:p>
        </w:tc>
        <w:tc>
          <w:tcPr>
            <w:tcW w:w="964" w:type="pct"/>
          </w:tcPr>
          <w:p w14:paraId="13221C01" w14:textId="77777777" w:rsidR="005B0C9C" w:rsidRPr="00E96AD1" w:rsidRDefault="005B0C9C" w:rsidP="00A26492">
            <w:pPr>
              <w:pStyle w:val="TableHeading"/>
              <w:cnfStyle w:val="100000000000" w:firstRow="1" w:lastRow="0" w:firstColumn="0" w:lastColumn="0" w:oddVBand="0" w:evenVBand="0" w:oddHBand="0" w:evenHBand="0" w:firstRowFirstColumn="0" w:firstRowLastColumn="0" w:lastRowFirstColumn="0" w:lastRowLastColumn="0"/>
            </w:pPr>
            <w:r w:rsidRPr="00E96AD1">
              <w:t xml:space="preserve">Exemption or exception for ‘special measures’ which includes recruitment </w:t>
            </w:r>
          </w:p>
        </w:tc>
        <w:tc>
          <w:tcPr>
            <w:tcW w:w="950" w:type="pct"/>
          </w:tcPr>
          <w:p w14:paraId="1E991BF2" w14:textId="77777777" w:rsidR="005B0C9C" w:rsidRPr="00E96AD1" w:rsidRDefault="005B0C9C" w:rsidP="00A26492">
            <w:pPr>
              <w:pStyle w:val="TableHeading"/>
              <w:cnfStyle w:val="100000000000" w:firstRow="1" w:lastRow="0" w:firstColumn="0" w:lastColumn="0" w:oddVBand="0" w:evenVBand="0" w:oddHBand="0" w:evenHBand="0" w:firstRowFirstColumn="0" w:firstRowLastColumn="0" w:lastRowFirstColumn="0" w:lastRowLastColumn="0"/>
            </w:pPr>
            <w:r w:rsidRPr="00E96AD1">
              <w:t>Exception for genuine occupational requirements</w:t>
            </w:r>
          </w:p>
        </w:tc>
        <w:tc>
          <w:tcPr>
            <w:tcW w:w="1063" w:type="pct"/>
          </w:tcPr>
          <w:p w14:paraId="72D1D4A0" w14:textId="77777777" w:rsidR="005B0C9C" w:rsidRPr="00E96AD1" w:rsidRDefault="005B0C9C" w:rsidP="00A26492">
            <w:pPr>
              <w:pStyle w:val="TableHeading"/>
              <w:cnfStyle w:val="100000000000" w:firstRow="1" w:lastRow="0" w:firstColumn="0" w:lastColumn="0" w:oddVBand="0" w:evenVBand="0" w:oddHBand="0" w:evenHBand="0" w:firstRowFirstColumn="0" w:firstRowLastColumn="0" w:lastRowFirstColumn="0" w:lastRowLastColumn="0"/>
            </w:pPr>
            <w:r w:rsidRPr="00E96AD1">
              <w:t>Comment</w:t>
            </w:r>
          </w:p>
        </w:tc>
      </w:tr>
      <w:tr w:rsidR="005B0C9C" w:rsidRPr="003648DD" w14:paraId="73A17E5D" w14:textId="77777777" w:rsidTr="00A26492">
        <w:tc>
          <w:tcPr>
            <w:cnfStyle w:val="001000000000" w:firstRow="0" w:lastRow="0" w:firstColumn="1" w:lastColumn="0" w:oddVBand="0" w:evenVBand="0" w:oddHBand="0" w:evenHBand="0" w:firstRowFirstColumn="0" w:firstRowLastColumn="0" w:lastRowFirstColumn="0" w:lastRowLastColumn="0"/>
            <w:tcW w:w="0" w:type="pct"/>
            <w:vAlign w:val="top"/>
          </w:tcPr>
          <w:p w14:paraId="2CDFBC9E" w14:textId="77777777" w:rsidR="005B0C9C" w:rsidRPr="006B7046" w:rsidRDefault="005B0C9C" w:rsidP="006B7046">
            <w:pPr>
              <w:pStyle w:val="TableText"/>
              <w:rPr>
                <w:b w:val="0"/>
                <w:bCs/>
              </w:rPr>
            </w:pPr>
            <w:r w:rsidRPr="006B7046">
              <w:rPr>
                <w:b w:val="0"/>
                <w:bCs/>
              </w:rPr>
              <w:t xml:space="preserve">Commonwealth </w:t>
            </w:r>
          </w:p>
        </w:tc>
        <w:tc>
          <w:tcPr>
            <w:tcW w:w="0" w:type="pct"/>
            <w:vAlign w:val="top"/>
          </w:tcPr>
          <w:p w14:paraId="1E53C228"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pPr>
            <w:r w:rsidRPr="006B7046">
              <w:rPr>
                <w:rStyle w:val="Enfasicorsivo"/>
              </w:rPr>
              <w:t>Disability Discrimination Act 1992</w:t>
            </w:r>
            <w:r w:rsidRPr="007E0B0E">
              <w:t xml:space="preserve"> (Cth)</w:t>
            </w:r>
          </w:p>
        </w:tc>
        <w:tc>
          <w:tcPr>
            <w:tcW w:w="0" w:type="pct"/>
            <w:vAlign w:val="top"/>
          </w:tcPr>
          <w:p w14:paraId="0E4C3A52"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rPr>
                <w:i/>
                <w:iCs/>
              </w:rPr>
            </w:pPr>
            <w:r w:rsidRPr="007E0B0E">
              <w:t>Yes – s 45</w:t>
            </w:r>
          </w:p>
        </w:tc>
        <w:tc>
          <w:tcPr>
            <w:tcW w:w="0" w:type="pct"/>
            <w:vAlign w:val="top"/>
          </w:tcPr>
          <w:p w14:paraId="1D6621B3"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pPr>
            <w:r w:rsidRPr="007E0B0E">
              <w:t>No</w:t>
            </w:r>
          </w:p>
        </w:tc>
        <w:tc>
          <w:tcPr>
            <w:tcW w:w="0" w:type="pct"/>
            <w:vAlign w:val="top"/>
          </w:tcPr>
          <w:p w14:paraId="7227958F"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pPr>
          </w:p>
        </w:tc>
      </w:tr>
      <w:tr w:rsidR="005B0C9C" w:rsidRPr="003648DD" w14:paraId="27987E84" w14:textId="77777777" w:rsidTr="00A26492">
        <w:tc>
          <w:tcPr>
            <w:cnfStyle w:val="001000000000" w:firstRow="0" w:lastRow="0" w:firstColumn="1" w:lastColumn="0" w:oddVBand="0" w:evenVBand="0" w:oddHBand="0" w:evenHBand="0" w:firstRowFirstColumn="0" w:firstRowLastColumn="0" w:lastRowFirstColumn="0" w:lastRowLastColumn="0"/>
            <w:tcW w:w="0" w:type="pct"/>
            <w:vAlign w:val="top"/>
          </w:tcPr>
          <w:p w14:paraId="1579B9E3" w14:textId="77777777" w:rsidR="005B0C9C" w:rsidRPr="006B7046" w:rsidRDefault="005B0C9C" w:rsidP="006B7046">
            <w:pPr>
              <w:pStyle w:val="TableText"/>
              <w:rPr>
                <w:b w:val="0"/>
                <w:bCs/>
                <w:color w:val="000000" w:themeColor="text1"/>
              </w:rPr>
            </w:pPr>
            <w:r w:rsidRPr="006B7046">
              <w:rPr>
                <w:b w:val="0"/>
                <w:bCs/>
                <w:color w:val="000000" w:themeColor="text1"/>
              </w:rPr>
              <w:t>Australian Capital Territory</w:t>
            </w:r>
          </w:p>
        </w:tc>
        <w:tc>
          <w:tcPr>
            <w:tcW w:w="0" w:type="pct"/>
            <w:vAlign w:val="top"/>
          </w:tcPr>
          <w:p w14:paraId="79DCF5EE"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pPr>
            <w:r w:rsidRPr="006B7046">
              <w:rPr>
                <w:rStyle w:val="Enfasicorsivo"/>
              </w:rPr>
              <w:t>Discrimination Act 1991</w:t>
            </w:r>
            <w:r w:rsidRPr="007E0B0E">
              <w:t xml:space="preserve"> (ACT)</w:t>
            </w:r>
          </w:p>
        </w:tc>
        <w:tc>
          <w:tcPr>
            <w:tcW w:w="0" w:type="pct"/>
            <w:vAlign w:val="top"/>
          </w:tcPr>
          <w:p w14:paraId="2CD39BB4"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rPr>
                <w:i/>
                <w:iCs/>
              </w:rPr>
            </w:pPr>
            <w:r w:rsidRPr="007E0B0E">
              <w:t>Yes – s 27</w:t>
            </w:r>
          </w:p>
        </w:tc>
        <w:tc>
          <w:tcPr>
            <w:tcW w:w="0" w:type="pct"/>
            <w:vAlign w:val="top"/>
          </w:tcPr>
          <w:p w14:paraId="4D092620"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pPr>
            <w:r w:rsidRPr="007E0B0E">
              <w:t>Yes – s 48</w:t>
            </w:r>
          </w:p>
        </w:tc>
        <w:tc>
          <w:tcPr>
            <w:tcW w:w="0" w:type="pct"/>
            <w:vAlign w:val="top"/>
          </w:tcPr>
          <w:p w14:paraId="73087C61"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pPr>
          </w:p>
        </w:tc>
      </w:tr>
      <w:tr w:rsidR="005B0C9C" w:rsidRPr="003648DD" w14:paraId="4AB96DF7" w14:textId="77777777" w:rsidTr="00A26492">
        <w:trPr>
          <w:trHeight w:val="333"/>
        </w:trPr>
        <w:tc>
          <w:tcPr>
            <w:cnfStyle w:val="001000000000" w:firstRow="0" w:lastRow="0" w:firstColumn="1" w:lastColumn="0" w:oddVBand="0" w:evenVBand="0" w:oddHBand="0" w:evenHBand="0" w:firstRowFirstColumn="0" w:firstRowLastColumn="0" w:lastRowFirstColumn="0" w:lastRowLastColumn="0"/>
            <w:tcW w:w="0" w:type="pct"/>
            <w:vAlign w:val="top"/>
          </w:tcPr>
          <w:p w14:paraId="203A4960" w14:textId="77777777" w:rsidR="005B0C9C" w:rsidRPr="006B7046" w:rsidRDefault="005B0C9C" w:rsidP="006B7046">
            <w:pPr>
              <w:pStyle w:val="TableText"/>
              <w:rPr>
                <w:b w:val="0"/>
                <w:bCs/>
                <w:color w:val="000000" w:themeColor="text1"/>
              </w:rPr>
            </w:pPr>
            <w:r w:rsidRPr="006B7046">
              <w:rPr>
                <w:b w:val="0"/>
                <w:bCs/>
                <w:color w:val="000000" w:themeColor="text1"/>
              </w:rPr>
              <w:t>New South Wales</w:t>
            </w:r>
          </w:p>
        </w:tc>
        <w:tc>
          <w:tcPr>
            <w:tcW w:w="0" w:type="pct"/>
            <w:vAlign w:val="top"/>
          </w:tcPr>
          <w:p w14:paraId="771D9CEC"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pPr>
            <w:r w:rsidRPr="00AA17BE">
              <w:rPr>
                <w:rStyle w:val="Enfasicorsivo"/>
              </w:rPr>
              <w:t>Anti-Discrimination Act 1977</w:t>
            </w:r>
            <w:r w:rsidRPr="007E0B0E">
              <w:t xml:space="preserve"> (NSW)</w:t>
            </w:r>
          </w:p>
        </w:tc>
        <w:tc>
          <w:tcPr>
            <w:tcW w:w="0" w:type="pct"/>
            <w:vAlign w:val="top"/>
          </w:tcPr>
          <w:p w14:paraId="4619FAA7"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rPr>
                <w:i/>
                <w:iCs/>
              </w:rPr>
            </w:pPr>
            <w:r w:rsidRPr="007E0B0E">
              <w:t>No</w:t>
            </w:r>
          </w:p>
        </w:tc>
        <w:tc>
          <w:tcPr>
            <w:tcW w:w="0" w:type="pct"/>
            <w:vAlign w:val="top"/>
          </w:tcPr>
          <w:p w14:paraId="6DB1A850"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pPr>
            <w:r w:rsidRPr="007E0B0E">
              <w:t>No</w:t>
            </w:r>
          </w:p>
        </w:tc>
        <w:tc>
          <w:tcPr>
            <w:tcW w:w="0" w:type="pct"/>
            <w:vAlign w:val="top"/>
          </w:tcPr>
          <w:p w14:paraId="5393087C"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pPr>
            <w:r w:rsidRPr="007E0B0E">
              <w:t>A statutory exemption may need to be sought under s</w:t>
            </w:r>
            <w:r>
              <w:t xml:space="preserve"> </w:t>
            </w:r>
            <w:r w:rsidRPr="007E0B0E">
              <w:t>126</w:t>
            </w:r>
          </w:p>
        </w:tc>
      </w:tr>
      <w:tr w:rsidR="005B0C9C" w:rsidRPr="003648DD" w14:paraId="2B6B23FD" w14:textId="77777777" w:rsidTr="00A26492">
        <w:tc>
          <w:tcPr>
            <w:cnfStyle w:val="001000000000" w:firstRow="0" w:lastRow="0" w:firstColumn="1" w:lastColumn="0" w:oddVBand="0" w:evenVBand="0" w:oddHBand="0" w:evenHBand="0" w:firstRowFirstColumn="0" w:firstRowLastColumn="0" w:lastRowFirstColumn="0" w:lastRowLastColumn="0"/>
            <w:tcW w:w="0" w:type="pct"/>
            <w:vAlign w:val="top"/>
          </w:tcPr>
          <w:p w14:paraId="46BC6C4E" w14:textId="77777777" w:rsidR="005B0C9C" w:rsidRPr="006B7046" w:rsidRDefault="005B0C9C" w:rsidP="006B7046">
            <w:pPr>
              <w:pStyle w:val="TableText"/>
              <w:rPr>
                <w:b w:val="0"/>
                <w:bCs/>
                <w:color w:val="000000" w:themeColor="text1"/>
              </w:rPr>
            </w:pPr>
            <w:r w:rsidRPr="006B7046">
              <w:rPr>
                <w:b w:val="0"/>
                <w:bCs/>
                <w:color w:val="000000" w:themeColor="text1"/>
              </w:rPr>
              <w:t>Northern Territory</w:t>
            </w:r>
          </w:p>
        </w:tc>
        <w:tc>
          <w:tcPr>
            <w:tcW w:w="0" w:type="pct"/>
            <w:vAlign w:val="top"/>
          </w:tcPr>
          <w:p w14:paraId="4593C26E"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pPr>
            <w:r w:rsidRPr="00AA17BE">
              <w:rPr>
                <w:rStyle w:val="Enfasicorsivo"/>
              </w:rPr>
              <w:t>Anti-Discrimination Act 1992</w:t>
            </w:r>
            <w:r w:rsidRPr="007E0B0E">
              <w:t xml:space="preserve"> (NT)</w:t>
            </w:r>
          </w:p>
        </w:tc>
        <w:tc>
          <w:tcPr>
            <w:tcW w:w="0" w:type="pct"/>
            <w:vAlign w:val="top"/>
          </w:tcPr>
          <w:p w14:paraId="5096C47C"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rPr>
                <w:i/>
                <w:iCs/>
              </w:rPr>
            </w:pPr>
            <w:r w:rsidRPr="007E0B0E">
              <w:t>Yes – s 57</w:t>
            </w:r>
          </w:p>
        </w:tc>
        <w:tc>
          <w:tcPr>
            <w:tcW w:w="0" w:type="pct"/>
            <w:vAlign w:val="top"/>
          </w:tcPr>
          <w:p w14:paraId="42FCB0AC"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pPr>
            <w:r w:rsidRPr="007E0B0E">
              <w:t>Yes –</w:t>
            </w:r>
            <w:r>
              <w:t xml:space="preserve"> </w:t>
            </w:r>
            <w:r w:rsidRPr="007E0B0E">
              <w:t>s 35(1)(b)(i)</w:t>
            </w:r>
          </w:p>
        </w:tc>
        <w:tc>
          <w:tcPr>
            <w:tcW w:w="0" w:type="pct"/>
            <w:vAlign w:val="top"/>
          </w:tcPr>
          <w:p w14:paraId="73129857"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pPr>
          </w:p>
        </w:tc>
      </w:tr>
      <w:tr w:rsidR="005B0C9C" w:rsidRPr="003648DD" w14:paraId="21732AF8" w14:textId="77777777" w:rsidTr="00A26492">
        <w:tc>
          <w:tcPr>
            <w:cnfStyle w:val="001000000000" w:firstRow="0" w:lastRow="0" w:firstColumn="1" w:lastColumn="0" w:oddVBand="0" w:evenVBand="0" w:oddHBand="0" w:evenHBand="0" w:firstRowFirstColumn="0" w:firstRowLastColumn="0" w:lastRowFirstColumn="0" w:lastRowLastColumn="0"/>
            <w:tcW w:w="0" w:type="pct"/>
            <w:vAlign w:val="top"/>
          </w:tcPr>
          <w:p w14:paraId="4850676B" w14:textId="77777777" w:rsidR="005B0C9C" w:rsidRPr="006B7046" w:rsidRDefault="005B0C9C" w:rsidP="006B7046">
            <w:pPr>
              <w:pStyle w:val="TableText"/>
              <w:rPr>
                <w:b w:val="0"/>
                <w:bCs/>
                <w:color w:val="000000" w:themeColor="text1"/>
              </w:rPr>
            </w:pPr>
            <w:r w:rsidRPr="006B7046">
              <w:rPr>
                <w:b w:val="0"/>
                <w:bCs/>
                <w:color w:val="000000" w:themeColor="text1"/>
              </w:rPr>
              <w:t>Queensland</w:t>
            </w:r>
          </w:p>
        </w:tc>
        <w:tc>
          <w:tcPr>
            <w:tcW w:w="0" w:type="pct"/>
            <w:vAlign w:val="top"/>
          </w:tcPr>
          <w:p w14:paraId="4F9C4ACA"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pPr>
            <w:r w:rsidRPr="00AA17BE">
              <w:rPr>
                <w:rStyle w:val="Enfasicorsivo"/>
              </w:rPr>
              <w:t>Anti-Discrimination Act 1991</w:t>
            </w:r>
            <w:r w:rsidRPr="007E0B0E">
              <w:t xml:space="preserve"> (Qld)</w:t>
            </w:r>
          </w:p>
        </w:tc>
        <w:tc>
          <w:tcPr>
            <w:tcW w:w="0" w:type="pct"/>
            <w:vAlign w:val="top"/>
          </w:tcPr>
          <w:p w14:paraId="39EDF5D5"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rPr>
                <w:i/>
                <w:iCs/>
              </w:rPr>
            </w:pPr>
            <w:r w:rsidRPr="007E0B0E">
              <w:t>Yes – s</w:t>
            </w:r>
            <w:r>
              <w:t xml:space="preserve"> </w:t>
            </w:r>
            <w:r w:rsidRPr="007E0B0E">
              <w:t>105</w:t>
            </w:r>
          </w:p>
        </w:tc>
        <w:tc>
          <w:tcPr>
            <w:tcW w:w="0" w:type="pct"/>
            <w:vAlign w:val="top"/>
          </w:tcPr>
          <w:p w14:paraId="78FCCD09"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pPr>
            <w:r w:rsidRPr="007E0B0E">
              <w:t>Yes – s 25(1)</w:t>
            </w:r>
          </w:p>
        </w:tc>
        <w:tc>
          <w:tcPr>
            <w:tcW w:w="0" w:type="pct"/>
            <w:vAlign w:val="top"/>
          </w:tcPr>
          <w:p w14:paraId="1552B840"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pPr>
          </w:p>
        </w:tc>
      </w:tr>
      <w:tr w:rsidR="005B0C9C" w:rsidRPr="003648DD" w14:paraId="21D51D67" w14:textId="77777777" w:rsidTr="00A26492">
        <w:tc>
          <w:tcPr>
            <w:cnfStyle w:val="001000000000" w:firstRow="0" w:lastRow="0" w:firstColumn="1" w:lastColumn="0" w:oddVBand="0" w:evenVBand="0" w:oddHBand="0" w:evenHBand="0" w:firstRowFirstColumn="0" w:firstRowLastColumn="0" w:lastRowFirstColumn="0" w:lastRowLastColumn="0"/>
            <w:tcW w:w="0" w:type="pct"/>
            <w:vAlign w:val="top"/>
          </w:tcPr>
          <w:p w14:paraId="5A443D04" w14:textId="77777777" w:rsidR="005B0C9C" w:rsidRPr="006B7046" w:rsidRDefault="005B0C9C" w:rsidP="006B7046">
            <w:pPr>
              <w:pStyle w:val="TableText"/>
              <w:rPr>
                <w:b w:val="0"/>
                <w:bCs/>
                <w:color w:val="000000" w:themeColor="text1"/>
              </w:rPr>
            </w:pPr>
            <w:r w:rsidRPr="006B7046">
              <w:rPr>
                <w:b w:val="0"/>
                <w:bCs/>
                <w:color w:val="000000" w:themeColor="text1"/>
              </w:rPr>
              <w:t>South Australia</w:t>
            </w:r>
          </w:p>
        </w:tc>
        <w:tc>
          <w:tcPr>
            <w:tcW w:w="0" w:type="pct"/>
            <w:vAlign w:val="top"/>
          </w:tcPr>
          <w:p w14:paraId="06E5A2E4"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pPr>
            <w:r w:rsidRPr="00AA17BE">
              <w:rPr>
                <w:rStyle w:val="Enfasicorsivo"/>
              </w:rPr>
              <w:t>Equal Opportunity Act 1984</w:t>
            </w:r>
            <w:r w:rsidRPr="007E0B0E">
              <w:t xml:space="preserve"> (SA)</w:t>
            </w:r>
          </w:p>
        </w:tc>
        <w:tc>
          <w:tcPr>
            <w:tcW w:w="0" w:type="pct"/>
            <w:vAlign w:val="top"/>
          </w:tcPr>
          <w:p w14:paraId="32A6AF8A"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rPr>
                <w:i/>
                <w:iCs/>
              </w:rPr>
            </w:pPr>
            <w:r w:rsidRPr="007E0B0E">
              <w:t>Yes – s 82</w:t>
            </w:r>
          </w:p>
        </w:tc>
        <w:tc>
          <w:tcPr>
            <w:tcW w:w="0" w:type="pct"/>
            <w:vAlign w:val="top"/>
          </w:tcPr>
          <w:p w14:paraId="3FA90924"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pPr>
            <w:r w:rsidRPr="007E0B0E">
              <w:t>No</w:t>
            </w:r>
          </w:p>
        </w:tc>
        <w:tc>
          <w:tcPr>
            <w:tcW w:w="0" w:type="pct"/>
            <w:vAlign w:val="top"/>
          </w:tcPr>
          <w:p w14:paraId="52D072E8"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pPr>
          </w:p>
        </w:tc>
      </w:tr>
      <w:tr w:rsidR="005B0C9C" w:rsidRPr="003648DD" w14:paraId="075A2F24" w14:textId="77777777" w:rsidTr="00A26492">
        <w:tc>
          <w:tcPr>
            <w:cnfStyle w:val="001000000000" w:firstRow="0" w:lastRow="0" w:firstColumn="1" w:lastColumn="0" w:oddVBand="0" w:evenVBand="0" w:oddHBand="0" w:evenHBand="0" w:firstRowFirstColumn="0" w:firstRowLastColumn="0" w:lastRowFirstColumn="0" w:lastRowLastColumn="0"/>
            <w:tcW w:w="0" w:type="pct"/>
            <w:vAlign w:val="top"/>
          </w:tcPr>
          <w:p w14:paraId="07D5BA35" w14:textId="77777777" w:rsidR="005B0C9C" w:rsidRPr="006B7046" w:rsidRDefault="005B0C9C" w:rsidP="006B7046">
            <w:pPr>
              <w:pStyle w:val="TableText"/>
              <w:rPr>
                <w:b w:val="0"/>
                <w:bCs/>
                <w:color w:val="000000" w:themeColor="text1"/>
              </w:rPr>
            </w:pPr>
            <w:r w:rsidRPr="006B7046">
              <w:rPr>
                <w:b w:val="0"/>
                <w:bCs/>
                <w:color w:val="000000" w:themeColor="text1"/>
              </w:rPr>
              <w:t>Tasmania</w:t>
            </w:r>
          </w:p>
        </w:tc>
        <w:tc>
          <w:tcPr>
            <w:tcW w:w="0" w:type="pct"/>
            <w:vAlign w:val="top"/>
          </w:tcPr>
          <w:p w14:paraId="2D55492A"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pPr>
            <w:r w:rsidRPr="00AA17BE">
              <w:rPr>
                <w:rStyle w:val="Enfasicorsivo"/>
              </w:rPr>
              <w:t>Anti-Discrimination Act 1998</w:t>
            </w:r>
            <w:r w:rsidRPr="007E0B0E">
              <w:t xml:space="preserve"> (Tas)</w:t>
            </w:r>
          </w:p>
        </w:tc>
        <w:tc>
          <w:tcPr>
            <w:tcW w:w="0" w:type="pct"/>
            <w:vAlign w:val="top"/>
          </w:tcPr>
          <w:p w14:paraId="3BE495CB"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rPr>
                <w:i/>
                <w:iCs/>
              </w:rPr>
            </w:pPr>
            <w:r w:rsidRPr="007E0B0E">
              <w:t>Yes – ss 25 and</w:t>
            </w:r>
            <w:r>
              <w:t> </w:t>
            </w:r>
            <w:r w:rsidRPr="007E0B0E">
              <w:t>26</w:t>
            </w:r>
          </w:p>
        </w:tc>
        <w:tc>
          <w:tcPr>
            <w:tcW w:w="0" w:type="pct"/>
            <w:vAlign w:val="top"/>
          </w:tcPr>
          <w:p w14:paraId="4B5355CD"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pPr>
            <w:r w:rsidRPr="007E0B0E">
              <w:t>Yes – s 45(b)</w:t>
            </w:r>
          </w:p>
        </w:tc>
        <w:tc>
          <w:tcPr>
            <w:tcW w:w="0" w:type="pct"/>
            <w:vAlign w:val="top"/>
          </w:tcPr>
          <w:p w14:paraId="570F7722"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pPr>
          </w:p>
        </w:tc>
      </w:tr>
      <w:tr w:rsidR="005B0C9C" w:rsidRPr="003648DD" w14:paraId="2EE9C60C" w14:textId="77777777" w:rsidTr="00A26492">
        <w:tc>
          <w:tcPr>
            <w:cnfStyle w:val="001000000000" w:firstRow="0" w:lastRow="0" w:firstColumn="1" w:lastColumn="0" w:oddVBand="0" w:evenVBand="0" w:oddHBand="0" w:evenHBand="0" w:firstRowFirstColumn="0" w:firstRowLastColumn="0" w:lastRowFirstColumn="0" w:lastRowLastColumn="0"/>
            <w:tcW w:w="0" w:type="pct"/>
            <w:vAlign w:val="top"/>
          </w:tcPr>
          <w:p w14:paraId="29CF3F1D" w14:textId="77777777" w:rsidR="005B0C9C" w:rsidRPr="006B7046" w:rsidRDefault="005B0C9C" w:rsidP="006B7046">
            <w:pPr>
              <w:pStyle w:val="TableText"/>
              <w:rPr>
                <w:b w:val="0"/>
                <w:bCs/>
                <w:color w:val="000000" w:themeColor="text1"/>
              </w:rPr>
            </w:pPr>
            <w:r w:rsidRPr="006B7046">
              <w:rPr>
                <w:b w:val="0"/>
                <w:bCs/>
                <w:color w:val="000000" w:themeColor="text1"/>
              </w:rPr>
              <w:t>Victoria</w:t>
            </w:r>
          </w:p>
        </w:tc>
        <w:tc>
          <w:tcPr>
            <w:tcW w:w="0" w:type="pct"/>
            <w:vAlign w:val="top"/>
          </w:tcPr>
          <w:p w14:paraId="0EB4F682"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pPr>
            <w:r w:rsidRPr="00AA17BE">
              <w:rPr>
                <w:rStyle w:val="Enfasicorsivo"/>
              </w:rPr>
              <w:t>Equal Opportunity Act 2010</w:t>
            </w:r>
            <w:r w:rsidRPr="007E0B0E">
              <w:t xml:space="preserve"> (Vic)</w:t>
            </w:r>
          </w:p>
        </w:tc>
        <w:tc>
          <w:tcPr>
            <w:tcW w:w="0" w:type="pct"/>
            <w:vAlign w:val="top"/>
          </w:tcPr>
          <w:p w14:paraId="4F618AD4"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rPr>
                <w:i/>
                <w:iCs/>
              </w:rPr>
            </w:pPr>
            <w:r w:rsidRPr="007E0B0E">
              <w:t>Yes – s 12</w:t>
            </w:r>
          </w:p>
        </w:tc>
        <w:tc>
          <w:tcPr>
            <w:tcW w:w="0" w:type="pct"/>
            <w:vAlign w:val="top"/>
          </w:tcPr>
          <w:p w14:paraId="6C17CA4B"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pPr>
            <w:r w:rsidRPr="007E0B0E">
              <w:t>Yes –</w:t>
            </w:r>
            <w:r>
              <w:t xml:space="preserve"> </w:t>
            </w:r>
            <w:r w:rsidRPr="007E0B0E">
              <w:t>ss</w:t>
            </w:r>
            <w:r>
              <w:t xml:space="preserve"> </w:t>
            </w:r>
            <w:r w:rsidRPr="007E0B0E">
              <w:t>26(3) and</w:t>
            </w:r>
            <w:r>
              <w:t> </w:t>
            </w:r>
            <w:r w:rsidRPr="007E0B0E">
              <w:t>28</w:t>
            </w:r>
          </w:p>
        </w:tc>
        <w:tc>
          <w:tcPr>
            <w:tcW w:w="0" w:type="pct"/>
            <w:vAlign w:val="top"/>
          </w:tcPr>
          <w:p w14:paraId="67B892EF"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pPr>
          </w:p>
        </w:tc>
      </w:tr>
      <w:tr w:rsidR="005B0C9C" w14:paraId="028FF0AF" w14:textId="77777777" w:rsidTr="00A26492">
        <w:tc>
          <w:tcPr>
            <w:cnfStyle w:val="001000000000" w:firstRow="0" w:lastRow="0" w:firstColumn="1" w:lastColumn="0" w:oddVBand="0" w:evenVBand="0" w:oddHBand="0" w:evenHBand="0" w:firstRowFirstColumn="0" w:firstRowLastColumn="0" w:lastRowFirstColumn="0" w:lastRowLastColumn="0"/>
            <w:tcW w:w="0" w:type="pct"/>
            <w:vAlign w:val="top"/>
          </w:tcPr>
          <w:p w14:paraId="595F916D" w14:textId="77777777" w:rsidR="005B0C9C" w:rsidRPr="006B7046" w:rsidRDefault="005B0C9C" w:rsidP="006B7046">
            <w:pPr>
              <w:pStyle w:val="TableText"/>
              <w:rPr>
                <w:b w:val="0"/>
                <w:bCs/>
                <w:color w:val="000000" w:themeColor="text1"/>
              </w:rPr>
            </w:pPr>
            <w:r w:rsidRPr="006B7046">
              <w:rPr>
                <w:b w:val="0"/>
                <w:bCs/>
                <w:color w:val="000000" w:themeColor="text1"/>
              </w:rPr>
              <w:t>Western Australia</w:t>
            </w:r>
          </w:p>
        </w:tc>
        <w:tc>
          <w:tcPr>
            <w:tcW w:w="0" w:type="pct"/>
            <w:vAlign w:val="top"/>
          </w:tcPr>
          <w:p w14:paraId="425ADEFC"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pPr>
            <w:r w:rsidRPr="00AA17BE">
              <w:rPr>
                <w:rStyle w:val="Enfasicorsivo"/>
              </w:rPr>
              <w:t>Equal Opportunity Act 1984</w:t>
            </w:r>
            <w:r w:rsidRPr="007E0B0E">
              <w:t xml:space="preserve"> (WA)</w:t>
            </w:r>
          </w:p>
        </w:tc>
        <w:tc>
          <w:tcPr>
            <w:tcW w:w="0" w:type="pct"/>
            <w:vAlign w:val="top"/>
          </w:tcPr>
          <w:p w14:paraId="332941F7"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pPr>
            <w:r w:rsidRPr="007E0B0E">
              <w:t>Yes – s 66R</w:t>
            </w:r>
          </w:p>
        </w:tc>
        <w:tc>
          <w:tcPr>
            <w:tcW w:w="0" w:type="pct"/>
            <w:vAlign w:val="top"/>
          </w:tcPr>
          <w:p w14:paraId="50D46118"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pPr>
            <w:r w:rsidRPr="007E0B0E">
              <w:t>Yes – s 66S</w:t>
            </w:r>
          </w:p>
        </w:tc>
        <w:tc>
          <w:tcPr>
            <w:tcW w:w="0" w:type="pct"/>
            <w:vAlign w:val="top"/>
          </w:tcPr>
          <w:p w14:paraId="7E9DB0AE" w14:textId="77777777" w:rsidR="005B0C9C" w:rsidRPr="007E0B0E" w:rsidRDefault="005B0C9C" w:rsidP="00A26492">
            <w:pPr>
              <w:pStyle w:val="TableText"/>
              <w:cnfStyle w:val="000000000000" w:firstRow="0" w:lastRow="0" w:firstColumn="0" w:lastColumn="0" w:oddVBand="0" w:evenVBand="0" w:oddHBand="0" w:evenHBand="0" w:firstRowFirstColumn="0" w:firstRowLastColumn="0" w:lastRowFirstColumn="0" w:lastRowLastColumn="0"/>
            </w:pPr>
          </w:p>
        </w:tc>
      </w:tr>
    </w:tbl>
    <w:p w14:paraId="66122AE3" w14:textId="77777777" w:rsidR="00155879" w:rsidRDefault="00155879" w:rsidP="005A032A">
      <w:pPr>
        <w:spacing w:after="360"/>
      </w:pPr>
    </w:p>
    <w:p w14:paraId="48CFB491" w14:textId="77777777" w:rsidR="004222D2" w:rsidRDefault="001E063A" w:rsidP="001E063A">
      <w:pPr>
        <w:pStyle w:val="Titolo1"/>
      </w:pPr>
      <w:bookmarkStart w:id="35" w:name="_Toc118316285"/>
      <w:r w:rsidRPr="00797B74">
        <w:t>Special measure requirements for implementing targeted recruitment strategies for</w:t>
      </w:r>
      <w:r w:rsidR="007F07BD">
        <w:t> </w:t>
      </w:r>
      <w:r w:rsidRPr="00797B74">
        <w:t>people with disability</w:t>
      </w:r>
      <w:bookmarkEnd w:id="35"/>
    </w:p>
    <w:p w14:paraId="57B8A071" w14:textId="431FE4D4" w:rsidR="001E063A" w:rsidRDefault="001E063A" w:rsidP="001E063A">
      <w:r>
        <w:t>The purpose of this section is to describe a nationally consistent set of requirements for a targeted recruitment strategy for people with disability to be considered a ‘special measure’.</w:t>
      </w:r>
    </w:p>
    <w:p w14:paraId="5CA135B3" w14:textId="77777777" w:rsidR="00EC5225" w:rsidRDefault="001E063A" w:rsidP="001E063A">
      <w:r>
        <w:t xml:space="preserve">The requirements listed in the infographic below consolidate the various requirements under the </w:t>
      </w:r>
      <w:r w:rsidRPr="00254E03">
        <w:rPr>
          <w:bCs w:val="0"/>
        </w:rPr>
        <w:t>Disability Discrimination Act</w:t>
      </w:r>
      <w:r>
        <w:t xml:space="preserve"> and state and territory anti-discrimination laws. </w:t>
      </w:r>
    </w:p>
    <w:p w14:paraId="5512D345" w14:textId="164F205C" w:rsidR="00EC5225" w:rsidRDefault="00206210" w:rsidP="001E063A">
      <w:r>
        <w:t>T</w:t>
      </w:r>
      <w:r w:rsidR="001E063A">
        <w:t>he strictest requirements across jurisdictions</w:t>
      </w:r>
      <w:r>
        <w:t xml:space="preserve"> are reflected</w:t>
      </w:r>
      <w:r w:rsidR="001E063A">
        <w:t>, so</w:t>
      </w:r>
      <w:r w:rsidR="0020720A">
        <w:t xml:space="preserve"> if</w:t>
      </w:r>
      <w:r w:rsidR="001E063A">
        <w:t xml:space="preserve"> an employer can demonstrate that </w:t>
      </w:r>
      <w:r w:rsidR="00F75634">
        <w:t xml:space="preserve">its </w:t>
      </w:r>
      <w:r w:rsidR="001E063A">
        <w:t>recruitment strategy meets all the criteria</w:t>
      </w:r>
      <w:r w:rsidR="001C24B6">
        <w:t>, it</w:t>
      </w:r>
      <w:r w:rsidR="001E063A">
        <w:t xml:space="preserve"> can have confidence that </w:t>
      </w:r>
      <w:r w:rsidR="00F75634">
        <w:t xml:space="preserve">it </w:t>
      </w:r>
      <w:r w:rsidR="001E063A">
        <w:t>would meet the test in every jurisdiction. Employers can use the template provided in the Appendix to th</w:t>
      </w:r>
      <w:r w:rsidR="00C3080F">
        <w:t>e</w:t>
      </w:r>
      <w:r w:rsidR="001E063A">
        <w:t xml:space="preserve"> </w:t>
      </w:r>
      <w:r w:rsidR="00C3080F">
        <w:t>G</w:t>
      </w:r>
      <w:r w:rsidR="001E063A">
        <w:t>uideline</w:t>
      </w:r>
      <w:r w:rsidR="00C3080F">
        <w:t>s</w:t>
      </w:r>
      <w:r w:rsidR="001E063A">
        <w:t xml:space="preserve"> to record how their strategy meets these criteria.</w:t>
      </w:r>
    </w:p>
    <w:p w14:paraId="55BBC46A" w14:textId="1F6AEB54" w:rsidR="001E063A" w:rsidRPr="00335D3E" w:rsidRDefault="00335D3E" w:rsidP="00335D3E">
      <w:pPr>
        <w:keepLines w:val="0"/>
        <w:spacing w:after="160" w:line="259" w:lineRule="auto"/>
      </w:pPr>
      <w:r>
        <w:br w:type="page"/>
      </w:r>
    </w:p>
    <w:p w14:paraId="1035C1B8" w14:textId="6B25DD1B" w:rsidR="00550C99" w:rsidRDefault="00325266" w:rsidP="001E063A">
      <w:pPr>
        <w:spacing w:before="400" w:after="600"/>
      </w:pPr>
      <w:r>
        <w:rPr>
          <w:noProof/>
        </w:rPr>
        <w:drawing>
          <wp:inline distT="0" distB="0" distL="0" distR="0" wp14:anchorId="26A03458" wp14:editId="3F02A604">
            <wp:extent cx="5731200" cy="6566400"/>
            <wp:effectExtent l="0" t="0" r="0" b="0"/>
            <wp:docPr id="71" name="Immagine 71" descr="INFOGRAPHIC - Special measure requirements for implementing targeted recruitment strategies for people with disability.&#10;&#10;Four boxes linked with arrows from 1-4.&#10;&#10;Box 1: Explain the inequality or the special needs required to be met.&#10;&#10;Box 2: Explain how the strategy is reasonably&#10;intended and necessary to achieve equal opportunity or meet the special needs identified.&#10;&#10;Box 3: Demonstrate that the strategy is otherwise reasonable and proportionate in its intention and effect.&#10;&#10;Box 4: Plan for regular&#10;review to ensure the strategy remains nece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magine 71" descr="INFOGRAPHIC - Special measure requirements for implementing targeted recruitment strategies for people with disability.&#10;&#10;Four boxes linked with arrows from 1-4.&#10;&#10;Box 1: Explain the inequality or the special needs required to be met.&#10;&#10;Box 2: Explain how the strategy is reasonably&#10;intended and necessary to achieve equal opportunity or meet the special needs identified.&#10;&#10;Box 3: Demonstrate that the strategy is otherwise reasonable and proportionate in its intention and effect.&#10;&#10;Box 4: Plan for regular&#10;review to ensure the strategy remains necessary."/>
                    <pic:cNvPicPr/>
                  </pic:nvPicPr>
                  <pic:blipFill>
                    <a:blip r:embed="rId27" cstate="screen">
                      <a:extLst>
                        <a:ext uri="{28A0092B-C50C-407E-A947-70E740481C1C}">
                          <a14:useLocalDpi xmlns:a14="http://schemas.microsoft.com/office/drawing/2010/main"/>
                        </a:ext>
                      </a:extLst>
                    </a:blip>
                    <a:stretch>
                      <a:fillRect/>
                    </a:stretch>
                  </pic:blipFill>
                  <pic:spPr>
                    <a:xfrm>
                      <a:off x="0" y="0"/>
                      <a:ext cx="5731200" cy="6566400"/>
                    </a:xfrm>
                    <a:prstGeom prst="rect">
                      <a:avLst/>
                    </a:prstGeom>
                  </pic:spPr>
                </pic:pic>
              </a:graphicData>
            </a:graphic>
          </wp:inline>
        </w:drawing>
      </w:r>
    </w:p>
    <w:p w14:paraId="6A42295B" w14:textId="51303AA4" w:rsidR="00AA17BE" w:rsidRDefault="00AA17BE">
      <w:pPr>
        <w:keepLines w:val="0"/>
        <w:spacing w:after="160" w:line="259" w:lineRule="auto"/>
      </w:pPr>
      <w:r>
        <w:br w:type="page"/>
      </w:r>
    </w:p>
    <w:p w14:paraId="03C8D443" w14:textId="4D02809F" w:rsidR="001E063A" w:rsidRPr="006B7046" w:rsidRDefault="001E063A" w:rsidP="00E96AD1">
      <w:pPr>
        <w:pStyle w:val="Titolo2"/>
        <w:spacing w:before="0"/>
      </w:pPr>
      <w:bookmarkStart w:id="36" w:name="_Toc118316286"/>
      <w:r w:rsidRPr="006645F4">
        <w:t>Explain the inequality or the special needs required to be met amongst the target</w:t>
      </w:r>
      <w:r w:rsidR="00F107D7">
        <w:t>ed</w:t>
      </w:r>
      <w:r w:rsidRPr="006645F4">
        <w:t xml:space="preserve"> group</w:t>
      </w:r>
      <w:bookmarkEnd w:id="36"/>
    </w:p>
    <w:p w14:paraId="4A83CF01" w14:textId="1ECE3B5C" w:rsidR="001E063A" w:rsidRDefault="001E063A">
      <w:pPr>
        <w:pStyle w:val="Titolo3"/>
      </w:pPr>
      <w:bookmarkStart w:id="37" w:name="_Toc118316287"/>
      <w:r w:rsidRPr="00A4488B">
        <w:t>Inequality or lack of equal opportunity</w:t>
      </w:r>
      <w:bookmarkEnd w:id="37"/>
    </w:p>
    <w:p w14:paraId="3DA929D6" w14:textId="45C7F587" w:rsidR="001E063A" w:rsidRDefault="001E063A" w:rsidP="001E063A">
      <w:r>
        <w:t xml:space="preserve">To demonstrate that a targeted recruitment strategy is necessary to ensure equality or equal opportunity </w:t>
      </w:r>
      <w:r w:rsidRPr="008348C9">
        <w:t>amongst</w:t>
      </w:r>
      <w:r>
        <w:t xml:space="preserve"> the targeted group (in this instance, people with disability or a particular disability) in employment, an employer will require evidence which clearly demonstrates that group’s disadvantage in the workforce by providing recent and reliable data.</w:t>
      </w:r>
    </w:p>
    <w:p w14:paraId="1DB6D3BB" w14:textId="09A4F04C" w:rsidR="001E063A" w:rsidRDefault="001E063A" w:rsidP="001E063A">
      <w:r>
        <w:t xml:space="preserve">For example, according to the Australian Institute of Health and Welfare, in 2018, working </w:t>
      </w:r>
      <w:proofErr w:type="gramStart"/>
      <w:r>
        <w:t>age</w:t>
      </w:r>
      <w:proofErr w:type="gramEnd"/>
      <w:r>
        <w:t xml:space="preserve"> people with psychosocial disability or intellectual disability had particularly high rates of unemployment (24% and 18%, respectively). In comparison, the unemployment rate of working age people with disability was 10%, while for working </w:t>
      </w:r>
      <w:proofErr w:type="gramStart"/>
      <w:r>
        <w:t>age</w:t>
      </w:r>
      <w:proofErr w:type="gramEnd"/>
      <w:r>
        <w:t xml:space="preserve"> people without disability, the rate was far lower at 4.6%.</w:t>
      </w:r>
    </w:p>
    <w:p w14:paraId="09E5705F" w14:textId="727B36CC" w:rsidR="00C91718" w:rsidRDefault="001E063A" w:rsidP="001E063A">
      <w:r>
        <w:t>Data on the percentage of an employer’s workforce from the target group and/or the levels of employment of the target group within the industry in which it operates, would also be relevant (assuming it shows low rates of employment).</w:t>
      </w:r>
    </w:p>
    <w:p w14:paraId="4214B245" w14:textId="18D5A54A" w:rsidR="001E063A" w:rsidRPr="00886C94" w:rsidRDefault="001E063A" w:rsidP="00C91718">
      <w:pPr>
        <w:pStyle w:val="Titolo3"/>
      </w:pPr>
      <w:bookmarkStart w:id="38" w:name="_Toc118316288"/>
      <w:r w:rsidRPr="00886C94">
        <w:t>Special needs</w:t>
      </w:r>
      <w:bookmarkEnd w:id="38"/>
    </w:p>
    <w:p w14:paraId="2F07DF07" w14:textId="14D1A7DA" w:rsidR="001E063A" w:rsidRDefault="001E063A" w:rsidP="001E063A">
      <w:r>
        <w:t xml:space="preserve">The question of how best to afford </w:t>
      </w:r>
      <w:r w:rsidR="003F14E2">
        <w:t xml:space="preserve">people </w:t>
      </w:r>
      <w:r>
        <w:t xml:space="preserve">with disability, or a particular disability, goods or access to facilities, </w:t>
      </w:r>
      <w:proofErr w:type="gramStart"/>
      <w:r>
        <w:t>services</w:t>
      </w:r>
      <w:proofErr w:type="gramEnd"/>
      <w:r>
        <w:t xml:space="preserve"> or opportunities – or grants, benefits or programs – to meet their special needs may arise in relation to employment, and specifically the recruitment for roles.</w:t>
      </w:r>
    </w:p>
    <w:p w14:paraId="5C03E0D7" w14:textId="6E1537C6" w:rsidR="001E063A" w:rsidRDefault="001E063A" w:rsidP="001E063A">
      <w:r>
        <w:t>For example, an employer</w:t>
      </w:r>
      <w:r w:rsidR="00CC2B98">
        <w:t xml:space="preserve"> may be</w:t>
      </w:r>
      <w:r>
        <w:t xml:space="preserve"> focus</w:t>
      </w:r>
      <w:r w:rsidR="00CC2B98">
        <w:t>ed</w:t>
      </w:r>
      <w:r>
        <w:t xml:space="preserve"> on providing services or facilities to people with a particular disability to meet their special needs, even though their benefits are not available to other persons. This would require the creation of roles requiring skills and attributes to ensure that these special needs are recognised and met. </w:t>
      </w:r>
      <w:r w:rsidR="00CC2B98">
        <w:t>A t</w:t>
      </w:r>
      <w:r>
        <w:t xml:space="preserve">argeted </w:t>
      </w:r>
      <w:r w:rsidR="00CC2B98">
        <w:t xml:space="preserve">recruitment </w:t>
      </w:r>
      <w:r>
        <w:t>strateg</w:t>
      </w:r>
      <w:r w:rsidR="00CC2B98">
        <w:t>y</w:t>
      </w:r>
      <w:r>
        <w:t xml:space="preserve"> may provide a valuable tool in this regard.</w:t>
      </w:r>
    </w:p>
    <w:p w14:paraId="1BD57505" w14:textId="3899AF48" w:rsidR="001E063A" w:rsidRDefault="001E063A" w:rsidP="001E063A">
      <w:r>
        <w:t>The special needs of the target group should be clearly explained. For example, with respect to government online service design and delivery, service recipients who are blind or have low vision have special needs which must be met, such as through accessible and adaptive technology. Evidence outlining these special needs by reference to the absence of currently accessible or inclusive online services for this group would provide a valuable starting point.</w:t>
      </w:r>
    </w:p>
    <w:p w14:paraId="7AE631F9" w14:textId="02DA68F2" w:rsidR="00335D3E" w:rsidRDefault="00335D3E">
      <w:pPr>
        <w:keepLines w:val="0"/>
        <w:spacing w:after="160" w:line="259" w:lineRule="auto"/>
      </w:pPr>
      <w:r>
        <w:br w:type="page"/>
      </w:r>
    </w:p>
    <w:p w14:paraId="66F6FD48" w14:textId="601F7205" w:rsidR="001E063A" w:rsidRPr="00886C94" w:rsidRDefault="001E063A">
      <w:pPr>
        <w:pStyle w:val="Titolo2"/>
      </w:pPr>
      <w:bookmarkStart w:id="39" w:name="_Toc118316289"/>
      <w:r w:rsidRPr="00886C94">
        <w:t>Explain how the strategy is reasonably intended, and is necessary, to ensure equal opportunity or meet the special needs identified</w:t>
      </w:r>
      <w:bookmarkEnd w:id="39"/>
    </w:p>
    <w:p w14:paraId="2C5FA366" w14:textId="3F0995F9" w:rsidR="001E063A" w:rsidRDefault="001E063A" w:rsidP="001E063A">
      <w:r>
        <w:t>The targeted recruitment strategy must be ‘reasonably intended’ and necessary to achieve the purpose of:</w:t>
      </w:r>
    </w:p>
    <w:p w14:paraId="6C0C5DA3" w14:textId="68DE6462" w:rsidR="001E063A" w:rsidRDefault="001E063A">
      <w:pPr>
        <w:pStyle w:val="Puntoelenco"/>
      </w:pPr>
      <w:r w:rsidRPr="005A641C">
        <w:rPr>
          <w:rStyle w:val="Enfasigrassetto"/>
        </w:rPr>
        <w:t>ensuring equal opportunity</w:t>
      </w:r>
      <w:r w:rsidRPr="006B7046">
        <w:t xml:space="preserve"> </w:t>
      </w:r>
      <w:r w:rsidR="00C42E52">
        <w:t>by</w:t>
      </w:r>
      <w:r>
        <w:t xml:space="preserve"> providing a benefit to the group of people with a particular disability, so that they have the same employment opportunities as people without that disability. A targeted </w:t>
      </w:r>
      <w:r w:rsidR="006B11C4">
        <w:t xml:space="preserve">recruitment strategy </w:t>
      </w:r>
      <w:r>
        <w:t>aimed at increasing the employment of a group of people with that disability, who typically face difficulties with gaining employment, is a clear example of a benefit which ensures equal opportunity, or</w:t>
      </w:r>
    </w:p>
    <w:p w14:paraId="31713166" w14:textId="61B3E0D9" w:rsidR="001E063A" w:rsidRDefault="001E063A">
      <w:pPr>
        <w:pStyle w:val="Puntoelenco"/>
      </w:pPr>
      <w:r w:rsidRPr="005A641C">
        <w:rPr>
          <w:rStyle w:val="Enfasigrassetto"/>
        </w:rPr>
        <w:t>meeting the special needs</w:t>
      </w:r>
      <w:r w:rsidRPr="006B7046">
        <w:t xml:space="preserve"> </w:t>
      </w:r>
      <w:r>
        <w:t xml:space="preserve">of the target group. This might involve, in the example above, addressing </w:t>
      </w:r>
      <w:proofErr w:type="gramStart"/>
      <w:r>
        <w:t>particular barriers</w:t>
      </w:r>
      <w:proofErr w:type="gramEnd"/>
      <w:r>
        <w:t xml:space="preserve"> to employment faced by people who are blind or have low vision. Identifying relevant barriers may require consultation with individuals with lived experience of disability and relevant peak bodies to understand their needs and the appropriate responses. A targeted recruitment </w:t>
      </w:r>
      <w:r w:rsidR="006B11C4">
        <w:t xml:space="preserve">strategy </w:t>
      </w:r>
      <w:r>
        <w:t>that seeks to address these needs may, in turn, drive the uptake of more accessible and adaptive technology in service design, procurement and delivery more generally.</w:t>
      </w:r>
    </w:p>
    <w:p w14:paraId="5E80E135" w14:textId="5E4C8350" w:rsidR="001E063A" w:rsidRDefault="001E063A" w:rsidP="001E063A">
      <w:r>
        <w:t>Objectively, the suitability of the targeted recruitment strategy adopted to achieve the specified purpose must be evident so that it meets the standard of ‘reasonably intended’.</w:t>
      </w:r>
      <w:r>
        <w:rPr>
          <w:rStyle w:val="Rimandonotadichiusura"/>
        </w:rPr>
        <w:endnoteReference w:id="31"/>
      </w:r>
      <w:r>
        <w:t xml:space="preserve"> It must also be undertaken in good faith for the stated purpose. The necessity of the strategy, including any discriminatory effects, should be clear by reference to that purpose – the strategy must be justified because the members of the </w:t>
      </w:r>
      <w:r w:rsidR="00E53C87">
        <w:t xml:space="preserve">identified </w:t>
      </w:r>
      <w:r>
        <w:t>group have a particular need for advancement or assistance.</w:t>
      </w:r>
    </w:p>
    <w:p w14:paraId="114C8F37" w14:textId="3856722C" w:rsidR="001E063A" w:rsidRDefault="00AA17BE" w:rsidP="001E063A">
      <w:r>
        <w:t>Accordingly, employers need to document their intention in conducting targeted recruitment strategies for people with a particular disability. Employers can do so by using the template attached at the Appendix to the Guidelines. Th</w:t>
      </w:r>
      <w:r w:rsidR="00F959FD">
        <w:t>e</w:t>
      </w:r>
      <w:r>
        <w:t xml:space="preserve"> documentation should refer to the evidence which demonstrates why the measure is necessary, as mentioned above. A detailed record of the planning and rationale behind the measure will serve both as evidence of its purpose, and of the good faith of the employer undertaking it.</w:t>
      </w:r>
    </w:p>
    <w:p w14:paraId="411EE61B" w14:textId="00F70241" w:rsidR="001E063A" w:rsidRDefault="001E063A" w:rsidP="001E063A">
      <w:pPr>
        <w:spacing w:after="240"/>
      </w:pPr>
      <w:r>
        <w:t xml:space="preserve">While any recruitment strategy will need to </w:t>
      </w:r>
      <w:proofErr w:type="gramStart"/>
      <w:r>
        <w:t>take into account</w:t>
      </w:r>
      <w:proofErr w:type="gramEnd"/>
      <w:r>
        <w:t xml:space="preserve"> the salary or wages paid to prospective employees, section 45(2)(b) of the </w:t>
      </w:r>
      <w:r w:rsidRPr="00254E03">
        <w:rPr>
          <w:bCs w:val="0"/>
        </w:rPr>
        <w:t>Disability Discrimination Act</w:t>
      </w:r>
      <w:r>
        <w:t xml:space="preserve"> provides that discriminatory rates of pay cannot be justified as a special measure. Rates of pay should be set at a non-discriminatory level or otherwise in accordance with sections 47(1)(c) or (d) of the </w:t>
      </w:r>
      <w:r w:rsidRPr="00254E03">
        <w:rPr>
          <w:bCs w:val="0"/>
        </w:rPr>
        <w:t>Disability Discrimination Act</w:t>
      </w:r>
      <w:r>
        <w:t>.</w:t>
      </w:r>
    </w:p>
    <w:p w14:paraId="1F1E3535" w14:textId="5A5A9288" w:rsidR="00335D3E" w:rsidRDefault="00335D3E">
      <w:pPr>
        <w:keepLines w:val="0"/>
        <w:spacing w:after="160" w:line="259" w:lineRule="auto"/>
      </w:pPr>
      <w:r>
        <w:br w:type="page"/>
      </w:r>
    </w:p>
    <w:p w14:paraId="596E6B54" w14:textId="6766E137" w:rsidR="001E063A" w:rsidRPr="00886C94" w:rsidRDefault="001E063A" w:rsidP="003A378B">
      <w:pPr>
        <w:pStyle w:val="Titolo2"/>
        <w:spacing w:after="120"/>
      </w:pPr>
      <w:bookmarkStart w:id="40" w:name="_Toc118316290"/>
      <w:r w:rsidRPr="00886C94">
        <w:t xml:space="preserve">Demonstrate </w:t>
      </w:r>
      <w:r w:rsidR="00CD2F80">
        <w:t>that</w:t>
      </w:r>
      <w:r w:rsidR="00CD2F80" w:rsidRPr="00886C94">
        <w:t xml:space="preserve"> </w:t>
      </w:r>
      <w:r w:rsidRPr="00886C94">
        <w:t>the strategy is otherwise reasonable and proportionate in its intention and effect</w:t>
      </w:r>
      <w:bookmarkEnd w:id="40"/>
    </w:p>
    <w:p w14:paraId="7C186754" w14:textId="1E0D74B0" w:rsidR="001E063A" w:rsidRDefault="001E063A" w:rsidP="001E063A">
      <w:r>
        <w:t xml:space="preserve">A </w:t>
      </w:r>
      <w:r w:rsidR="001D1256">
        <w:t>targeted recruitment strategy</w:t>
      </w:r>
      <w:r>
        <w:t xml:space="preserve"> must be designed to effectively address the actual disadvantage of the targeted group (in this case, people with disability, or a particular disability). That is, it must be ‘appropriate and adapted’ to its purpose.</w:t>
      </w:r>
    </w:p>
    <w:p w14:paraId="4F40FE58" w14:textId="2EC422D3" w:rsidR="001E063A" w:rsidRDefault="001E063A" w:rsidP="001E063A">
      <w:r>
        <w:t>At a high level, an employer needs to show there is a rational connection between the planned strategy and its stated objective in such a way that it is reasonably likely that the strategy will be successful.</w:t>
      </w:r>
    </w:p>
    <w:p w14:paraId="0B6A677D" w14:textId="5FD2A300" w:rsidR="001E063A" w:rsidRDefault="001E063A" w:rsidP="001E063A">
      <w:r>
        <w:t>A special measure must also be proportionate to the degree of disadvantage experienced by the target population. The principle of proportionality requires that the means adopted to address the disadvantage must not go beyond what is necessary to do so.</w:t>
      </w:r>
    </w:p>
    <w:p w14:paraId="0C10E102" w14:textId="77777777" w:rsidR="001E063A" w:rsidRDefault="001E063A" w:rsidP="001E063A">
      <w:pPr>
        <w:keepNext/>
      </w:pPr>
      <w:r>
        <w:t>To demonstrate that a targeted recruitment strategy meets these requirements, an employer should:</w:t>
      </w:r>
    </w:p>
    <w:p w14:paraId="7E94BED9" w14:textId="397D267B" w:rsidR="001E063A" w:rsidRDefault="001E063A">
      <w:pPr>
        <w:pStyle w:val="Puntoelenco"/>
      </w:pPr>
      <w:r>
        <w:t xml:space="preserve">refer to the evidence of the disadvantage or special need which needs to be addressed – for example, the statistics which show that people with the </w:t>
      </w:r>
      <w:proofErr w:type="gramStart"/>
      <w:r>
        <w:t>particular disability</w:t>
      </w:r>
      <w:proofErr w:type="gramEnd"/>
      <w:r>
        <w:t xml:space="preserve"> are under-employed.</w:t>
      </w:r>
    </w:p>
    <w:p w14:paraId="4FBAD08F" w14:textId="77777777" w:rsidR="005B0C9C" w:rsidRDefault="001E063A">
      <w:pPr>
        <w:pStyle w:val="Puntoelenco"/>
      </w:pPr>
      <w:r>
        <w:t xml:space="preserve">consider why a targeted recruitment campaign is an appropriate way of increasing employment of people with disability – for example, by explaining previous unsuccessful attempts to </w:t>
      </w:r>
    </w:p>
    <w:p w14:paraId="2B6A82B8" w14:textId="4CDFE593" w:rsidR="001E063A" w:rsidRDefault="001E063A">
      <w:pPr>
        <w:pStyle w:val="Puntoelenco"/>
      </w:pPr>
      <w:r>
        <w:t xml:space="preserve">employ this group in the past without implementing a targeted </w:t>
      </w:r>
      <w:proofErr w:type="gramStart"/>
      <w:r>
        <w:t>program, or</w:t>
      </w:r>
      <w:proofErr w:type="gramEnd"/>
      <w:r>
        <w:t xml:space="preserve"> pointing to the low number of people with disability employed by the organisation.</w:t>
      </w:r>
    </w:p>
    <w:p w14:paraId="3025984C" w14:textId="60C12F13" w:rsidR="001E063A" w:rsidRDefault="00AA17BE" w:rsidP="00886C94">
      <w:r>
        <w:t>The test for proportionality will be the same whether the targeted recruitment strategy includes individual or bulk recruitment. Due to the inequality in employment outcomes for people with disability, a bulk recruitment strategy targeting people with a particular disability is likely to be proportionate.</w:t>
      </w:r>
    </w:p>
    <w:p w14:paraId="2D507214" w14:textId="2D335BB0" w:rsidR="001E063A" w:rsidRDefault="001E063A" w:rsidP="003A378B">
      <w:pPr>
        <w:pStyle w:val="Titolo2"/>
        <w:spacing w:after="120"/>
      </w:pPr>
      <w:bookmarkStart w:id="41" w:name="_Toc118316291"/>
      <w:r>
        <w:t>Plan for the strategy to be regularly reviewed to ensure that it remains necessary</w:t>
      </w:r>
      <w:bookmarkEnd w:id="41"/>
    </w:p>
    <w:p w14:paraId="02353446" w14:textId="208A94A5" w:rsidR="001E063A" w:rsidRDefault="001E063A" w:rsidP="001E063A">
      <w:r>
        <w:t>The targeted recruitment strategy must be ‘necessary’ to achieve the stated purpose. Should the purpose later be achieved (for example, substantive equality has been achieved and rates of employment of the target group are equal to or better than rates of employment outside the target group), then the strategy will no longer be necessary</w:t>
      </w:r>
      <w:r w:rsidR="00191094">
        <w:t>,</w:t>
      </w:r>
      <w:r>
        <w:t xml:space="preserve"> and it will not be a special measure. </w:t>
      </w:r>
    </w:p>
    <w:p w14:paraId="4E230E16" w14:textId="2B397689" w:rsidR="001E063A" w:rsidRDefault="001E063A" w:rsidP="001E063A">
      <w:r>
        <w:t>This means that employers should review any regularly conducted targeted recruitment strateg</w:t>
      </w:r>
      <w:r w:rsidR="00AA7C34">
        <w:t>y</w:t>
      </w:r>
      <w:r>
        <w:t xml:space="preserve"> periodically to ensure that </w:t>
      </w:r>
      <w:r w:rsidR="00AA7C34">
        <w:t>it</w:t>
      </w:r>
      <w:r>
        <w:t>:</w:t>
      </w:r>
    </w:p>
    <w:p w14:paraId="31E045BA" w14:textId="44A66FFF" w:rsidR="001E063A" w:rsidRDefault="001E063A" w:rsidP="006B7046">
      <w:pPr>
        <w:pStyle w:val="Puntoelenco"/>
        <w:contextualSpacing/>
      </w:pPr>
      <w:r>
        <w:t>continue</w:t>
      </w:r>
      <w:r w:rsidR="00AA7C34">
        <w:t>s</w:t>
      </w:r>
      <w:r>
        <w:t xml:space="preserve"> to address workforce disadvantage, or meet</w:t>
      </w:r>
      <w:r w:rsidR="00AA7C34">
        <w:t>s</w:t>
      </w:r>
      <w:r>
        <w:t xml:space="preserve"> a special need</w:t>
      </w:r>
    </w:p>
    <w:p w14:paraId="03DFB1FD" w14:textId="568521C9" w:rsidR="001E063A" w:rsidRDefault="00AA7C34" w:rsidP="006B7046">
      <w:pPr>
        <w:pStyle w:val="Puntoelenco"/>
        <w:contextualSpacing/>
      </w:pPr>
      <w:r>
        <w:t xml:space="preserve">is </w:t>
      </w:r>
      <w:r w:rsidR="001E063A">
        <w:t>effective in doing so.</w:t>
      </w:r>
    </w:p>
    <w:p w14:paraId="17DF5765" w14:textId="6C7AB25D" w:rsidR="005B0C9C" w:rsidRDefault="001E063A" w:rsidP="005B0C9C">
      <w:r>
        <w:t>Employers should cease pursuing strategies that are no longer necessary.</w:t>
      </w:r>
    </w:p>
    <w:p w14:paraId="3CA625F6" w14:textId="4C6E08D1" w:rsidR="001E063A" w:rsidRPr="00E96AD1" w:rsidRDefault="001E063A" w:rsidP="00E96AD1">
      <w:pPr>
        <w:pStyle w:val="Titolo1"/>
      </w:pPr>
      <w:bookmarkStart w:id="42" w:name="_Toc118316292"/>
      <w:r w:rsidRPr="00E96AD1">
        <w:t xml:space="preserve">Practical guidance on designing and implementing </w:t>
      </w:r>
      <w:r w:rsidR="00411038">
        <w:t xml:space="preserve">a </w:t>
      </w:r>
      <w:r w:rsidRPr="00E96AD1">
        <w:t>targeted recruitment strateg</w:t>
      </w:r>
      <w:r w:rsidR="00411038">
        <w:t>y</w:t>
      </w:r>
      <w:bookmarkEnd w:id="42"/>
    </w:p>
    <w:p w14:paraId="4D0B158C" w14:textId="08B8B1B9" w:rsidR="001E063A" w:rsidRPr="00232D88" w:rsidRDefault="001E063A" w:rsidP="001E063A">
      <w:r>
        <w:t xml:space="preserve">This section sets out practical steps an employer can take to make it clear that a targeted recruitment strategy for people with disability is a special measure, as well as ensuring that targeted recruitment programs are truly accessible </w:t>
      </w:r>
      <w:r w:rsidRPr="00232D88">
        <w:t>to people with disability.</w:t>
      </w:r>
    </w:p>
    <w:p w14:paraId="3D468B21" w14:textId="3086C9A5" w:rsidR="001E063A" w:rsidRDefault="001E063A" w:rsidP="001E063A">
      <w:pPr>
        <w:spacing w:after="240"/>
      </w:pPr>
      <w:r w:rsidRPr="00232D88">
        <w:t xml:space="preserve">Taking these steps will minimise the risk of complaints that such measures are </w:t>
      </w:r>
      <w:r>
        <w:t xml:space="preserve">unlawfully </w:t>
      </w:r>
      <w:r w:rsidRPr="00232D88">
        <w:t xml:space="preserve">discriminatory and provide </w:t>
      </w:r>
      <w:r>
        <w:t>evidence</w:t>
      </w:r>
      <w:r w:rsidRPr="00232D88">
        <w:t xml:space="preserve"> to dispute</w:t>
      </w:r>
      <w:r>
        <w:t xml:space="preserve"> such a claim in the unlikely event a complaint is made. Following these steps will also enhance the success of any targeted recruitment strategy by ensuring accessibility for people with disability.</w:t>
      </w:r>
    </w:p>
    <w:p w14:paraId="565440B6" w14:textId="3EAF0833" w:rsidR="001E063A" w:rsidRDefault="001E063A">
      <w:pPr>
        <w:pStyle w:val="Titolo2"/>
      </w:pPr>
      <w:bookmarkStart w:id="43" w:name="_Toc118316293"/>
      <w:r>
        <w:t>Document a clear intention</w:t>
      </w:r>
      <w:bookmarkEnd w:id="43"/>
    </w:p>
    <w:p w14:paraId="79436A25" w14:textId="02A1FCBB" w:rsidR="001E063A" w:rsidRDefault="00AA17BE" w:rsidP="001E063A">
      <w:r>
        <w:t xml:space="preserve">It is important for an employer to document why and how a targeted recruitment strategy will be a special measure to benefit people with disability. This documentation should address all the requirements mentioned </w:t>
      </w:r>
      <w:r w:rsidRPr="00571F06">
        <w:t xml:space="preserve">in Part </w:t>
      </w:r>
      <w:r w:rsidR="007F07BD" w:rsidRPr="00571F06">
        <w:t>4</w:t>
      </w:r>
      <w:r>
        <w:t xml:space="preserve"> above. The template attached as the Appendix to the Guidelines can be used for this documentation.</w:t>
      </w:r>
    </w:p>
    <w:p w14:paraId="2A4BFA17" w14:textId="3A198ADA" w:rsidR="001E063A" w:rsidRDefault="001E063A" w:rsidP="001E063A">
      <w:r>
        <w:t>The recruitment should be consistently documented as a targeted employment strategy to address the under-representation of persons with disability in employment in the employer’s staff/industry/local area, or to meet the special needs of persons with disability.</w:t>
      </w:r>
    </w:p>
    <w:p w14:paraId="3FC60684" w14:textId="1B69487C" w:rsidR="001E063A" w:rsidRDefault="001E063A" w:rsidP="001E063A">
      <w:r>
        <w:t xml:space="preserve">A written record of the intent and evidence for the special measure will not only be important to demonstrate that the recruitment strategy is a special measure, but also will be useful in gaining executive support for the strategy within </w:t>
      </w:r>
      <w:r w:rsidR="000D4963">
        <w:t xml:space="preserve">the </w:t>
      </w:r>
      <w:r>
        <w:t>organisation.</w:t>
      </w:r>
    </w:p>
    <w:p w14:paraId="2AF4DEB4" w14:textId="77777777" w:rsidR="001E063A" w:rsidRDefault="001E063A" w:rsidP="001E063A">
      <w:pPr>
        <w:spacing w:after="240"/>
      </w:pPr>
      <w:r>
        <w:t>An employer can also use this information to measure the success of the strategy, to determine whether and when its objective has been achieved.</w:t>
      </w:r>
    </w:p>
    <w:p w14:paraId="0F1076AF" w14:textId="5BDA50A3" w:rsidR="001E063A" w:rsidRDefault="001E063A">
      <w:pPr>
        <w:pStyle w:val="Titolo2"/>
      </w:pPr>
      <w:bookmarkStart w:id="44" w:name="_Toc118316294"/>
      <w:r>
        <w:t>Establish the legal basis for targeted recruitment</w:t>
      </w:r>
      <w:bookmarkEnd w:id="44"/>
    </w:p>
    <w:p w14:paraId="05A5E282" w14:textId="3DF284B3" w:rsidR="001E063A" w:rsidRDefault="001E063A" w:rsidP="001E063A">
      <w:r>
        <w:t>It is good practice for</w:t>
      </w:r>
      <w:r w:rsidR="000D4963">
        <w:t xml:space="preserve"> an</w:t>
      </w:r>
      <w:r>
        <w:t xml:space="preserve"> employer to clearly identify that </w:t>
      </w:r>
      <w:r w:rsidR="000D4963">
        <w:t xml:space="preserve">its </w:t>
      </w:r>
      <w:r>
        <w:t xml:space="preserve">decision to target candidates with a particular disability for a certain position </w:t>
      </w:r>
      <w:r w:rsidR="000D4963">
        <w:t>(</w:t>
      </w:r>
      <w:r>
        <w:t>or group of positions</w:t>
      </w:r>
      <w:r w:rsidR="000D4963">
        <w:t>)</w:t>
      </w:r>
      <w:r>
        <w:t xml:space="preserve"> has a legal basis by </w:t>
      </w:r>
      <w:proofErr w:type="gramStart"/>
      <w:r>
        <w:t>making reference</w:t>
      </w:r>
      <w:proofErr w:type="gramEnd"/>
      <w:r>
        <w:t xml:space="preserve"> to the ‘special measure’ provisions in the relevant legislation. This will minimise the risk of other applicants challenging the employment as a possible breach of anti-discrimination laws.</w:t>
      </w:r>
    </w:p>
    <w:p w14:paraId="1BD9A4FD" w14:textId="079B4F36" w:rsidR="00335D3E" w:rsidRDefault="00335D3E">
      <w:pPr>
        <w:keepLines w:val="0"/>
        <w:spacing w:after="160" w:line="259" w:lineRule="auto"/>
      </w:pPr>
      <w:r>
        <w:br w:type="page"/>
      </w:r>
    </w:p>
    <w:p w14:paraId="47EF3AEA" w14:textId="0B923FE6" w:rsidR="001E063A" w:rsidRDefault="001E063A" w:rsidP="00F16368">
      <w:pPr>
        <w:pStyle w:val="Normal-12ptafter"/>
      </w:pPr>
      <w:r>
        <w:t>The Commission and its state and territory counterpart bodies recommend that all advertisements and selection documentation for the special measures position(s) contain the wording:</w:t>
      </w:r>
    </w:p>
    <w:p w14:paraId="3FB40ADC" w14:textId="047BDF79" w:rsidR="001E063A" w:rsidRPr="00AA17BE" w:rsidRDefault="001E063A" w:rsidP="00550FCC">
      <w:pPr>
        <w:pStyle w:val="Citazioneintensa"/>
        <w:pBdr>
          <w:left w:val="single" w:sz="36" w:space="12" w:color="F27166" w:themeColor="accent4"/>
        </w:pBdr>
      </w:pPr>
      <w:r w:rsidRPr="00AA17BE">
        <w:t xml:space="preserve">‘The filling of this position is intended to constitute a special measure under section 45 of the </w:t>
      </w:r>
      <w:r w:rsidRPr="00550FCC">
        <w:rPr>
          <w:rStyle w:val="Enfasicorsivo"/>
        </w:rPr>
        <w:t>Disability Discrimination Act</w:t>
      </w:r>
      <w:r w:rsidR="00AA17BE" w:rsidRPr="00550FCC">
        <w:rPr>
          <w:rStyle w:val="Enfasicorsivo"/>
        </w:rPr>
        <w:t xml:space="preserve"> 1992</w:t>
      </w:r>
      <w:r w:rsidRPr="00AA17BE">
        <w:t xml:space="preserve"> (Cth), and [insert relevant provisions of state/territory acts]. The position/s is/are therefore only open to applicants with disability/ applicants with [insert </w:t>
      </w:r>
      <w:proofErr w:type="gramStart"/>
      <w:r w:rsidRPr="00AA17BE">
        <w:t>particular disability</w:t>
      </w:r>
      <w:proofErr w:type="gramEnd"/>
      <w:r w:rsidRPr="00AA17BE">
        <w:t>].’</w:t>
      </w:r>
    </w:p>
    <w:p w14:paraId="79116A51" w14:textId="57037E94" w:rsidR="001E063A" w:rsidRDefault="001E063A">
      <w:pPr>
        <w:pStyle w:val="Titolo2"/>
      </w:pPr>
      <w:bookmarkStart w:id="45" w:name="_Toc118316295"/>
      <w:r>
        <w:t>Communicate the intention of the recruitment strategy</w:t>
      </w:r>
      <w:bookmarkEnd w:id="45"/>
    </w:p>
    <w:p w14:paraId="49C64C55" w14:textId="00F0AAC9" w:rsidR="005B0C9C" w:rsidRDefault="001E063A" w:rsidP="001E063A">
      <w:r>
        <w:t>Communicating the intention of a targeted recruitment strategy throughout its development and implementation is crucial to ensuring that it is well understood. The employer’s intention, including the legal provisions relied upon, should be reflected in the internal documentation prepared in planning the measure, the job description, advertisements for the position/s, the information provided at a formal interview, and any recruitment documentation provided to the successful applicant/s.</w:t>
      </w:r>
    </w:p>
    <w:p w14:paraId="2DD449C2" w14:textId="576B39FC" w:rsidR="001E063A" w:rsidRDefault="001E063A" w:rsidP="001E063A">
      <w:r>
        <w:t>If applicable, the employer can include links to relevant disability employment strategies, Disability Action Plans, diversity and inclusion plans, or other relevant documentation in any online advertisements for the position/s.</w:t>
      </w:r>
    </w:p>
    <w:p w14:paraId="441E5CDC" w14:textId="113A0238" w:rsidR="001E063A" w:rsidRDefault="001E063A" w:rsidP="001E063A">
      <w:pPr>
        <w:spacing w:after="240"/>
      </w:pPr>
      <w:r>
        <w:t>Employers can also consider the involvement and value of a diversity inclusion officer or trained human resources representative for any targeted positions. This person will be able to ensure a recruitment process that is accessible and inclusive and explain the concept of</w:t>
      </w:r>
      <w:r w:rsidR="00F30026">
        <w:t>,</w:t>
      </w:r>
      <w:r>
        <w:t xml:space="preserve"> and justification for</w:t>
      </w:r>
      <w:r w:rsidR="00F30026">
        <w:t>,</w:t>
      </w:r>
      <w:r>
        <w:t xml:space="preserve"> special measures if required.</w:t>
      </w:r>
    </w:p>
    <w:p w14:paraId="5BDD4567" w14:textId="479C61F9" w:rsidR="001E063A" w:rsidRDefault="001E063A" w:rsidP="00D63D39">
      <w:pPr>
        <w:pStyle w:val="Titolo2"/>
      </w:pPr>
      <w:bookmarkStart w:id="46" w:name="_Toc118316296"/>
      <w:r>
        <w:t>Seek the participation and inclusion of persons with disability in the strategy’s design and implementation</w:t>
      </w:r>
      <w:bookmarkEnd w:id="46"/>
    </w:p>
    <w:p w14:paraId="52BC6652" w14:textId="1B7A0B17" w:rsidR="001E063A" w:rsidRDefault="001E063A" w:rsidP="001E063A">
      <w:r>
        <w:t>The Commission supports the full and effective participation and inclusion of persons with disability in identifying and responding to matters that affect them, including employment. It strongly encourages employers to seek the expertise and participation of their existing employees with disability, disability support network groups, and disability representative groups when considering and implementing a targeted recruitment strategy. This would include seeking views on the merits and design of such a strategy, having regard to alternative approaches, to ensure that it is well-supported and fit for purpose.</w:t>
      </w:r>
    </w:p>
    <w:p w14:paraId="34083B50" w14:textId="3AD82A41" w:rsidR="00335D3E" w:rsidRDefault="00335D3E">
      <w:pPr>
        <w:keepLines w:val="0"/>
        <w:spacing w:after="160" w:line="259" w:lineRule="auto"/>
      </w:pPr>
      <w:r>
        <w:br w:type="page"/>
      </w:r>
    </w:p>
    <w:p w14:paraId="20AE32D4" w14:textId="7A3A40F9" w:rsidR="001E063A" w:rsidRDefault="001E063A">
      <w:pPr>
        <w:pStyle w:val="Titolo2"/>
      </w:pPr>
      <w:bookmarkStart w:id="47" w:name="_Toc118316297"/>
      <w:r>
        <w:t>Ensure inclusive communication</w:t>
      </w:r>
      <w:bookmarkEnd w:id="47"/>
    </w:p>
    <w:p w14:paraId="55E0BD17" w14:textId="49ABEF43" w:rsidR="001E063A" w:rsidRDefault="001E063A" w:rsidP="001E063A">
      <w:pPr>
        <w:keepNext/>
      </w:pPr>
      <w:r>
        <w:t xml:space="preserve">When developing a targeted recruitment strategy, </w:t>
      </w:r>
      <w:r w:rsidR="0071624C">
        <w:t xml:space="preserve">an </w:t>
      </w:r>
      <w:r>
        <w:t xml:space="preserve">employer should be mindful to ensure that all forms of workplace communication are accessible and inclusive. This is an integral part of facilitating access and inclusion in the workplace. Accessible and inclusive communication means that messaging and information meets the communication needs of everyone within the community and that the target audience can access, </w:t>
      </w:r>
      <w:proofErr w:type="gramStart"/>
      <w:r>
        <w:t>understand</w:t>
      </w:r>
      <w:proofErr w:type="gramEnd"/>
      <w:r>
        <w:t xml:space="preserve"> and engage with the information being shared. Depending on the needs of the target audience, this may involve:</w:t>
      </w:r>
    </w:p>
    <w:p w14:paraId="29C2FF89" w14:textId="77777777" w:rsidR="001E063A" w:rsidRPr="00D30A9A" w:rsidRDefault="001E063A">
      <w:pPr>
        <w:pStyle w:val="Puntoelenco"/>
      </w:pPr>
      <w:r>
        <w:t>providi</w:t>
      </w:r>
      <w:r w:rsidRPr="00D30A9A">
        <w:t xml:space="preserve">ng job advertisements in alternative formats, including hard copy, audio, large </w:t>
      </w:r>
      <w:proofErr w:type="gramStart"/>
      <w:r w:rsidRPr="00D30A9A">
        <w:t>print</w:t>
      </w:r>
      <w:proofErr w:type="gramEnd"/>
      <w:r w:rsidRPr="00D30A9A">
        <w:t xml:space="preserve"> and Easy Read</w:t>
      </w:r>
    </w:p>
    <w:p w14:paraId="38D1FEFD" w14:textId="2466717C" w:rsidR="001E063A" w:rsidRPr="00D30A9A" w:rsidRDefault="001E063A">
      <w:pPr>
        <w:pStyle w:val="Puntoelenco"/>
      </w:pPr>
      <w:r w:rsidRPr="00D30A9A">
        <w:t>ensuring job advertisements can be easily read by screen readers</w:t>
      </w:r>
    </w:p>
    <w:p w14:paraId="6B30100A" w14:textId="77777777" w:rsidR="001E063A" w:rsidRPr="00D30A9A" w:rsidRDefault="001E063A">
      <w:pPr>
        <w:pStyle w:val="Puntoelenco"/>
      </w:pPr>
      <w:r w:rsidRPr="00D30A9A">
        <w:t>avoiding platforms requiring people to download additional software</w:t>
      </w:r>
    </w:p>
    <w:p w14:paraId="2DE4518F" w14:textId="2BD48F7A" w:rsidR="001E063A" w:rsidRDefault="001E063A">
      <w:pPr>
        <w:pStyle w:val="Puntoelenco"/>
      </w:pPr>
      <w:r w:rsidRPr="00D30A9A">
        <w:t xml:space="preserve">including </w:t>
      </w:r>
      <w:r>
        <w:t>contact details for the National Relay Service to assist candidates who are deaf or have a hearing impairment.</w:t>
      </w:r>
    </w:p>
    <w:p w14:paraId="2B19B397" w14:textId="77777777" w:rsidR="001E063A" w:rsidRDefault="001E063A" w:rsidP="001E063A">
      <w:r>
        <w:t xml:space="preserve">It also means using inclusive and respectful </w:t>
      </w:r>
      <w:proofErr w:type="gramStart"/>
      <w:r>
        <w:t>language, and</w:t>
      </w:r>
      <w:proofErr w:type="gramEnd"/>
      <w:r>
        <w:t xml:space="preserve"> developing accessible and inclusive written communications. </w:t>
      </w:r>
    </w:p>
    <w:p w14:paraId="46709D51" w14:textId="78775CDC" w:rsidR="00E22AF1" w:rsidRDefault="001E063A" w:rsidP="001E063A">
      <w:r>
        <w:t xml:space="preserve">For more information, see the Commission’s </w:t>
      </w:r>
      <w:hyperlink r:id="rId28" w:history="1">
        <w:r w:rsidRPr="00A21529">
          <w:rPr>
            <w:rStyle w:val="Collegamentoipertestuale"/>
          </w:rPr>
          <w:t>IncludeAbility – Creating Accessible and Inclusive Communications Guide</w:t>
        </w:r>
      </w:hyperlink>
      <w:r>
        <w:t xml:space="preserve">. The </w:t>
      </w:r>
      <w:hyperlink r:id="rId29" w:history="1">
        <w:r w:rsidRPr="00A21529">
          <w:rPr>
            <w:rStyle w:val="Collegamentoipertestuale"/>
          </w:rPr>
          <w:t>People with Disability Australia –</w:t>
        </w:r>
      </w:hyperlink>
      <w:r w:rsidRPr="00A21529">
        <w:rPr>
          <w:rStyle w:val="Collegamentoipertestuale"/>
        </w:rPr>
        <w:t xml:space="preserve"> </w:t>
      </w:r>
      <w:hyperlink r:id="rId30" w:history="1">
        <w:r w:rsidRPr="00A21529">
          <w:rPr>
            <w:rStyle w:val="Collegamentoipertestuale"/>
          </w:rPr>
          <w:t>Language Guide</w:t>
        </w:r>
      </w:hyperlink>
      <w:r>
        <w:t xml:space="preserve"> also contains useful guidance in relation to the use of inclusive language.</w:t>
      </w:r>
    </w:p>
    <w:p w14:paraId="17CC033A" w14:textId="2DBECD7A" w:rsidR="001E063A" w:rsidRDefault="001E063A">
      <w:pPr>
        <w:pStyle w:val="Titolo2"/>
      </w:pPr>
      <w:bookmarkStart w:id="48" w:name="_Toc118316298"/>
      <w:r>
        <w:t>Establish accessible and inclusive recruitment practices</w:t>
      </w:r>
      <w:bookmarkEnd w:id="48"/>
    </w:p>
    <w:p w14:paraId="08A4904E" w14:textId="73A33437" w:rsidR="001E063A" w:rsidRDefault="001E063A" w:rsidP="001E063A">
      <w:r>
        <w:t>When looking to recruit people with disability,</w:t>
      </w:r>
      <w:r w:rsidR="002125D9">
        <w:t xml:space="preserve"> an</w:t>
      </w:r>
      <w:r>
        <w:t xml:space="preserve"> employer should be mindful to ensure that </w:t>
      </w:r>
      <w:r w:rsidR="002125D9">
        <w:t xml:space="preserve">it </w:t>
      </w:r>
      <w:r>
        <w:t>establish</w:t>
      </w:r>
      <w:r w:rsidR="002125D9">
        <w:t>es</w:t>
      </w:r>
      <w:r>
        <w:t xml:space="preserve"> accessible and inclusive recruitment practices. </w:t>
      </w:r>
      <w:r w:rsidR="00D72F62">
        <w:t>An e</w:t>
      </w:r>
      <w:r>
        <w:t>mployer can proactively connect with candidates with disability by:</w:t>
      </w:r>
    </w:p>
    <w:p w14:paraId="2C40B7B6" w14:textId="77777777" w:rsidR="001E063A" w:rsidRPr="00D30A9A" w:rsidRDefault="001E063A">
      <w:pPr>
        <w:pStyle w:val="Puntoelenco"/>
      </w:pPr>
      <w:r>
        <w:t xml:space="preserve">engaging with </w:t>
      </w:r>
      <w:r w:rsidRPr="00D30A9A">
        <w:t>a Disability Employment Services provider or disability organisations that support people with disability</w:t>
      </w:r>
    </w:p>
    <w:p w14:paraId="49D47D82" w14:textId="46E4350D" w:rsidR="001E063A" w:rsidRDefault="001E063A">
      <w:pPr>
        <w:pStyle w:val="Puntoelenco"/>
      </w:pPr>
      <w:r w:rsidRPr="00D30A9A">
        <w:t>advertising on j</w:t>
      </w:r>
      <w:r>
        <w:t xml:space="preserve">ob search sites dedicated to people with disability, including </w:t>
      </w:r>
      <w:hyperlink r:id="rId31" w:history="1">
        <w:r w:rsidRPr="003F3ED2">
          <w:rPr>
            <w:rStyle w:val="Collegamentoipertestuale"/>
          </w:rPr>
          <w:t>toozly.com.au</w:t>
        </w:r>
      </w:hyperlink>
      <w:r>
        <w:t>.</w:t>
      </w:r>
    </w:p>
    <w:p w14:paraId="77DFCD7F" w14:textId="4EF8934A" w:rsidR="001E063A" w:rsidRDefault="00D72F62" w:rsidP="001E063A">
      <w:r>
        <w:t>An e</w:t>
      </w:r>
      <w:r w:rsidR="001E063A">
        <w:t xml:space="preserve">mployer can also take steps to ensure that </w:t>
      </w:r>
      <w:r>
        <w:t xml:space="preserve">its </w:t>
      </w:r>
      <w:r w:rsidR="001E063A">
        <w:t>job advertisements are accessible, including by:</w:t>
      </w:r>
    </w:p>
    <w:p w14:paraId="5FDB8934" w14:textId="77777777" w:rsidR="001E063A" w:rsidRPr="00A21529" w:rsidRDefault="001E063A">
      <w:pPr>
        <w:pStyle w:val="Puntoelenco"/>
      </w:pPr>
      <w:r w:rsidRPr="00A21529">
        <w:t>encouraging applicants to request any reasonable adjustments needed to assist them through the application and recruitment process</w:t>
      </w:r>
    </w:p>
    <w:p w14:paraId="042B8AB4" w14:textId="7B01199C" w:rsidR="001E063A" w:rsidRPr="00A21529" w:rsidRDefault="001E063A">
      <w:pPr>
        <w:pStyle w:val="Puntoelenco"/>
      </w:pPr>
      <w:r w:rsidRPr="00A21529">
        <w:t>indicating a willingness to customise the role for the right candidate</w:t>
      </w:r>
    </w:p>
    <w:p w14:paraId="1574C3B4" w14:textId="77777777" w:rsidR="001E063A" w:rsidRPr="00A21529" w:rsidRDefault="001E063A">
      <w:pPr>
        <w:pStyle w:val="Puntoelenco"/>
      </w:pPr>
      <w:r w:rsidRPr="00A21529">
        <w:t>avoiding including any non-essential requirements in the position description (for example, having a driver’s licence if this relates to sporadic travel).</w:t>
      </w:r>
    </w:p>
    <w:p w14:paraId="3B849F97" w14:textId="313769DB" w:rsidR="001E063A" w:rsidRDefault="001E063A" w:rsidP="001E063A">
      <w:pPr>
        <w:keepNext/>
      </w:pPr>
      <w:r>
        <w:t xml:space="preserve">At the interview stage, </w:t>
      </w:r>
      <w:r w:rsidR="00D72F62">
        <w:t xml:space="preserve">an </w:t>
      </w:r>
      <w:r>
        <w:t>employer</w:t>
      </w:r>
      <w:r w:rsidR="00D72F62">
        <w:t xml:space="preserve"> </w:t>
      </w:r>
      <w:r>
        <w:t xml:space="preserve">should ask candidates if they require reasonable adjustments and facilitate </w:t>
      </w:r>
      <w:proofErr w:type="gramStart"/>
      <w:r>
        <w:t>these, and</w:t>
      </w:r>
      <w:proofErr w:type="gramEnd"/>
      <w:r>
        <w:t xml:space="preserve"> ensure that the physical location or online platforms being used for interviews are accessible.</w:t>
      </w:r>
    </w:p>
    <w:p w14:paraId="69EB3D78" w14:textId="646441D2" w:rsidR="001E063A" w:rsidRDefault="001E063A" w:rsidP="00A21529">
      <w:r>
        <w:t>The Commission’s</w:t>
      </w:r>
      <w:r w:rsidRPr="00F67758">
        <w:t xml:space="preserve"> </w:t>
      </w:r>
      <w:hyperlink r:id="rId32" w:anchor="_ednref1" w:history="1">
        <w:r w:rsidRPr="00385343">
          <w:rPr>
            <w:rStyle w:val="Collegamentoipertestuale"/>
            <w:bCs w:val="0"/>
            <w:color w:val="auto"/>
          </w:rPr>
          <w:t>IncludeAbility</w:t>
        </w:r>
        <w:r w:rsidRPr="00385343">
          <w:rPr>
            <w:rStyle w:val="Collegamentoipertestuale"/>
            <w:bCs w:val="0"/>
          </w:rPr>
          <w:t xml:space="preserve"> Attracting and Recruiting People with Disability to your Organisation Guide</w:t>
        </w:r>
      </w:hyperlink>
      <w:r>
        <w:t xml:space="preserve"> provides more information and advice to employers on these areas.</w:t>
      </w:r>
    </w:p>
    <w:p w14:paraId="00A207BA" w14:textId="6814C345" w:rsidR="001E063A" w:rsidRPr="00A21529" w:rsidRDefault="001E063A">
      <w:pPr>
        <w:pStyle w:val="Titolo2"/>
      </w:pPr>
      <w:bookmarkStart w:id="49" w:name="_Toc118316299"/>
      <w:r w:rsidRPr="00A21529">
        <w:t>Create an accessible and inclusive workplace</w:t>
      </w:r>
      <w:bookmarkEnd w:id="49"/>
    </w:p>
    <w:p w14:paraId="630F29F5" w14:textId="20694B49" w:rsidR="001E063A" w:rsidRDefault="001E063A" w:rsidP="001E063A">
      <w:r>
        <w:t xml:space="preserve">Recruitment should form only one aspect of an employer’s approach with respect to employing persons with disability. </w:t>
      </w:r>
      <w:r w:rsidR="00C766DC">
        <w:t>An e</w:t>
      </w:r>
      <w:r>
        <w:t>mployer should implement measures to create an accessible and inclusive workplace, not only to facilitate successful recruitment outcomes, but to actively foster the retention and advancement of talented employees with disability. For example, employers should:</w:t>
      </w:r>
    </w:p>
    <w:p w14:paraId="57C98F78" w14:textId="77777777" w:rsidR="001E063A" w:rsidRPr="00AB24DF" w:rsidRDefault="001E063A">
      <w:pPr>
        <w:pStyle w:val="Puntoelenco"/>
      </w:pPr>
      <w:r>
        <w:t>create accessible and inclusive induction programs, to establish a long-lasting relationship bui</w:t>
      </w:r>
      <w:r w:rsidRPr="00AB24DF">
        <w:t>lt on mutual respect</w:t>
      </w:r>
    </w:p>
    <w:p w14:paraId="6A91D05F" w14:textId="77777777" w:rsidR="001E063A" w:rsidRPr="00AB24DF" w:rsidRDefault="001E063A">
      <w:pPr>
        <w:pStyle w:val="Puntoelenco"/>
      </w:pPr>
      <w:r w:rsidRPr="00AB24DF">
        <w:t>ensure the physical accessibility of their workplace</w:t>
      </w:r>
      <w:r>
        <w:t>,</w:t>
      </w:r>
      <w:r w:rsidRPr="00AB24DF">
        <w:t xml:space="preserve"> including its overall accessibility, internal accessibility, signage and waiting and reception areas</w:t>
      </w:r>
    </w:p>
    <w:p w14:paraId="76F3CE49" w14:textId="77777777" w:rsidR="001E063A" w:rsidRPr="00AB24DF" w:rsidRDefault="001E063A">
      <w:pPr>
        <w:pStyle w:val="Puntoelenco"/>
      </w:pPr>
      <w:r w:rsidRPr="00AB24DF">
        <w:t>ensure equitable access to workplace technology</w:t>
      </w:r>
    </w:p>
    <w:p w14:paraId="24A86346" w14:textId="77777777" w:rsidR="005B0C9C" w:rsidRDefault="001E063A">
      <w:pPr>
        <w:pStyle w:val="Puntoelenco"/>
      </w:pPr>
      <w:r>
        <w:t>foster</w:t>
      </w:r>
      <w:r w:rsidRPr="00AB24DF">
        <w:t xml:space="preserve"> workplace attitudes </w:t>
      </w:r>
      <w:r>
        <w:t xml:space="preserve">that </w:t>
      </w:r>
      <w:r w:rsidRPr="00AB24DF">
        <w:t xml:space="preserve">support people with disability to feel welcome, </w:t>
      </w:r>
      <w:proofErr w:type="gramStart"/>
      <w:r w:rsidRPr="00AB24DF">
        <w:t>safe</w:t>
      </w:r>
      <w:proofErr w:type="gramEnd"/>
      <w:r w:rsidRPr="00AB24DF">
        <w:t xml:space="preserve"> and included at work</w:t>
      </w:r>
      <w:r>
        <w:t>,</w:t>
      </w:r>
      <w:r w:rsidRPr="00AB24DF">
        <w:t xml:space="preserve"> including </w:t>
      </w:r>
    </w:p>
    <w:p w14:paraId="14B31357" w14:textId="6AF54B32" w:rsidR="001E063A" w:rsidRPr="00AB24DF" w:rsidRDefault="001E063A">
      <w:pPr>
        <w:pStyle w:val="Puntoelenco"/>
      </w:pPr>
      <w:r w:rsidRPr="00AB24DF">
        <w:t xml:space="preserve">through all-staff training on diversity, inclusion disability and accessibility ensure that reasonable adjustments are made to work processes, </w:t>
      </w:r>
      <w:proofErr w:type="gramStart"/>
      <w:r w:rsidRPr="00AB24DF">
        <w:t>practices</w:t>
      </w:r>
      <w:proofErr w:type="gramEnd"/>
      <w:r w:rsidRPr="00AB24DF">
        <w:t xml:space="preserve"> or environments, to ensure employees with disability can perform their job, free from barriers</w:t>
      </w:r>
    </w:p>
    <w:p w14:paraId="34F9A74E" w14:textId="3BD40D30" w:rsidR="001E063A" w:rsidRPr="00AB24DF" w:rsidRDefault="001E063A">
      <w:pPr>
        <w:pStyle w:val="Puntoelenco"/>
      </w:pPr>
      <w:r w:rsidRPr="00AB24DF">
        <w:t>consider having a Disability Employee Network and a diversity inclusion officer role</w:t>
      </w:r>
    </w:p>
    <w:p w14:paraId="68943CBE" w14:textId="1336599B" w:rsidR="003F3ED2" w:rsidRDefault="001E063A">
      <w:pPr>
        <w:pStyle w:val="Puntoelenco"/>
      </w:pPr>
      <w:r w:rsidRPr="00AB24DF">
        <w:t>consider</w:t>
      </w:r>
      <w:r>
        <w:t xml:space="preserve"> implementing a Disability Action Plan.</w:t>
      </w:r>
    </w:p>
    <w:p w14:paraId="19EB23F6" w14:textId="5DA1C825" w:rsidR="001E063A" w:rsidRDefault="001E063A" w:rsidP="001E063A">
      <w:r>
        <w:t>For more information about measures that can be implemented to create inclusive and accessible workplaces, including for people with disability, please refer to:</w:t>
      </w:r>
    </w:p>
    <w:p w14:paraId="6CCF4D29" w14:textId="77777777" w:rsidR="001E063A" w:rsidRPr="00AB24DF" w:rsidRDefault="001E063A">
      <w:pPr>
        <w:pStyle w:val="Puntoelenco"/>
      </w:pPr>
      <w:r>
        <w:t xml:space="preserve">the Commission’s </w:t>
      </w:r>
      <w:hyperlink r:id="rId33">
        <w:r w:rsidRPr="66FF67C8">
          <w:rPr>
            <w:rStyle w:val="Collegamentoipertestuale"/>
            <w:color w:val="auto"/>
          </w:rPr>
          <w:t xml:space="preserve">IncludeAbility </w:t>
        </w:r>
        <w:r w:rsidRPr="66FF67C8">
          <w:rPr>
            <w:rStyle w:val="Collegamentoipertestuale"/>
          </w:rPr>
          <w:t>Creating</w:t>
        </w:r>
        <w:r w:rsidRPr="66FF67C8">
          <w:rPr>
            <w:rStyle w:val="Collegamentoipertestuale"/>
            <w:color w:val="auto"/>
          </w:rPr>
          <w:t xml:space="preserve"> </w:t>
        </w:r>
        <w:r w:rsidRPr="66FF67C8">
          <w:rPr>
            <w:rStyle w:val="Collegamentoipertestuale"/>
          </w:rPr>
          <w:t>an</w:t>
        </w:r>
        <w:r w:rsidRPr="66FF67C8">
          <w:rPr>
            <w:rStyle w:val="Collegamentoipertestuale"/>
            <w:color w:val="auto"/>
          </w:rPr>
          <w:t xml:space="preserve"> </w:t>
        </w:r>
        <w:r w:rsidRPr="66FF67C8">
          <w:rPr>
            <w:rStyle w:val="Collegamentoipertestuale"/>
          </w:rPr>
          <w:t>Accessible</w:t>
        </w:r>
        <w:r w:rsidRPr="66FF67C8">
          <w:rPr>
            <w:rStyle w:val="Collegamentoipertestuale"/>
            <w:color w:val="auto"/>
          </w:rPr>
          <w:t xml:space="preserve"> </w:t>
        </w:r>
        <w:r w:rsidRPr="66FF67C8">
          <w:rPr>
            <w:rStyle w:val="Collegamentoipertestuale"/>
          </w:rPr>
          <w:t>and Inclusive</w:t>
        </w:r>
        <w:r w:rsidRPr="66FF67C8">
          <w:rPr>
            <w:rStyle w:val="Collegamentoipertestuale"/>
            <w:color w:val="auto"/>
          </w:rPr>
          <w:t xml:space="preserve"> </w:t>
        </w:r>
        <w:r w:rsidRPr="66FF67C8">
          <w:rPr>
            <w:rStyle w:val="Collegamentoipertestuale"/>
          </w:rPr>
          <w:t>Workplace</w:t>
        </w:r>
        <w:r w:rsidRPr="66FF67C8">
          <w:rPr>
            <w:rStyle w:val="Collegamentoipertestuale"/>
            <w:color w:val="auto"/>
          </w:rPr>
          <w:t xml:space="preserve"> </w:t>
        </w:r>
        <w:r w:rsidRPr="66FF67C8">
          <w:rPr>
            <w:rStyle w:val="Collegamentoipertestuale"/>
          </w:rPr>
          <w:t>Guide</w:t>
        </w:r>
      </w:hyperlink>
    </w:p>
    <w:p w14:paraId="67D011F5" w14:textId="77777777" w:rsidR="001E063A" w:rsidRPr="00AB24DF" w:rsidRDefault="001E063A">
      <w:pPr>
        <w:pStyle w:val="Puntoelenco"/>
      </w:pPr>
      <w:r w:rsidRPr="00AB24DF">
        <w:t xml:space="preserve">the Commission’s </w:t>
      </w:r>
      <w:r>
        <w:t xml:space="preserve">IncludeAbility </w:t>
      </w:r>
      <w:hyperlink r:id="rId34" w:history="1">
        <w:r w:rsidRPr="00C87084">
          <w:rPr>
            <w:rStyle w:val="Collegamentoipertestuale"/>
          </w:rPr>
          <w:t>Creating an Accessible and Inclusive Induction Guide</w:t>
        </w:r>
      </w:hyperlink>
    </w:p>
    <w:p w14:paraId="7F122940" w14:textId="1C847534" w:rsidR="005B0C9C" w:rsidRPr="00F67758" w:rsidRDefault="001E063A" w:rsidP="005B0C9C">
      <w:pPr>
        <w:pStyle w:val="Puntoelenco"/>
      </w:pPr>
      <w:r>
        <w:t xml:space="preserve">the Commission’s </w:t>
      </w:r>
      <w:hyperlink r:id="rId35">
        <w:r w:rsidRPr="00C87084">
          <w:rPr>
            <w:rStyle w:val="Collegamentoipertestuale"/>
          </w:rPr>
          <w:t>Disability Action Plan Guide</w:t>
        </w:r>
      </w:hyperlink>
      <w:r w:rsidR="00AE049C">
        <w:t>.</w:t>
      </w:r>
    </w:p>
    <w:p w14:paraId="42C498A5" w14:textId="76041990" w:rsidR="003F3ED2" w:rsidRDefault="00335D3E" w:rsidP="002E582F">
      <w:pPr>
        <w:keepLines w:val="0"/>
        <w:spacing w:after="160" w:line="259" w:lineRule="auto"/>
      </w:pPr>
      <w:r>
        <w:br w:type="page"/>
      </w:r>
    </w:p>
    <w:p w14:paraId="1655A3F9" w14:textId="36F4AFE8" w:rsidR="001C232C" w:rsidRDefault="001C232C" w:rsidP="002E582F">
      <w:pPr>
        <w:keepLines w:val="0"/>
        <w:spacing w:after="160" w:line="259" w:lineRule="auto"/>
      </w:pPr>
      <w:r>
        <w:rPr>
          <w:noProof/>
        </w:rPr>
        <mc:AlternateContent>
          <mc:Choice Requires="wps">
            <w:drawing>
              <wp:inline distT="0" distB="0" distL="0" distR="0" wp14:anchorId="640D32D7" wp14:editId="696460F5">
                <wp:extent cx="5662800" cy="0"/>
                <wp:effectExtent l="0" t="12700" r="14605" b="12700"/>
                <wp:docPr id="61" name="Connettore 1 61" descr="Orange line to indicate start of text box"/>
                <wp:cNvGraphicFramePr/>
                <a:graphic xmlns:a="http://schemas.openxmlformats.org/drawingml/2006/main">
                  <a:graphicData uri="http://schemas.microsoft.com/office/word/2010/wordprocessingShape">
                    <wps:wsp>
                      <wps:cNvCnPr/>
                      <wps:spPr>
                        <a:xfrm>
                          <a:off x="0" y="0"/>
                          <a:ext cx="5662800"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inline>
            </w:drawing>
          </mc:Choice>
          <mc:Fallback>
            <w:pict>
              <v:line w14:anchorId="1264B4E4" id="Connettore 1 61" o:spid="_x0000_s1026" alt="Orange line to indicate start of text box" style="visibility:visible;mso-wrap-style:square;mso-left-percent:-10001;mso-top-percent:-10001;mso-position-horizontal:absolute;mso-position-horizontal-relative:char;mso-position-vertical:absolute;mso-position-vertical-relative:line;mso-left-percent:-10001;mso-top-percent:-10001" from="0,0" to="445.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" strokecolor="#f27166 [3207]" strokeweight="1.5pt">
                <v:stroke joinstyle="miter"/>
                <w10:anchorlock/>
              </v:line>
            </w:pict>
          </mc:Fallback>
        </mc:AlternateContent>
      </w:r>
    </w:p>
    <w:p w14:paraId="4F600739" w14:textId="77777777" w:rsidR="001C232C" w:rsidRDefault="001C232C" w:rsidP="00C87084">
      <w:pPr>
        <w:pStyle w:val="CaseStudyHeading1"/>
        <w:cnfStyle w:val="101000000000" w:firstRow="1" w:lastRow="0" w:firstColumn="1" w:lastColumn="0" w:oddVBand="0" w:evenVBand="0" w:oddHBand="0" w:evenHBand="0" w:firstRowFirstColumn="0" w:firstRowLastColumn="0" w:lastRowFirstColumn="0" w:lastRowLastColumn="0"/>
      </w:pPr>
      <w:r w:rsidRPr="00E230BD">
        <w:t xml:space="preserve">Case </w:t>
      </w:r>
      <w:r>
        <w:t>S</w:t>
      </w:r>
      <w:r w:rsidRPr="00E230BD">
        <w:t>tudy</w:t>
      </w:r>
    </w:p>
    <w:p w14:paraId="3201F026" w14:textId="77777777" w:rsidR="001C232C" w:rsidRPr="00F67758" w:rsidRDefault="001C232C" w:rsidP="00C87084">
      <w:pPr>
        <w:pStyle w:val="CaseStudyHeading2"/>
        <w:cnfStyle w:val="101000000000" w:firstRow="1" w:lastRow="0" w:firstColumn="1" w:lastColumn="0" w:oddVBand="0" w:evenVBand="0" w:oddHBand="0" w:evenHBand="0" w:firstRowFirstColumn="0" w:firstRowLastColumn="0" w:lastRowFirstColumn="0" w:lastRowLastColumn="0"/>
      </w:pPr>
      <w:r w:rsidRPr="00E230BD">
        <w:t>PwC Australia</w:t>
      </w:r>
    </w:p>
    <w:p w14:paraId="0F669E80" w14:textId="77777777" w:rsidR="001C232C" w:rsidRPr="00E51164" w:rsidRDefault="001C232C" w:rsidP="00C87084">
      <w:pPr>
        <w:pStyle w:val="CaseStudyText"/>
        <w:cnfStyle w:val="101000000000" w:firstRow="1" w:lastRow="0" w:firstColumn="1" w:lastColumn="0" w:oddVBand="0" w:evenVBand="0" w:oddHBand="0" w:evenHBand="0" w:firstRowFirstColumn="0" w:firstRowLastColumn="0" w:lastRowFirstColumn="0" w:lastRowLastColumn="0"/>
      </w:pPr>
      <w:r w:rsidRPr="00E51164">
        <w:t>Under its recently revised access and inclusion plan, one of PwC Australia’s goals is to become an employer of choice for candidates with disability. It aims to do this by:</w:t>
      </w:r>
    </w:p>
    <w:p w14:paraId="6EDB4CEB" w14:textId="77777777" w:rsidR="001C232C" w:rsidRPr="008E6D23" w:rsidRDefault="001C232C">
      <w:pPr>
        <w:pStyle w:val="Puntoelenco"/>
        <w:cnfStyle w:val="101000000000" w:firstRow="1" w:lastRow="0" w:firstColumn="1" w:lastColumn="0" w:oddVBand="0" w:evenVBand="0" w:oddHBand="0" w:evenHBand="0" w:firstRowFirstColumn="0" w:firstRowLastColumn="0" w:lastRowFirstColumn="0" w:lastRowLastColumn="0"/>
      </w:pPr>
      <w:r>
        <w:t>r</w:t>
      </w:r>
      <w:r w:rsidRPr="008E6D23">
        <w:t>unning targeted recruitment campaigns and connecting with universities through disability support services on campus</w:t>
      </w:r>
    </w:p>
    <w:p w14:paraId="6E22CAF4" w14:textId="77777777" w:rsidR="001C232C" w:rsidRPr="008E6D23" w:rsidRDefault="001C232C">
      <w:pPr>
        <w:pStyle w:val="Puntoelenco"/>
        <w:cnfStyle w:val="101000000000" w:firstRow="1" w:lastRow="0" w:firstColumn="1" w:lastColumn="0" w:oddVBand="0" w:evenVBand="0" w:oddHBand="0" w:evenHBand="0" w:firstRowFirstColumn="0" w:firstRowLastColumn="0" w:lastRowFirstColumn="0" w:lastRowLastColumn="0"/>
      </w:pPr>
      <w:r>
        <w:t>p</w:t>
      </w:r>
      <w:r w:rsidRPr="008E6D23">
        <w:t>articipating in external disability employment campaigns, media and speaking opportunities</w:t>
      </w:r>
    </w:p>
    <w:p w14:paraId="47D0EEF2" w14:textId="77777777" w:rsidR="001C232C" w:rsidRPr="008E6D23" w:rsidRDefault="001C232C">
      <w:pPr>
        <w:pStyle w:val="Puntoelenco"/>
        <w:cnfStyle w:val="101000000000" w:firstRow="1" w:lastRow="0" w:firstColumn="1" w:lastColumn="0" w:oddVBand="0" w:evenVBand="0" w:oddHBand="0" w:evenHBand="0" w:firstRowFirstColumn="0" w:firstRowLastColumn="0" w:lastRowFirstColumn="0" w:lastRowLastColumn="0"/>
      </w:pPr>
      <w:r>
        <w:t>i</w:t>
      </w:r>
      <w:r w:rsidRPr="008E6D23">
        <w:t>ncreasing accessibility at all stages of recruitment and on-boarding including mandatory disability confidence training for recruiters</w:t>
      </w:r>
    </w:p>
    <w:p w14:paraId="356BA0F1" w14:textId="77777777" w:rsidR="001C232C" w:rsidRDefault="001C232C">
      <w:pPr>
        <w:pStyle w:val="Puntoelenco"/>
        <w:cnfStyle w:val="101000000000" w:firstRow="1" w:lastRow="0" w:firstColumn="1" w:lastColumn="0" w:oddVBand="0" w:evenVBand="0" w:oddHBand="0" w:evenHBand="0" w:firstRowFirstColumn="0" w:firstRowLastColumn="0" w:lastRowFirstColumn="0" w:lastRowLastColumn="0"/>
      </w:pPr>
      <w:r>
        <w:t>c</w:t>
      </w:r>
      <w:r w:rsidRPr="008E6D23">
        <w:t>ontinuing to provide support and training for people conducting interviews with candidates with a disability, for example disability confidence training and unconscious bias training</w:t>
      </w:r>
    </w:p>
    <w:p w14:paraId="36D45EBA" w14:textId="10C087F2" w:rsidR="001C232C" w:rsidRDefault="001C232C" w:rsidP="000B4782">
      <w:pPr>
        <w:pStyle w:val="Puntoelenco"/>
        <w:cnfStyle w:val="101000000000" w:firstRow="1" w:lastRow="0" w:firstColumn="1" w:lastColumn="0" w:oddVBand="0" w:evenVBand="0" w:oddHBand="0" w:evenHBand="0" w:firstRowFirstColumn="0" w:firstRowLastColumn="0" w:lastRowFirstColumn="0" w:lastRowLastColumn="0"/>
      </w:pPr>
      <w:r>
        <w:t>e</w:t>
      </w:r>
      <w:r w:rsidRPr="00E51164">
        <w:t>ncouraging people with disability to disclose their disability and any reasonable adjustments during the recruitment process and throughout their employment.</w:t>
      </w:r>
      <w:r w:rsidRPr="00E51164">
        <w:rPr>
          <w:rStyle w:val="Rimandonotadichiusura"/>
        </w:rPr>
        <w:endnoteReference w:id="32"/>
      </w:r>
    </w:p>
    <w:p w14:paraId="7CAF8EBE" w14:textId="6387F22F" w:rsidR="001C232C" w:rsidRDefault="001C232C" w:rsidP="000B4782">
      <w:r>
        <w:rPr>
          <w:noProof/>
        </w:rPr>
        <mc:AlternateContent>
          <mc:Choice Requires="wps">
            <w:drawing>
              <wp:inline distT="0" distB="0" distL="0" distR="0" wp14:anchorId="7162E085" wp14:editId="662C5DEB">
                <wp:extent cx="5662800" cy="0"/>
                <wp:effectExtent l="0" t="12700" r="14605" b="12700"/>
                <wp:docPr id="64" name="Connettore 1 64" descr="Orange line to indicate end of text box&#10;"/>
                <wp:cNvGraphicFramePr/>
                <a:graphic xmlns:a="http://schemas.openxmlformats.org/drawingml/2006/main">
                  <a:graphicData uri="http://schemas.microsoft.com/office/word/2010/wordprocessingShape">
                    <wps:wsp>
                      <wps:cNvCnPr/>
                      <wps:spPr>
                        <a:xfrm>
                          <a:off x="0" y="0"/>
                          <a:ext cx="5662800"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inline>
            </w:drawing>
          </mc:Choice>
          <mc:Fallback>
            <w:pict>
              <v:line w14:anchorId="4F314EA9" id="Connettore 1 64" o:spid="_x0000_s1026" alt="Orange line to indicate end of text box&#10;" style="visibility:visible;mso-wrap-style:square;mso-left-percent:-10001;mso-top-percent:-10001;mso-position-horizontal:absolute;mso-position-horizontal-relative:char;mso-position-vertical:absolute;mso-position-vertical-relative:line;mso-left-percent:-10001;mso-top-percent:-10001" from="0,0" to="445.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" strokecolor="#f27166 [3207]" strokeweight="1.5pt">
                <v:stroke joinstyle="miter"/>
                <w10:anchorlock/>
              </v:line>
            </w:pict>
          </mc:Fallback>
        </mc:AlternateContent>
      </w:r>
    </w:p>
    <w:p w14:paraId="52B368B0" w14:textId="0C42E09D" w:rsidR="000B4782" w:rsidRDefault="00FE1231" w:rsidP="000B4782">
      <w:r>
        <w:br w:type="page"/>
      </w:r>
    </w:p>
    <w:p w14:paraId="011C6096" w14:textId="7485F921" w:rsidR="001E063A" w:rsidRDefault="001E063A">
      <w:pPr>
        <w:pStyle w:val="Titolo1"/>
      </w:pPr>
      <w:bookmarkStart w:id="50" w:name="_Toc118316300"/>
      <w:r>
        <w:t>Applying for statutory exemptions</w:t>
      </w:r>
      <w:bookmarkEnd w:id="50"/>
    </w:p>
    <w:p w14:paraId="38B2073A" w14:textId="37D6F59E" w:rsidR="001E063A" w:rsidRDefault="00F17026" w:rsidP="001E063A">
      <w:r>
        <w:t xml:space="preserve">If a targeted recruitment strategy is a special measure under the </w:t>
      </w:r>
      <w:r w:rsidR="00433EE2">
        <w:t xml:space="preserve">federal </w:t>
      </w:r>
      <w:r w:rsidRPr="00254E03">
        <w:rPr>
          <w:bCs w:val="0"/>
        </w:rPr>
        <w:t>Disability Discrimination Act</w:t>
      </w:r>
      <w:r>
        <w:t>, it is not necessary to apply to the Commission for a statutory exemption</w:t>
      </w:r>
      <w:r w:rsidR="001E063A">
        <w:t>.</w:t>
      </w:r>
      <w:r w:rsidR="001E063A">
        <w:rPr>
          <w:rStyle w:val="Rimandonotadichiusura"/>
        </w:rPr>
        <w:endnoteReference w:id="33"/>
      </w:r>
      <w:r w:rsidR="001E063A">
        <w:t xml:space="preserve"> This is because special measures are lawful under the </w:t>
      </w:r>
      <w:r w:rsidR="001E063A" w:rsidRPr="00254E03">
        <w:rPr>
          <w:bCs w:val="0"/>
        </w:rPr>
        <w:t>Disability Discrimination Act</w:t>
      </w:r>
      <w:r w:rsidR="001E063A">
        <w:t xml:space="preserve"> and the statutory exemption process is concerned with potentially unlawful conduct.</w:t>
      </w:r>
    </w:p>
    <w:p w14:paraId="20CC0069" w14:textId="77777777" w:rsidR="001E063A" w:rsidRDefault="001E063A" w:rsidP="001E063A">
      <w:r>
        <w:t xml:space="preserve">Statutory exemptions under section 55 of the </w:t>
      </w:r>
      <w:r w:rsidRPr="00254E03">
        <w:rPr>
          <w:bCs w:val="0"/>
        </w:rPr>
        <w:t>Disability Discrimination Act</w:t>
      </w:r>
      <w:r>
        <w:t xml:space="preserve"> are temporary in nature and are generally only granted where an applicant is currently not fully compliant with its requirements under the </w:t>
      </w:r>
      <w:r w:rsidRPr="00254E03">
        <w:rPr>
          <w:bCs w:val="0"/>
        </w:rPr>
        <w:t>Disability Discrimination Act</w:t>
      </w:r>
      <w:r>
        <w:t xml:space="preserve"> but can demonstrate that it is actively taking steps towards full compliance (for example steps to ensure the accessibility of buildings or public transport). Temporary exemptions are not granted for conduct that is ongoing and potentially indefinite. The Commission’s practice is not to grant temporary exemptions for conduct that is or could be a special measure.</w:t>
      </w:r>
    </w:p>
    <w:p w14:paraId="4D386DE5" w14:textId="1B6D46A3" w:rsidR="001E063A" w:rsidRDefault="001E063A" w:rsidP="001E063A">
      <w:r>
        <w:t xml:space="preserve">In most states and territories, seeking a statutory exemption is also unnecessary for a targeted recruitment strategy </w:t>
      </w:r>
      <w:r w:rsidR="007912CC">
        <w:t xml:space="preserve">that </w:t>
      </w:r>
      <w:r>
        <w:t xml:space="preserve">constitutes a special measure. The situation is, however, different in </w:t>
      </w:r>
      <w:r w:rsidR="00391784">
        <w:t>NSW</w:t>
      </w:r>
      <w:r>
        <w:t>, where there are no special measures exceptions, and in Tasmania where, even though special measures exceptions exist, seeking a statutory exemption is nevertheless recommended. This is explained below.</w:t>
      </w:r>
    </w:p>
    <w:p w14:paraId="08DCDB69" w14:textId="5D86B115" w:rsidR="001E063A" w:rsidRDefault="001E063A" w:rsidP="00E96AD1">
      <w:pPr>
        <w:pStyle w:val="Titolo2"/>
        <w:spacing w:before="0"/>
      </w:pPr>
      <w:bookmarkStart w:id="51" w:name="_Toc118316301"/>
      <w:r>
        <w:t xml:space="preserve">New </w:t>
      </w:r>
      <w:r w:rsidRPr="003F3ED2">
        <w:t>South</w:t>
      </w:r>
      <w:r>
        <w:t xml:space="preserve"> Wales</w:t>
      </w:r>
      <w:bookmarkEnd w:id="51"/>
    </w:p>
    <w:p w14:paraId="1BDA103B" w14:textId="70BB6D58" w:rsidR="001E063A" w:rsidRDefault="001E063A" w:rsidP="001E063A">
      <w:r>
        <w:t xml:space="preserve">The </w:t>
      </w:r>
      <w:r w:rsidRPr="00C87084">
        <w:rPr>
          <w:rStyle w:val="Enfasicorsivo"/>
        </w:rPr>
        <w:t>Anti-Discrimination Act 1977</w:t>
      </w:r>
      <w:r>
        <w:t xml:space="preserve"> (NSW) (</w:t>
      </w:r>
      <w:r w:rsidRPr="00C87084">
        <w:rPr>
          <w:rStyle w:val="Enfasigrassetto"/>
        </w:rPr>
        <w:t>the NSW Act</w:t>
      </w:r>
      <w:r>
        <w:t>) does not contain special measures provisions. In NSW, an employer wanting to conduct a targeted recruitment strategy for people with disability may need to apply for a statutory exemption under the NSW Act, however there are some exceptions that may apply.</w:t>
      </w:r>
    </w:p>
    <w:p w14:paraId="17AD6D0B" w14:textId="0C93ADE7" w:rsidR="001E063A" w:rsidRDefault="001E063A" w:rsidP="001E063A">
      <w:r>
        <w:t>Anti-Discrimination NSW has information on its website about how to apply for an exemption to the NSW Act.</w:t>
      </w:r>
      <w:r>
        <w:rPr>
          <w:rStyle w:val="Rimandonotadichiusura"/>
        </w:rPr>
        <w:endnoteReference w:id="34"/>
      </w:r>
      <w:r>
        <w:t xml:space="preserve"> Generally, an employer does not require an exemption from the NSW Act for undertaking targeted recruitment for </w:t>
      </w:r>
      <w:r w:rsidRPr="00C87084">
        <w:rPr>
          <w:rStyle w:val="Enfasigrassetto"/>
        </w:rPr>
        <w:t>all</w:t>
      </w:r>
      <w:r>
        <w:t xml:space="preserve"> people with disabilities, but only if an employer wants to specify a particular </w:t>
      </w:r>
      <w:r w:rsidRPr="00C87084">
        <w:rPr>
          <w:rStyle w:val="Enfasigrassetto"/>
        </w:rPr>
        <w:t>type</w:t>
      </w:r>
      <w:r>
        <w:t xml:space="preserve"> of disability. For example, if an employer wants to recruit for a person with lived experience of an intellectual disability</w:t>
      </w:r>
      <w:r w:rsidR="00E266A8">
        <w:t>,</w:t>
      </w:r>
      <w:r w:rsidR="00BD5960">
        <w:t xml:space="preserve"> an exemption should be sought</w:t>
      </w:r>
      <w:r>
        <w:t>.</w:t>
      </w:r>
    </w:p>
    <w:p w14:paraId="733D0F04" w14:textId="77777777" w:rsidR="001E063A" w:rsidRDefault="001E063A" w:rsidP="00F16368">
      <w:pPr>
        <w:pStyle w:val="Normal-12ptafter"/>
      </w:pPr>
      <w:r>
        <w:t>Anti-Discrimination NSW’s website explains:</w:t>
      </w:r>
    </w:p>
    <w:p w14:paraId="08760C5C" w14:textId="77777777" w:rsidR="001E063A" w:rsidRDefault="001E063A" w:rsidP="00550FCC">
      <w:pPr>
        <w:pStyle w:val="Citazioneintensa"/>
        <w:pBdr>
          <w:left w:val="single" w:sz="36" w:space="12" w:color="F27166" w:themeColor="accent4"/>
        </w:pBdr>
      </w:pPr>
      <w:r>
        <w:t xml:space="preserve">An exemption is an approval that is granted by us under section 126 of the Act, giving permission to favour a particular group of people relating to specific jobs, </w:t>
      </w:r>
      <w:proofErr w:type="gramStart"/>
      <w:r>
        <w:t>programs</w:t>
      </w:r>
      <w:proofErr w:type="gramEnd"/>
      <w:r>
        <w:t xml:space="preserve"> or services. Exemptions generally relate to employment and recruitment; however, you can apply for an exemption in relation to any area covered by the Act.</w:t>
      </w:r>
      <w:r w:rsidRPr="00F67758">
        <w:rPr>
          <w:rStyle w:val="Rimandonotadichiusura"/>
        </w:rPr>
        <w:endnoteReference w:id="35"/>
      </w:r>
    </w:p>
    <w:p w14:paraId="33C4DB4C" w14:textId="4A3B8EB1" w:rsidR="001E063A" w:rsidRDefault="001E063A" w:rsidP="00F16368">
      <w:pPr>
        <w:pStyle w:val="Normal-12ptbefore"/>
      </w:pPr>
      <w:r>
        <w:t xml:space="preserve">Anti-Discrimination NSW lists the information an employer must provide to the President as part of </w:t>
      </w:r>
      <w:r w:rsidR="00E266A8">
        <w:t xml:space="preserve">its </w:t>
      </w:r>
      <w:r>
        <w:t xml:space="preserve">application, and the six criteria that the employer must address </w:t>
      </w:r>
      <w:r w:rsidR="00E266A8">
        <w:t xml:space="preserve">in </w:t>
      </w:r>
      <w:r>
        <w:t>its application to the President.</w:t>
      </w:r>
    </w:p>
    <w:p w14:paraId="221DBD17" w14:textId="7CDB1FCC" w:rsidR="001E063A" w:rsidRDefault="00880A3B" w:rsidP="001E063A">
      <w:r>
        <w:t>Much of the information mentioned in the Guidelines regarding how to establish special measure will be relevant to an application for an exemption under section 126 of the NSW Act.</w:t>
      </w:r>
    </w:p>
    <w:p w14:paraId="69EBE3F5" w14:textId="77777777" w:rsidR="001E063A" w:rsidRDefault="001E063A" w:rsidP="001E063A">
      <w:r>
        <w:t>For example, to be granted an application the employer must address:</w:t>
      </w:r>
    </w:p>
    <w:p w14:paraId="19952E95" w14:textId="77777777" w:rsidR="001E063A" w:rsidRPr="00C87084" w:rsidRDefault="001E063A">
      <w:pPr>
        <w:pStyle w:val="Puntoelenco"/>
      </w:pPr>
      <w:r w:rsidRPr="00C87084">
        <w:t xml:space="preserve">information about its organisation and what the organisation does, including information in relation to the organisational structure and the </w:t>
      </w:r>
      <w:proofErr w:type="gramStart"/>
      <w:r w:rsidRPr="00C87084">
        <w:t>particular position</w:t>
      </w:r>
      <w:proofErr w:type="gramEnd"/>
      <w:r w:rsidRPr="00C87084">
        <w:t xml:space="preserve"> that is being recruited</w:t>
      </w:r>
    </w:p>
    <w:p w14:paraId="0B28D848" w14:textId="77777777" w:rsidR="001E063A" w:rsidRPr="00C87084" w:rsidRDefault="001E063A">
      <w:pPr>
        <w:pStyle w:val="Puntoelenco"/>
      </w:pPr>
      <w:r w:rsidRPr="00C87084">
        <w:t>how long the employer would like the exemption for and the reasons for that length of time</w:t>
      </w:r>
    </w:p>
    <w:p w14:paraId="38FE06F1" w14:textId="69DE04F9" w:rsidR="001E063A" w:rsidRPr="00C87084" w:rsidRDefault="001E063A">
      <w:pPr>
        <w:pStyle w:val="Puntoelenco"/>
      </w:pPr>
      <w:r w:rsidRPr="00C87084">
        <w:t>the scope and terms of the exemption (for example, details of the positions be</w:t>
      </w:r>
      <w:r w:rsidR="00242CA3">
        <w:t>ing</w:t>
      </w:r>
      <w:r w:rsidRPr="00C87084">
        <w:t xml:space="preserve"> recruited, and/or a copy of the relevant position description)</w:t>
      </w:r>
    </w:p>
    <w:p w14:paraId="580652EC" w14:textId="5EEF1413" w:rsidR="00571F06" w:rsidRPr="00571F06" w:rsidRDefault="001E063A" w:rsidP="00571F06">
      <w:pPr>
        <w:pStyle w:val="Puntoelenco"/>
      </w:pPr>
      <w:r w:rsidRPr="00C87084">
        <w:t>an outline of how the proposed exemption meets the criteria in the regulation.</w:t>
      </w:r>
      <w:r w:rsidRPr="00C87084">
        <w:rPr>
          <w:rStyle w:val="Rimandonotadichiusura"/>
        </w:rPr>
        <w:endnoteReference w:id="36"/>
      </w:r>
    </w:p>
    <w:p w14:paraId="02FA8FD1" w14:textId="13446319" w:rsidR="001E063A" w:rsidRDefault="001E063A" w:rsidP="001E063A">
      <w:r>
        <w:t xml:space="preserve">In addition, the President must </w:t>
      </w:r>
      <w:proofErr w:type="gramStart"/>
      <w:r>
        <w:t>take into account</w:t>
      </w:r>
      <w:proofErr w:type="gramEnd"/>
      <w:r>
        <w:t xml:space="preserve"> the following six factors when assessing an exemption application, </w:t>
      </w:r>
      <w:r w:rsidR="00242CA3">
        <w:t xml:space="preserve">all of </w:t>
      </w:r>
      <w:r>
        <w:t xml:space="preserve">which should be addressed by the employer in its application: </w:t>
      </w:r>
    </w:p>
    <w:p w14:paraId="616BF69A" w14:textId="77777777" w:rsidR="001E063A" w:rsidRPr="007E77F2" w:rsidRDefault="001E063A">
      <w:pPr>
        <w:pStyle w:val="Puntoelenco"/>
      </w:pPr>
      <w:r>
        <w:t>whet</w:t>
      </w:r>
      <w:r w:rsidRPr="007E77F2">
        <w:t>her the proposed exemption is appropriate or reasonable</w:t>
      </w:r>
    </w:p>
    <w:p w14:paraId="05E05C33" w14:textId="77777777" w:rsidR="001E063A" w:rsidRPr="007E77F2" w:rsidRDefault="001E063A">
      <w:pPr>
        <w:pStyle w:val="Puntoelenco"/>
      </w:pPr>
      <w:r w:rsidRPr="007E77F2">
        <w:t>whether the proposed exemption is necessary</w:t>
      </w:r>
    </w:p>
    <w:p w14:paraId="0B3DCA60" w14:textId="77777777" w:rsidR="001E063A" w:rsidRPr="007E77F2" w:rsidRDefault="001E063A">
      <w:pPr>
        <w:pStyle w:val="Puntoelenco"/>
      </w:pPr>
      <w:r w:rsidRPr="007E77F2">
        <w:t>whether there are any non-discriminatory ways of achieving the objects or purposes for which the proposed exemption is sought</w:t>
      </w:r>
    </w:p>
    <w:p w14:paraId="5C89810A" w14:textId="77777777" w:rsidR="001E063A" w:rsidRPr="007E77F2" w:rsidRDefault="001E063A">
      <w:pPr>
        <w:pStyle w:val="Puntoelenco"/>
      </w:pPr>
      <w:r w:rsidRPr="007E77F2">
        <w:t>whether the proponent of the proposed exemption has taken reasonable steps, or is able to take any reasonable steps, to avoid or reduce the adverse effect of a particular act or action before seeking the exemption</w:t>
      </w:r>
    </w:p>
    <w:p w14:paraId="2228575E" w14:textId="77777777" w:rsidR="001E063A" w:rsidRPr="007E77F2" w:rsidRDefault="001E063A">
      <w:pPr>
        <w:pStyle w:val="Puntoelenco"/>
      </w:pPr>
      <w:r w:rsidRPr="007E77F2">
        <w:t>the public, business, social or other community impact of the granting of the proposed exemption</w:t>
      </w:r>
    </w:p>
    <w:p w14:paraId="00AC78DC" w14:textId="1D342090" w:rsidR="001E063A" w:rsidRDefault="001E063A">
      <w:pPr>
        <w:pStyle w:val="Puntoelenco"/>
      </w:pPr>
      <w:r w:rsidRPr="007E77F2">
        <w:t>any c</w:t>
      </w:r>
      <w:r>
        <w:t>onditions or limitations to be contained in the proposed exemption.</w:t>
      </w:r>
    </w:p>
    <w:p w14:paraId="5F821A12" w14:textId="77777777" w:rsidR="003F3ED2" w:rsidRPr="00F67758" w:rsidRDefault="00242CA3" w:rsidP="001E063A">
      <w:r w:rsidRPr="00F67758">
        <w:t>An e</w:t>
      </w:r>
      <w:r w:rsidR="009D1B1F" w:rsidRPr="00F67758">
        <w:t>mployer recruiting in NSW should also be able to show that a targeted recruitment strategy for people with disability meets the requirements of a special measure under the federal Disability</w:t>
      </w:r>
      <w:r w:rsidR="009D1B1F" w:rsidRPr="00254E03">
        <w:rPr>
          <w:bCs w:val="0"/>
        </w:rPr>
        <w:t xml:space="preserve"> Discrimination </w:t>
      </w:r>
      <w:r w:rsidR="009D1B1F" w:rsidRPr="00F67758">
        <w:t xml:space="preserve">Act (set out in Part </w:t>
      </w:r>
      <w:r w:rsidR="007F07BD" w:rsidRPr="00F67758">
        <w:t>4</w:t>
      </w:r>
      <w:r w:rsidR="009D1B1F" w:rsidRPr="00F67758">
        <w:t xml:space="preserve"> of the Guidelines), even if </w:t>
      </w:r>
      <w:r w:rsidRPr="00F67758">
        <w:t>it is</w:t>
      </w:r>
      <w:r w:rsidR="009D1B1F" w:rsidRPr="00F67758">
        <w:t xml:space="preserve"> granted an exemption from the NSW Act. This is because an employer recruiting in NSW must comply with both the NSW Act and the Disability Discrimination Act</w:t>
      </w:r>
      <w:r w:rsidR="006025AF" w:rsidRPr="00F67758">
        <w:t>.</w:t>
      </w:r>
    </w:p>
    <w:p w14:paraId="47D7004C" w14:textId="448DD9B9" w:rsidR="001C232C" w:rsidRDefault="005B0C9C" w:rsidP="003F3ED2">
      <w:pPr>
        <w:keepLines w:val="0"/>
        <w:spacing w:after="160" w:line="259" w:lineRule="auto"/>
      </w:pPr>
      <w:r>
        <w:br w:type="page"/>
      </w:r>
    </w:p>
    <w:p w14:paraId="2ED795CE" w14:textId="2F485567" w:rsidR="001C232C" w:rsidRPr="00930FFF" w:rsidRDefault="001C232C" w:rsidP="003F3ED2">
      <w:pPr>
        <w:keepLines w:val="0"/>
        <w:spacing w:after="160" w:line="259" w:lineRule="auto"/>
      </w:pPr>
      <w:r>
        <w:rPr>
          <w:noProof/>
        </w:rPr>
        <mc:AlternateContent>
          <mc:Choice Requires="wps">
            <w:drawing>
              <wp:inline distT="0" distB="0" distL="0" distR="0" wp14:anchorId="050112E2" wp14:editId="153E2000">
                <wp:extent cx="5662800" cy="0"/>
                <wp:effectExtent l="0" t="12700" r="14605" b="12700"/>
                <wp:docPr id="68" name="Connettore 1 68" descr="Orange line to indicate start of text box"/>
                <wp:cNvGraphicFramePr/>
                <a:graphic xmlns:a="http://schemas.openxmlformats.org/drawingml/2006/main">
                  <a:graphicData uri="http://schemas.microsoft.com/office/word/2010/wordprocessingShape">
                    <wps:wsp>
                      <wps:cNvCnPr/>
                      <wps:spPr>
                        <a:xfrm>
                          <a:off x="0" y="0"/>
                          <a:ext cx="5662800"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inline>
            </w:drawing>
          </mc:Choice>
          <mc:Fallback>
            <w:pict>
              <v:line w14:anchorId="5BE9611B" id="Connettore 1 68" o:spid="_x0000_s1026" alt="Orange line to indicate start of text box" style="visibility:visible;mso-wrap-style:square;mso-left-percent:-10001;mso-top-percent:-10001;mso-position-horizontal:absolute;mso-position-horizontal-relative:char;mso-position-vertical:absolute;mso-position-vertical-relative:line;mso-left-percent:-10001;mso-top-percent:-10001" from="0,0" to="445.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" strokecolor="#f27166 [3207]" strokeweight="1.5pt">
                <v:stroke joinstyle="miter"/>
                <w10:anchorlock/>
              </v:line>
            </w:pict>
          </mc:Fallback>
        </mc:AlternateContent>
      </w:r>
    </w:p>
    <w:p w14:paraId="08CCDE4D" w14:textId="77777777" w:rsidR="001C232C" w:rsidRDefault="001C232C" w:rsidP="00C87084">
      <w:pPr>
        <w:pStyle w:val="CaseStudyHeading1"/>
        <w:cnfStyle w:val="101000000000" w:firstRow="1" w:lastRow="0" w:firstColumn="1" w:lastColumn="0" w:oddVBand="0" w:evenVBand="0" w:oddHBand="0" w:evenHBand="0" w:firstRowFirstColumn="0" w:firstRowLastColumn="0" w:lastRowFirstColumn="0" w:lastRowLastColumn="0"/>
      </w:pPr>
      <w:r w:rsidRPr="00B9482F">
        <w:t xml:space="preserve">Case </w:t>
      </w:r>
      <w:r w:rsidRPr="00402543">
        <w:t>Study</w:t>
      </w:r>
    </w:p>
    <w:p w14:paraId="3678E074" w14:textId="77777777" w:rsidR="001C232C" w:rsidRPr="00F67758" w:rsidRDefault="001C232C" w:rsidP="00C87084">
      <w:pPr>
        <w:pStyle w:val="CaseStudyHeading2"/>
        <w:cnfStyle w:val="101000000000" w:firstRow="1" w:lastRow="0" w:firstColumn="1" w:lastColumn="0" w:oddVBand="0" w:evenVBand="0" w:oddHBand="0" w:evenHBand="0" w:firstRowFirstColumn="0" w:firstRowLastColumn="0" w:lastRowFirstColumn="0" w:lastRowLastColumn="0"/>
      </w:pPr>
      <w:r w:rsidRPr="00B9482F">
        <w:t>Recent NSW exemptions</w:t>
      </w:r>
    </w:p>
    <w:p w14:paraId="5647899F" w14:textId="77777777" w:rsidR="001C232C" w:rsidRPr="004E4A1B" w:rsidRDefault="001C232C" w:rsidP="00C87084">
      <w:pPr>
        <w:pStyle w:val="CaseStudyText"/>
        <w:cnfStyle w:val="101000000000" w:firstRow="1" w:lastRow="0" w:firstColumn="1" w:lastColumn="0" w:oddVBand="0" w:evenVBand="0" w:oddHBand="0" w:evenHBand="0" w:firstRowFirstColumn="0" w:firstRowLastColumn="0" w:lastRowFirstColumn="0" w:lastRowLastColumn="0"/>
      </w:pPr>
      <w:r w:rsidRPr="004E4A1B">
        <w:t xml:space="preserve">Anti-Discrimination NSW highlights several examples of section 126 statutory exemptions granted to support targeted recruitment of persons with </w:t>
      </w:r>
      <w:r>
        <w:t xml:space="preserve">specific </w:t>
      </w:r>
      <w:r w:rsidRPr="004E4A1B">
        <w:t>disabilit</w:t>
      </w:r>
      <w:r>
        <w:t>ies</w:t>
      </w:r>
      <w:r w:rsidRPr="004E4A1B">
        <w:t xml:space="preserve">. </w:t>
      </w:r>
    </w:p>
    <w:p w14:paraId="11777D8B" w14:textId="77777777" w:rsidR="001C232C" w:rsidRPr="00166F61" w:rsidRDefault="001C232C">
      <w:pPr>
        <w:pStyle w:val="Puntoelenco"/>
        <w:cnfStyle w:val="101000000000" w:firstRow="1" w:lastRow="0" w:firstColumn="1" w:lastColumn="0" w:oddVBand="0" w:evenVBand="0" w:oddHBand="0" w:evenHBand="0" w:firstRowFirstColumn="0" w:firstRowLastColumn="0" w:lastRowFirstColumn="0" w:lastRowLastColumn="0"/>
      </w:pPr>
      <w:r w:rsidRPr="00C87084">
        <w:rPr>
          <w:rStyle w:val="Enfasigrassetto"/>
        </w:rPr>
        <w:t xml:space="preserve">University of </w:t>
      </w:r>
      <w:r>
        <w:rPr>
          <w:rStyle w:val="Enfasigrassetto"/>
        </w:rPr>
        <w:t>NSW</w:t>
      </w:r>
      <w:r w:rsidRPr="00166F61">
        <w:t xml:space="preserve"> </w:t>
      </w:r>
      <w:r>
        <w:t>–</w:t>
      </w:r>
      <w:r w:rsidRPr="00166F61">
        <w:t xml:space="preserve"> granted an exemption in 2021 for three years to advertise, designate and recruit a project administrator who self identifies as having a lived experience of an intellectual disability</w:t>
      </w:r>
      <w:r>
        <w:t>.</w:t>
      </w:r>
    </w:p>
    <w:p w14:paraId="3017FCBD" w14:textId="77777777" w:rsidR="001C232C" w:rsidRPr="004E4A1B" w:rsidRDefault="001C232C">
      <w:pPr>
        <w:pStyle w:val="Puntoelenco"/>
        <w:cnfStyle w:val="101000000000" w:firstRow="1" w:lastRow="0" w:firstColumn="1" w:lastColumn="0" w:oddVBand="0" w:evenVBand="0" w:oddHBand="0" w:evenHBand="0" w:firstRowFirstColumn="0" w:firstRowLastColumn="0" w:lastRowFirstColumn="0" w:lastRowLastColumn="0"/>
      </w:pPr>
      <w:r w:rsidRPr="00C87084">
        <w:rPr>
          <w:rStyle w:val="Enfasigrassetto"/>
        </w:rPr>
        <w:t>Transport for NSW Cluster</w:t>
      </w:r>
      <w:r w:rsidRPr="00166F61">
        <w:t xml:space="preserve"> (comprising Transport for NSW, the State Transit Authority, Sydney Trains, NSW Trains, Sydney Metro Authority and Point to Point Commission</w:t>
      </w:r>
      <w:r>
        <w:t>)</w:t>
      </w:r>
      <w:r w:rsidRPr="00166F61">
        <w:t xml:space="preserve"> – granted an exemption for targeted roles to implement diversity and inclus</w:t>
      </w:r>
      <w:r w:rsidRPr="004E4A1B">
        <w:t>ion programs for designated target groups including people with a specific disability</w:t>
      </w:r>
      <w:r>
        <w:t>.</w:t>
      </w:r>
    </w:p>
    <w:p w14:paraId="08394C82" w14:textId="4ED10A88" w:rsidR="005B0C9C" w:rsidRDefault="001C232C" w:rsidP="005B0C9C">
      <w:pPr>
        <w:pStyle w:val="Puntoelenco"/>
        <w:spacing w:after="240"/>
        <w:cnfStyle w:val="101000000000" w:firstRow="1" w:lastRow="0" w:firstColumn="1" w:lastColumn="0" w:oddVBand="0" w:evenVBand="0" w:oddHBand="0" w:evenHBand="0" w:firstRowFirstColumn="0" w:firstRowLastColumn="0" w:lastRowFirstColumn="0" w:lastRowLastColumn="0"/>
      </w:pPr>
      <w:r w:rsidRPr="00C87084">
        <w:rPr>
          <w:rStyle w:val="Enfasigrassetto"/>
        </w:rPr>
        <w:t>NSW Council for Intellectual Disability</w:t>
      </w:r>
      <w:r w:rsidRPr="004E4A1B">
        <w:t xml:space="preserve"> – granted an exemption for advertising, </w:t>
      </w:r>
      <w:proofErr w:type="gramStart"/>
      <w:r w:rsidRPr="004E4A1B">
        <w:t>designating</w:t>
      </w:r>
      <w:proofErr w:type="gramEnd"/>
      <w:r w:rsidRPr="004E4A1B">
        <w:t xml:space="preserve"> and recruiting project worker and project assistant roles for people who self-identify as having an intellectual disability.</w:t>
      </w:r>
      <w:r w:rsidRPr="004E4A1B">
        <w:rPr>
          <w:rStyle w:val="Rimandonotadichiusura"/>
        </w:rPr>
        <w:endnoteReference w:id="37"/>
      </w:r>
      <w:bookmarkStart w:id="52" w:name="_Toc118316302"/>
    </w:p>
    <w:p w14:paraId="0F75D7DD" w14:textId="0C023F46" w:rsidR="001C232C" w:rsidRDefault="001C232C" w:rsidP="005B0C9C">
      <w:r>
        <w:rPr>
          <w:noProof/>
        </w:rPr>
        <mc:AlternateContent>
          <mc:Choice Requires="wps">
            <w:drawing>
              <wp:inline distT="0" distB="0" distL="0" distR="0" wp14:anchorId="55159B00" wp14:editId="233F3946">
                <wp:extent cx="5662800" cy="0"/>
                <wp:effectExtent l="0" t="12700" r="14605" b="12700"/>
                <wp:docPr id="65" name="Connettore 1 65" descr="Orange line to indicate end of text box&#10;"/>
                <wp:cNvGraphicFramePr/>
                <a:graphic xmlns:a="http://schemas.openxmlformats.org/drawingml/2006/main">
                  <a:graphicData uri="http://schemas.microsoft.com/office/word/2010/wordprocessingShape">
                    <wps:wsp>
                      <wps:cNvCnPr/>
                      <wps:spPr>
                        <a:xfrm>
                          <a:off x="0" y="0"/>
                          <a:ext cx="5662800"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inline>
            </w:drawing>
          </mc:Choice>
          <mc:Fallback>
            <w:pict>
              <v:line w14:anchorId="22D0F3E9" id="Connettore 1 65" o:spid="_x0000_s1026" alt="Orange line to indicate end of text box&#10;" style="visibility:visible;mso-wrap-style:square;mso-left-percent:-10001;mso-top-percent:-10001;mso-position-horizontal:absolute;mso-position-horizontal-relative:char;mso-position-vertical:absolute;mso-position-vertical-relative:line;mso-left-percent:-10001;mso-top-percent:-10001" from="0,0" to="445.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" strokecolor="#f27166 [3207]" strokeweight="1.5pt">
                <v:stroke joinstyle="miter"/>
                <w10:anchorlock/>
              </v:line>
            </w:pict>
          </mc:Fallback>
        </mc:AlternateContent>
      </w:r>
    </w:p>
    <w:p w14:paraId="4D421840" w14:textId="77777777" w:rsidR="001C232C" w:rsidRPr="005B0C9C" w:rsidRDefault="001C232C" w:rsidP="005B0C9C"/>
    <w:p w14:paraId="4F27E7B5" w14:textId="57CDAB81" w:rsidR="001E063A" w:rsidRDefault="001E063A" w:rsidP="00E96AD1">
      <w:pPr>
        <w:pStyle w:val="Titolo2"/>
        <w:spacing w:before="0"/>
      </w:pPr>
      <w:r>
        <w:t>Tasmania</w:t>
      </w:r>
      <w:bookmarkEnd w:id="52"/>
    </w:p>
    <w:p w14:paraId="48F0EE55" w14:textId="77777777" w:rsidR="001E063A" w:rsidRDefault="001E063A" w:rsidP="001E063A">
      <w:r>
        <w:t xml:space="preserve">Under </w:t>
      </w:r>
      <w:r w:rsidRPr="00C87084">
        <w:rPr>
          <w:rStyle w:val="Enfasicorsivo"/>
        </w:rPr>
        <w:t>the Anti-Discrimination Act 1998</w:t>
      </w:r>
      <w:r>
        <w:t xml:space="preserve"> (Tas) (</w:t>
      </w:r>
      <w:r w:rsidRPr="00C87084">
        <w:rPr>
          <w:rStyle w:val="Enfasigrassetto"/>
        </w:rPr>
        <w:t>Tasmanian Act</w:t>
      </w:r>
      <w:r>
        <w:t>), exceptions, including the special measures exceptions (sections 25 and 26), must be proved on the balance of probabilities.</w:t>
      </w:r>
      <w:r>
        <w:rPr>
          <w:rStyle w:val="Rimandonotadichiusura"/>
        </w:rPr>
        <w:endnoteReference w:id="38"/>
      </w:r>
    </w:p>
    <w:p w14:paraId="5DF41C14" w14:textId="77777777" w:rsidR="001E063A" w:rsidRDefault="001E063A" w:rsidP="001E063A">
      <w:r>
        <w:t>While the Tasmanian Anti-Discrimination Commissioner has some authority to determine whether a special measure exception properly applies, the Commissioner may not always have authority to determine that sections 25 or 26 apply to a complaint either at initial assessment or after investigation.</w:t>
      </w:r>
    </w:p>
    <w:p w14:paraId="78E60600" w14:textId="256797E6" w:rsidR="001E063A" w:rsidRDefault="00336BD1" w:rsidP="001E063A">
      <w:r>
        <w:t>It would therefore be at the inquiry by the Tasmanian Civil and Administrative Tribunal that an employer would have to prove that the exception applied to its conduct and, as a result, the conduct was not unlawful.</w:t>
      </w:r>
    </w:p>
    <w:p w14:paraId="2B812CEE" w14:textId="56C6E11A" w:rsidR="001E063A" w:rsidRDefault="00336BD1" w:rsidP="001E063A">
      <w:r>
        <w:t>However, if an exemption is granted for targeted recruitment, the Tasmanian Anti-Discrimination Commissioner has express authority to reject or dismiss a complaint about conduct that falls within the scope of the exemption granted.</w:t>
      </w:r>
      <w:r w:rsidR="001E063A">
        <w:rPr>
          <w:rStyle w:val="Rimandonotadichiusura"/>
        </w:rPr>
        <w:endnoteReference w:id="39"/>
      </w:r>
    </w:p>
    <w:p w14:paraId="15A574EA" w14:textId="1E4ACAFA" w:rsidR="001E063A" w:rsidRDefault="001E063A" w:rsidP="001E063A">
      <w:pPr>
        <w:keepNext/>
      </w:pPr>
      <w:r>
        <w:t>Employers seeking to engage in targeted recruitment in Tasmania may apply for an exemption under the Tasmanian Act.</w:t>
      </w:r>
      <w:r>
        <w:rPr>
          <w:rStyle w:val="Rimandonotadichiusura"/>
        </w:rPr>
        <w:endnoteReference w:id="40"/>
      </w:r>
      <w:r>
        <w:t xml:space="preserve"> </w:t>
      </w:r>
      <w:r w:rsidR="00EA1A33">
        <w:t xml:space="preserve">This provides protection against a complaint about any conduct that falls within the scope of the exemption granted. In applying for an exemption, providing material that </w:t>
      </w:r>
      <w:r w:rsidR="00EA1A33" w:rsidRPr="00571F06">
        <w:t>satisfie</w:t>
      </w:r>
      <w:r w:rsidR="007F07BD" w:rsidRPr="00571F06">
        <w:t>s</w:t>
      </w:r>
      <w:r w:rsidR="00EA1A33" w:rsidRPr="00571F06">
        <w:t xml:space="preserve"> the requirements set out in Part </w:t>
      </w:r>
      <w:r w:rsidR="007F07BD" w:rsidRPr="00571F06">
        <w:t>4</w:t>
      </w:r>
      <w:r w:rsidR="00EA1A33">
        <w:t xml:space="preserve"> of this document is likely to be sufficient.</w:t>
      </w:r>
    </w:p>
    <w:p w14:paraId="0782EF4E" w14:textId="111D6B28" w:rsidR="001E063A" w:rsidRDefault="001E063A" w:rsidP="001E063A">
      <w:r>
        <w:t>The Tasmanian Anti-Discrimination Commissioner has published information on how to apply for exemptions to the Tasmanian Act.</w:t>
      </w:r>
      <w:r>
        <w:rPr>
          <w:rStyle w:val="Rimandonotadichiusura"/>
        </w:rPr>
        <w:endnoteReference w:id="41"/>
      </w:r>
    </w:p>
    <w:p w14:paraId="452342F3" w14:textId="6C0F43D7" w:rsidR="001E063A" w:rsidRDefault="001E063A">
      <w:pPr>
        <w:pStyle w:val="Titolo2"/>
      </w:pPr>
      <w:bookmarkStart w:id="53" w:name="_Toc118316303"/>
      <w:r>
        <w:t>Other jurisdictions</w:t>
      </w:r>
      <w:bookmarkEnd w:id="53"/>
    </w:p>
    <w:p w14:paraId="74CC4648" w14:textId="7C63772C" w:rsidR="001E063A" w:rsidRDefault="00EA1A33" w:rsidP="001E063A">
      <w:r>
        <w:t xml:space="preserve">As outlined in the Guidelines, under the federal </w:t>
      </w:r>
      <w:r w:rsidRPr="00254E03">
        <w:rPr>
          <w:bCs w:val="0"/>
        </w:rPr>
        <w:t>Disability Discrimination Act</w:t>
      </w:r>
      <w:r>
        <w:t xml:space="preserve">, and in all other states or territories except NSW (and noting the guidance regarding Tasmania above), the granting of a statutory exemption is not a legal prerequisite for conducting a targeted recruitment strategy, </w:t>
      </w:r>
      <w:proofErr w:type="gramStart"/>
      <w:r>
        <w:t>as long as</w:t>
      </w:r>
      <w:proofErr w:type="gramEnd"/>
      <w:r>
        <w:t xml:space="preserve"> the recruitment program meets the requirements of a special measure.</w:t>
      </w:r>
    </w:p>
    <w:p w14:paraId="5BB12879" w14:textId="6654C8FD" w:rsidR="001E063A" w:rsidRDefault="001E063A" w:rsidP="001E063A">
      <w:r>
        <w:t>This is because the purpose of a statutory exemption is to exclude the application of a</w:t>
      </w:r>
      <w:r w:rsidR="00F67758">
        <w:t xml:space="preserve"> </w:t>
      </w:r>
      <w:r>
        <w:t xml:space="preserve">particular law to certain conduct which would otherwise breach that law. Special measures are </w:t>
      </w:r>
      <w:proofErr w:type="gramStart"/>
      <w:r>
        <w:t>lawful</w:t>
      </w:r>
      <w:proofErr w:type="gramEnd"/>
      <w:r>
        <w:t xml:space="preserve"> and the statutory exemption process is concerned with potentially unlawful conduct.</w:t>
      </w:r>
    </w:p>
    <w:p w14:paraId="24EC4B56" w14:textId="77777777" w:rsidR="003F3ED2" w:rsidRDefault="003F3ED2">
      <w:pPr>
        <w:keepLines w:val="0"/>
        <w:spacing w:after="160" w:line="259" w:lineRule="auto"/>
        <w:rPr>
          <w:b/>
        </w:rPr>
      </w:pPr>
    </w:p>
    <w:p w14:paraId="0B93344E" w14:textId="1E553531" w:rsidR="001E063A" w:rsidRDefault="001E063A">
      <w:pPr>
        <w:pStyle w:val="Titolo1"/>
      </w:pPr>
      <w:bookmarkStart w:id="54" w:name="_Toc118316304"/>
      <w:r>
        <w:t>More information and contact details – Federal, state and territory bodies</w:t>
      </w:r>
      <w:bookmarkEnd w:id="54"/>
    </w:p>
    <w:p w14:paraId="45E662C1" w14:textId="33489A2E" w:rsidR="00AE049C" w:rsidRPr="00AE049C" w:rsidRDefault="00AE049C" w:rsidP="00AE049C">
      <w:pPr>
        <w:pStyle w:val="Normal-12ptbefore"/>
      </w:pPr>
      <w:r>
        <w:t>Employers wishing to seeking advice on targeted recruitment strategies can contact their local</w:t>
      </w:r>
      <w:r w:rsidR="009B6207">
        <w:t> </w:t>
      </w:r>
      <w:r>
        <w:t>bodies.</w:t>
      </w:r>
    </w:p>
    <w:tbl>
      <w:tblPr>
        <w:tblStyle w:val="Tabellaelenco4-colore4"/>
        <w:tblW w:w="5157" w:type="pct"/>
        <w:tblLayout w:type="fixed"/>
        <w:tblLook w:val="04A0" w:firstRow="1" w:lastRow="0" w:firstColumn="1" w:lastColumn="0" w:noHBand="0" w:noVBand="1"/>
      </w:tblPr>
      <w:tblGrid>
        <w:gridCol w:w="1701"/>
        <w:gridCol w:w="1712"/>
        <w:gridCol w:w="1832"/>
        <w:gridCol w:w="4064"/>
      </w:tblGrid>
      <w:tr w:rsidR="00BF05F7" w:rsidRPr="00FA2D42" w14:paraId="7A2A3610" w14:textId="77777777" w:rsidTr="001C232C">
        <w:trPr>
          <w:cnfStyle w:val="100000000000" w:firstRow="1" w:lastRow="0" w:firstColumn="0" w:lastColumn="0" w:oddVBand="0" w:evenVBand="0" w:oddHBand="0" w:evenHBand="0" w:firstRowFirstColumn="0" w:firstRowLastColumn="0" w:lastRowFirstColumn="0" w:lastRowLastColumn="0"/>
          <w:trHeight w:val="352"/>
          <w:tblHeader/>
        </w:trPr>
        <w:tc>
          <w:tcPr>
            <w:cnfStyle w:val="001000000000" w:firstRow="0" w:lastRow="0" w:firstColumn="1" w:lastColumn="0" w:oddVBand="0" w:evenVBand="0" w:oddHBand="0" w:evenHBand="0" w:firstRowFirstColumn="0" w:firstRowLastColumn="0" w:lastRowFirstColumn="0" w:lastRowLastColumn="0"/>
            <w:tcW w:w="913" w:type="pct"/>
            <w:hideMark/>
          </w:tcPr>
          <w:p w14:paraId="294A4BC9" w14:textId="77777777" w:rsidR="001E063A" w:rsidRPr="00FA2D42" w:rsidRDefault="001E063A" w:rsidP="0066509D">
            <w:pPr>
              <w:pStyle w:val="TableHeading"/>
              <w:spacing w:before="120" w:after="120"/>
              <w:rPr>
                <w:rFonts w:cs="Open Sans"/>
                <w:b/>
                <w:bCs w:val="0"/>
                <w:szCs w:val="18"/>
              </w:rPr>
            </w:pPr>
            <w:r w:rsidRPr="00FA2D42">
              <w:rPr>
                <w:rFonts w:cs="Open Sans"/>
                <w:b/>
                <w:bCs w:val="0"/>
                <w:szCs w:val="18"/>
              </w:rPr>
              <w:t>Jurisdiction</w:t>
            </w:r>
          </w:p>
        </w:tc>
        <w:tc>
          <w:tcPr>
            <w:tcW w:w="919" w:type="pct"/>
            <w:hideMark/>
          </w:tcPr>
          <w:p w14:paraId="224A2162" w14:textId="77777777" w:rsidR="001E063A" w:rsidRPr="00FA2D42" w:rsidRDefault="001E063A" w:rsidP="0066509D">
            <w:pPr>
              <w:pStyle w:val="TableHeading"/>
              <w:spacing w:before="120" w:after="120"/>
              <w:cnfStyle w:val="100000000000" w:firstRow="1" w:lastRow="0" w:firstColumn="0" w:lastColumn="0" w:oddVBand="0" w:evenVBand="0" w:oddHBand="0" w:evenHBand="0" w:firstRowFirstColumn="0" w:firstRowLastColumn="0" w:lastRowFirstColumn="0" w:lastRowLastColumn="0"/>
              <w:rPr>
                <w:rFonts w:cs="Open Sans"/>
                <w:szCs w:val="18"/>
              </w:rPr>
            </w:pPr>
            <w:r w:rsidRPr="00FA2D42">
              <w:rPr>
                <w:rFonts w:cs="Open Sans"/>
                <w:szCs w:val="18"/>
              </w:rPr>
              <w:t>Anti-Discrimination Law</w:t>
            </w:r>
          </w:p>
        </w:tc>
        <w:tc>
          <w:tcPr>
            <w:tcW w:w="984" w:type="pct"/>
            <w:hideMark/>
          </w:tcPr>
          <w:p w14:paraId="10EF6B65" w14:textId="77777777" w:rsidR="001E063A" w:rsidRPr="00FA2D42" w:rsidRDefault="001E063A" w:rsidP="0066509D">
            <w:pPr>
              <w:pStyle w:val="TableHeading"/>
              <w:spacing w:before="120" w:after="120"/>
              <w:cnfStyle w:val="100000000000" w:firstRow="1" w:lastRow="0" w:firstColumn="0" w:lastColumn="0" w:oddVBand="0" w:evenVBand="0" w:oddHBand="0" w:evenHBand="0" w:firstRowFirstColumn="0" w:firstRowLastColumn="0" w:lastRowFirstColumn="0" w:lastRowLastColumn="0"/>
              <w:rPr>
                <w:rFonts w:cs="Open Sans"/>
                <w:szCs w:val="18"/>
              </w:rPr>
            </w:pPr>
            <w:r w:rsidRPr="00FA2D42">
              <w:rPr>
                <w:rFonts w:cs="Open Sans"/>
                <w:szCs w:val="18"/>
              </w:rPr>
              <w:t>Relevant Body</w:t>
            </w:r>
          </w:p>
        </w:tc>
        <w:tc>
          <w:tcPr>
            <w:tcW w:w="2183" w:type="pct"/>
            <w:hideMark/>
          </w:tcPr>
          <w:p w14:paraId="4BF7BD69" w14:textId="77777777" w:rsidR="001E063A" w:rsidRPr="00FA2D42" w:rsidRDefault="001E063A" w:rsidP="0066509D">
            <w:pPr>
              <w:pStyle w:val="TableHeading"/>
              <w:spacing w:before="120" w:after="120"/>
              <w:cnfStyle w:val="100000000000" w:firstRow="1" w:lastRow="0" w:firstColumn="0" w:lastColumn="0" w:oddVBand="0" w:evenVBand="0" w:oddHBand="0" w:evenHBand="0" w:firstRowFirstColumn="0" w:firstRowLastColumn="0" w:lastRowFirstColumn="0" w:lastRowLastColumn="0"/>
              <w:rPr>
                <w:rFonts w:cs="Open Sans"/>
                <w:szCs w:val="18"/>
              </w:rPr>
            </w:pPr>
            <w:r w:rsidRPr="00FA2D42">
              <w:rPr>
                <w:rFonts w:cs="Open Sans"/>
                <w:szCs w:val="18"/>
              </w:rPr>
              <w:t>More information and contact details</w:t>
            </w:r>
          </w:p>
        </w:tc>
      </w:tr>
      <w:tr w:rsidR="00BF05F7" w:rsidRPr="00FA2D42" w14:paraId="153A6707" w14:textId="77777777" w:rsidTr="00BF05F7">
        <w:tc>
          <w:tcPr>
            <w:cnfStyle w:val="001000000000" w:firstRow="0" w:lastRow="0" w:firstColumn="1" w:lastColumn="0" w:oddVBand="0" w:evenVBand="0" w:oddHBand="0" w:evenHBand="0" w:firstRowFirstColumn="0" w:firstRowLastColumn="0" w:lastRowFirstColumn="0" w:lastRowLastColumn="0"/>
            <w:tcW w:w="913" w:type="pct"/>
            <w:vAlign w:val="top"/>
            <w:hideMark/>
          </w:tcPr>
          <w:p w14:paraId="40690A9C" w14:textId="77777777" w:rsidR="001E063A" w:rsidRPr="006B7046" w:rsidRDefault="001E063A" w:rsidP="00F67758">
            <w:pPr>
              <w:pStyle w:val="TableText"/>
              <w:rPr>
                <w:b w:val="0"/>
                <w:bCs/>
              </w:rPr>
            </w:pPr>
            <w:r w:rsidRPr="006B7046">
              <w:rPr>
                <w:b w:val="0"/>
                <w:bCs/>
              </w:rPr>
              <w:t>Commonwealth</w:t>
            </w:r>
          </w:p>
        </w:tc>
        <w:tc>
          <w:tcPr>
            <w:tcW w:w="919" w:type="pct"/>
            <w:vAlign w:val="top"/>
            <w:hideMark/>
          </w:tcPr>
          <w:p w14:paraId="18C8D3D2" w14:textId="77777777" w:rsidR="001E063A" w:rsidRPr="00FA2D42" w:rsidRDefault="001E063A" w:rsidP="00EF1A3D">
            <w:pPr>
              <w:pStyle w:val="TableText"/>
              <w:cnfStyle w:val="000000000000" w:firstRow="0" w:lastRow="0" w:firstColumn="0" w:lastColumn="0" w:oddVBand="0" w:evenVBand="0" w:oddHBand="0" w:evenHBand="0" w:firstRowFirstColumn="0" w:firstRowLastColumn="0" w:lastRowFirstColumn="0" w:lastRowLastColumn="0"/>
            </w:pPr>
            <w:r w:rsidRPr="00FA2D42">
              <w:rPr>
                <w:rStyle w:val="Enfasicorsivo"/>
              </w:rPr>
              <w:t>Disability Discrimination Act 1992</w:t>
            </w:r>
            <w:r w:rsidRPr="00FA2D42">
              <w:t xml:space="preserve"> (Cth)</w:t>
            </w:r>
          </w:p>
        </w:tc>
        <w:tc>
          <w:tcPr>
            <w:tcW w:w="984" w:type="pct"/>
            <w:vAlign w:val="top"/>
            <w:hideMark/>
          </w:tcPr>
          <w:p w14:paraId="6B72EE43" w14:textId="77777777" w:rsidR="001E063A" w:rsidRPr="00FA2D42" w:rsidRDefault="001E063A" w:rsidP="00EF1A3D">
            <w:pPr>
              <w:pStyle w:val="TableText"/>
              <w:cnfStyle w:val="000000000000" w:firstRow="0" w:lastRow="0" w:firstColumn="0" w:lastColumn="0" w:oddVBand="0" w:evenVBand="0" w:oddHBand="0" w:evenHBand="0" w:firstRowFirstColumn="0" w:firstRowLastColumn="0" w:lastRowFirstColumn="0" w:lastRowLastColumn="0"/>
            </w:pPr>
            <w:r w:rsidRPr="00FA2D42">
              <w:t>Australian Human Rights Commission</w:t>
            </w:r>
          </w:p>
        </w:tc>
        <w:tc>
          <w:tcPr>
            <w:tcW w:w="2183" w:type="pct"/>
            <w:vAlign w:val="top"/>
            <w:hideMark/>
          </w:tcPr>
          <w:p w14:paraId="332B6B6A" w14:textId="77777777" w:rsidR="001E063A" w:rsidRPr="00F67758" w:rsidRDefault="003D2388" w:rsidP="00EF1A3D">
            <w:pPr>
              <w:pStyle w:val="TableText"/>
              <w:cnfStyle w:val="000000000000" w:firstRow="0" w:lastRow="0" w:firstColumn="0" w:lastColumn="0" w:oddVBand="0" w:evenVBand="0" w:oddHBand="0" w:evenHBand="0" w:firstRowFirstColumn="0" w:firstRowLastColumn="0" w:lastRowFirstColumn="0" w:lastRowLastColumn="0"/>
            </w:pPr>
            <w:hyperlink r:id="rId36" w:history="1">
              <w:r w:rsidR="001E063A" w:rsidRPr="00FA2D42">
                <w:rPr>
                  <w:rStyle w:val="Collegamentoipertestuale"/>
                  <w:szCs w:val="18"/>
                </w:rPr>
                <w:t>https://humanrights.gov.au/our-work/disability-rights</w:t>
              </w:r>
            </w:hyperlink>
          </w:p>
          <w:p w14:paraId="23C48AB7" w14:textId="77777777" w:rsidR="001E063A" w:rsidRPr="00F67758" w:rsidRDefault="003D2388" w:rsidP="00EF1A3D">
            <w:pPr>
              <w:pStyle w:val="TableText"/>
              <w:cnfStyle w:val="000000000000" w:firstRow="0" w:lastRow="0" w:firstColumn="0" w:lastColumn="0" w:oddVBand="0" w:evenVBand="0" w:oddHBand="0" w:evenHBand="0" w:firstRowFirstColumn="0" w:firstRowLastColumn="0" w:lastRowFirstColumn="0" w:lastRowLastColumn="0"/>
            </w:pPr>
            <w:hyperlink r:id="rId37" w:history="1">
              <w:r w:rsidR="001E063A" w:rsidRPr="00FA2D42">
                <w:rPr>
                  <w:rStyle w:val="Collegamentoipertestuale"/>
                  <w:szCs w:val="18"/>
                </w:rPr>
                <w:t>https://includeability.gov.au/contact-us-includeability</w:t>
              </w:r>
            </w:hyperlink>
          </w:p>
          <w:p w14:paraId="460A53B7" w14:textId="5DAF83E0" w:rsidR="001E063A" w:rsidRPr="00FA2D42" w:rsidRDefault="003D2388" w:rsidP="00EF1A3D">
            <w:pPr>
              <w:pStyle w:val="TableText"/>
              <w:cnfStyle w:val="000000000000" w:firstRow="0" w:lastRow="0" w:firstColumn="0" w:lastColumn="0" w:oddVBand="0" w:evenVBand="0" w:oddHBand="0" w:evenHBand="0" w:firstRowFirstColumn="0" w:firstRowLastColumn="0" w:lastRowFirstColumn="0" w:lastRowLastColumn="0"/>
              <w:rPr>
                <w:color w:val="2BB8C9" w:themeColor="accent2"/>
                <w:szCs w:val="18"/>
              </w:rPr>
            </w:pPr>
            <w:hyperlink r:id="rId38" w:history="1">
              <w:r w:rsidR="001E063A" w:rsidRPr="00FA2D42">
                <w:rPr>
                  <w:rStyle w:val="Collegamentoipertestuale"/>
                  <w:szCs w:val="18"/>
                </w:rPr>
                <w:t>https://humanrights.gov.au/our-work/commission-general/contact-us</w:t>
              </w:r>
            </w:hyperlink>
          </w:p>
        </w:tc>
      </w:tr>
      <w:tr w:rsidR="00BF05F7" w:rsidRPr="00FA2D42" w14:paraId="392FD7AB" w14:textId="77777777" w:rsidTr="00BF05F7">
        <w:tc>
          <w:tcPr>
            <w:cnfStyle w:val="001000000000" w:firstRow="0" w:lastRow="0" w:firstColumn="1" w:lastColumn="0" w:oddVBand="0" w:evenVBand="0" w:oddHBand="0" w:evenHBand="0" w:firstRowFirstColumn="0" w:firstRowLastColumn="0" w:lastRowFirstColumn="0" w:lastRowLastColumn="0"/>
            <w:tcW w:w="913" w:type="pct"/>
            <w:vAlign w:val="top"/>
            <w:hideMark/>
          </w:tcPr>
          <w:p w14:paraId="7C8F3F52" w14:textId="77777777" w:rsidR="001E063A" w:rsidRPr="006B7046" w:rsidRDefault="001E063A" w:rsidP="00F67758">
            <w:pPr>
              <w:pStyle w:val="TableText"/>
              <w:rPr>
                <w:b w:val="0"/>
                <w:bCs/>
              </w:rPr>
            </w:pPr>
            <w:r w:rsidRPr="006B7046">
              <w:rPr>
                <w:b w:val="0"/>
                <w:bCs/>
              </w:rPr>
              <w:t>Australian Capital Territory</w:t>
            </w:r>
          </w:p>
        </w:tc>
        <w:tc>
          <w:tcPr>
            <w:tcW w:w="919" w:type="pct"/>
            <w:vAlign w:val="top"/>
            <w:hideMark/>
          </w:tcPr>
          <w:p w14:paraId="1E7D2D71" w14:textId="77777777" w:rsidR="001E063A" w:rsidRPr="00FA2D42" w:rsidRDefault="001E063A" w:rsidP="00EF1A3D">
            <w:pPr>
              <w:pStyle w:val="TableText"/>
              <w:cnfStyle w:val="000000000000" w:firstRow="0" w:lastRow="0" w:firstColumn="0" w:lastColumn="0" w:oddVBand="0" w:evenVBand="0" w:oddHBand="0" w:evenHBand="0" w:firstRowFirstColumn="0" w:firstRowLastColumn="0" w:lastRowFirstColumn="0" w:lastRowLastColumn="0"/>
            </w:pPr>
            <w:r w:rsidRPr="00FA2D42">
              <w:rPr>
                <w:rStyle w:val="Enfasicorsivo"/>
              </w:rPr>
              <w:t>Discrimination Act 1991</w:t>
            </w:r>
            <w:r w:rsidRPr="00FA2D42">
              <w:t xml:space="preserve"> (ACT)</w:t>
            </w:r>
          </w:p>
        </w:tc>
        <w:tc>
          <w:tcPr>
            <w:tcW w:w="984" w:type="pct"/>
            <w:vAlign w:val="top"/>
            <w:hideMark/>
          </w:tcPr>
          <w:p w14:paraId="43451D3F" w14:textId="77777777" w:rsidR="001E063A" w:rsidRPr="00FA2D42" w:rsidRDefault="001E063A" w:rsidP="00EF1A3D">
            <w:pPr>
              <w:pStyle w:val="TableText"/>
              <w:cnfStyle w:val="000000000000" w:firstRow="0" w:lastRow="0" w:firstColumn="0" w:lastColumn="0" w:oddVBand="0" w:evenVBand="0" w:oddHBand="0" w:evenHBand="0" w:firstRowFirstColumn="0" w:firstRowLastColumn="0" w:lastRowFirstColumn="0" w:lastRowLastColumn="0"/>
            </w:pPr>
            <w:r w:rsidRPr="00FA2D42">
              <w:t>ACT Human Rights Commission</w:t>
            </w:r>
          </w:p>
        </w:tc>
        <w:tc>
          <w:tcPr>
            <w:tcW w:w="2183" w:type="pct"/>
            <w:vAlign w:val="top"/>
            <w:hideMark/>
          </w:tcPr>
          <w:p w14:paraId="4D7FC185" w14:textId="77777777" w:rsidR="001E063A" w:rsidRPr="00FA2D42" w:rsidRDefault="003D2388" w:rsidP="00EF1A3D">
            <w:pPr>
              <w:pStyle w:val="TableText"/>
              <w:cnfStyle w:val="000000000000" w:firstRow="0" w:lastRow="0" w:firstColumn="0" w:lastColumn="0" w:oddVBand="0" w:evenVBand="0" w:oddHBand="0" w:evenHBand="0" w:firstRowFirstColumn="0" w:firstRowLastColumn="0" w:lastRowFirstColumn="0" w:lastRowLastColumn="0"/>
              <w:rPr>
                <w:color w:val="2BB8C9" w:themeColor="accent2"/>
                <w:szCs w:val="18"/>
              </w:rPr>
            </w:pPr>
            <w:hyperlink r:id="rId39" w:history="1">
              <w:r w:rsidR="001E063A" w:rsidRPr="00FA2D42">
                <w:rPr>
                  <w:rStyle w:val="Collegamentoipertestuale"/>
                  <w:szCs w:val="18"/>
                </w:rPr>
                <w:t>https://hrc.act.gov.au/contact-us/</w:t>
              </w:r>
            </w:hyperlink>
          </w:p>
        </w:tc>
      </w:tr>
      <w:tr w:rsidR="00BF05F7" w:rsidRPr="00FA2D42" w14:paraId="6A8BD9C4" w14:textId="77777777" w:rsidTr="00BF05F7">
        <w:tc>
          <w:tcPr>
            <w:cnfStyle w:val="001000000000" w:firstRow="0" w:lastRow="0" w:firstColumn="1" w:lastColumn="0" w:oddVBand="0" w:evenVBand="0" w:oddHBand="0" w:evenHBand="0" w:firstRowFirstColumn="0" w:firstRowLastColumn="0" w:lastRowFirstColumn="0" w:lastRowLastColumn="0"/>
            <w:tcW w:w="913" w:type="pct"/>
            <w:vAlign w:val="top"/>
            <w:hideMark/>
          </w:tcPr>
          <w:p w14:paraId="7B71987A" w14:textId="77777777" w:rsidR="001E063A" w:rsidRPr="006B7046" w:rsidRDefault="001E063A" w:rsidP="00F67758">
            <w:pPr>
              <w:pStyle w:val="TableText"/>
              <w:rPr>
                <w:b w:val="0"/>
                <w:bCs/>
              </w:rPr>
            </w:pPr>
            <w:r w:rsidRPr="006B7046">
              <w:rPr>
                <w:b w:val="0"/>
                <w:bCs/>
              </w:rPr>
              <w:t>New South Wales</w:t>
            </w:r>
          </w:p>
        </w:tc>
        <w:tc>
          <w:tcPr>
            <w:tcW w:w="919" w:type="pct"/>
            <w:vAlign w:val="top"/>
            <w:hideMark/>
          </w:tcPr>
          <w:p w14:paraId="4FF38CF6" w14:textId="77777777" w:rsidR="001E063A" w:rsidRPr="00FA2D42" w:rsidRDefault="001E063A" w:rsidP="00EF1A3D">
            <w:pPr>
              <w:pStyle w:val="TableText"/>
              <w:cnfStyle w:val="000000000000" w:firstRow="0" w:lastRow="0" w:firstColumn="0" w:lastColumn="0" w:oddVBand="0" w:evenVBand="0" w:oddHBand="0" w:evenHBand="0" w:firstRowFirstColumn="0" w:firstRowLastColumn="0" w:lastRowFirstColumn="0" w:lastRowLastColumn="0"/>
            </w:pPr>
            <w:r w:rsidRPr="00FA2D42">
              <w:rPr>
                <w:rStyle w:val="Enfasicorsivo"/>
              </w:rPr>
              <w:t>Anti-Discrimination Act 1977</w:t>
            </w:r>
            <w:r w:rsidRPr="00FA2D42">
              <w:t xml:space="preserve"> (NSW)</w:t>
            </w:r>
          </w:p>
        </w:tc>
        <w:tc>
          <w:tcPr>
            <w:tcW w:w="984" w:type="pct"/>
            <w:vAlign w:val="top"/>
            <w:hideMark/>
          </w:tcPr>
          <w:p w14:paraId="4D7390F5" w14:textId="77777777" w:rsidR="001E063A" w:rsidRPr="00FA2D42" w:rsidRDefault="001E063A" w:rsidP="00EF1A3D">
            <w:pPr>
              <w:pStyle w:val="TableText"/>
              <w:cnfStyle w:val="000000000000" w:firstRow="0" w:lastRow="0" w:firstColumn="0" w:lastColumn="0" w:oddVBand="0" w:evenVBand="0" w:oddHBand="0" w:evenHBand="0" w:firstRowFirstColumn="0" w:firstRowLastColumn="0" w:lastRowFirstColumn="0" w:lastRowLastColumn="0"/>
            </w:pPr>
            <w:r w:rsidRPr="00FA2D42">
              <w:t>Anti-Discrimination NSW</w:t>
            </w:r>
          </w:p>
        </w:tc>
        <w:tc>
          <w:tcPr>
            <w:tcW w:w="2183" w:type="pct"/>
            <w:vAlign w:val="top"/>
            <w:hideMark/>
          </w:tcPr>
          <w:p w14:paraId="658CEDCE" w14:textId="77777777" w:rsidR="001E063A" w:rsidRPr="00FA2D42" w:rsidRDefault="003D2388" w:rsidP="00EF1A3D">
            <w:pPr>
              <w:pStyle w:val="TableText"/>
              <w:cnfStyle w:val="000000000000" w:firstRow="0" w:lastRow="0" w:firstColumn="0" w:lastColumn="0" w:oddVBand="0" w:evenVBand="0" w:oddHBand="0" w:evenHBand="0" w:firstRowFirstColumn="0" w:firstRowLastColumn="0" w:lastRowFirstColumn="0" w:lastRowLastColumn="0"/>
              <w:rPr>
                <w:color w:val="2BB8C9" w:themeColor="accent2"/>
                <w:szCs w:val="18"/>
              </w:rPr>
            </w:pPr>
            <w:hyperlink r:id="rId40" w:history="1">
              <w:r w:rsidR="001E063A" w:rsidRPr="00FA2D42">
                <w:rPr>
                  <w:rStyle w:val="Collegamentoipertestuale"/>
                  <w:szCs w:val="18"/>
                </w:rPr>
                <w:t>https://antidiscrimination.nsw.gov.au/anti-discrimination-nsw/need-help.html</w:t>
              </w:r>
            </w:hyperlink>
          </w:p>
        </w:tc>
      </w:tr>
      <w:tr w:rsidR="00BF05F7" w:rsidRPr="00FA2D42" w14:paraId="2A825823" w14:textId="77777777" w:rsidTr="00BF05F7">
        <w:tc>
          <w:tcPr>
            <w:cnfStyle w:val="001000000000" w:firstRow="0" w:lastRow="0" w:firstColumn="1" w:lastColumn="0" w:oddVBand="0" w:evenVBand="0" w:oddHBand="0" w:evenHBand="0" w:firstRowFirstColumn="0" w:firstRowLastColumn="0" w:lastRowFirstColumn="0" w:lastRowLastColumn="0"/>
            <w:tcW w:w="913" w:type="pct"/>
            <w:vAlign w:val="top"/>
            <w:hideMark/>
          </w:tcPr>
          <w:p w14:paraId="122E1D8E" w14:textId="77777777" w:rsidR="001E063A" w:rsidRPr="006B7046" w:rsidRDefault="001E063A" w:rsidP="00F67758">
            <w:pPr>
              <w:pStyle w:val="TableText"/>
              <w:rPr>
                <w:b w:val="0"/>
                <w:bCs/>
              </w:rPr>
            </w:pPr>
            <w:r w:rsidRPr="006B7046">
              <w:rPr>
                <w:b w:val="0"/>
                <w:bCs/>
              </w:rPr>
              <w:t>Northern Territory</w:t>
            </w:r>
          </w:p>
        </w:tc>
        <w:tc>
          <w:tcPr>
            <w:tcW w:w="919" w:type="pct"/>
            <w:vAlign w:val="top"/>
            <w:hideMark/>
          </w:tcPr>
          <w:p w14:paraId="0E3092E7" w14:textId="77777777" w:rsidR="001E063A" w:rsidRPr="00FA2D42" w:rsidRDefault="001E063A" w:rsidP="00EF1A3D">
            <w:pPr>
              <w:pStyle w:val="TableText"/>
              <w:cnfStyle w:val="000000000000" w:firstRow="0" w:lastRow="0" w:firstColumn="0" w:lastColumn="0" w:oddVBand="0" w:evenVBand="0" w:oddHBand="0" w:evenHBand="0" w:firstRowFirstColumn="0" w:firstRowLastColumn="0" w:lastRowFirstColumn="0" w:lastRowLastColumn="0"/>
            </w:pPr>
            <w:r w:rsidRPr="00FA2D42">
              <w:rPr>
                <w:rStyle w:val="Enfasicorsivo"/>
              </w:rPr>
              <w:t>Anti-Discrimination Act 1992</w:t>
            </w:r>
            <w:r w:rsidRPr="00FA2D42">
              <w:t xml:space="preserve"> (NT)</w:t>
            </w:r>
          </w:p>
        </w:tc>
        <w:tc>
          <w:tcPr>
            <w:tcW w:w="984" w:type="pct"/>
            <w:vAlign w:val="top"/>
            <w:hideMark/>
          </w:tcPr>
          <w:p w14:paraId="788051E0" w14:textId="77777777" w:rsidR="001E063A" w:rsidRPr="00FA2D42" w:rsidRDefault="001E063A" w:rsidP="00EF1A3D">
            <w:pPr>
              <w:pStyle w:val="TableText"/>
              <w:cnfStyle w:val="000000000000" w:firstRow="0" w:lastRow="0" w:firstColumn="0" w:lastColumn="0" w:oddVBand="0" w:evenVBand="0" w:oddHBand="0" w:evenHBand="0" w:firstRowFirstColumn="0" w:firstRowLastColumn="0" w:lastRowFirstColumn="0" w:lastRowLastColumn="0"/>
            </w:pPr>
            <w:r w:rsidRPr="00FA2D42">
              <w:t>NT Anti-Discrimination Commission</w:t>
            </w:r>
          </w:p>
        </w:tc>
        <w:tc>
          <w:tcPr>
            <w:tcW w:w="2183" w:type="pct"/>
            <w:vAlign w:val="top"/>
            <w:hideMark/>
          </w:tcPr>
          <w:p w14:paraId="6DD1F3C9" w14:textId="77777777" w:rsidR="001E063A" w:rsidRPr="00FA2D42" w:rsidRDefault="003D2388" w:rsidP="00EF1A3D">
            <w:pPr>
              <w:pStyle w:val="TableText"/>
              <w:cnfStyle w:val="000000000000" w:firstRow="0" w:lastRow="0" w:firstColumn="0" w:lastColumn="0" w:oddVBand="0" w:evenVBand="0" w:oddHBand="0" w:evenHBand="0" w:firstRowFirstColumn="0" w:firstRowLastColumn="0" w:lastRowFirstColumn="0" w:lastRowLastColumn="0"/>
              <w:rPr>
                <w:color w:val="2BB8C9" w:themeColor="accent2"/>
                <w:szCs w:val="18"/>
              </w:rPr>
            </w:pPr>
            <w:hyperlink r:id="rId41" w:history="1">
              <w:r w:rsidR="001E063A" w:rsidRPr="00FA2D42">
                <w:rPr>
                  <w:rStyle w:val="Collegamentoipertestuale"/>
                  <w:szCs w:val="18"/>
                </w:rPr>
                <w:t>https://adc.nt.gov.au/contacts</w:t>
              </w:r>
            </w:hyperlink>
          </w:p>
        </w:tc>
      </w:tr>
      <w:tr w:rsidR="00BF05F7" w:rsidRPr="00FA2D42" w14:paraId="4A6C28BB" w14:textId="77777777" w:rsidTr="00BF05F7">
        <w:tc>
          <w:tcPr>
            <w:cnfStyle w:val="001000000000" w:firstRow="0" w:lastRow="0" w:firstColumn="1" w:lastColumn="0" w:oddVBand="0" w:evenVBand="0" w:oddHBand="0" w:evenHBand="0" w:firstRowFirstColumn="0" w:firstRowLastColumn="0" w:lastRowFirstColumn="0" w:lastRowLastColumn="0"/>
            <w:tcW w:w="913" w:type="pct"/>
            <w:vAlign w:val="top"/>
            <w:hideMark/>
          </w:tcPr>
          <w:p w14:paraId="657C02C4" w14:textId="77777777" w:rsidR="001E063A" w:rsidRPr="006B7046" w:rsidRDefault="001E063A" w:rsidP="00F67758">
            <w:pPr>
              <w:pStyle w:val="TableText"/>
              <w:rPr>
                <w:b w:val="0"/>
                <w:bCs/>
              </w:rPr>
            </w:pPr>
            <w:r w:rsidRPr="006B7046">
              <w:rPr>
                <w:b w:val="0"/>
                <w:bCs/>
              </w:rPr>
              <w:t>Queensland</w:t>
            </w:r>
          </w:p>
        </w:tc>
        <w:tc>
          <w:tcPr>
            <w:tcW w:w="919" w:type="pct"/>
            <w:vAlign w:val="top"/>
            <w:hideMark/>
          </w:tcPr>
          <w:p w14:paraId="6183010D" w14:textId="77777777" w:rsidR="001E063A" w:rsidRPr="00FA2D42" w:rsidRDefault="001E063A" w:rsidP="00EF1A3D">
            <w:pPr>
              <w:pStyle w:val="TableText"/>
              <w:cnfStyle w:val="000000000000" w:firstRow="0" w:lastRow="0" w:firstColumn="0" w:lastColumn="0" w:oddVBand="0" w:evenVBand="0" w:oddHBand="0" w:evenHBand="0" w:firstRowFirstColumn="0" w:firstRowLastColumn="0" w:lastRowFirstColumn="0" w:lastRowLastColumn="0"/>
            </w:pPr>
            <w:r w:rsidRPr="00FA2D42">
              <w:rPr>
                <w:rStyle w:val="Enfasicorsivo"/>
              </w:rPr>
              <w:t>Anti-Discrimination Act 1991</w:t>
            </w:r>
            <w:r w:rsidRPr="00FA2D42">
              <w:t xml:space="preserve"> (Qld)</w:t>
            </w:r>
          </w:p>
        </w:tc>
        <w:tc>
          <w:tcPr>
            <w:tcW w:w="984" w:type="pct"/>
            <w:vAlign w:val="top"/>
            <w:hideMark/>
          </w:tcPr>
          <w:p w14:paraId="79CC467B" w14:textId="77777777" w:rsidR="001E063A" w:rsidRPr="00FA2D42" w:rsidRDefault="001E063A" w:rsidP="00EF1A3D">
            <w:pPr>
              <w:pStyle w:val="TableText"/>
              <w:cnfStyle w:val="000000000000" w:firstRow="0" w:lastRow="0" w:firstColumn="0" w:lastColumn="0" w:oddVBand="0" w:evenVBand="0" w:oddHBand="0" w:evenHBand="0" w:firstRowFirstColumn="0" w:firstRowLastColumn="0" w:lastRowFirstColumn="0" w:lastRowLastColumn="0"/>
            </w:pPr>
            <w:r w:rsidRPr="00FA2D42">
              <w:t>Queensland Human Rights Commission</w:t>
            </w:r>
          </w:p>
        </w:tc>
        <w:tc>
          <w:tcPr>
            <w:tcW w:w="2183" w:type="pct"/>
            <w:vAlign w:val="top"/>
            <w:hideMark/>
          </w:tcPr>
          <w:p w14:paraId="2CB8D911" w14:textId="77777777" w:rsidR="001E063A" w:rsidRPr="00FA2D42" w:rsidRDefault="003D2388" w:rsidP="00EF1A3D">
            <w:pPr>
              <w:pStyle w:val="TableText"/>
              <w:cnfStyle w:val="000000000000" w:firstRow="0" w:lastRow="0" w:firstColumn="0" w:lastColumn="0" w:oddVBand="0" w:evenVBand="0" w:oddHBand="0" w:evenHBand="0" w:firstRowFirstColumn="0" w:firstRowLastColumn="0" w:lastRowFirstColumn="0" w:lastRowLastColumn="0"/>
              <w:rPr>
                <w:color w:val="2BB8C9" w:themeColor="accent2"/>
                <w:szCs w:val="18"/>
              </w:rPr>
            </w:pPr>
            <w:hyperlink r:id="rId42" w:history="1">
              <w:r w:rsidR="001E063A" w:rsidRPr="00FA2D42">
                <w:rPr>
                  <w:rStyle w:val="Collegamentoipertestuale"/>
                  <w:szCs w:val="18"/>
                </w:rPr>
                <w:t>https://www.qhrc.qld.gov.au/contactus</w:t>
              </w:r>
            </w:hyperlink>
          </w:p>
        </w:tc>
      </w:tr>
      <w:tr w:rsidR="00BF05F7" w:rsidRPr="00FA2D42" w14:paraId="5E25C289" w14:textId="77777777" w:rsidTr="00BF05F7">
        <w:tc>
          <w:tcPr>
            <w:cnfStyle w:val="001000000000" w:firstRow="0" w:lastRow="0" w:firstColumn="1" w:lastColumn="0" w:oddVBand="0" w:evenVBand="0" w:oddHBand="0" w:evenHBand="0" w:firstRowFirstColumn="0" w:firstRowLastColumn="0" w:lastRowFirstColumn="0" w:lastRowLastColumn="0"/>
            <w:tcW w:w="913" w:type="pct"/>
            <w:vAlign w:val="top"/>
            <w:hideMark/>
          </w:tcPr>
          <w:p w14:paraId="326379AE" w14:textId="77777777" w:rsidR="001E063A" w:rsidRPr="006B7046" w:rsidRDefault="001E063A" w:rsidP="00F67758">
            <w:pPr>
              <w:pStyle w:val="TableText"/>
              <w:rPr>
                <w:b w:val="0"/>
                <w:bCs/>
              </w:rPr>
            </w:pPr>
            <w:r w:rsidRPr="006B7046">
              <w:rPr>
                <w:b w:val="0"/>
                <w:bCs/>
              </w:rPr>
              <w:t>South Australia</w:t>
            </w:r>
          </w:p>
        </w:tc>
        <w:tc>
          <w:tcPr>
            <w:tcW w:w="919" w:type="pct"/>
            <w:vAlign w:val="top"/>
            <w:hideMark/>
          </w:tcPr>
          <w:p w14:paraId="2D3FE9B2" w14:textId="77777777" w:rsidR="001E063A" w:rsidRPr="00FA2D42" w:rsidRDefault="001E063A" w:rsidP="00EF1A3D">
            <w:pPr>
              <w:pStyle w:val="TableText"/>
              <w:cnfStyle w:val="000000000000" w:firstRow="0" w:lastRow="0" w:firstColumn="0" w:lastColumn="0" w:oddVBand="0" w:evenVBand="0" w:oddHBand="0" w:evenHBand="0" w:firstRowFirstColumn="0" w:firstRowLastColumn="0" w:lastRowFirstColumn="0" w:lastRowLastColumn="0"/>
            </w:pPr>
            <w:r w:rsidRPr="00FA2D42">
              <w:rPr>
                <w:rStyle w:val="Enfasicorsivo"/>
              </w:rPr>
              <w:t>Equal Opportunity Act 1984</w:t>
            </w:r>
            <w:r w:rsidRPr="00FA2D42">
              <w:t xml:space="preserve"> (SA)</w:t>
            </w:r>
          </w:p>
        </w:tc>
        <w:tc>
          <w:tcPr>
            <w:tcW w:w="984" w:type="pct"/>
            <w:vAlign w:val="top"/>
            <w:hideMark/>
          </w:tcPr>
          <w:p w14:paraId="07F51135" w14:textId="77777777" w:rsidR="001E063A" w:rsidRPr="00FA2D42" w:rsidRDefault="001E063A" w:rsidP="00EF1A3D">
            <w:pPr>
              <w:pStyle w:val="TableText"/>
              <w:cnfStyle w:val="000000000000" w:firstRow="0" w:lastRow="0" w:firstColumn="0" w:lastColumn="0" w:oddVBand="0" w:evenVBand="0" w:oddHBand="0" w:evenHBand="0" w:firstRowFirstColumn="0" w:firstRowLastColumn="0" w:lastRowFirstColumn="0" w:lastRowLastColumn="0"/>
            </w:pPr>
            <w:r w:rsidRPr="00FA2D42">
              <w:t>Office of the Commissioner for Equal Opportunity</w:t>
            </w:r>
          </w:p>
        </w:tc>
        <w:tc>
          <w:tcPr>
            <w:tcW w:w="2183" w:type="pct"/>
            <w:vAlign w:val="top"/>
            <w:hideMark/>
          </w:tcPr>
          <w:p w14:paraId="5FA1D2ED" w14:textId="77777777" w:rsidR="001E063A" w:rsidRPr="00FA2D42" w:rsidRDefault="003D2388" w:rsidP="00EF1A3D">
            <w:pPr>
              <w:pStyle w:val="TableText"/>
              <w:cnfStyle w:val="000000000000" w:firstRow="0" w:lastRow="0" w:firstColumn="0" w:lastColumn="0" w:oddVBand="0" w:evenVBand="0" w:oddHBand="0" w:evenHBand="0" w:firstRowFirstColumn="0" w:firstRowLastColumn="0" w:lastRowFirstColumn="0" w:lastRowLastColumn="0"/>
              <w:rPr>
                <w:color w:val="2BB8C9" w:themeColor="accent2"/>
                <w:szCs w:val="18"/>
              </w:rPr>
            </w:pPr>
            <w:hyperlink r:id="rId43" w:history="1">
              <w:r w:rsidR="001E063A" w:rsidRPr="00FA2D42">
                <w:rPr>
                  <w:rStyle w:val="Collegamentoipertestuale"/>
                  <w:szCs w:val="18"/>
                </w:rPr>
                <w:t>https://www.eoc.sa.gov.au/about-us/contact-us</w:t>
              </w:r>
            </w:hyperlink>
          </w:p>
        </w:tc>
      </w:tr>
      <w:tr w:rsidR="00BF05F7" w:rsidRPr="00FA2D42" w14:paraId="287E55DA" w14:textId="77777777" w:rsidTr="00BF05F7">
        <w:tc>
          <w:tcPr>
            <w:cnfStyle w:val="001000000000" w:firstRow="0" w:lastRow="0" w:firstColumn="1" w:lastColumn="0" w:oddVBand="0" w:evenVBand="0" w:oddHBand="0" w:evenHBand="0" w:firstRowFirstColumn="0" w:firstRowLastColumn="0" w:lastRowFirstColumn="0" w:lastRowLastColumn="0"/>
            <w:tcW w:w="913" w:type="pct"/>
            <w:vAlign w:val="top"/>
            <w:hideMark/>
          </w:tcPr>
          <w:p w14:paraId="69A4E5F2" w14:textId="77777777" w:rsidR="001E063A" w:rsidRPr="006B7046" w:rsidRDefault="001E063A" w:rsidP="00F67758">
            <w:pPr>
              <w:pStyle w:val="TableText"/>
              <w:rPr>
                <w:b w:val="0"/>
                <w:bCs/>
              </w:rPr>
            </w:pPr>
            <w:r w:rsidRPr="006B7046">
              <w:rPr>
                <w:b w:val="0"/>
                <w:bCs/>
              </w:rPr>
              <w:t>Tasmania</w:t>
            </w:r>
          </w:p>
        </w:tc>
        <w:tc>
          <w:tcPr>
            <w:tcW w:w="919" w:type="pct"/>
            <w:vAlign w:val="top"/>
            <w:hideMark/>
          </w:tcPr>
          <w:p w14:paraId="76166F7E" w14:textId="77777777" w:rsidR="001E063A" w:rsidRPr="00FA2D42" w:rsidRDefault="001E063A" w:rsidP="00EF1A3D">
            <w:pPr>
              <w:pStyle w:val="TableText"/>
              <w:cnfStyle w:val="000000000000" w:firstRow="0" w:lastRow="0" w:firstColumn="0" w:lastColumn="0" w:oddVBand="0" w:evenVBand="0" w:oddHBand="0" w:evenHBand="0" w:firstRowFirstColumn="0" w:firstRowLastColumn="0" w:lastRowFirstColumn="0" w:lastRowLastColumn="0"/>
            </w:pPr>
            <w:r w:rsidRPr="00FA2D42">
              <w:rPr>
                <w:rStyle w:val="Enfasicorsivo"/>
              </w:rPr>
              <w:t>Anti-Discrimination Act 1998</w:t>
            </w:r>
            <w:r w:rsidRPr="00FA2D42">
              <w:t xml:space="preserve"> (Tas)</w:t>
            </w:r>
          </w:p>
        </w:tc>
        <w:tc>
          <w:tcPr>
            <w:tcW w:w="984" w:type="pct"/>
            <w:vAlign w:val="top"/>
            <w:hideMark/>
          </w:tcPr>
          <w:p w14:paraId="55C03B45" w14:textId="77777777" w:rsidR="001E063A" w:rsidRPr="00FA2D42" w:rsidRDefault="001E063A" w:rsidP="00EF1A3D">
            <w:pPr>
              <w:pStyle w:val="TableText"/>
              <w:cnfStyle w:val="000000000000" w:firstRow="0" w:lastRow="0" w:firstColumn="0" w:lastColumn="0" w:oddVBand="0" w:evenVBand="0" w:oddHBand="0" w:evenHBand="0" w:firstRowFirstColumn="0" w:firstRowLastColumn="0" w:lastRowFirstColumn="0" w:lastRowLastColumn="0"/>
            </w:pPr>
            <w:r w:rsidRPr="00FA2D42">
              <w:t>Equal Opportunity Tasmania</w:t>
            </w:r>
          </w:p>
        </w:tc>
        <w:tc>
          <w:tcPr>
            <w:tcW w:w="2183" w:type="pct"/>
            <w:vAlign w:val="top"/>
            <w:hideMark/>
          </w:tcPr>
          <w:p w14:paraId="4AAEA1B4" w14:textId="77777777" w:rsidR="001E063A" w:rsidRPr="00FA2D42" w:rsidRDefault="003D2388" w:rsidP="00EF1A3D">
            <w:pPr>
              <w:pStyle w:val="TableText"/>
              <w:cnfStyle w:val="000000000000" w:firstRow="0" w:lastRow="0" w:firstColumn="0" w:lastColumn="0" w:oddVBand="0" w:evenVBand="0" w:oddHBand="0" w:evenHBand="0" w:firstRowFirstColumn="0" w:firstRowLastColumn="0" w:lastRowFirstColumn="0" w:lastRowLastColumn="0"/>
              <w:rPr>
                <w:color w:val="2BB8C9" w:themeColor="accent2"/>
                <w:szCs w:val="18"/>
              </w:rPr>
            </w:pPr>
            <w:hyperlink r:id="rId44" w:history="1">
              <w:r w:rsidR="001E063A" w:rsidRPr="00FA2D42">
                <w:rPr>
                  <w:rStyle w:val="Collegamentoipertestuale"/>
                  <w:szCs w:val="18"/>
                </w:rPr>
                <w:t>https://equalopportunity.tas.gov.au/contact_us</w:t>
              </w:r>
            </w:hyperlink>
          </w:p>
        </w:tc>
      </w:tr>
      <w:tr w:rsidR="00BF05F7" w:rsidRPr="00FA2D42" w14:paraId="5647299C" w14:textId="77777777" w:rsidTr="00BF05F7">
        <w:tc>
          <w:tcPr>
            <w:cnfStyle w:val="001000000000" w:firstRow="0" w:lastRow="0" w:firstColumn="1" w:lastColumn="0" w:oddVBand="0" w:evenVBand="0" w:oddHBand="0" w:evenHBand="0" w:firstRowFirstColumn="0" w:firstRowLastColumn="0" w:lastRowFirstColumn="0" w:lastRowLastColumn="0"/>
            <w:tcW w:w="913" w:type="pct"/>
            <w:vAlign w:val="top"/>
            <w:hideMark/>
          </w:tcPr>
          <w:p w14:paraId="11B04F69" w14:textId="77777777" w:rsidR="001E063A" w:rsidRPr="006B7046" w:rsidRDefault="001E063A" w:rsidP="00F67758">
            <w:pPr>
              <w:pStyle w:val="TableText"/>
              <w:rPr>
                <w:b w:val="0"/>
                <w:bCs/>
              </w:rPr>
            </w:pPr>
            <w:r w:rsidRPr="006B7046">
              <w:rPr>
                <w:b w:val="0"/>
                <w:bCs/>
              </w:rPr>
              <w:t>Victoria</w:t>
            </w:r>
          </w:p>
        </w:tc>
        <w:tc>
          <w:tcPr>
            <w:tcW w:w="919" w:type="pct"/>
            <w:vAlign w:val="top"/>
            <w:hideMark/>
          </w:tcPr>
          <w:p w14:paraId="33E32000" w14:textId="77777777" w:rsidR="001E063A" w:rsidRPr="00FA2D42" w:rsidRDefault="001E063A" w:rsidP="00EF1A3D">
            <w:pPr>
              <w:pStyle w:val="TableText"/>
              <w:cnfStyle w:val="000000000000" w:firstRow="0" w:lastRow="0" w:firstColumn="0" w:lastColumn="0" w:oddVBand="0" w:evenVBand="0" w:oddHBand="0" w:evenHBand="0" w:firstRowFirstColumn="0" w:firstRowLastColumn="0" w:lastRowFirstColumn="0" w:lastRowLastColumn="0"/>
            </w:pPr>
            <w:r w:rsidRPr="00FA2D42">
              <w:rPr>
                <w:rStyle w:val="Enfasicorsivo"/>
              </w:rPr>
              <w:t>Equal Opportunity Act 2010</w:t>
            </w:r>
            <w:r w:rsidRPr="00FA2D42">
              <w:t xml:space="preserve"> (Vic)</w:t>
            </w:r>
          </w:p>
        </w:tc>
        <w:tc>
          <w:tcPr>
            <w:tcW w:w="984" w:type="pct"/>
            <w:vAlign w:val="top"/>
            <w:hideMark/>
          </w:tcPr>
          <w:p w14:paraId="2B4F63F6" w14:textId="77777777" w:rsidR="001E063A" w:rsidRPr="00FA2D42" w:rsidRDefault="001E063A" w:rsidP="00EF1A3D">
            <w:pPr>
              <w:pStyle w:val="TableText"/>
              <w:cnfStyle w:val="000000000000" w:firstRow="0" w:lastRow="0" w:firstColumn="0" w:lastColumn="0" w:oddVBand="0" w:evenVBand="0" w:oddHBand="0" w:evenHBand="0" w:firstRowFirstColumn="0" w:firstRowLastColumn="0" w:lastRowFirstColumn="0" w:lastRowLastColumn="0"/>
            </w:pPr>
            <w:r w:rsidRPr="00FA2D42">
              <w:t>Victorian Equal Opportunity and Human Rights Commission</w:t>
            </w:r>
          </w:p>
        </w:tc>
        <w:tc>
          <w:tcPr>
            <w:tcW w:w="2183" w:type="pct"/>
            <w:vAlign w:val="top"/>
            <w:hideMark/>
          </w:tcPr>
          <w:p w14:paraId="1FBAA48B" w14:textId="0D09AF98" w:rsidR="007E24D6" w:rsidRPr="00FA2D42" w:rsidRDefault="003D2388" w:rsidP="00EF1A3D">
            <w:pPr>
              <w:pStyle w:val="TableText"/>
              <w:cnfStyle w:val="000000000000" w:firstRow="0" w:lastRow="0" w:firstColumn="0" w:lastColumn="0" w:oddVBand="0" w:evenVBand="0" w:oddHBand="0" w:evenHBand="0" w:firstRowFirstColumn="0" w:firstRowLastColumn="0" w:lastRowFirstColumn="0" w:lastRowLastColumn="0"/>
              <w:rPr>
                <w:rStyle w:val="Collegamentoipertestuale"/>
                <w:szCs w:val="18"/>
              </w:rPr>
            </w:pPr>
            <w:hyperlink r:id="rId45" w:history="1">
              <w:r w:rsidR="007E24D6" w:rsidRPr="00554B12">
                <w:rPr>
                  <w:rStyle w:val="Collegamentoipertestuale"/>
                  <w:szCs w:val="18"/>
                </w:rPr>
                <w:t>https://www.humanrights.vic.gov.au/get-help/contact-us/</w:t>
              </w:r>
            </w:hyperlink>
          </w:p>
        </w:tc>
      </w:tr>
      <w:tr w:rsidR="00BF05F7" w:rsidRPr="00FA2D42" w14:paraId="2E1FBFCB" w14:textId="77777777" w:rsidTr="00BF05F7">
        <w:tc>
          <w:tcPr>
            <w:cnfStyle w:val="001000000000" w:firstRow="0" w:lastRow="0" w:firstColumn="1" w:lastColumn="0" w:oddVBand="0" w:evenVBand="0" w:oddHBand="0" w:evenHBand="0" w:firstRowFirstColumn="0" w:firstRowLastColumn="0" w:lastRowFirstColumn="0" w:lastRowLastColumn="0"/>
            <w:tcW w:w="913" w:type="pct"/>
            <w:vAlign w:val="top"/>
            <w:hideMark/>
          </w:tcPr>
          <w:p w14:paraId="03141998" w14:textId="77777777" w:rsidR="001E063A" w:rsidRPr="006B7046" w:rsidRDefault="001E063A" w:rsidP="00F67758">
            <w:pPr>
              <w:pStyle w:val="TableText"/>
              <w:rPr>
                <w:b w:val="0"/>
                <w:bCs/>
              </w:rPr>
            </w:pPr>
            <w:r w:rsidRPr="006B7046">
              <w:rPr>
                <w:b w:val="0"/>
                <w:bCs/>
              </w:rPr>
              <w:t>Western Australia</w:t>
            </w:r>
          </w:p>
        </w:tc>
        <w:tc>
          <w:tcPr>
            <w:tcW w:w="919" w:type="pct"/>
            <w:vAlign w:val="top"/>
            <w:hideMark/>
          </w:tcPr>
          <w:p w14:paraId="3526A07B" w14:textId="77777777" w:rsidR="001E063A" w:rsidRPr="00FA2D42" w:rsidRDefault="001E063A" w:rsidP="00EF1A3D">
            <w:pPr>
              <w:pStyle w:val="TableText"/>
              <w:cnfStyle w:val="000000000000" w:firstRow="0" w:lastRow="0" w:firstColumn="0" w:lastColumn="0" w:oddVBand="0" w:evenVBand="0" w:oddHBand="0" w:evenHBand="0" w:firstRowFirstColumn="0" w:firstRowLastColumn="0" w:lastRowFirstColumn="0" w:lastRowLastColumn="0"/>
            </w:pPr>
            <w:r w:rsidRPr="00FA2D42">
              <w:rPr>
                <w:rStyle w:val="Enfasicorsivo"/>
              </w:rPr>
              <w:t>Equal Opportunity Act 1984</w:t>
            </w:r>
            <w:r w:rsidRPr="00FA2D42">
              <w:t xml:space="preserve"> (WA)</w:t>
            </w:r>
          </w:p>
        </w:tc>
        <w:tc>
          <w:tcPr>
            <w:tcW w:w="984" w:type="pct"/>
            <w:vAlign w:val="top"/>
            <w:hideMark/>
          </w:tcPr>
          <w:p w14:paraId="25E7545F" w14:textId="77777777" w:rsidR="001E063A" w:rsidRPr="00FA2D42" w:rsidRDefault="001E063A" w:rsidP="00EF1A3D">
            <w:pPr>
              <w:pStyle w:val="TableText"/>
              <w:cnfStyle w:val="000000000000" w:firstRow="0" w:lastRow="0" w:firstColumn="0" w:lastColumn="0" w:oddVBand="0" w:evenVBand="0" w:oddHBand="0" w:evenHBand="0" w:firstRowFirstColumn="0" w:firstRowLastColumn="0" w:lastRowFirstColumn="0" w:lastRowLastColumn="0"/>
            </w:pPr>
            <w:r w:rsidRPr="00FA2D42">
              <w:t>Western Australian Equal Opportunity Commission</w:t>
            </w:r>
          </w:p>
        </w:tc>
        <w:tc>
          <w:tcPr>
            <w:tcW w:w="2183" w:type="pct"/>
            <w:vAlign w:val="top"/>
            <w:hideMark/>
          </w:tcPr>
          <w:p w14:paraId="369C8825" w14:textId="77777777" w:rsidR="001E063A" w:rsidRPr="00FA2D42" w:rsidRDefault="003D2388" w:rsidP="00EF1A3D">
            <w:pPr>
              <w:pStyle w:val="TableText"/>
              <w:cnfStyle w:val="000000000000" w:firstRow="0" w:lastRow="0" w:firstColumn="0" w:lastColumn="0" w:oddVBand="0" w:evenVBand="0" w:oddHBand="0" w:evenHBand="0" w:firstRowFirstColumn="0" w:firstRowLastColumn="0" w:lastRowFirstColumn="0" w:lastRowLastColumn="0"/>
              <w:rPr>
                <w:color w:val="2BB8C9" w:themeColor="accent2"/>
                <w:szCs w:val="18"/>
              </w:rPr>
            </w:pPr>
            <w:hyperlink r:id="rId46" w:history="1">
              <w:r w:rsidR="001E063A" w:rsidRPr="00FA2D42">
                <w:rPr>
                  <w:rStyle w:val="Collegamentoipertestuale"/>
                  <w:szCs w:val="18"/>
                </w:rPr>
                <w:t>https://www.wa.gov.au/organisation/equal-opportunity-commission</w:t>
              </w:r>
            </w:hyperlink>
          </w:p>
        </w:tc>
      </w:tr>
    </w:tbl>
    <w:p w14:paraId="15FCE4A7" w14:textId="69CDF8E5" w:rsidR="00F67758" w:rsidRDefault="00F67758" w:rsidP="00F67758">
      <w:bookmarkStart w:id="55" w:name="Appendix"/>
      <w:bookmarkStart w:id="56" w:name="_Toc118316305"/>
    </w:p>
    <w:p w14:paraId="0E906E17" w14:textId="12DF278C" w:rsidR="001E063A" w:rsidRPr="00B92F09" w:rsidRDefault="001E063A" w:rsidP="00B92F09">
      <w:pPr>
        <w:pStyle w:val="Titolo5"/>
      </w:pPr>
      <w:r w:rsidRPr="00B92F09">
        <w:t xml:space="preserve">Appendix – Template for documenting </w:t>
      </w:r>
      <w:r w:rsidR="004F5827">
        <w:t xml:space="preserve">a </w:t>
      </w:r>
      <w:r w:rsidRPr="00B92F09">
        <w:t>targeted recruitment strategy addressing special measure criteria</w:t>
      </w:r>
      <w:bookmarkEnd w:id="55"/>
      <w:bookmarkEnd w:id="56"/>
    </w:p>
    <w:p w14:paraId="55DC1982" w14:textId="7D77910D" w:rsidR="001E063A" w:rsidRDefault="00EA1A33" w:rsidP="001E063A">
      <w:r>
        <w:t>If an employer follows the practical steps set out in the following sections of the Guidelines, this will assist in demonstrating that a proposed target recruitment strategy is a special measure which is consistent with anti-discrimination law.</w:t>
      </w:r>
    </w:p>
    <w:p w14:paraId="77CB700F" w14:textId="57FFCB15" w:rsidR="001E063A" w:rsidRPr="00855C44" w:rsidRDefault="001E063A">
      <w:pPr>
        <w:pStyle w:val="Titolo4"/>
        <w:numPr>
          <w:ilvl w:val="0"/>
          <w:numId w:val="32"/>
        </w:numPr>
      </w:pPr>
      <w:r>
        <w:t>Describe the</w:t>
      </w:r>
      <w:r w:rsidRPr="00855C44">
        <w:t xml:space="preserve"> targeted recruitment strategy</w:t>
      </w:r>
    </w:p>
    <w:p w14:paraId="5296D580" w14:textId="77777777" w:rsidR="001E063A" w:rsidRDefault="001E063A" w:rsidP="009E4BB1">
      <w:pPr>
        <w:pStyle w:val="NormalIndent1cm"/>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89789F" w14:textId="109BDCDF" w:rsidR="001E063A" w:rsidRPr="00B92F09" w:rsidRDefault="001E063A">
      <w:pPr>
        <w:pStyle w:val="Titolo4"/>
      </w:pPr>
      <w:r w:rsidRPr="00E2526F">
        <w:t>Declare</w:t>
      </w:r>
      <w:r w:rsidRPr="00B92F09">
        <w:t xml:space="preserve"> the intention to fill the above position/s through a ‘special measure’</w:t>
      </w:r>
    </w:p>
    <w:p w14:paraId="4CADF106" w14:textId="2A250B28" w:rsidR="00BA27C3" w:rsidRDefault="001E063A" w:rsidP="00B92F09">
      <w:pPr>
        <w:pStyle w:val="Rientronormale"/>
      </w:pPr>
      <w:r>
        <w:t>The filling of this position is intended to constitute a special measure under s</w:t>
      </w:r>
      <w:r w:rsidR="00C3074E">
        <w:t>ection</w:t>
      </w:r>
      <w:r>
        <w:t xml:space="preserve"> 45 of the </w:t>
      </w:r>
      <w:r w:rsidRPr="00B92F09">
        <w:rPr>
          <w:rStyle w:val="Enfasicorsivo"/>
        </w:rPr>
        <w:t>Disability Discrimination Act 1992</w:t>
      </w:r>
      <w:r>
        <w:t xml:space="preserve"> (Cth), and [select appropriate jurisdiction/s from:</w:t>
      </w:r>
    </w:p>
    <w:p w14:paraId="0916AE94" w14:textId="4C9F8CE4" w:rsidR="00BA27C3" w:rsidRDefault="001E063A" w:rsidP="009E4BB1">
      <w:pPr>
        <w:pStyle w:val="Puntoelenco4"/>
        <w:contextualSpacing/>
      </w:pPr>
      <w:r>
        <w:t>s</w:t>
      </w:r>
      <w:r w:rsidR="00C3074E">
        <w:t>ection</w:t>
      </w:r>
      <w:r>
        <w:t xml:space="preserve"> 27 of the </w:t>
      </w:r>
      <w:r w:rsidRPr="00B92F09">
        <w:rPr>
          <w:rStyle w:val="Enfasicorsivo"/>
        </w:rPr>
        <w:t>Discrimination Act 1991</w:t>
      </w:r>
      <w:r>
        <w:t xml:space="preserve"> (ACT)</w:t>
      </w:r>
    </w:p>
    <w:p w14:paraId="27E44706" w14:textId="47DF01DC" w:rsidR="00BA27C3" w:rsidRDefault="001E063A" w:rsidP="009E4BB1">
      <w:pPr>
        <w:pStyle w:val="Puntoelenco4"/>
        <w:contextualSpacing/>
      </w:pPr>
      <w:r>
        <w:t>s</w:t>
      </w:r>
      <w:r w:rsidR="00C3074E">
        <w:t>ection</w:t>
      </w:r>
      <w:r>
        <w:t xml:space="preserve"> 57 of the </w:t>
      </w:r>
      <w:r w:rsidRPr="00B92F09">
        <w:rPr>
          <w:rStyle w:val="Enfasicorsivo"/>
        </w:rPr>
        <w:t>Anti-Discrimination Act 1992</w:t>
      </w:r>
      <w:r>
        <w:t xml:space="preserve"> (NT)</w:t>
      </w:r>
    </w:p>
    <w:p w14:paraId="0B205699" w14:textId="1DBA6E39" w:rsidR="00BA27C3" w:rsidRDefault="001E063A" w:rsidP="009E4BB1">
      <w:pPr>
        <w:pStyle w:val="Puntoelenco4"/>
        <w:contextualSpacing/>
      </w:pPr>
      <w:r>
        <w:t>s</w:t>
      </w:r>
      <w:r w:rsidR="00C3074E">
        <w:t>ection</w:t>
      </w:r>
      <w:r>
        <w:t xml:space="preserve"> 105 of the </w:t>
      </w:r>
      <w:r w:rsidRPr="00B92F09">
        <w:rPr>
          <w:rStyle w:val="Enfasicorsivo"/>
        </w:rPr>
        <w:t>Anti-Discrimination Act 1991</w:t>
      </w:r>
      <w:r>
        <w:t xml:space="preserve"> (Qld)</w:t>
      </w:r>
    </w:p>
    <w:p w14:paraId="3AFA09B4" w14:textId="3C3D2782" w:rsidR="00BA27C3" w:rsidRDefault="001E063A" w:rsidP="009E4BB1">
      <w:pPr>
        <w:pStyle w:val="Puntoelenco4"/>
        <w:contextualSpacing/>
      </w:pPr>
      <w:r>
        <w:t>s</w:t>
      </w:r>
      <w:r w:rsidR="00C3074E">
        <w:t>ection</w:t>
      </w:r>
      <w:r>
        <w:t xml:space="preserve"> 82 of the </w:t>
      </w:r>
      <w:r w:rsidRPr="00B92F09">
        <w:rPr>
          <w:rStyle w:val="Enfasicorsivo"/>
        </w:rPr>
        <w:t>Equal Opportunity Act 1984</w:t>
      </w:r>
      <w:r>
        <w:t xml:space="preserve"> (SA)</w:t>
      </w:r>
    </w:p>
    <w:p w14:paraId="46EA2C5E" w14:textId="78A58144" w:rsidR="00BA27C3" w:rsidRDefault="001E063A" w:rsidP="009E4BB1">
      <w:pPr>
        <w:pStyle w:val="Puntoelenco4"/>
        <w:contextualSpacing/>
      </w:pPr>
      <w:r>
        <w:t>s</w:t>
      </w:r>
      <w:r w:rsidR="00C3074E">
        <w:t>ection</w:t>
      </w:r>
      <w:r>
        <w:t xml:space="preserve"> 25 and/or </w:t>
      </w:r>
      <w:r w:rsidR="00C3074E">
        <w:t xml:space="preserve">section </w:t>
      </w:r>
      <w:r>
        <w:t xml:space="preserve">26 of the </w:t>
      </w:r>
      <w:r w:rsidRPr="00B92F09">
        <w:rPr>
          <w:rStyle w:val="Enfasicorsivo"/>
        </w:rPr>
        <w:t>Anti-Discrimination Act 1998</w:t>
      </w:r>
      <w:r>
        <w:t xml:space="preserve"> (Tas)</w:t>
      </w:r>
    </w:p>
    <w:p w14:paraId="043F48C5" w14:textId="01DF6655" w:rsidR="00BA27C3" w:rsidRDefault="001E063A" w:rsidP="009E4BB1">
      <w:pPr>
        <w:pStyle w:val="Puntoelenco4"/>
        <w:contextualSpacing/>
      </w:pPr>
      <w:r>
        <w:t>s</w:t>
      </w:r>
      <w:r w:rsidR="00C3074E">
        <w:t>ection</w:t>
      </w:r>
      <w:r>
        <w:t xml:space="preserve"> 12 of the </w:t>
      </w:r>
      <w:r w:rsidRPr="00B92F09">
        <w:rPr>
          <w:rStyle w:val="Enfasicorsivo"/>
        </w:rPr>
        <w:t>Equal Opportunity Act 2010</w:t>
      </w:r>
      <w:r>
        <w:t xml:space="preserve"> (Vic) and s 8(4) of the </w:t>
      </w:r>
      <w:r w:rsidRPr="00B92F09">
        <w:rPr>
          <w:rStyle w:val="Enfasicorsivo"/>
        </w:rPr>
        <w:t>Charter of Human Rights and</w:t>
      </w:r>
      <w:r w:rsidR="009E4BB1">
        <w:rPr>
          <w:rStyle w:val="Enfasicorsivo"/>
        </w:rPr>
        <w:t> </w:t>
      </w:r>
      <w:r w:rsidRPr="00B92F09">
        <w:rPr>
          <w:rStyle w:val="Enfasicorsivo"/>
        </w:rPr>
        <w:t>Responsibilities Act 2006</w:t>
      </w:r>
      <w:r>
        <w:t xml:space="preserve"> (Vic)</w:t>
      </w:r>
    </w:p>
    <w:p w14:paraId="0325DB02" w14:textId="68F56B5F" w:rsidR="00BA27C3" w:rsidRDefault="001E063A" w:rsidP="009E4BB1">
      <w:pPr>
        <w:pStyle w:val="Puntoelenco4"/>
        <w:contextualSpacing/>
      </w:pPr>
      <w:r>
        <w:t>s</w:t>
      </w:r>
      <w:r w:rsidR="00C3074E">
        <w:t>ection</w:t>
      </w:r>
      <w:r>
        <w:t xml:space="preserve"> 66R of the </w:t>
      </w:r>
      <w:r w:rsidRPr="00B92F09">
        <w:rPr>
          <w:rStyle w:val="Enfasicorsivo"/>
        </w:rPr>
        <w:t>Equal Opportunity Act 1984</w:t>
      </w:r>
      <w:r>
        <w:t xml:space="preserve"> (WA).</w:t>
      </w:r>
      <w:r w:rsidR="003A5191">
        <w:t>]</w:t>
      </w:r>
    </w:p>
    <w:p w14:paraId="57E565E5" w14:textId="0AD75D60" w:rsidR="001E063A" w:rsidRDefault="001E063A" w:rsidP="00B92F09">
      <w:pPr>
        <w:pStyle w:val="Rientronormale"/>
      </w:pPr>
      <w:r>
        <w:t>The position/s is/are therefore only open to applicants with disability/ applicants with [disability/particular disability].</w:t>
      </w:r>
    </w:p>
    <w:p w14:paraId="1682DF08" w14:textId="02EC5869" w:rsidR="001E063A" w:rsidRPr="00855C44" w:rsidRDefault="001E063A">
      <w:pPr>
        <w:pStyle w:val="Titolo4"/>
      </w:pPr>
      <w:r>
        <w:t xml:space="preserve">Explain </w:t>
      </w:r>
      <w:r w:rsidRPr="00E2526F">
        <w:t>why</w:t>
      </w:r>
      <w:r w:rsidRPr="00855C44">
        <w:t xml:space="preserve"> the targeted recruitment strategy </w:t>
      </w:r>
      <w:r>
        <w:t xml:space="preserve">is </w:t>
      </w:r>
      <w:r w:rsidRPr="00855C44">
        <w:t xml:space="preserve">necessary </w:t>
      </w:r>
    </w:p>
    <w:p w14:paraId="35B2EB68" w14:textId="005CF46F" w:rsidR="001E063A" w:rsidRPr="004D4914" w:rsidRDefault="001E063A">
      <w:pPr>
        <w:pStyle w:val="Puntoelenco4"/>
      </w:pPr>
      <w:r>
        <w:t xml:space="preserve">Provide evidence that the target group of people with disability are disadvantaged </w:t>
      </w:r>
      <w:r w:rsidR="00DB2921">
        <w:t xml:space="preserve">in employment </w:t>
      </w:r>
      <w:r>
        <w:t xml:space="preserve">because of their disability (for example data from the Australian Bureau of </w:t>
      </w:r>
      <w:r w:rsidRPr="004D4914">
        <w:t>Statistics or the Australian Institute of Health and Welfare), or</w:t>
      </w:r>
    </w:p>
    <w:p w14:paraId="2BFDC2C8" w14:textId="0919FB01" w:rsidR="001E063A" w:rsidRDefault="00A66C0A">
      <w:pPr>
        <w:pStyle w:val="Puntoelenco4"/>
      </w:pPr>
      <w:r>
        <w:t>P</w:t>
      </w:r>
      <w:r w:rsidR="001E063A" w:rsidRPr="004D4914">
        <w:t>rovide e</w:t>
      </w:r>
      <w:r w:rsidR="001E063A">
        <w:t>vidence about the special need</w:t>
      </w:r>
      <w:r w:rsidR="00D01A0F">
        <w:t>s</w:t>
      </w:r>
      <w:r w:rsidR="001E063A">
        <w:t xml:space="preserve"> of the target group of people with disability which </w:t>
      </w:r>
      <w:r w:rsidR="00D01A0F">
        <w:t xml:space="preserve">are </w:t>
      </w:r>
      <w:r w:rsidR="001E063A">
        <w:t>required to be met in the employment context.</w:t>
      </w:r>
    </w:p>
    <w:p w14:paraId="41264FDE" w14:textId="77777777" w:rsidR="001E063A" w:rsidRDefault="001E063A" w:rsidP="009E4BB1">
      <w:pPr>
        <w:pStyle w:val="NormalIndent1cm"/>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D2CFFC" w14:textId="12E6FBAA" w:rsidR="001E063A" w:rsidRPr="00821D6E" w:rsidRDefault="001E063A">
      <w:pPr>
        <w:pStyle w:val="Titolo4"/>
      </w:pPr>
      <w:r>
        <w:t>Explain h</w:t>
      </w:r>
      <w:r w:rsidRPr="00821D6E">
        <w:t>ow the targeted recruitment strategy</w:t>
      </w:r>
      <w:r>
        <w:t xml:space="preserve"> will</w:t>
      </w:r>
      <w:r w:rsidRPr="00821D6E">
        <w:t xml:space="preserve"> promote equal opportunity for, or meet the special needs of, the target group of people with disability</w:t>
      </w:r>
    </w:p>
    <w:p w14:paraId="3381FCAB" w14:textId="77777777" w:rsidR="001E063A" w:rsidRDefault="001E063A">
      <w:pPr>
        <w:pStyle w:val="Puntoelenco4"/>
      </w:pPr>
      <w:r>
        <w:t>Explain the planning and rationale behind the targeted recruitment strategy, demonstrating its suitability to achieve its purpose.</w:t>
      </w:r>
    </w:p>
    <w:p w14:paraId="1CC70B5C" w14:textId="77777777" w:rsidR="001E063A" w:rsidRDefault="001E063A">
      <w:pPr>
        <w:pStyle w:val="Puntoelenco4"/>
      </w:pPr>
      <w:r>
        <w:t>Include here reference to any relevant provisions of a Disability Action Plan or Diversity and Inclusion Plan.</w:t>
      </w:r>
    </w:p>
    <w:p w14:paraId="1B0B76BB" w14:textId="169D73C6" w:rsidR="001E063A" w:rsidRDefault="001E063A" w:rsidP="009E4BB1">
      <w:pPr>
        <w:pStyle w:val="NormalIndent1cm"/>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E4BB1">
        <w:t>______</w:t>
      </w:r>
    </w:p>
    <w:p w14:paraId="21D6A127" w14:textId="782ED5A2" w:rsidR="001E063A" w:rsidRPr="00A53BF8" w:rsidRDefault="001E063A">
      <w:pPr>
        <w:pStyle w:val="Titolo4"/>
      </w:pPr>
      <w:r w:rsidRPr="00A53BF8">
        <w:t xml:space="preserve">Demonstrate how the strategy is otherwise reasonable and proportionate in its intention and effect </w:t>
      </w:r>
    </w:p>
    <w:p w14:paraId="41F11801" w14:textId="77777777" w:rsidR="001E063A" w:rsidRDefault="001E063A" w:rsidP="009E4BB1">
      <w:pPr>
        <w:pStyle w:val="Puntoelenco4"/>
      </w:pPr>
      <w:r>
        <w:t>Explain why it is reasonably likely that the strategy will be successful.</w:t>
      </w:r>
    </w:p>
    <w:p w14:paraId="5932B91A" w14:textId="77777777" w:rsidR="001E063A" w:rsidRDefault="001E063A">
      <w:pPr>
        <w:pStyle w:val="Puntoelenco4"/>
      </w:pPr>
      <w:r>
        <w:t xml:space="preserve">Explain why the strategy is proportionate and does not go beyond what it is necessary to do. </w:t>
      </w:r>
    </w:p>
    <w:p w14:paraId="52E8F835" w14:textId="77777777" w:rsidR="009E4BB1" w:rsidRDefault="001E063A">
      <w:pPr>
        <w:pStyle w:val="Puntoelenco4"/>
      </w:pPr>
      <w:r>
        <w:t xml:space="preserve">Include why alternatives are not possible or will be ineffective (for example, by referencing previous unsuccessful attempts to employ the target group of people with disability in the past, or low numbers of people in the target group of people with disability, or prior failures to meet the special need). </w:t>
      </w:r>
    </w:p>
    <w:p w14:paraId="09F3F304" w14:textId="1FE7ED6F" w:rsidR="001E063A" w:rsidRDefault="001E063A" w:rsidP="009E4BB1">
      <w:pPr>
        <w:pStyle w:val="NormalIndent1cm"/>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E4BB1">
        <w:t>_________</w:t>
      </w:r>
    </w:p>
    <w:p w14:paraId="6EBE8863" w14:textId="44E47409" w:rsidR="001E063A" w:rsidRPr="004D4914" w:rsidRDefault="001E063A">
      <w:pPr>
        <w:pStyle w:val="Titolo4"/>
      </w:pPr>
      <w:r w:rsidRPr="004D4914">
        <w:t>Explain that the strategy will be regularly reviewed to ensure that it</w:t>
      </w:r>
      <w:r>
        <w:t xml:space="preserve"> </w:t>
      </w:r>
      <w:r w:rsidRPr="004D4914">
        <w:t xml:space="preserve">remains necessary </w:t>
      </w:r>
    </w:p>
    <w:p w14:paraId="1E83370D" w14:textId="77777777" w:rsidR="001E063A" w:rsidRDefault="001E063A">
      <w:pPr>
        <w:pStyle w:val="Puntoelenco4"/>
      </w:pPr>
      <w:r>
        <w:t>Explain how long the strategy will continue and how its success in achieving its purpose will be measured (for example, any relevant employment targets), and proposed time for review to assess whether the strategy is working.</w:t>
      </w:r>
    </w:p>
    <w:p w14:paraId="2AE3B595" w14:textId="6A7FE9B7" w:rsidR="001E063A" w:rsidRDefault="001E063A" w:rsidP="009E4BB1">
      <w:pPr>
        <w:pStyle w:val="NormalIndent1cm"/>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E4BB1">
        <w:t>______</w:t>
      </w:r>
    </w:p>
    <w:p w14:paraId="16843B88" w14:textId="465005C8" w:rsidR="001A7C91" w:rsidRDefault="00A53BF8" w:rsidP="00881DD5">
      <w:pPr>
        <w:keepLines w:val="0"/>
        <w:spacing w:after="160" w:line="259" w:lineRule="auto"/>
      </w:pPr>
      <w:r>
        <w:br w:type="page"/>
      </w:r>
    </w:p>
    <w:p w14:paraId="06FA932A" w14:textId="68690610" w:rsidR="008810F5" w:rsidRPr="00BF05F7" w:rsidRDefault="008810F5" w:rsidP="008810F5">
      <w:r w:rsidRPr="00E22AF1">
        <w:rPr>
          <w:rStyle w:val="Enfasigrassetto"/>
        </w:rPr>
        <w:t>Endnotes</w:t>
      </w:r>
    </w:p>
    <w:p w14:paraId="0A31C651" w14:textId="4DA05504" w:rsidR="008810F5" w:rsidRDefault="008810F5" w:rsidP="00881DD5">
      <w:pPr>
        <w:keepLines w:val="0"/>
        <w:spacing w:after="160" w:line="259" w:lineRule="auto"/>
        <w:sectPr w:rsidR="008810F5" w:rsidSect="008810F5">
          <w:headerReference w:type="even" r:id="rId47"/>
          <w:headerReference w:type="default" r:id="rId48"/>
          <w:footerReference w:type="default" r:id="rId49"/>
          <w:headerReference w:type="first" r:id="rId50"/>
          <w:footerReference w:type="first" r:id="rId51"/>
          <w:endnotePr>
            <w:numFmt w:val="decimal"/>
          </w:endnotePr>
          <w:pgSz w:w="11906" w:h="16838"/>
          <w:pgMar w:top="1440" w:right="1440" w:bottom="1440" w:left="1440" w:header="709" w:footer="709" w:gutter="0"/>
          <w:cols w:space="708"/>
          <w:docGrid w:linePitch="360"/>
        </w:sectPr>
      </w:pPr>
    </w:p>
    <w:p w14:paraId="21233C5A" w14:textId="2901B489" w:rsidR="003E224E" w:rsidRPr="003E224E" w:rsidRDefault="003E224E" w:rsidP="003E224E">
      <w:pPr>
        <w:pStyle w:val="Titolo6"/>
        <w:rPr>
          <w:rStyle w:val="Enfasigrassetto"/>
        </w:rPr>
      </w:pPr>
      <w:r w:rsidRPr="003E224E">
        <w:rPr>
          <w:rStyle w:val="Enfasigrassetto"/>
        </w:rPr>
        <w:t xml:space="preserve">Further </w:t>
      </w:r>
      <w:r>
        <w:rPr>
          <w:rStyle w:val="Enfasigrassetto"/>
        </w:rPr>
        <w:t>I</w:t>
      </w:r>
      <w:r w:rsidRPr="003E224E">
        <w:rPr>
          <w:rStyle w:val="Enfasigrassetto"/>
        </w:rPr>
        <w:t>nformation</w:t>
      </w:r>
    </w:p>
    <w:p w14:paraId="2A7A6821" w14:textId="77777777" w:rsidR="003E224E" w:rsidRDefault="003E224E" w:rsidP="003E224E">
      <w:pPr>
        <w:pStyle w:val="CopyrightAddress"/>
      </w:pPr>
      <w:r w:rsidRPr="003E224E">
        <w:t>Australian Human Rights Commission</w:t>
      </w:r>
    </w:p>
    <w:p w14:paraId="65726025" w14:textId="77777777" w:rsidR="003E224E" w:rsidRDefault="003E224E" w:rsidP="003E224E">
      <w:pPr>
        <w:pStyle w:val="CopyrightAddress"/>
      </w:pPr>
      <w:r w:rsidRPr="003E224E">
        <w:t>Level 3, 175 Pitt Street</w:t>
      </w:r>
    </w:p>
    <w:p w14:paraId="1F7D68EC" w14:textId="3C4E90E3" w:rsidR="003E224E" w:rsidRDefault="003E224E" w:rsidP="003E224E">
      <w:pPr>
        <w:pStyle w:val="CopyrightAddress"/>
      </w:pPr>
      <w:r w:rsidRPr="003E224E">
        <w:t>S</w:t>
      </w:r>
      <w:r>
        <w:t>ydney</w:t>
      </w:r>
      <w:r w:rsidRPr="003E224E">
        <w:t xml:space="preserve"> NSW 2000</w:t>
      </w:r>
    </w:p>
    <w:p w14:paraId="639CCAE3" w14:textId="11204ED8" w:rsidR="003E224E" w:rsidRDefault="003E224E" w:rsidP="003E224E">
      <w:pPr>
        <w:pStyle w:val="CopyrightAddress"/>
      </w:pPr>
      <w:r w:rsidRPr="003E224E">
        <w:t>GPO Box 5218</w:t>
      </w:r>
    </w:p>
    <w:p w14:paraId="3976FEFE" w14:textId="21FC91F5" w:rsidR="003E224E" w:rsidRDefault="003E224E" w:rsidP="003E224E">
      <w:pPr>
        <w:pStyle w:val="CopyrightAddress"/>
      </w:pPr>
      <w:r w:rsidRPr="003E224E">
        <w:t>S</w:t>
      </w:r>
      <w:r>
        <w:t>ydney</w:t>
      </w:r>
      <w:r w:rsidRPr="003E224E">
        <w:t xml:space="preserve"> NSW 2001</w:t>
      </w:r>
    </w:p>
    <w:p w14:paraId="69B2CF41" w14:textId="77777777" w:rsidR="003E224E" w:rsidRDefault="003E224E" w:rsidP="003E224E">
      <w:pPr>
        <w:pStyle w:val="CopyrightAddress"/>
      </w:pPr>
      <w:r w:rsidRPr="003E224E">
        <w:t>Telephone: (02) 9284 9600Complaints Infoline: 1300 656 419</w:t>
      </w:r>
    </w:p>
    <w:p w14:paraId="14F17563" w14:textId="77777777" w:rsidR="003E224E" w:rsidRDefault="003E224E" w:rsidP="003E224E">
      <w:r w:rsidRPr="003E224E">
        <w:t>General enquiries and publications: 1300 369 711TTY: 1800 620 241Fax: (02) 9284 9611</w:t>
      </w:r>
    </w:p>
    <w:p w14:paraId="0C478D42" w14:textId="3369F403" w:rsidR="003E224E" w:rsidRDefault="003E224E" w:rsidP="003E224E">
      <w:r w:rsidRPr="003E224E">
        <w:t xml:space="preserve">Website: </w:t>
      </w:r>
      <w:hyperlink r:id="rId52" w:history="1">
        <w:r w:rsidRPr="001F5512">
          <w:rPr>
            <w:rStyle w:val="Collegamentoipertestuale"/>
          </w:rPr>
          <w:t>www.humanrights.gov.au</w:t>
        </w:r>
      </w:hyperlink>
    </w:p>
    <w:p w14:paraId="61C13EFC" w14:textId="4D9A2243" w:rsidR="003E224E" w:rsidRDefault="003E224E" w:rsidP="003E224E">
      <w:r w:rsidRPr="003E224E">
        <w:t xml:space="preserve">For detailed and up to date information about the Australian Human Rights Commission visit our website at </w:t>
      </w:r>
      <w:hyperlink r:id="rId53" w:history="1">
        <w:r w:rsidRPr="001F5512">
          <w:rPr>
            <w:rStyle w:val="Collegamentoipertestuale"/>
          </w:rPr>
          <w:t>www.humanrights.gov.au</w:t>
        </w:r>
      </w:hyperlink>
      <w:r w:rsidRPr="003E224E">
        <w:t xml:space="preserve">. </w:t>
      </w:r>
    </w:p>
    <w:p w14:paraId="422FBFA1" w14:textId="155C529E" w:rsidR="008810F5" w:rsidRPr="003E224E" w:rsidRDefault="003E224E" w:rsidP="003E224E">
      <w:r w:rsidRPr="003E224E">
        <w:t xml:space="preserve">To order more publications from the Australian Human Rights Commission, download a Publication Order Form at </w:t>
      </w:r>
      <w:hyperlink r:id="rId54" w:history="1">
        <w:r w:rsidRPr="001F5512">
          <w:rPr>
            <w:rStyle w:val="Collegamentoipertestuale"/>
          </w:rPr>
          <w:t>www.humanrights.gov.au/about/publications/</w:t>
        </w:r>
      </w:hyperlink>
      <w:r>
        <w:t xml:space="preserve"> </w:t>
      </w:r>
      <w:r w:rsidRPr="003E224E">
        <w:t xml:space="preserve">call: (02) 9284 9600, fax: (02) 9284 9611 or email: </w:t>
      </w:r>
      <w:hyperlink r:id="rId55" w:history="1">
        <w:r w:rsidRPr="001F5512">
          <w:rPr>
            <w:rStyle w:val="Collegamentoipertestuale"/>
          </w:rPr>
          <w:t>publications@humanrights.gov.au</w:t>
        </w:r>
      </w:hyperlink>
      <w:r w:rsidRPr="003E224E">
        <w:t>.</w:t>
      </w:r>
    </w:p>
    <w:sectPr w:rsidR="008810F5" w:rsidRPr="003E224E" w:rsidSect="008810F5">
      <w:endnotePr>
        <w:numFmt w:val="decimal"/>
      </w:endnotePr>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B53D0" w14:textId="77777777" w:rsidR="003D2388" w:rsidRDefault="003D2388" w:rsidP="002C1E08">
      <w:r>
        <w:separator/>
      </w:r>
    </w:p>
  </w:endnote>
  <w:endnote w:type="continuationSeparator" w:id="0">
    <w:p w14:paraId="2865FDC1" w14:textId="77777777" w:rsidR="003D2388" w:rsidRDefault="003D2388" w:rsidP="002C1E08">
      <w:r>
        <w:continuationSeparator/>
      </w:r>
    </w:p>
  </w:endnote>
  <w:endnote w:type="continuationNotice" w:id="1">
    <w:p w14:paraId="71C3ABF8" w14:textId="77777777" w:rsidR="003D2388" w:rsidRDefault="003D2388" w:rsidP="002C1E08"/>
  </w:endnote>
  <w:endnote w:id="2">
    <w:p w14:paraId="28927AD5" w14:textId="65F046E2" w:rsidR="001E063A" w:rsidRPr="00633780" w:rsidRDefault="001E063A" w:rsidP="001E063A">
      <w:pPr>
        <w:pStyle w:val="Testonotadichiusura"/>
        <w:rPr>
          <w:rFonts w:cs="Open Sans"/>
          <w:szCs w:val="18"/>
        </w:rPr>
      </w:pPr>
      <w:r w:rsidRPr="00BF05F7">
        <w:rPr>
          <w:rStyle w:val="Rimandonotadichiusura"/>
        </w:rPr>
        <w:endnoteRef/>
      </w:r>
      <w:r w:rsidRPr="00BF05F7">
        <w:t xml:space="preserve"> </w:t>
      </w:r>
      <w:r w:rsidR="00E2526F" w:rsidRPr="00BF05F7">
        <w:tab/>
      </w:r>
      <w:r w:rsidRPr="00633780">
        <w:rPr>
          <w:rFonts w:cs="Open Sans"/>
          <w:szCs w:val="18"/>
        </w:rPr>
        <w:t xml:space="preserve">Australian Institute of Health and Welfare (AIHW), </w:t>
      </w:r>
      <w:r w:rsidRPr="0066509D">
        <w:rPr>
          <w:rStyle w:val="Enfasicorsivo"/>
        </w:rPr>
        <w:t>People with disability in Australia 2022</w:t>
      </w:r>
      <w:r w:rsidRPr="00633780">
        <w:rPr>
          <w:rFonts w:cs="Open Sans"/>
          <w:szCs w:val="18"/>
        </w:rPr>
        <w:t>, 14, 306-310. At</w:t>
      </w:r>
      <w:r w:rsidR="0066509D">
        <w:rPr>
          <w:rFonts w:cs="Open Sans"/>
          <w:szCs w:val="18"/>
        </w:rPr>
        <w:t> </w:t>
      </w:r>
      <w:hyperlink r:id="rId1" w:history="1">
        <w:r w:rsidRPr="00633780">
          <w:rPr>
            <w:rStyle w:val="Collegamentoipertestuale"/>
            <w:rFonts w:cs="Open Sans"/>
            <w:szCs w:val="18"/>
          </w:rPr>
          <w:t>https://www.aihw.gov.au/getmedia/5f322ec4-ef63-4c43-a854-64f7a2f55a04/aihw-dis-72-people-with-disability-in-australia-2022.pdf.aspx?inline=true</w:t>
        </w:r>
      </w:hyperlink>
      <w:r w:rsidRPr="00633780">
        <w:rPr>
          <w:rFonts w:cs="Open Sans"/>
          <w:szCs w:val="18"/>
        </w:rPr>
        <w:t xml:space="preserve"> (viewed 20 July 2022).</w:t>
      </w:r>
    </w:p>
  </w:endnote>
  <w:endnote w:id="3">
    <w:p w14:paraId="167F0D1B" w14:textId="1659EA2B" w:rsidR="001E063A" w:rsidRPr="00633780" w:rsidRDefault="001E063A" w:rsidP="001E063A">
      <w:pPr>
        <w:pStyle w:val="Testonotadichiusura"/>
        <w:rPr>
          <w:rFonts w:cs="Open Sans"/>
          <w:szCs w:val="18"/>
        </w:rPr>
      </w:pPr>
      <w:r w:rsidRPr="00BF05F7">
        <w:rPr>
          <w:rStyle w:val="Rimandonotadichiusura"/>
        </w:rPr>
        <w:endnoteRef/>
      </w:r>
      <w:r w:rsidRPr="00BF05F7">
        <w:t xml:space="preserve"> </w:t>
      </w:r>
      <w:r w:rsidR="00E2526F" w:rsidRPr="00BF05F7">
        <w:tab/>
      </w:r>
      <w:r w:rsidRPr="00633780">
        <w:rPr>
          <w:rFonts w:cs="Open Sans"/>
          <w:szCs w:val="18"/>
        </w:rPr>
        <w:t xml:space="preserve">Australian Institute of Health and Welfare (AIHW), </w:t>
      </w:r>
      <w:r w:rsidRPr="00BF05F7">
        <w:rPr>
          <w:rStyle w:val="Enfasicorsivo"/>
        </w:rPr>
        <w:t>People with disability in Australia 2022</w:t>
      </w:r>
      <w:r w:rsidRPr="00633780">
        <w:rPr>
          <w:rFonts w:cs="Open Sans"/>
          <w:szCs w:val="18"/>
        </w:rPr>
        <w:t>, 2022, 307. At</w:t>
      </w:r>
      <w:r w:rsidR="0066509D">
        <w:rPr>
          <w:rFonts w:cs="Open Sans"/>
          <w:szCs w:val="18"/>
        </w:rPr>
        <w:t> </w:t>
      </w:r>
      <w:hyperlink r:id="rId2" w:history="1">
        <w:r w:rsidRPr="00633780">
          <w:rPr>
            <w:rStyle w:val="Collegamentoipertestuale"/>
            <w:rFonts w:cs="Open Sans"/>
            <w:szCs w:val="18"/>
          </w:rPr>
          <w:t>https://www.aihw.gov.au/getmedia/5f322ec4-ef63-4c43-a854-64f7a2f55a04/aihw-dis-72-people-with-disability-in-australia-2022.pdf.aspx?inline=true</w:t>
        </w:r>
      </w:hyperlink>
      <w:r w:rsidRPr="00633780">
        <w:rPr>
          <w:rFonts w:cs="Open Sans"/>
          <w:szCs w:val="18"/>
        </w:rPr>
        <w:t xml:space="preserve"> (viewed 20 July 2022).</w:t>
      </w:r>
    </w:p>
  </w:endnote>
  <w:endnote w:id="4">
    <w:p w14:paraId="58344B7A" w14:textId="5F8FBEDB" w:rsidR="001E063A" w:rsidRPr="00B03633" w:rsidRDefault="001E063A" w:rsidP="001E063A">
      <w:pPr>
        <w:pStyle w:val="Testonotadichiusura"/>
        <w:rPr>
          <w:lang w:val="en-US"/>
        </w:rPr>
      </w:pPr>
      <w:r>
        <w:rPr>
          <w:rStyle w:val="Rimandonotadichiusura"/>
        </w:rPr>
        <w:endnoteRef/>
      </w:r>
      <w:r>
        <w:t xml:space="preserve"> </w:t>
      </w:r>
      <w:r w:rsidR="00E2526F">
        <w:tab/>
      </w:r>
      <w:r>
        <w:rPr>
          <w:lang w:val="en-US"/>
        </w:rPr>
        <w:t>The term ‘special needs’ will be used in th</w:t>
      </w:r>
      <w:r w:rsidR="00BA27C3">
        <w:rPr>
          <w:lang w:val="en-US"/>
        </w:rPr>
        <w:t>e</w:t>
      </w:r>
      <w:r>
        <w:rPr>
          <w:lang w:val="en-US"/>
        </w:rPr>
        <w:t xml:space="preserve"> </w:t>
      </w:r>
      <w:r w:rsidR="00BA27C3">
        <w:rPr>
          <w:lang w:val="en-US"/>
        </w:rPr>
        <w:t>G</w:t>
      </w:r>
      <w:r>
        <w:rPr>
          <w:lang w:val="en-US"/>
        </w:rPr>
        <w:t>uideline</w:t>
      </w:r>
      <w:r w:rsidR="00BA27C3">
        <w:rPr>
          <w:lang w:val="en-US"/>
        </w:rPr>
        <w:t>s</w:t>
      </w:r>
      <w:r>
        <w:rPr>
          <w:lang w:val="en-US"/>
        </w:rPr>
        <w:t xml:space="preserve"> to mirror the language used in s</w:t>
      </w:r>
      <w:r w:rsidR="00E8625E">
        <w:rPr>
          <w:lang w:val="en-US"/>
        </w:rPr>
        <w:t>ection</w:t>
      </w:r>
      <w:r>
        <w:rPr>
          <w:lang w:val="en-US"/>
        </w:rPr>
        <w:t xml:space="preserve"> 45 of the </w:t>
      </w:r>
      <w:r w:rsidRPr="00BF05F7">
        <w:rPr>
          <w:rStyle w:val="Enfasicorsivo"/>
        </w:rPr>
        <w:t>Disability Discrimination Act 1992</w:t>
      </w:r>
      <w:r>
        <w:t xml:space="preserve"> (Cth). It is acknowledged that the term may not reflect a modern understanding of disability as an aspect of diversity. For more information regarding the use of language refer to Media Diversity Australia, </w:t>
      </w:r>
      <w:r w:rsidRPr="00BF05F7">
        <w:rPr>
          <w:rStyle w:val="Enfasicorsivo"/>
        </w:rPr>
        <w:t>Disability Reporting Handbook</w:t>
      </w:r>
      <w:r>
        <w:t xml:space="preserve">, published November 2021. At </w:t>
      </w:r>
      <w:r w:rsidRPr="00B03633">
        <w:rPr>
          <w:rStyle w:val="Collegamentoipertestuale"/>
          <w:rFonts w:cs="Open Sans"/>
          <w:szCs w:val="18"/>
        </w:rPr>
        <w:t>https://www.mediadiversityaustralia.org/wp-content/uploads/2021/11/MDA-Disability-Reporting-Handbook_FINAL-V5_21112021.pdf</w:t>
      </w:r>
      <w:r>
        <w:t xml:space="preserve"> (viewed 18 October 2022).</w:t>
      </w:r>
    </w:p>
  </w:endnote>
  <w:endnote w:id="5">
    <w:p w14:paraId="694077DC" w14:textId="0AD191A6" w:rsidR="001E063A" w:rsidRPr="00633780" w:rsidRDefault="001E063A" w:rsidP="001E063A">
      <w:pPr>
        <w:pStyle w:val="Testonotadichiusura"/>
      </w:pPr>
      <w:r w:rsidRPr="00BF05F7">
        <w:rPr>
          <w:rStyle w:val="Rimandonotadichiusura"/>
        </w:rPr>
        <w:endnoteRef/>
      </w:r>
      <w:r w:rsidRPr="00633780">
        <w:t xml:space="preserve"> </w:t>
      </w:r>
      <w:r w:rsidR="00E2526F">
        <w:tab/>
      </w:r>
      <w:r w:rsidRPr="00633780">
        <w:t xml:space="preserve">The language used in the laws to describe such positive actions differs between the legislation in each </w:t>
      </w:r>
      <w:r w:rsidR="005D15FC">
        <w:t>s</w:t>
      </w:r>
      <w:r w:rsidRPr="00633780">
        <w:t xml:space="preserve">tate and </w:t>
      </w:r>
      <w:r w:rsidR="005D15FC">
        <w:t>t</w:t>
      </w:r>
      <w:r w:rsidRPr="00633780">
        <w:t>erritory</w:t>
      </w:r>
      <w:r>
        <w:t>. S</w:t>
      </w:r>
      <w:r w:rsidRPr="00633780">
        <w:t>ometimes they are called ‘equal opportunity measures’, but for the purposes of th</w:t>
      </w:r>
      <w:r w:rsidR="004F49F1">
        <w:t>e</w:t>
      </w:r>
      <w:r w:rsidRPr="00633780">
        <w:t xml:space="preserve"> </w:t>
      </w:r>
      <w:r w:rsidR="004F49F1">
        <w:t>G</w:t>
      </w:r>
      <w:r w:rsidRPr="00633780">
        <w:t>uideline</w:t>
      </w:r>
      <w:r w:rsidR="004F49F1">
        <w:t>s</w:t>
      </w:r>
      <w:r w:rsidRPr="00633780">
        <w:t xml:space="preserve"> they will be referred to generally as ‘special </w:t>
      </w:r>
      <w:proofErr w:type="gramStart"/>
      <w:r w:rsidRPr="00633780">
        <w:t>measures’</w:t>
      </w:r>
      <w:proofErr w:type="gramEnd"/>
      <w:r w:rsidRPr="00633780">
        <w:t>.</w:t>
      </w:r>
    </w:p>
  </w:endnote>
  <w:endnote w:id="6">
    <w:p w14:paraId="5CC1069B" w14:textId="44FD2362" w:rsidR="00702DC6" w:rsidRPr="00633780" w:rsidRDefault="00702DC6" w:rsidP="00702DC6">
      <w:pPr>
        <w:pStyle w:val="Testonotadichiusura"/>
        <w:rPr>
          <w:rFonts w:cs="Open Sans"/>
          <w:szCs w:val="18"/>
        </w:rPr>
      </w:pPr>
      <w:r w:rsidRPr="00BF05F7">
        <w:rPr>
          <w:rStyle w:val="Rimandonotadichiusura"/>
        </w:rPr>
        <w:endnoteRef/>
      </w:r>
      <w:r w:rsidRPr="00633780">
        <w:rPr>
          <w:rFonts w:cs="Open Sans"/>
          <w:szCs w:val="18"/>
        </w:rPr>
        <w:t xml:space="preserve"> </w:t>
      </w:r>
      <w:r w:rsidR="00E2526F">
        <w:rPr>
          <w:rFonts w:cs="Open Sans"/>
          <w:szCs w:val="18"/>
        </w:rPr>
        <w:tab/>
      </w:r>
      <w:r>
        <w:rPr>
          <w:rFonts w:cs="Open Sans"/>
          <w:szCs w:val="18"/>
        </w:rPr>
        <w:t>Section</w:t>
      </w:r>
      <w:r w:rsidRPr="00633780">
        <w:rPr>
          <w:rFonts w:cs="Open Sans"/>
          <w:szCs w:val="18"/>
        </w:rPr>
        <w:t xml:space="preserve"> 67(1)(k) of the </w:t>
      </w:r>
      <w:r w:rsidRPr="00BF05F7">
        <w:rPr>
          <w:rStyle w:val="Enfasicorsivo"/>
        </w:rPr>
        <w:t>Disability Discrimination Act 1992</w:t>
      </w:r>
      <w:r>
        <w:t xml:space="preserve"> (Cth)</w:t>
      </w:r>
      <w:r w:rsidRPr="00633780">
        <w:rPr>
          <w:rFonts w:cs="Open Sans"/>
          <w:szCs w:val="18"/>
        </w:rPr>
        <w:t xml:space="preserve"> provides for the Commission to prepare, and to publish in such manner as the Commission considers appropriate, guidelines for the avoidance of discrimination on the ground of disability.</w:t>
      </w:r>
    </w:p>
  </w:endnote>
  <w:endnote w:id="7">
    <w:p w14:paraId="3BB55FA9" w14:textId="77777777" w:rsidR="005614E5" w:rsidRPr="00633780" w:rsidRDefault="005614E5" w:rsidP="001E063A">
      <w:pPr>
        <w:pStyle w:val="Testonotadichiusura"/>
        <w:rPr>
          <w:lang w:val="en-US"/>
        </w:rPr>
      </w:pPr>
      <w:r w:rsidRPr="00BF05F7">
        <w:rPr>
          <w:rStyle w:val="Rimandonotadichiusura"/>
        </w:rPr>
        <w:endnoteRef/>
      </w:r>
      <w:r w:rsidRPr="00633780">
        <w:t xml:space="preserve"> </w:t>
      </w:r>
      <w:r>
        <w:tab/>
      </w:r>
      <w:r w:rsidRPr="00633780">
        <w:t xml:space="preserve">NSW Government, ‘I work for NSW’: Assistant Project Officer (Clerk Grade 5/6) – Disability targeted process, undated. At </w:t>
      </w:r>
      <w:hyperlink r:id="rId3" w:history="1">
        <w:r w:rsidRPr="00633780">
          <w:rPr>
            <w:rStyle w:val="Collegamentoipertestuale"/>
            <w:rFonts w:cs="Open Sans"/>
            <w:szCs w:val="18"/>
          </w:rPr>
          <w:t>https://iworkfor.nsw.gov.au/job/assistant-project-officer-clerk-grade-5-6-disability-targeted-process-335596</w:t>
        </w:r>
      </w:hyperlink>
      <w:r w:rsidRPr="00633780">
        <w:t xml:space="preserve"> (viewed 28 July 2022).</w:t>
      </w:r>
    </w:p>
  </w:endnote>
  <w:endnote w:id="8">
    <w:p w14:paraId="3823AE36" w14:textId="77777777" w:rsidR="005614E5" w:rsidRPr="00633780" w:rsidRDefault="005614E5" w:rsidP="001E063A">
      <w:pPr>
        <w:pStyle w:val="Testonotadichiusura"/>
        <w:rPr>
          <w:lang w:val="en-US"/>
        </w:rPr>
      </w:pPr>
      <w:r w:rsidRPr="00BF05F7">
        <w:rPr>
          <w:rStyle w:val="Rimandonotadichiusura"/>
        </w:rPr>
        <w:endnoteRef/>
      </w:r>
      <w:r w:rsidRPr="00633780">
        <w:t xml:space="preserve"> </w:t>
      </w:r>
      <w:r>
        <w:tab/>
      </w:r>
      <w:r w:rsidRPr="00633780">
        <w:t xml:space="preserve">NSW Government, ‘I work for NSW’: Assistant Project Officer (Clerk Grade 5/6) – Disability targeted process, undated. At </w:t>
      </w:r>
      <w:hyperlink r:id="rId4" w:history="1">
        <w:r w:rsidRPr="00633780">
          <w:rPr>
            <w:rStyle w:val="Collegamentoipertestuale"/>
            <w:rFonts w:cs="Open Sans"/>
            <w:szCs w:val="18"/>
          </w:rPr>
          <w:t>https://iworkfor.nsw.gov.au/job/assistant-project-officer-clerk-grade-5-6-disability-targeted-process-335596</w:t>
        </w:r>
      </w:hyperlink>
      <w:r w:rsidRPr="00633780">
        <w:t xml:space="preserve"> (viewed 28 July 2022).</w:t>
      </w:r>
    </w:p>
  </w:endnote>
  <w:endnote w:id="9">
    <w:p w14:paraId="5EFA08F9" w14:textId="49B3836E" w:rsidR="001E063A" w:rsidRPr="00633780" w:rsidRDefault="001E063A" w:rsidP="001E063A">
      <w:pPr>
        <w:pStyle w:val="Testonotadichiusura"/>
        <w:rPr>
          <w:lang w:val="en-US"/>
        </w:rPr>
      </w:pPr>
      <w:r w:rsidRPr="00BF05F7">
        <w:rPr>
          <w:rStyle w:val="Rimandonotadichiusura"/>
        </w:rPr>
        <w:endnoteRef/>
      </w:r>
      <w:r w:rsidRPr="00633780">
        <w:t xml:space="preserve"> </w:t>
      </w:r>
      <w:r w:rsidR="00E2526F">
        <w:tab/>
      </w:r>
      <w:r w:rsidRPr="00633780">
        <w:t xml:space="preserve">Further information can be found on the IncludeAbility website at </w:t>
      </w:r>
      <w:hyperlink r:id="rId5" w:history="1">
        <w:r w:rsidRPr="00633780">
          <w:rPr>
            <w:rStyle w:val="Collegamentoipertestuale"/>
            <w:rFonts w:cs="Open Sans"/>
            <w:szCs w:val="18"/>
          </w:rPr>
          <w:t>http://www.includeability.gov.au</w:t>
        </w:r>
      </w:hyperlink>
      <w:r w:rsidRPr="00633780">
        <w:t>.</w:t>
      </w:r>
    </w:p>
  </w:endnote>
  <w:endnote w:id="10">
    <w:p w14:paraId="299C4768" w14:textId="77777777" w:rsidR="005614E5" w:rsidRDefault="005614E5" w:rsidP="001E063A">
      <w:pPr>
        <w:pStyle w:val="Testonotadichiusura"/>
      </w:pPr>
      <w:r>
        <w:rPr>
          <w:rStyle w:val="Rimandonotadichiusura"/>
        </w:rPr>
        <w:endnoteRef/>
      </w:r>
      <w:r>
        <w:t xml:space="preserve"> </w:t>
      </w:r>
      <w:r>
        <w:tab/>
      </w:r>
      <w:r w:rsidRPr="00633780">
        <w:t xml:space="preserve">Australian Public Service Commission, </w:t>
      </w:r>
      <w:r w:rsidRPr="00BF05F7">
        <w:rPr>
          <w:rStyle w:val="Enfasicorsivo"/>
        </w:rPr>
        <w:t>Australian Public Service Disability Employment Strategy 2020-2025</w:t>
      </w:r>
      <w:r w:rsidRPr="00633780">
        <w:t>, 2020</w:t>
      </w:r>
      <w:r>
        <w:t xml:space="preserve">, 8. At </w:t>
      </w:r>
      <w:hyperlink r:id="rId6" w:history="1">
        <w:r w:rsidRPr="00633780">
          <w:rPr>
            <w:rStyle w:val="Collegamentoipertestuale"/>
            <w:rFonts w:cs="Open Sans"/>
            <w:szCs w:val="18"/>
          </w:rPr>
          <w:t>https://www.apsc.gov.au/publication/australian-public-service-disability-employment-strategy-2020-25</w:t>
        </w:r>
      </w:hyperlink>
      <w:r>
        <w:rPr>
          <w:rStyle w:val="Collegamentoipertestuale"/>
          <w:rFonts w:cs="Open Sans"/>
          <w:szCs w:val="18"/>
        </w:rPr>
        <w:t xml:space="preserve"> (viewed 30 August 2022).</w:t>
      </w:r>
    </w:p>
  </w:endnote>
  <w:endnote w:id="11">
    <w:p w14:paraId="6B6C3094" w14:textId="77777777" w:rsidR="005614E5" w:rsidRDefault="005614E5" w:rsidP="001E063A">
      <w:pPr>
        <w:pStyle w:val="Testonotadichiusura"/>
      </w:pPr>
      <w:r>
        <w:rPr>
          <w:rStyle w:val="Rimandonotadichiusura"/>
        </w:rPr>
        <w:endnoteRef/>
      </w:r>
      <w:r>
        <w:t xml:space="preserve"> </w:t>
      </w:r>
      <w:r>
        <w:tab/>
      </w:r>
      <w:r w:rsidRPr="00633780">
        <w:t xml:space="preserve">Australian Public Service Commission, </w:t>
      </w:r>
      <w:r w:rsidRPr="00BF05F7">
        <w:rPr>
          <w:rStyle w:val="Enfasicorsivo"/>
        </w:rPr>
        <w:t>Australian Public Service Disability Employment Strategy 2020-2025</w:t>
      </w:r>
      <w:r w:rsidRPr="00633780">
        <w:t>, 2020</w:t>
      </w:r>
      <w:r>
        <w:t xml:space="preserve">, 14. At </w:t>
      </w:r>
      <w:hyperlink r:id="rId7" w:history="1">
        <w:r w:rsidRPr="00633780">
          <w:rPr>
            <w:rStyle w:val="Collegamentoipertestuale"/>
            <w:rFonts w:cs="Open Sans"/>
            <w:szCs w:val="18"/>
          </w:rPr>
          <w:t>https://www.apsc.gov.au/publication/australian-public-service-disability-employment-strategy-2020-25</w:t>
        </w:r>
      </w:hyperlink>
      <w:r>
        <w:rPr>
          <w:rStyle w:val="Collegamentoipertestuale"/>
          <w:rFonts w:cs="Open Sans"/>
          <w:szCs w:val="18"/>
        </w:rPr>
        <w:t xml:space="preserve"> (viewed 30 August 2022).</w:t>
      </w:r>
    </w:p>
  </w:endnote>
  <w:endnote w:id="12">
    <w:p w14:paraId="309088C4" w14:textId="77777777" w:rsidR="005614E5" w:rsidRPr="00633780" w:rsidRDefault="005614E5" w:rsidP="001E063A">
      <w:pPr>
        <w:pStyle w:val="Testonotadichiusura"/>
        <w:rPr>
          <w:lang w:val="en-US"/>
        </w:rPr>
      </w:pPr>
      <w:r w:rsidRPr="00BF05F7">
        <w:rPr>
          <w:rStyle w:val="Rimandonotadichiusura"/>
        </w:rPr>
        <w:endnoteRef/>
      </w:r>
      <w:r w:rsidRPr="00633780">
        <w:t xml:space="preserve"> </w:t>
      </w:r>
      <w:r>
        <w:tab/>
      </w:r>
      <w:r w:rsidRPr="00633780">
        <w:t xml:space="preserve">Australian Public Service Commission, </w:t>
      </w:r>
      <w:r w:rsidRPr="00BF05F7">
        <w:rPr>
          <w:rStyle w:val="Enfasicorsivo"/>
        </w:rPr>
        <w:t>Australian Public Service Disability Employment Strategy 2020-2025</w:t>
      </w:r>
      <w:r w:rsidRPr="00633780">
        <w:t xml:space="preserve">, 2020. At </w:t>
      </w:r>
      <w:hyperlink r:id="rId8" w:history="1">
        <w:r w:rsidRPr="00633780">
          <w:rPr>
            <w:rStyle w:val="Collegamentoipertestuale"/>
            <w:rFonts w:cs="Open Sans"/>
            <w:szCs w:val="18"/>
          </w:rPr>
          <w:t>https://www.apsc.gov.au/publication/australian-public-service-disability-employment-strategy-2020-25</w:t>
        </w:r>
      </w:hyperlink>
      <w:r w:rsidRPr="00633780">
        <w:t xml:space="preserve"> (viewed 15 July 2022). See also Australian Public Service Commission, Affirmative measure for recruiting people with disability: guide for applicants, 2022. At </w:t>
      </w:r>
      <w:hyperlink r:id="rId9" w:history="1">
        <w:r w:rsidRPr="00633780">
          <w:rPr>
            <w:rStyle w:val="Collegamentoipertestuale"/>
            <w:rFonts w:cs="Open Sans"/>
            <w:szCs w:val="18"/>
          </w:rPr>
          <w:t>https://www.apsc.gov.au/working-aps/diversity-and-inclusion/disability/affirmative-measure-recruiting-people-disability-guide-applicants</w:t>
        </w:r>
      </w:hyperlink>
      <w:r w:rsidRPr="00633780">
        <w:t xml:space="preserve"> (viewed 15 July 2022).</w:t>
      </w:r>
    </w:p>
  </w:endnote>
  <w:endnote w:id="13">
    <w:p w14:paraId="68DADEA5" w14:textId="77777777" w:rsidR="005614E5" w:rsidRPr="00633780" w:rsidRDefault="005614E5" w:rsidP="001E063A">
      <w:pPr>
        <w:pStyle w:val="Testonotadichiusura"/>
        <w:rPr>
          <w:lang w:val="en-US"/>
        </w:rPr>
      </w:pPr>
      <w:r w:rsidRPr="00BF05F7">
        <w:rPr>
          <w:rStyle w:val="Rimandonotadichiusura"/>
        </w:rPr>
        <w:endnoteRef/>
      </w:r>
      <w:r w:rsidRPr="00633780">
        <w:t xml:space="preserve"> </w:t>
      </w:r>
      <w:r>
        <w:tab/>
      </w:r>
      <w:r w:rsidRPr="00633780">
        <w:t xml:space="preserve">Australian Broadcasting Corporation, </w:t>
      </w:r>
      <w:r w:rsidRPr="00BF05F7">
        <w:rPr>
          <w:rStyle w:val="Enfasicorsivo"/>
        </w:rPr>
        <w:t>ABC Regional Storyteller Scholarship winners announced</w:t>
      </w:r>
      <w:r w:rsidRPr="00633780">
        <w:t>, 21</w:t>
      </w:r>
      <w:r>
        <w:t> </w:t>
      </w:r>
      <w:r w:rsidRPr="00633780">
        <w:t xml:space="preserve">April 2022. At </w:t>
      </w:r>
      <w:hyperlink r:id="rId10" w:history="1">
        <w:r w:rsidRPr="00633780">
          <w:rPr>
            <w:rStyle w:val="Collegamentoipertestuale"/>
            <w:rFonts w:cs="Open Sans"/>
            <w:szCs w:val="18"/>
          </w:rPr>
          <w:t>https://about.abc.net.au/press-releases/abc-regional-storyteller-scholarship-winners-announced</w:t>
        </w:r>
      </w:hyperlink>
      <w:r w:rsidRPr="00633780">
        <w:t xml:space="preserve"> (viewed 12 July 2022).</w:t>
      </w:r>
    </w:p>
  </w:endnote>
  <w:endnote w:id="14">
    <w:p w14:paraId="69E821BE" w14:textId="1BBFBB42" w:rsidR="001E063A" w:rsidRPr="00633780" w:rsidRDefault="001E063A" w:rsidP="001E063A">
      <w:pPr>
        <w:pStyle w:val="Testonotadichiusura"/>
        <w:rPr>
          <w:rFonts w:cs="Open Sans"/>
          <w:szCs w:val="18"/>
        </w:rPr>
      </w:pPr>
      <w:r w:rsidRPr="00BF05F7">
        <w:rPr>
          <w:rStyle w:val="Rimandonotadichiusura"/>
        </w:rPr>
        <w:endnoteRef/>
      </w:r>
      <w:r w:rsidRPr="00633780">
        <w:rPr>
          <w:rFonts w:cs="Open Sans"/>
          <w:szCs w:val="18"/>
        </w:rPr>
        <w:t xml:space="preserve"> </w:t>
      </w:r>
      <w:r w:rsidR="00E2526F">
        <w:rPr>
          <w:rFonts w:cs="Open Sans"/>
          <w:szCs w:val="18"/>
        </w:rPr>
        <w:tab/>
      </w:r>
      <w:r w:rsidRPr="00E2526F">
        <w:rPr>
          <w:rStyle w:val="Enfasicorsivo"/>
        </w:rPr>
        <w:t>Disability Discrimination Act 1992</w:t>
      </w:r>
      <w:r>
        <w:t xml:space="preserve"> (Cth)</w:t>
      </w:r>
      <w:r w:rsidRPr="00633780">
        <w:rPr>
          <w:rFonts w:cs="Open Sans"/>
          <w:szCs w:val="18"/>
        </w:rPr>
        <w:t>, s</w:t>
      </w:r>
      <w:r w:rsidR="005912D7">
        <w:rPr>
          <w:rFonts w:cs="Open Sans"/>
          <w:szCs w:val="18"/>
        </w:rPr>
        <w:t>ection</w:t>
      </w:r>
      <w:r w:rsidRPr="00633780">
        <w:rPr>
          <w:rFonts w:cs="Open Sans"/>
          <w:szCs w:val="18"/>
        </w:rPr>
        <w:t xml:space="preserve"> 15.</w:t>
      </w:r>
    </w:p>
  </w:endnote>
  <w:endnote w:id="15">
    <w:p w14:paraId="09636884" w14:textId="5EB3BF21" w:rsidR="001E063A" w:rsidRPr="00633780" w:rsidRDefault="001E063A" w:rsidP="001E063A">
      <w:pPr>
        <w:pStyle w:val="Testonotadichiusura"/>
        <w:rPr>
          <w:rFonts w:cs="Open Sans"/>
          <w:szCs w:val="18"/>
        </w:rPr>
      </w:pPr>
      <w:r w:rsidRPr="00BF05F7">
        <w:rPr>
          <w:rStyle w:val="Rimandonotadichiusura"/>
        </w:rPr>
        <w:endnoteRef/>
      </w:r>
      <w:r w:rsidRPr="00633780">
        <w:rPr>
          <w:rFonts w:cs="Open Sans"/>
          <w:szCs w:val="18"/>
        </w:rPr>
        <w:t xml:space="preserve"> </w:t>
      </w:r>
      <w:r w:rsidR="00E2526F">
        <w:rPr>
          <w:rFonts w:cs="Open Sans"/>
          <w:szCs w:val="18"/>
        </w:rPr>
        <w:tab/>
      </w:r>
      <w:r w:rsidRPr="00E2526F">
        <w:rPr>
          <w:rStyle w:val="Enfasicorsivo"/>
        </w:rPr>
        <w:t>Disability Discrimination Act 1992</w:t>
      </w:r>
      <w:r>
        <w:t xml:space="preserve"> (Cth)</w:t>
      </w:r>
      <w:r w:rsidRPr="00633780">
        <w:rPr>
          <w:rFonts w:cs="Open Sans"/>
          <w:szCs w:val="18"/>
        </w:rPr>
        <w:t>, s</w:t>
      </w:r>
      <w:r w:rsidR="005912D7">
        <w:rPr>
          <w:rFonts w:cs="Open Sans"/>
          <w:szCs w:val="18"/>
        </w:rPr>
        <w:t>ection</w:t>
      </w:r>
      <w:r w:rsidRPr="00633780">
        <w:rPr>
          <w:rFonts w:cs="Open Sans"/>
          <w:szCs w:val="18"/>
        </w:rPr>
        <w:t xml:space="preserve"> 4.</w:t>
      </w:r>
    </w:p>
  </w:endnote>
  <w:endnote w:id="16">
    <w:p w14:paraId="45AD5869" w14:textId="4DCD0308" w:rsidR="001E063A" w:rsidRPr="00633780" w:rsidRDefault="001E063A" w:rsidP="001E063A">
      <w:pPr>
        <w:pStyle w:val="Testonotadichiusura"/>
        <w:rPr>
          <w:lang w:val="en-US"/>
        </w:rPr>
      </w:pPr>
      <w:r w:rsidRPr="00BF05F7">
        <w:rPr>
          <w:rStyle w:val="Rimandonotadichiusura"/>
        </w:rPr>
        <w:endnoteRef/>
      </w:r>
      <w:r w:rsidRPr="00633780">
        <w:t xml:space="preserve"> </w:t>
      </w:r>
      <w:r w:rsidR="00E2526F">
        <w:tab/>
      </w:r>
      <w:r w:rsidRPr="00633780">
        <w:rPr>
          <w:lang w:val="en-US"/>
        </w:rPr>
        <w:t>This concept is generally contained in exceptions provisions in jurisdictions other than Victoria and the Commonwealth.</w:t>
      </w:r>
    </w:p>
  </w:endnote>
  <w:endnote w:id="17">
    <w:p w14:paraId="2625806C" w14:textId="4888042E" w:rsidR="001E063A" w:rsidRPr="00633780" w:rsidRDefault="001E063A" w:rsidP="001E063A">
      <w:pPr>
        <w:pStyle w:val="Testonotadichiusura"/>
      </w:pPr>
      <w:r w:rsidRPr="00BF05F7">
        <w:rPr>
          <w:rStyle w:val="Rimandonotadichiusura"/>
        </w:rPr>
        <w:endnoteRef/>
      </w:r>
      <w:r w:rsidRPr="00633780">
        <w:t xml:space="preserve"> </w:t>
      </w:r>
      <w:r w:rsidR="00E2526F">
        <w:tab/>
      </w:r>
      <w:r w:rsidRPr="00633780">
        <w:t xml:space="preserve">Under the </w:t>
      </w:r>
      <w:r w:rsidRPr="00BF05F7">
        <w:rPr>
          <w:rStyle w:val="Enfasicorsivo"/>
        </w:rPr>
        <w:t>Disability Discrimination Act 1992</w:t>
      </w:r>
      <w:r>
        <w:t xml:space="preserve"> (Cth)</w:t>
      </w:r>
      <w:r w:rsidRPr="00633780">
        <w:t xml:space="preserve">, in determining whether a hardship that would be imposed on a person would be an unjustifiable hardship, all relevant circumstances of the </w:t>
      </w:r>
      <w:proofErr w:type="gramStart"/>
      <w:r w:rsidRPr="00633780">
        <w:t>particular case</w:t>
      </w:r>
      <w:proofErr w:type="gramEnd"/>
      <w:r w:rsidRPr="00633780">
        <w:t xml:space="preserve"> must be taken into account, including the factors listed in s</w:t>
      </w:r>
      <w:r w:rsidR="00ED7985">
        <w:t>ection</w:t>
      </w:r>
      <w:r w:rsidRPr="00633780">
        <w:t xml:space="preserve"> 11</w:t>
      </w:r>
      <w:r>
        <w:t>.</w:t>
      </w:r>
      <w:r w:rsidRPr="00633780">
        <w:t xml:space="preserve"> </w:t>
      </w:r>
      <w:r>
        <w:t>F</w:t>
      </w:r>
      <w:r w:rsidRPr="00633780">
        <w:t xml:space="preserve">or example, the nature of benefit or detriment likely to accrue or be suffered by any person concerned, effect of disability of any person concerned, financial circumstances and expenditure required to be made, availability of financial and other assistance, relevant </w:t>
      </w:r>
      <w:r>
        <w:t>D</w:t>
      </w:r>
      <w:r w:rsidRPr="00633780">
        <w:t xml:space="preserve">isability </w:t>
      </w:r>
      <w:r>
        <w:t>A</w:t>
      </w:r>
      <w:r w:rsidRPr="00633780">
        <w:t xml:space="preserve">ction </w:t>
      </w:r>
      <w:r>
        <w:t>P</w:t>
      </w:r>
      <w:r w:rsidRPr="00633780">
        <w:t>lans.</w:t>
      </w:r>
    </w:p>
  </w:endnote>
  <w:endnote w:id="18">
    <w:p w14:paraId="07BC85A1" w14:textId="71278C4C" w:rsidR="001E063A" w:rsidRPr="00633780" w:rsidRDefault="001E063A" w:rsidP="001E063A">
      <w:pPr>
        <w:pStyle w:val="Testonotadichiusura"/>
        <w:rPr>
          <w:rFonts w:cs="Open Sans"/>
          <w:szCs w:val="18"/>
        </w:rPr>
      </w:pPr>
      <w:r w:rsidRPr="00BF05F7">
        <w:rPr>
          <w:rStyle w:val="Rimandonotadichiusura"/>
        </w:rPr>
        <w:endnoteRef/>
      </w:r>
      <w:r w:rsidRPr="00633780">
        <w:rPr>
          <w:rFonts w:cs="Open Sans"/>
          <w:szCs w:val="18"/>
        </w:rPr>
        <w:t xml:space="preserve"> </w:t>
      </w:r>
      <w:r w:rsidR="00E2526F">
        <w:rPr>
          <w:rFonts w:cs="Open Sans"/>
          <w:szCs w:val="18"/>
        </w:rPr>
        <w:tab/>
      </w:r>
      <w:r w:rsidRPr="00633780">
        <w:rPr>
          <w:rFonts w:cs="Open Sans"/>
          <w:szCs w:val="18"/>
        </w:rPr>
        <w:t xml:space="preserve">See, </w:t>
      </w:r>
      <w:r>
        <w:rPr>
          <w:rFonts w:cs="Open Sans"/>
          <w:szCs w:val="18"/>
        </w:rPr>
        <w:t>for example</w:t>
      </w:r>
      <w:r w:rsidRPr="00633780">
        <w:rPr>
          <w:rFonts w:cs="Open Sans"/>
          <w:szCs w:val="18"/>
        </w:rPr>
        <w:t xml:space="preserve">, </w:t>
      </w:r>
      <w:r w:rsidRPr="00E2526F">
        <w:rPr>
          <w:rStyle w:val="Enfasicorsivo"/>
        </w:rPr>
        <w:t>Disability Discrimination Act 1992</w:t>
      </w:r>
      <w:r>
        <w:t xml:space="preserve"> (Cth)</w:t>
      </w:r>
      <w:r w:rsidRPr="00633780">
        <w:rPr>
          <w:rFonts w:cs="Open Sans"/>
          <w:szCs w:val="18"/>
        </w:rPr>
        <w:t>, s</w:t>
      </w:r>
      <w:r w:rsidR="00ED7985">
        <w:rPr>
          <w:rFonts w:cs="Open Sans"/>
          <w:szCs w:val="18"/>
        </w:rPr>
        <w:t>ection</w:t>
      </w:r>
      <w:r w:rsidRPr="00633780">
        <w:rPr>
          <w:rFonts w:cs="Open Sans"/>
          <w:szCs w:val="18"/>
        </w:rPr>
        <w:t xml:space="preserve"> 3.</w:t>
      </w:r>
    </w:p>
  </w:endnote>
  <w:endnote w:id="19">
    <w:p w14:paraId="665F3585" w14:textId="3B25405C" w:rsidR="001E063A" w:rsidRPr="00633780" w:rsidRDefault="001E063A" w:rsidP="001E063A">
      <w:pPr>
        <w:pStyle w:val="Testonotadichiusura"/>
      </w:pPr>
      <w:r w:rsidRPr="00BF05F7">
        <w:rPr>
          <w:rStyle w:val="Rimandonotadichiusura"/>
        </w:rPr>
        <w:endnoteRef/>
      </w:r>
      <w:r w:rsidRPr="00633780">
        <w:t xml:space="preserve"> </w:t>
      </w:r>
      <w:r w:rsidR="00E2526F">
        <w:tab/>
      </w:r>
      <w:r w:rsidRPr="00633780">
        <w:t xml:space="preserve">There is some difference in the legislative terminology used regarding the nature of special measures. Rees, Rice and Allen note that while conduct which falls within the scope of special measures is an exception to the legislative prohibitions against discrimination, some legislation expresses a special measure not as an exception to unlawful discrimination but as a positive measure in its own right in pursuit of equality, although it operates as an exception and can be relied upon for a defence: Neil Rees, Simon Rice and Dominique Allen, </w:t>
      </w:r>
      <w:r w:rsidRPr="00E2526F">
        <w:rPr>
          <w:rStyle w:val="Enfasicorsivo"/>
        </w:rPr>
        <w:t>Anti-Discrimination &amp; Equal Opportunity Law</w:t>
      </w:r>
      <w:r w:rsidRPr="00633780">
        <w:t>, 3</w:t>
      </w:r>
      <w:r w:rsidRPr="00BF05F7">
        <w:rPr>
          <w:rStyle w:val="SuperscriptEndnotes"/>
        </w:rPr>
        <w:t>rd</w:t>
      </w:r>
      <w:r w:rsidRPr="00633780">
        <w:t xml:space="preserve"> ed, 2018, Federation Press, 185. Further, under the </w:t>
      </w:r>
      <w:r w:rsidRPr="00BF05F7">
        <w:rPr>
          <w:rStyle w:val="Enfasicorsivo"/>
        </w:rPr>
        <w:t>Disability Discrimination Act 1992</w:t>
      </w:r>
      <w:r>
        <w:t xml:space="preserve"> (Cth)</w:t>
      </w:r>
      <w:r w:rsidRPr="00633780">
        <w:t>, s</w:t>
      </w:r>
      <w:r w:rsidR="00ED7985">
        <w:t>ection</w:t>
      </w:r>
      <w:r w:rsidRPr="00633780">
        <w:t xml:space="preserve"> 45 (special measures) is termed an exemption, although exemptions generally have a distinctive character to exceptions. In th</w:t>
      </w:r>
      <w:r w:rsidR="00A020FA">
        <w:t>e</w:t>
      </w:r>
      <w:r w:rsidRPr="00633780">
        <w:t xml:space="preserve"> </w:t>
      </w:r>
      <w:r w:rsidR="00A020FA">
        <w:t>G</w:t>
      </w:r>
      <w:r w:rsidRPr="00633780">
        <w:t>uideline</w:t>
      </w:r>
      <w:r w:rsidR="00A020FA">
        <w:t>s</w:t>
      </w:r>
      <w:r w:rsidRPr="00633780">
        <w:t xml:space="preserve">, s 45 of the </w:t>
      </w:r>
      <w:r w:rsidRPr="00BF05F7">
        <w:rPr>
          <w:rStyle w:val="Enfasicorsivo"/>
        </w:rPr>
        <w:t>Disability Discrimination Act 1992</w:t>
      </w:r>
      <w:r>
        <w:t xml:space="preserve"> (Cth)</w:t>
      </w:r>
      <w:r w:rsidR="004F49F1">
        <w:t xml:space="preserve"> </w:t>
      </w:r>
      <w:r w:rsidRPr="00633780">
        <w:t>is described as an exemption, but special measures under state and territory anti-discrimination laws are referred to as exceptions.</w:t>
      </w:r>
    </w:p>
  </w:endnote>
  <w:endnote w:id="20">
    <w:p w14:paraId="6D952CD2" w14:textId="6EDF5781" w:rsidR="001E063A" w:rsidRPr="00633780" w:rsidRDefault="001E063A" w:rsidP="001E063A">
      <w:pPr>
        <w:pStyle w:val="Testonotadichiusura"/>
      </w:pPr>
      <w:r w:rsidRPr="00BF05F7">
        <w:rPr>
          <w:rStyle w:val="Rimandonotadichiusura"/>
        </w:rPr>
        <w:endnoteRef/>
      </w:r>
      <w:r w:rsidRPr="00633780">
        <w:t xml:space="preserve"> </w:t>
      </w:r>
      <w:r w:rsidR="00E2526F">
        <w:tab/>
      </w:r>
      <w:r w:rsidRPr="00633780">
        <w:t xml:space="preserve">Noting that depending on the circumstances, other exemptions or exceptions may also apply under the </w:t>
      </w:r>
      <w:r w:rsidRPr="00BF05F7">
        <w:rPr>
          <w:rStyle w:val="Enfasicorsivo"/>
        </w:rPr>
        <w:t>Disability Discrimination Act 1992</w:t>
      </w:r>
      <w:r>
        <w:t xml:space="preserve"> (Cth) </w:t>
      </w:r>
      <w:r w:rsidRPr="00633780">
        <w:t>and the relevant state or territory anti-discrimination law.</w:t>
      </w:r>
    </w:p>
  </w:endnote>
  <w:endnote w:id="21">
    <w:p w14:paraId="0F602964" w14:textId="1F40EDDA" w:rsidR="001E063A" w:rsidRPr="00633780" w:rsidRDefault="001E063A" w:rsidP="001E063A">
      <w:pPr>
        <w:pStyle w:val="Testonotadichiusura"/>
      </w:pPr>
      <w:r w:rsidRPr="00BF05F7">
        <w:rPr>
          <w:rStyle w:val="Rimandonotadichiusura"/>
        </w:rPr>
        <w:endnoteRef/>
      </w:r>
      <w:r w:rsidRPr="00633780">
        <w:t xml:space="preserve"> </w:t>
      </w:r>
      <w:r w:rsidR="00E2526F">
        <w:tab/>
      </w:r>
      <w:r w:rsidRPr="00633780">
        <w:t xml:space="preserve">Whether direct or indirect: </w:t>
      </w:r>
      <w:r w:rsidRPr="00BF05F7">
        <w:rPr>
          <w:rStyle w:val="Enfasicorsivo"/>
        </w:rPr>
        <w:t>Disability Discrimination Act 1992</w:t>
      </w:r>
      <w:r>
        <w:t xml:space="preserve"> (Cth)</w:t>
      </w:r>
      <w:r w:rsidRPr="00633780">
        <w:t>, s</w:t>
      </w:r>
      <w:r w:rsidR="00E37398">
        <w:t>ection</w:t>
      </w:r>
      <w:r w:rsidRPr="00633780">
        <w:t xml:space="preserve"> 45(1)(c).</w:t>
      </w:r>
    </w:p>
  </w:endnote>
  <w:endnote w:id="22">
    <w:p w14:paraId="772089A3" w14:textId="5412715E" w:rsidR="001E063A" w:rsidRPr="00633780" w:rsidRDefault="001E063A" w:rsidP="001E063A">
      <w:pPr>
        <w:pStyle w:val="Testonotadichiusura"/>
      </w:pPr>
      <w:r w:rsidRPr="00BF05F7">
        <w:rPr>
          <w:rStyle w:val="Rimandonotadichiusura"/>
        </w:rPr>
        <w:endnoteRef/>
      </w:r>
      <w:r w:rsidRPr="00633780">
        <w:t xml:space="preserve"> </w:t>
      </w:r>
      <w:r w:rsidR="00E2526F">
        <w:tab/>
      </w:r>
      <w:r w:rsidRPr="00633780">
        <w:t>See instead the exemption at s</w:t>
      </w:r>
      <w:r w:rsidR="00D80D45">
        <w:t>ection</w:t>
      </w:r>
      <w:r w:rsidRPr="00633780">
        <w:t xml:space="preserve"> 47 of the </w:t>
      </w:r>
      <w:r w:rsidRPr="00BF05F7">
        <w:rPr>
          <w:rStyle w:val="Enfasicorsivo"/>
        </w:rPr>
        <w:t>Disability Discrimination Act 1992</w:t>
      </w:r>
      <w:r>
        <w:t xml:space="preserve"> (Cth)</w:t>
      </w:r>
      <w:r w:rsidRPr="00633780">
        <w:t xml:space="preserve"> which provides for acts done under statutory authority, including where industrial instruments provide for salary or wages of persons with disability, or orders, awards or determinations are made by courts or tribunals with power to fix minimum wages: </w:t>
      </w:r>
      <w:r w:rsidRPr="00BF05F7">
        <w:rPr>
          <w:rStyle w:val="Enfasicorsivo"/>
        </w:rPr>
        <w:t>Disability Discrimination Act 1992</w:t>
      </w:r>
      <w:r>
        <w:t xml:space="preserve"> (Cth)</w:t>
      </w:r>
      <w:r w:rsidRPr="00633780">
        <w:t>, s</w:t>
      </w:r>
      <w:r w:rsidR="007C5B59">
        <w:t>ection</w:t>
      </w:r>
      <w:r w:rsidRPr="00633780">
        <w:t xml:space="preserve"> 47(1)(c) and (d)).</w:t>
      </w:r>
    </w:p>
  </w:endnote>
  <w:endnote w:id="23">
    <w:p w14:paraId="364D27C7" w14:textId="7F47907C" w:rsidR="001E063A" w:rsidRPr="00633780" w:rsidRDefault="001E063A" w:rsidP="001E063A">
      <w:pPr>
        <w:pStyle w:val="Testonotadichiusura"/>
      </w:pPr>
      <w:r w:rsidRPr="00BF05F7">
        <w:rPr>
          <w:rStyle w:val="Rimandonotadichiusura"/>
        </w:rPr>
        <w:endnoteRef/>
      </w:r>
      <w:r w:rsidRPr="00633780">
        <w:t xml:space="preserve"> </w:t>
      </w:r>
      <w:r w:rsidR="00E2526F">
        <w:tab/>
      </w:r>
      <w:r w:rsidRPr="00633780">
        <w:t xml:space="preserve">For the relevant provisions in each </w:t>
      </w:r>
      <w:r>
        <w:t>federal</w:t>
      </w:r>
      <w:r w:rsidRPr="00633780">
        <w:t>, state and territory</w:t>
      </w:r>
      <w:r>
        <w:t xml:space="preserve"> law</w:t>
      </w:r>
      <w:r w:rsidRPr="00633780">
        <w:t xml:space="preserve">, see Table in </w:t>
      </w:r>
      <w:r w:rsidRPr="008E17D5">
        <w:t xml:space="preserve">Part </w:t>
      </w:r>
      <w:r w:rsidR="00AB3617">
        <w:t>3</w:t>
      </w:r>
      <w:r w:rsidRPr="008E17D5">
        <w:t>.</w:t>
      </w:r>
      <w:r w:rsidR="00AB3617">
        <w:t>3</w:t>
      </w:r>
      <w:r w:rsidRPr="00633780">
        <w:t xml:space="preserve"> of</w:t>
      </w:r>
      <w:r>
        <w:t xml:space="preserve"> </w:t>
      </w:r>
      <w:r w:rsidRPr="00633780">
        <w:t>th</w:t>
      </w:r>
      <w:r w:rsidR="00DE55DE">
        <w:t>e</w:t>
      </w:r>
      <w:r w:rsidRPr="00633780">
        <w:t xml:space="preserve"> </w:t>
      </w:r>
      <w:r w:rsidR="00DE55DE">
        <w:t>G</w:t>
      </w:r>
      <w:r w:rsidRPr="00633780">
        <w:t>uideline</w:t>
      </w:r>
      <w:r w:rsidR="00DE55DE">
        <w:t>s</w:t>
      </w:r>
      <w:r w:rsidRPr="00633780">
        <w:t>.</w:t>
      </w:r>
    </w:p>
  </w:endnote>
  <w:endnote w:id="24">
    <w:p w14:paraId="48FBD6FB" w14:textId="16E39250" w:rsidR="001E063A" w:rsidRPr="00633780" w:rsidRDefault="001E063A" w:rsidP="001E063A">
      <w:pPr>
        <w:pStyle w:val="Testonotadichiusura"/>
      </w:pPr>
      <w:r w:rsidRPr="00BF05F7">
        <w:rPr>
          <w:rStyle w:val="Rimandonotadichiusura"/>
        </w:rPr>
        <w:endnoteRef/>
      </w:r>
      <w:r w:rsidRPr="00633780">
        <w:t xml:space="preserve"> </w:t>
      </w:r>
      <w:r w:rsidR="00E2526F">
        <w:tab/>
      </w:r>
      <w:r w:rsidRPr="00633780">
        <w:t>Under s</w:t>
      </w:r>
      <w:r w:rsidR="00F4736D">
        <w:t>ection</w:t>
      </w:r>
      <w:r w:rsidRPr="00633780">
        <w:t xml:space="preserve"> 126 of the</w:t>
      </w:r>
      <w:r w:rsidRPr="00BF05F7">
        <w:rPr>
          <w:rStyle w:val="Enfasicorsivo"/>
        </w:rPr>
        <w:t xml:space="preserve"> Anti-Discrimination Act 1977</w:t>
      </w:r>
      <w:r>
        <w:t xml:space="preserve"> (NSW)</w:t>
      </w:r>
      <w:r w:rsidRPr="00633780">
        <w:t>.</w:t>
      </w:r>
    </w:p>
  </w:endnote>
  <w:endnote w:id="25">
    <w:p w14:paraId="00734549" w14:textId="571FBD2C" w:rsidR="001E063A" w:rsidRPr="00633780" w:rsidRDefault="001E063A" w:rsidP="001E063A">
      <w:pPr>
        <w:pStyle w:val="Testonotadichiusura"/>
      </w:pPr>
      <w:r w:rsidRPr="00BF05F7">
        <w:rPr>
          <w:rStyle w:val="Rimandonotadichiusura"/>
        </w:rPr>
        <w:endnoteRef/>
      </w:r>
      <w:r w:rsidRPr="00633780">
        <w:t xml:space="preserve"> </w:t>
      </w:r>
      <w:r w:rsidR="00E2526F">
        <w:tab/>
      </w:r>
      <w:r w:rsidRPr="00633780">
        <w:t xml:space="preserve">Equal Opportunity Tasmania, </w:t>
      </w:r>
      <w:r w:rsidRPr="00BF05F7">
        <w:rPr>
          <w:rStyle w:val="Enfasicorsivo"/>
        </w:rPr>
        <w:t>Exemptions</w:t>
      </w:r>
      <w:r w:rsidRPr="00633780">
        <w:t xml:space="preserve">, undated. At </w:t>
      </w:r>
      <w:hyperlink r:id="rId11" w:history="1">
        <w:r w:rsidRPr="00633780">
          <w:rPr>
            <w:rStyle w:val="Collegamentoipertestuale"/>
            <w:rFonts w:cs="Open Sans"/>
            <w:szCs w:val="18"/>
          </w:rPr>
          <w:t>https://equalopportunity.tas.gov.au/exemptions</w:t>
        </w:r>
      </w:hyperlink>
      <w:r w:rsidRPr="00633780">
        <w:t xml:space="preserve"> (viewed 18 July 2022). </w:t>
      </w:r>
    </w:p>
  </w:endnote>
  <w:endnote w:id="26">
    <w:p w14:paraId="6135BCC9" w14:textId="77A929CE" w:rsidR="001E063A" w:rsidRPr="00633780" w:rsidRDefault="001E063A" w:rsidP="001E063A">
      <w:pPr>
        <w:pStyle w:val="Testonotadichiusura"/>
        <w:rPr>
          <w:lang w:val="en-US"/>
        </w:rPr>
      </w:pPr>
      <w:r w:rsidRPr="00BF05F7">
        <w:rPr>
          <w:rStyle w:val="Rimandonotadichiusura"/>
        </w:rPr>
        <w:endnoteRef/>
      </w:r>
      <w:r w:rsidRPr="00633780">
        <w:t xml:space="preserve"> </w:t>
      </w:r>
      <w:r w:rsidR="00E2526F">
        <w:tab/>
      </w:r>
      <w:r w:rsidRPr="00633780">
        <w:t xml:space="preserve">As discussed, there is no ‘special measure’ provision in the </w:t>
      </w:r>
      <w:r w:rsidRPr="00BF05F7">
        <w:rPr>
          <w:rStyle w:val="Enfasicorsivo"/>
        </w:rPr>
        <w:t>Anti-Discrimination Act 1977</w:t>
      </w:r>
      <w:r>
        <w:t xml:space="preserve"> (NSW)</w:t>
      </w:r>
      <w:r w:rsidRPr="00633780">
        <w:t>, and employers should apply to Anti-Discrimination NSW for a statutory exemption</w:t>
      </w:r>
      <w:r w:rsidR="00425C8E">
        <w:t>,</w:t>
      </w:r>
      <w:r w:rsidRPr="00633780">
        <w:t xml:space="preserve"> see </w:t>
      </w:r>
      <w:r w:rsidRPr="008E17D5">
        <w:t xml:space="preserve">Part </w:t>
      </w:r>
      <w:r w:rsidR="000E1E42">
        <w:t>6</w:t>
      </w:r>
      <w:r w:rsidRPr="008E17D5">
        <w:t>.1</w:t>
      </w:r>
      <w:r w:rsidRPr="00633780">
        <w:t>.</w:t>
      </w:r>
    </w:p>
  </w:endnote>
  <w:endnote w:id="27">
    <w:p w14:paraId="65985EDC" w14:textId="2FB5C876" w:rsidR="001E063A" w:rsidRPr="00633780" w:rsidRDefault="001E063A" w:rsidP="001E063A">
      <w:pPr>
        <w:pStyle w:val="Testonotadichiusura"/>
      </w:pPr>
      <w:r w:rsidRPr="00BF05F7">
        <w:rPr>
          <w:rStyle w:val="Rimandonotadichiusura"/>
        </w:rPr>
        <w:endnoteRef/>
      </w:r>
      <w:r w:rsidRPr="00633780">
        <w:t xml:space="preserve"> </w:t>
      </w:r>
      <w:r w:rsidR="00E2526F">
        <w:tab/>
      </w:r>
      <w:r w:rsidRPr="00633780">
        <w:t xml:space="preserve">Refer to Table at </w:t>
      </w:r>
      <w:r w:rsidRPr="008E17D5">
        <w:t>Part 3.</w:t>
      </w:r>
      <w:r w:rsidR="007F07BD" w:rsidRPr="008E17D5">
        <w:t>3</w:t>
      </w:r>
      <w:r w:rsidRPr="00633780">
        <w:t xml:space="preserve">. </w:t>
      </w:r>
    </w:p>
  </w:endnote>
  <w:endnote w:id="28">
    <w:p w14:paraId="217BFC2F" w14:textId="5651375E" w:rsidR="001E063A" w:rsidRPr="00633780" w:rsidRDefault="001E063A" w:rsidP="001E063A">
      <w:pPr>
        <w:pStyle w:val="Testonotadichiusura"/>
      </w:pPr>
      <w:r w:rsidRPr="00BF05F7">
        <w:rPr>
          <w:rStyle w:val="Rimandonotadichiusura"/>
        </w:rPr>
        <w:endnoteRef/>
      </w:r>
      <w:r w:rsidRPr="00633780">
        <w:t xml:space="preserve"> </w:t>
      </w:r>
      <w:r w:rsidR="00E2526F">
        <w:tab/>
      </w:r>
      <w:r w:rsidRPr="00633780">
        <w:t xml:space="preserve">Neil Rees, Simon Rice and Dominique Allen, </w:t>
      </w:r>
      <w:r w:rsidRPr="00BF05F7">
        <w:rPr>
          <w:rStyle w:val="Enfasicorsivo"/>
        </w:rPr>
        <w:t>Anti-Discrimination &amp; Equal Opportunity Law</w:t>
      </w:r>
      <w:r w:rsidRPr="00633780">
        <w:t>, 3</w:t>
      </w:r>
      <w:r w:rsidRPr="00BF05F7">
        <w:rPr>
          <w:rStyle w:val="SuperscriptEndnotes"/>
        </w:rPr>
        <w:t>rd</w:t>
      </w:r>
      <w:r w:rsidRPr="00633780">
        <w:t xml:space="preserve"> ed, 2018, Federation Press, 576.</w:t>
      </w:r>
    </w:p>
  </w:endnote>
  <w:endnote w:id="29">
    <w:p w14:paraId="2C865DE2" w14:textId="04C5F6D4" w:rsidR="001E063A" w:rsidRPr="00633780" w:rsidRDefault="001E063A" w:rsidP="001E063A">
      <w:pPr>
        <w:pStyle w:val="Testonotadichiusura"/>
      </w:pPr>
      <w:r w:rsidRPr="00BF05F7">
        <w:rPr>
          <w:rStyle w:val="Rimandonotadichiusura"/>
        </w:rPr>
        <w:endnoteRef/>
      </w:r>
      <w:r w:rsidRPr="00633780">
        <w:t xml:space="preserve"> </w:t>
      </w:r>
      <w:r w:rsidR="00E2526F">
        <w:tab/>
      </w:r>
      <w:r w:rsidRPr="00633780">
        <w:t xml:space="preserve">Neil Rees, Simon Rice and Dominique Allen, </w:t>
      </w:r>
      <w:r w:rsidRPr="00BF05F7">
        <w:rPr>
          <w:rStyle w:val="Enfasicorsivo"/>
        </w:rPr>
        <w:t>Anti-Discrimination &amp; Equal Opportunity Law</w:t>
      </w:r>
      <w:r w:rsidRPr="00633780">
        <w:t>, 3</w:t>
      </w:r>
      <w:r w:rsidRPr="00BF05F7">
        <w:rPr>
          <w:rStyle w:val="SuperscriptEndnotes"/>
        </w:rPr>
        <w:t>rd</w:t>
      </w:r>
      <w:r w:rsidRPr="00633780">
        <w:t xml:space="preserve"> ed, 2018, Federation Press, 576.</w:t>
      </w:r>
    </w:p>
  </w:endnote>
  <w:endnote w:id="30">
    <w:p w14:paraId="39CC7387" w14:textId="399AE926" w:rsidR="001E063A" w:rsidRPr="00633780" w:rsidRDefault="001E063A" w:rsidP="001E063A">
      <w:pPr>
        <w:pStyle w:val="Testonotadichiusura"/>
      </w:pPr>
      <w:r w:rsidRPr="00BF05F7">
        <w:rPr>
          <w:rStyle w:val="Rimandonotadichiusura"/>
        </w:rPr>
        <w:endnoteRef/>
      </w:r>
      <w:r w:rsidRPr="00633780">
        <w:t xml:space="preserve"> </w:t>
      </w:r>
      <w:r w:rsidR="00E2526F">
        <w:tab/>
      </w:r>
      <w:r w:rsidRPr="00633780">
        <w:t xml:space="preserve">Section 21A of the </w:t>
      </w:r>
      <w:r w:rsidRPr="00BF05F7">
        <w:rPr>
          <w:rStyle w:val="Enfasicorsivo"/>
        </w:rPr>
        <w:t>Disability Discrimination Act 1992</w:t>
      </w:r>
      <w:r>
        <w:t xml:space="preserve"> (Cth) </w:t>
      </w:r>
      <w:r w:rsidRPr="00633780">
        <w:t xml:space="preserve">provides for an ‘inherent requirements’ exception (which also exists across state and territory jurisdictions), but this kind of exception has different work to do compared to a genuine occupational qualification. The ‘inherent requirements’ exception permits discrimination in employment if a person is </w:t>
      </w:r>
      <w:r w:rsidRPr="00BF05F7">
        <w:rPr>
          <w:rStyle w:val="Enfasicorsivo"/>
        </w:rPr>
        <w:t>unable</w:t>
      </w:r>
      <w:r w:rsidRPr="00633780">
        <w:t xml:space="preserve"> to carry out the essential tasks required by the </w:t>
      </w:r>
      <w:proofErr w:type="gramStart"/>
      <w:r w:rsidRPr="00633780">
        <w:t>particular work</w:t>
      </w:r>
      <w:proofErr w:type="gramEnd"/>
      <w:r w:rsidRPr="00633780">
        <w:t xml:space="preserve">, even if reasonable adjustments were provided. The application of this exception requires a holistic assessment of the circumstances: Neil Rees, Simon Rice and Dominique Allen, </w:t>
      </w:r>
      <w:r w:rsidRPr="00BF05F7">
        <w:rPr>
          <w:rStyle w:val="Enfasicorsivo"/>
        </w:rPr>
        <w:t>Anti-Discrimination &amp; Equal Opportunity Law</w:t>
      </w:r>
      <w:r w:rsidRPr="00633780">
        <w:t>, 3</w:t>
      </w:r>
      <w:r w:rsidRPr="00BF05F7">
        <w:rPr>
          <w:rStyle w:val="SuperscriptEndnotes"/>
        </w:rPr>
        <w:t>rd</w:t>
      </w:r>
      <w:r w:rsidRPr="00633780">
        <w:t xml:space="preserve"> ed, 2018, Federation Press, 389, 576.</w:t>
      </w:r>
    </w:p>
  </w:endnote>
  <w:endnote w:id="31">
    <w:p w14:paraId="7378E65E" w14:textId="3630CA49" w:rsidR="001E063A" w:rsidRPr="00633780" w:rsidRDefault="001E063A" w:rsidP="001E063A">
      <w:pPr>
        <w:pStyle w:val="Testonotadichiusura"/>
        <w:rPr>
          <w:lang w:val="en-US"/>
        </w:rPr>
      </w:pPr>
      <w:r w:rsidRPr="00BF05F7">
        <w:rPr>
          <w:rStyle w:val="Rimandonotadichiusura"/>
        </w:rPr>
        <w:endnoteRef/>
      </w:r>
      <w:r w:rsidRPr="00633780">
        <w:t xml:space="preserve"> </w:t>
      </w:r>
      <w:r w:rsidR="00E2526F">
        <w:tab/>
      </w:r>
      <w:r w:rsidRPr="00E2526F">
        <w:rPr>
          <w:rStyle w:val="Enfasicorsivo"/>
        </w:rPr>
        <w:t>Catholic Education Office v Clarke</w:t>
      </w:r>
      <w:r w:rsidRPr="00633780">
        <w:t xml:space="preserve"> (2004) 138 FCR 121, 149 [130].</w:t>
      </w:r>
    </w:p>
  </w:endnote>
  <w:endnote w:id="32">
    <w:p w14:paraId="05C8D92B" w14:textId="77777777" w:rsidR="001C232C" w:rsidRPr="00633780" w:rsidRDefault="001C232C" w:rsidP="001E063A">
      <w:pPr>
        <w:pStyle w:val="Testonotadichiusura"/>
        <w:rPr>
          <w:lang w:val="en-US"/>
        </w:rPr>
      </w:pPr>
      <w:r w:rsidRPr="00BF05F7">
        <w:rPr>
          <w:rStyle w:val="Rimandonotadichiusura"/>
        </w:rPr>
        <w:endnoteRef/>
      </w:r>
      <w:r w:rsidRPr="00633780">
        <w:t xml:space="preserve"> </w:t>
      </w:r>
      <w:r>
        <w:tab/>
      </w:r>
      <w:r w:rsidRPr="00633780">
        <w:t xml:space="preserve">PwC Australia, </w:t>
      </w:r>
      <w:r w:rsidRPr="00BF05F7">
        <w:rPr>
          <w:rStyle w:val="Enfasicorsivo"/>
        </w:rPr>
        <w:t>Reimagining Accessible Employment – PwC Australia’s access and inclusion plan 2020-2022</w:t>
      </w:r>
      <w:r w:rsidRPr="00633780">
        <w:t xml:space="preserve">, 2020, at </w:t>
      </w:r>
      <w:hyperlink r:id="rId12" w:history="1">
        <w:r w:rsidRPr="00633780">
          <w:rPr>
            <w:rStyle w:val="Collegamentoipertestuale"/>
            <w:rFonts w:cs="Open Sans"/>
            <w:szCs w:val="18"/>
          </w:rPr>
          <w:t>https://www.pwc.com.au/publications/assets/pwc-australias-access-and-inclusion-plan-2020-2022.pdf</w:t>
        </w:r>
      </w:hyperlink>
      <w:r w:rsidRPr="00633780">
        <w:t xml:space="preserve"> (viewed 3 August 2022)</w:t>
      </w:r>
    </w:p>
  </w:endnote>
  <w:endnote w:id="33">
    <w:p w14:paraId="002EF42B" w14:textId="66BB4EC6" w:rsidR="001E063A" w:rsidRPr="00633780" w:rsidRDefault="001E063A" w:rsidP="001E063A">
      <w:pPr>
        <w:pStyle w:val="Testonotadichiusura"/>
        <w:rPr>
          <w:rFonts w:cs="Open Sans"/>
          <w:szCs w:val="18"/>
          <w:lang w:val="en-US"/>
        </w:rPr>
      </w:pPr>
      <w:r w:rsidRPr="00BF05F7">
        <w:rPr>
          <w:rStyle w:val="Rimandonotadichiusura"/>
        </w:rPr>
        <w:endnoteRef/>
      </w:r>
      <w:r w:rsidRPr="00633780">
        <w:rPr>
          <w:rFonts w:cs="Open Sans"/>
          <w:szCs w:val="18"/>
        </w:rPr>
        <w:t xml:space="preserve"> </w:t>
      </w:r>
      <w:r w:rsidR="00E2526F">
        <w:rPr>
          <w:rFonts w:cs="Open Sans"/>
          <w:szCs w:val="18"/>
        </w:rPr>
        <w:tab/>
      </w:r>
      <w:r>
        <w:rPr>
          <w:rFonts w:cs="Open Sans"/>
          <w:szCs w:val="18"/>
        </w:rPr>
        <w:t>For example</w:t>
      </w:r>
      <w:r w:rsidRPr="00633780">
        <w:rPr>
          <w:rFonts w:cs="Open Sans"/>
          <w:szCs w:val="18"/>
        </w:rPr>
        <w:t xml:space="preserve">, under the </w:t>
      </w:r>
      <w:r w:rsidRPr="00BF05F7">
        <w:rPr>
          <w:rStyle w:val="Enfasicorsivo"/>
        </w:rPr>
        <w:t>Disability Discrimination Act 1992</w:t>
      </w:r>
      <w:r>
        <w:t xml:space="preserve"> (Cth)</w:t>
      </w:r>
      <w:r w:rsidRPr="00633780">
        <w:rPr>
          <w:rFonts w:cs="Open Sans"/>
          <w:szCs w:val="18"/>
        </w:rPr>
        <w:t>, s</w:t>
      </w:r>
      <w:r w:rsidR="00DC7600">
        <w:rPr>
          <w:rFonts w:cs="Open Sans"/>
          <w:szCs w:val="18"/>
        </w:rPr>
        <w:t>ection</w:t>
      </w:r>
      <w:r w:rsidRPr="00633780">
        <w:rPr>
          <w:rFonts w:cs="Open Sans"/>
          <w:szCs w:val="18"/>
        </w:rPr>
        <w:t xml:space="preserve"> 55.</w:t>
      </w:r>
    </w:p>
  </w:endnote>
  <w:endnote w:id="34">
    <w:p w14:paraId="2459B325" w14:textId="5CFD0204" w:rsidR="001E063A" w:rsidRPr="00633780" w:rsidRDefault="001E063A" w:rsidP="001E063A">
      <w:pPr>
        <w:pStyle w:val="Testonotadichiusura"/>
        <w:rPr>
          <w:lang w:val="en-US"/>
        </w:rPr>
      </w:pPr>
      <w:r w:rsidRPr="00BF05F7">
        <w:rPr>
          <w:rStyle w:val="Rimandonotadichiusura"/>
        </w:rPr>
        <w:endnoteRef/>
      </w:r>
      <w:r w:rsidRPr="00633780">
        <w:t xml:space="preserve"> </w:t>
      </w:r>
      <w:r w:rsidR="00E2526F">
        <w:tab/>
      </w:r>
      <w:r w:rsidRPr="00633780">
        <w:t xml:space="preserve">Anti-Discrimination New South Wales, </w:t>
      </w:r>
      <w:proofErr w:type="gramStart"/>
      <w:r w:rsidRPr="00BF05F7">
        <w:rPr>
          <w:rStyle w:val="Enfasicorsivo"/>
        </w:rPr>
        <w:t>Exemptions</w:t>
      </w:r>
      <w:proofErr w:type="gramEnd"/>
      <w:r w:rsidRPr="00BF05F7">
        <w:rPr>
          <w:rStyle w:val="Enfasicorsivo"/>
        </w:rPr>
        <w:t xml:space="preserve"> and certifications</w:t>
      </w:r>
      <w:r w:rsidRPr="00633780">
        <w:t>, undated</w:t>
      </w:r>
      <w:r w:rsidR="0066509D">
        <w:t>.</w:t>
      </w:r>
      <w:r w:rsidRPr="00633780">
        <w:t xml:space="preserve"> </w:t>
      </w:r>
      <w:r w:rsidR="0066509D">
        <w:t>A</w:t>
      </w:r>
      <w:r w:rsidRPr="00633780">
        <w:t>t</w:t>
      </w:r>
      <w:r w:rsidR="0066509D">
        <w:t> </w:t>
      </w:r>
      <w:hyperlink r:id="rId13" w:history="1">
        <w:r w:rsidRPr="00E2526F">
          <w:rPr>
            <w:rStyle w:val="Collegamentoipertestuale"/>
          </w:rPr>
          <w:t>https://antidiscrimination.nsw.gov.au/anti-discrimination-nsw/organisations-and-community-groups/exemptions-and-certifications.html/</w:t>
        </w:r>
      </w:hyperlink>
      <w:r w:rsidRPr="00633780">
        <w:t xml:space="preserve"> (viewed 3 August 2022).</w:t>
      </w:r>
    </w:p>
  </w:endnote>
  <w:endnote w:id="35">
    <w:p w14:paraId="203A6A06" w14:textId="66C5B869" w:rsidR="001E063A" w:rsidRPr="00633780" w:rsidRDefault="001E063A" w:rsidP="001E063A">
      <w:pPr>
        <w:pStyle w:val="Testonotadichiusura"/>
        <w:rPr>
          <w:rFonts w:cs="Open Sans"/>
          <w:szCs w:val="18"/>
          <w:lang w:val="en-US"/>
        </w:rPr>
      </w:pPr>
      <w:r w:rsidRPr="00BF05F7">
        <w:rPr>
          <w:rStyle w:val="Rimandonotadichiusura"/>
        </w:rPr>
        <w:endnoteRef/>
      </w:r>
      <w:r w:rsidRPr="00633780">
        <w:rPr>
          <w:rFonts w:cs="Open Sans"/>
          <w:szCs w:val="18"/>
        </w:rPr>
        <w:t xml:space="preserve"> </w:t>
      </w:r>
      <w:r w:rsidR="00E2526F">
        <w:rPr>
          <w:rFonts w:cs="Open Sans"/>
          <w:szCs w:val="18"/>
        </w:rPr>
        <w:tab/>
      </w:r>
      <w:r w:rsidRPr="00633780">
        <w:rPr>
          <w:rFonts w:cs="Open Sans"/>
          <w:szCs w:val="18"/>
        </w:rPr>
        <w:t xml:space="preserve">Anti-Discrimination New South Wales, </w:t>
      </w:r>
      <w:proofErr w:type="gramStart"/>
      <w:r w:rsidR="00CD25EB" w:rsidRPr="00BF05F7">
        <w:rPr>
          <w:rStyle w:val="Enfasicorsivo"/>
        </w:rPr>
        <w:t>E</w:t>
      </w:r>
      <w:r w:rsidRPr="00BF05F7">
        <w:rPr>
          <w:rStyle w:val="Enfasicorsivo"/>
        </w:rPr>
        <w:t>xemptions</w:t>
      </w:r>
      <w:proofErr w:type="gramEnd"/>
      <w:r w:rsidRPr="00BF05F7">
        <w:rPr>
          <w:rStyle w:val="Enfasicorsivo"/>
        </w:rPr>
        <w:t xml:space="preserve"> and certifications</w:t>
      </w:r>
      <w:r w:rsidRPr="00633780">
        <w:rPr>
          <w:rFonts w:cs="Open Sans"/>
          <w:szCs w:val="18"/>
        </w:rPr>
        <w:t>, undated. At</w:t>
      </w:r>
      <w:r w:rsidR="0066509D">
        <w:rPr>
          <w:rFonts w:cs="Open Sans"/>
          <w:szCs w:val="18"/>
        </w:rPr>
        <w:t> </w:t>
      </w:r>
      <w:hyperlink r:id="rId14" w:history="1">
        <w:r w:rsidRPr="00633780">
          <w:rPr>
            <w:rStyle w:val="Collegamentoipertestuale"/>
            <w:rFonts w:cs="Open Sans"/>
            <w:szCs w:val="18"/>
          </w:rPr>
          <w:t>https://antidiscrimination.nsw.gov.au/anti-discrimination-nsw/organisations-and-community-groups/exemptions-and-certifications.html/</w:t>
        </w:r>
      </w:hyperlink>
      <w:r w:rsidRPr="00633780">
        <w:rPr>
          <w:rFonts w:cs="Open Sans"/>
          <w:szCs w:val="18"/>
        </w:rPr>
        <w:t>(viewed 3 August 2022).</w:t>
      </w:r>
    </w:p>
  </w:endnote>
  <w:endnote w:id="36">
    <w:p w14:paraId="7C0222F5" w14:textId="26ED3585" w:rsidR="001E063A" w:rsidRPr="00633780" w:rsidRDefault="001E063A" w:rsidP="001E063A">
      <w:pPr>
        <w:pStyle w:val="Testonotadichiusura"/>
        <w:rPr>
          <w:lang w:val="en-US"/>
        </w:rPr>
      </w:pPr>
      <w:r w:rsidRPr="00BF05F7">
        <w:rPr>
          <w:rStyle w:val="Rimandonotadichiusura"/>
        </w:rPr>
        <w:endnoteRef/>
      </w:r>
      <w:r w:rsidRPr="00633780">
        <w:t xml:space="preserve"> </w:t>
      </w:r>
      <w:r w:rsidR="00E2526F">
        <w:tab/>
      </w:r>
      <w:r w:rsidRPr="00633780">
        <w:t xml:space="preserve">Anti-Discrimination New South Wales, </w:t>
      </w:r>
      <w:proofErr w:type="gramStart"/>
      <w:r w:rsidRPr="00BF05F7">
        <w:rPr>
          <w:rStyle w:val="Enfasicorsivo"/>
        </w:rPr>
        <w:t>Exemptions</w:t>
      </w:r>
      <w:proofErr w:type="gramEnd"/>
      <w:r w:rsidRPr="00BF05F7">
        <w:rPr>
          <w:rStyle w:val="Enfasicorsivo"/>
        </w:rPr>
        <w:t xml:space="preserve"> and certifications</w:t>
      </w:r>
      <w:r w:rsidRPr="00633780">
        <w:t>, undated. At</w:t>
      </w:r>
      <w:r w:rsidR="0066509D">
        <w:t> </w:t>
      </w:r>
      <w:hyperlink r:id="rId15" w:history="1">
        <w:r w:rsidRPr="00E2526F">
          <w:rPr>
            <w:rStyle w:val="Collegamentoipertestuale"/>
          </w:rPr>
          <w:t>https://antidiscrimination.nsw.gov.au/anti-discrimination-nsw/organisations-and-community-groups/exemptions-and-certifications.html/</w:t>
        </w:r>
      </w:hyperlink>
      <w:r w:rsidRPr="00633780">
        <w:t xml:space="preserve"> (viewed 3 August 2022).</w:t>
      </w:r>
    </w:p>
  </w:endnote>
  <w:endnote w:id="37">
    <w:p w14:paraId="0D7E8637" w14:textId="77777777" w:rsidR="001C232C" w:rsidRPr="00633780" w:rsidRDefault="001C232C" w:rsidP="001E063A">
      <w:pPr>
        <w:pStyle w:val="Testonotadichiusura"/>
        <w:rPr>
          <w:lang w:val="en-US"/>
        </w:rPr>
      </w:pPr>
      <w:r w:rsidRPr="00BF05F7">
        <w:rPr>
          <w:rStyle w:val="Rimandonotadichiusura"/>
        </w:rPr>
        <w:endnoteRef/>
      </w:r>
      <w:r w:rsidRPr="00633780">
        <w:t xml:space="preserve"> </w:t>
      </w:r>
      <w:r>
        <w:tab/>
      </w:r>
      <w:r w:rsidRPr="00633780">
        <w:t xml:space="preserve">Anti-Discrimination New South Wales, </w:t>
      </w:r>
      <w:r w:rsidRPr="00BF05F7">
        <w:rPr>
          <w:rStyle w:val="Enfasicorsivo"/>
        </w:rPr>
        <w:t>Current exemptions</w:t>
      </w:r>
      <w:r w:rsidRPr="00633780">
        <w:t>, undated. At</w:t>
      </w:r>
      <w:r>
        <w:t> </w:t>
      </w:r>
      <w:hyperlink r:id="rId16" w:history="1">
        <w:r w:rsidRPr="00633780">
          <w:rPr>
            <w:rStyle w:val="Collegamentoipertestuale"/>
            <w:rFonts w:cs="Open Sans"/>
            <w:szCs w:val="18"/>
          </w:rPr>
          <w:t>https://antidiscrimination.nsw.gov.au/anti-discrimination-nsw/organisations-and-community-groups/exemptions-and-certifications/current-exemptions.html</w:t>
        </w:r>
      </w:hyperlink>
      <w:r w:rsidRPr="00633780">
        <w:t xml:space="preserve"> (viewed 3 August 2022).</w:t>
      </w:r>
    </w:p>
  </w:endnote>
  <w:endnote w:id="38">
    <w:p w14:paraId="2C10A029" w14:textId="24DA8972" w:rsidR="001E063A" w:rsidRPr="00633780" w:rsidRDefault="001E063A" w:rsidP="001E063A">
      <w:pPr>
        <w:pStyle w:val="Testonotadichiusura"/>
        <w:rPr>
          <w:lang w:val="en-US"/>
        </w:rPr>
      </w:pPr>
      <w:r w:rsidRPr="00BF05F7">
        <w:rPr>
          <w:rStyle w:val="Rimandonotadichiusura"/>
        </w:rPr>
        <w:endnoteRef/>
      </w:r>
      <w:r w:rsidRPr="00633780">
        <w:t xml:space="preserve"> </w:t>
      </w:r>
      <w:r w:rsidR="00E2526F">
        <w:tab/>
      </w:r>
      <w:r w:rsidRPr="00E2526F">
        <w:rPr>
          <w:rStyle w:val="Enfasicorsivo"/>
        </w:rPr>
        <w:t>Anti-Discrimination Act 1998</w:t>
      </w:r>
      <w:r w:rsidRPr="00633780">
        <w:t xml:space="preserve"> (Tas), s</w:t>
      </w:r>
      <w:r w:rsidR="00DC7600">
        <w:t>ection</w:t>
      </w:r>
      <w:r w:rsidRPr="00633780">
        <w:t xml:space="preserve"> 101.</w:t>
      </w:r>
    </w:p>
  </w:endnote>
  <w:endnote w:id="39">
    <w:p w14:paraId="14DD01AA" w14:textId="09C68ADD" w:rsidR="001E063A" w:rsidRPr="00633780" w:rsidRDefault="001E063A" w:rsidP="001E063A">
      <w:pPr>
        <w:pStyle w:val="Testonotadichiusura"/>
        <w:rPr>
          <w:lang w:val="en-US"/>
        </w:rPr>
      </w:pPr>
      <w:r w:rsidRPr="00BF05F7">
        <w:rPr>
          <w:rStyle w:val="Rimandonotadichiusura"/>
        </w:rPr>
        <w:endnoteRef/>
      </w:r>
      <w:r w:rsidRPr="00633780">
        <w:t xml:space="preserve"> </w:t>
      </w:r>
      <w:r w:rsidR="00E2526F">
        <w:tab/>
      </w:r>
      <w:r w:rsidRPr="00E2526F">
        <w:rPr>
          <w:rStyle w:val="Enfasicorsivo"/>
        </w:rPr>
        <w:t>Anti-Discrimination Act 1998</w:t>
      </w:r>
      <w:r w:rsidRPr="00633780">
        <w:t xml:space="preserve"> (Tas), s</w:t>
      </w:r>
      <w:r w:rsidR="00DC7600">
        <w:t>ection</w:t>
      </w:r>
      <w:r w:rsidRPr="00633780">
        <w:t xml:space="preserve"> 64(1)(h).</w:t>
      </w:r>
    </w:p>
  </w:endnote>
  <w:endnote w:id="40">
    <w:p w14:paraId="7D959625" w14:textId="2D5DA24E" w:rsidR="001E063A" w:rsidRPr="00633780" w:rsidRDefault="001E063A" w:rsidP="001E063A">
      <w:pPr>
        <w:pStyle w:val="Testonotadichiusura"/>
        <w:rPr>
          <w:lang w:val="en-US"/>
        </w:rPr>
      </w:pPr>
      <w:r w:rsidRPr="00BF05F7">
        <w:rPr>
          <w:rStyle w:val="Rimandonotadichiusura"/>
        </w:rPr>
        <w:endnoteRef/>
      </w:r>
      <w:r w:rsidRPr="00633780">
        <w:t xml:space="preserve"> </w:t>
      </w:r>
      <w:r w:rsidR="00E2526F">
        <w:tab/>
      </w:r>
      <w:r w:rsidRPr="00633780">
        <w:t xml:space="preserve">Equal Opportunity Tasmania, </w:t>
      </w:r>
      <w:r w:rsidRPr="00BF05F7">
        <w:rPr>
          <w:rStyle w:val="Enfasicorsivo"/>
        </w:rPr>
        <w:t>Exemptions</w:t>
      </w:r>
      <w:r w:rsidRPr="00633780">
        <w:t>, undated. At</w:t>
      </w:r>
      <w:r w:rsidR="0066509D">
        <w:t> </w:t>
      </w:r>
      <w:hyperlink r:id="rId17" w:history="1">
        <w:r w:rsidRPr="00E2526F">
          <w:rPr>
            <w:rStyle w:val="Collegamentoipertestuale"/>
          </w:rPr>
          <w:t>https://equalopportunity.tas.gov.au/exemptions</w:t>
        </w:r>
      </w:hyperlink>
      <w:r w:rsidRPr="00BF05F7">
        <w:t xml:space="preserve"> </w:t>
      </w:r>
      <w:r w:rsidRPr="00633780">
        <w:t>(viewed 3 August 2022).</w:t>
      </w:r>
    </w:p>
  </w:endnote>
  <w:endnote w:id="41">
    <w:p w14:paraId="6EADFCE7" w14:textId="312E0B56" w:rsidR="001E063A" w:rsidRDefault="001E063A" w:rsidP="001E063A">
      <w:pPr>
        <w:pStyle w:val="Testonotadichiusura"/>
      </w:pPr>
      <w:r w:rsidRPr="00BF05F7">
        <w:rPr>
          <w:rStyle w:val="Rimandonotadichiusura"/>
        </w:rPr>
        <w:endnoteRef/>
      </w:r>
      <w:r w:rsidRPr="00633780">
        <w:t xml:space="preserve"> </w:t>
      </w:r>
      <w:r w:rsidR="00E2526F">
        <w:tab/>
      </w:r>
      <w:r w:rsidRPr="00633780">
        <w:t xml:space="preserve">Equal Opportunity Tasmania, </w:t>
      </w:r>
      <w:r w:rsidRPr="00BF05F7">
        <w:rPr>
          <w:rStyle w:val="Enfasicorsivo"/>
        </w:rPr>
        <w:t>Applying for an Exemption</w:t>
      </w:r>
      <w:r w:rsidRPr="00633780">
        <w:t>, undated. At</w:t>
      </w:r>
      <w:r w:rsidR="0066509D">
        <w:t> </w:t>
      </w:r>
      <w:hyperlink r:id="rId18" w:history="1">
        <w:r w:rsidR="00DE55DE">
          <w:rPr>
            <w:rStyle w:val="Collegamentoipertestuale"/>
            <w:rFonts w:cs="Open Sans"/>
            <w:szCs w:val="18"/>
          </w:rPr>
          <w:t>https://equalopportunity.tas.gov.au/exemptions</w:t>
        </w:r>
      </w:hyperlink>
      <w:r w:rsidRPr="00633780">
        <w:t xml:space="preserve"> (viewed 3 August 2022).</w:t>
      </w:r>
    </w:p>
    <w:p w14:paraId="5BAFB3AF" w14:textId="7A41CE86" w:rsidR="00881DD5" w:rsidRDefault="00881DD5" w:rsidP="00881DD5">
      <w:pPr>
        <w:pStyle w:val="Testonotadichiusura"/>
        <w:ind w:left="0" w:firstLine="0"/>
      </w:pPr>
    </w:p>
    <w:p w14:paraId="499CE1BE" w14:textId="77777777" w:rsidR="008810F5" w:rsidRPr="00633780" w:rsidRDefault="008810F5" w:rsidP="00881DD5">
      <w:pPr>
        <w:pStyle w:val="Testonotadichiusura"/>
        <w:ind w:left="0" w:firstLine="0"/>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Semibold">
    <w:panose1 w:val="020B0706030804020204"/>
    <w:charset w:val="00"/>
    <w:family w:val="swiss"/>
    <w:pitch w:val="variable"/>
    <w:sig w:usb0="E00002EF" w:usb1="4000205B" w:usb2="00000028" w:usb3="00000000" w:csb0="0000019F" w:csb1="00000000"/>
  </w:font>
  <w:font w:name="Times New Roman (Titoli CS)">
    <w:altName w:val="Times New Roman"/>
    <w:panose1 w:val="020B0604020202020204"/>
    <w:charset w:val="00"/>
    <w:family w:val="roman"/>
    <w:notTrueType/>
    <w:pitch w:val="default"/>
  </w:font>
  <w:font w:name="Open Sans Light">
    <w:panose1 w:val="020B0306030504020204"/>
    <w:charset w:val="00"/>
    <w:family w:val="swiss"/>
    <w:pitch w:val="variable"/>
    <w:sig w:usb0="E00002EF" w:usb1="4000205B" w:usb2="00000028" w:usb3="00000000" w:csb0="0000019F" w:csb1="00000000"/>
  </w:font>
  <w:font w:name="ArialMT">
    <w:altName w:val="Arial"/>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3E347" w14:textId="0E281B80" w:rsidR="008C5263" w:rsidRPr="00F67758" w:rsidRDefault="001F5450" w:rsidP="001F5450">
    <w:pPr>
      <w:pStyle w:val="Intestazione"/>
    </w:pPr>
    <w:r w:rsidRPr="00335D3E">
      <w:t>Guidelines for the targeted recruitment of people with disability</w:t>
    </w:r>
    <w:r>
      <w:rPr>
        <w:rStyle w:val="Numeropagina"/>
      </w:rPr>
      <w:t xml:space="preserve"> | </w:t>
    </w:r>
    <w:r w:rsidRPr="002D3ABC">
      <w:rPr>
        <w:rStyle w:val="Numeropagina"/>
      </w:rPr>
      <w:fldChar w:fldCharType="begin"/>
    </w:r>
    <w:r w:rsidRPr="002D3ABC">
      <w:rPr>
        <w:rStyle w:val="Numeropagina"/>
      </w:rPr>
      <w:instrText xml:space="preserve"> PAGE </w:instrText>
    </w:r>
    <w:r w:rsidRPr="002D3ABC">
      <w:rPr>
        <w:rStyle w:val="Numeropagina"/>
      </w:rPr>
      <w:fldChar w:fldCharType="separate"/>
    </w:r>
    <w:r>
      <w:rPr>
        <w:rStyle w:val="Numeropagina"/>
      </w:rPr>
      <w:t>38</w:t>
    </w:r>
    <w:r w:rsidRPr="002D3ABC">
      <w:rPr>
        <w:rStyle w:val="Numeropagin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CA4B4" w14:textId="77777777" w:rsidR="008C5263" w:rsidRPr="00636CD3" w:rsidRDefault="008C5263" w:rsidP="00833FE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CAEBF" w14:textId="77777777" w:rsidR="003D2388" w:rsidRDefault="003D2388" w:rsidP="002C1E08">
      <w:r>
        <w:separator/>
      </w:r>
    </w:p>
  </w:footnote>
  <w:footnote w:type="continuationSeparator" w:id="0">
    <w:p w14:paraId="214C2D99" w14:textId="77777777" w:rsidR="003D2388" w:rsidRDefault="003D2388" w:rsidP="002C1E08">
      <w:r>
        <w:continuationSeparator/>
      </w:r>
    </w:p>
  </w:footnote>
  <w:footnote w:type="continuationNotice" w:id="1">
    <w:p w14:paraId="3733B482" w14:textId="77777777" w:rsidR="003D2388" w:rsidRDefault="003D2388" w:rsidP="002C1E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DEA81" w14:textId="77777777" w:rsidR="008C5263" w:rsidRDefault="008C5263" w:rsidP="00833FE3">
    <w:pPr>
      <w:pStyle w:val="Intestazione"/>
    </w:pPr>
    <w:r>
      <w:rPr>
        <w:noProof/>
      </w:rPr>
      <w:drawing>
        <wp:anchor distT="0" distB="0" distL="114300" distR="114300" simplePos="0" relativeHeight="251656704" behindDoc="1" locked="0" layoutInCell="0" allowOverlap="1" wp14:anchorId="01DCFC64" wp14:editId="678BB8F5">
          <wp:simplePos x="0" y="0"/>
          <wp:positionH relativeFrom="margin">
            <wp:align>center</wp:align>
          </wp:positionH>
          <wp:positionV relativeFrom="margin">
            <wp:align>center</wp:align>
          </wp:positionV>
          <wp:extent cx="7564755" cy="11050905"/>
          <wp:effectExtent l="0" t="0" r="4445" b="0"/>
          <wp:wrapNone/>
          <wp:docPr id="48" name="Immagine 2" descr="Cover title: IncludeAbility: Targeted recruitment guideline for people with disability, September 2022&#10;(DRAFT 19 August 2022)&#10;&#10;Cover image: Young woman using wheelchair addressing meeting in casual business attire&#10;&#10;Australian Human Rights Commission logo&#10;IncludeAbility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magine 2" descr="Cover title: IncludeAbility: Targeted recruitment guideline for people with disability, September 2022&#10;(DRAFT 19 August 2022)&#10;&#10;Cover image: Young woman using wheelchair addressing meeting in casual business attire&#10;&#10;Australian Human Rights Commission logo&#10;IncludeAbility 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1050905"/>
                  </a:xfrm>
                  <a:prstGeom prst="rect">
                    <a:avLst/>
                  </a:prstGeom>
                  <a:noFill/>
                </pic:spPr>
              </pic:pic>
            </a:graphicData>
          </a:graphic>
          <wp14:sizeRelH relativeFrom="page">
            <wp14:pctWidth>0</wp14:pctWidth>
          </wp14:sizeRelH>
          <wp14:sizeRelV relativeFrom="page">
            <wp14:pctHeight>0</wp14:pctHeight>
          </wp14:sizeRelV>
        </wp:anchor>
      </w:drawing>
    </w:r>
  </w:p>
  <w:p w14:paraId="3ABA3BA4" w14:textId="77777777" w:rsidR="008C5263" w:rsidRDefault="008C5263" w:rsidP="002C1E0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B1253" w14:textId="619ECC0A" w:rsidR="00C81822" w:rsidRPr="00F67758" w:rsidRDefault="00C81822" w:rsidP="00F6775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FA64F" w14:textId="50D08B0A" w:rsidR="008C5263" w:rsidRDefault="008C5263" w:rsidP="00833FE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E301292"/>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6C345ECA"/>
    <w:lvl w:ilvl="0">
      <w:start w:val="1"/>
      <w:numFmt w:val="bullet"/>
      <w:pStyle w:val="Puntoelenco5"/>
      <w:lvlText w:val=""/>
      <w:lvlJc w:val="left"/>
      <w:pPr>
        <w:tabs>
          <w:tab w:val="num" w:pos="284"/>
        </w:tabs>
        <w:ind w:left="284" w:hanging="284"/>
      </w:pPr>
      <w:rPr>
        <w:rFonts w:ascii="Symbol" w:hAnsi="Symbol" w:hint="default"/>
      </w:rPr>
    </w:lvl>
  </w:abstractNum>
  <w:abstractNum w:abstractNumId="5" w15:restartNumberingAfterBreak="0">
    <w:nsid w:val="FFFFFF88"/>
    <w:multiLevelType w:val="singleLevel"/>
    <w:tmpl w:val="F3FEF416"/>
    <w:lvl w:ilvl="0">
      <w:start w:val="1"/>
      <w:numFmt w:val="decimal"/>
      <w:pStyle w:val="Numeroelenco"/>
      <w:lvlText w:val="%1."/>
      <w:lvlJc w:val="left"/>
      <w:pPr>
        <w:tabs>
          <w:tab w:val="num" w:pos="360"/>
        </w:tabs>
        <w:ind w:left="360" w:hanging="360"/>
      </w:pPr>
    </w:lvl>
  </w:abstractNum>
  <w:abstractNum w:abstractNumId="6" w15:restartNumberingAfterBreak="0">
    <w:nsid w:val="04282D76"/>
    <w:multiLevelType w:val="multilevel"/>
    <w:tmpl w:val="16D8AB40"/>
    <w:styleLink w:val="Elencocorrente12"/>
    <w:lvl w:ilvl="0">
      <w:start w:val="1"/>
      <w:numFmt w:val="decimal"/>
      <w:lvlText w:val="%1."/>
      <w:lvlJc w:val="left"/>
      <w:pPr>
        <w:ind w:left="567" w:hanging="567"/>
      </w:pPr>
      <w:rPr>
        <w:rFonts w:hint="default"/>
      </w:rPr>
    </w:lvl>
    <w:lvl w:ilvl="1">
      <w:start w:val="1"/>
      <w:numFmt w:val="decimal"/>
      <w:lvlText w:val="%1.%2"/>
      <w:lvlJc w:val="left"/>
      <w:pPr>
        <w:tabs>
          <w:tab w:val="num" w:pos="578"/>
        </w:tabs>
        <w:ind w:left="578" w:hanging="578"/>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7C001D6"/>
    <w:multiLevelType w:val="multilevel"/>
    <w:tmpl w:val="E1AE5776"/>
    <w:styleLink w:val="Elencocorrente16"/>
    <w:lvl w:ilvl="0">
      <w:start w:val="1"/>
      <w:numFmt w:val="lowerLetter"/>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A132D53"/>
    <w:multiLevelType w:val="multilevel"/>
    <w:tmpl w:val="333CEE36"/>
    <w:styleLink w:val="Elencocorrente7"/>
    <w:lvl w:ilvl="0">
      <w:start w:val="1"/>
      <w:numFmt w:val="lowerLetter"/>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F13F60"/>
    <w:multiLevelType w:val="multilevel"/>
    <w:tmpl w:val="D10C5E12"/>
    <w:styleLink w:val="Elencocorrente34"/>
    <w:lvl w:ilvl="0">
      <w:start w:val="1"/>
      <w:numFmt w:val="bullet"/>
      <w:lvlText w:val="–"/>
      <w:lvlJc w:val="left"/>
      <w:pPr>
        <w:ind w:left="567" w:hanging="283"/>
      </w:pPr>
      <w:rPr>
        <w:rFonts w:ascii="Open Sans" w:hAnsi="Open Sans" w:hint="default"/>
        <w:color w:val="F27166" w:themeColor="accent4"/>
        <w:sz w:val="20"/>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0" w15:restartNumberingAfterBreak="0">
    <w:nsid w:val="0CA420BB"/>
    <w:multiLevelType w:val="multilevel"/>
    <w:tmpl w:val="B68473BA"/>
    <w:styleLink w:val="Elencocorrente3"/>
    <w:lvl w:ilvl="0">
      <w:start w:val="1"/>
      <w:numFmt w:val="decimal"/>
      <w:lvlText w:val="%1."/>
      <w:lvlJc w:val="left"/>
      <w:pPr>
        <w:ind w:left="720" w:hanging="72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CF37321"/>
    <w:multiLevelType w:val="multilevel"/>
    <w:tmpl w:val="AE28DED4"/>
    <w:styleLink w:val="Elencocorrente24"/>
    <w:lvl w:ilvl="0">
      <w:start w:val="1"/>
      <w:numFmt w:val="bullet"/>
      <w:lvlText w:val="–"/>
      <w:lvlJc w:val="left"/>
      <w:pPr>
        <w:ind w:left="646" w:hanging="362"/>
      </w:pPr>
      <w:rPr>
        <w:rFonts w:ascii="Open Sans" w:hAnsi="Open Sans" w:hint="default"/>
        <w:color w:val="F27166" w:themeColor="accent4"/>
        <w:sz w:val="20"/>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2" w15:restartNumberingAfterBreak="0">
    <w:nsid w:val="13DB606F"/>
    <w:multiLevelType w:val="multilevel"/>
    <w:tmpl w:val="B3F07A78"/>
    <w:styleLink w:val="Elencocorrente29"/>
    <w:lvl w:ilvl="0">
      <w:start w:val="1"/>
      <w:numFmt w:val="decimal"/>
      <w:lvlText w:val="%1."/>
      <w:lvlJc w:val="left"/>
      <w:pPr>
        <w:ind w:left="567" w:hanging="567"/>
      </w:pPr>
      <w:rPr>
        <w:rFonts w:hint="default"/>
      </w:rPr>
    </w:lvl>
    <w:lvl w:ilvl="1">
      <w:start w:val="1"/>
      <w:numFmt w:val="decimal"/>
      <w:lvlText w:val="%1.%2"/>
      <w:lvlJc w:val="left"/>
      <w:pPr>
        <w:tabs>
          <w:tab w:val="num" w:pos="578"/>
        </w:tabs>
        <w:ind w:left="578" w:hanging="578"/>
      </w:pPr>
      <w:rPr>
        <w:rFonts w:hint="default"/>
        <w:i w:val="0"/>
        <w:iCs w:val="0"/>
      </w:rPr>
    </w:lvl>
    <w:lvl w:ilvl="2">
      <w:start w:val="1"/>
      <w:numFmt w:val="lowerLetter"/>
      <w:lvlText w:val="(%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D9058A2"/>
    <w:multiLevelType w:val="multilevel"/>
    <w:tmpl w:val="8EAABBDE"/>
    <w:styleLink w:val="Elencocorrente26"/>
    <w:lvl w:ilvl="0">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color w:val="2BB8C9" w:themeColor="accent2"/>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1B71560"/>
    <w:multiLevelType w:val="multilevel"/>
    <w:tmpl w:val="0C090023"/>
    <w:styleLink w:val="ArticoloSezione"/>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25DA5DA0"/>
    <w:multiLevelType w:val="multilevel"/>
    <w:tmpl w:val="F1DC3414"/>
    <w:styleLink w:val="Elencocorrente31"/>
    <w:lvl w:ilvl="0">
      <w:start w:val="1"/>
      <w:numFmt w:val="decimal"/>
      <w:lvlText w:val="%1."/>
      <w:lvlJc w:val="left"/>
      <w:pPr>
        <w:ind w:left="567" w:hanging="567"/>
      </w:pPr>
      <w:rPr>
        <w:rFonts w:hint="default"/>
      </w:rPr>
    </w:lvl>
    <w:lvl w:ilvl="1">
      <w:start w:val="1"/>
      <w:numFmt w:val="decimal"/>
      <w:lvlText w:val="%1.%2"/>
      <w:lvlJc w:val="left"/>
      <w:pPr>
        <w:tabs>
          <w:tab w:val="num" w:pos="6390"/>
        </w:tabs>
        <w:ind w:left="6390" w:hanging="578"/>
      </w:pPr>
      <w:rPr>
        <w:rFonts w:hint="default"/>
        <w:i w:val="0"/>
        <w:iCs w:val="0"/>
      </w:rPr>
    </w:lvl>
    <w:lvl w:ilvl="2">
      <w:start w:val="1"/>
      <w:numFmt w:val="lowerLetter"/>
      <w:lvlText w:val="(%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277615D7"/>
    <w:multiLevelType w:val="multilevel"/>
    <w:tmpl w:val="17D45EE2"/>
    <w:styleLink w:val="Elencocorrente22"/>
    <w:lvl w:ilvl="0">
      <w:start w:val="1"/>
      <w:numFmt w:val="bullet"/>
      <w:lvlText w:val="–"/>
      <w:lvlJc w:val="left"/>
      <w:pPr>
        <w:ind w:left="720" w:hanging="360"/>
      </w:pPr>
      <w:rPr>
        <w:rFonts w:ascii="Open Sans" w:hAnsi="Open Sans" w:hint="default"/>
        <w:color w:val="2BB8C9" w:themeColor="accent2"/>
        <w:sz w:val="20"/>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7" w15:restartNumberingAfterBreak="0">
    <w:nsid w:val="28284407"/>
    <w:multiLevelType w:val="multilevel"/>
    <w:tmpl w:val="C9229090"/>
    <w:name w:val="w10Numbering"/>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i w:val="0"/>
      </w:rPr>
    </w:lvl>
    <w:lvl w:ilvl="2">
      <w:start w:val="1"/>
      <w:numFmt w:val="lowerLetter"/>
      <w:lvlText w:val="(%3)"/>
      <w:lvlJc w:val="left"/>
      <w:pPr>
        <w:ind w:left="1701" w:hanging="850"/>
      </w:pPr>
      <w:rPr>
        <w:rFonts w:hint="default"/>
      </w:rPr>
    </w:lvl>
    <w:lvl w:ilvl="3">
      <w:start w:val="1"/>
      <w:numFmt w:val="decimal"/>
      <w:lvlText w:val="(%4)"/>
      <w:lvlJc w:val="left"/>
      <w:pPr>
        <w:tabs>
          <w:tab w:val="num" w:pos="1701"/>
        </w:tabs>
        <w:ind w:left="2552" w:hanging="851"/>
      </w:pPr>
      <w:rPr>
        <w:rFonts w:hint="default"/>
      </w:rPr>
    </w:lvl>
    <w:lvl w:ilvl="4">
      <w:start w:val="1"/>
      <w:numFmt w:val="upperLetter"/>
      <w:lvlText w:val="(%5)"/>
      <w:lvlJc w:val="left"/>
      <w:pPr>
        <w:tabs>
          <w:tab w:val="num" w:pos="2552"/>
        </w:tabs>
        <w:ind w:left="3402" w:hanging="850"/>
      </w:pPr>
      <w:rPr>
        <w:rFonts w:ascii="Arial" w:hAnsi="Arial" w:hint="default"/>
        <w:b w:val="0"/>
        <w:i w:val="0"/>
        <w:vanish w:val="0"/>
        <w:sz w:val="20"/>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2D572BAF"/>
    <w:multiLevelType w:val="hybridMultilevel"/>
    <w:tmpl w:val="20DA907E"/>
    <w:lvl w:ilvl="0" w:tplc="A8F430AA">
      <w:start w:val="1"/>
      <w:numFmt w:val="bullet"/>
      <w:pStyle w:val="Puntoelenco"/>
      <w:lvlText w:val=""/>
      <w:lvlJc w:val="left"/>
      <w:pPr>
        <w:ind w:left="284" w:hanging="284"/>
      </w:pPr>
      <w:rPr>
        <w:rFonts w:ascii="Symbol" w:hAnsi="Symbol" w:hint="default"/>
        <w:b w:val="0"/>
        <w:bCs w:val="0"/>
        <w:i w:val="0"/>
        <w:iCs w:val="0"/>
        <w:caps w:val="0"/>
        <w:smallCaps w:val="0"/>
        <w:strike w:val="0"/>
        <w:dstrike w:val="0"/>
        <w:outline w:val="0"/>
        <w:shadow w:val="0"/>
        <w:emboss w:val="0"/>
        <w:imprint w:val="0"/>
        <w:vanish w:val="0"/>
        <w:color w:val="auto"/>
        <w:spacing w:val="0"/>
        <w:kern w:val="0"/>
        <w:position w:val="0"/>
        <w:sz w:val="20"/>
        <w:u w:val="none"/>
        <w:effect w:val="none"/>
        <w:vertAlign w:val="baseline"/>
        <w:em w:val="none"/>
        <w14:ligatures w14:val="none"/>
        <w14:numForm w14:val="default"/>
        <w14:numSpacing w14:val="default"/>
        <w14:stylisticSets/>
        <w14:cntxtAlts w14: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0184407"/>
    <w:multiLevelType w:val="multilevel"/>
    <w:tmpl w:val="3718DC24"/>
    <w:styleLink w:val="Elencocorrente15"/>
    <w:lvl w:ilvl="0">
      <w:start w:val="1"/>
      <w:numFmt w:val="lowerLetter"/>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0B55B6B"/>
    <w:multiLevelType w:val="multilevel"/>
    <w:tmpl w:val="0410001D"/>
    <w:styleLink w:val="Elencocorrente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2A5248F"/>
    <w:multiLevelType w:val="multilevel"/>
    <w:tmpl w:val="C5D2A024"/>
    <w:styleLink w:val="Elencocorrente35"/>
    <w:lvl w:ilvl="0">
      <w:start w:val="1"/>
      <w:numFmt w:val="bullet"/>
      <w:lvlText w:val="&gt;"/>
      <w:lvlJc w:val="left"/>
      <w:pPr>
        <w:ind w:left="851" w:hanging="284"/>
      </w:pPr>
      <w:rPr>
        <w:rFonts w:ascii="Courier New" w:hAnsi="Courier New" w:hint="default"/>
        <w:color w:val="F27166" w:themeColor="accent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33EB740F"/>
    <w:multiLevelType w:val="multilevel"/>
    <w:tmpl w:val="8EAABBDE"/>
    <w:styleLink w:val="Elencocorrente8"/>
    <w:lvl w:ilvl="0">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color w:val="2BB8C9" w:themeColor="accent2"/>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4527930"/>
    <w:multiLevelType w:val="hybridMultilevel"/>
    <w:tmpl w:val="61E27CF0"/>
    <w:lvl w:ilvl="0" w:tplc="DAFC7204">
      <w:start w:val="1"/>
      <w:numFmt w:val="bullet"/>
      <w:pStyle w:val="Puntoelenco3"/>
      <w:lvlText w:val="&gt;"/>
      <w:lvlJc w:val="left"/>
      <w:pPr>
        <w:ind w:left="851" w:hanging="284"/>
      </w:pPr>
      <w:rPr>
        <w:rFonts w:ascii="Courier New" w:hAnsi="Courier New"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4" w15:restartNumberingAfterBreak="0">
    <w:nsid w:val="346D07A8"/>
    <w:multiLevelType w:val="multilevel"/>
    <w:tmpl w:val="2F228ACC"/>
    <w:styleLink w:val="Elencocorrente32"/>
    <w:lvl w:ilvl="0">
      <w:start w:val="1"/>
      <w:numFmt w:val="bullet"/>
      <w:lvlText w:val=""/>
      <w:lvlJc w:val="left"/>
      <w:pPr>
        <w:ind w:left="284" w:hanging="284"/>
      </w:pPr>
      <w:rPr>
        <w:rFonts w:ascii="Symbol" w:hAnsi="Symbol" w:hint="default"/>
        <w:b w:val="0"/>
        <w:bCs w:val="0"/>
        <w:i w:val="0"/>
        <w:iCs w:val="0"/>
        <w:caps w:val="0"/>
        <w:smallCaps w:val="0"/>
        <w:strike w:val="0"/>
        <w:dstrike w:val="0"/>
        <w:outline w:val="0"/>
        <w:shadow w:val="0"/>
        <w:emboss w:val="0"/>
        <w:imprint w:val="0"/>
        <w:vanish w:val="0"/>
        <w:color w:val="F27166" w:themeColor="accent4"/>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52B6789"/>
    <w:multiLevelType w:val="multilevel"/>
    <w:tmpl w:val="25CC5B5A"/>
    <w:styleLink w:val="Elencocorrente9"/>
    <w:lvl w:ilvl="0">
      <w:start w:val="1"/>
      <w:numFmt w:val="decimal"/>
      <w:lvlText w:val="%1."/>
      <w:lvlJc w:val="left"/>
      <w:pPr>
        <w:ind w:left="720" w:hanging="72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5F00887"/>
    <w:multiLevelType w:val="multilevel"/>
    <w:tmpl w:val="4CE20082"/>
    <w:styleLink w:val="Elencocorrente1"/>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7" w15:restartNumberingAfterBreak="0">
    <w:nsid w:val="397C1262"/>
    <w:multiLevelType w:val="hybridMultilevel"/>
    <w:tmpl w:val="2ADCBAA6"/>
    <w:lvl w:ilvl="0" w:tplc="35ECE800">
      <w:start w:val="1"/>
      <w:numFmt w:val="bullet"/>
      <w:pStyle w:val="Puntoelenco2"/>
      <w:lvlText w:val="–"/>
      <w:lvlJc w:val="left"/>
      <w:pPr>
        <w:ind w:left="567" w:hanging="283"/>
      </w:pPr>
      <w:rPr>
        <w:rFonts w:ascii="Open Sans" w:hAnsi="Open Sans" w:hint="default"/>
        <w:color w:val="auto"/>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398604A1"/>
    <w:multiLevelType w:val="multilevel"/>
    <w:tmpl w:val="54444530"/>
    <w:styleLink w:val="Elencocorrente30"/>
    <w:lvl w:ilvl="0">
      <w:start w:val="1"/>
      <w:numFmt w:val="bullet"/>
      <w:lvlText w:val=""/>
      <w:lvlJc w:val="left"/>
      <w:pPr>
        <w:ind w:left="851" w:hanging="284"/>
      </w:pPr>
      <w:rPr>
        <w:rFonts w:ascii="Symbol" w:hAnsi="Symbol" w:hint="default"/>
        <w:b w:val="0"/>
        <w:bCs w:val="0"/>
        <w:i w:val="0"/>
        <w:iCs w:val="0"/>
        <w:caps w:val="0"/>
        <w:smallCaps w:val="0"/>
        <w:strike w:val="0"/>
        <w:dstrike w:val="0"/>
        <w:outline w:val="0"/>
        <w:shadow w:val="0"/>
        <w:emboss w:val="0"/>
        <w:imprint w:val="0"/>
        <w:noProof w:val="0"/>
        <w:vanish w:val="0"/>
        <w:color w:val="F27166" w:themeColor="accent4"/>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EFF0548"/>
    <w:multiLevelType w:val="multilevel"/>
    <w:tmpl w:val="F0184968"/>
    <w:styleLink w:val="Elencocorrente25"/>
    <w:lvl w:ilvl="0">
      <w:start w:val="1"/>
      <w:numFmt w:val="bullet"/>
      <w:lvlText w:val="o"/>
      <w:lvlJc w:val="left"/>
      <w:pPr>
        <w:ind w:left="360" w:hanging="360"/>
      </w:pPr>
      <w:rPr>
        <w:rFonts w:ascii="Courier New" w:hAnsi="Courier New" w:cs="Courier New" w:hint="default"/>
        <w:color w:val="2BB8C9" w:themeColor="accent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415D47B5"/>
    <w:multiLevelType w:val="hybridMultilevel"/>
    <w:tmpl w:val="FE883282"/>
    <w:lvl w:ilvl="0" w:tplc="7A765EBA">
      <w:start w:val="1"/>
      <w:numFmt w:val="lowerLetter"/>
      <w:pStyle w:val="Titolo4"/>
      <w:lvlText w:val="(%1)"/>
      <w:lvlJc w:val="left"/>
      <w:pPr>
        <w:ind w:left="567" w:hanging="56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2BB3507"/>
    <w:multiLevelType w:val="multilevel"/>
    <w:tmpl w:val="0410001D"/>
    <w:styleLink w:val="Elencocorrente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469E4F10"/>
    <w:multiLevelType w:val="multilevel"/>
    <w:tmpl w:val="2E28267E"/>
    <w:styleLink w:val="Elencocorrente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5" w15:restartNumberingAfterBreak="0">
    <w:nsid w:val="52CB7007"/>
    <w:multiLevelType w:val="multilevel"/>
    <w:tmpl w:val="0410001D"/>
    <w:styleLink w:val="Elencocorrente1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5416068"/>
    <w:multiLevelType w:val="hybridMultilevel"/>
    <w:tmpl w:val="66ECF8C4"/>
    <w:lvl w:ilvl="0" w:tplc="C2E2F438">
      <w:start w:val="1"/>
      <w:numFmt w:val="bullet"/>
      <w:pStyle w:val="CopyrightBullets"/>
      <w:lvlText w:val=""/>
      <w:lvlJc w:val="left"/>
      <w:pPr>
        <w:ind w:left="890" w:hanging="360"/>
      </w:pPr>
      <w:rPr>
        <w:rFonts w:ascii="Symbol" w:hAnsi="Symbol" w:hint="default"/>
      </w:rPr>
    </w:lvl>
    <w:lvl w:ilvl="1" w:tplc="04100003" w:tentative="1">
      <w:start w:val="1"/>
      <w:numFmt w:val="bullet"/>
      <w:lvlText w:val="o"/>
      <w:lvlJc w:val="left"/>
      <w:pPr>
        <w:ind w:left="1610" w:hanging="360"/>
      </w:pPr>
      <w:rPr>
        <w:rFonts w:ascii="Courier New" w:hAnsi="Courier New" w:cs="Courier New" w:hint="default"/>
      </w:rPr>
    </w:lvl>
    <w:lvl w:ilvl="2" w:tplc="04100005" w:tentative="1">
      <w:start w:val="1"/>
      <w:numFmt w:val="bullet"/>
      <w:lvlText w:val=""/>
      <w:lvlJc w:val="left"/>
      <w:pPr>
        <w:ind w:left="2330" w:hanging="360"/>
      </w:pPr>
      <w:rPr>
        <w:rFonts w:ascii="Wingdings" w:hAnsi="Wingdings" w:hint="default"/>
      </w:rPr>
    </w:lvl>
    <w:lvl w:ilvl="3" w:tplc="04100001" w:tentative="1">
      <w:start w:val="1"/>
      <w:numFmt w:val="bullet"/>
      <w:lvlText w:val=""/>
      <w:lvlJc w:val="left"/>
      <w:pPr>
        <w:ind w:left="3050" w:hanging="360"/>
      </w:pPr>
      <w:rPr>
        <w:rFonts w:ascii="Symbol" w:hAnsi="Symbol" w:hint="default"/>
      </w:rPr>
    </w:lvl>
    <w:lvl w:ilvl="4" w:tplc="04100003" w:tentative="1">
      <w:start w:val="1"/>
      <w:numFmt w:val="bullet"/>
      <w:lvlText w:val="o"/>
      <w:lvlJc w:val="left"/>
      <w:pPr>
        <w:ind w:left="3770" w:hanging="360"/>
      </w:pPr>
      <w:rPr>
        <w:rFonts w:ascii="Courier New" w:hAnsi="Courier New" w:cs="Courier New" w:hint="default"/>
      </w:rPr>
    </w:lvl>
    <w:lvl w:ilvl="5" w:tplc="04100005" w:tentative="1">
      <w:start w:val="1"/>
      <w:numFmt w:val="bullet"/>
      <w:lvlText w:val=""/>
      <w:lvlJc w:val="left"/>
      <w:pPr>
        <w:ind w:left="4490" w:hanging="360"/>
      </w:pPr>
      <w:rPr>
        <w:rFonts w:ascii="Wingdings" w:hAnsi="Wingdings" w:hint="default"/>
      </w:rPr>
    </w:lvl>
    <w:lvl w:ilvl="6" w:tplc="04100001" w:tentative="1">
      <w:start w:val="1"/>
      <w:numFmt w:val="bullet"/>
      <w:lvlText w:val=""/>
      <w:lvlJc w:val="left"/>
      <w:pPr>
        <w:ind w:left="5210" w:hanging="360"/>
      </w:pPr>
      <w:rPr>
        <w:rFonts w:ascii="Symbol" w:hAnsi="Symbol" w:hint="default"/>
      </w:rPr>
    </w:lvl>
    <w:lvl w:ilvl="7" w:tplc="04100003" w:tentative="1">
      <w:start w:val="1"/>
      <w:numFmt w:val="bullet"/>
      <w:lvlText w:val="o"/>
      <w:lvlJc w:val="left"/>
      <w:pPr>
        <w:ind w:left="5930" w:hanging="360"/>
      </w:pPr>
      <w:rPr>
        <w:rFonts w:ascii="Courier New" w:hAnsi="Courier New" w:cs="Courier New" w:hint="default"/>
      </w:rPr>
    </w:lvl>
    <w:lvl w:ilvl="8" w:tplc="04100005" w:tentative="1">
      <w:start w:val="1"/>
      <w:numFmt w:val="bullet"/>
      <w:lvlText w:val=""/>
      <w:lvlJc w:val="left"/>
      <w:pPr>
        <w:ind w:left="6650" w:hanging="360"/>
      </w:pPr>
      <w:rPr>
        <w:rFonts w:ascii="Wingdings" w:hAnsi="Wingdings" w:hint="default"/>
      </w:rPr>
    </w:lvl>
  </w:abstractNum>
  <w:abstractNum w:abstractNumId="37" w15:restartNumberingAfterBreak="0">
    <w:nsid w:val="55E63365"/>
    <w:multiLevelType w:val="multilevel"/>
    <w:tmpl w:val="7B1A0D88"/>
    <w:styleLink w:val="Elencocorrente13"/>
    <w:lvl w:ilvl="0">
      <w:start w:val="1"/>
      <w:numFmt w:val="decimal"/>
      <w:lvlText w:val="%1."/>
      <w:lvlJc w:val="left"/>
      <w:pPr>
        <w:ind w:left="567" w:hanging="567"/>
      </w:pPr>
      <w:rPr>
        <w:rFonts w:hint="default"/>
      </w:rPr>
    </w:lvl>
    <w:lvl w:ilvl="1">
      <w:start w:val="1"/>
      <w:numFmt w:val="decimal"/>
      <w:lvlText w:val="%1.%2"/>
      <w:lvlJc w:val="left"/>
      <w:pPr>
        <w:tabs>
          <w:tab w:val="num" w:pos="578"/>
        </w:tabs>
        <w:ind w:left="578" w:hanging="578"/>
      </w:pPr>
      <w:rPr>
        <w:rFonts w:hint="default"/>
        <w:i w:val="0"/>
        <w:iCs w:val="0"/>
      </w:rPr>
    </w:lvl>
    <w:lvl w:ilvl="2">
      <w:start w:val="1"/>
      <w:numFmt w:val="lowerLetter"/>
      <w:lvlText w:val="(%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59636423"/>
    <w:multiLevelType w:val="multilevel"/>
    <w:tmpl w:val="39CA57A8"/>
    <w:styleLink w:val="Elencocorrente28"/>
    <w:lvl w:ilvl="0">
      <w:start w:val="1"/>
      <w:numFmt w:val="bullet"/>
      <w:lvlText w:val="o"/>
      <w:lvlJc w:val="left"/>
      <w:pPr>
        <w:ind w:left="851" w:hanging="284"/>
      </w:pPr>
      <w:rPr>
        <w:rFonts w:ascii="Courier New" w:hAnsi="Courier New" w:hint="default"/>
        <w:color w:val="F27166" w:themeColor="accent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5B75726E"/>
    <w:multiLevelType w:val="multilevel"/>
    <w:tmpl w:val="7B1A0D88"/>
    <w:styleLink w:val="Elencocorrente14"/>
    <w:lvl w:ilvl="0">
      <w:start w:val="1"/>
      <w:numFmt w:val="decimal"/>
      <w:lvlText w:val="%1."/>
      <w:lvlJc w:val="left"/>
      <w:pPr>
        <w:ind w:left="567" w:hanging="567"/>
      </w:pPr>
      <w:rPr>
        <w:rFonts w:hint="default"/>
      </w:rPr>
    </w:lvl>
    <w:lvl w:ilvl="1">
      <w:start w:val="1"/>
      <w:numFmt w:val="decimal"/>
      <w:lvlText w:val="%1.%2"/>
      <w:lvlJc w:val="left"/>
      <w:pPr>
        <w:tabs>
          <w:tab w:val="num" w:pos="578"/>
        </w:tabs>
        <w:ind w:left="578" w:hanging="578"/>
      </w:pPr>
      <w:rPr>
        <w:rFonts w:hint="default"/>
        <w:i w:val="0"/>
        <w:iCs w:val="0"/>
      </w:rPr>
    </w:lvl>
    <w:lvl w:ilvl="2">
      <w:start w:val="1"/>
      <w:numFmt w:val="lowerLetter"/>
      <w:lvlText w:val="(%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5CCE1A22"/>
    <w:multiLevelType w:val="multilevel"/>
    <w:tmpl w:val="0410001D"/>
    <w:styleLink w:val="Elencocorrente2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5CCF33F9"/>
    <w:multiLevelType w:val="multilevel"/>
    <w:tmpl w:val="54444530"/>
    <w:styleLink w:val="Elencocorrente33"/>
    <w:lvl w:ilvl="0">
      <w:start w:val="1"/>
      <w:numFmt w:val="bullet"/>
      <w:lvlText w:val=""/>
      <w:lvlJc w:val="left"/>
      <w:pPr>
        <w:ind w:left="851" w:hanging="284"/>
      </w:pPr>
      <w:rPr>
        <w:rFonts w:ascii="Symbol" w:hAnsi="Symbol" w:hint="default"/>
        <w:b w:val="0"/>
        <w:bCs w:val="0"/>
        <w:i w:val="0"/>
        <w:iCs w:val="0"/>
        <w:caps w:val="0"/>
        <w:smallCaps w:val="0"/>
        <w:strike w:val="0"/>
        <w:dstrike w:val="0"/>
        <w:outline w:val="0"/>
        <w:shadow w:val="0"/>
        <w:emboss w:val="0"/>
        <w:imprint w:val="0"/>
        <w:noProof w:val="0"/>
        <w:vanish w:val="0"/>
        <w:color w:val="F27166" w:themeColor="accent4"/>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E227D1A"/>
    <w:multiLevelType w:val="multilevel"/>
    <w:tmpl w:val="CA7807A2"/>
    <w:styleLink w:val="Elencocorrente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44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880" w:hanging="720"/>
      </w:pPr>
      <w:rPr>
        <w:rFonts w:hint="default"/>
      </w:rPr>
    </w:lvl>
    <w:lvl w:ilvl="5">
      <w:start w:val="1"/>
      <w:numFmt w:val="decimal"/>
      <w:lvlText w:val="%1.%2.%3.%4.%5.%6."/>
      <w:lvlJc w:val="left"/>
      <w:pPr>
        <w:ind w:left="3600" w:hanging="720"/>
      </w:pPr>
      <w:rPr>
        <w:rFonts w:hint="default"/>
      </w:rPr>
    </w:lvl>
    <w:lvl w:ilvl="6">
      <w:start w:val="1"/>
      <w:numFmt w:val="decimal"/>
      <w:lvlText w:val="%1.%2.%3.%4.%5.%6.%7."/>
      <w:lvlJc w:val="left"/>
      <w:pPr>
        <w:ind w:left="4320" w:hanging="720"/>
      </w:pPr>
      <w:rPr>
        <w:rFonts w:hint="default"/>
      </w:rPr>
    </w:lvl>
    <w:lvl w:ilvl="7">
      <w:start w:val="1"/>
      <w:numFmt w:val="decimal"/>
      <w:lvlText w:val="%1.%2.%3.%4.%5.%6.%7.%8."/>
      <w:lvlJc w:val="left"/>
      <w:pPr>
        <w:ind w:left="5040" w:hanging="720"/>
      </w:pPr>
      <w:rPr>
        <w:rFonts w:hint="default"/>
      </w:rPr>
    </w:lvl>
    <w:lvl w:ilvl="8">
      <w:start w:val="1"/>
      <w:numFmt w:val="decimal"/>
      <w:lvlText w:val="%1.%2.%3.%4.%5.%6.%7.%8.%9."/>
      <w:lvlJc w:val="left"/>
      <w:pPr>
        <w:ind w:left="5760" w:hanging="720"/>
      </w:pPr>
      <w:rPr>
        <w:rFonts w:hint="default"/>
      </w:rPr>
    </w:lvl>
  </w:abstractNum>
  <w:abstractNum w:abstractNumId="43" w15:restartNumberingAfterBreak="0">
    <w:nsid w:val="61D9003F"/>
    <w:multiLevelType w:val="multilevel"/>
    <w:tmpl w:val="5470E54E"/>
    <w:styleLink w:val="Elencocorrente27"/>
    <w:lvl w:ilvl="0">
      <w:start w:val="1"/>
      <w:numFmt w:val="bullet"/>
      <w:lvlText w:val=""/>
      <w:lvlJc w:val="left"/>
      <w:pPr>
        <w:ind w:left="927" w:hanging="360"/>
      </w:pPr>
      <w:rPr>
        <w:rFonts w:ascii="Symbol" w:hAnsi="Symbol" w:hint="default"/>
        <w:b w:val="0"/>
        <w:bCs w:val="0"/>
        <w:i w:val="0"/>
        <w:iCs w:val="0"/>
        <w:caps w:val="0"/>
        <w:smallCaps w:val="0"/>
        <w:strike w:val="0"/>
        <w:dstrike w:val="0"/>
        <w:outline w:val="0"/>
        <w:shadow w:val="0"/>
        <w:emboss w:val="0"/>
        <w:imprint w:val="0"/>
        <w:noProof w:val="0"/>
        <w:vanish w:val="0"/>
        <w:color w:val="F27166" w:themeColor="accent4"/>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6E94724"/>
    <w:multiLevelType w:val="multilevel"/>
    <w:tmpl w:val="938E363E"/>
    <w:styleLink w:val="Elencocorrente11"/>
    <w:lvl w:ilvl="0">
      <w:start w:val="1"/>
      <w:numFmt w:val="decimal"/>
      <w:lvlText w:val="%1."/>
      <w:lvlJc w:val="left"/>
      <w:pPr>
        <w:ind w:left="432" w:hanging="432"/>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68D46BB6"/>
    <w:multiLevelType w:val="multilevel"/>
    <w:tmpl w:val="27CAE1DE"/>
    <w:styleLink w:val="Elencocorrente5"/>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44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880" w:hanging="720"/>
      </w:pPr>
      <w:rPr>
        <w:rFonts w:hint="default"/>
      </w:rPr>
    </w:lvl>
    <w:lvl w:ilvl="5">
      <w:start w:val="1"/>
      <w:numFmt w:val="decimal"/>
      <w:lvlText w:val="%1.%2.%3.%4.%5.%6."/>
      <w:lvlJc w:val="left"/>
      <w:pPr>
        <w:ind w:left="3600" w:hanging="720"/>
      </w:pPr>
      <w:rPr>
        <w:rFonts w:hint="default"/>
      </w:rPr>
    </w:lvl>
    <w:lvl w:ilvl="6">
      <w:start w:val="1"/>
      <w:numFmt w:val="decimal"/>
      <w:lvlText w:val="%1.%2.%3.%4.%5.%6.%7."/>
      <w:lvlJc w:val="left"/>
      <w:pPr>
        <w:ind w:left="4320" w:hanging="720"/>
      </w:pPr>
      <w:rPr>
        <w:rFonts w:hint="default"/>
      </w:rPr>
    </w:lvl>
    <w:lvl w:ilvl="7">
      <w:start w:val="1"/>
      <w:numFmt w:val="decimal"/>
      <w:lvlText w:val="%1.%2.%3.%4.%5.%6.%7.%8."/>
      <w:lvlJc w:val="left"/>
      <w:pPr>
        <w:ind w:left="5040" w:hanging="720"/>
      </w:pPr>
      <w:rPr>
        <w:rFonts w:hint="default"/>
      </w:rPr>
    </w:lvl>
    <w:lvl w:ilvl="8">
      <w:start w:val="1"/>
      <w:numFmt w:val="decimal"/>
      <w:lvlText w:val="%1.%2.%3.%4.%5.%6.%7.%8.%9."/>
      <w:lvlJc w:val="left"/>
      <w:pPr>
        <w:ind w:left="5760" w:hanging="720"/>
      </w:pPr>
      <w:rPr>
        <w:rFonts w:hint="default"/>
      </w:rPr>
    </w:lvl>
  </w:abstractNum>
  <w:abstractNum w:abstractNumId="46" w15:restartNumberingAfterBreak="0">
    <w:nsid w:val="6C5E27D0"/>
    <w:multiLevelType w:val="multilevel"/>
    <w:tmpl w:val="50EE1A54"/>
    <w:styleLink w:val="Elencocorrente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44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880" w:hanging="720"/>
      </w:pPr>
      <w:rPr>
        <w:rFonts w:hint="default"/>
      </w:rPr>
    </w:lvl>
    <w:lvl w:ilvl="5">
      <w:start w:val="1"/>
      <w:numFmt w:val="decimal"/>
      <w:lvlText w:val="%1.%2.%3.%4.%5.%6."/>
      <w:lvlJc w:val="left"/>
      <w:pPr>
        <w:ind w:left="3600" w:hanging="720"/>
      </w:pPr>
      <w:rPr>
        <w:rFonts w:hint="default"/>
      </w:rPr>
    </w:lvl>
    <w:lvl w:ilvl="6">
      <w:start w:val="1"/>
      <w:numFmt w:val="decimal"/>
      <w:lvlText w:val="%1.%2.%3.%4.%5.%6.%7."/>
      <w:lvlJc w:val="left"/>
      <w:pPr>
        <w:ind w:left="4320" w:hanging="720"/>
      </w:pPr>
      <w:rPr>
        <w:rFonts w:hint="default"/>
      </w:rPr>
    </w:lvl>
    <w:lvl w:ilvl="7">
      <w:start w:val="1"/>
      <w:numFmt w:val="decimal"/>
      <w:lvlText w:val="%1.%2.%3.%4.%5.%6.%7.%8."/>
      <w:lvlJc w:val="left"/>
      <w:pPr>
        <w:ind w:left="5040" w:hanging="720"/>
      </w:pPr>
      <w:rPr>
        <w:rFonts w:hint="default"/>
      </w:rPr>
    </w:lvl>
    <w:lvl w:ilvl="8">
      <w:start w:val="1"/>
      <w:numFmt w:val="decimal"/>
      <w:lvlText w:val="%1.%2.%3.%4.%5.%6.%7.%8.%9."/>
      <w:lvlJc w:val="left"/>
      <w:pPr>
        <w:ind w:left="5760" w:hanging="720"/>
      </w:pPr>
      <w:rPr>
        <w:rFonts w:hint="default"/>
      </w:rPr>
    </w:lvl>
  </w:abstractNum>
  <w:abstractNum w:abstractNumId="47" w15:restartNumberingAfterBreak="0">
    <w:nsid w:val="6D3C659B"/>
    <w:multiLevelType w:val="multilevel"/>
    <w:tmpl w:val="19D0AC2C"/>
    <w:styleLink w:val="Elencocorrente21"/>
    <w:lvl w:ilvl="0">
      <w:start w:val="1"/>
      <w:numFmt w:val="bullet"/>
      <w:lvlText w:val=""/>
      <w:lvlJc w:val="left"/>
      <w:pPr>
        <w:ind w:left="284" w:hanging="284"/>
      </w:pPr>
      <w:rPr>
        <w:rFonts w:ascii="Symbol" w:hAnsi="Symbol" w:hint="default"/>
        <w:b w:val="0"/>
        <w:bCs w:val="0"/>
        <w:i w:val="0"/>
        <w:iCs w:val="0"/>
        <w:caps w:val="0"/>
        <w:smallCaps w:val="0"/>
        <w:strike w:val="0"/>
        <w:dstrike w:val="0"/>
        <w:outline w:val="0"/>
        <w:shadow w:val="0"/>
        <w:emboss w:val="0"/>
        <w:imprint w:val="0"/>
        <w:vanish w:val="0"/>
        <w:color w:val="2BB8C9" w:themeColor="accent2"/>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F8109A6"/>
    <w:multiLevelType w:val="multilevel"/>
    <w:tmpl w:val="D9E600F0"/>
    <w:styleLink w:val="Elencocorrente10"/>
    <w:lvl w:ilvl="0">
      <w:start w:val="1"/>
      <w:numFmt w:val="decimal"/>
      <w:lvlText w:val="%1"/>
      <w:lvlJc w:val="left"/>
      <w:pPr>
        <w:ind w:left="432" w:hanging="432"/>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75115182"/>
    <w:multiLevelType w:val="multilevel"/>
    <w:tmpl w:val="6364907C"/>
    <w:styleLink w:val="Elencocorrente23"/>
    <w:lvl w:ilvl="0">
      <w:start w:val="1"/>
      <w:numFmt w:val="bullet"/>
      <w:lvlText w:val="–"/>
      <w:lvlJc w:val="left"/>
      <w:pPr>
        <w:ind w:left="644" w:hanging="360"/>
      </w:pPr>
      <w:rPr>
        <w:rFonts w:ascii="Open Sans" w:hAnsi="Open Sans" w:hint="default"/>
        <w:color w:val="F27166" w:themeColor="accent4"/>
        <w:sz w:val="20"/>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50" w15:restartNumberingAfterBreak="0">
    <w:nsid w:val="7B5C3A50"/>
    <w:multiLevelType w:val="multilevel"/>
    <w:tmpl w:val="F1DC3414"/>
    <w:lvl w:ilvl="0">
      <w:start w:val="1"/>
      <w:numFmt w:val="decimal"/>
      <w:pStyle w:val="Titolo1"/>
      <w:lvlText w:val="%1."/>
      <w:lvlJc w:val="left"/>
      <w:pPr>
        <w:ind w:left="567" w:hanging="567"/>
      </w:pPr>
      <w:rPr>
        <w:rFonts w:hint="default"/>
      </w:rPr>
    </w:lvl>
    <w:lvl w:ilvl="1">
      <w:start w:val="1"/>
      <w:numFmt w:val="decimal"/>
      <w:pStyle w:val="Titolo2"/>
      <w:lvlText w:val="%1.%2"/>
      <w:lvlJc w:val="left"/>
      <w:pPr>
        <w:tabs>
          <w:tab w:val="num" w:pos="6390"/>
        </w:tabs>
        <w:ind w:left="6390" w:hanging="578"/>
      </w:pPr>
      <w:rPr>
        <w:rFonts w:hint="default"/>
        <w:i w:val="0"/>
        <w:iCs w:val="0"/>
      </w:rPr>
    </w:lvl>
    <w:lvl w:ilvl="2">
      <w:start w:val="1"/>
      <w:numFmt w:val="lowerLetter"/>
      <w:pStyle w:val="Titolo3"/>
      <w:lvlText w:val="(%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7CE36B6A"/>
    <w:multiLevelType w:val="hybridMultilevel"/>
    <w:tmpl w:val="6C1CE512"/>
    <w:lvl w:ilvl="0" w:tplc="63F87B32">
      <w:start w:val="1"/>
      <w:numFmt w:val="bullet"/>
      <w:pStyle w:val="Puntoelenco4"/>
      <w:lvlText w:val=""/>
      <w:lvlJc w:val="left"/>
      <w:pPr>
        <w:ind w:left="851" w:hanging="284"/>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332880886">
    <w:abstractNumId w:val="4"/>
  </w:num>
  <w:num w:numId="2" w16cid:durableId="187068061">
    <w:abstractNumId w:val="5"/>
  </w:num>
  <w:num w:numId="3" w16cid:durableId="1806964841">
    <w:abstractNumId w:val="1"/>
  </w:num>
  <w:num w:numId="4" w16cid:durableId="1531643242">
    <w:abstractNumId w:val="0"/>
  </w:num>
  <w:num w:numId="5" w16cid:durableId="611204708">
    <w:abstractNumId w:val="3"/>
  </w:num>
  <w:num w:numId="6" w16cid:durableId="364644411">
    <w:abstractNumId w:val="2"/>
  </w:num>
  <w:num w:numId="7" w16cid:durableId="41640886">
    <w:abstractNumId w:val="34"/>
  </w:num>
  <w:num w:numId="8" w16cid:durableId="2114937373">
    <w:abstractNumId w:val="29"/>
  </w:num>
  <w:num w:numId="9" w16cid:durableId="1265193500">
    <w:abstractNumId w:val="14"/>
  </w:num>
  <w:num w:numId="10" w16cid:durableId="630283295">
    <w:abstractNumId w:val="51"/>
  </w:num>
  <w:num w:numId="11" w16cid:durableId="1130056736">
    <w:abstractNumId w:val="27"/>
  </w:num>
  <w:num w:numId="12" w16cid:durableId="1421219773">
    <w:abstractNumId w:val="23"/>
  </w:num>
  <w:num w:numId="13" w16cid:durableId="1224175871">
    <w:abstractNumId w:val="36"/>
  </w:num>
  <w:num w:numId="14" w16cid:durableId="1884828738">
    <w:abstractNumId w:val="26"/>
  </w:num>
  <w:num w:numId="15" w16cid:durableId="1159495495">
    <w:abstractNumId w:val="42"/>
  </w:num>
  <w:num w:numId="16" w16cid:durableId="707144376">
    <w:abstractNumId w:val="10"/>
  </w:num>
  <w:num w:numId="17" w16cid:durableId="1765571935">
    <w:abstractNumId w:val="46"/>
  </w:num>
  <w:num w:numId="18" w16cid:durableId="145320283">
    <w:abstractNumId w:val="45"/>
  </w:num>
  <w:num w:numId="19" w16cid:durableId="123893399">
    <w:abstractNumId w:val="33"/>
  </w:num>
  <w:num w:numId="20" w16cid:durableId="677199207">
    <w:abstractNumId w:val="8"/>
  </w:num>
  <w:num w:numId="21" w16cid:durableId="1083793047">
    <w:abstractNumId w:val="22"/>
  </w:num>
  <w:num w:numId="22" w16cid:durableId="1272281837">
    <w:abstractNumId w:val="18"/>
  </w:num>
  <w:num w:numId="23" w16cid:durableId="400057217">
    <w:abstractNumId w:val="25"/>
  </w:num>
  <w:num w:numId="24" w16cid:durableId="623388230">
    <w:abstractNumId w:val="50"/>
  </w:num>
  <w:num w:numId="25" w16cid:durableId="1290168116">
    <w:abstractNumId w:val="48"/>
  </w:num>
  <w:num w:numId="26" w16cid:durableId="1937248273">
    <w:abstractNumId w:val="44"/>
  </w:num>
  <w:num w:numId="27" w16cid:durableId="1107847460">
    <w:abstractNumId w:val="6"/>
  </w:num>
  <w:num w:numId="28" w16cid:durableId="2048218176">
    <w:abstractNumId w:val="37"/>
  </w:num>
  <w:num w:numId="29" w16cid:durableId="726949457">
    <w:abstractNumId w:val="39"/>
  </w:num>
  <w:num w:numId="30" w16cid:durableId="2038922149">
    <w:abstractNumId w:val="31"/>
  </w:num>
  <w:num w:numId="31" w16cid:durableId="1971397346">
    <w:abstractNumId w:val="19"/>
  </w:num>
  <w:num w:numId="32" w16cid:durableId="1540169441">
    <w:abstractNumId w:val="31"/>
    <w:lvlOverride w:ilvl="0">
      <w:startOverride w:val="1"/>
    </w:lvlOverride>
  </w:num>
  <w:num w:numId="33" w16cid:durableId="509026720">
    <w:abstractNumId w:val="7"/>
  </w:num>
  <w:num w:numId="34" w16cid:durableId="1250627065">
    <w:abstractNumId w:val="20"/>
  </w:num>
  <w:num w:numId="35" w16cid:durableId="419105143">
    <w:abstractNumId w:val="32"/>
  </w:num>
  <w:num w:numId="36" w16cid:durableId="366102397">
    <w:abstractNumId w:val="35"/>
  </w:num>
  <w:num w:numId="37" w16cid:durableId="1838033851">
    <w:abstractNumId w:val="40"/>
  </w:num>
  <w:num w:numId="38" w16cid:durableId="1221482741">
    <w:abstractNumId w:val="47"/>
  </w:num>
  <w:num w:numId="39" w16cid:durableId="86467152">
    <w:abstractNumId w:val="16"/>
  </w:num>
  <w:num w:numId="40" w16cid:durableId="800003215">
    <w:abstractNumId w:val="49"/>
  </w:num>
  <w:num w:numId="41" w16cid:durableId="76440291">
    <w:abstractNumId w:val="11"/>
  </w:num>
  <w:num w:numId="42" w16cid:durableId="1510565605">
    <w:abstractNumId w:val="30"/>
  </w:num>
  <w:num w:numId="43" w16cid:durableId="259412204">
    <w:abstractNumId w:val="13"/>
  </w:num>
  <w:num w:numId="44" w16cid:durableId="384257680">
    <w:abstractNumId w:val="43"/>
  </w:num>
  <w:num w:numId="45" w16cid:durableId="1387798575">
    <w:abstractNumId w:val="38"/>
  </w:num>
  <w:num w:numId="46" w16cid:durableId="1489857780">
    <w:abstractNumId w:val="12"/>
  </w:num>
  <w:num w:numId="47" w16cid:durableId="853885128">
    <w:abstractNumId w:val="28"/>
  </w:num>
  <w:num w:numId="48" w16cid:durableId="307367919">
    <w:abstractNumId w:val="15"/>
  </w:num>
  <w:num w:numId="49" w16cid:durableId="1960911791">
    <w:abstractNumId w:val="24"/>
  </w:num>
  <w:num w:numId="50" w16cid:durableId="149054567">
    <w:abstractNumId w:val="41"/>
  </w:num>
  <w:num w:numId="51" w16cid:durableId="1993757576">
    <w:abstractNumId w:val="9"/>
  </w:num>
  <w:num w:numId="52" w16cid:durableId="1211576782">
    <w:abstractNumId w:val="2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IN" w:vendorID="64" w:dllVersion="6" w:nlCheck="1" w:checkStyle="1"/>
  <w:activeWritingStyle w:appName="MSWord" w:lang="en-IN" w:vendorID="64" w:dllVersion="0" w:nlCheck="1" w:checkStyle="0"/>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activeWritingStyle w:appName="MSWord" w:lang="it-IT" w:vendorID="64" w:dllVersion="0" w:nlCheck="1" w:checkStyle="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20"/>
  <w:displayHorizontalDrawingGridEvery w:val="2"/>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6A3"/>
    <w:rsid w:val="00000382"/>
    <w:rsid w:val="000004C9"/>
    <w:rsid w:val="00001471"/>
    <w:rsid w:val="0000168C"/>
    <w:rsid w:val="00002EA1"/>
    <w:rsid w:val="00003A77"/>
    <w:rsid w:val="00003AE4"/>
    <w:rsid w:val="00003B1E"/>
    <w:rsid w:val="00003D5F"/>
    <w:rsid w:val="00003D73"/>
    <w:rsid w:val="00006872"/>
    <w:rsid w:val="00006F73"/>
    <w:rsid w:val="00007077"/>
    <w:rsid w:val="00007206"/>
    <w:rsid w:val="00007868"/>
    <w:rsid w:val="000079E7"/>
    <w:rsid w:val="00011413"/>
    <w:rsid w:val="0001155C"/>
    <w:rsid w:val="000121BF"/>
    <w:rsid w:val="00012528"/>
    <w:rsid w:val="00012ADB"/>
    <w:rsid w:val="00013918"/>
    <w:rsid w:val="00013AEE"/>
    <w:rsid w:val="000141CB"/>
    <w:rsid w:val="0001451E"/>
    <w:rsid w:val="0001467C"/>
    <w:rsid w:val="000149AA"/>
    <w:rsid w:val="0001528B"/>
    <w:rsid w:val="00015915"/>
    <w:rsid w:val="000159A0"/>
    <w:rsid w:val="000174A8"/>
    <w:rsid w:val="000178E8"/>
    <w:rsid w:val="00017C42"/>
    <w:rsid w:val="00020E06"/>
    <w:rsid w:val="00021183"/>
    <w:rsid w:val="0002123A"/>
    <w:rsid w:val="000219C3"/>
    <w:rsid w:val="00022F0D"/>
    <w:rsid w:val="000230BA"/>
    <w:rsid w:val="00023347"/>
    <w:rsid w:val="00023A65"/>
    <w:rsid w:val="00023D7D"/>
    <w:rsid w:val="000244C9"/>
    <w:rsid w:val="000245ED"/>
    <w:rsid w:val="00024690"/>
    <w:rsid w:val="00024DDF"/>
    <w:rsid w:val="00024F88"/>
    <w:rsid w:val="00025013"/>
    <w:rsid w:val="00025511"/>
    <w:rsid w:val="000256BB"/>
    <w:rsid w:val="0002588F"/>
    <w:rsid w:val="0002607E"/>
    <w:rsid w:val="000267F8"/>
    <w:rsid w:val="00026999"/>
    <w:rsid w:val="00026DF0"/>
    <w:rsid w:val="00026EEE"/>
    <w:rsid w:val="00027260"/>
    <w:rsid w:val="000275B3"/>
    <w:rsid w:val="0002763B"/>
    <w:rsid w:val="000277F4"/>
    <w:rsid w:val="0002795F"/>
    <w:rsid w:val="00030CBF"/>
    <w:rsid w:val="000321A6"/>
    <w:rsid w:val="000326E2"/>
    <w:rsid w:val="00033D88"/>
    <w:rsid w:val="000345BC"/>
    <w:rsid w:val="00034A72"/>
    <w:rsid w:val="00035211"/>
    <w:rsid w:val="000353FE"/>
    <w:rsid w:val="00036237"/>
    <w:rsid w:val="00037D6C"/>
    <w:rsid w:val="00037ED7"/>
    <w:rsid w:val="00040068"/>
    <w:rsid w:val="00040C05"/>
    <w:rsid w:val="00041C46"/>
    <w:rsid w:val="00042776"/>
    <w:rsid w:val="00042C6C"/>
    <w:rsid w:val="000434F8"/>
    <w:rsid w:val="00043756"/>
    <w:rsid w:val="00043900"/>
    <w:rsid w:val="00044233"/>
    <w:rsid w:val="0004443D"/>
    <w:rsid w:val="00044F9F"/>
    <w:rsid w:val="00045FC3"/>
    <w:rsid w:val="000461E1"/>
    <w:rsid w:val="000477F2"/>
    <w:rsid w:val="00050BF4"/>
    <w:rsid w:val="00051A2F"/>
    <w:rsid w:val="00051B76"/>
    <w:rsid w:val="000520DC"/>
    <w:rsid w:val="00052814"/>
    <w:rsid w:val="000529B6"/>
    <w:rsid w:val="00053119"/>
    <w:rsid w:val="00053161"/>
    <w:rsid w:val="00053BCE"/>
    <w:rsid w:val="00053F79"/>
    <w:rsid w:val="00054F3D"/>
    <w:rsid w:val="00055969"/>
    <w:rsid w:val="00056B93"/>
    <w:rsid w:val="0005718C"/>
    <w:rsid w:val="000579B1"/>
    <w:rsid w:val="00057A05"/>
    <w:rsid w:val="00060A4A"/>
    <w:rsid w:val="00062F42"/>
    <w:rsid w:val="000630E2"/>
    <w:rsid w:val="00063317"/>
    <w:rsid w:val="00063A26"/>
    <w:rsid w:val="00063F45"/>
    <w:rsid w:val="00064474"/>
    <w:rsid w:val="000646AA"/>
    <w:rsid w:val="00064A78"/>
    <w:rsid w:val="00064B3C"/>
    <w:rsid w:val="00064DE9"/>
    <w:rsid w:val="00065923"/>
    <w:rsid w:val="000659AE"/>
    <w:rsid w:val="00065F38"/>
    <w:rsid w:val="000660C5"/>
    <w:rsid w:val="0006639B"/>
    <w:rsid w:val="00066423"/>
    <w:rsid w:val="0006742C"/>
    <w:rsid w:val="0006765E"/>
    <w:rsid w:val="00070EC4"/>
    <w:rsid w:val="00071195"/>
    <w:rsid w:val="000718F4"/>
    <w:rsid w:val="0007193F"/>
    <w:rsid w:val="0007237E"/>
    <w:rsid w:val="00072585"/>
    <w:rsid w:val="00073004"/>
    <w:rsid w:val="00073016"/>
    <w:rsid w:val="0007309D"/>
    <w:rsid w:val="00073E12"/>
    <w:rsid w:val="00074971"/>
    <w:rsid w:val="00074F5B"/>
    <w:rsid w:val="00075022"/>
    <w:rsid w:val="00075FA7"/>
    <w:rsid w:val="00076049"/>
    <w:rsid w:val="00076A0D"/>
    <w:rsid w:val="0007776C"/>
    <w:rsid w:val="0007785F"/>
    <w:rsid w:val="000801F2"/>
    <w:rsid w:val="000804C6"/>
    <w:rsid w:val="00080704"/>
    <w:rsid w:val="00080A03"/>
    <w:rsid w:val="000817C2"/>
    <w:rsid w:val="00081962"/>
    <w:rsid w:val="000826D9"/>
    <w:rsid w:val="0008288C"/>
    <w:rsid w:val="00082B25"/>
    <w:rsid w:val="00082D2E"/>
    <w:rsid w:val="00082E68"/>
    <w:rsid w:val="0008438E"/>
    <w:rsid w:val="000844ED"/>
    <w:rsid w:val="00084D7F"/>
    <w:rsid w:val="000853B0"/>
    <w:rsid w:val="000855E8"/>
    <w:rsid w:val="000856C3"/>
    <w:rsid w:val="00086E8C"/>
    <w:rsid w:val="000871AB"/>
    <w:rsid w:val="00087372"/>
    <w:rsid w:val="0008789E"/>
    <w:rsid w:val="0009024C"/>
    <w:rsid w:val="00090AC2"/>
    <w:rsid w:val="00090DFF"/>
    <w:rsid w:val="00091222"/>
    <w:rsid w:val="000913B9"/>
    <w:rsid w:val="00091503"/>
    <w:rsid w:val="00091644"/>
    <w:rsid w:val="00091998"/>
    <w:rsid w:val="00091C6C"/>
    <w:rsid w:val="00091E4B"/>
    <w:rsid w:val="00093745"/>
    <w:rsid w:val="00093D27"/>
    <w:rsid w:val="000943E4"/>
    <w:rsid w:val="00094714"/>
    <w:rsid w:val="00094EEB"/>
    <w:rsid w:val="000953FA"/>
    <w:rsid w:val="00096E32"/>
    <w:rsid w:val="00097606"/>
    <w:rsid w:val="00097731"/>
    <w:rsid w:val="000A0369"/>
    <w:rsid w:val="000A09F0"/>
    <w:rsid w:val="000A1317"/>
    <w:rsid w:val="000A1607"/>
    <w:rsid w:val="000A16B8"/>
    <w:rsid w:val="000A1A43"/>
    <w:rsid w:val="000A1CD8"/>
    <w:rsid w:val="000A1DB8"/>
    <w:rsid w:val="000A1ED4"/>
    <w:rsid w:val="000A2EFE"/>
    <w:rsid w:val="000A44E5"/>
    <w:rsid w:val="000A4601"/>
    <w:rsid w:val="000A48AC"/>
    <w:rsid w:val="000A4A82"/>
    <w:rsid w:val="000A4D88"/>
    <w:rsid w:val="000A5076"/>
    <w:rsid w:val="000A532F"/>
    <w:rsid w:val="000A60F0"/>
    <w:rsid w:val="000A61B4"/>
    <w:rsid w:val="000A719C"/>
    <w:rsid w:val="000A7B5B"/>
    <w:rsid w:val="000A7EE6"/>
    <w:rsid w:val="000B0088"/>
    <w:rsid w:val="000B0415"/>
    <w:rsid w:val="000B062B"/>
    <w:rsid w:val="000B06DF"/>
    <w:rsid w:val="000B0A5D"/>
    <w:rsid w:val="000B0CFA"/>
    <w:rsid w:val="000B1035"/>
    <w:rsid w:val="000B1A18"/>
    <w:rsid w:val="000B1D0D"/>
    <w:rsid w:val="000B23D3"/>
    <w:rsid w:val="000B26D2"/>
    <w:rsid w:val="000B3191"/>
    <w:rsid w:val="000B34B4"/>
    <w:rsid w:val="000B3EE4"/>
    <w:rsid w:val="000B4782"/>
    <w:rsid w:val="000B5FDB"/>
    <w:rsid w:val="000B6852"/>
    <w:rsid w:val="000B74A3"/>
    <w:rsid w:val="000C0B4E"/>
    <w:rsid w:val="000C0EB2"/>
    <w:rsid w:val="000C16B4"/>
    <w:rsid w:val="000C1D9D"/>
    <w:rsid w:val="000C1FFD"/>
    <w:rsid w:val="000C2C48"/>
    <w:rsid w:val="000C301E"/>
    <w:rsid w:val="000C3F82"/>
    <w:rsid w:val="000C41E0"/>
    <w:rsid w:val="000C4385"/>
    <w:rsid w:val="000C4B45"/>
    <w:rsid w:val="000C584B"/>
    <w:rsid w:val="000C5A81"/>
    <w:rsid w:val="000C6E59"/>
    <w:rsid w:val="000C6F10"/>
    <w:rsid w:val="000C7258"/>
    <w:rsid w:val="000C7524"/>
    <w:rsid w:val="000D066A"/>
    <w:rsid w:val="000D086C"/>
    <w:rsid w:val="000D1B2B"/>
    <w:rsid w:val="000D209D"/>
    <w:rsid w:val="000D218D"/>
    <w:rsid w:val="000D2601"/>
    <w:rsid w:val="000D32BB"/>
    <w:rsid w:val="000D3442"/>
    <w:rsid w:val="000D3641"/>
    <w:rsid w:val="000D47EA"/>
    <w:rsid w:val="000D4963"/>
    <w:rsid w:val="000D4BA6"/>
    <w:rsid w:val="000D4D1B"/>
    <w:rsid w:val="000D4F7D"/>
    <w:rsid w:val="000D6495"/>
    <w:rsid w:val="000D7137"/>
    <w:rsid w:val="000D72C5"/>
    <w:rsid w:val="000D7F8A"/>
    <w:rsid w:val="000E0081"/>
    <w:rsid w:val="000E0A61"/>
    <w:rsid w:val="000E130A"/>
    <w:rsid w:val="000E1E42"/>
    <w:rsid w:val="000E22A3"/>
    <w:rsid w:val="000E241A"/>
    <w:rsid w:val="000E3326"/>
    <w:rsid w:val="000E3D32"/>
    <w:rsid w:val="000E4765"/>
    <w:rsid w:val="000E52E1"/>
    <w:rsid w:val="000E52F1"/>
    <w:rsid w:val="000E5FD4"/>
    <w:rsid w:val="000E620F"/>
    <w:rsid w:val="000E6E7B"/>
    <w:rsid w:val="000E78E4"/>
    <w:rsid w:val="000F27AB"/>
    <w:rsid w:val="000F43B6"/>
    <w:rsid w:val="000F519A"/>
    <w:rsid w:val="000F5292"/>
    <w:rsid w:val="000F53B2"/>
    <w:rsid w:val="000F5589"/>
    <w:rsid w:val="000F568F"/>
    <w:rsid w:val="000F5A35"/>
    <w:rsid w:val="000F5AF6"/>
    <w:rsid w:val="000F61BF"/>
    <w:rsid w:val="000F61DB"/>
    <w:rsid w:val="000F68BA"/>
    <w:rsid w:val="000F7266"/>
    <w:rsid w:val="000F7FCF"/>
    <w:rsid w:val="0010016C"/>
    <w:rsid w:val="001001C9"/>
    <w:rsid w:val="001008C1"/>
    <w:rsid w:val="001008CF"/>
    <w:rsid w:val="00100F20"/>
    <w:rsid w:val="00101CEB"/>
    <w:rsid w:val="00102100"/>
    <w:rsid w:val="00102696"/>
    <w:rsid w:val="00102CA0"/>
    <w:rsid w:val="00102E43"/>
    <w:rsid w:val="00103267"/>
    <w:rsid w:val="00103B30"/>
    <w:rsid w:val="00105424"/>
    <w:rsid w:val="001057C3"/>
    <w:rsid w:val="001059BF"/>
    <w:rsid w:val="00105CBD"/>
    <w:rsid w:val="00106AC0"/>
    <w:rsid w:val="00106D59"/>
    <w:rsid w:val="00106E1C"/>
    <w:rsid w:val="00107469"/>
    <w:rsid w:val="00107710"/>
    <w:rsid w:val="001106B9"/>
    <w:rsid w:val="00110786"/>
    <w:rsid w:val="00110CD3"/>
    <w:rsid w:val="001111F2"/>
    <w:rsid w:val="00113991"/>
    <w:rsid w:val="00113C35"/>
    <w:rsid w:val="00113CD6"/>
    <w:rsid w:val="00115A50"/>
    <w:rsid w:val="00115B4A"/>
    <w:rsid w:val="00115F11"/>
    <w:rsid w:val="001163D3"/>
    <w:rsid w:val="001169C0"/>
    <w:rsid w:val="00117133"/>
    <w:rsid w:val="00117329"/>
    <w:rsid w:val="0011755D"/>
    <w:rsid w:val="001201D5"/>
    <w:rsid w:val="001202D6"/>
    <w:rsid w:val="00120C7B"/>
    <w:rsid w:val="00120D30"/>
    <w:rsid w:val="00121DB5"/>
    <w:rsid w:val="00122764"/>
    <w:rsid w:val="00122EF5"/>
    <w:rsid w:val="001259A7"/>
    <w:rsid w:val="00125A0B"/>
    <w:rsid w:val="00125EEF"/>
    <w:rsid w:val="001261DF"/>
    <w:rsid w:val="001263F5"/>
    <w:rsid w:val="00126766"/>
    <w:rsid w:val="001267A9"/>
    <w:rsid w:val="00126D04"/>
    <w:rsid w:val="0012743C"/>
    <w:rsid w:val="00127541"/>
    <w:rsid w:val="001303ED"/>
    <w:rsid w:val="0013072E"/>
    <w:rsid w:val="00130BBB"/>
    <w:rsid w:val="001317BF"/>
    <w:rsid w:val="00133216"/>
    <w:rsid w:val="00133794"/>
    <w:rsid w:val="00133852"/>
    <w:rsid w:val="00133D25"/>
    <w:rsid w:val="001343D6"/>
    <w:rsid w:val="00134774"/>
    <w:rsid w:val="00134CA9"/>
    <w:rsid w:val="0013584B"/>
    <w:rsid w:val="001359DE"/>
    <w:rsid w:val="00135BBF"/>
    <w:rsid w:val="001362FB"/>
    <w:rsid w:val="00136341"/>
    <w:rsid w:val="001365DC"/>
    <w:rsid w:val="00136A34"/>
    <w:rsid w:val="001374C2"/>
    <w:rsid w:val="00137617"/>
    <w:rsid w:val="00137AF0"/>
    <w:rsid w:val="00140274"/>
    <w:rsid w:val="0014110C"/>
    <w:rsid w:val="001415CC"/>
    <w:rsid w:val="00141F3A"/>
    <w:rsid w:val="0014285D"/>
    <w:rsid w:val="00142A2B"/>
    <w:rsid w:val="0014316A"/>
    <w:rsid w:val="00143548"/>
    <w:rsid w:val="0014379B"/>
    <w:rsid w:val="00143C2D"/>
    <w:rsid w:val="00143D84"/>
    <w:rsid w:val="0014425C"/>
    <w:rsid w:val="00144A70"/>
    <w:rsid w:val="00144A76"/>
    <w:rsid w:val="0014511A"/>
    <w:rsid w:val="00145ED0"/>
    <w:rsid w:val="0014652B"/>
    <w:rsid w:val="001465E1"/>
    <w:rsid w:val="00146895"/>
    <w:rsid w:val="00146A32"/>
    <w:rsid w:val="00147919"/>
    <w:rsid w:val="001503BE"/>
    <w:rsid w:val="001504D1"/>
    <w:rsid w:val="00150827"/>
    <w:rsid w:val="00151263"/>
    <w:rsid w:val="001513FA"/>
    <w:rsid w:val="00151845"/>
    <w:rsid w:val="0015193B"/>
    <w:rsid w:val="00151DE1"/>
    <w:rsid w:val="00152996"/>
    <w:rsid w:val="00152BA2"/>
    <w:rsid w:val="00152E47"/>
    <w:rsid w:val="001530BB"/>
    <w:rsid w:val="00153782"/>
    <w:rsid w:val="001537D5"/>
    <w:rsid w:val="001539F0"/>
    <w:rsid w:val="00153A3F"/>
    <w:rsid w:val="00154C42"/>
    <w:rsid w:val="001552A1"/>
    <w:rsid w:val="00155879"/>
    <w:rsid w:val="001558D3"/>
    <w:rsid w:val="00155D42"/>
    <w:rsid w:val="00155DCC"/>
    <w:rsid w:val="001563D0"/>
    <w:rsid w:val="0015642E"/>
    <w:rsid w:val="00156B87"/>
    <w:rsid w:val="00156FB9"/>
    <w:rsid w:val="00157284"/>
    <w:rsid w:val="0016096D"/>
    <w:rsid w:val="00160A5A"/>
    <w:rsid w:val="00160B41"/>
    <w:rsid w:val="00160BA5"/>
    <w:rsid w:val="00160C2C"/>
    <w:rsid w:val="00160EFE"/>
    <w:rsid w:val="0016129D"/>
    <w:rsid w:val="001612B1"/>
    <w:rsid w:val="00162342"/>
    <w:rsid w:val="001623D0"/>
    <w:rsid w:val="0016259F"/>
    <w:rsid w:val="001628F0"/>
    <w:rsid w:val="00162A8D"/>
    <w:rsid w:val="0016391D"/>
    <w:rsid w:val="00163C91"/>
    <w:rsid w:val="00163D2E"/>
    <w:rsid w:val="001645E9"/>
    <w:rsid w:val="001649CE"/>
    <w:rsid w:val="00164A65"/>
    <w:rsid w:val="00165690"/>
    <w:rsid w:val="00165E3C"/>
    <w:rsid w:val="001662AC"/>
    <w:rsid w:val="0016668C"/>
    <w:rsid w:val="00166E07"/>
    <w:rsid w:val="00166F61"/>
    <w:rsid w:val="0016774C"/>
    <w:rsid w:val="0016791C"/>
    <w:rsid w:val="00167CF5"/>
    <w:rsid w:val="0017028F"/>
    <w:rsid w:val="00170891"/>
    <w:rsid w:val="00170B34"/>
    <w:rsid w:val="001711FC"/>
    <w:rsid w:val="00172790"/>
    <w:rsid w:val="00172AA6"/>
    <w:rsid w:val="00172E33"/>
    <w:rsid w:val="00173FB5"/>
    <w:rsid w:val="00175122"/>
    <w:rsid w:val="001808A2"/>
    <w:rsid w:val="00180EBB"/>
    <w:rsid w:val="00180EF2"/>
    <w:rsid w:val="001813DE"/>
    <w:rsid w:val="00181407"/>
    <w:rsid w:val="00181FF1"/>
    <w:rsid w:val="00182EDF"/>
    <w:rsid w:val="0018343B"/>
    <w:rsid w:val="001845A7"/>
    <w:rsid w:val="00184762"/>
    <w:rsid w:val="0018482B"/>
    <w:rsid w:val="00184A45"/>
    <w:rsid w:val="001869AC"/>
    <w:rsid w:val="00186F5D"/>
    <w:rsid w:val="00187B98"/>
    <w:rsid w:val="0019100E"/>
    <w:rsid w:val="00191094"/>
    <w:rsid w:val="001915C1"/>
    <w:rsid w:val="00191B52"/>
    <w:rsid w:val="00191B59"/>
    <w:rsid w:val="00191BA5"/>
    <w:rsid w:val="00192919"/>
    <w:rsid w:val="001929B3"/>
    <w:rsid w:val="00192BDE"/>
    <w:rsid w:val="001930C1"/>
    <w:rsid w:val="00193476"/>
    <w:rsid w:val="001941BE"/>
    <w:rsid w:val="00194364"/>
    <w:rsid w:val="00194619"/>
    <w:rsid w:val="00195141"/>
    <w:rsid w:val="00195445"/>
    <w:rsid w:val="0019604A"/>
    <w:rsid w:val="001962D3"/>
    <w:rsid w:val="00196433"/>
    <w:rsid w:val="00196F12"/>
    <w:rsid w:val="00196F4F"/>
    <w:rsid w:val="0019710E"/>
    <w:rsid w:val="0019726D"/>
    <w:rsid w:val="00197393"/>
    <w:rsid w:val="001976AA"/>
    <w:rsid w:val="00197D3D"/>
    <w:rsid w:val="001A07D3"/>
    <w:rsid w:val="001A1C7B"/>
    <w:rsid w:val="001A2322"/>
    <w:rsid w:val="001A23A3"/>
    <w:rsid w:val="001A24C9"/>
    <w:rsid w:val="001A2896"/>
    <w:rsid w:val="001A31AD"/>
    <w:rsid w:val="001A32AE"/>
    <w:rsid w:val="001A33AE"/>
    <w:rsid w:val="001A385B"/>
    <w:rsid w:val="001A42A3"/>
    <w:rsid w:val="001A55A2"/>
    <w:rsid w:val="001A5BC1"/>
    <w:rsid w:val="001A67B6"/>
    <w:rsid w:val="001A6D6C"/>
    <w:rsid w:val="001A7459"/>
    <w:rsid w:val="001A7B95"/>
    <w:rsid w:val="001A7C91"/>
    <w:rsid w:val="001A7E12"/>
    <w:rsid w:val="001B0156"/>
    <w:rsid w:val="001B0353"/>
    <w:rsid w:val="001B036E"/>
    <w:rsid w:val="001B04AA"/>
    <w:rsid w:val="001B09A1"/>
    <w:rsid w:val="001B1580"/>
    <w:rsid w:val="001B15BF"/>
    <w:rsid w:val="001B36A1"/>
    <w:rsid w:val="001B37FD"/>
    <w:rsid w:val="001B3AE2"/>
    <w:rsid w:val="001B50E0"/>
    <w:rsid w:val="001B58EA"/>
    <w:rsid w:val="001B5F88"/>
    <w:rsid w:val="001B6D4D"/>
    <w:rsid w:val="001B7225"/>
    <w:rsid w:val="001B7BB6"/>
    <w:rsid w:val="001C0107"/>
    <w:rsid w:val="001C0E96"/>
    <w:rsid w:val="001C11B0"/>
    <w:rsid w:val="001C1494"/>
    <w:rsid w:val="001C1B1D"/>
    <w:rsid w:val="001C1E00"/>
    <w:rsid w:val="001C1F8B"/>
    <w:rsid w:val="001C232C"/>
    <w:rsid w:val="001C24B6"/>
    <w:rsid w:val="001C345C"/>
    <w:rsid w:val="001C3C72"/>
    <w:rsid w:val="001C3EC5"/>
    <w:rsid w:val="001C40E1"/>
    <w:rsid w:val="001C471E"/>
    <w:rsid w:val="001C5169"/>
    <w:rsid w:val="001C5500"/>
    <w:rsid w:val="001C5E63"/>
    <w:rsid w:val="001C5F7F"/>
    <w:rsid w:val="001C6FE6"/>
    <w:rsid w:val="001C71C8"/>
    <w:rsid w:val="001C76E2"/>
    <w:rsid w:val="001C7DEF"/>
    <w:rsid w:val="001D0251"/>
    <w:rsid w:val="001D033C"/>
    <w:rsid w:val="001D0347"/>
    <w:rsid w:val="001D0362"/>
    <w:rsid w:val="001D038D"/>
    <w:rsid w:val="001D0710"/>
    <w:rsid w:val="001D1256"/>
    <w:rsid w:val="001D15CB"/>
    <w:rsid w:val="001D2877"/>
    <w:rsid w:val="001D2C4F"/>
    <w:rsid w:val="001D303D"/>
    <w:rsid w:val="001D3FD2"/>
    <w:rsid w:val="001D45A8"/>
    <w:rsid w:val="001D4884"/>
    <w:rsid w:val="001D52E5"/>
    <w:rsid w:val="001D75DD"/>
    <w:rsid w:val="001D773C"/>
    <w:rsid w:val="001D7AB1"/>
    <w:rsid w:val="001D7FC4"/>
    <w:rsid w:val="001E063A"/>
    <w:rsid w:val="001E0CDE"/>
    <w:rsid w:val="001E14D8"/>
    <w:rsid w:val="001E1F72"/>
    <w:rsid w:val="001E2186"/>
    <w:rsid w:val="001E2FBA"/>
    <w:rsid w:val="001E3E1F"/>
    <w:rsid w:val="001E40B6"/>
    <w:rsid w:val="001E40BD"/>
    <w:rsid w:val="001E45F1"/>
    <w:rsid w:val="001E4C18"/>
    <w:rsid w:val="001E4EB3"/>
    <w:rsid w:val="001E5624"/>
    <w:rsid w:val="001E5676"/>
    <w:rsid w:val="001E67E2"/>
    <w:rsid w:val="001E78F3"/>
    <w:rsid w:val="001E7ABF"/>
    <w:rsid w:val="001E7B9D"/>
    <w:rsid w:val="001F0DB5"/>
    <w:rsid w:val="001F1210"/>
    <w:rsid w:val="001F1B06"/>
    <w:rsid w:val="001F1C35"/>
    <w:rsid w:val="001F1E08"/>
    <w:rsid w:val="001F2189"/>
    <w:rsid w:val="001F22BC"/>
    <w:rsid w:val="001F2BBB"/>
    <w:rsid w:val="001F2EC7"/>
    <w:rsid w:val="001F353B"/>
    <w:rsid w:val="001F37BD"/>
    <w:rsid w:val="001F3CD7"/>
    <w:rsid w:val="001F4170"/>
    <w:rsid w:val="001F44AA"/>
    <w:rsid w:val="001F4BAC"/>
    <w:rsid w:val="001F4C51"/>
    <w:rsid w:val="001F5450"/>
    <w:rsid w:val="001F57D3"/>
    <w:rsid w:val="001F6C10"/>
    <w:rsid w:val="001F6CB9"/>
    <w:rsid w:val="00200677"/>
    <w:rsid w:val="00200A3D"/>
    <w:rsid w:val="00200EA2"/>
    <w:rsid w:val="00202570"/>
    <w:rsid w:val="00204E21"/>
    <w:rsid w:val="00206035"/>
    <w:rsid w:val="00206210"/>
    <w:rsid w:val="0020667B"/>
    <w:rsid w:val="00206B54"/>
    <w:rsid w:val="00206B86"/>
    <w:rsid w:val="0020706B"/>
    <w:rsid w:val="002071A0"/>
    <w:rsid w:val="0020720A"/>
    <w:rsid w:val="002108CA"/>
    <w:rsid w:val="00210D4E"/>
    <w:rsid w:val="00210FE1"/>
    <w:rsid w:val="00211AB4"/>
    <w:rsid w:val="00211DF9"/>
    <w:rsid w:val="002125D9"/>
    <w:rsid w:val="00212FE7"/>
    <w:rsid w:val="00213A35"/>
    <w:rsid w:val="00214AA8"/>
    <w:rsid w:val="00214E35"/>
    <w:rsid w:val="00214E81"/>
    <w:rsid w:val="00214F3B"/>
    <w:rsid w:val="002151DA"/>
    <w:rsid w:val="00215636"/>
    <w:rsid w:val="00215B3E"/>
    <w:rsid w:val="002164E4"/>
    <w:rsid w:val="0021709C"/>
    <w:rsid w:val="00217387"/>
    <w:rsid w:val="00217B74"/>
    <w:rsid w:val="002207B2"/>
    <w:rsid w:val="002209FB"/>
    <w:rsid w:val="00220A01"/>
    <w:rsid w:val="002218F8"/>
    <w:rsid w:val="00221C75"/>
    <w:rsid w:val="00221E6C"/>
    <w:rsid w:val="00221F96"/>
    <w:rsid w:val="002221BF"/>
    <w:rsid w:val="00222D94"/>
    <w:rsid w:val="002230BF"/>
    <w:rsid w:val="00223672"/>
    <w:rsid w:val="00223EE4"/>
    <w:rsid w:val="00223F9D"/>
    <w:rsid w:val="002240E0"/>
    <w:rsid w:val="002242F2"/>
    <w:rsid w:val="00225EED"/>
    <w:rsid w:val="00226B80"/>
    <w:rsid w:val="00227B55"/>
    <w:rsid w:val="002304C8"/>
    <w:rsid w:val="002305E6"/>
    <w:rsid w:val="0023164E"/>
    <w:rsid w:val="00231D2D"/>
    <w:rsid w:val="00231ED1"/>
    <w:rsid w:val="00231FBD"/>
    <w:rsid w:val="002328BB"/>
    <w:rsid w:val="00232D88"/>
    <w:rsid w:val="00234B46"/>
    <w:rsid w:val="002356AC"/>
    <w:rsid w:val="00235E97"/>
    <w:rsid w:val="00237D09"/>
    <w:rsid w:val="00240771"/>
    <w:rsid w:val="00241BF5"/>
    <w:rsid w:val="00242624"/>
    <w:rsid w:val="002426F6"/>
    <w:rsid w:val="00242849"/>
    <w:rsid w:val="00242A76"/>
    <w:rsid w:val="00242CA3"/>
    <w:rsid w:val="0024345D"/>
    <w:rsid w:val="00243CC2"/>
    <w:rsid w:val="002440C2"/>
    <w:rsid w:val="0024450B"/>
    <w:rsid w:val="002446D1"/>
    <w:rsid w:val="0024557E"/>
    <w:rsid w:val="002507B0"/>
    <w:rsid w:val="00250DEA"/>
    <w:rsid w:val="002511F7"/>
    <w:rsid w:val="002513B8"/>
    <w:rsid w:val="00252E6F"/>
    <w:rsid w:val="00253737"/>
    <w:rsid w:val="00254D21"/>
    <w:rsid w:val="0025511E"/>
    <w:rsid w:val="00255632"/>
    <w:rsid w:val="002561BC"/>
    <w:rsid w:val="002574F6"/>
    <w:rsid w:val="0025794E"/>
    <w:rsid w:val="002579AE"/>
    <w:rsid w:val="00260034"/>
    <w:rsid w:val="0026049B"/>
    <w:rsid w:val="00260A04"/>
    <w:rsid w:val="00260A93"/>
    <w:rsid w:val="00260AB4"/>
    <w:rsid w:val="002615AF"/>
    <w:rsid w:val="00261617"/>
    <w:rsid w:val="00261654"/>
    <w:rsid w:val="00262652"/>
    <w:rsid w:val="00262C14"/>
    <w:rsid w:val="00263556"/>
    <w:rsid w:val="00263741"/>
    <w:rsid w:val="00263A06"/>
    <w:rsid w:val="00263ED0"/>
    <w:rsid w:val="00266B79"/>
    <w:rsid w:val="00267584"/>
    <w:rsid w:val="00267A5F"/>
    <w:rsid w:val="00270246"/>
    <w:rsid w:val="00270714"/>
    <w:rsid w:val="00270EA1"/>
    <w:rsid w:val="0027274E"/>
    <w:rsid w:val="0027304A"/>
    <w:rsid w:val="00273052"/>
    <w:rsid w:val="002736FB"/>
    <w:rsid w:val="00274138"/>
    <w:rsid w:val="00274948"/>
    <w:rsid w:val="00274A07"/>
    <w:rsid w:val="002754D5"/>
    <w:rsid w:val="00276664"/>
    <w:rsid w:val="00276D37"/>
    <w:rsid w:val="00276DAC"/>
    <w:rsid w:val="00277AA8"/>
    <w:rsid w:val="0028024C"/>
    <w:rsid w:val="00280CAB"/>
    <w:rsid w:val="00282674"/>
    <w:rsid w:val="00282E13"/>
    <w:rsid w:val="00284164"/>
    <w:rsid w:val="002845B8"/>
    <w:rsid w:val="0028477A"/>
    <w:rsid w:val="002849E5"/>
    <w:rsid w:val="0028526F"/>
    <w:rsid w:val="00285F48"/>
    <w:rsid w:val="002863D7"/>
    <w:rsid w:val="00286FBE"/>
    <w:rsid w:val="002873B4"/>
    <w:rsid w:val="0029064C"/>
    <w:rsid w:val="00290C7A"/>
    <w:rsid w:val="0029211A"/>
    <w:rsid w:val="00292777"/>
    <w:rsid w:val="00292F01"/>
    <w:rsid w:val="002930C9"/>
    <w:rsid w:val="00293579"/>
    <w:rsid w:val="002937CC"/>
    <w:rsid w:val="00293BA9"/>
    <w:rsid w:val="00293BAE"/>
    <w:rsid w:val="0029428E"/>
    <w:rsid w:val="00294413"/>
    <w:rsid w:val="002944B3"/>
    <w:rsid w:val="00294794"/>
    <w:rsid w:val="00294E94"/>
    <w:rsid w:val="002953AD"/>
    <w:rsid w:val="00295DDD"/>
    <w:rsid w:val="00295F11"/>
    <w:rsid w:val="00296536"/>
    <w:rsid w:val="00296A9C"/>
    <w:rsid w:val="00296BDF"/>
    <w:rsid w:val="002971AB"/>
    <w:rsid w:val="00297939"/>
    <w:rsid w:val="002A0133"/>
    <w:rsid w:val="002A0392"/>
    <w:rsid w:val="002A0AF3"/>
    <w:rsid w:val="002A0CC9"/>
    <w:rsid w:val="002A1D9B"/>
    <w:rsid w:val="002A2375"/>
    <w:rsid w:val="002A559A"/>
    <w:rsid w:val="002A5755"/>
    <w:rsid w:val="002A676B"/>
    <w:rsid w:val="002A76BD"/>
    <w:rsid w:val="002A78A7"/>
    <w:rsid w:val="002A78AD"/>
    <w:rsid w:val="002A7AAC"/>
    <w:rsid w:val="002B0ADB"/>
    <w:rsid w:val="002B10DB"/>
    <w:rsid w:val="002B1B65"/>
    <w:rsid w:val="002B25E9"/>
    <w:rsid w:val="002B2D09"/>
    <w:rsid w:val="002B2D14"/>
    <w:rsid w:val="002B44C5"/>
    <w:rsid w:val="002B48D7"/>
    <w:rsid w:val="002B513B"/>
    <w:rsid w:val="002B5245"/>
    <w:rsid w:val="002B5C89"/>
    <w:rsid w:val="002B6AAA"/>
    <w:rsid w:val="002B7B4E"/>
    <w:rsid w:val="002C0DC8"/>
    <w:rsid w:val="002C0F16"/>
    <w:rsid w:val="002C10AB"/>
    <w:rsid w:val="002C11C2"/>
    <w:rsid w:val="002C1350"/>
    <w:rsid w:val="002C1866"/>
    <w:rsid w:val="002C1E08"/>
    <w:rsid w:val="002C336D"/>
    <w:rsid w:val="002C3444"/>
    <w:rsid w:val="002C3575"/>
    <w:rsid w:val="002C3858"/>
    <w:rsid w:val="002C3AC7"/>
    <w:rsid w:val="002C3BA5"/>
    <w:rsid w:val="002C3F86"/>
    <w:rsid w:val="002C3FA1"/>
    <w:rsid w:val="002C4C9E"/>
    <w:rsid w:val="002C52B8"/>
    <w:rsid w:val="002C52DD"/>
    <w:rsid w:val="002C59F1"/>
    <w:rsid w:val="002C6909"/>
    <w:rsid w:val="002C6D15"/>
    <w:rsid w:val="002C6DC2"/>
    <w:rsid w:val="002C7742"/>
    <w:rsid w:val="002D0203"/>
    <w:rsid w:val="002D03AD"/>
    <w:rsid w:val="002D052F"/>
    <w:rsid w:val="002D09E2"/>
    <w:rsid w:val="002D19A0"/>
    <w:rsid w:val="002D20B6"/>
    <w:rsid w:val="002D2CCA"/>
    <w:rsid w:val="002D3ABC"/>
    <w:rsid w:val="002D3C85"/>
    <w:rsid w:val="002D3F1A"/>
    <w:rsid w:val="002D5DB2"/>
    <w:rsid w:val="002D600F"/>
    <w:rsid w:val="002D633D"/>
    <w:rsid w:val="002D7F97"/>
    <w:rsid w:val="002E05AF"/>
    <w:rsid w:val="002E20B6"/>
    <w:rsid w:val="002E25EB"/>
    <w:rsid w:val="002E29DD"/>
    <w:rsid w:val="002E2FAF"/>
    <w:rsid w:val="002E3515"/>
    <w:rsid w:val="002E384C"/>
    <w:rsid w:val="002E3DA5"/>
    <w:rsid w:val="002E5673"/>
    <w:rsid w:val="002E582F"/>
    <w:rsid w:val="002E5B01"/>
    <w:rsid w:val="002E5D59"/>
    <w:rsid w:val="002E6DE7"/>
    <w:rsid w:val="002E71BF"/>
    <w:rsid w:val="002E74B9"/>
    <w:rsid w:val="002E77ED"/>
    <w:rsid w:val="002E790C"/>
    <w:rsid w:val="002F0186"/>
    <w:rsid w:val="002F0312"/>
    <w:rsid w:val="002F043F"/>
    <w:rsid w:val="002F05A6"/>
    <w:rsid w:val="002F0672"/>
    <w:rsid w:val="002F072C"/>
    <w:rsid w:val="002F142B"/>
    <w:rsid w:val="002F26F8"/>
    <w:rsid w:val="002F2A96"/>
    <w:rsid w:val="002F2CC2"/>
    <w:rsid w:val="002F2DC0"/>
    <w:rsid w:val="002F3006"/>
    <w:rsid w:val="002F375C"/>
    <w:rsid w:val="002F377E"/>
    <w:rsid w:val="002F3976"/>
    <w:rsid w:val="002F3CCF"/>
    <w:rsid w:val="002F427B"/>
    <w:rsid w:val="002F4CE1"/>
    <w:rsid w:val="002F5EB7"/>
    <w:rsid w:val="002F616D"/>
    <w:rsid w:val="002F6D0C"/>
    <w:rsid w:val="002F70EE"/>
    <w:rsid w:val="002F7314"/>
    <w:rsid w:val="002F7387"/>
    <w:rsid w:val="00300D09"/>
    <w:rsid w:val="00300F22"/>
    <w:rsid w:val="00301272"/>
    <w:rsid w:val="003017AC"/>
    <w:rsid w:val="00301B30"/>
    <w:rsid w:val="003020FA"/>
    <w:rsid w:val="003024EC"/>
    <w:rsid w:val="0030256D"/>
    <w:rsid w:val="00303301"/>
    <w:rsid w:val="003039DD"/>
    <w:rsid w:val="00304209"/>
    <w:rsid w:val="00304A37"/>
    <w:rsid w:val="003050B7"/>
    <w:rsid w:val="00305C1A"/>
    <w:rsid w:val="00305C69"/>
    <w:rsid w:val="00306F04"/>
    <w:rsid w:val="00307F5D"/>
    <w:rsid w:val="00310ED4"/>
    <w:rsid w:val="00311273"/>
    <w:rsid w:val="00311825"/>
    <w:rsid w:val="00311963"/>
    <w:rsid w:val="00312301"/>
    <w:rsid w:val="00312929"/>
    <w:rsid w:val="00312D3C"/>
    <w:rsid w:val="003131BB"/>
    <w:rsid w:val="00313BC0"/>
    <w:rsid w:val="0031492A"/>
    <w:rsid w:val="0031549D"/>
    <w:rsid w:val="003156E7"/>
    <w:rsid w:val="00316C1A"/>
    <w:rsid w:val="00320637"/>
    <w:rsid w:val="003214EC"/>
    <w:rsid w:val="003215F1"/>
    <w:rsid w:val="00321806"/>
    <w:rsid w:val="00321BD9"/>
    <w:rsid w:val="00322102"/>
    <w:rsid w:val="00322C09"/>
    <w:rsid w:val="0032372B"/>
    <w:rsid w:val="0032379E"/>
    <w:rsid w:val="00323C73"/>
    <w:rsid w:val="00323DA4"/>
    <w:rsid w:val="00324E69"/>
    <w:rsid w:val="00324FFE"/>
    <w:rsid w:val="00325266"/>
    <w:rsid w:val="00325A40"/>
    <w:rsid w:val="00325E57"/>
    <w:rsid w:val="00326B2F"/>
    <w:rsid w:val="00327283"/>
    <w:rsid w:val="003272B4"/>
    <w:rsid w:val="003274B6"/>
    <w:rsid w:val="0032788A"/>
    <w:rsid w:val="00327AAF"/>
    <w:rsid w:val="00327CFA"/>
    <w:rsid w:val="0033068D"/>
    <w:rsid w:val="00331141"/>
    <w:rsid w:val="00331C65"/>
    <w:rsid w:val="00331CE2"/>
    <w:rsid w:val="0033250A"/>
    <w:rsid w:val="00332FC3"/>
    <w:rsid w:val="00333812"/>
    <w:rsid w:val="003345AD"/>
    <w:rsid w:val="003349F6"/>
    <w:rsid w:val="00335250"/>
    <w:rsid w:val="003356AC"/>
    <w:rsid w:val="00335D3E"/>
    <w:rsid w:val="003367CD"/>
    <w:rsid w:val="00336863"/>
    <w:rsid w:val="00336BD1"/>
    <w:rsid w:val="003404D5"/>
    <w:rsid w:val="00341547"/>
    <w:rsid w:val="00341B88"/>
    <w:rsid w:val="00341ED6"/>
    <w:rsid w:val="003432BE"/>
    <w:rsid w:val="00343837"/>
    <w:rsid w:val="00343A65"/>
    <w:rsid w:val="00343DBD"/>
    <w:rsid w:val="00343F57"/>
    <w:rsid w:val="00344343"/>
    <w:rsid w:val="00344726"/>
    <w:rsid w:val="00344758"/>
    <w:rsid w:val="0034476A"/>
    <w:rsid w:val="00344D6B"/>
    <w:rsid w:val="0034681A"/>
    <w:rsid w:val="003468F5"/>
    <w:rsid w:val="00347142"/>
    <w:rsid w:val="00347447"/>
    <w:rsid w:val="0035037D"/>
    <w:rsid w:val="0035040D"/>
    <w:rsid w:val="00351230"/>
    <w:rsid w:val="00352069"/>
    <w:rsid w:val="00352209"/>
    <w:rsid w:val="00352A86"/>
    <w:rsid w:val="00354B22"/>
    <w:rsid w:val="00354CD6"/>
    <w:rsid w:val="00355083"/>
    <w:rsid w:val="00355C70"/>
    <w:rsid w:val="00355CC8"/>
    <w:rsid w:val="00355D2C"/>
    <w:rsid w:val="003565A8"/>
    <w:rsid w:val="003566EA"/>
    <w:rsid w:val="00356C5A"/>
    <w:rsid w:val="00357037"/>
    <w:rsid w:val="003571C5"/>
    <w:rsid w:val="003577AD"/>
    <w:rsid w:val="00357997"/>
    <w:rsid w:val="003601D2"/>
    <w:rsid w:val="003608F1"/>
    <w:rsid w:val="00360B3B"/>
    <w:rsid w:val="0036184A"/>
    <w:rsid w:val="00361E68"/>
    <w:rsid w:val="0036239C"/>
    <w:rsid w:val="0036276B"/>
    <w:rsid w:val="003638E4"/>
    <w:rsid w:val="003642C4"/>
    <w:rsid w:val="00364537"/>
    <w:rsid w:val="00365D8E"/>
    <w:rsid w:val="00365EB0"/>
    <w:rsid w:val="003660BB"/>
    <w:rsid w:val="00366FD6"/>
    <w:rsid w:val="003700F5"/>
    <w:rsid w:val="00370DAE"/>
    <w:rsid w:val="00371599"/>
    <w:rsid w:val="00372C79"/>
    <w:rsid w:val="003733FB"/>
    <w:rsid w:val="003743E1"/>
    <w:rsid w:val="00374483"/>
    <w:rsid w:val="00374D6B"/>
    <w:rsid w:val="00375048"/>
    <w:rsid w:val="0037524E"/>
    <w:rsid w:val="003752AC"/>
    <w:rsid w:val="00375F65"/>
    <w:rsid w:val="00376077"/>
    <w:rsid w:val="00376EA2"/>
    <w:rsid w:val="00376EFA"/>
    <w:rsid w:val="0037737C"/>
    <w:rsid w:val="00377599"/>
    <w:rsid w:val="00377A6D"/>
    <w:rsid w:val="00377CF5"/>
    <w:rsid w:val="003802E8"/>
    <w:rsid w:val="0038185C"/>
    <w:rsid w:val="00381A94"/>
    <w:rsid w:val="00382772"/>
    <w:rsid w:val="00383C28"/>
    <w:rsid w:val="00383F43"/>
    <w:rsid w:val="003841D1"/>
    <w:rsid w:val="003847CB"/>
    <w:rsid w:val="00384F39"/>
    <w:rsid w:val="00385C37"/>
    <w:rsid w:val="0038618E"/>
    <w:rsid w:val="003869B0"/>
    <w:rsid w:val="00386F09"/>
    <w:rsid w:val="0038722C"/>
    <w:rsid w:val="0038767D"/>
    <w:rsid w:val="00390460"/>
    <w:rsid w:val="00391512"/>
    <w:rsid w:val="00391784"/>
    <w:rsid w:val="003917E4"/>
    <w:rsid w:val="003929E6"/>
    <w:rsid w:val="00393577"/>
    <w:rsid w:val="00393B8E"/>
    <w:rsid w:val="00393B8F"/>
    <w:rsid w:val="00393DDC"/>
    <w:rsid w:val="003940CB"/>
    <w:rsid w:val="0039475F"/>
    <w:rsid w:val="00394B83"/>
    <w:rsid w:val="003A0290"/>
    <w:rsid w:val="003A04D3"/>
    <w:rsid w:val="003A087F"/>
    <w:rsid w:val="003A0AB3"/>
    <w:rsid w:val="003A14B8"/>
    <w:rsid w:val="003A1A10"/>
    <w:rsid w:val="003A1E3B"/>
    <w:rsid w:val="003A3262"/>
    <w:rsid w:val="003A33B3"/>
    <w:rsid w:val="003A378B"/>
    <w:rsid w:val="003A384A"/>
    <w:rsid w:val="003A3B44"/>
    <w:rsid w:val="003A5191"/>
    <w:rsid w:val="003A5550"/>
    <w:rsid w:val="003A5569"/>
    <w:rsid w:val="003A5C6F"/>
    <w:rsid w:val="003A6A1A"/>
    <w:rsid w:val="003A6D73"/>
    <w:rsid w:val="003A76B7"/>
    <w:rsid w:val="003A7923"/>
    <w:rsid w:val="003A7C5F"/>
    <w:rsid w:val="003B00BE"/>
    <w:rsid w:val="003B09FE"/>
    <w:rsid w:val="003B14CC"/>
    <w:rsid w:val="003B1920"/>
    <w:rsid w:val="003B1A30"/>
    <w:rsid w:val="003B20D4"/>
    <w:rsid w:val="003B20DE"/>
    <w:rsid w:val="003B22B8"/>
    <w:rsid w:val="003B2376"/>
    <w:rsid w:val="003B2E3A"/>
    <w:rsid w:val="003B2FAF"/>
    <w:rsid w:val="003B32C1"/>
    <w:rsid w:val="003B51B0"/>
    <w:rsid w:val="003B575A"/>
    <w:rsid w:val="003B586C"/>
    <w:rsid w:val="003B58D1"/>
    <w:rsid w:val="003B6196"/>
    <w:rsid w:val="003B69E5"/>
    <w:rsid w:val="003B6C84"/>
    <w:rsid w:val="003B7ED6"/>
    <w:rsid w:val="003C0614"/>
    <w:rsid w:val="003C09BD"/>
    <w:rsid w:val="003C0B89"/>
    <w:rsid w:val="003C11B3"/>
    <w:rsid w:val="003C16BB"/>
    <w:rsid w:val="003C2178"/>
    <w:rsid w:val="003C22D8"/>
    <w:rsid w:val="003C261C"/>
    <w:rsid w:val="003C292A"/>
    <w:rsid w:val="003C29C3"/>
    <w:rsid w:val="003C40A5"/>
    <w:rsid w:val="003C4B8A"/>
    <w:rsid w:val="003C528A"/>
    <w:rsid w:val="003C5612"/>
    <w:rsid w:val="003C6356"/>
    <w:rsid w:val="003C674F"/>
    <w:rsid w:val="003C7BDE"/>
    <w:rsid w:val="003D04AE"/>
    <w:rsid w:val="003D07CB"/>
    <w:rsid w:val="003D13C4"/>
    <w:rsid w:val="003D1DE9"/>
    <w:rsid w:val="003D2388"/>
    <w:rsid w:val="003D3672"/>
    <w:rsid w:val="003D38BB"/>
    <w:rsid w:val="003D38CE"/>
    <w:rsid w:val="003D3A1C"/>
    <w:rsid w:val="003D3BA4"/>
    <w:rsid w:val="003D3D49"/>
    <w:rsid w:val="003D43BC"/>
    <w:rsid w:val="003D4987"/>
    <w:rsid w:val="003D4AD7"/>
    <w:rsid w:val="003D531E"/>
    <w:rsid w:val="003D5768"/>
    <w:rsid w:val="003D607E"/>
    <w:rsid w:val="003D6597"/>
    <w:rsid w:val="003D67E6"/>
    <w:rsid w:val="003D6946"/>
    <w:rsid w:val="003D70A0"/>
    <w:rsid w:val="003E074C"/>
    <w:rsid w:val="003E0B5B"/>
    <w:rsid w:val="003E1144"/>
    <w:rsid w:val="003E1369"/>
    <w:rsid w:val="003E1496"/>
    <w:rsid w:val="003E1747"/>
    <w:rsid w:val="003E18B2"/>
    <w:rsid w:val="003E192A"/>
    <w:rsid w:val="003E224E"/>
    <w:rsid w:val="003E2C7D"/>
    <w:rsid w:val="003E32F7"/>
    <w:rsid w:val="003E36F4"/>
    <w:rsid w:val="003E3C10"/>
    <w:rsid w:val="003E48C8"/>
    <w:rsid w:val="003E5113"/>
    <w:rsid w:val="003E585C"/>
    <w:rsid w:val="003E5A33"/>
    <w:rsid w:val="003E5F11"/>
    <w:rsid w:val="003E738A"/>
    <w:rsid w:val="003E7676"/>
    <w:rsid w:val="003E76CE"/>
    <w:rsid w:val="003F045C"/>
    <w:rsid w:val="003F11F6"/>
    <w:rsid w:val="003F14E2"/>
    <w:rsid w:val="003F1ADC"/>
    <w:rsid w:val="003F1BD0"/>
    <w:rsid w:val="003F1F2B"/>
    <w:rsid w:val="003F2539"/>
    <w:rsid w:val="003F2D09"/>
    <w:rsid w:val="003F2E12"/>
    <w:rsid w:val="003F2FFF"/>
    <w:rsid w:val="003F3051"/>
    <w:rsid w:val="003F3118"/>
    <w:rsid w:val="003F319D"/>
    <w:rsid w:val="003F3D67"/>
    <w:rsid w:val="003F3E26"/>
    <w:rsid w:val="003F3ED2"/>
    <w:rsid w:val="003F4188"/>
    <w:rsid w:val="003F42B2"/>
    <w:rsid w:val="003F4669"/>
    <w:rsid w:val="003F4EC3"/>
    <w:rsid w:val="003F5057"/>
    <w:rsid w:val="003F5544"/>
    <w:rsid w:val="003F6722"/>
    <w:rsid w:val="003F799F"/>
    <w:rsid w:val="004001E1"/>
    <w:rsid w:val="004002A3"/>
    <w:rsid w:val="004003A2"/>
    <w:rsid w:val="004005CA"/>
    <w:rsid w:val="004013CE"/>
    <w:rsid w:val="0040177D"/>
    <w:rsid w:val="00402102"/>
    <w:rsid w:val="00402350"/>
    <w:rsid w:val="00402543"/>
    <w:rsid w:val="004031E1"/>
    <w:rsid w:val="00403630"/>
    <w:rsid w:val="00403CAD"/>
    <w:rsid w:val="004041C3"/>
    <w:rsid w:val="0040422E"/>
    <w:rsid w:val="00404486"/>
    <w:rsid w:val="00404D95"/>
    <w:rsid w:val="00404DF3"/>
    <w:rsid w:val="00404E2F"/>
    <w:rsid w:val="004051B5"/>
    <w:rsid w:val="004055CD"/>
    <w:rsid w:val="00405FD8"/>
    <w:rsid w:val="0040621D"/>
    <w:rsid w:val="00406341"/>
    <w:rsid w:val="00406A5C"/>
    <w:rsid w:val="004075E3"/>
    <w:rsid w:val="00407B89"/>
    <w:rsid w:val="00411038"/>
    <w:rsid w:val="00411377"/>
    <w:rsid w:val="00411F0B"/>
    <w:rsid w:val="0041210C"/>
    <w:rsid w:val="00412AAB"/>
    <w:rsid w:val="00414298"/>
    <w:rsid w:val="00415454"/>
    <w:rsid w:val="004162B8"/>
    <w:rsid w:val="00416CE1"/>
    <w:rsid w:val="00417770"/>
    <w:rsid w:val="00420868"/>
    <w:rsid w:val="00421C2A"/>
    <w:rsid w:val="004222A9"/>
    <w:rsid w:val="004222D2"/>
    <w:rsid w:val="00422417"/>
    <w:rsid w:val="00422C33"/>
    <w:rsid w:val="00423137"/>
    <w:rsid w:val="004241FD"/>
    <w:rsid w:val="00424233"/>
    <w:rsid w:val="0042443A"/>
    <w:rsid w:val="00424616"/>
    <w:rsid w:val="00425073"/>
    <w:rsid w:val="004253F1"/>
    <w:rsid w:val="00425C8E"/>
    <w:rsid w:val="00425D3E"/>
    <w:rsid w:val="00425EAB"/>
    <w:rsid w:val="00426212"/>
    <w:rsid w:val="00426348"/>
    <w:rsid w:val="004269A9"/>
    <w:rsid w:val="0042738F"/>
    <w:rsid w:val="00427741"/>
    <w:rsid w:val="00430EB7"/>
    <w:rsid w:val="0043123B"/>
    <w:rsid w:val="00431858"/>
    <w:rsid w:val="00431FDF"/>
    <w:rsid w:val="004327D7"/>
    <w:rsid w:val="00433274"/>
    <w:rsid w:val="00433EE2"/>
    <w:rsid w:val="00435E7B"/>
    <w:rsid w:val="00436167"/>
    <w:rsid w:val="00436E71"/>
    <w:rsid w:val="00436F55"/>
    <w:rsid w:val="00437154"/>
    <w:rsid w:val="0044073C"/>
    <w:rsid w:val="00440B2C"/>
    <w:rsid w:val="00440C33"/>
    <w:rsid w:val="004412A5"/>
    <w:rsid w:val="004421BB"/>
    <w:rsid w:val="00442C73"/>
    <w:rsid w:val="00443719"/>
    <w:rsid w:val="00443C95"/>
    <w:rsid w:val="0044454C"/>
    <w:rsid w:val="004445D9"/>
    <w:rsid w:val="00446941"/>
    <w:rsid w:val="00446AB1"/>
    <w:rsid w:val="00446E93"/>
    <w:rsid w:val="00450970"/>
    <w:rsid w:val="00450A56"/>
    <w:rsid w:val="00450CAE"/>
    <w:rsid w:val="00450DB0"/>
    <w:rsid w:val="004512D2"/>
    <w:rsid w:val="00451CEB"/>
    <w:rsid w:val="00452049"/>
    <w:rsid w:val="00452CDF"/>
    <w:rsid w:val="0045369C"/>
    <w:rsid w:val="00453A34"/>
    <w:rsid w:val="00454337"/>
    <w:rsid w:val="004556F7"/>
    <w:rsid w:val="00456154"/>
    <w:rsid w:val="004564F8"/>
    <w:rsid w:val="0045665B"/>
    <w:rsid w:val="00456E20"/>
    <w:rsid w:val="00456E95"/>
    <w:rsid w:val="0045738E"/>
    <w:rsid w:val="004573E3"/>
    <w:rsid w:val="00460049"/>
    <w:rsid w:val="00460AFA"/>
    <w:rsid w:val="00460B22"/>
    <w:rsid w:val="00461F29"/>
    <w:rsid w:val="00463191"/>
    <w:rsid w:val="004637F5"/>
    <w:rsid w:val="00463B3F"/>
    <w:rsid w:val="0046438B"/>
    <w:rsid w:val="004652AA"/>
    <w:rsid w:val="00465BCA"/>
    <w:rsid w:val="004664A6"/>
    <w:rsid w:val="00467EC5"/>
    <w:rsid w:val="00470E43"/>
    <w:rsid w:val="00471128"/>
    <w:rsid w:val="004711C4"/>
    <w:rsid w:val="00471296"/>
    <w:rsid w:val="004712FB"/>
    <w:rsid w:val="00471BF3"/>
    <w:rsid w:val="00472397"/>
    <w:rsid w:val="00472696"/>
    <w:rsid w:val="004727FB"/>
    <w:rsid w:val="00472DBB"/>
    <w:rsid w:val="00472EFF"/>
    <w:rsid w:val="00473513"/>
    <w:rsid w:val="00474063"/>
    <w:rsid w:val="0047408F"/>
    <w:rsid w:val="0047469C"/>
    <w:rsid w:val="0047499A"/>
    <w:rsid w:val="00475076"/>
    <w:rsid w:val="00475429"/>
    <w:rsid w:val="00475FAA"/>
    <w:rsid w:val="004760B4"/>
    <w:rsid w:val="00476793"/>
    <w:rsid w:val="00476AC3"/>
    <w:rsid w:val="004778FF"/>
    <w:rsid w:val="00480485"/>
    <w:rsid w:val="004818B3"/>
    <w:rsid w:val="00481CFF"/>
    <w:rsid w:val="00481FB8"/>
    <w:rsid w:val="00481FF3"/>
    <w:rsid w:val="00482016"/>
    <w:rsid w:val="0048227B"/>
    <w:rsid w:val="0048232D"/>
    <w:rsid w:val="004829AC"/>
    <w:rsid w:val="00482A09"/>
    <w:rsid w:val="004830FE"/>
    <w:rsid w:val="00483458"/>
    <w:rsid w:val="00484BB0"/>
    <w:rsid w:val="00485885"/>
    <w:rsid w:val="00485E58"/>
    <w:rsid w:val="00485FB8"/>
    <w:rsid w:val="00486930"/>
    <w:rsid w:val="004869A6"/>
    <w:rsid w:val="0048714B"/>
    <w:rsid w:val="00487484"/>
    <w:rsid w:val="004878E2"/>
    <w:rsid w:val="004900C1"/>
    <w:rsid w:val="004901B1"/>
    <w:rsid w:val="004904C6"/>
    <w:rsid w:val="0049072E"/>
    <w:rsid w:val="0049111F"/>
    <w:rsid w:val="00491685"/>
    <w:rsid w:val="00492A53"/>
    <w:rsid w:val="00492D08"/>
    <w:rsid w:val="004932B6"/>
    <w:rsid w:val="00493367"/>
    <w:rsid w:val="00493556"/>
    <w:rsid w:val="00493F60"/>
    <w:rsid w:val="00495143"/>
    <w:rsid w:val="004957F9"/>
    <w:rsid w:val="00495A9C"/>
    <w:rsid w:val="00495AC8"/>
    <w:rsid w:val="00495B39"/>
    <w:rsid w:val="004960ED"/>
    <w:rsid w:val="004967BB"/>
    <w:rsid w:val="004968CE"/>
    <w:rsid w:val="004976D5"/>
    <w:rsid w:val="00497EA0"/>
    <w:rsid w:val="004A0100"/>
    <w:rsid w:val="004A01A7"/>
    <w:rsid w:val="004A0E06"/>
    <w:rsid w:val="004A187B"/>
    <w:rsid w:val="004A19DE"/>
    <w:rsid w:val="004A2CA6"/>
    <w:rsid w:val="004A2D3C"/>
    <w:rsid w:val="004A31B2"/>
    <w:rsid w:val="004A3BD4"/>
    <w:rsid w:val="004A4149"/>
    <w:rsid w:val="004A45B7"/>
    <w:rsid w:val="004A573F"/>
    <w:rsid w:val="004A5DAF"/>
    <w:rsid w:val="004A629A"/>
    <w:rsid w:val="004A68EF"/>
    <w:rsid w:val="004A77D9"/>
    <w:rsid w:val="004A7C0A"/>
    <w:rsid w:val="004B0ECD"/>
    <w:rsid w:val="004B0FA5"/>
    <w:rsid w:val="004B1164"/>
    <w:rsid w:val="004B1865"/>
    <w:rsid w:val="004B1BF3"/>
    <w:rsid w:val="004B2266"/>
    <w:rsid w:val="004B2413"/>
    <w:rsid w:val="004B332B"/>
    <w:rsid w:val="004B33D6"/>
    <w:rsid w:val="004B39C7"/>
    <w:rsid w:val="004B3FF3"/>
    <w:rsid w:val="004B4930"/>
    <w:rsid w:val="004B4C18"/>
    <w:rsid w:val="004B544C"/>
    <w:rsid w:val="004B592F"/>
    <w:rsid w:val="004B604C"/>
    <w:rsid w:val="004B6236"/>
    <w:rsid w:val="004B6A0D"/>
    <w:rsid w:val="004B7343"/>
    <w:rsid w:val="004B752E"/>
    <w:rsid w:val="004B7BD9"/>
    <w:rsid w:val="004B7F0E"/>
    <w:rsid w:val="004B7FED"/>
    <w:rsid w:val="004C039D"/>
    <w:rsid w:val="004C0834"/>
    <w:rsid w:val="004C108C"/>
    <w:rsid w:val="004C10B4"/>
    <w:rsid w:val="004C1DB1"/>
    <w:rsid w:val="004C1F20"/>
    <w:rsid w:val="004C1FB7"/>
    <w:rsid w:val="004C21A4"/>
    <w:rsid w:val="004C2335"/>
    <w:rsid w:val="004C2375"/>
    <w:rsid w:val="004C2AF0"/>
    <w:rsid w:val="004C2F34"/>
    <w:rsid w:val="004C3041"/>
    <w:rsid w:val="004C3046"/>
    <w:rsid w:val="004C3BB3"/>
    <w:rsid w:val="004C3E3E"/>
    <w:rsid w:val="004C3F67"/>
    <w:rsid w:val="004C410C"/>
    <w:rsid w:val="004C51FD"/>
    <w:rsid w:val="004C6146"/>
    <w:rsid w:val="004C62F7"/>
    <w:rsid w:val="004C63F0"/>
    <w:rsid w:val="004C7412"/>
    <w:rsid w:val="004D04BF"/>
    <w:rsid w:val="004D0E5D"/>
    <w:rsid w:val="004D136F"/>
    <w:rsid w:val="004D13BB"/>
    <w:rsid w:val="004D18D6"/>
    <w:rsid w:val="004D2776"/>
    <w:rsid w:val="004D319D"/>
    <w:rsid w:val="004D3910"/>
    <w:rsid w:val="004D3B15"/>
    <w:rsid w:val="004D3D55"/>
    <w:rsid w:val="004D4914"/>
    <w:rsid w:val="004D4D60"/>
    <w:rsid w:val="004D5003"/>
    <w:rsid w:val="004D50DB"/>
    <w:rsid w:val="004D5344"/>
    <w:rsid w:val="004D59CF"/>
    <w:rsid w:val="004D5B83"/>
    <w:rsid w:val="004D621B"/>
    <w:rsid w:val="004D6368"/>
    <w:rsid w:val="004D6FE9"/>
    <w:rsid w:val="004D71E9"/>
    <w:rsid w:val="004E04CA"/>
    <w:rsid w:val="004E0DFF"/>
    <w:rsid w:val="004E0F23"/>
    <w:rsid w:val="004E1D26"/>
    <w:rsid w:val="004E1F0F"/>
    <w:rsid w:val="004E306D"/>
    <w:rsid w:val="004E30CF"/>
    <w:rsid w:val="004E35B0"/>
    <w:rsid w:val="004E37BD"/>
    <w:rsid w:val="004E39D4"/>
    <w:rsid w:val="004E3B4C"/>
    <w:rsid w:val="004E4A1B"/>
    <w:rsid w:val="004E4DE4"/>
    <w:rsid w:val="004E5675"/>
    <w:rsid w:val="004E633A"/>
    <w:rsid w:val="004E6589"/>
    <w:rsid w:val="004E6B3F"/>
    <w:rsid w:val="004E6D02"/>
    <w:rsid w:val="004E75B6"/>
    <w:rsid w:val="004E77FD"/>
    <w:rsid w:val="004E7FE8"/>
    <w:rsid w:val="004F026A"/>
    <w:rsid w:val="004F030D"/>
    <w:rsid w:val="004F0C77"/>
    <w:rsid w:val="004F1381"/>
    <w:rsid w:val="004F16DB"/>
    <w:rsid w:val="004F197D"/>
    <w:rsid w:val="004F1C7C"/>
    <w:rsid w:val="004F2484"/>
    <w:rsid w:val="004F2B7E"/>
    <w:rsid w:val="004F2C3A"/>
    <w:rsid w:val="004F376A"/>
    <w:rsid w:val="004F3EF3"/>
    <w:rsid w:val="004F42FA"/>
    <w:rsid w:val="004F4433"/>
    <w:rsid w:val="004F49F1"/>
    <w:rsid w:val="004F4AF2"/>
    <w:rsid w:val="004F4B62"/>
    <w:rsid w:val="004F4FE4"/>
    <w:rsid w:val="004F5544"/>
    <w:rsid w:val="004F5827"/>
    <w:rsid w:val="004F5882"/>
    <w:rsid w:val="004F5AD8"/>
    <w:rsid w:val="004F5B17"/>
    <w:rsid w:val="004F676B"/>
    <w:rsid w:val="004F692A"/>
    <w:rsid w:val="004F6B39"/>
    <w:rsid w:val="0050100C"/>
    <w:rsid w:val="00501742"/>
    <w:rsid w:val="00501A8E"/>
    <w:rsid w:val="00501F08"/>
    <w:rsid w:val="005026CD"/>
    <w:rsid w:val="00502FBB"/>
    <w:rsid w:val="005041D9"/>
    <w:rsid w:val="0050470A"/>
    <w:rsid w:val="005047F4"/>
    <w:rsid w:val="005059C0"/>
    <w:rsid w:val="00506209"/>
    <w:rsid w:val="00506847"/>
    <w:rsid w:val="00506C22"/>
    <w:rsid w:val="005079DB"/>
    <w:rsid w:val="00507F74"/>
    <w:rsid w:val="00510275"/>
    <w:rsid w:val="005106EF"/>
    <w:rsid w:val="0051086B"/>
    <w:rsid w:val="00510C7E"/>
    <w:rsid w:val="005113B4"/>
    <w:rsid w:val="00511653"/>
    <w:rsid w:val="00512147"/>
    <w:rsid w:val="005123F0"/>
    <w:rsid w:val="00512ADE"/>
    <w:rsid w:val="00512C57"/>
    <w:rsid w:val="00513540"/>
    <w:rsid w:val="005136AF"/>
    <w:rsid w:val="005137E9"/>
    <w:rsid w:val="00513941"/>
    <w:rsid w:val="00513EC7"/>
    <w:rsid w:val="00513F8D"/>
    <w:rsid w:val="00514587"/>
    <w:rsid w:val="005148FA"/>
    <w:rsid w:val="005160CD"/>
    <w:rsid w:val="005162AF"/>
    <w:rsid w:val="00516AFC"/>
    <w:rsid w:val="00516E8A"/>
    <w:rsid w:val="00516FEE"/>
    <w:rsid w:val="005176F7"/>
    <w:rsid w:val="00517724"/>
    <w:rsid w:val="005179C9"/>
    <w:rsid w:val="00517C11"/>
    <w:rsid w:val="00517CD3"/>
    <w:rsid w:val="00517FB3"/>
    <w:rsid w:val="00520459"/>
    <w:rsid w:val="0052056B"/>
    <w:rsid w:val="00521422"/>
    <w:rsid w:val="0052149B"/>
    <w:rsid w:val="00522230"/>
    <w:rsid w:val="00522927"/>
    <w:rsid w:val="00523EF4"/>
    <w:rsid w:val="00524084"/>
    <w:rsid w:val="0052495E"/>
    <w:rsid w:val="005254E9"/>
    <w:rsid w:val="00525996"/>
    <w:rsid w:val="00525CB3"/>
    <w:rsid w:val="00526AA1"/>
    <w:rsid w:val="00526B65"/>
    <w:rsid w:val="00526C9A"/>
    <w:rsid w:val="0052750E"/>
    <w:rsid w:val="005277BA"/>
    <w:rsid w:val="00527863"/>
    <w:rsid w:val="00527895"/>
    <w:rsid w:val="0053051D"/>
    <w:rsid w:val="00530FF6"/>
    <w:rsid w:val="00531112"/>
    <w:rsid w:val="00531154"/>
    <w:rsid w:val="005313B5"/>
    <w:rsid w:val="005313E5"/>
    <w:rsid w:val="005320AA"/>
    <w:rsid w:val="005323C6"/>
    <w:rsid w:val="0053253C"/>
    <w:rsid w:val="00532A83"/>
    <w:rsid w:val="00533D6C"/>
    <w:rsid w:val="00534469"/>
    <w:rsid w:val="00536A03"/>
    <w:rsid w:val="00536A21"/>
    <w:rsid w:val="00536CCF"/>
    <w:rsid w:val="00537E9F"/>
    <w:rsid w:val="0054011E"/>
    <w:rsid w:val="00540802"/>
    <w:rsid w:val="00540A9E"/>
    <w:rsid w:val="00540D3E"/>
    <w:rsid w:val="00540DBD"/>
    <w:rsid w:val="00540EA9"/>
    <w:rsid w:val="00541893"/>
    <w:rsid w:val="005423AE"/>
    <w:rsid w:val="00542C30"/>
    <w:rsid w:val="00543438"/>
    <w:rsid w:val="00543BBF"/>
    <w:rsid w:val="00544471"/>
    <w:rsid w:val="00545C8A"/>
    <w:rsid w:val="00545CE8"/>
    <w:rsid w:val="00545DDB"/>
    <w:rsid w:val="00545DF7"/>
    <w:rsid w:val="005461AD"/>
    <w:rsid w:val="0054625C"/>
    <w:rsid w:val="005470CC"/>
    <w:rsid w:val="00547161"/>
    <w:rsid w:val="0055008F"/>
    <w:rsid w:val="00550619"/>
    <w:rsid w:val="00550C99"/>
    <w:rsid w:val="00550FCC"/>
    <w:rsid w:val="0055162F"/>
    <w:rsid w:val="00552DEB"/>
    <w:rsid w:val="00553056"/>
    <w:rsid w:val="00553521"/>
    <w:rsid w:val="00553D6E"/>
    <w:rsid w:val="00554A12"/>
    <w:rsid w:val="0055577D"/>
    <w:rsid w:val="00555A9D"/>
    <w:rsid w:val="00555C73"/>
    <w:rsid w:val="00557066"/>
    <w:rsid w:val="0055748F"/>
    <w:rsid w:val="00560192"/>
    <w:rsid w:val="00560C6F"/>
    <w:rsid w:val="005614E5"/>
    <w:rsid w:val="00562030"/>
    <w:rsid w:val="00562BC9"/>
    <w:rsid w:val="00564208"/>
    <w:rsid w:val="005643EA"/>
    <w:rsid w:val="00564B24"/>
    <w:rsid w:val="00565370"/>
    <w:rsid w:val="0056568C"/>
    <w:rsid w:val="005656B6"/>
    <w:rsid w:val="005661BD"/>
    <w:rsid w:val="00566A78"/>
    <w:rsid w:val="00566AB2"/>
    <w:rsid w:val="00566C25"/>
    <w:rsid w:val="00566E94"/>
    <w:rsid w:val="0056767B"/>
    <w:rsid w:val="0056778C"/>
    <w:rsid w:val="0056779B"/>
    <w:rsid w:val="005678E3"/>
    <w:rsid w:val="00570FD3"/>
    <w:rsid w:val="00571568"/>
    <w:rsid w:val="00571CEB"/>
    <w:rsid w:val="00571F06"/>
    <w:rsid w:val="00571F34"/>
    <w:rsid w:val="00572FC7"/>
    <w:rsid w:val="00573E5D"/>
    <w:rsid w:val="00574C8C"/>
    <w:rsid w:val="00574CF7"/>
    <w:rsid w:val="00575053"/>
    <w:rsid w:val="0057571F"/>
    <w:rsid w:val="00575B0A"/>
    <w:rsid w:val="0057657E"/>
    <w:rsid w:val="00576C68"/>
    <w:rsid w:val="00577F79"/>
    <w:rsid w:val="00580272"/>
    <w:rsid w:val="0058179A"/>
    <w:rsid w:val="00581C38"/>
    <w:rsid w:val="00583DFC"/>
    <w:rsid w:val="005846FC"/>
    <w:rsid w:val="00584ACD"/>
    <w:rsid w:val="00585547"/>
    <w:rsid w:val="00585B34"/>
    <w:rsid w:val="00586D2B"/>
    <w:rsid w:val="00587A72"/>
    <w:rsid w:val="00590DB4"/>
    <w:rsid w:val="005912D7"/>
    <w:rsid w:val="00591951"/>
    <w:rsid w:val="005919E3"/>
    <w:rsid w:val="005919F8"/>
    <w:rsid w:val="005920E8"/>
    <w:rsid w:val="00592772"/>
    <w:rsid w:val="00592B32"/>
    <w:rsid w:val="00592D0E"/>
    <w:rsid w:val="005933FE"/>
    <w:rsid w:val="005936E1"/>
    <w:rsid w:val="00593BD8"/>
    <w:rsid w:val="005948AA"/>
    <w:rsid w:val="00594B72"/>
    <w:rsid w:val="00594E6F"/>
    <w:rsid w:val="00596282"/>
    <w:rsid w:val="005969DB"/>
    <w:rsid w:val="00596DC2"/>
    <w:rsid w:val="00597C22"/>
    <w:rsid w:val="00597FF7"/>
    <w:rsid w:val="005A032A"/>
    <w:rsid w:val="005A0BF1"/>
    <w:rsid w:val="005A14FC"/>
    <w:rsid w:val="005A1BD8"/>
    <w:rsid w:val="005A1C8F"/>
    <w:rsid w:val="005A2245"/>
    <w:rsid w:val="005A22D1"/>
    <w:rsid w:val="005A3695"/>
    <w:rsid w:val="005A4C9F"/>
    <w:rsid w:val="005A53E2"/>
    <w:rsid w:val="005A55BC"/>
    <w:rsid w:val="005A5997"/>
    <w:rsid w:val="005A629F"/>
    <w:rsid w:val="005A641C"/>
    <w:rsid w:val="005A688F"/>
    <w:rsid w:val="005A7230"/>
    <w:rsid w:val="005A7539"/>
    <w:rsid w:val="005A76E2"/>
    <w:rsid w:val="005A7972"/>
    <w:rsid w:val="005A7991"/>
    <w:rsid w:val="005B095A"/>
    <w:rsid w:val="005B0BC3"/>
    <w:rsid w:val="005B0C9C"/>
    <w:rsid w:val="005B1BAC"/>
    <w:rsid w:val="005B25DA"/>
    <w:rsid w:val="005B3227"/>
    <w:rsid w:val="005B3AAF"/>
    <w:rsid w:val="005B3BC4"/>
    <w:rsid w:val="005B4C91"/>
    <w:rsid w:val="005B5786"/>
    <w:rsid w:val="005B5A9F"/>
    <w:rsid w:val="005B62C4"/>
    <w:rsid w:val="005B7026"/>
    <w:rsid w:val="005B76D9"/>
    <w:rsid w:val="005C0843"/>
    <w:rsid w:val="005C0CFE"/>
    <w:rsid w:val="005C1FFA"/>
    <w:rsid w:val="005C3BF9"/>
    <w:rsid w:val="005C42DF"/>
    <w:rsid w:val="005C43D6"/>
    <w:rsid w:val="005C4B95"/>
    <w:rsid w:val="005C4D80"/>
    <w:rsid w:val="005C5C81"/>
    <w:rsid w:val="005C5D41"/>
    <w:rsid w:val="005C6222"/>
    <w:rsid w:val="005C6844"/>
    <w:rsid w:val="005C751F"/>
    <w:rsid w:val="005C76F6"/>
    <w:rsid w:val="005C7E0E"/>
    <w:rsid w:val="005D080D"/>
    <w:rsid w:val="005D0B16"/>
    <w:rsid w:val="005D0D84"/>
    <w:rsid w:val="005D115C"/>
    <w:rsid w:val="005D15FC"/>
    <w:rsid w:val="005D1ADB"/>
    <w:rsid w:val="005D1F34"/>
    <w:rsid w:val="005D2657"/>
    <w:rsid w:val="005D311D"/>
    <w:rsid w:val="005D383D"/>
    <w:rsid w:val="005D3EBB"/>
    <w:rsid w:val="005D3F3A"/>
    <w:rsid w:val="005D4544"/>
    <w:rsid w:val="005D458C"/>
    <w:rsid w:val="005D45B7"/>
    <w:rsid w:val="005D50F4"/>
    <w:rsid w:val="005D5D1C"/>
    <w:rsid w:val="005D6A60"/>
    <w:rsid w:val="005D7783"/>
    <w:rsid w:val="005E0130"/>
    <w:rsid w:val="005E01DD"/>
    <w:rsid w:val="005E0E4E"/>
    <w:rsid w:val="005E19FD"/>
    <w:rsid w:val="005E1D01"/>
    <w:rsid w:val="005E2F0F"/>
    <w:rsid w:val="005E4C8C"/>
    <w:rsid w:val="005E4ED2"/>
    <w:rsid w:val="005E543A"/>
    <w:rsid w:val="005E5924"/>
    <w:rsid w:val="005E6F96"/>
    <w:rsid w:val="005E70FF"/>
    <w:rsid w:val="005F03EA"/>
    <w:rsid w:val="005F1B54"/>
    <w:rsid w:val="005F2486"/>
    <w:rsid w:val="005F25EB"/>
    <w:rsid w:val="005F2E81"/>
    <w:rsid w:val="005F3033"/>
    <w:rsid w:val="005F4001"/>
    <w:rsid w:val="005F4007"/>
    <w:rsid w:val="005F41E0"/>
    <w:rsid w:val="005F48FE"/>
    <w:rsid w:val="005F4BA0"/>
    <w:rsid w:val="005F4DB7"/>
    <w:rsid w:val="005F4E11"/>
    <w:rsid w:val="005F5113"/>
    <w:rsid w:val="005F58DB"/>
    <w:rsid w:val="005F597D"/>
    <w:rsid w:val="005F5AA2"/>
    <w:rsid w:val="005F5E22"/>
    <w:rsid w:val="005F62FD"/>
    <w:rsid w:val="005F65D4"/>
    <w:rsid w:val="005F68F3"/>
    <w:rsid w:val="005F76C3"/>
    <w:rsid w:val="006004C8"/>
    <w:rsid w:val="00601071"/>
    <w:rsid w:val="00601608"/>
    <w:rsid w:val="00601623"/>
    <w:rsid w:val="00601777"/>
    <w:rsid w:val="00601A0C"/>
    <w:rsid w:val="00602203"/>
    <w:rsid w:val="006025AF"/>
    <w:rsid w:val="00602862"/>
    <w:rsid w:val="0060423B"/>
    <w:rsid w:val="00605039"/>
    <w:rsid w:val="0060553B"/>
    <w:rsid w:val="00606102"/>
    <w:rsid w:val="00606788"/>
    <w:rsid w:val="00606898"/>
    <w:rsid w:val="00606EFD"/>
    <w:rsid w:val="00607455"/>
    <w:rsid w:val="00607F5D"/>
    <w:rsid w:val="00610877"/>
    <w:rsid w:val="00611133"/>
    <w:rsid w:val="0061159B"/>
    <w:rsid w:val="00611F9B"/>
    <w:rsid w:val="006124A0"/>
    <w:rsid w:val="006126B7"/>
    <w:rsid w:val="00612895"/>
    <w:rsid w:val="0061343A"/>
    <w:rsid w:val="006140BA"/>
    <w:rsid w:val="00614931"/>
    <w:rsid w:val="00614DBE"/>
    <w:rsid w:val="00615228"/>
    <w:rsid w:val="00615673"/>
    <w:rsid w:val="006161E0"/>
    <w:rsid w:val="00617A4B"/>
    <w:rsid w:val="00617AC4"/>
    <w:rsid w:val="00617C66"/>
    <w:rsid w:val="00621729"/>
    <w:rsid w:val="00622613"/>
    <w:rsid w:val="00623083"/>
    <w:rsid w:val="0062379B"/>
    <w:rsid w:val="00623E8D"/>
    <w:rsid w:val="00625DBA"/>
    <w:rsid w:val="006267DD"/>
    <w:rsid w:val="00627015"/>
    <w:rsid w:val="00630142"/>
    <w:rsid w:val="006304F9"/>
    <w:rsid w:val="00630763"/>
    <w:rsid w:val="00630A97"/>
    <w:rsid w:val="006310DC"/>
    <w:rsid w:val="00631A8C"/>
    <w:rsid w:val="0063233E"/>
    <w:rsid w:val="00632922"/>
    <w:rsid w:val="00632AEE"/>
    <w:rsid w:val="00632C47"/>
    <w:rsid w:val="00633679"/>
    <w:rsid w:val="00633780"/>
    <w:rsid w:val="006339BE"/>
    <w:rsid w:val="006342A6"/>
    <w:rsid w:val="006350A0"/>
    <w:rsid w:val="006353EA"/>
    <w:rsid w:val="00635638"/>
    <w:rsid w:val="00636229"/>
    <w:rsid w:val="00636CD3"/>
    <w:rsid w:val="00636DC9"/>
    <w:rsid w:val="0063746D"/>
    <w:rsid w:val="00640186"/>
    <w:rsid w:val="006403FD"/>
    <w:rsid w:val="00641124"/>
    <w:rsid w:val="00641EF2"/>
    <w:rsid w:val="00641FD0"/>
    <w:rsid w:val="0064250E"/>
    <w:rsid w:val="00642851"/>
    <w:rsid w:val="00643463"/>
    <w:rsid w:val="006435E3"/>
    <w:rsid w:val="00644034"/>
    <w:rsid w:val="00644147"/>
    <w:rsid w:val="00644743"/>
    <w:rsid w:val="006454F2"/>
    <w:rsid w:val="00646366"/>
    <w:rsid w:val="00646761"/>
    <w:rsid w:val="0064676D"/>
    <w:rsid w:val="00646EC4"/>
    <w:rsid w:val="006470B2"/>
    <w:rsid w:val="00650510"/>
    <w:rsid w:val="00651778"/>
    <w:rsid w:val="00651E84"/>
    <w:rsid w:val="006525BF"/>
    <w:rsid w:val="00652AA7"/>
    <w:rsid w:val="006537CF"/>
    <w:rsid w:val="0065398B"/>
    <w:rsid w:val="00653A1F"/>
    <w:rsid w:val="00653DDF"/>
    <w:rsid w:val="0065446C"/>
    <w:rsid w:val="00654793"/>
    <w:rsid w:val="00654BF9"/>
    <w:rsid w:val="00655284"/>
    <w:rsid w:val="006552D4"/>
    <w:rsid w:val="006554F6"/>
    <w:rsid w:val="00655DA9"/>
    <w:rsid w:val="00657CB0"/>
    <w:rsid w:val="0066049C"/>
    <w:rsid w:val="0066055B"/>
    <w:rsid w:val="00660596"/>
    <w:rsid w:val="00660DB3"/>
    <w:rsid w:val="0066285B"/>
    <w:rsid w:val="006629E8"/>
    <w:rsid w:val="0066351B"/>
    <w:rsid w:val="006645F4"/>
    <w:rsid w:val="0066473B"/>
    <w:rsid w:val="0066509D"/>
    <w:rsid w:val="00665CD6"/>
    <w:rsid w:val="00666019"/>
    <w:rsid w:val="0066675F"/>
    <w:rsid w:val="0066681E"/>
    <w:rsid w:val="00667257"/>
    <w:rsid w:val="00667764"/>
    <w:rsid w:val="00667AEE"/>
    <w:rsid w:val="00670278"/>
    <w:rsid w:val="006708F2"/>
    <w:rsid w:val="00670AAF"/>
    <w:rsid w:val="00671455"/>
    <w:rsid w:val="006724BD"/>
    <w:rsid w:val="006725C1"/>
    <w:rsid w:val="0067385D"/>
    <w:rsid w:val="00673E7E"/>
    <w:rsid w:val="00673F8E"/>
    <w:rsid w:val="00673FC3"/>
    <w:rsid w:val="0067402A"/>
    <w:rsid w:val="00674210"/>
    <w:rsid w:val="00674218"/>
    <w:rsid w:val="006748C7"/>
    <w:rsid w:val="00675A51"/>
    <w:rsid w:val="00675B29"/>
    <w:rsid w:val="00676497"/>
    <w:rsid w:val="00676972"/>
    <w:rsid w:val="00680271"/>
    <w:rsid w:val="00680E18"/>
    <w:rsid w:val="00681101"/>
    <w:rsid w:val="0068120E"/>
    <w:rsid w:val="00681974"/>
    <w:rsid w:val="0068210E"/>
    <w:rsid w:val="00682A33"/>
    <w:rsid w:val="00682E1A"/>
    <w:rsid w:val="006832F4"/>
    <w:rsid w:val="0068333B"/>
    <w:rsid w:val="00683750"/>
    <w:rsid w:val="00683BB7"/>
    <w:rsid w:val="006851CB"/>
    <w:rsid w:val="0068604B"/>
    <w:rsid w:val="00686329"/>
    <w:rsid w:val="0068792D"/>
    <w:rsid w:val="00687942"/>
    <w:rsid w:val="00687C73"/>
    <w:rsid w:val="00687F36"/>
    <w:rsid w:val="00690193"/>
    <w:rsid w:val="006902E2"/>
    <w:rsid w:val="006909C4"/>
    <w:rsid w:val="0069112E"/>
    <w:rsid w:val="00691435"/>
    <w:rsid w:val="006917F7"/>
    <w:rsid w:val="006923EF"/>
    <w:rsid w:val="006928E8"/>
    <w:rsid w:val="00692E16"/>
    <w:rsid w:val="00692F89"/>
    <w:rsid w:val="00694700"/>
    <w:rsid w:val="00694818"/>
    <w:rsid w:val="00695847"/>
    <w:rsid w:val="00695C04"/>
    <w:rsid w:val="006960F3"/>
    <w:rsid w:val="006969A8"/>
    <w:rsid w:val="00696F5E"/>
    <w:rsid w:val="006974A5"/>
    <w:rsid w:val="00697CC8"/>
    <w:rsid w:val="00697FD6"/>
    <w:rsid w:val="006A001E"/>
    <w:rsid w:val="006A0771"/>
    <w:rsid w:val="006A0927"/>
    <w:rsid w:val="006A1262"/>
    <w:rsid w:val="006A1831"/>
    <w:rsid w:val="006A1CE3"/>
    <w:rsid w:val="006A258F"/>
    <w:rsid w:val="006A2AAA"/>
    <w:rsid w:val="006A3E01"/>
    <w:rsid w:val="006A468C"/>
    <w:rsid w:val="006A4A9F"/>
    <w:rsid w:val="006A4B10"/>
    <w:rsid w:val="006A4D5C"/>
    <w:rsid w:val="006A5111"/>
    <w:rsid w:val="006A6353"/>
    <w:rsid w:val="006A6BB3"/>
    <w:rsid w:val="006A71CE"/>
    <w:rsid w:val="006A771F"/>
    <w:rsid w:val="006A77FF"/>
    <w:rsid w:val="006A7CF2"/>
    <w:rsid w:val="006B05EF"/>
    <w:rsid w:val="006B0A8C"/>
    <w:rsid w:val="006B0DD0"/>
    <w:rsid w:val="006B11C4"/>
    <w:rsid w:val="006B1BB2"/>
    <w:rsid w:val="006B1D39"/>
    <w:rsid w:val="006B218A"/>
    <w:rsid w:val="006B4227"/>
    <w:rsid w:val="006B4478"/>
    <w:rsid w:val="006B469C"/>
    <w:rsid w:val="006B56D7"/>
    <w:rsid w:val="006B5938"/>
    <w:rsid w:val="006B5947"/>
    <w:rsid w:val="006B595F"/>
    <w:rsid w:val="006B5B0B"/>
    <w:rsid w:val="006B62A3"/>
    <w:rsid w:val="006B6D12"/>
    <w:rsid w:val="006B7046"/>
    <w:rsid w:val="006B78E0"/>
    <w:rsid w:val="006C032C"/>
    <w:rsid w:val="006C061A"/>
    <w:rsid w:val="006C0892"/>
    <w:rsid w:val="006C0DA8"/>
    <w:rsid w:val="006C147C"/>
    <w:rsid w:val="006C204D"/>
    <w:rsid w:val="006C241C"/>
    <w:rsid w:val="006C2421"/>
    <w:rsid w:val="006C418A"/>
    <w:rsid w:val="006C46B4"/>
    <w:rsid w:val="006C49CD"/>
    <w:rsid w:val="006C4AB0"/>
    <w:rsid w:val="006C5165"/>
    <w:rsid w:val="006C6076"/>
    <w:rsid w:val="006C7E8C"/>
    <w:rsid w:val="006D01C9"/>
    <w:rsid w:val="006D0B4E"/>
    <w:rsid w:val="006D0B73"/>
    <w:rsid w:val="006D102E"/>
    <w:rsid w:val="006D1227"/>
    <w:rsid w:val="006D3571"/>
    <w:rsid w:val="006D3AC6"/>
    <w:rsid w:val="006D4E08"/>
    <w:rsid w:val="006D539F"/>
    <w:rsid w:val="006D53BA"/>
    <w:rsid w:val="006D555F"/>
    <w:rsid w:val="006D5A83"/>
    <w:rsid w:val="006D5CFB"/>
    <w:rsid w:val="006D5EE5"/>
    <w:rsid w:val="006D6121"/>
    <w:rsid w:val="006D6301"/>
    <w:rsid w:val="006E035F"/>
    <w:rsid w:val="006E06C4"/>
    <w:rsid w:val="006E0CEB"/>
    <w:rsid w:val="006E1565"/>
    <w:rsid w:val="006E15B7"/>
    <w:rsid w:val="006E18CD"/>
    <w:rsid w:val="006E281F"/>
    <w:rsid w:val="006E2881"/>
    <w:rsid w:val="006E2CD3"/>
    <w:rsid w:val="006E2E9F"/>
    <w:rsid w:val="006E336D"/>
    <w:rsid w:val="006E342A"/>
    <w:rsid w:val="006E3D76"/>
    <w:rsid w:val="006E533F"/>
    <w:rsid w:val="006E53CB"/>
    <w:rsid w:val="006E5D32"/>
    <w:rsid w:val="006E68B3"/>
    <w:rsid w:val="006E6A20"/>
    <w:rsid w:val="006E6A22"/>
    <w:rsid w:val="006E6C10"/>
    <w:rsid w:val="006E6D3B"/>
    <w:rsid w:val="006E795B"/>
    <w:rsid w:val="006E7B82"/>
    <w:rsid w:val="006F0056"/>
    <w:rsid w:val="006F0AD4"/>
    <w:rsid w:val="006F1124"/>
    <w:rsid w:val="006F144C"/>
    <w:rsid w:val="006F2325"/>
    <w:rsid w:val="006F2BE3"/>
    <w:rsid w:val="006F315D"/>
    <w:rsid w:val="006F38C6"/>
    <w:rsid w:val="006F40AB"/>
    <w:rsid w:val="006F438D"/>
    <w:rsid w:val="006F4782"/>
    <w:rsid w:val="006F4AD6"/>
    <w:rsid w:val="006F5833"/>
    <w:rsid w:val="006F6375"/>
    <w:rsid w:val="006F648A"/>
    <w:rsid w:val="007012AE"/>
    <w:rsid w:val="00701690"/>
    <w:rsid w:val="007020B9"/>
    <w:rsid w:val="0070219C"/>
    <w:rsid w:val="00702AAA"/>
    <w:rsid w:val="00702DC6"/>
    <w:rsid w:val="007033CB"/>
    <w:rsid w:val="00703696"/>
    <w:rsid w:val="00703C8A"/>
    <w:rsid w:val="00704CCB"/>
    <w:rsid w:val="00704EA6"/>
    <w:rsid w:val="00704F97"/>
    <w:rsid w:val="00705063"/>
    <w:rsid w:val="00705B08"/>
    <w:rsid w:val="007062A8"/>
    <w:rsid w:val="007065B9"/>
    <w:rsid w:val="007078F2"/>
    <w:rsid w:val="00707BA6"/>
    <w:rsid w:val="00707BC7"/>
    <w:rsid w:val="0071021D"/>
    <w:rsid w:val="00710BF3"/>
    <w:rsid w:val="00710C18"/>
    <w:rsid w:val="00710E80"/>
    <w:rsid w:val="007118A4"/>
    <w:rsid w:val="00712FB9"/>
    <w:rsid w:val="007134ED"/>
    <w:rsid w:val="007136F2"/>
    <w:rsid w:val="00713BAB"/>
    <w:rsid w:val="00713BF0"/>
    <w:rsid w:val="00714075"/>
    <w:rsid w:val="007142E4"/>
    <w:rsid w:val="007149FB"/>
    <w:rsid w:val="007161D0"/>
    <w:rsid w:val="0071624C"/>
    <w:rsid w:val="00716963"/>
    <w:rsid w:val="007169B9"/>
    <w:rsid w:val="00716FAF"/>
    <w:rsid w:val="0071778B"/>
    <w:rsid w:val="00717EBE"/>
    <w:rsid w:val="00720406"/>
    <w:rsid w:val="0072058A"/>
    <w:rsid w:val="00720E27"/>
    <w:rsid w:val="00720E57"/>
    <w:rsid w:val="00721093"/>
    <w:rsid w:val="007210A6"/>
    <w:rsid w:val="00721E99"/>
    <w:rsid w:val="00722BF5"/>
    <w:rsid w:val="007239AA"/>
    <w:rsid w:val="00724231"/>
    <w:rsid w:val="007245A1"/>
    <w:rsid w:val="0072483E"/>
    <w:rsid w:val="00724D23"/>
    <w:rsid w:val="00724DAF"/>
    <w:rsid w:val="00725280"/>
    <w:rsid w:val="007253E1"/>
    <w:rsid w:val="00725937"/>
    <w:rsid w:val="00725B17"/>
    <w:rsid w:val="00725F1C"/>
    <w:rsid w:val="00726027"/>
    <w:rsid w:val="0072652A"/>
    <w:rsid w:val="00726943"/>
    <w:rsid w:val="00726BF6"/>
    <w:rsid w:val="007272DF"/>
    <w:rsid w:val="00730BD2"/>
    <w:rsid w:val="00730F32"/>
    <w:rsid w:val="007315F9"/>
    <w:rsid w:val="007328BD"/>
    <w:rsid w:val="00732E0F"/>
    <w:rsid w:val="00733F71"/>
    <w:rsid w:val="00734062"/>
    <w:rsid w:val="00734DA9"/>
    <w:rsid w:val="00735543"/>
    <w:rsid w:val="0073596B"/>
    <w:rsid w:val="00735E40"/>
    <w:rsid w:val="00735F96"/>
    <w:rsid w:val="0074000C"/>
    <w:rsid w:val="00740015"/>
    <w:rsid w:val="0074005C"/>
    <w:rsid w:val="0074085C"/>
    <w:rsid w:val="0074145E"/>
    <w:rsid w:val="007418F3"/>
    <w:rsid w:val="00741B85"/>
    <w:rsid w:val="00741C27"/>
    <w:rsid w:val="00741D9B"/>
    <w:rsid w:val="00742284"/>
    <w:rsid w:val="00742832"/>
    <w:rsid w:val="007431D9"/>
    <w:rsid w:val="00745879"/>
    <w:rsid w:val="007475C1"/>
    <w:rsid w:val="00747764"/>
    <w:rsid w:val="00747798"/>
    <w:rsid w:val="00747C41"/>
    <w:rsid w:val="00750F0D"/>
    <w:rsid w:val="00751AAD"/>
    <w:rsid w:val="00751DD6"/>
    <w:rsid w:val="0075253B"/>
    <w:rsid w:val="007528E3"/>
    <w:rsid w:val="0075315D"/>
    <w:rsid w:val="00753604"/>
    <w:rsid w:val="00753D5B"/>
    <w:rsid w:val="007540BD"/>
    <w:rsid w:val="007540BF"/>
    <w:rsid w:val="0075435E"/>
    <w:rsid w:val="00754425"/>
    <w:rsid w:val="00754480"/>
    <w:rsid w:val="00754650"/>
    <w:rsid w:val="00754D33"/>
    <w:rsid w:val="00755748"/>
    <w:rsid w:val="007558BE"/>
    <w:rsid w:val="00755B75"/>
    <w:rsid w:val="00755BB6"/>
    <w:rsid w:val="00755F67"/>
    <w:rsid w:val="00756C71"/>
    <w:rsid w:val="00756F06"/>
    <w:rsid w:val="00756FDE"/>
    <w:rsid w:val="00757115"/>
    <w:rsid w:val="0075724F"/>
    <w:rsid w:val="007575E7"/>
    <w:rsid w:val="00757841"/>
    <w:rsid w:val="007579F7"/>
    <w:rsid w:val="00757AC9"/>
    <w:rsid w:val="0076086B"/>
    <w:rsid w:val="0076127D"/>
    <w:rsid w:val="00761A13"/>
    <w:rsid w:val="00762811"/>
    <w:rsid w:val="00762A44"/>
    <w:rsid w:val="0076404A"/>
    <w:rsid w:val="00764889"/>
    <w:rsid w:val="00765347"/>
    <w:rsid w:val="00766184"/>
    <w:rsid w:val="00767BEE"/>
    <w:rsid w:val="00767F47"/>
    <w:rsid w:val="00770245"/>
    <w:rsid w:val="00770594"/>
    <w:rsid w:val="00770DCB"/>
    <w:rsid w:val="007713B0"/>
    <w:rsid w:val="00772505"/>
    <w:rsid w:val="00772AE1"/>
    <w:rsid w:val="0077397C"/>
    <w:rsid w:val="00773ACC"/>
    <w:rsid w:val="00773E9E"/>
    <w:rsid w:val="00775485"/>
    <w:rsid w:val="00776404"/>
    <w:rsid w:val="00776697"/>
    <w:rsid w:val="00776710"/>
    <w:rsid w:val="00776761"/>
    <w:rsid w:val="007767AC"/>
    <w:rsid w:val="00776AB7"/>
    <w:rsid w:val="007804E0"/>
    <w:rsid w:val="00780E52"/>
    <w:rsid w:val="007810EF"/>
    <w:rsid w:val="0078294F"/>
    <w:rsid w:val="0078301A"/>
    <w:rsid w:val="007832DF"/>
    <w:rsid w:val="00783EFA"/>
    <w:rsid w:val="007845C7"/>
    <w:rsid w:val="007850FB"/>
    <w:rsid w:val="00785102"/>
    <w:rsid w:val="00785A12"/>
    <w:rsid w:val="00785A91"/>
    <w:rsid w:val="00785BA9"/>
    <w:rsid w:val="00785F6F"/>
    <w:rsid w:val="007866FB"/>
    <w:rsid w:val="00786BA6"/>
    <w:rsid w:val="007870F1"/>
    <w:rsid w:val="0079123D"/>
    <w:rsid w:val="007912CC"/>
    <w:rsid w:val="007913BE"/>
    <w:rsid w:val="00791617"/>
    <w:rsid w:val="00791E4C"/>
    <w:rsid w:val="00792575"/>
    <w:rsid w:val="00792B02"/>
    <w:rsid w:val="00793837"/>
    <w:rsid w:val="007939DD"/>
    <w:rsid w:val="00793C1C"/>
    <w:rsid w:val="007941DC"/>
    <w:rsid w:val="0079544A"/>
    <w:rsid w:val="007960BC"/>
    <w:rsid w:val="00796A35"/>
    <w:rsid w:val="007972EE"/>
    <w:rsid w:val="007977AF"/>
    <w:rsid w:val="007979C0"/>
    <w:rsid w:val="00797B74"/>
    <w:rsid w:val="00797D84"/>
    <w:rsid w:val="007A008C"/>
    <w:rsid w:val="007A063F"/>
    <w:rsid w:val="007A1BAA"/>
    <w:rsid w:val="007A23CD"/>
    <w:rsid w:val="007A28D6"/>
    <w:rsid w:val="007A29D3"/>
    <w:rsid w:val="007A3291"/>
    <w:rsid w:val="007A443E"/>
    <w:rsid w:val="007A509B"/>
    <w:rsid w:val="007A5A2F"/>
    <w:rsid w:val="007A5D7A"/>
    <w:rsid w:val="007A61A7"/>
    <w:rsid w:val="007B0006"/>
    <w:rsid w:val="007B0634"/>
    <w:rsid w:val="007B1306"/>
    <w:rsid w:val="007B1615"/>
    <w:rsid w:val="007B1A6B"/>
    <w:rsid w:val="007B1CC7"/>
    <w:rsid w:val="007B1FC9"/>
    <w:rsid w:val="007B2379"/>
    <w:rsid w:val="007B291A"/>
    <w:rsid w:val="007B2BB6"/>
    <w:rsid w:val="007B2D9F"/>
    <w:rsid w:val="007B3A7D"/>
    <w:rsid w:val="007B4820"/>
    <w:rsid w:val="007B4FE9"/>
    <w:rsid w:val="007B5881"/>
    <w:rsid w:val="007B5945"/>
    <w:rsid w:val="007B681A"/>
    <w:rsid w:val="007B6E0C"/>
    <w:rsid w:val="007B6F9A"/>
    <w:rsid w:val="007B7C11"/>
    <w:rsid w:val="007B7FE2"/>
    <w:rsid w:val="007C0520"/>
    <w:rsid w:val="007C05A2"/>
    <w:rsid w:val="007C0F1C"/>
    <w:rsid w:val="007C13D3"/>
    <w:rsid w:val="007C15F4"/>
    <w:rsid w:val="007C1A14"/>
    <w:rsid w:val="007C1FB4"/>
    <w:rsid w:val="007C2B9E"/>
    <w:rsid w:val="007C34BF"/>
    <w:rsid w:val="007C356F"/>
    <w:rsid w:val="007C3756"/>
    <w:rsid w:val="007C3823"/>
    <w:rsid w:val="007C3A9C"/>
    <w:rsid w:val="007C4084"/>
    <w:rsid w:val="007C40C0"/>
    <w:rsid w:val="007C5112"/>
    <w:rsid w:val="007C520D"/>
    <w:rsid w:val="007C59E6"/>
    <w:rsid w:val="007C5B59"/>
    <w:rsid w:val="007C5CA0"/>
    <w:rsid w:val="007C6537"/>
    <w:rsid w:val="007C6888"/>
    <w:rsid w:val="007C6DBE"/>
    <w:rsid w:val="007C7447"/>
    <w:rsid w:val="007C76C0"/>
    <w:rsid w:val="007D00A7"/>
    <w:rsid w:val="007D00F8"/>
    <w:rsid w:val="007D046F"/>
    <w:rsid w:val="007D0CC9"/>
    <w:rsid w:val="007D1259"/>
    <w:rsid w:val="007D1E7C"/>
    <w:rsid w:val="007D2D70"/>
    <w:rsid w:val="007D30A5"/>
    <w:rsid w:val="007D352E"/>
    <w:rsid w:val="007D35F4"/>
    <w:rsid w:val="007D3B47"/>
    <w:rsid w:val="007D3C91"/>
    <w:rsid w:val="007D4468"/>
    <w:rsid w:val="007D488C"/>
    <w:rsid w:val="007D57B1"/>
    <w:rsid w:val="007D6282"/>
    <w:rsid w:val="007D654B"/>
    <w:rsid w:val="007D690E"/>
    <w:rsid w:val="007D7BA9"/>
    <w:rsid w:val="007D7D05"/>
    <w:rsid w:val="007E0254"/>
    <w:rsid w:val="007E07BF"/>
    <w:rsid w:val="007E1805"/>
    <w:rsid w:val="007E18D0"/>
    <w:rsid w:val="007E1BA5"/>
    <w:rsid w:val="007E24D6"/>
    <w:rsid w:val="007E31B9"/>
    <w:rsid w:val="007E39C3"/>
    <w:rsid w:val="007E3AE5"/>
    <w:rsid w:val="007E439D"/>
    <w:rsid w:val="007E5440"/>
    <w:rsid w:val="007E5B88"/>
    <w:rsid w:val="007E60AA"/>
    <w:rsid w:val="007E6731"/>
    <w:rsid w:val="007E67A4"/>
    <w:rsid w:val="007E6D50"/>
    <w:rsid w:val="007E7619"/>
    <w:rsid w:val="007E77F2"/>
    <w:rsid w:val="007E7DF3"/>
    <w:rsid w:val="007E7F75"/>
    <w:rsid w:val="007F07BD"/>
    <w:rsid w:val="007F0C52"/>
    <w:rsid w:val="007F0D0B"/>
    <w:rsid w:val="007F0F6E"/>
    <w:rsid w:val="007F0F77"/>
    <w:rsid w:val="007F1280"/>
    <w:rsid w:val="007F12FB"/>
    <w:rsid w:val="007F1515"/>
    <w:rsid w:val="007F1DBB"/>
    <w:rsid w:val="007F27A5"/>
    <w:rsid w:val="007F2B87"/>
    <w:rsid w:val="007F2CC5"/>
    <w:rsid w:val="007F2E90"/>
    <w:rsid w:val="007F31B3"/>
    <w:rsid w:val="007F3D50"/>
    <w:rsid w:val="007F4035"/>
    <w:rsid w:val="007F62B0"/>
    <w:rsid w:val="007F64AA"/>
    <w:rsid w:val="007F69FE"/>
    <w:rsid w:val="007F6BDA"/>
    <w:rsid w:val="007F732B"/>
    <w:rsid w:val="0080017E"/>
    <w:rsid w:val="00800244"/>
    <w:rsid w:val="008007A8"/>
    <w:rsid w:val="0080085E"/>
    <w:rsid w:val="00801C9B"/>
    <w:rsid w:val="008026AD"/>
    <w:rsid w:val="00802D2B"/>
    <w:rsid w:val="00802FB3"/>
    <w:rsid w:val="00803184"/>
    <w:rsid w:val="00803931"/>
    <w:rsid w:val="00803A63"/>
    <w:rsid w:val="008042D9"/>
    <w:rsid w:val="008045AC"/>
    <w:rsid w:val="008055E2"/>
    <w:rsid w:val="00805F26"/>
    <w:rsid w:val="00806D9E"/>
    <w:rsid w:val="008102AE"/>
    <w:rsid w:val="00810564"/>
    <w:rsid w:val="00810660"/>
    <w:rsid w:val="00810F1D"/>
    <w:rsid w:val="00811084"/>
    <w:rsid w:val="00812014"/>
    <w:rsid w:val="008122DF"/>
    <w:rsid w:val="00812876"/>
    <w:rsid w:val="00812A64"/>
    <w:rsid w:val="00813A03"/>
    <w:rsid w:val="00814D89"/>
    <w:rsid w:val="00814FC0"/>
    <w:rsid w:val="008150EC"/>
    <w:rsid w:val="008163A4"/>
    <w:rsid w:val="008168D5"/>
    <w:rsid w:val="00816E40"/>
    <w:rsid w:val="00817FFB"/>
    <w:rsid w:val="008219AE"/>
    <w:rsid w:val="00821D0D"/>
    <w:rsid w:val="00821D6E"/>
    <w:rsid w:val="00821DD2"/>
    <w:rsid w:val="00822590"/>
    <w:rsid w:val="00822792"/>
    <w:rsid w:val="00822848"/>
    <w:rsid w:val="0082476A"/>
    <w:rsid w:val="00824CE5"/>
    <w:rsid w:val="00824F2A"/>
    <w:rsid w:val="008274D3"/>
    <w:rsid w:val="00830D49"/>
    <w:rsid w:val="008322C5"/>
    <w:rsid w:val="00832564"/>
    <w:rsid w:val="00832D5E"/>
    <w:rsid w:val="0083329F"/>
    <w:rsid w:val="00833D76"/>
    <w:rsid w:val="00833FE3"/>
    <w:rsid w:val="008341EB"/>
    <w:rsid w:val="008348C9"/>
    <w:rsid w:val="008370DF"/>
    <w:rsid w:val="008371DB"/>
    <w:rsid w:val="00837608"/>
    <w:rsid w:val="0083762C"/>
    <w:rsid w:val="0083788A"/>
    <w:rsid w:val="00837EDE"/>
    <w:rsid w:val="00840432"/>
    <w:rsid w:val="008407A2"/>
    <w:rsid w:val="008408E3"/>
    <w:rsid w:val="00840A10"/>
    <w:rsid w:val="00840DF4"/>
    <w:rsid w:val="00840FA5"/>
    <w:rsid w:val="008410A7"/>
    <w:rsid w:val="008412DB"/>
    <w:rsid w:val="00841610"/>
    <w:rsid w:val="00841CA6"/>
    <w:rsid w:val="00841E70"/>
    <w:rsid w:val="00843019"/>
    <w:rsid w:val="0084328D"/>
    <w:rsid w:val="008432A2"/>
    <w:rsid w:val="0084403C"/>
    <w:rsid w:val="00844494"/>
    <w:rsid w:val="0084473C"/>
    <w:rsid w:val="00844B80"/>
    <w:rsid w:val="0084605A"/>
    <w:rsid w:val="00846CA4"/>
    <w:rsid w:val="00847BF8"/>
    <w:rsid w:val="00847F54"/>
    <w:rsid w:val="00850040"/>
    <w:rsid w:val="0085022D"/>
    <w:rsid w:val="0085074B"/>
    <w:rsid w:val="008514BB"/>
    <w:rsid w:val="00851861"/>
    <w:rsid w:val="00851F9F"/>
    <w:rsid w:val="008526A0"/>
    <w:rsid w:val="00852DB3"/>
    <w:rsid w:val="008533CF"/>
    <w:rsid w:val="00855C44"/>
    <w:rsid w:val="00855E62"/>
    <w:rsid w:val="00855F72"/>
    <w:rsid w:val="00856111"/>
    <w:rsid w:val="008564CC"/>
    <w:rsid w:val="00856A48"/>
    <w:rsid w:val="0086023A"/>
    <w:rsid w:val="008603D3"/>
    <w:rsid w:val="008609A7"/>
    <w:rsid w:val="00860B9C"/>
    <w:rsid w:val="008613AE"/>
    <w:rsid w:val="00862266"/>
    <w:rsid w:val="00862BB3"/>
    <w:rsid w:val="008631C7"/>
    <w:rsid w:val="008634C9"/>
    <w:rsid w:val="00863683"/>
    <w:rsid w:val="00863A82"/>
    <w:rsid w:val="00864753"/>
    <w:rsid w:val="00864C44"/>
    <w:rsid w:val="00864EA4"/>
    <w:rsid w:val="00864F9A"/>
    <w:rsid w:val="00866820"/>
    <w:rsid w:val="008670F3"/>
    <w:rsid w:val="008675D6"/>
    <w:rsid w:val="00867754"/>
    <w:rsid w:val="00870613"/>
    <w:rsid w:val="00870FF7"/>
    <w:rsid w:val="00871F05"/>
    <w:rsid w:val="008724DE"/>
    <w:rsid w:val="00872B3A"/>
    <w:rsid w:val="008736F5"/>
    <w:rsid w:val="00873848"/>
    <w:rsid w:val="00874001"/>
    <w:rsid w:val="00875416"/>
    <w:rsid w:val="0087575B"/>
    <w:rsid w:val="00875A25"/>
    <w:rsid w:val="00876182"/>
    <w:rsid w:val="00876D9D"/>
    <w:rsid w:val="00877364"/>
    <w:rsid w:val="00880386"/>
    <w:rsid w:val="008803BC"/>
    <w:rsid w:val="00880A3B"/>
    <w:rsid w:val="008810F5"/>
    <w:rsid w:val="00881344"/>
    <w:rsid w:val="00881DD5"/>
    <w:rsid w:val="00881FC1"/>
    <w:rsid w:val="00881FF7"/>
    <w:rsid w:val="00883176"/>
    <w:rsid w:val="0088365F"/>
    <w:rsid w:val="00884239"/>
    <w:rsid w:val="00884349"/>
    <w:rsid w:val="00884A4B"/>
    <w:rsid w:val="00884F7C"/>
    <w:rsid w:val="0088580B"/>
    <w:rsid w:val="00886877"/>
    <w:rsid w:val="00886C94"/>
    <w:rsid w:val="00886E3A"/>
    <w:rsid w:val="00886E70"/>
    <w:rsid w:val="00887A93"/>
    <w:rsid w:val="00887C3E"/>
    <w:rsid w:val="008901EA"/>
    <w:rsid w:val="00891A47"/>
    <w:rsid w:val="00891C08"/>
    <w:rsid w:val="008923CA"/>
    <w:rsid w:val="00892445"/>
    <w:rsid w:val="008935AE"/>
    <w:rsid w:val="00893C7B"/>
    <w:rsid w:val="00893D0B"/>
    <w:rsid w:val="00893F86"/>
    <w:rsid w:val="00893F8E"/>
    <w:rsid w:val="00894109"/>
    <w:rsid w:val="00894313"/>
    <w:rsid w:val="008950C4"/>
    <w:rsid w:val="00895BB3"/>
    <w:rsid w:val="008965CA"/>
    <w:rsid w:val="008967C6"/>
    <w:rsid w:val="00897973"/>
    <w:rsid w:val="008A075D"/>
    <w:rsid w:val="008A08C5"/>
    <w:rsid w:val="008A123B"/>
    <w:rsid w:val="008A1787"/>
    <w:rsid w:val="008A1B86"/>
    <w:rsid w:val="008A27F1"/>
    <w:rsid w:val="008A30C0"/>
    <w:rsid w:val="008A34C9"/>
    <w:rsid w:val="008A3A23"/>
    <w:rsid w:val="008A3D57"/>
    <w:rsid w:val="008A4486"/>
    <w:rsid w:val="008A4BE9"/>
    <w:rsid w:val="008A4C0E"/>
    <w:rsid w:val="008A5A6A"/>
    <w:rsid w:val="008A5DBC"/>
    <w:rsid w:val="008A6774"/>
    <w:rsid w:val="008A7A79"/>
    <w:rsid w:val="008B13AA"/>
    <w:rsid w:val="008B1AED"/>
    <w:rsid w:val="008B23BC"/>
    <w:rsid w:val="008B2E22"/>
    <w:rsid w:val="008B31F8"/>
    <w:rsid w:val="008B386B"/>
    <w:rsid w:val="008B41B4"/>
    <w:rsid w:val="008B422C"/>
    <w:rsid w:val="008B4FDC"/>
    <w:rsid w:val="008B58C8"/>
    <w:rsid w:val="008B6691"/>
    <w:rsid w:val="008B74E0"/>
    <w:rsid w:val="008B76E0"/>
    <w:rsid w:val="008B78EB"/>
    <w:rsid w:val="008C1C62"/>
    <w:rsid w:val="008C3687"/>
    <w:rsid w:val="008C5263"/>
    <w:rsid w:val="008C640A"/>
    <w:rsid w:val="008C6662"/>
    <w:rsid w:val="008C7F6F"/>
    <w:rsid w:val="008D031F"/>
    <w:rsid w:val="008D04A4"/>
    <w:rsid w:val="008D09FE"/>
    <w:rsid w:val="008D1994"/>
    <w:rsid w:val="008D3054"/>
    <w:rsid w:val="008D3619"/>
    <w:rsid w:val="008D3CA6"/>
    <w:rsid w:val="008D4795"/>
    <w:rsid w:val="008D48A8"/>
    <w:rsid w:val="008D48C5"/>
    <w:rsid w:val="008D5912"/>
    <w:rsid w:val="008D5945"/>
    <w:rsid w:val="008D5ACC"/>
    <w:rsid w:val="008D6A2B"/>
    <w:rsid w:val="008D6CF4"/>
    <w:rsid w:val="008D727F"/>
    <w:rsid w:val="008D7383"/>
    <w:rsid w:val="008D77F1"/>
    <w:rsid w:val="008D79A2"/>
    <w:rsid w:val="008E0F58"/>
    <w:rsid w:val="008E12A7"/>
    <w:rsid w:val="008E17D5"/>
    <w:rsid w:val="008E187A"/>
    <w:rsid w:val="008E1C72"/>
    <w:rsid w:val="008E2E77"/>
    <w:rsid w:val="008E339E"/>
    <w:rsid w:val="008E3A5F"/>
    <w:rsid w:val="008E3D60"/>
    <w:rsid w:val="008E3F4C"/>
    <w:rsid w:val="008E4254"/>
    <w:rsid w:val="008E4465"/>
    <w:rsid w:val="008E471F"/>
    <w:rsid w:val="008E4C08"/>
    <w:rsid w:val="008E5E1C"/>
    <w:rsid w:val="008E630B"/>
    <w:rsid w:val="008E633B"/>
    <w:rsid w:val="008E6716"/>
    <w:rsid w:val="008E6D23"/>
    <w:rsid w:val="008E73B0"/>
    <w:rsid w:val="008E741E"/>
    <w:rsid w:val="008E7B61"/>
    <w:rsid w:val="008F019C"/>
    <w:rsid w:val="008F069F"/>
    <w:rsid w:val="008F085E"/>
    <w:rsid w:val="008F09EA"/>
    <w:rsid w:val="008F0EF9"/>
    <w:rsid w:val="008F155D"/>
    <w:rsid w:val="008F1DC6"/>
    <w:rsid w:val="008F2864"/>
    <w:rsid w:val="008F4456"/>
    <w:rsid w:val="008F4E23"/>
    <w:rsid w:val="008F4EF1"/>
    <w:rsid w:val="008F5055"/>
    <w:rsid w:val="008F5B29"/>
    <w:rsid w:val="008F75F4"/>
    <w:rsid w:val="008F763A"/>
    <w:rsid w:val="0090003A"/>
    <w:rsid w:val="009001AF"/>
    <w:rsid w:val="009008D6"/>
    <w:rsid w:val="0090165F"/>
    <w:rsid w:val="00901B82"/>
    <w:rsid w:val="00902921"/>
    <w:rsid w:val="00902A16"/>
    <w:rsid w:val="00902E51"/>
    <w:rsid w:val="00903090"/>
    <w:rsid w:val="0090328F"/>
    <w:rsid w:val="00903D1D"/>
    <w:rsid w:val="00904928"/>
    <w:rsid w:val="00904C71"/>
    <w:rsid w:val="00904E55"/>
    <w:rsid w:val="00904F01"/>
    <w:rsid w:val="009051E3"/>
    <w:rsid w:val="00905485"/>
    <w:rsid w:val="009055FC"/>
    <w:rsid w:val="00906657"/>
    <w:rsid w:val="00906D39"/>
    <w:rsid w:val="00907163"/>
    <w:rsid w:val="0090762A"/>
    <w:rsid w:val="00907DF6"/>
    <w:rsid w:val="009110A7"/>
    <w:rsid w:val="00911184"/>
    <w:rsid w:val="0091181B"/>
    <w:rsid w:val="0091189A"/>
    <w:rsid w:val="00911CA7"/>
    <w:rsid w:val="0091272D"/>
    <w:rsid w:val="009127D8"/>
    <w:rsid w:val="009127DD"/>
    <w:rsid w:val="00912B09"/>
    <w:rsid w:val="00913464"/>
    <w:rsid w:val="00913E62"/>
    <w:rsid w:val="009141C2"/>
    <w:rsid w:val="009141DF"/>
    <w:rsid w:val="00915053"/>
    <w:rsid w:val="009169E1"/>
    <w:rsid w:val="00917318"/>
    <w:rsid w:val="00917501"/>
    <w:rsid w:val="009204BB"/>
    <w:rsid w:val="00921E71"/>
    <w:rsid w:val="0092273C"/>
    <w:rsid w:val="00922893"/>
    <w:rsid w:val="00922E41"/>
    <w:rsid w:val="00922F68"/>
    <w:rsid w:val="009231B9"/>
    <w:rsid w:val="009236B4"/>
    <w:rsid w:val="009236D3"/>
    <w:rsid w:val="009238B6"/>
    <w:rsid w:val="00923D25"/>
    <w:rsid w:val="009244C0"/>
    <w:rsid w:val="00924CDD"/>
    <w:rsid w:val="00924E59"/>
    <w:rsid w:val="009256D4"/>
    <w:rsid w:val="009257DD"/>
    <w:rsid w:val="0092595A"/>
    <w:rsid w:val="009262EE"/>
    <w:rsid w:val="00926485"/>
    <w:rsid w:val="00926FB8"/>
    <w:rsid w:val="009303CF"/>
    <w:rsid w:val="009304D2"/>
    <w:rsid w:val="00930D82"/>
    <w:rsid w:val="00930FFF"/>
    <w:rsid w:val="00931091"/>
    <w:rsid w:val="00931BB5"/>
    <w:rsid w:val="00931CEC"/>
    <w:rsid w:val="00932329"/>
    <w:rsid w:val="00932676"/>
    <w:rsid w:val="00932784"/>
    <w:rsid w:val="00932FE7"/>
    <w:rsid w:val="00933F7C"/>
    <w:rsid w:val="0093449C"/>
    <w:rsid w:val="009348AA"/>
    <w:rsid w:val="00934A79"/>
    <w:rsid w:val="00934AD7"/>
    <w:rsid w:val="009356C4"/>
    <w:rsid w:val="00935809"/>
    <w:rsid w:val="009364A8"/>
    <w:rsid w:val="00936F53"/>
    <w:rsid w:val="00937523"/>
    <w:rsid w:val="0093780F"/>
    <w:rsid w:val="00937B43"/>
    <w:rsid w:val="00940551"/>
    <w:rsid w:val="00940881"/>
    <w:rsid w:val="00940D66"/>
    <w:rsid w:val="00940F06"/>
    <w:rsid w:val="0094174F"/>
    <w:rsid w:val="00941D3C"/>
    <w:rsid w:val="00943781"/>
    <w:rsid w:val="00943955"/>
    <w:rsid w:val="00944216"/>
    <w:rsid w:val="00944297"/>
    <w:rsid w:val="0094472B"/>
    <w:rsid w:val="00944C96"/>
    <w:rsid w:val="00945CDD"/>
    <w:rsid w:val="0094632B"/>
    <w:rsid w:val="00946454"/>
    <w:rsid w:val="009466C2"/>
    <w:rsid w:val="00946EAD"/>
    <w:rsid w:val="0094764E"/>
    <w:rsid w:val="0094769F"/>
    <w:rsid w:val="0094776F"/>
    <w:rsid w:val="00947787"/>
    <w:rsid w:val="009477CD"/>
    <w:rsid w:val="00947AEA"/>
    <w:rsid w:val="00950688"/>
    <w:rsid w:val="00950E6C"/>
    <w:rsid w:val="00951139"/>
    <w:rsid w:val="00951320"/>
    <w:rsid w:val="009515AC"/>
    <w:rsid w:val="009517FE"/>
    <w:rsid w:val="009518DD"/>
    <w:rsid w:val="009525C6"/>
    <w:rsid w:val="00952D2E"/>
    <w:rsid w:val="00953488"/>
    <w:rsid w:val="00953972"/>
    <w:rsid w:val="00953B81"/>
    <w:rsid w:val="00953E3C"/>
    <w:rsid w:val="009549EE"/>
    <w:rsid w:val="009558F5"/>
    <w:rsid w:val="00956452"/>
    <w:rsid w:val="00956D6E"/>
    <w:rsid w:val="00956F44"/>
    <w:rsid w:val="009571DF"/>
    <w:rsid w:val="009573FB"/>
    <w:rsid w:val="009576BE"/>
    <w:rsid w:val="00957753"/>
    <w:rsid w:val="00957800"/>
    <w:rsid w:val="00957907"/>
    <w:rsid w:val="00957A12"/>
    <w:rsid w:val="00957CE9"/>
    <w:rsid w:val="00957D41"/>
    <w:rsid w:val="0096011C"/>
    <w:rsid w:val="00961182"/>
    <w:rsid w:val="00961611"/>
    <w:rsid w:val="009623D0"/>
    <w:rsid w:val="00963277"/>
    <w:rsid w:val="009639D4"/>
    <w:rsid w:val="0096427D"/>
    <w:rsid w:val="00964CB0"/>
    <w:rsid w:val="00964F0A"/>
    <w:rsid w:val="009655F8"/>
    <w:rsid w:val="00965D5A"/>
    <w:rsid w:val="00965DEC"/>
    <w:rsid w:val="009668AC"/>
    <w:rsid w:val="00966C2F"/>
    <w:rsid w:val="009678D1"/>
    <w:rsid w:val="00967954"/>
    <w:rsid w:val="009679D5"/>
    <w:rsid w:val="00967C78"/>
    <w:rsid w:val="009704A8"/>
    <w:rsid w:val="00970DCB"/>
    <w:rsid w:val="00970F49"/>
    <w:rsid w:val="0097160A"/>
    <w:rsid w:val="00971C89"/>
    <w:rsid w:val="00972D6A"/>
    <w:rsid w:val="00973796"/>
    <w:rsid w:val="0097384D"/>
    <w:rsid w:val="009738CD"/>
    <w:rsid w:val="00973A4C"/>
    <w:rsid w:val="00973BFA"/>
    <w:rsid w:val="009743F9"/>
    <w:rsid w:val="00974E3D"/>
    <w:rsid w:val="0097512B"/>
    <w:rsid w:val="0097595B"/>
    <w:rsid w:val="00975FA5"/>
    <w:rsid w:val="00976B01"/>
    <w:rsid w:val="00977137"/>
    <w:rsid w:val="00977368"/>
    <w:rsid w:val="00980E0E"/>
    <w:rsid w:val="009810BF"/>
    <w:rsid w:val="0098154F"/>
    <w:rsid w:val="009817D9"/>
    <w:rsid w:val="00981923"/>
    <w:rsid w:val="00982354"/>
    <w:rsid w:val="0098300F"/>
    <w:rsid w:val="0098329F"/>
    <w:rsid w:val="009833F0"/>
    <w:rsid w:val="00983738"/>
    <w:rsid w:val="00983767"/>
    <w:rsid w:val="00983C46"/>
    <w:rsid w:val="00984DD2"/>
    <w:rsid w:val="00985A99"/>
    <w:rsid w:val="00985E70"/>
    <w:rsid w:val="0098687E"/>
    <w:rsid w:val="009907CC"/>
    <w:rsid w:val="0099093D"/>
    <w:rsid w:val="00990B93"/>
    <w:rsid w:val="00990BBE"/>
    <w:rsid w:val="00990D50"/>
    <w:rsid w:val="00991929"/>
    <w:rsid w:val="00991956"/>
    <w:rsid w:val="00991AF5"/>
    <w:rsid w:val="00991CE8"/>
    <w:rsid w:val="0099229D"/>
    <w:rsid w:val="00992780"/>
    <w:rsid w:val="0099445C"/>
    <w:rsid w:val="00994460"/>
    <w:rsid w:val="00994E8D"/>
    <w:rsid w:val="00995BDE"/>
    <w:rsid w:val="00995E99"/>
    <w:rsid w:val="00996402"/>
    <w:rsid w:val="009977C9"/>
    <w:rsid w:val="009A0040"/>
    <w:rsid w:val="009A02C2"/>
    <w:rsid w:val="009A03AA"/>
    <w:rsid w:val="009A06B7"/>
    <w:rsid w:val="009A0DFF"/>
    <w:rsid w:val="009A1543"/>
    <w:rsid w:val="009A4659"/>
    <w:rsid w:val="009A49F8"/>
    <w:rsid w:val="009A4FF7"/>
    <w:rsid w:val="009A50C3"/>
    <w:rsid w:val="009A530B"/>
    <w:rsid w:val="009A741E"/>
    <w:rsid w:val="009A7E39"/>
    <w:rsid w:val="009A7EB7"/>
    <w:rsid w:val="009A7F41"/>
    <w:rsid w:val="009B0487"/>
    <w:rsid w:val="009B138A"/>
    <w:rsid w:val="009B1B17"/>
    <w:rsid w:val="009B23C0"/>
    <w:rsid w:val="009B23F3"/>
    <w:rsid w:val="009B2917"/>
    <w:rsid w:val="009B3FA5"/>
    <w:rsid w:val="009B455B"/>
    <w:rsid w:val="009B4671"/>
    <w:rsid w:val="009B48CE"/>
    <w:rsid w:val="009B4AC2"/>
    <w:rsid w:val="009B5464"/>
    <w:rsid w:val="009B5B6D"/>
    <w:rsid w:val="009B6207"/>
    <w:rsid w:val="009B7921"/>
    <w:rsid w:val="009C0498"/>
    <w:rsid w:val="009C13A0"/>
    <w:rsid w:val="009C197F"/>
    <w:rsid w:val="009C1C75"/>
    <w:rsid w:val="009C264E"/>
    <w:rsid w:val="009C26CE"/>
    <w:rsid w:val="009C2974"/>
    <w:rsid w:val="009C3F3E"/>
    <w:rsid w:val="009C4820"/>
    <w:rsid w:val="009C4EF4"/>
    <w:rsid w:val="009C4F2E"/>
    <w:rsid w:val="009C5208"/>
    <w:rsid w:val="009C5412"/>
    <w:rsid w:val="009C5E25"/>
    <w:rsid w:val="009C7EDF"/>
    <w:rsid w:val="009D02EC"/>
    <w:rsid w:val="009D056F"/>
    <w:rsid w:val="009D0E63"/>
    <w:rsid w:val="009D1655"/>
    <w:rsid w:val="009D1B1F"/>
    <w:rsid w:val="009D24A9"/>
    <w:rsid w:val="009D2C42"/>
    <w:rsid w:val="009D2C46"/>
    <w:rsid w:val="009D36DF"/>
    <w:rsid w:val="009D3704"/>
    <w:rsid w:val="009D3734"/>
    <w:rsid w:val="009D40AB"/>
    <w:rsid w:val="009D47C7"/>
    <w:rsid w:val="009D4E74"/>
    <w:rsid w:val="009D553F"/>
    <w:rsid w:val="009D564B"/>
    <w:rsid w:val="009D5BC1"/>
    <w:rsid w:val="009D5DD4"/>
    <w:rsid w:val="009D67F6"/>
    <w:rsid w:val="009D6A81"/>
    <w:rsid w:val="009D6FB0"/>
    <w:rsid w:val="009D76C9"/>
    <w:rsid w:val="009D7A3B"/>
    <w:rsid w:val="009E0194"/>
    <w:rsid w:val="009E034D"/>
    <w:rsid w:val="009E03BF"/>
    <w:rsid w:val="009E0CA9"/>
    <w:rsid w:val="009E0EE8"/>
    <w:rsid w:val="009E0FE1"/>
    <w:rsid w:val="009E18E4"/>
    <w:rsid w:val="009E2398"/>
    <w:rsid w:val="009E2CC7"/>
    <w:rsid w:val="009E30D6"/>
    <w:rsid w:val="009E389C"/>
    <w:rsid w:val="009E42E3"/>
    <w:rsid w:val="009E4BB1"/>
    <w:rsid w:val="009E4DEF"/>
    <w:rsid w:val="009E630A"/>
    <w:rsid w:val="009E7674"/>
    <w:rsid w:val="009E77A9"/>
    <w:rsid w:val="009E77F6"/>
    <w:rsid w:val="009E7A1D"/>
    <w:rsid w:val="009F0BEC"/>
    <w:rsid w:val="009F0E67"/>
    <w:rsid w:val="009F11A1"/>
    <w:rsid w:val="009F1AB9"/>
    <w:rsid w:val="009F2114"/>
    <w:rsid w:val="009F2764"/>
    <w:rsid w:val="009F27DF"/>
    <w:rsid w:val="009F30BD"/>
    <w:rsid w:val="009F3618"/>
    <w:rsid w:val="009F3A33"/>
    <w:rsid w:val="009F4004"/>
    <w:rsid w:val="009F500E"/>
    <w:rsid w:val="009F534D"/>
    <w:rsid w:val="009F5E85"/>
    <w:rsid w:val="009F600E"/>
    <w:rsid w:val="009F6553"/>
    <w:rsid w:val="009F6D67"/>
    <w:rsid w:val="009F704A"/>
    <w:rsid w:val="009F7863"/>
    <w:rsid w:val="009F79BC"/>
    <w:rsid w:val="00A00378"/>
    <w:rsid w:val="00A0146F"/>
    <w:rsid w:val="00A016B4"/>
    <w:rsid w:val="00A0196D"/>
    <w:rsid w:val="00A020FA"/>
    <w:rsid w:val="00A0237C"/>
    <w:rsid w:val="00A02DF3"/>
    <w:rsid w:val="00A03233"/>
    <w:rsid w:val="00A038BC"/>
    <w:rsid w:val="00A0406E"/>
    <w:rsid w:val="00A062CC"/>
    <w:rsid w:val="00A062DA"/>
    <w:rsid w:val="00A0688F"/>
    <w:rsid w:val="00A06DB2"/>
    <w:rsid w:val="00A10D0D"/>
    <w:rsid w:val="00A10ED6"/>
    <w:rsid w:val="00A11307"/>
    <w:rsid w:val="00A11F24"/>
    <w:rsid w:val="00A12038"/>
    <w:rsid w:val="00A1264E"/>
    <w:rsid w:val="00A13AF3"/>
    <w:rsid w:val="00A13DA4"/>
    <w:rsid w:val="00A13FC2"/>
    <w:rsid w:val="00A1420C"/>
    <w:rsid w:val="00A153DE"/>
    <w:rsid w:val="00A15461"/>
    <w:rsid w:val="00A16AF8"/>
    <w:rsid w:val="00A16C71"/>
    <w:rsid w:val="00A20145"/>
    <w:rsid w:val="00A20466"/>
    <w:rsid w:val="00A20613"/>
    <w:rsid w:val="00A207E4"/>
    <w:rsid w:val="00A21388"/>
    <w:rsid w:val="00A21529"/>
    <w:rsid w:val="00A21A4C"/>
    <w:rsid w:val="00A21E41"/>
    <w:rsid w:val="00A2237D"/>
    <w:rsid w:val="00A230E0"/>
    <w:rsid w:val="00A2315B"/>
    <w:rsid w:val="00A2345D"/>
    <w:rsid w:val="00A237C5"/>
    <w:rsid w:val="00A2383C"/>
    <w:rsid w:val="00A239C2"/>
    <w:rsid w:val="00A23E31"/>
    <w:rsid w:val="00A245D9"/>
    <w:rsid w:val="00A24B07"/>
    <w:rsid w:val="00A254B5"/>
    <w:rsid w:val="00A261D4"/>
    <w:rsid w:val="00A262B2"/>
    <w:rsid w:val="00A2678F"/>
    <w:rsid w:val="00A2686C"/>
    <w:rsid w:val="00A27134"/>
    <w:rsid w:val="00A2736C"/>
    <w:rsid w:val="00A275F5"/>
    <w:rsid w:val="00A27791"/>
    <w:rsid w:val="00A27C22"/>
    <w:rsid w:val="00A3010A"/>
    <w:rsid w:val="00A305C4"/>
    <w:rsid w:val="00A30EC9"/>
    <w:rsid w:val="00A3102F"/>
    <w:rsid w:val="00A310FA"/>
    <w:rsid w:val="00A3157A"/>
    <w:rsid w:val="00A31F8C"/>
    <w:rsid w:val="00A32DCB"/>
    <w:rsid w:val="00A33FAC"/>
    <w:rsid w:val="00A34BB8"/>
    <w:rsid w:val="00A34D1F"/>
    <w:rsid w:val="00A35123"/>
    <w:rsid w:val="00A3515E"/>
    <w:rsid w:val="00A356AE"/>
    <w:rsid w:val="00A37385"/>
    <w:rsid w:val="00A379EC"/>
    <w:rsid w:val="00A37AF1"/>
    <w:rsid w:val="00A37B2B"/>
    <w:rsid w:val="00A40130"/>
    <w:rsid w:val="00A40A33"/>
    <w:rsid w:val="00A41355"/>
    <w:rsid w:val="00A41387"/>
    <w:rsid w:val="00A41757"/>
    <w:rsid w:val="00A41867"/>
    <w:rsid w:val="00A424AB"/>
    <w:rsid w:val="00A42933"/>
    <w:rsid w:val="00A42F37"/>
    <w:rsid w:val="00A43761"/>
    <w:rsid w:val="00A43805"/>
    <w:rsid w:val="00A43B92"/>
    <w:rsid w:val="00A43E15"/>
    <w:rsid w:val="00A44092"/>
    <w:rsid w:val="00A4417B"/>
    <w:rsid w:val="00A4488B"/>
    <w:rsid w:val="00A44B85"/>
    <w:rsid w:val="00A450BD"/>
    <w:rsid w:val="00A450C8"/>
    <w:rsid w:val="00A45FC9"/>
    <w:rsid w:val="00A46915"/>
    <w:rsid w:val="00A47200"/>
    <w:rsid w:val="00A478FD"/>
    <w:rsid w:val="00A47955"/>
    <w:rsid w:val="00A47AF4"/>
    <w:rsid w:val="00A51836"/>
    <w:rsid w:val="00A51D2D"/>
    <w:rsid w:val="00A528B8"/>
    <w:rsid w:val="00A530C9"/>
    <w:rsid w:val="00A53BF8"/>
    <w:rsid w:val="00A54251"/>
    <w:rsid w:val="00A54659"/>
    <w:rsid w:val="00A547D8"/>
    <w:rsid w:val="00A54CBD"/>
    <w:rsid w:val="00A54FA5"/>
    <w:rsid w:val="00A55721"/>
    <w:rsid w:val="00A55F16"/>
    <w:rsid w:val="00A56984"/>
    <w:rsid w:val="00A56EF7"/>
    <w:rsid w:val="00A57223"/>
    <w:rsid w:val="00A6122D"/>
    <w:rsid w:val="00A614F0"/>
    <w:rsid w:val="00A6179E"/>
    <w:rsid w:val="00A61D7E"/>
    <w:rsid w:val="00A62936"/>
    <w:rsid w:val="00A629B5"/>
    <w:rsid w:val="00A62A30"/>
    <w:rsid w:val="00A62BA9"/>
    <w:rsid w:val="00A63431"/>
    <w:rsid w:val="00A63475"/>
    <w:rsid w:val="00A63B08"/>
    <w:rsid w:val="00A64316"/>
    <w:rsid w:val="00A64757"/>
    <w:rsid w:val="00A659CC"/>
    <w:rsid w:val="00A66268"/>
    <w:rsid w:val="00A66390"/>
    <w:rsid w:val="00A66895"/>
    <w:rsid w:val="00A66C0A"/>
    <w:rsid w:val="00A671C0"/>
    <w:rsid w:val="00A7086F"/>
    <w:rsid w:val="00A70CE9"/>
    <w:rsid w:val="00A70D68"/>
    <w:rsid w:val="00A70E4B"/>
    <w:rsid w:val="00A710DD"/>
    <w:rsid w:val="00A71380"/>
    <w:rsid w:val="00A71A24"/>
    <w:rsid w:val="00A7207A"/>
    <w:rsid w:val="00A72B90"/>
    <w:rsid w:val="00A72BED"/>
    <w:rsid w:val="00A73172"/>
    <w:rsid w:val="00A75113"/>
    <w:rsid w:val="00A7552F"/>
    <w:rsid w:val="00A76444"/>
    <w:rsid w:val="00A77260"/>
    <w:rsid w:val="00A77F94"/>
    <w:rsid w:val="00A800A1"/>
    <w:rsid w:val="00A804D9"/>
    <w:rsid w:val="00A8175A"/>
    <w:rsid w:val="00A81E09"/>
    <w:rsid w:val="00A8277C"/>
    <w:rsid w:val="00A82949"/>
    <w:rsid w:val="00A82C52"/>
    <w:rsid w:val="00A82EE2"/>
    <w:rsid w:val="00A83E0D"/>
    <w:rsid w:val="00A8451D"/>
    <w:rsid w:val="00A84622"/>
    <w:rsid w:val="00A8507E"/>
    <w:rsid w:val="00A85180"/>
    <w:rsid w:val="00A860FE"/>
    <w:rsid w:val="00A865BC"/>
    <w:rsid w:val="00A8751F"/>
    <w:rsid w:val="00A876BD"/>
    <w:rsid w:val="00A908B8"/>
    <w:rsid w:val="00A9096F"/>
    <w:rsid w:val="00A90DDC"/>
    <w:rsid w:val="00A90F2A"/>
    <w:rsid w:val="00A913CA"/>
    <w:rsid w:val="00A9160D"/>
    <w:rsid w:val="00A91F7C"/>
    <w:rsid w:val="00A92809"/>
    <w:rsid w:val="00A92915"/>
    <w:rsid w:val="00A9297B"/>
    <w:rsid w:val="00A92B88"/>
    <w:rsid w:val="00A92F92"/>
    <w:rsid w:val="00A946CE"/>
    <w:rsid w:val="00A94BC1"/>
    <w:rsid w:val="00A96538"/>
    <w:rsid w:val="00A96608"/>
    <w:rsid w:val="00A96892"/>
    <w:rsid w:val="00A96E3D"/>
    <w:rsid w:val="00A97424"/>
    <w:rsid w:val="00A9777C"/>
    <w:rsid w:val="00A97EE5"/>
    <w:rsid w:val="00AA0197"/>
    <w:rsid w:val="00AA0492"/>
    <w:rsid w:val="00AA17BE"/>
    <w:rsid w:val="00AA1E2E"/>
    <w:rsid w:val="00AA2051"/>
    <w:rsid w:val="00AA3082"/>
    <w:rsid w:val="00AA3BEC"/>
    <w:rsid w:val="00AA42FA"/>
    <w:rsid w:val="00AA4521"/>
    <w:rsid w:val="00AA4825"/>
    <w:rsid w:val="00AA48A3"/>
    <w:rsid w:val="00AA497D"/>
    <w:rsid w:val="00AA4AB3"/>
    <w:rsid w:val="00AA6167"/>
    <w:rsid w:val="00AA63D8"/>
    <w:rsid w:val="00AA6712"/>
    <w:rsid w:val="00AA7305"/>
    <w:rsid w:val="00AA73C9"/>
    <w:rsid w:val="00AA74C5"/>
    <w:rsid w:val="00AA7C34"/>
    <w:rsid w:val="00AB03EE"/>
    <w:rsid w:val="00AB0719"/>
    <w:rsid w:val="00AB0AC8"/>
    <w:rsid w:val="00AB0B21"/>
    <w:rsid w:val="00AB24DF"/>
    <w:rsid w:val="00AB2FC6"/>
    <w:rsid w:val="00AB346C"/>
    <w:rsid w:val="00AB3617"/>
    <w:rsid w:val="00AB3D1E"/>
    <w:rsid w:val="00AB3E1A"/>
    <w:rsid w:val="00AB40F6"/>
    <w:rsid w:val="00AB4943"/>
    <w:rsid w:val="00AB501A"/>
    <w:rsid w:val="00AB565D"/>
    <w:rsid w:val="00AB689D"/>
    <w:rsid w:val="00AB70FC"/>
    <w:rsid w:val="00AB722F"/>
    <w:rsid w:val="00AB791A"/>
    <w:rsid w:val="00AB7EAB"/>
    <w:rsid w:val="00AC161F"/>
    <w:rsid w:val="00AC33F8"/>
    <w:rsid w:val="00AC5420"/>
    <w:rsid w:val="00AC54A5"/>
    <w:rsid w:val="00AC6B0A"/>
    <w:rsid w:val="00AC70CB"/>
    <w:rsid w:val="00AC74F9"/>
    <w:rsid w:val="00AC77BF"/>
    <w:rsid w:val="00AD0879"/>
    <w:rsid w:val="00AD0FD8"/>
    <w:rsid w:val="00AD2A90"/>
    <w:rsid w:val="00AD3129"/>
    <w:rsid w:val="00AD328F"/>
    <w:rsid w:val="00AD4281"/>
    <w:rsid w:val="00AD4B9A"/>
    <w:rsid w:val="00AD50CA"/>
    <w:rsid w:val="00AD5FD1"/>
    <w:rsid w:val="00AD612E"/>
    <w:rsid w:val="00AD65ED"/>
    <w:rsid w:val="00AD70E6"/>
    <w:rsid w:val="00AD7388"/>
    <w:rsid w:val="00AD750D"/>
    <w:rsid w:val="00AD759F"/>
    <w:rsid w:val="00AD7FDA"/>
    <w:rsid w:val="00AE02A9"/>
    <w:rsid w:val="00AE049C"/>
    <w:rsid w:val="00AE21C4"/>
    <w:rsid w:val="00AE22ED"/>
    <w:rsid w:val="00AE2790"/>
    <w:rsid w:val="00AE28A4"/>
    <w:rsid w:val="00AE2BD6"/>
    <w:rsid w:val="00AE4A44"/>
    <w:rsid w:val="00AE4CAC"/>
    <w:rsid w:val="00AE526F"/>
    <w:rsid w:val="00AE5535"/>
    <w:rsid w:val="00AE5A33"/>
    <w:rsid w:val="00AE65D2"/>
    <w:rsid w:val="00AE694E"/>
    <w:rsid w:val="00AE7699"/>
    <w:rsid w:val="00AF0ECF"/>
    <w:rsid w:val="00AF0EEA"/>
    <w:rsid w:val="00AF17A4"/>
    <w:rsid w:val="00AF2814"/>
    <w:rsid w:val="00AF2900"/>
    <w:rsid w:val="00AF2C31"/>
    <w:rsid w:val="00AF2C61"/>
    <w:rsid w:val="00AF3324"/>
    <w:rsid w:val="00AF48DC"/>
    <w:rsid w:val="00AF495A"/>
    <w:rsid w:val="00AF64EF"/>
    <w:rsid w:val="00AF686B"/>
    <w:rsid w:val="00AF6C2B"/>
    <w:rsid w:val="00AF7CE2"/>
    <w:rsid w:val="00B00AF1"/>
    <w:rsid w:val="00B01161"/>
    <w:rsid w:val="00B0173C"/>
    <w:rsid w:val="00B01FCC"/>
    <w:rsid w:val="00B02148"/>
    <w:rsid w:val="00B02613"/>
    <w:rsid w:val="00B02680"/>
    <w:rsid w:val="00B0271C"/>
    <w:rsid w:val="00B0293E"/>
    <w:rsid w:val="00B03633"/>
    <w:rsid w:val="00B03765"/>
    <w:rsid w:val="00B03F21"/>
    <w:rsid w:val="00B04284"/>
    <w:rsid w:val="00B04665"/>
    <w:rsid w:val="00B04D6E"/>
    <w:rsid w:val="00B052EE"/>
    <w:rsid w:val="00B05703"/>
    <w:rsid w:val="00B05795"/>
    <w:rsid w:val="00B05D99"/>
    <w:rsid w:val="00B067A5"/>
    <w:rsid w:val="00B07258"/>
    <w:rsid w:val="00B073BF"/>
    <w:rsid w:val="00B07932"/>
    <w:rsid w:val="00B07DEC"/>
    <w:rsid w:val="00B07ED3"/>
    <w:rsid w:val="00B1109D"/>
    <w:rsid w:val="00B11F63"/>
    <w:rsid w:val="00B11FD9"/>
    <w:rsid w:val="00B1296D"/>
    <w:rsid w:val="00B12ADC"/>
    <w:rsid w:val="00B130C3"/>
    <w:rsid w:val="00B13892"/>
    <w:rsid w:val="00B14663"/>
    <w:rsid w:val="00B14B1C"/>
    <w:rsid w:val="00B15E2C"/>
    <w:rsid w:val="00B16423"/>
    <w:rsid w:val="00B1698E"/>
    <w:rsid w:val="00B16B13"/>
    <w:rsid w:val="00B16EBF"/>
    <w:rsid w:val="00B179B9"/>
    <w:rsid w:val="00B17CEC"/>
    <w:rsid w:val="00B20E0D"/>
    <w:rsid w:val="00B22362"/>
    <w:rsid w:val="00B22B39"/>
    <w:rsid w:val="00B23F03"/>
    <w:rsid w:val="00B24378"/>
    <w:rsid w:val="00B24418"/>
    <w:rsid w:val="00B249D1"/>
    <w:rsid w:val="00B24B1D"/>
    <w:rsid w:val="00B2537F"/>
    <w:rsid w:val="00B25670"/>
    <w:rsid w:val="00B256C5"/>
    <w:rsid w:val="00B26439"/>
    <w:rsid w:val="00B26E4F"/>
    <w:rsid w:val="00B27278"/>
    <w:rsid w:val="00B277E0"/>
    <w:rsid w:val="00B3099A"/>
    <w:rsid w:val="00B31819"/>
    <w:rsid w:val="00B31AF1"/>
    <w:rsid w:val="00B31C9B"/>
    <w:rsid w:val="00B32420"/>
    <w:rsid w:val="00B32CF3"/>
    <w:rsid w:val="00B33DC1"/>
    <w:rsid w:val="00B34274"/>
    <w:rsid w:val="00B3462E"/>
    <w:rsid w:val="00B34660"/>
    <w:rsid w:val="00B348A0"/>
    <w:rsid w:val="00B34946"/>
    <w:rsid w:val="00B35073"/>
    <w:rsid w:val="00B35303"/>
    <w:rsid w:val="00B359B6"/>
    <w:rsid w:val="00B366A3"/>
    <w:rsid w:val="00B367BC"/>
    <w:rsid w:val="00B37DF4"/>
    <w:rsid w:val="00B40769"/>
    <w:rsid w:val="00B409FB"/>
    <w:rsid w:val="00B40ACA"/>
    <w:rsid w:val="00B40B2E"/>
    <w:rsid w:val="00B40DF9"/>
    <w:rsid w:val="00B41F63"/>
    <w:rsid w:val="00B432EF"/>
    <w:rsid w:val="00B4370A"/>
    <w:rsid w:val="00B43F57"/>
    <w:rsid w:val="00B43F71"/>
    <w:rsid w:val="00B4411E"/>
    <w:rsid w:val="00B45069"/>
    <w:rsid w:val="00B45B1B"/>
    <w:rsid w:val="00B45BFE"/>
    <w:rsid w:val="00B467B8"/>
    <w:rsid w:val="00B469F8"/>
    <w:rsid w:val="00B46C92"/>
    <w:rsid w:val="00B46D8B"/>
    <w:rsid w:val="00B47322"/>
    <w:rsid w:val="00B47A3E"/>
    <w:rsid w:val="00B47E3E"/>
    <w:rsid w:val="00B47E48"/>
    <w:rsid w:val="00B47F3D"/>
    <w:rsid w:val="00B50E3D"/>
    <w:rsid w:val="00B50FFA"/>
    <w:rsid w:val="00B514EC"/>
    <w:rsid w:val="00B5150C"/>
    <w:rsid w:val="00B519FD"/>
    <w:rsid w:val="00B520BC"/>
    <w:rsid w:val="00B52617"/>
    <w:rsid w:val="00B52FDF"/>
    <w:rsid w:val="00B5482B"/>
    <w:rsid w:val="00B554E4"/>
    <w:rsid w:val="00B55934"/>
    <w:rsid w:val="00B55966"/>
    <w:rsid w:val="00B56214"/>
    <w:rsid w:val="00B57133"/>
    <w:rsid w:val="00B57776"/>
    <w:rsid w:val="00B578F1"/>
    <w:rsid w:val="00B600C2"/>
    <w:rsid w:val="00B600E6"/>
    <w:rsid w:val="00B6151C"/>
    <w:rsid w:val="00B6191D"/>
    <w:rsid w:val="00B61E23"/>
    <w:rsid w:val="00B623E8"/>
    <w:rsid w:val="00B6252B"/>
    <w:rsid w:val="00B633B1"/>
    <w:rsid w:val="00B63403"/>
    <w:rsid w:val="00B63D24"/>
    <w:rsid w:val="00B6440D"/>
    <w:rsid w:val="00B654B2"/>
    <w:rsid w:val="00B663E2"/>
    <w:rsid w:val="00B678D8"/>
    <w:rsid w:val="00B70ACA"/>
    <w:rsid w:val="00B70D44"/>
    <w:rsid w:val="00B716D5"/>
    <w:rsid w:val="00B718FF"/>
    <w:rsid w:val="00B71BEB"/>
    <w:rsid w:val="00B72240"/>
    <w:rsid w:val="00B72C8D"/>
    <w:rsid w:val="00B72D07"/>
    <w:rsid w:val="00B72EA9"/>
    <w:rsid w:val="00B73075"/>
    <w:rsid w:val="00B7308B"/>
    <w:rsid w:val="00B738AC"/>
    <w:rsid w:val="00B73F27"/>
    <w:rsid w:val="00B742FA"/>
    <w:rsid w:val="00B744CF"/>
    <w:rsid w:val="00B7463A"/>
    <w:rsid w:val="00B760DB"/>
    <w:rsid w:val="00B76631"/>
    <w:rsid w:val="00B76788"/>
    <w:rsid w:val="00B76A64"/>
    <w:rsid w:val="00B76ACF"/>
    <w:rsid w:val="00B80317"/>
    <w:rsid w:val="00B8135A"/>
    <w:rsid w:val="00B8266B"/>
    <w:rsid w:val="00B82845"/>
    <w:rsid w:val="00B83154"/>
    <w:rsid w:val="00B8382F"/>
    <w:rsid w:val="00B83870"/>
    <w:rsid w:val="00B83E33"/>
    <w:rsid w:val="00B84440"/>
    <w:rsid w:val="00B84A54"/>
    <w:rsid w:val="00B84F9D"/>
    <w:rsid w:val="00B85214"/>
    <w:rsid w:val="00B85740"/>
    <w:rsid w:val="00B85D26"/>
    <w:rsid w:val="00B85DDF"/>
    <w:rsid w:val="00B8651A"/>
    <w:rsid w:val="00B86A8A"/>
    <w:rsid w:val="00B87D38"/>
    <w:rsid w:val="00B9070F"/>
    <w:rsid w:val="00B90CBB"/>
    <w:rsid w:val="00B90FFE"/>
    <w:rsid w:val="00B914EB"/>
    <w:rsid w:val="00B9184B"/>
    <w:rsid w:val="00B91E5C"/>
    <w:rsid w:val="00B91FF1"/>
    <w:rsid w:val="00B920D3"/>
    <w:rsid w:val="00B924E6"/>
    <w:rsid w:val="00B929AA"/>
    <w:rsid w:val="00B92BC4"/>
    <w:rsid w:val="00B92F09"/>
    <w:rsid w:val="00B932F6"/>
    <w:rsid w:val="00B9371E"/>
    <w:rsid w:val="00B9482F"/>
    <w:rsid w:val="00B94E37"/>
    <w:rsid w:val="00B9504A"/>
    <w:rsid w:val="00B956B7"/>
    <w:rsid w:val="00B95D12"/>
    <w:rsid w:val="00B95D7D"/>
    <w:rsid w:val="00B96921"/>
    <w:rsid w:val="00B96951"/>
    <w:rsid w:val="00B971D7"/>
    <w:rsid w:val="00B976D0"/>
    <w:rsid w:val="00B97C76"/>
    <w:rsid w:val="00BA02A9"/>
    <w:rsid w:val="00BA0F0D"/>
    <w:rsid w:val="00BA0F62"/>
    <w:rsid w:val="00BA1402"/>
    <w:rsid w:val="00BA262D"/>
    <w:rsid w:val="00BA27C3"/>
    <w:rsid w:val="00BA3A77"/>
    <w:rsid w:val="00BA3E02"/>
    <w:rsid w:val="00BA40DD"/>
    <w:rsid w:val="00BA4196"/>
    <w:rsid w:val="00BA4399"/>
    <w:rsid w:val="00BA440E"/>
    <w:rsid w:val="00BA4AFE"/>
    <w:rsid w:val="00BA5698"/>
    <w:rsid w:val="00BA7141"/>
    <w:rsid w:val="00BA7170"/>
    <w:rsid w:val="00BA7AE1"/>
    <w:rsid w:val="00BB00EA"/>
    <w:rsid w:val="00BB076F"/>
    <w:rsid w:val="00BB0E7E"/>
    <w:rsid w:val="00BB1AC7"/>
    <w:rsid w:val="00BB23F1"/>
    <w:rsid w:val="00BB29A7"/>
    <w:rsid w:val="00BB2A39"/>
    <w:rsid w:val="00BB2EC3"/>
    <w:rsid w:val="00BB35BF"/>
    <w:rsid w:val="00BB3A54"/>
    <w:rsid w:val="00BB3D63"/>
    <w:rsid w:val="00BB3EEB"/>
    <w:rsid w:val="00BB45CD"/>
    <w:rsid w:val="00BB5C85"/>
    <w:rsid w:val="00BB5DC1"/>
    <w:rsid w:val="00BB65E0"/>
    <w:rsid w:val="00BB70B2"/>
    <w:rsid w:val="00BB72E5"/>
    <w:rsid w:val="00BC08F1"/>
    <w:rsid w:val="00BC12FD"/>
    <w:rsid w:val="00BC18A7"/>
    <w:rsid w:val="00BC1976"/>
    <w:rsid w:val="00BC25A1"/>
    <w:rsid w:val="00BC397E"/>
    <w:rsid w:val="00BC4096"/>
    <w:rsid w:val="00BC48FC"/>
    <w:rsid w:val="00BC4F3F"/>
    <w:rsid w:val="00BC56A1"/>
    <w:rsid w:val="00BC6330"/>
    <w:rsid w:val="00BC6C7D"/>
    <w:rsid w:val="00BC6F2A"/>
    <w:rsid w:val="00BC75B6"/>
    <w:rsid w:val="00BC79EB"/>
    <w:rsid w:val="00BC7B61"/>
    <w:rsid w:val="00BC7F12"/>
    <w:rsid w:val="00BD0181"/>
    <w:rsid w:val="00BD01F6"/>
    <w:rsid w:val="00BD0443"/>
    <w:rsid w:val="00BD0C54"/>
    <w:rsid w:val="00BD1560"/>
    <w:rsid w:val="00BD1911"/>
    <w:rsid w:val="00BD1B61"/>
    <w:rsid w:val="00BD2330"/>
    <w:rsid w:val="00BD272D"/>
    <w:rsid w:val="00BD3C8B"/>
    <w:rsid w:val="00BD4997"/>
    <w:rsid w:val="00BD5295"/>
    <w:rsid w:val="00BD561C"/>
    <w:rsid w:val="00BD5752"/>
    <w:rsid w:val="00BD57C1"/>
    <w:rsid w:val="00BD5960"/>
    <w:rsid w:val="00BD6097"/>
    <w:rsid w:val="00BD7480"/>
    <w:rsid w:val="00BD752F"/>
    <w:rsid w:val="00BD75B2"/>
    <w:rsid w:val="00BD7AF8"/>
    <w:rsid w:val="00BD7FCF"/>
    <w:rsid w:val="00BE054F"/>
    <w:rsid w:val="00BE07C0"/>
    <w:rsid w:val="00BE09EB"/>
    <w:rsid w:val="00BE0ABE"/>
    <w:rsid w:val="00BE0C06"/>
    <w:rsid w:val="00BE0C27"/>
    <w:rsid w:val="00BE1716"/>
    <w:rsid w:val="00BE1D16"/>
    <w:rsid w:val="00BE2143"/>
    <w:rsid w:val="00BE22A1"/>
    <w:rsid w:val="00BE266A"/>
    <w:rsid w:val="00BE3BEA"/>
    <w:rsid w:val="00BE41BD"/>
    <w:rsid w:val="00BE425A"/>
    <w:rsid w:val="00BE45F2"/>
    <w:rsid w:val="00BE520C"/>
    <w:rsid w:val="00BE52E3"/>
    <w:rsid w:val="00BE59DF"/>
    <w:rsid w:val="00BE63C0"/>
    <w:rsid w:val="00BE6F1F"/>
    <w:rsid w:val="00BF05F7"/>
    <w:rsid w:val="00BF0637"/>
    <w:rsid w:val="00BF08DF"/>
    <w:rsid w:val="00BF0E0F"/>
    <w:rsid w:val="00BF0E15"/>
    <w:rsid w:val="00BF1915"/>
    <w:rsid w:val="00BF1E0D"/>
    <w:rsid w:val="00BF210D"/>
    <w:rsid w:val="00BF37DB"/>
    <w:rsid w:val="00BF5053"/>
    <w:rsid w:val="00BF58C7"/>
    <w:rsid w:val="00BF5BE2"/>
    <w:rsid w:val="00BF689A"/>
    <w:rsid w:val="00BF7143"/>
    <w:rsid w:val="00BF7D88"/>
    <w:rsid w:val="00BF7DF4"/>
    <w:rsid w:val="00BF7F58"/>
    <w:rsid w:val="00BF7FD8"/>
    <w:rsid w:val="00C000FC"/>
    <w:rsid w:val="00C00154"/>
    <w:rsid w:val="00C00158"/>
    <w:rsid w:val="00C0065F"/>
    <w:rsid w:val="00C0082B"/>
    <w:rsid w:val="00C00C7E"/>
    <w:rsid w:val="00C01425"/>
    <w:rsid w:val="00C01C20"/>
    <w:rsid w:val="00C022D7"/>
    <w:rsid w:val="00C02373"/>
    <w:rsid w:val="00C02704"/>
    <w:rsid w:val="00C02A70"/>
    <w:rsid w:val="00C02CE6"/>
    <w:rsid w:val="00C03ACC"/>
    <w:rsid w:val="00C046EF"/>
    <w:rsid w:val="00C04ECB"/>
    <w:rsid w:val="00C05089"/>
    <w:rsid w:val="00C064DC"/>
    <w:rsid w:val="00C06BD7"/>
    <w:rsid w:val="00C074A7"/>
    <w:rsid w:val="00C106D7"/>
    <w:rsid w:val="00C10EC6"/>
    <w:rsid w:val="00C12376"/>
    <w:rsid w:val="00C123BA"/>
    <w:rsid w:val="00C12C44"/>
    <w:rsid w:val="00C12F4F"/>
    <w:rsid w:val="00C133FB"/>
    <w:rsid w:val="00C1383F"/>
    <w:rsid w:val="00C138DE"/>
    <w:rsid w:val="00C13DEA"/>
    <w:rsid w:val="00C14F65"/>
    <w:rsid w:val="00C15180"/>
    <w:rsid w:val="00C15405"/>
    <w:rsid w:val="00C15454"/>
    <w:rsid w:val="00C169BC"/>
    <w:rsid w:val="00C17802"/>
    <w:rsid w:val="00C20A6D"/>
    <w:rsid w:val="00C20BB6"/>
    <w:rsid w:val="00C20C3E"/>
    <w:rsid w:val="00C21638"/>
    <w:rsid w:val="00C22967"/>
    <w:rsid w:val="00C23528"/>
    <w:rsid w:val="00C23AAD"/>
    <w:rsid w:val="00C23FF6"/>
    <w:rsid w:val="00C2468B"/>
    <w:rsid w:val="00C2489C"/>
    <w:rsid w:val="00C24C9C"/>
    <w:rsid w:val="00C25BDA"/>
    <w:rsid w:val="00C25DCC"/>
    <w:rsid w:val="00C26C47"/>
    <w:rsid w:val="00C26CB0"/>
    <w:rsid w:val="00C27BB6"/>
    <w:rsid w:val="00C27DAC"/>
    <w:rsid w:val="00C30437"/>
    <w:rsid w:val="00C3074E"/>
    <w:rsid w:val="00C3080F"/>
    <w:rsid w:val="00C31328"/>
    <w:rsid w:val="00C31D4C"/>
    <w:rsid w:val="00C321B4"/>
    <w:rsid w:val="00C33104"/>
    <w:rsid w:val="00C332D4"/>
    <w:rsid w:val="00C339AA"/>
    <w:rsid w:val="00C33E21"/>
    <w:rsid w:val="00C347A9"/>
    <w:rsid w:val="00C35278"/>
    <w:rsid w:val="00C353A5"/>
    <w:rsid w:val="00C36704"/>
    <w:rsid w:val="00C368AE"/>
    <w:rsid w:val="00C36C2D"/>
    <w:rsid w:val="00C37421"/>
    <w:rsid w:val="00C40650"/>
    <w:rsid w:val="00C41322"/>
    <w:rsid w:val="00C416A2"/>
    <w:rsid w:val="00C41852"/>
    <w:rsid w:val="00C41A0B"/>
    <w:rsid w:val="00C41A9A"/>
    <w:rsid w:val="00C42575"/>
    <w:rsid w:val="00C42C36"/>
    <w:rsid w:val="00C42E52"/>
    <w:rsid w:val="00C42FD3"/>
    <w:rsid w:val="00C435E3"/>
    <w:rsid w:val="00C4488B"/>
    <w:rsid w:val="00C44AEC"/>
    <w:rsid w:val="00C44CE6"/>
    <w:rsid w:val="00C45045"/>
    <w:rsid w:val="00C460F2"/>
    <w:rsid w:val="00C46264"/>
    <w:rsid w:val="00C46BD8"/>
    <w:rsid w:val="00C473AE"/>
    <w:rsid w:val="00C50320"/>
    <w:rsid w:val="00C505E5"/>
    <w:rsid w:val="00C517EF"/>
    <w:rsid w:val="00C51C1F"/>
    <w:rsid w:val="00C54002"/>
    <w:rsid w:val="00C54AAE"/>
    <w:rsid w:val="00C55137"/>
    <w:rsid w:val="00C55854"/>
    <w:rsid w:val="00C560DB"/>
    <w:rsid w:val="00C560FD"/>
    <w:rsid w:val="00C561D5"/>
    <w:rsid w:val="00C5686F"/>
    <w:rsid w:val="00C5706E"/>
    <w:rsid w:val="00C5710E"/>
    <w:rsid w:val="00C57C11"/>
    <w:rsid w:val="00C60147"/>
    <w:rsid w:val="00C6140C"/>
    <w:rsid w:val="00C6187E"/>
    <w:rsid w:val="00C622AE"/>
    <w:rsid w:val="00C6237D"/>
    <w:rsid w:val="00C6277E"/>
    <w:rsid w:val="00C63909"/>
    <w:rsid w:val="00C643DA"/>
    <w:rsid w:val="00C64D06"/>
    <w:rsid w:val="00C65539"/>
    <w:rsid w:val="00C65E9E"/>
    <w:rsid w:val="00C66BC3"/>
    <w:rsid w:val="00C67277"/>
    <w:rsid w:val="00C67699"/>
    <w:rsid w:val="00C678DC"/>
    <w:rsid w:val="00C67F67"/>
    <w:rsid w:val="00C701F5"/>
    <w:rsid w:val="00C70297"/>
    <w:rsid w:val="00C70EEA"/>
    <w:rsid w:val="00C71146"/>
    <w:rsid w:val="00C71749"/>
    <w:rsid w:val="00C72D01"/>
    <w:rsid w:val="00C72DCA"/>
    <w:rsid w:val="00C731BB"/>
    <w:rsid w:val="00C738C9"/>
    <w:rsid w:val="00C74389"/>
    <w:rsid w:val="00C7492C"/>
    <w:rsid w:val="00C74D66"/>
    <w:rsid w:val="00C75ED2"/>
    <w:rsid w:val="00C76139"/>
    <w:rsid w:val="00C762CB"/>
    <w:rsid w:val="00C766DC"/>
    <w:rsid w:val="00C766DF"/>
    <w:rsid w:val="00C76A1F"/>
    <w:rsid w:val="00C76F15"/>
    <w:rsid w:val="00C802A9"/>
    <w:rsid w:val="00C809FA"/>
    <w:rsid w:val="00C8176F"/>
    <w:rsid w:val="00C81822"/>
    <w:rsid w:val="00C81FA4"/>
    <w:rsid w:val="00C82266"/>
    <w:rsid w:val="00C829FA"/>
    <w:rsid w:val="00C8370E"/>
    <w:rsid w:val="00C83923"/>
    <w:rsid w:val="00C83F0F"/>
    <w:rsid w:val="00C854D4"/>
    <w:rsid w:val="00C8585B"/>
    <w:rsid w:val="00C85BF8"/>
    <w:rsid w:val="00C8645A"/>
    <w:rsid w:val="00C86C6A"/>
    <w:rsid w:val="00C86DF3"/>
    <w:rsid w:val="00C86F25"/>
    <w:rsid w:val="00C87084"/>
    <w:rsid w:val="00C87FB1"/>
    <w:rsid w:val="00C90556"/>
    <w:rsid w:val="00C91718"/>
    <w:rsid w:val="00C91811"/>
    <w:rsid w:val="00C9223A"/>
    <w:rsid w:val="00C924DF"/>
    <w:rsid w:val="00C925FD"/>
    <w:rsid w:val="00C929EE"/>
    <w:rsid w:val="00C931E9"/>
    <w:rsid w:val="00C93F4B"/>
    <w:rsid w:val="00C94194"/>
    <w:rsid w:val="00C94387"/>
    <w:rsid w:val="00C94760"/>
    <w:rsid w:val="00C95069"/>
    <w:rsid w:val="00C95A6E"/>
    <w:rsid w:val="00C95ACF"/>
    <w:rsid w:val="00C96CC1"/>
    <w:rsid w:val="00C96E3E"/>
    <w:rsid w:val="00C96E88"/>
    <w:rsid w:val="00C976AA"/>
    <w:rsid w:val="00CA03D8"/>
    <w:rsid w:val="00CA0986"/>
    <w:rsid w:val="00CA0D78"/>
    <w:rsid w:val="00CA116F"/>
    <w:rsid w:val="00CA1C01"/>
    <w:rsid w:val="00CA27B4"/>
    <w:rsid w:val="00CA3853"/>
    <w:rsid w:val="00CA3F73"/>
    <w:rsid w:val="00CA4855"/>
    <w:rsid w:val="00CA4D79"/>
    <w:rsid w:val="00CA519C"/>
    <w:rsid w:val="00CA5653"/>
    <w:rsid w:val="00CA57FD"/>
    <w:rsid w:val="00CA6CB2"/>
    <w:rsid w:val="00CA6E7E"/>
    <w:rsid w:val="00CA73F5"/>
    <w:rsid w:val="00CA75F5"/>
    <w:rsid w:val="00CB08BE"/>
    <w:rsid w:val="00CB093E"/>
    <w:rsid w:val="00CB0E4A"/>
    <w:rsid w:val="00CB0FCE"/>
    <w:rsid w:val="00CB1293"/>
    <w:rsid w:val="00CB12B4"/>
    <w:rsid w:val="00CB1644"/>
    <w:rsid w:val="00CB1AD6"/>
    <w:rsid w:val="00CB24FE"/>
    <w:rsid w:val="00CB2AEB"/>
    <w:rsid w:val="00CB3787"/>
    <w:rsid w:val="00CB3D97"/>
    <w:rsid w:val="00CB3E40"/>
    <w:rsid w:val="00CB4049"/>
    <w:rsid w:val="00CB437A"/>
    <w:rsid w:val="00CB4AB8"/>
    <w:rsid w:val="00CB4E6A"/>
    <w:rsid w:val="00CB5E69"/>
    <w:rsid w:val="00CB6233"/>
    <w:rsid w:val="00CB6C0D"/>
    <w:rsid w:val="00CB6E07"/>
    <w:rsid w:val="00CB7D70"/>
    <w:rsid w:val="00CC0483"/>
    <w:rsid w:val="00CC0B7D"/>
    <w:rsid w:val="00CC1598"/>
    <w:rsid w:val="00CC1671"/>
    <w:rsid w:val="00CC1743"/>
    <w:rsid w:val="00CC1FF9"/>
    <w:rsid w:val="00CC2B98"/>
    <w:rsid w:val="00CC2C81"/>
    <w:rsid w:val="00CC2EDC"/>
    <w:rsid w:val="00CC358F"/>
    <w:rsid w:val="00CC37F4"/>
    <w:rsid w:val="00CC3860"/>
    <w:rsid w:val="00CC4EE6"/>
    <w:rsid w:val="00CC574C"/>
    <w:rsid w:val="00CC59C1"/>
    <w:rsid w:val="00CC5D98"/>
    <w:rsid w:val="00CC6BF0"/>
    <w:rsid w:val="00CD0645"/>
    <w:rsid w:val="00CD08AF"/>
    <w:rsid w:val="00CD0910"/>
    <w:rsid w:val="00CD2084"/>
    <w:rsid w:val="00CD25EB"/>
    <w:rsid w:val="00CD26B0"/>
    <w:rsid w:val="00CD2F80"/>
    <w:rsid w:val="00CD330D"/>
    <w:rsid w:val="00CD3444"/>
    <w:rsid w:val="00CD3921"/>
    <w:rsid w:val="00CD3C91"/>
    <w:rsid w:val="00CD475F"/>
    <w:rsid w:val="00CD53FB"/>
    <w:rsid w:val="00CD58FD"/>
    <w:rsid w:val="00CD7B92"/>
    <w:rsid w:val="00CD7F1B"/>
    <w:rsid w:val="00CE013F"/>
    <w:rsid w:val="00CE0A06"/>
    <w:rsid w:val="00CE1346"/>
    <w:rsid w:val="00CE1531"/>
    <w:rsid w:val="00CE2170"/>
    <w:rsid w:val="00CE246E"/>
    <w:rsid w:val="00CE247E"/>
    <w:rsid w:val="00CE2A60"/>
    <w:rsid w:val="00CE2FF1"/>
    <w:rsid w:val="00CE35BD"/>
    <w:rsid w:val="00CE4978"/>
    <w:rsid w:val="00CE4F3D"/>
    <w:rsid w:val="00CE6BDA"/>
    <w:rsid w:val="00CE725A"/>
    <w:rsid w:val="00CF0143"/>
    <w:rsid w:val="00CF01D4"/>
    <w:rsid w:val="00CF02D4"/>
    <w:rsid w:val="00CF0994"/>
    <w:rsid w:val="00CF0CE1"/>
    <w:rsid w:val="00CF1D69"/>
    <w:rsid w:val="00CF2A6D"/>
    <w:rsid w:val="00CF2B16"/>
    <w:rsid w:val="00CF2C8E"/>
    <w:rsid w:val="00CF433E"/>
    <w:rsid w:val="00CF4A95"/>
    <w:rsid w:val="00CF4D12"/>
    <w:rsid w:val="00CF559F"/>
    <w:rsid w:val="00CF606D"/>
    <w:rsid w:val="00CF60E3"/>
    <w:rsid w:val="00CF6341"/>
    <w:rsid w:val="00CF6784"/>
    <w:rsid w:val="00CF6902"/>
    <w:rsid w:val="00CF72C8"/>
    <w:rsid w:val="00CF7776"/>
    <w:rsid w:val="00D0048A"/>
    <w:rsid w:val="00D00AA9"/>
    <w:rsid w:val="00D00B15"/>
    <w:rsid w:val="00D00B98"/>
    <w:rsid w:val="00D01A0F"/>
    <w:rsid w:val="00D02094"/>
    <w:rsid w:val="00D02944"/>
    <w:rsid w:val="00D02CDF"/>
    <w:rsid w:val="00D031DE"/>
    <w:rsid w:val="00D038E7"/>
    <w:rsid w:val="00D041A0"/>
    <w:rsid w:val="00D04807"/>
    <w:rsid w:val="00D04C76"/>
    <w:rsid w:val="00D0723D"/>
    <w:rsid w:val="00D07C4E"/>
    <w:rsid w:val="00D1083E"/>
    <w:rsid w:val="00D113B7"/>
    <w:rsid w:val="00D11598"/>
    <w:rsid w:val="00D11758"/>
    <w:rsid w:val="00D11BA2"/>
    <w:rsid w:val="00D120A8"/>
    <w:rsid w:val="00D120DF"/>
    <w:rsid w:val="00D1215B"/>
    <w:rsid w:val="00D12AEB"/>
    <w:rsid w:val="00D13301"/>
    <w:rsid w:val="00D13832"/>
    <w:rsid w:val="00D13E9E"/>
    <w:rsid w:val="00D141A3"/>
    <w:rsid w:val="00D15117"/>
    <w:rsid w:val="00D158A5"/>
    <w:rsid w:val="00D16B6E"/>
    <w:rsid w:val="00D17F64"/>
    <w:rsid w:val="00D20057"/>
    <w:rsid w:val="00D201EB"/>
    <w:rsid w:val="00D20587"/>
    <w:rsid w:val="00D21E00"/>
    <w:rsid w:val="00D21EB1"/>
    <w:rsid w:val="00D232B9"/>
    <w:rsid w:val="00D242E8"/>
    <w:rsid w:val="00D26F2A"/>
    <w:rsid w:val="00D2769B"/>
    <w:rsid w:val="00D30795"/>
    <w:rsid w:val="00D30A9A"/>
    <w:rsid w:val="00D31AAF"/>
    <w:rsid w:val="00D31CB4"/>
    <w:rsid w:val="00D327E2"/>
    <w:rsid w:val="00D32895"/>
    <w:rsid w:val="00D32A1D"/>
    <w:rsid w:val="00D32E4B"/>
    <w:rsid w:val="00D343FA"/>
    <w:rsid w:val="00D35EA7"/>
    <w:rsid w:val="00D36117"/>
    <w:rsid w:val="00D362BD"/>
    <w:rsid w:val="00D36DD3"/>
    <w:rsid w:val="00D37887"/>
    <w:rsid w:val="00D40293"/>
    <w:rsid w:val="00D40CB9"/>
    <w:rsid w:val="00D41298"/>
    <w:rsid w:val="00D418FF"/>
    <w:rsid w:val="00D41A0F"/>
    <w:rsid w:val="00D4304C"/>
    <w:rsid w:val="00D442F1"/>
    <w:rsid w:val="00D44558"/>
    <w:rsid w:val="00D4458E"/>
    <w:rsid w:val="00D446D0"/>
    <w:rsid w:val="00D44BDD"/>
    <w:rsid w:val="00D45867"/>
    <w:rsid w:val="00D459EB"/>
    <w:rsid w:val="00D46190"/>
    <w:rsid w:val="00D4637B"/>
    <w:rsid w:val="00D464E4"/>
    <w:rsid w:val="00D4663A"/>
    <w:rsid w:val="00D46997"/>
    <w:rsid w:val="00D47343"/>
    <w:rsid w:val="00D47C35"/>
    <w:rsid w:val="00D47F4D"/>
    <w:rsid w:val="00D50376"/>
    <w:rsid w:val="00D50B07"/>
    <w:rsid w:val="00D50E0F"/>
    <w:rsid w:val="00D51411"/>
    <w:rsid w:val="00D51669"/>
    <w:rsid w:val="00D51BB2"/>
    <w:rsid w:val="00D51ED5"/>
    <w:rsid w:val="00D52EF7"/>
    <w:rsid w:val="00D53453"/>
    <w:rsid w:val="00D53FE1"/>
    <w:rsid w:val="00D55717"/>
    <w:rsid w:val="00D55A86"/>
    <w:rsid w:val="00D55FEA"/>
    <w:rsid w:val="00D564BB"/>
    <w:rsid w:val="00D566C6"/>
    <w:rsid w:val="00D56BDF"/>
    <w:rsid w:val="00D602A9"/>
    <w:rsid w:val="00D60DA5"/>
    <w:rsid w:val="00D61480"/>
    <w:rsid w:val="00D61CA8"/>
    <w:rsid w:val="00D62593"/>
    <w:rsid w:val="00D628EF"/>
    <w:rsid w:val="00D632D3"/>
    <w:rsid w:val="00D6330B"/>
    <w:rsid w:val="00D63D39"/>
    <w:rsid w:val="00D640BE"/>
    <w:rsid w:val="00D648FA"/>
    <w:rsid w:val="00D65C76"/>
    <w:rsid w:val="00D66074"/>
    <w:rsid w:val="00D671DE"/>
    <w:rsid w:val="00D7054A"/>
    <w:rsid w:val="00D70D49"/>
    <w:rsid w:val="00D71A57"/>
    <w:rsid w:val="00D71E27"/>
    <w:rsid w:val="00D723A2"/>
    <w:rsid w:val="00D72F62"/>
    <w:rsid w:val="00D72FC3"/>
    <w:rsid w:val="00D73015"/>
    <w:rsid w:val="00D734C7"/>
    <w:rsid w:val="00D73573"/>
    <w:rsid w:val="00D73A5C"/>
    <w:rsid w:val="00D73B2D"/>
    <w:rsid w:val="00D754CB"/>
    <w:rsid w:val="00D76C98"/>
    <w:rsid w:val="00D77730"/>
    <w:rsid w:val="00D77A2C"/>
    <w:rsid w:val="00D77AB7"/>
    <w:rsid w:val="00D77C6C"/>
    <w:rsid w:val="00D77E9E"/>
    <w:rsid w:val="00D807F9"/>
    <w:rsid w:val="00D80A92"/>
    <w:rsid w:val="00D80B80"/>
    <w:rsid w:val="00D80D45"/>
    <w:rsid w:val="00D80F68"/>
    <w:rsid w:val="00D81867"/>
    <w:rsid w:val="00D81A67"/>
    <w:rsid w:val="00D82298"/>
    <w:rsid w:val="00D82449"/>
    <w:rsid w:val="00D8283B"/>
    <w:rsid w:val="00D82F05"/>
    <w:rsid w:val="00D82FBD"/>
    <w:rsid w:val="00D8305F"/>
    <w:rsid w:val="00D835E9"/>
    <w:rsid w:val="00D83DC9"/>
    <w:rsid w:val="00D84735"/>
    <w:rsid w:val="00D8492D"/>
    <w:rsid w:val="00D8557F"/>
    <w:rsid w:val="00D85A77"/>
    <w:rsid w:val="00D85B25"/>
    <w:rsid w:val="00D860E3"/>
    <w:rsid w:val="00D868DD"/>
    <w:rsid w:val="00D86B52"/>
    <w:rsid w:val="00D86D3D"/>
    <w:rsid w:val="00D877C0"/>
    <w:rsid w:val="00D905CB"/>
    <w:rsid w:val="00D911CC"/>
    <w:rsid w:val="00D91C43"/>
    <w:rsid w:val="00D91DA6"/>
    <w:rsid w:val="00D92DC7"/>
    <w:rsid w:val="00D930E7"/>
    <w:rsid w:val="00D93DD0"/>
    <w:rsid w:val="00D9402E"/>
    <w:rsid w:val="00D947EC"/>
    <w:rsid w:val="00D94BAE"/>
    <w:rsid w:val="00D94FC9"/>
    <w:rsid w:val="00D95A99"/>
    <w:rsid w:val="00D961CD"/>
    <w:rsid w:val="00D96732"/>
    <w:rsid w:val="00D96758"/>
    <w:rsid w:val="00D9708C"/>
    <w:rsid w:val="00D97141"/>
    <w:rsid w:val="00D9758F"/>
    <w:rsid w:val="00D9768B"/>
    <w:rsid w:val="00D97782"/>
    <w:rsid w:val="00DA00FF"/>
    <w:rsid w:val="00DA01AF"/>
    <w:rsid w:val="00DA059C"/>
    <w:rsid w:val="00DA092C"/>
    <w:rsid w:val="00DA119D"/>
    <w:rsid w:val="00DA2881"/>
    <w:rsid w:val="00DA2C4B"/>
    <w:rsid w:val="00DA2EE3"/>
    <w:rsid w:val="00DA2F73"/>
    <w:rsid w:val="00DA34DE"/>
    <w:rsid w:val="00DA3A07"/>
    <w:rsid w:val="00DA59D6"/>
    <w:rsid w:val="00DA5CE2"/>
    <w:rsid w:val="00DA65DE"/>
    <w:rsid w:val="00DA67AB"/>
    <w:rsid w:val="00DA682A"/>
    <w:rsid w:val="00DA778E"/>
    <w:rsid w:val="00DA7F76"/>
    <w:rsid w:val="00DB1507"/>
    <w:rsid w:val="00DB1926"/>
    <w:rsid w:val="00DB1BF7"/>
    <w:rsid w:val="00DB1DE3"/>
    <w:rsid w:val="00DB1FAF"/>
    <w:rsid w:val="00DB21A7"/>
    <w:rsid w:val="00DB28CC"/>
    <w:rsid w:val="00DB2921"/>
    <w:rsid w:val="00DB2F68"/>
    <w:rsid w:val="00DB3B3C"/>
    <w:rsid w:val="00DB3B40"/>
    <w:rsid w:val="00DB53AC"/>
    <w:rsid w:val="00DB5C84"/>
    <w:rsid w:val="00DB760C"/>
    <w:rsid w:val="00DB7ED9"/>
    <w:rsid w:val="00DC0023"/>
    <w:rsid w:val="00DC0604"/>
    <w:rsid w:val="00DC0C7C"/>
    <w:rsid w:val="00DC1187"/>
    <w:rsid w:val="00DC135B"/>
    <w:rsid w:val="00DC1360"/>
    <w:rsid w:val="00DC1460"/>
    <w:rsid w:val="00DC2145"/>
    <w:rsid w:val="00DC3DEA"/>
    <w:rsid w:val="00DC462F"/>
    <w:rsid w:val="00DC51FC"/>
    <w:rsid w:val="00DC555C"/>
    <w:rsid w:val="00DC57F4"/>
    <w:rsid w:val="00DC637F"/>
    <w:rsid w:val="00DC71EA"/>
    <w:rsid w:val="00DC7600"/>
    <w:rsid w:val="00DC770E"/>
    <w:rsid w:val="00DC78FF"/>
    <w:rsid w:val="00DD0101"/>
    <w:rsid w:val="00DD07FD"/>
    <w:rsid w:val="00DD0B5A"/>
    <w:rsid w:val="00DD103B"/>
    <w:rsid w:val="00DD1A96"/>
    <w:rsid w:val="00DD2586"/>
    <w:rsid w:val="00DD28A0"/>
    <w:rsid w:val="00DD2F27"/>
    <w:rsid w:val="00DD3944"/>
    <w:rsid w:val="00DD3D7B"/>
    <w:rsid w:val="00DD445F"/>
    <w:rsid w:val="00DD5B46"/>
    <w:rsid w:val="00DD6186"/>
    <w:rsid w:val="00DD67B0"/>
    <w:rsid w:val="00DD6A21"/>
    <w:rsid w:val="00DD6C12"/>
    <w:rsid w:val="00DD6D62"/>
    <w:rsid w:val="00DD77BC"/>
    <w:rsid w:val="00DE0424"/>
    <w:rsid w:val="00DE0DDC"/>
    <w:rsid w:val="00DE132E"/>
    <w:rsid w:val="00DE198C"/>
    <w:rsid w:val="00DE1F97"/>
    <w:rsid w:val="00DE1FF7"/>
    <w:rsid w:val="00DE2528"/>
    <w:rsid w:val="00DE2676"/>
    <w:rsid w:val="00DE2E65"/>
    <w:rsid w:val="00DE2FEF"/>
    <w:rsid w:val="00DE3362"/>
    <w:rsid w:val="00DE3660"/>
    <w:rsid w:val="00DE378F"/>
    <w:rsid w:val="00DE4699"/>
    <w:rsid w:val="00DE498B"/>
    <w:rsid w:val="00DE4A25"/>
    <w:rsid w:val="00DE4A51"/>
    <w:rsid w:val="00DE4BCD"/>
    <w:rsid w:val="00DE4D3E"/>
    <w:rsid w:val="00DE538E"/>
    <w:rsid w:val="00DE547F"/>
    <w:rsid w:val="00DE55DE"/>
    <w:rsid w:val="00DE60CA"/>
    <w:rsid w:val="00DE62DF"/>
    <w:rsid w:val="00DE6CDB"/>
    <w:rsid w:val="00DE6F97"/>
    <w:rsid w:val="00DE7B11"/>
    <w:rsid w:val="00DF03CE"/>
    <w:rsid w:val="00DF0A2B"/>
    <w:rsid w:val="00DF2B51"/>
    <w:rsid w:val="00DF3A62"/>
    <w:rsid w:val="00DF3E79"/>
    <w:rsid w:val="00DF41EE"/>
    <w:rsid w:val="00DF4975"/>
    <w:rsid w:val="00DF4A20"/>
    <w:rsid w:val="00DF4E18"/>
    <w:rsid w:val="00DF53CC"/>
    <w:rsid w:val="00DF552A"/>
    <w:rsid w:val="00DF5BBF"/>
    <w:rsid w:val="00DF5C78"/>
    <w:rsid w:val="00DF5EBD"/>
    <w:rsid w:val="00DF5F3F"/>
    <w:rsid w:val="00DF6291"/>
    <w:rsid w:val="00DF6635"/>
    <w:rsid w:val="00DF6972"/>
    <w:rsid w:val="00DF6B50"/>
    <w:rsid w:val="00DF7309"/>
    <w:rsid w:val="00E009EF"/>
    <w:rsid w:val="00E00FE8"/>
    <w:rsid w:val="00E01076"/>
    <w:rsid w:val="00E013CE"/>
    <w:rsid w:val="00E0181F"/>
    <w:rsid w:val="00E02534"/>
    <w:rsid w:val="00E02585"/>
    <w:rsid w:val="00E0294F"/>
    <w:rsid w:val="00E03106"/>
    <w:rsid w:val="00E03472"/>
    <w:rsid w:val="00E04B44"/>
    <w:rsid w:val="00E0705E"/>
    <w:rsid w:val="00E115B2"/>
    <w:rsid w:val="00E11AB2"/>
    <w:rsid w:val="00E12258"/>
    <w:rsid w:val="00E12601"/>
    <w:rsid w:val="00E140FE"/>
    <w:rsid w:val="00E143A9"/>
    <w:rsid w:val="00E15E45"/>
    <w:rsid w:val="00E15F56"/>
    <w:rsid w:val="00E163D4"/>
    <w:rsid w:val="00E164C7"/>
    <w:rsid w:val="00E17277"/>
    <w:rsid w:val="00E1746D"/>
    <w:rsid w:val="00E1799F"/>
    <w:rsid w:val="00E17EE7"/>
    <w:rsid w:val="00E20834"/>
    <w:rsid w:val="00E208B2"/>
    <w:rsid w:val="00E20AB9"/>
    <w:rsid w:val="00E220BE"/>
    <w:rsid w:val="00E225DF"/>
    <w:rsid w:val="00E22AF1"/>
    <w:rsid w:val="00E230BD"/>
    <w:rsid w:val="00E23F8B"/>
    <w:rsid w:val="00E24FA3"/>
    <w:rsid w:val="00E2526F"/>
    <w:rsid w:val="00E26251"/>
    <w:rsid w:val="00E26358"/>
    <w:rsid w:val="00E26390"/>
    <w:rsid w:val="00E266A8"/>
    <w:rsid w:val="00E26B28"/>
    <w:rsid w:val="00E26C1D"/>
    <w:rsid w:val="00E273DD"/>
    <w:rsid w:val="00E2777E"/>
    <w:rsid w:val="00E30545"/>
    <w:rsid w:val="00E3075F"/>
    <w:rsid w:val="00E31465"/>
    <w:rsid w:val="00E328CD"/>
    <w:rsid w:val="00E32DFB"/>
    <w:rsid w:val="00E3450B"/>
    <w:rsid w:val="00E3486B"/>
    <w:rsid w:val="00E35F65"/>
    <w:rsid w:val="00E3632B"/>
    <w:rsid w:val="00E365D9"/>
    <w:rsid w:val="00E36B95"/>
    <w:rsid w:val="00E36C64"/>
    <w:rsid w:val="00E37398"/>
    <w:rsid w:val="00E374BB"/>
    <w:rsid w:val="00E37588"/>
    <w:rsid w:val="00E4003F"/>
    <w:rsid w:val="00E422DA"/>
    <w:rsid w:val="00E42658"/>
    <w:rsid w:val="00E42669"/>
    <w:rsid w:val="00E43109"/>
    <w:rsid w:val="00E44680"/>
    <w:rsid w:val="00E447AB"/>
    <w:rsid w:val="00E45223"/>
    <w:rsid w:val="00E458F6"/>
    <w:rsid w:val="00E45954"/>
    <w:rsid w:val="00E4598D"/>
    <w:rsid w:val="00E45B8C"/>
    <w:rsid w:val="00E45DC9"/>
    <w:rsid w:val="00E46BA7"/>
    <w:rsid w:val="00E47130"/>
    <w:rsid w:val="00E4725F"/>
    <w:rsid w:val="00E47395"/>
    <w:rsid w:val="00E476A8"/>
    <w:rsid w:val="00E50468"/>
    <w:rsid w:val="00E51164"/>
    <w:rsid w:val="00E511BF"/>
    <w:rsid w:val="00E514AF"/>
    <w:rsid w:val="00E527F1"/>
    <w:rsid w:val="00E52B92"/>
    <w:rsid w:val="00E532CB"/>
    <w:rsid w:val="00E53C53"/>
    <w:rsid w:val="00E53C87"/>
    <w:rsid w:val="00E552B5"/>
    <w:rsid w:val="00E556EB"/>
    <w:rsid w:val="00E55B37"/>
    <w:rsid w:val="00E55DB3"/>
    <w:rsid w:val="00E56577"/>
    <w:rsid w:val="00E576FA"/>
    <w:rsid w:val="00E57ADF"/>
    <w:rsid w:val="00E57B00"/>
    <w:rsid w:val="00E60040"/>
    <w:rsid w:val="00E6019A"/>
    <w:rsid w:val="00E60CEE"/>
    <w:rsid w:val="00E60F48"/>
    <w:rsid w:val="00E614E6"/>
    <w:rsid w:val="00E61BEF"/>
    <w:rsid w:val="00E61E5F"/>
    <w:rsid w:val="00E62A66"/>
    <w:rsid w:val="00E62E12"/>
    <w:rsid w:val="00E63EB7"/>
    <w:rsid w:val="00E640F5"/>
    <w:rsid w:val="00E65184"/>
    <w:rsid w:val="00E65843"/>
    <w:rsid w:val="00E67F8E"/>
    <w:rsid w:val="00E70E5A"/>
    <w:rsid w:val="00E722F3"/>
    <w:rsid w:val="00E73640"/>
    <w:rsid w:val="00E73A02"/>
    <w:rsid w:val="00E73CC6"/>
    <w:rsid w:val="00E73D37"/>
    <w:rsid w:val="00E74C01"/>
    <w:rsid w:val="00E763ED"/>
    <w:rsid w:val="00E76814"/>
    <w:rsid w:val="00E7684B"/>
    <w:rsid w:val="00E76CE2"/>
    <w:rsid w:val="00E76E64"/>
    <w:rsid w:val="00E7776A"/>
    <w:rsid w:val="00E77B44"/>
    <w:rsid w:val="00E800A2"/>
    <w:rsid w:val="00E80850"/>
    <w:rsid w:val="00E81083"/>
    <w:rsid w:val="00E81DE0"/>
    <w:rsid w:val="00E81EF9"/>
    <w:rsid w:val="00E8205B"/>
    <w:rsid w:val="00E8260B"/>
    <w:rsid w:val="00E82CAE"/>
    <w:rsid w:val="00E83B8C"/>
    <w:rsid w:val="00E84439"/>
    <w:rsid w:val="00E84546"/>
    <w:rsid w:val="00E845C9"/>
    <w:rsid w:val="00E84899"/>
    <w:rsid w:val="00E84D6A"/>
    <w:rsid w:val="00E85066"/>
    <w:rsid w:val="00E85296"/>
    <w:rsid w:val="00E85934"/>
    <w:rsid w:val="00E85940"/>
    <w:rsid w:val="00E8625E"/>
    <w:rsid w:val="00E86B50"/>
    <w:rsid w:val="00E8715B"/>
    <w:rsid w:val="00E874A3"/>
    <w:rsid w:val="00E90E2E"/>
    <w:rsid w:val="00E91759"/>
    <w:rsid w:val="00E91A68"/>
    <w:rsid w:val="00E9384E"/>
    <w:rsid w:val="00E93D96"/>
    <w:rsid w:val="00E93E3D"/>
    <w:rsid w:val="00E93FA0"/>
    <w:rsid w:val="00E9400E"/>
    <w:rsid w:val="00E9411D"/>
    <w:rsid w:val="00E9430C"/>
    <w:rsid w:val="00E94594"/>
    <w:rsid w:val="00E948F7"/>
    <w:rsid w:val="00E958F5"/>
    <w:rsid w:val="00E96506"/>
    <w:rsid w:val="00E96AD1"/>
    <w:rsid w:val="00E97381"/>
    <w:rsid w:val="00E97BB2"/>
    <w:rsid w:val="00EA0374"/>
    <w:rsid w:val="00EA0391"/>
    <w:rsid w:val="00EA1A33"/>
    <w:rsid w:val="00EA1AF0"/>
    <w:rsid w:val="00EA1F78"/>
    <w:rsid w:val="00EA2076"/>
    <w:rsid w:val="00EA27A4"/>
    <w:rsid w:val="00EA34B8"/>
    <w:rsid w:val="00EA4077"/>
    <w:rsid w:val="00EA44D9"/>
    <w:rsid w:val="00EA4C2B"/>
    <w:rsid w:val="00EA4FE1"/>
    <w:rsid w:val="00EA55AA"/>
    <w:rsid w:val="00EA5D47"/>
    <w:rsid w:val="00EA5D78"/>
    <w:rsid w:val="00EA5FC8"/>
    <w:rsid w:val="00EA6748"/>
    <w:rsid w:val="00EA713E"/>
    <w:rsid w:val="00EA760B"/>
    <w:rsid w:val="00EA7BD1"/>
    <w:rsid w:val="00EA7D0B"/>
    <w:rsid w:val="00EA7EF7"/>
    <w:rsid w:val="00EB0130"/>
    <w:rsid w:val="00EB0892"/>
    <w:rsid w:val="00EB26FB"/>
    <w:rsid w:val="00EB299E"/>
    <w:rsid w:val="00EB2E01"/>
    <w:rsid w:val="00EB32CC"/>
    <w:rsid w:val="00EB3478"/>
    <w:rsid w:val="00EB365A"/>
    <w:rsid w:val="00EB3765"/>
    <w:rsid w:val="00EB3F51"/>
    <w:rsid w:val="00EB4606"/>
    <w:rsid w:val="00EB4BBA"/>
    <w:rsid w:val="00EB4FE7"/>
    <w:rsid w:val="00EB5DF8"/>
    <w:rsid w:val="00EB6518"/>
    <w:rsid w:val="00EB6A76"/>
    <w:rsid w:val="00EB7CE7"/>
    <w:rsid w:val="00EC1332"/>
    <w:rsid w:val="00EC2598"/>
    <w:rsid w:val="00EC38A0"/>
    <w:rsid w:val="00EC5225"/>
    <w:rsid w:val="00EC58BB"/>
    <w:rsid w:val="00EC5E4D"/>
    <w:rsid w:val="00EC71EC"/>
    <w:rsid w:val="00EC726D"/>
    <w:rsid w:val="00EC79A7"/>
    <w:rsid w:val="00EC7C52"/>
    <w:rsid w:val="00ED00FC"/>
    <w:rsid w:val="00ED14D2"/>
    <w:rsid w:val="00ED2138"/>
    <w:rsid w:val="00ED2778"/>
    <w:rsid w:val="00ED4E90"/>
    <w:rsid w:val="00ED5536"/>
    <w:rsid w:val="00ED5CD3"/>
    <w:rsid w:val="00ED5D26"/>
    <w:rsid w:val="00ED5E0F"/>
    <w:rsid w:val="00ED784D"/>
    <w:rsid w:val="00ED788C"/>
    <w:rsid w:val="00ED7985"/>
    <w:rsid w:val="00ED7CC6"/>
    <w:rsid w:val="00EE042A"/>
    <w:rsid w:val="00EE05D1"/>
    <w:rsid w:val="00EE0B74"/>
    <w:rsid w:val="00EE1821"/>
    <w:rsid w:val="00EE1F8B"/>
    <w:rsid w:val="00EE30A9"/>
    <w:rsid w:val="00EE38E6"/>
    <w:rsid w:val="00EE3E49"/>
    <w:rsid w:val="00EE4841"/>
    <w:rsid w:val="00EE62B1"/>
    <w:rsid w:val="00EE6C5B"/>
    <w:rsid w:val="00EE6E25"/>
    <w:rsid w:val="00EE7244"/>
    <w:rsid w:val="00EE77F4"/>
    <w:rsid w:val="00EF0019"/>
    <w:rsid w:val="00EF0373"/>
    <w:rsid w:val="00EF0A63"/>
    <w:rsid w:val="00EF16A5"/>
    <w:rsid w:val="00EF19FF"/>
    <w:rsid w:val="00EF1A3D"/>
    <w:rsid w:val="00EF1E83"/>
    <w:rsid w:val="00EF21DE"/>
    <w:rsid w:val="00EF3788"/>
    <w:rsid w:val="00EF381A"/>
    <w:rsid w:val="00EF435B"/>
    <w:rsid w:val="00EF4A3B"/>
    <w:rsid w:val="00EF4B1C"/>
    <w:rsid w:val="00EF5AB7"/>
    <w:rsid w:val="00EF5F23"/>
    <w:rsid w:val="00EF6306"/>
    <w:rsid w:val="00EF65BF"/>
    <w:rsid w:val="00EF6D6D"/>
    <w:rsid w:val="00EF78C1"/>
    <w:rsid w:val="00EF79C7"/>
    <w:rsid w:val="00F000C4"/>
    <w:rsid w:val="00F00772"/>
    <w:rsid w:val="00F00B3F"/>
    <w:rsid w:val="00F00ECD"/>
    <w:rsid w:val="00F01044"/>
    <w:rsid w:val="00F012A1"/>
    <w:rsid w:val="00F02268"/>
    <w:rsid w:val="00F0325B"/>
    <w:rsid w:val="00F03449"/>
    <w:rsid w:val="00F03971"/>
    <w:rsid w:val="00F04A18"/>
    <w:rsid w:val="00F04C5C"/>
    <w:rsid w:val="00F05E50"/>
    <w:rsid w:val="00F07F96"/>
    <w:rsid w:val="00F100D9"/>
    <w:rsid w:val="00F107D7"/>
    <w:rsid w:val="00F10EE7"/>
    <w:rsid w:val="00F1115A"/>
    <w:rsid w:val="00F11582"/>
    <w:rsid w:val="00F122CB"/>
    <w:rsid w:val="00F128C8"/>
    <w:rsid w:val="00F12A0B"/>
    <w:rsid w:val="00F13319"/>
    <w:rsid w:val="00F13446"/>
    <w:rsid w:val="00F1364D"/>
    <w:rsid w:val="00F14142"/>
    <w:rsid w:val="00F14B11"/>
    <w:rsid w:val="00F14C6D"/>
    <w:rsid w:val="00F15F14"/>
    <w:rsid w:val="00F15F85"/>
    <w:rsid w:val="00F16368"/>
    <w:rsid w:val="00F16FCC"/>
    <w:rsid w:val="00F17026"/>
    <w:rsid w:val="00F17783"/>
    <w:rsid w:val="00F17C24"/>
    <w:rsid w:val="00F20027"/>
    <w:rsid w:val="00F21358"/>
    <w:rsid w:val="00F215E3"/>
    <w:rsid w:val="00F21D8E"/>
    <w:rsid w:val="00F21E2F"/>
    <w:rsid w:val="00F21F55"/>
    <w:rsid w:val="00F2256B"/>
    <w:rsid w:val="00F22C84"/>
    <w:rsid w:val="00F22F4B"/>
    <w:rsid w:val="00F22FD2"/>
    <w:rsid w:val="00F2518C"/>
    <w:rsid w:val="00F25587"/>
    <w:rsid w:val="00F26591"/>
    <w:rsid w:val="00F26990"/>
    <w:rsid w:val="00F2719C"/>
    <w:rsid w:val="00F27BF1"/>
    <w:rsid w:val="00F30026"/>
    <w:rsid w:val="00F32F2C"/>
    <w:rsid w:val="00F33ED8"/>
    <w:rsid w:val="00F34B84"/>
    <w:rsid w:val="00F34BC9"/>
    <w:rsid w:val="00F34D56"/>
    <w:rsid w:val="00F35221"/>
    <w:rsid w:val="00F35584"/>
    <w:rsid w:val="00F36476"/>
    <w:rsid w:val="00F3703D"/>
    <w:rsid w:val="00F37C37"/>
    <w:rsid w:val="00F37D3F"/>
    <w:rsid w:val="00F40BE2"/>
    <w:rsid w:val="00F40D75"/>
    <w:rsid w:val="00F41219"/>
    <w:rsid w:val="00F41791"/>
    <w:rsid w:val="00F41DFE"/>
    <w:rsid w:val="00F425BD"/>
    <w:rsid w:val="00F42F2E"/>
    <w:rsid w:val="00F4314F"/>
    <w:rsid w:val="00F43915"/>
    <w:rsid w:val="00F439E0"/>
    <w:rsid w:val="00F43C67"/>
    <w:rsid w:val="00F43DF0"/>
    <w:rsid w:val="00F44187"/>
    <w:rsid w:val="00F44624"/>
    <w:rsid w:val="00F45B06"/>
    <w:rsid w:val="00F45C1E"/>
    <w:rsid w:val="00F45C9E"/>
    <w:rsid w:val="00F46403"/>
    <w:rsid w:val="00F4736D"/>
    <w:rsid w:val="00F47A34"/>
    <w:rsid w:val="00F47C76"/>
    <w:rsid w:val="00F47CEB"/>
    <w:rsid w:val="00F47F26"/>
    <w:rsid w:val="00F500D1"/>
    <w:rsid w:val="00F5045D"/>
    <w:rsid w:val="00F51244"/>
    <w:rsid w:val="00F5240A"/>
    <w:rsid w:val="00F53B86"/>
    <w:rsid w:val="00F54925"/>
    <w:rsid w:val="00F54C93"/>
    <w:rsid w:val="00F55E0E"/>
    <w:rsid w:val="00F56B05"/>
    <w:rsid w:val="00F56DBB"/>
    <w:rsid w:val="00F572C0"/>
    <w:rsid w:val="00F57BEA"/>
    <w:rsid w:val="00F6095A"/>
    <w:rsid w:val="00F62A21"/>
    <w:rsid w:val="00F62D3C"/>
    <w:rsid w:val="00F63591"/>
    <w:rsid w:val="00F63B3C"/>
    <w:rsid w:val="00F63CBC"/>
    <w:rsid w:val="00F65C15"/>
    <w:rsid w:val="00F65E81"/>
    <w:rsid w:val="00F66260"/>
    <w:rsid w:val="00F66456"/>
    <w:rsid w:val="00F664F4"/>
    <w:rsid w:val="00F6681D"/>
    <w:rsid w:val="00F66A5A"/>
    <w:rsid w:val="00F67758"/>
    <w:rsid w:val="00F67ACC"/>
    <w:rsid w:val="00F67C54"/>
    <w:rsid w:val="00F67D40"/>
    <w:rsid w:val="00F67E13"/>
    <w:rsid w:val="00F703C1"/>
    <w:rsid w:val="00F70C82"/>
    <w:rsid w:val="00F70D57"/>
    <w:rsid w:val="00F71282"/>
    <w:rsid w:val="00F71EDB"/>
    <w:rsid w:val="00F720BE"/>
    <w:rsid w:val="00F73DFC"/>
    <w:rsid w:val="00F74260"/>
    <w:rsid w:val="00F755BE"/>
    <w:rsid w:val="00F75634"/>
    <w:rsid w:val="00F7595E"/>
    <w:rsid w:val="00F75CF9"/>
    <w:rsid w:val="00F768B1"/>
    <w:rsid w:val="00F76968"/>
    <w:rsid w:val="00F770D7"/>
    <w:rsid w:val="00F7756A"/>
    <w:rsid w:val="00F7757C"/>
    <w:rsid w:val="00F77D3D"/>
    <w:rsid w:val="00F800F3"/>
    <w:rsid w:val="00F80943"/>
    <w:rsid w:val="00F80A51"/>
    <w:rsid w:val="00F81561"/>
    <w:rsid w:val="00F81FF4"/>
    <w:rsid w:val="00F823E2"/>
    <w:rsid w:val="00F8266D"/>
    <w:rsid w:val="00F829E5"/>
    <w:rsid w:val="00F8302E"/>
    <w:rsid w:val="00F83311"/>
    <w:rsid w:val="00F834A2"/>
    <w:rsid w:val="00F835D8"/>
    <w:rsid w:val="00F84137"/>
    <w:rsid w:val="00F84207"/>
    <w:rsid w:val="00F84541"/>
    <w:rsid w:val="00F852E2"/>
    <w:rsid w:val="00F8675A"/>
    <w:rsid w:val="00F86A52"/>
    <w:rsid w:val="00F86B6A"/>
    <w:rsid w:val="00F87637"/>
    <w:rsid w:val="00F90032"/>
    <w:rsid w:val="00F90303"/>
    <w:rsid w:val="00F909E1"/>
    <w:rsid w:val="00F9109B"/>
    <w:rsid w:val="00F91946"/>
    <w:rsid w:val="00F91DED"/>
    <w:rsid w:val="00F9356A"/>
    <w:rsid w:val="00F93E27"/>
    <w:rsid w:val="00F959FD"/>
    <w:rsid w:val="00F95D66"/>
    <w:rsid w:val="00F95E42"/>
    <w:rsid w:val="00F95EA2"/>
    <w:rsid w:val="00F9666E"/>
    <w:rsid w:val="00F9682F"/>
    <w:rsid w:val="00F96B80"/>
    <w:rsid w:val="00F96F90"/>
    <w:rsid w:val="00F97589"/>
    <w:rsid w:val="00F97997"/>
    <w:rsid w:val="00FA0B4F"/>
    <w:rsid w:val="00FA0EE3"/>
    <w:rsid w:val="00FA0F5A"/>
    <w:rsid w:val="00FA1973"/>
    <w:rsid w:val="00FA1C43"/>
    <w:rsid w:val="00FA247D"/>
    <w:rsid w:val="00FA2D42"/>
    <w:rsid w:val="00FA2DE2"/>
    <w:rsid w:val="00FA3CFB"/>
    <w:rsid w:val="00FA3F83"/>
    <w:rsid w:val="00FA4916"/>
    <w:rsid w:val="00FA50D9"/>
    <w:rsid w:val="00FA5F6D"/>
    <w:rsid w:val="00FA622E"/>
    <w:rsid w:val="00FA6311"/>
    <w:rsid w:val="00FA66A2"/>
    <w:rsid w:val="00FA699A"/>
    <w:rsid w:val="00FA6EA4"/>
    <w:rsid w:val="00FA79DA"/>
    <w:rsid w:val="00FA7EE5"/>
    <w:rsid w:val="00FB03DA"/>
    <w:rsid w:val="00FB07E4"/>
    <w:rsid w:val="00FB138F"/>
    <w:rsid w:val="00FB15DE"/>
    <w:rsid w:val="00FB1CE3"/>
    <w:rsid w:val="00FB1F9B"/>
    <w:rsid w:val="00FB20F9"/>
    <w:rsid w:val="00FB23F1"/>
    <w:rsid w:val="00FB2685"/>
    <w:rsid w:val="00FB26F9"/>
    <w:rsid w:val="00FB2E25"/>
    <w:rsid w:val="00FB2E85"/>
    <w:rsid w:val="00FB33AF"/>
    <w:rsid w:val="00FB3818"/>
    <w:rsid w:val="00FB4413"/>
    <w:rsid w:val="00FB5055"/>
    <w:rsid w:val="00FB5CF6"/>
    <w:rsid w:val="00FB5FD7"/>
    <w:rsid w:val="00FB67F7"/>
    <w:rsid w:val="00FB68C4"/>
    <w:rsid w:val="00FB697F"/>
    <w:rsid w:val="00FB7813"/>
    <w:rsid w:val="00FB7CB2"/>
    <w:rsid w:val="00FC0438"/>
    <w:rsid w:val="00FC07F1"/>
    <w:rsid w:val="00FC0E11"/>
    <w:rsid w:val="00FC0E18"/>
    <w:rsid w:val="00FC1185"/>
    <w:rsid w:val="00FC12C9"/>
    <w:rsid w:val="00FC1F2D"/>
    <w:rsid w:val="00FC1F3A"/>
    <w:rsid w:val="00FC2A01"/>
    <w:rsid w:val="00FC2BC0"/>
    <w:rsid w:val="00FC2D2B"/>
    <w:rsid w:val="00FC3419"/>
    <w:rsid w:val="00FC34CF"/>
    <w:rsid w:val="00FC3630"/>
    <w:rsid w:val="00FC3979"/>
    <w:rsid w:val="00FC499A"/>
    <w:rsid w:val="00FC4AD7"/>
    <w:rsid w:val="00FC599F"/>
    <w:rsid w:val="00FC60CF"/>
    <w:rsid w:val="00FC6472"/>
    <w:rsid w:val="00FC651C"/>
    <w:rsid w:val="00FC667F"/>
    <w:rsid w:val="00FC6C26"/>
    <w:rsid w:val="00FC78E3"/>
    <w:rsid w:val="00FD01B5"/>
    <w:rsid w:val="00FD07A2"/>
    <w:rsid w:val="00FD12CF"/>
    <w:rsid w:val="00FD17AD"/>
    <w:rsid w:val="00FD1BCB"/>
    <w:rsid w:val="00FD1EB6"/>
    <w:rsid w:val="00FD2053"/>
    <w:rsid w:val="00FD2BB9"/>
    <w:rsid w:val="00FD2D16"/>
    <w:rsid w:val="00FD3709"/>
    <w:rsid w:val="00FD4A13"/>
    <w:rsid w:val="00FD4F39"/>
    <w:rsid w:val="00FD5CE0"/>
    <w:rsid w:val="00FD5E97"/>
    <w:rsid w:val="00FD628E"/>
    <w:rsid w:val="00FD642E"/>
    <w:rsid w:val="00FE0876"/>
    <w:rsid w:val="00FE0E6F"/>
    <w:rsid w:val="00FE0F6B"/>
    <w:rsid w:val="00FE1231"/>
    <w:rsid w:val="00FE15E3"/>
    <w:rsid w:val="00FE1642"/>
    <w:rsid w:val="00FE20DB"/>
    <w:rsid w:val="00FE242E"/>
    <w:rsid w:val="00FE28B2"/>
    <w:rsid w:val="00FE2C84"/>
    <w:rsid w:val="00FE315C"/>
    <w:rsid w:val="00FE3194"/>
    <w:rsid w:val="00FE33BE"/>
    <w:rsid w:val="00FE3CDF"/>
    <w:rsid w:val="00FE417A"/>
    <w:rsid w:val="00FE4D8F"/>
    <w:rsid w:val="00FE56F1"/>
    <w:rsid w:val="00FE587D"/>
    <w:rsid w:val="00FE59AF"/>
    <w:rsid w:val="00FE5BEF"/>
    <w:rsid w:val="00FE7384"/>
    <w:rsid w:val="00FF0C24"/>
    <w:rsid w:val="00FF1129"/>
    <w:rsid w:val="00FF136F"/>
    <w:rsid w:val="00FF165B"/>
    <w:rsid w:val="00FF278A"/>
    <w:rsid w:val="00FF295E"/>
    <w:rsid w:val="00FF312A"/>
    <w:rsid w:val="00FF358B"/>
    <w:rsid w:val="00FF3982"/>
    <w:rsid w:val="00FF5041"/>
    <w:rsid w:val="00FF521C"/>
    <w:rsid w:val="00FF5F4F"/>
    <w:rsid w:val="00FF622B"/>
    <w:rsid w:val="00FF66CA"/>
    <w:rsid w:val="00FF6C4F"/>
    <w:rsid w:val="00FF6F13"/>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AC4EA5"/>
  <w15:chartTrackingRefBased/>
  <w15:docId w15:val="{EC9A5145-0772-49C3-8CD4-D0705E4DD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locked="1"/>
    <w:lsdException w:name="toc 6" w:locked="1"/>
    <w:lsdException w:name="toc 7" w:locked="1"/>
    <w:lsdException w:name="toc 8" w:locked="1"/>
    <w:lsdException w:name="toc 9" w:locked="1"/>
    <w:lsdException w:name="Normal Indent" w:locked="1"/>
    <w:lsdException w:name="annotation text" w:locked="1" w:uiPriority="99"/>
    <w:lsdException w:name="footer" w:uiPriority="99"/>
    <w:lsdException w:name="index heading" w:locked="1"/>
    <w:lsdException w:name="caption" w:locked="1" w:semiHidden="1" w:uiPriority="35" w:unhideWhenUsed="1" w:qFormat="1"/>
    <w:lsdException w:name="table of figures" w:locked="1"/>
    <w:lsdException w:name="envelope address" w:locked="1"/>
    <w:lsdException w:name="envelope return" w:locked="1"/>
    <w:lsdException w:name="annotation reference" w:locked="1" w:uiPriority="99"/>
    <w:lsdException w:name="line number" w:locked="1"/>
    <w:lsdException w:name="page number" w:locked="1"/>
    <w:lsdException w:name="endnote reference" w:qFormat="1"/>
    <w:lsdException w:name="endnote text" w:qFormat="1"/>
    <w:lsdException w:name="table of authorities" w:locked="1"/>
    <w:lsdException w:name="macro" w:locked="1"/>
    <w:lsdException w:name="toa heading" w:locked="1"/>
    <w:lsdException w:name="List" w:locked="1"/>
    <w:lsdException w:name="List Bullet" w:locked="1" w:uiPriority="9" w:qFormat="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uiPriority="10" w:qFormat="1"/>
    <w:lsdException w:name="Closing" w:locked="1"/>
    <w:lsdException w:name="Signature" w:locked="1"/>
    <w:lsdException w:name="Body Text" w:locked="1" w:uiPriority="1" w:qFormat="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uiPriority="1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uiPriority="22" w:qFormat="1"/>
    <w:lsdException w:name="Emphasis" w:locked="1" w:uiPriority="20" w:qFormat="1"/>
    <w:lsdException w:name="Document Map" w:locked="1"/>
    <w:lsdException w:name="Plain Text" w:locked="1"/>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semiHidden="1" w:unhideWhenUsed="1"/>
    <w:lsdException w:name="HTML Preformatted" w:locked="1" w:semiHidden="1" w:unhideWhenUsed="1"/>
    <w:lsdException w:name="HTML Sample" w:locked="1"/>
    <w:lsdException w:name="HTML Typewriter" w:lock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5A032A"/>
    <w:pPr>
      <w:keepLines/>
      <w:spacing w:after="170" w:line="320" w:lineRule="atLeast"/>
    </w:pPr>
    <w:rPr>
      <w:rFonts w:ascii="Open Sans" w:eastAsia="MS Mincho" w:hAnsi="Open Sans"/>
      <w:bCs/>
      <w:sz w:val="20"/>
      <w:szCs w:val="28"/>
    </w:rPr>
  </w:style>
  <w:style w:type="paragraph" w:styleId="Titolo1">
    <w:name w:val="heading 1"/>
    <w:basedOn w:val="Normale"/>
    <w:next w:val="Normale"/>
    <w:link w:val="Titolo1Carattere"/>
    <w:uiPriority w:val="9"/>
    <w:qFormat/>
    <w:rsid w:val="005B0C9C"/>
    <w:pPr>
      <w:keepNext/>
      <w:pageBreakBefore/>
      <w:numPr>
        <w:numId w:val="24"/>
      </w:numPr>
      <w:tabs>
        <w:tab w:val="left" w:pos="567"/>
      </w:tabs>
      <w:spacing w:before="360" w:after="240" w:line="192" w:lineRule="auto"/>
      <w:ind w:left="0" w:firstLine="0"/>
      <w:outlineLvl w:val="0"/>
    </w:pPr>
    <w:rPr>
      <w:rFonts w:ascii="Open Sans Semibold" w:eastAsiaTheme="majorEastAsia" w:hAnsi="Open Sans Semibold" w:cstheme="majorBidi"/>
      <w:b/>
      <w:color w:val="0E2A3F" w:themeColor="text2"/>
      <w:sz w:val="40"/>
      <w:szCs w:val="36"/>
    </w:rPr>
  </w:style>
  <w:style w:type="paragraph" w:styleId="Titolo2">
    <w:name w:val="heading 2"/>
    <w:basedOn w:val="Normale"/>
    <w:next w:val="Normale"/>
    <w:link w:val="Titolo2Carattere"/>
    <w:uiPriority w:val="9"/>
    <w:unhideWhenUsed/>
    <w:qFormat/>
    <w:rsid w:val="005B0C9C"/>
    <w:pPr>
      <w:keepLines w:val="0"/>
      <w:numPr>
        <w:ilvl w:val="1"/>
        <w:numId w:val="24"/>
      </w:numPr>
      <w:tabs>
        <w:tab w:val="clear" w:pos="6390"/>
        <w:tab w:val="left" w:pos="567"/>
      </w:tabs>
      <w:spacing w:before="360" w:after="240" w:line="240" w:lineRule="auto"/>
      <w:ind w:left="0" w:firstLine="0"/>
      <w:outlineLvl w:val="1"/>
    </w:pPr>
    <w:rPr>
      <w:rFonts w:ascii="Open Sans Semibold" w:hAnsi="Open Sans Semibold"/>
      <w:b/>
      <w:bCs w:val="0"/>
      <w:color w:val="0E2A3F" w:themeColor="text2"/>
      <w:sz w:val="28"/>
      <w:szCs w:val="18"/>
      <w:lang w:val="en-US" w:eastAsia="en-US"/>
    </w:rPr>
  </w:style>
  <w:style w:type="paragraph" w:styleId="Titolo3">
    <w:name w:val="heading 3"/>
    <w:basedOn w:val="Normale"/>
    <w:next w:val="Normale"/>
    <w:link w:val="Titolo3Carattere"/>
    <w:uiPriority w:val="9"/>
    <w:unhideWhenUsed/>
    <w:qFormat/>
    <w:rsid w:val="00335D3E"/>
    <w:pPr>
      <w:keepNext/>
      <w:numPr>
        <w:ilvl w:val="2"/>
        <w:numId w:val="24"/>
      </w:numPr>
      <w:tabs>
        <w:tab w:val="left" w:pos="397"/>
      </w:tabs>
      <w:spacing w:before="360" w:line="240" w:lineRule="auto"/>
      <w:ind w:left="0" w:firstLine="0"/>
      <w:outlineLvl w:val="2"/>
    </w:pPr>
    <w:rPr>
      <w:rFonts w:cs="Open Sans"/>
      <w:b/>
      <w:bCs w:val="0"/>
      <w:color w:val="0E2A3F" w:themeColor="text2"/>
      <w:szCs w:val="24"/>
    </w:rPr>
  </w:style>
  <w:style w:type="paragraph" w:styleId="Titolo4">
    <w:name w:val="heading 4"/>
    <w:basedOn w:val="Normale"/>
    <w:next w:val="Normale"/>
    <w:link w:val="Titolo4Carattere"/>
    <w:uiPriority w:val="9"/>
    <w:unhideWhenUsed/>
    <w:qFormat/>
    <w:rsid w:val="00335D3E"/>
    <w:pPr>
      <w:keepLines w:val="0"/>
      <w:numPr>
        <w:numId w:val="30"/>
      </w:numPr>
      <w:spacing w:before="360" w:after="240" w:line="240" w:lineRule="auto"/>
      <w:outlineLvl w:val="3"/>
    </w:pPr>
    <w:rPr>
      <w:rFonts w:cs="Open Sans"/>
      <w:b/>
      <w:bCs w:val="0"/>
      <w:color w:val="0E2A3F" w:themeColor="text2"/>
      <w:szCs w:val="22"/>
      <w:lang w:eastAsia="en-US"/>
    </w:rPr>
  </w:style>
  <w:style w:type="paragraph" w:styleId="Titolo5">
    <w:name w:val="heading 5"/>
    <w:basedOn w:val="Normale"/>
    <w:next w:val="Normale"/>
    <w:link w:val="Titolo5Carattere"/>
    <w:uiPriority w:val="9"/>
    <w:unhideWhenUsed/>
    <w:qFormat/>
    <w:locked/>
    <w:rsid w:val="005B0C9C"/>
    <w:pPr>
      <w:keepLines w:val="0"/>
      <w:spacing w:after="240" w:line="192" w:lineRule="auto"/>
      <w:outlineLvl w:val="4"/>
    </w:pPr>
    <w:rPr>
      <w:rFonts w:ascii="Open Sans Semibold" w:hAnsi="Open Sans Semibold"/>
      <w:b/>
      <w:color w:val="0E2A3F" w:themeColor="text2"/>
      <w:sz w:val="40"/>
    </w:rPr>
  </w:style>
  <w:style w:type="paragraph" w:styleId="Titolo6">
    <w:name w:val="heading 6"/>
    <w:basedOn w:val="Titolo2"/>
    <w:next w:val="Normale"/>
    <w:link w:val="Titolo6Carattere"/>
    <w:uiPriority w:val="9"/>
    <w:unhideWhenUsed/>
    <w:qFormat/>
    <w:locked/>
    <w:rsid w:val="009A530B"/>
    <w:pPr>
      <w:numPr>
        <w:ilvl w:val="0"/>
        <w:numId w:val="0"/>
      </w:numPr>
      <w:outlineLvl w:val="5"/>
    </w:pPr>
  </w:style>
  <w:style w:type="paragraph" w:styleId="Titolo7">
    <w:name w:val="heading 7"/>
    <w:basedOn w:val="Titolo"/>
    <w:next w:val="Normale"/>
    <w:link w:val="Titolo7Carattere"/>
    <w:uiPriority w:val="9"/>
    <w:unhideWhenUsed/>
    <w:qFormat/>
    <w:locked/>
    <w:rsid w:val="00811084"/>
    <w:pPr>
      <w:ind w:left="0"/>
      <w:jc w:val="left"/>
      <w:outlineLvl w:val="6"/>
    </w:pPr>
    <w:rPr>
      <w:rFonts w:ascii="Open Sans" w:hAnsi="Open Sans"/>
      <w:color w:val="auto"/>
      <w:spacing w:val="0"/>
      <w:sz w:val="20"/>
    </w:rPr>
  </w:style>
  <w:style w:type="paragraph" w:styleId="Titolo8">
    <w:name w:val="heading 8"/>
    <w:basedOn w:val="Normale"/>
    <w:next w:val="Normale"/>
    <w:link w:val="Titolo8Carattere"/>
    <w:uiPriority w:val="9"/>
    <w:unhideWhenUsed/>
    <w:qFormat/>
    <w:locked/>
    <w:rsid w:val="00811084"/>
    <w:pPr>
      <w:keepNext/>
      <w:spacing w:before="40" w:after="0"/>
      <w:outlineLvl w:val="7"/>
    </w:pPr>
    <w:rPr>
      <w:rFonts w:eastAsiaTheme="majorEastAsia" w:cstheme="majorBidi"/>
      <w:bCs w:val="0"/>
      <w:iCs/>
    </w:rPr>
  </w:style>
  <w:style w:type="paragraph" w:styleId="Titolo9">
    <w:name w:val="heading 9"/>
    <w:basedOn w:val="Normale"/>
    <w:next w:val="Normale"/>
    <w:link w:val="Titolo9Carattere"/>
    <w:uiPriority w:val="9"/>
    <w:unhideWhenUsed/>
    <w:qFormat/>
    <w:locked/>
    <w:rsid w:val="00811084"/>
    <w:pPr>
      <w:keepNext/>
      <w:spacing w:before="40" w:after="0"/>
      <w:outlineLvl w:val="8"/>
    </w:pPr>
    <w:rPr>
      <w:rFonts w:eastAsiaTheme="majorEastAsia" w:cstheme="majorBidi"/>
      <w:iCs/>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B0C9C"/>
    <w:rPr>
      <w:rFonts w:ascii="Open Sans Semibold" w:eastAsiaTheme="majorEastAsia" w:hAnsi="Open Sans Semibold" w:cstheme="majorBidi"/>
      <w:b/>
      <w:bCs/>
      <w:color w:val="0E2A3F" w:themeColor="text2"/>
      <w:sz w:val="40"/>
      <w:szCs w:val="36"/>
    </w:rPr>
  </w:style>
  <w:style w:type="character" w:customStyle="1" w:styleId="Titolo2Carattere">
    <w:name w:val="Titolo 2 Carattere"/>
    <w:basedOn w:val="Carpredefinitoparagrafo"/>
    <w:link w:val="Titolo2"/>
    <w:uiPriority w:val="9"/>
    <w:rsid w:val="005B0C9C"/>
    <w:rPr>
      <w:rFonts w:ascii="Open Sans Semibold" w:eastAsia="MS Mincho" w:hAnsi="Open Sans Semibold"/>
      <w:b/>
      <w:color w:val="0E2A3F" w:themeColor="text2"/>
      <w:sz w:val="28"/>
      <w:szCs w:val="18"/>
      <w:lang w:val="en-US" w:eastAsia="en-US"/>
    </w:rPr>
  </w:style>
  <w:style w:type="character" w:customStyle="1" w:styleId="Titolo3Carattere">
    <w:name w:val="Titolo 3 Carattere"/>
    <w:basedOn w:val="Carpredefinitoparagrafo"/>
    <w:link w:val="Titolo3"/>
    <w:uiPriority w:val="9"/>
    <w:rsid w:val="00335D3E"/>
    <w:rPr>
      <w:rFonts w:ascii="Open Sans" w:eastAsia="MS Mincho" w:hAnsi="Open Sans" w:cs="Open Sans"/>
      <w:b/>
      <w:color w:val="0E2A3F" w:themeColor="text2"/>
      <w:sz w:val="20"/>
      <w:szCs w:val="24"/>
    </w:rPr>
  </w:style>
  <w:style w:type="character" w:customStyle="1" w:styleId="Titolo4Carattere">
    <w:name w:val="Titolo 4 Carattere"/>
    <w:basedOn w:val="Carpredefinitoparagrafo"/>
    <w:link w:val="Titolo4"/>
    <w:uiPriority w:val="9"/>
    <w:rsid w:val="00335D3E"/>
    <w:rPr>
      <w:rFonts w:ascii="Open Sans" w:eastAsia="MS Mincho" w:hAnsi="Open Sans" w:cs="Open Sans"/>
      <w:b/>
      <w:color w:val="0E2A3F" w:themeColor="text2"/>
      <w:sz w:val="20"/>
      <w:lang w:eastAsia="en-US"/>
    </w:rPr>
  </w:style>
  <w:style w:type="character" w:styleId="Enfasigrassetto">
    <w:name w:val="Strong"/>
    <w:basedOn w:val="Carpredefinitoparagrafo"/>
    <w:uiPriority w:val="22"/>
    <w:qFormat/>
    <w:locked/>
    <w:rsid w:val="005D311D"/>
    <w:rPr>
      <w:b/>
      <w:bCs/>
    </w:rPr>
  </w:style>
  <w:style w:type="character" w:customStyle="1" w:styleId="Titolo5Carattere">
    <w:name w:val="Titolo 5 Carattere"/>
    <w:basedOn w:val="Carpredefinitoparagrafo"/>
    <w:link w:val="Titolo5"/>
    <w:uiPriority w:val="9"/>
    <w:rsid w:val="005B0C9C"/>
    <w:rPr>
      <w:rFonts w:ascii="Open Sans Semibold" w:eastAsia="MS Mincho" w:hAnsi="Open Sans Semibold"/>
      <w:b/>
      <w:bCs/>
      <w:color w:val="0E2A3F" w:themeColor="text2"/>
      <w:sz w:val="40"/>
      <w:szCs w:val="28"/>
    </w:rPr>
  </w:style>
  <w:style w:type="character" w:customStyle="1" w:styleId="Titolo6Carattere">
    <w:name w:val="Titolo 6 Carattere"/>
    <w:basedOn w:val="Carpredefinitoparagrafo"/>
    <w:link w:val="Titolo6"/>
    <w:uiPriority w:val="9"/>
    <w:rsid w:val="009A530B"/>
    <w:rPr>
      <w:rFonts w:ascii="Open Sans Light" w:eastAsia="MS Mincho" w:hAnsi="Open Sans Light"/>
      <w:color w:val="2BB8C9" w:themeColor="accent2"/>
      <w:sz w:val="28"/>
      <w:szCs w:val="18"/>
      <w:lang w:val="en-US" w:eastAsia="en-US"/>
    </w:rPr>
  </w:style>
  <w:style w:type="character" w:customStyle="1" w:styleId="Titolo7Carattere">
    <w:name w:val="Titolo 7 Carattere"/>
    <w:basedOn w:val="Carpredefinitoparagrafo"/>
    <w:link w:val="Titolo7"/>
    <w:uiPriority w:val="9"/>
    <w:rsid w:val="00811084"/>
    <w:rPr>
      <w:rFonts w:ascii="Open Sans" w:eastAsiaTheme="majorEastAsia" w:hAnsi="Open Sans" w:cs="Times New Roman (Titoli CS)"/>
      <w:bCs/>
      <w:sz w:val="20"/>
      <w:szCs w:val="72"/>
    </w:rPr>
  </w:style>
  <w:style w:type="character" w:customStyle="1" w:styleId="Titolo8Carattere">
    <w:name w:val="Titolo 8 Carattere"/>
    <w:basedOn w:val="Carpredefinitoparagrafo"/>
    <w:link w:val="Titolo8"/>
    <w:uiPriority w:val="9"/>
    <w:rsid w:val="00811084"/>
    <w:rPr>
      <w:rFonts w:ascii="Open Sans" w:eastAsiaTheme="majorEastAsia" w:hAnsi="Open Sans" w:cstheme="majorBidi"/>
      <w:iCs/>
      <w:sz w:val="20"/>
      <w:szCs w:val="28"/>
    </w:rPr>
  </w:style>
  <w:style w:type="character" w:customStyle="1" w:styleId="Titolo9Carattere">
    <w:name w:val="Titolo 9 Carattere"/>
    <w:basedOn w:val="Carpredefinitoparagrafo"/>
    <w:link w:val="Titolo9"/>
    <w:uiPriority w:val="9"/>
    <w:rsid w:val="00811084"/>
    <w:rPr>
      <w:rFonts w:ascii="Open Sans" w:eastAsiaTheme="majorEastAsia" w:hAnsi="Open Sans" w:cstheme="majorBidi"/>
      <w:bCs/>
      <w:iCs/>
      <w:sz w:val="20"/>
      <w:szCs w:val="28"/>
    </w:rPr>
  </w:style>
  <w:style w:type="paragraph" w:styleId="Intestazione">
    <w:name w:val="header"/>
    <w:basedOn w:val="Normale"/>
    <w:link w:val="IntestazioneCarattere"/>
    <w:semiHidden/>
    <w:rsid w:val="00147919"/>
    <w:pPr>
      <w:keepLines w:val="0"/>
      <w:spacing w:after="0" w:line="259" w:lineRule="auto"/>
      <w:jc w:val="right"/>
    </w:pPr>
    <w:rPr>
      <w:sz w:val="18"/>
      <w:szCs w:val="18"/>
    </w:rPr>
  </w:style>
  <w:style w:type="character" w:customStyle="1" w:styleId="IntestazioneCarattere">
    <w:name w:val="Intestazione Carattere"/>
    <w:link w:val="Intestazione"/>
    <w:semiHidden/>
    <w:rsid w:val="00147919"/>
    <w:rPr>
      <w:rFonts w:ascii="Open Sans" w:eastAsia="MS Mincho" w:hAnsi="Open Sans"/>
      <w:bCs/>
      <w:sz w:val="18"/>
      <w:szCs w:val="18"/>
    </w:rPr>
  </w:style>
  <w:style w:type="paragraph" w:styleId="Pidipagina">
    <w:name w:val="footer"/>
    <w:basedOn w:val="Normale"/>
    <w:link w:val="PidipaginaCarattere"/>
    <w:uiPriority w:val="99"/>
    <w:rsid w:val="0066509D"/>
    <w:pPr>
      <w:keepLines w:val="0"/>
      <w:spacing w:after="160" w:line="259" w:lineRule="auto"/>
      <w:jc w:val="right"/>
    </w:pPr>
    <w:rPr>
      <w:bCs w:val="0"/>
      <w:color w:val="76798B" w:themeColor="background2"/>
      <w:sz w:val="18"/>
      <w:szCs w:val="18"/>
    </w:rPr>
  </w:style>
  <w:style w:type="character" w:customStyle="1" w:styleId="PidipaginaCarattere">
    <w:name w:val="Piè di pagina Carattere"/>
    <w:link w:val="Pidipagina"/>
    <w:uiPriority w:val="99"/>
    <w:rsid w:val="00833FE3"/>
    <w:rPr>
      <w:rFonts w:ascii="Open Sans" w:eastAsia="MS Mincho" w:hAnsi="Open Sans"/>
      <w:color w:val="76798B" w:themeColor="background2"/>
      <w:sz w:val="18"/>
      <w:szCs w:val="18"/>
    </w:rPr>
  </w:style>
  <w:style w:type="paragraph" w:styleId="Sommario3">
    <w:name w:val="toc 3"/>
    <w:basedOn w:val="Normale"/>
    <w:next w:val="Normale"/>
    <w:autoRedefine/>
    <w:uiPriority w:val="39"/>
    <w:locked/>
    <w:rsid w:val="00DA119D"/>
    <w:pPr>
      <w:tabs>
        <w:tab w:val="left" w:pos="1440"/>
        <w:tab w:val="right" w:pos="9060"/>
      </w:tabs>
      <w:spacing w:after="240" w:line="288" w:lineRule="auto"/>
      <w:ind w:left="1248" w:hanging="397"/>
      <w:contextualSpacing/>
    </w:pPr>
    <w:rPr>
      <w:rFonts w:cs="Open Sans"/>
      <w:noProof/>
      <w:sz w:val="19"/>
      <w:szCs w:val="20"/>
    </w:rPr>
  </w:style>
  <w:style w:type="character" w:styleId="Testosegnaposto">
    <w:name w:val="Placeholder Text"/>
    <w:uiPriority w:val="99"/>
    <w:semiHidden/>
    <w:locked/>
    <w:rsid w:val="005D1F34"/>
    <w:rPr>
      <w:color w:val="808080"/>
    </w:rPr>
  </w:style>
  <w:style w:type="paragraph" w:styleId="Elencocontinua4">
    <w:name w:val="List Continue 4"/>
    <w:basedOn w:val="Normale"/>
    <w:semiHidden/>
    <w:locked/>
    <w:rsid w:val="0090165F"/>
    <w:pPr>
      <w:spacing w:after="120"/>
      <w:ind w:left="1132"/>
    </w:pPr>
  </w:style>
  <w:style w:type="numbering" w:styleId="111111">
    <w:name w:val="Outline List 2"/>
    <w:basedOn w:val="Nessunelenco"/>
    <w:semiHidden/>
    <w:locked/>
    <w:rsid w:val="00E45954"/>
    <w:pPr>
      <w:numPr>
        <w:numId w:val="7"/>
      </w:numPr>
    </w:pPr>
  </w:style>
  <w:style w:type="paragraph" w:styleId="Sommario1">
    <w:name w:val="toc 1"/>
    <w:basedOn w:val="Normale"/>
    <w:next w:val="Normale"/>
    <w:autoRedefine/>
    <w:uiPriority w:val="39"/>
    <w:locked/>
    <w:rsid w:val="00E60F48"/>
    <w:pPr>
      <w:tabs>
        <w:tab w:val="left" w:pos="360"/>
        <w:tab w:val="right" w:pos="9060"/>
      </w:tabs>
      <w:spacing w:line="240" w:lineRule="auto"/>
      <w:ind w:left="284" w:hanging="284"/>
    </w:pPr>
    <w:rPr>
      <w:rFonts w:cs="Open Sans"/>
      <w:b/>
      <w:noProof/>
      <w:sz w:val="19"/>
      <w:lang w:val="en-US" w:eastAsia="en-US"/>
    </w:rPr>
  </w:style>
  <w:style w:type="paragraph" w:styleId="Sommario2">
    <w:name w:val="toc 2"/>
    <w:basedOn w:val="Normale"/>
    <w:next w:val="Normale"/>
    <w:autoRedefine/>
    <w:uiPriority w:val="39"/>
    <w:locked/>
    <w:rsid w:val="00E60F48"/>
    <w:pPr>
      <w:tabs>
        <w:tab w:val="left" w:pos="900"/>
        <w:tab w:val="right" w:pos="9060"/>
      </w:tabs>
      <w:spacing w:line="288" w:lineRule="auto"/>
      <w:ind w:left="851" w:hanging="567"/>
      <w:contextualSpacing/>
    </w:pPr>
    <w:rPr>
      <w:rFonts w:cs="Open Sans"/>
      <w:noProof/>
      <w:sz w:val="19"/>
      <w:szCs w:val="20"/>
      <w14:scene3d>
        <w14:camera w14:prst="orthographicFront"/>
        <w14:lightRig w14:rig="threePt" w14:dir="t">
          <w14:rot w14:lat="0" w14:lon="0" w14:rev="0"/>
        </w14:lightRig>
      </w14:scene3d>
    </w:rPr>
  </w:style>
  <w:style w:type="paragraph" w:styleId="Sommario4">
    <w:name w:val="toc 4"/>
    <w:basedOn w:val="Sommario1"/>
    <w:next w:val="Normale"/>
    <w:autoRedefine/>
    <w:uiPriority w:val="39"/>
    <w:locked/>
    <w:rsid w:val="00BF05F7"/>
    <w:pPr>
      <w:ind w:left="0" w:firstLine="0"/>
    </w:pPr>
  </w:style>
  <w:style w:type="character" w:styleId="Collegamentoipertestuale">
    <w:name w:val="Hyperlink"/>
    <w:uiPriority w:val="99"/>
    <w:unhideWhenUsed/>
    <w:locked/>
    <w:rsid w:val="003A7923"/>
    <w:rPr>
      <w:b w:val="0"/>
      <w:color w:val="0070BA" w:themeColor="accent1"/>
    </w:rPr>
  </w:style>
  <w:style w:type="paragraph" w:styleId="Titolosommario">
    <w:name w:val="TOC Heading"/>
    <w:basedOn w:val="Titolo1"/>
    <w:next w:val="Normale"/>
    <w:uiPriority w:val="39"/>
    <w:unhideWhenUsed/>
    <w:qFormat/>
    <w:locked/>
    <w:rsid w:val="005B0C9C"/>
    <w:pPr>
      <w:pageBreakBefore w:val="0"/>
      <w:numPr>
        <w:numId w:val="0"/>
      </w:numPr>
      <w:spacing w:before="0" w:line="240" w:lineRule="auto"/>
      <w:outlineLvl w:val="9"/>
    </w:pPr>
    <w:rPr>
      <w:b w:val="0"/>
    </w:rPr>
  </w:style>
  <w:style w:type="paragraph" w:styleId="Testonotadichiusura">
    <w:name w:val="endnote text"/>
    <w:basedOn w:val="Normale"/>
    <w:link w:val="TestonotadichiusuraCarattere"/>
    <w:qFormat/>
    <w:rsid w:val="00E2526F"/>
    <w:pPr>
      <w:spacing w:before="120" w:after="120" w:line="264" w:lineRule="auto"/>
      <w:ind w:left="397" w:hanging="397"/>
    </w:pPr>
    <w:rPr>
      <w:sz w:val="18"/>
      <w:szCs w:val="20"/>
    </w:rPr>
  </w:style>
  <w:style w:type="character" w:customStyle="1" w:styleId="TestonotadichiusuraCarattere">
    <w:name w:val="Testo nota di chiusura Carattere"/>
    <w:link w:val="Testonotadichiusura"/>
    <w:rsid w:val="00E2526F"/>
    <w:rPr>
      <w:rFonts w:ascii="Open Sans" w:eastAsia="MS Mincho" w:hAnsi="Open Sans"/>
      <w:bCs/>
      <w:sz w:val="18"/>
      <w:szCs w:val="20"/>
    </w:rPr>
  </w:style>
  <w:style w:type="character" w:styleId="Rimandonotadichiusura">
    <w:name w:val="endnote reference"/>
    <w:qFormat/>
    <w:rsid w:val="00EB0130"/>
    <w:rPr>
      <w:rFonts w:ascii="Open Sans" w:hAnsi="Open Sans"/>
      <w:sz w:val="20"/>
      <w:vertAlign w:val="superscript"/>
    </w:rPr>
  </w:style>
  <w:style w:type="numbering" w:styleId="1ai">
    <w:name w:val="Outline List 1"/>
    <w:basedOn w:val="Nessunelenco"/>
    <w:semiHidden/>
    <w:locked/>
    <w:rsid w:val="00E45954"/>
    <w:pPr>
      <w:numPr>
        <w:numId w:val="8"/>
      </w:numPr>
    </w:pPr>
  </w:style>
  <w:style w:type="numbering" w:styleId="ArticoloSezione">
    <w:name w:val="Outline List 3"/>
    <w:basedOn w:val="Nessunelenco"/>
    <w:semiHidden/>
    <w:locked/>
    <w:rsid w:val="00E45954"/>
    <w:pPr>
      <w:numPr>
        <w:numId w:val="9"/>
      </w:numPr>
    </w:pPr>
  </w:style>
  <w:style w:type="paragraph" w:customStyle="1" w:styleId="CopyrightAddress">
    <w:name w:val="Copyright Address"/>
    <w:basedOn w:val="CopyrightTextIndent"/>
    <w:qFormat/>
    <w:rsid w:val="003E224E"/>
    <w:pPr>
      <w:ind w:left="0"/>
      <w:contextualSpacing/>
    </w:pPr>
  </w:style>
  <w:style w:type="paragraph" w:styleId="Primorientrocorpodeltesto">
    <w:name w:val="Body Text First Indent"/>
    <w:basedOn w:val="Normale"/>
    <w:semiHidden/>
    <w:locked/>
    <w:rsid w:val="0050470A"/>
    <w:pPr>
      <w:spacing w:after="120"/>
      <w:ind w:firstLine="210"/>
    </w:pPr>
  </w:style>
  <w:style w:type="paragraph" w:styleId="Rientrocorpodeltesto">
    <w:name w:val="Body Text Indent"/>
    <w:basedOn w:val="Normale"/>
    <w:semiHidden/>
    <w:locked/>
    <w:rsid w:val="00E45954"/>
    <w:pPr>
      <w:spacing w:after="120"/>
      <w:ind w:left="283"/>
    </w:pPr>
  </w:style>
  <w:style w:type="paragraph" w:styleId="Primorientrocorpodeltesto2">
    <w:name w:val="Body Text First Indent 2"/>
    <w:basedOn w:val="Rientrocorpodeltesto"/>
    <w:semiHidden/>
    <w:locked/>
    <w:rsid w:val="00E45954"/>
    <w:pPr>
      <w:ind w:firstLine="210"/>
    </w:pPr>
  </w:style>
  <w:style w:type="paragraph" w:styleId="Rientrocorpodeltesto2">
    <w:name w:val="Body Text Indent 2"/>
    <w:basedOn w:val="Normale"/>
    <w:semiHidden/>
    <w:locked/>
    <w:rsid w:val="00E45954"/>
    <w:pPr>
      <w:spacing w:after="120" w:line="480" w:lineRule="auto"/>
      <w:ind w:left="283"/>
    </w:pPr>
  </w:style>
  <w:style w:type="paragraph" w:styleId="Rientrocorpodeltesto3">
    <w:name w:val="Body Text Indent 3"/>
    <w:basedOn w:val="Normale"/>
    <w:semiHidden/>
    <w:locked/>
    <w:rsid w:val="00E45954"/>
    <w:pPr>
      <w:spacing w:after="120"/>
      <w:ind w:left="283"/>
    </w:pPr>
    <w:rPr>
      <w:sz w:val="16"/>
      <w:szCs w:val="16"/>
    </w:rPr>
  </w:style>
  <w:style w:type="paragraph" w:styleId="Formuladichiusura">
    <w:name w:val="Closing"/>
    <w:basedOn w:val="Normale"/>
    <w:semiHidden/>
    <w:locked/>
    <w:rsid w:val="00E45954"/>
    <w:pPr>
      <w:ind w:left="4252"/>
    </w:pPr>
  </w:style>
  <w:style w:type="paragraph" w:styleId="Data">
    <w:name w:val="Date"/>
    <w:basedOn w:val="Normale"/>
    <w:next w:val="Normale"/>
    <w:link w:val="DataCarattere"/>
    <w:semiHidden/>
    <w:locked/>
    <w:rsid w:val="00C33104"/>
    <w:pPr>
      <w:spacing w:before="120" w:after="120"/>
      <w:jc w:val="right"/>
    </w:pPr>
    <w:rPr>
      <w:color w:val="595959"/>
      <w:sz w:val="26"/>
    </w:rPr>
  </w:style>
  <w:style w:type="paragraph" w:styleId="Firmadipostaelettronica">
    <w:name w:val="E-mail Signature"/>
    <w:basedOn w:val="Normale"/>
    <w:link w:val="FirmadipostaelettronicaCarattere"/>
    <w:semiHidden/>
    <w:locked/>
    <w:rsid w:val="00E45954"/>
  </w:style>
  <w:style w:type="character" w:styleId="Enfasicorsivo">
    <w:name w:val="Emphasis"/>
    <w:basedOn w:val="Carpredefinitoparagrafo"/>
    <w:uiPriority w:val="20"/>
    <w:qFormat/>
    <w:locked/>
    <w:rsid w:val="005D311D"/>
    <w:rPr>
      <w:i/>
      <w:iCs/>
    </w:rPr>
  </w:style>
  <w:style w:type="paragraph" w:styleId="Indirizzodestinatario">
    <w:name w:val="envelope address"/>
    <w:basedOn w:val="Normale"/>
    <w:semiHidden/>
    <w:locked/>
    <w:rsid w:val="000A1DB8"/>
    <w:pPr>
      <w:framePr w:w="7920" w:h="1980" w:hRule="exact" w:hSpace="180" w:wrap="auto" w:hAnchor="page" w:xAlign="center" w:yAlign="bottom"/>
      <w:spacing w:after="0"/>
      <w:ind w:left="2880"/>
    </w:pPr>
    <w:rPr>
      <w:rFonts w:cs="Arial"/>
    </w:rPr>
  </w:style>
  <w:style w:type="paragraph" w:styleId="Indirizzomittente">
    <w:name w:val="envelope return"/>
    <w:basedOn w:val="Normale"/>
    <w:semiHidden/>
    <w:locked/>
    <w:rsid w:val="00E45954"/>
    <w:rPr>
      <w:rFonts w:cs="Arial"/>
      <w:szCs w:val="20"/>
    </w:rPr>
  </w:style>
  <w:style w:type="character" w:styleId="Rimandonotaapidipagina">
    <w:name w:val="footnote reference"/>
    <w:semiHidden/>
    <w:rsid w:val="000A1DB8"/>
    <w:rPr>
      <w:rFonts w:ascii="Arial" w:hAnsi="Arial"/>
      <w:sz w:val="20"/>
      <w:vertAlign w:val="superscript"/>
    </w:rPr>
  </w:style>
  <w:style w:type="paragraph" w:styleId="Testonotaapidipagina">
    <w:name w:val="footnote text"/>
    <w:basedOn w:val="Normale"/>
    <w:link w:val="TestonotaapidipaginaCarattere"/>
    <w:semiHidden/>
    <w:rsid w:val="000E130A"/>
    <w:pPr>
      <w:spacing w:after="0"/>
    </w:pPr>
    <w:rPr>
      <w:szCs w:val="20"/>
    </w:rPr>
  </w:style>
  <w:style w:type="character" w:styleId="AcronimoHTML">
    <w:name w:val="HTML Acronym"/>
    <w:basedOn w:val="Carpredefinitoparagrafo"/>
    <w:semiHidden/>
    <w:locked/>
    <w:rsid w:val="00E45954"/>
  </w:style>
  <w:style w:type="paragraph" w:styleId="IndirizzoHTML">
    <w:name w:val="HTML Address"/>
    <w:basedOn w:val="Normale"/>
    <w:semiHidden/>
    <w:locked/>
    <w:rsid w:val="00E45954"/>
    <w:rPr>
      <w:i/>
      <w:iCs/>
    </w:rPr>
  </w:style>
  <w:style w:type="character" w:styleId="CitazioneHTML">
    <w:name w:val="HTML Cite"/>
    <w:semiHidden/>
    <w:locked/>
    <w:rsid w:val="00E45954"/>
    <w:rPr>
      <w:i/>
      <w:iCs/>
    </w:rPr>
  </w:style>
  <w:style w:type="character" w:styleId="CodiceHTML">
    <w:name w:val="HTML Code"/>
    <w:semiHidden/>
    <w:locked/>
    <w:rsid w:val="00E45954"/>
    <w:rPr>
      <w:rFonts w:ascii="Courier New" w:hAnsi="Courier New" w:cs="Courier New"/>
      <w:sz w:val="20"/>
      <w:szCs w:val="20"/>
    </w:rPr>
  </w:style>
  <w:style w:type="character" w:styleId="DefinizioneHTML">
    <w:name w:val="HTML Definition"/>
    <w:semiHidden/>
    <w:locked/>
    <w:rsid w:val="00E45954"/>
    <w:rPr>
      <w:i/>
      <w:iCs/>
    </w:rPr>
  </w:style>
  <w:style w:type="character" w:styleId="TastieraHTML">
    <w:name w:val="HTML Keyboard"/>
    <w:semiHidden/>
    <w:locked/>
    <w:rsid w:val="00E45954"/>
    <w:rPr>
      <w:rFonts w:ascii="Courier New" w:hAnsi="Courier New" w:cs="Courier New"/>
      <w:sz w:val="20"/>
      <w:szCs w:val="20"/>
    </w:rPr>
  </w:style>
  <w:style w:type="paragraph" w:styleId="PreformattatoHTML">
    <w:name w:val="HTML Preformatted"/>
    <w:basedOn w:val="Normale"/>
    <w:semiHidden/>
    <w:locked/>
    <w:rsid w:val="00E45954"/>
    <w:rPr>
      <w:rFonts w:ascii="Courier New" w:hAnsi="Courier New" w:cs="Courier New"/>
      <w:szCs w:val="20"/>
    </w:rPr>
  </w:style>
  <w:style w:type="character" w:styleId="EsempioHTML">
    <w:name w:val="HTML Sample"/>
    <w:semiHidden/>
    <w:locked/>
    <w:rsid w:val="00E45954"/>
    <w:rPr>
      <w:rFonts w:ascii="Courier New" w:hAnsi="Courier New" w:cs="Courier New"/>
    </w:rPr>
  </w:style>
  <w:style w:type="character" w:styleId="MacchinadascrivereHTML">
    <w:name w:val="HTML Typewriter"/>
    <w:semiHidden/>
    <w:locked/>
    <w:rsid w:val="00E45954"/>
    <w:rPr>
      <w:rFonts w:ascii="Courier New" w:hAnsi="Courier New" w:cs="Courier New"/>
      <w:sz w:val="20"/>
      <w:szCs w:val="20"/>
    </w:rPr>
  </w:style>
  <w:style w:type="character" w:styleId="VariabileHTML">
    <w:name w:val="HTML Variable"/>
    <w:semiHidden/>
    <w:locked/>
    <w:rsid w:val="00E45954"/>
    <w:rPr>
      <w:i/>
      <w:iCs/>
    </w:rPr>
  </w:style>
  <w:style w:type="character" w:styleId="Numeroriga">
    <w:name w:val="line number"/>
    <w:basedOn w:val="Carpredefinitoparagrafo"/>
    <w:semiHidden/>
    <w:locked/>
    <w:rsid w:val="00E45954"/>
  </w:style>
  <w:style w:type="paragraph" w:styleId="Elenco">
    <w:name w:val="List"/>
    <w:basedOn w:val="Normale"/>
    <w:semiHidden/>
    <w:locked/>
    <w:rsid w:val="00E45954"/>
    <w:pPr>
      <w:ind w:left="283" w:hanging="283"/>
    </w:pPr>
  </w:style>
  <w:style w:type="paragraph" w:styleId="Elenco2">
    <w:name w:val="List 2"/>
    <w:basedOn w:val="Normale"/>
    <w:semiHidden/>
    <w:locked/>
    <w:rsid w:val="00E45954"/>
    <w:pPr>
      <w:ind w:left="566" w:hanging="283"/>
    </w:pPr>
  </w:style>
  <w:style w:type="paragraph" w:styleId="Elenco3">
    <w:name w:val="List 3"/>
    <w:basedOn w:val="Normale"/>
    <w:semiHidden/>
    <w:locked/>
    <w:rsid w:val="00E45954"/>
    <w:pPr>
      <w:ind w:left="849" w:hanging="283"/>
    </w:pPr>
  </w:style>
  <w:style w:type="paragraph" w:styleId="Elenco4">
    <w:name w:val="List 4"/>
    <w:basedOn w:val="Normale"/>
    <w:semiHidden/>
    <w:locked/>
    <w:rsid w:val="00E45954"/>
    <w:pPr>
      <w:ind w:left="1132" w:hanging="283"/>
    </w:pPr>
  </w:style>
  <w:style w:type="paragraph" w:styleId="Elenco5">
    <w:name w:val="List 5"/>
    <w:basedOn w:val="Normale"/>
    <w:semiHidden/>
    <w:locked/>
    <w:rsid w:val="00E45954"/>
    <w:pPr>
      <w:ind w:left="1415" w:hanging="283"/>
    </w:pPr>
  </w:style>
  <w:style w:type="paragraph" w:styleId="Puntoelenco">
    <w:name w:val="List Bullet"/>
    <w:basedOn w:val="Normale"/>
    <w:uiPriority w:val="9"/>
    <w:qFormat/>
    <w:locked/>
    <w:rsid w:val="00335D3E"/>
    <w:pPr>
      <w:keepLines w:val="0"/>
      <w:numPr>
        <w:numId w:val="22"/>
      </w:numPr>
      <w:spacing w:before="120" w:after="120"/>
    </w:pPr>
    <w:rPr>
      <w:bCs w:val="0"/>
      <w:iCs/>
      <w:szCs w:val="22"/>
    </w:rPr>
  </w:style>
  <w:style w:type="paragraph" w:styleId="Puntoelenco2">
    <w:name w:val="List Bullet 2"/>
    <w:basedOn w:val="Normale"/>
    <w:semiHidden/>
    <w:locked/>
    <w:rsid w:val="006B7046"/>
    <w:pPr>
      <w:keepLines w:val="0"/>
      <w:numPr>
        <w:numId w:val="11"/>
      </w:numPr>
    </w:pPr>
    <w:rPr>
      <w:rFonts w:cs="Open Sans"/>
      <w:bCs w:val="0"/>
      <w:szCs w:val="22"/>
    </w:rPr>
  </w:style>
  <w:style w:type="paragraph" w:styleId="Puntoelenco3">
    <w:name w:val="List Bullet 3"/>
    <w:basedOn w:val="Normale"/>
    <w:semiHidden/>
    <w:locked/>
    <w:rsid w:val="006B7046"/>
    <w:pPr>
      <w:keepLines w:val="0"/>
      <w:numPr>
        <w:numId w:val="12"/>
      </w:numPr>
      <w:contextualSpacing/>
    </w:pPr>
    <w:rPr>
      <w:bCs w:val="0"/>
      <w:iCs/>
      <w:szCs w:val="22"/>
    </w:rPr>
  </w:style>
  <w:style w:type="paragraph" w:styleId="Puntoelenco4">
    <w:name w:val="List Bullet 4"/>
    <w:basedOn w:val="Normale"/>
    <w:semiHidden/>
    <w:locked/>
    <w:rsid w:val="00335D3E"/>
    <w:pPr>
      <w:keepLines w:val="0"/>
      <w:numPr>
        <w:numId w:val="10"/>
      </w:numPr>
    </w:pPr>
    <w:rPr>
      <w:bCs w:val="0"/>
      <w:szCs w:val="22"/>
    </w:rPr>
  </w:style>
  <w:style w:type="paragraph" w:styleId="Puntoelenco5">
    <w:name w:val="List Bullet 5"/>
    <w:basedOn w:val="Normale"/>
    <w:semiHidden/>
    <w:locked/>
    <w:rsid w:val="003A378B"/>
    <w:pPr>
      <w:numPr>
        <w:numId w:val="1"/>
      </w:numPr>
      <w:spacing w:before="120" w:after="120" w:line="288" w:lineRule="auto"/>
      <w:contextualSpacing/>
    </w:pPr>
  </w:style>
  <w:style w:type="paragraph" w:styleId="Elencocontinua">
    <w:name w:val="List Continue"/>
    <w:basedOn w:val="Normale"/>
    <w:semiHidden/>
    <w:locked/>
    <w:rsid w:val="00E45954"/>
    <w:pPr>
      <w:spacing w:after="120"/>
      <w:ind w:left="283"/>
    </w:pPr>
  </w:style>
  <w:style w:type="paragraph" w:styleId="Elencocontinua2">
    <w:name w:val="List Continue 2"/>
    <w:basedOn w:val="Normale"/>
    <w:semiHidden/>
    <w:locked/>
    <w:rsid w:val="00E45954"/>
    <w:pPr>
      <w:spacing w:after="120"/>
      <w:ind w:left="566"/>
    </w:pPr>
  </w:style>
  <w:style w:type="paragraph" w:styleId="Elencocontinua3">
    <w:name w:val="List Continue 3"/>
    <w:basedOn w:val="Normale"/>
    <w:semiHidden/>
    <w:locked/>
    <w:rsid w:val="00E45954"/>
    <w:pPr>
      <w:spacing w:after="120"/>
      <w:ind w:left="849"/>
    </w:pPr>
  </w:style>
  <w:style w:type="paragraph" w:styleId="Elencocontinua5">
    <w:name w:val="List Continue 5"/>
    <w:basedOn w:val="Normale"/>
    <w:semiHidden/>
    <w:locked/>
    <w:rsid w:val="00E45954"/>
    <w:pPr>
      <w:spacing w:after="120"/>
      <w:ind w:left="1415"/>
    </w:pPr>
  </w:style>
  <w:style w:type="paragraph" w:styleId="Numeroelenco">
    <w:name w:val="List Number"/>
    <w:basedOn w:val="Normale"/>
    <w:semiHidden/>
    <w:locked/>
    <w:rsid w:val="00E45954"/>
    <w:pPr>
      <w:numPr>
        <w:numId w:val="2"/>
      </w:numPr>
    </w:pPr>
  </w:style>
  <w:style w:type="paragraph" w:styleId="Numeroelenco2">
    <w:name w:val="List Number 2"/>
    <w:basedOn w:val="Normale"/>
    <w:semiHidden/>
    <w:locked/>
    <w:rsid w:val="00E45954"/>
    <w:pPr>
      <w:numPr>
        <w:numId w:val="5"/>
      </w:numPr>
    </w:pPr>
  </w:style>
  <w:style w:type="paragraph" w:styleId="Numeroelenco3">
    <w:name w:val="List Number 3"/>
    <w:basedOn w:val="Normale"/>
    <w:semiHidden/>
    <w:locked/>
    <w:rsid w:val="00E45954"/>
    <w:pPr>
      <w:numPr>
        <w:numId w:val="6"/>
      </w:numPr>
    </w:pPr>
  </w:style>
  <w:style w:type="paragraph" w:styleId="Numeroelenco4">
    <w:name w:val="List Number 4"/>
    <w:basedOn w:val="Normale"/>
    <w:semiHidden/>
    <w:locked/>
    <w:rsid w:val="00E45954"/>
    <w:pPr>
      <w:numPr>
        <w:numId w:val="3"/>
      </w:numPr>
    </w:pPr>
  </w:style>
  <w:style w:type="paragraph" w:styleId="Numeroelenco5">
    <w:name w:val="List Number 5"/>
    <w:basedOn w:val="Normale"/>
    <w:semiHidden/>
    <w:locked/>
    <w:rsid w:val="00E45954"/>
    <w:pPr>
      <w:numPr>
        <w:numId w:val="4"/>
      </w:numPr>
    </w:pPr>
  </w:style>
  <w:style w:type="paragraph" w:styleId="Intestazionemessaggio">
    <w:name w:val="Message Header"/>
    <w:basedOn w:val="Normale"/>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eWeb">
    <w:name w:val="Normal (Web)"/>
    <w:basedOn w:val="Normale"/>
    <w:uiPriority w:val="99"/>
    <w:semiHidden/>
    <w:locked/>
    <w:rsid w:val="00E45954"/>
    <w:rPr>
      <w:rFonts w:ascii="Times New Roman" w:hAnsi="Times New Roman"/>
    </w:rPr>
  </w:style>
  <w:style w:type="paragraph" w:styleId="Rientronormale">
    <w:name w:val="Normal Indent"/>
    <w:basedOn w:val="Normale"/>
    <w:semiHidden/>
    <w:locked/>
    <w:rsid w:val="00785A12"/>
    <w:pPr>
      <w:keepLines w:val="0"/>
      <w:ind w:left="567"/>
    </w:pPr>
  </w:style>
  <w:style w:type="paragraph" w:styleId="Intestazionenota">
    <w:name w:val="Note Heading"/>
    <w:basedOn w:val="Normale"/>
    <w:next w:val="Normale"/>
    <w:semiHidden/>
    <w:locked/>
    <w:rsid w:val="00A671C0"/>
    <w:pPr>
      <w:jc w:val="right"/>
    </w:pPr>
    <w:rPr>
      <w:color w:val="76798B" w:themeColor="background2"/>
    </w:rPr>
  </w:style>
  <w:style w:type="character" w:styleId="Numeropagina">
    <w:name w:val="page number"/>
    <w:basedOn w:val="Carpredefinitoparagrafo"/>
    <w:semiHidden/>
    <w:locked/>
    <w:rsid w:val="00E45954"/>
  </w:style>
  <w:style w:type="paragraph" w:styleId="Testonormale">
    <w:name w:val="Plain Text"/>
    <w:basedOn w:val="Normale"/>
    <w:semiHidden/>
    <w:locked/>
    <w:rsid w:val="00E45954"/>
    <w:rPr>
      <w:rFonts w:ascii="Courier New" w:hAnsi="Courier New" w:cs="Courier New"/>
      <w:szCs w:val="20"/>
    </w:rPr>
  </w:style>
  <w:style w:type="paragraph" w:styleId="Formuladiapertura">
    <w:name w:val="Salutation"/>
    <w:basedOn w:val="Normale"/>
    <w:next w:val="Normale"/>
    <w:semiHidden/>
    <w:locked/>
    <w:rsid w:val="00E45954"/>
  </w:style>
  <w:style w:type="paragraph" w:styleId="Firma">
    <w:name w:val="Signature"/>
    <w:basedOn w:val="Normale"/>
    <w:semiHidden/>
    <w:locked/>
    <w:rsid w:val="00E45954"/>
    <w:pPr>
      <w:ind w:left="4252"/>
    </w:pPr>
  </w:style>
  <w:style w:type="paragraph" w:styleId="Sottotitolo">
    <w:name w:val="Subtitle"/>
    <w:basedOn w:val="Normale"/>
    <w:next w:val="Normale"/>
    <w:link w:val="SottotitoloCarattere"/>
    <w:uiPriority w:val="11"/>
    <w:qFormat/>
    <w:locked/>
    <w:rsid w:val="00833FE3"/>
    <w:pPr>
      <w:spacing w:line="240" w:lineRule="auto"/>
      <w:jc w:val="center"/>
    </w:pPr>
    <w:rPr>
      <w:rFonts w:ascii="Open Sans Light" w:hAnsi="Open Sans Light"/>
      <w:color w:val="3B3C45" w:themeColor="background2" w:themeShade="80"/>
      <w:sz w:val="28"/>
    </w:rPr>
  </w:style>
  <w:style w:type="table" w:styleId="Tabellaeffetti3D1">
    <w:name w:val="Table 3D effects 1"/>
    <w:basedOn w:val="Tabellanormale"/>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
    <w:name w:val="Table Grid"/>
    <w:basedOn w:val="Tabellanormale"/>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1">
    <w:name w:val="Table Grid 1"/>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Elencotabella1">
    <w:name w:val="Table List 1"/>
    <w:basedOn w:val="Tabellanormale"/>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
    <w:name w:val="Title"/>
    <w:basedOn w:val="Normale"/>
    <w:next w:val="Normale"/>
    <w:link w:val="TitoloCarattere"/>
    <w:uiPriority w:val="10"/>
    <w:qFormat/>
    <w:locked/>
    <w:rsid w:val="00FB697F"/>
    <w:pPr>
      <w:spacing w:after="0" w:line="204" w:lineRule="auto"/>
      <w:ind w:left="1134" w:right="1134"/>
      <w:contextualSpacing/>
      <w:jc w:val="center"/>
    </w:pPr>
    <w:rPr>
      <w:rFonts w:ascii="Open Sans Light" w:eastAsiaTheme="majorEastAsia" w:hAnsi="Open Sans Light" w:cs="Times New Roman (Titoli CS)"/>
      <w:color w:val="76798B" w:themeColor="background2"/>
      <w:spacing w:val="-15"/>
      <w:sz w:val="72"/>
      <w:szCs w:val="72"/>
    </w:rPr>
  </w:style>
  <w:style w:type="character" w:styleId="Collegamentovisitato">
    <w:name w:val="FollowedHyperlink"/>
    <w:semiHidden/>
    <w:locked/>
    <w:rsid w:val="003A7923"/>
    <w:rPr>
      <w:color w:val="0070BA" w:themeColor="accent1"/>
      <w:u w:val="none"/>
    </w:rPr>
  </w:style>
  <w:style w:type="paragraph" w:customStyle="1" w:styleId="MainTitle">
    <w:name w:val="Main Title"/>
    <w:semiHidden/>
    <w:rsid w:val="00FD01B5"/>
    <w:pPr>
      <w:spacing w:line="740" w:lineRule="exact"/>
      <w:contextualSpacing/>
      <w:jc w:val="right"/>
    </w:pPr>
    <w:rPr>
      <w:rFonts w:ascii="Arial" w:hAnsi="Arial"/>
      <w:bCs/>
      <w:color w:val="237BBC"/>
      <w:kern w:val="32"/>
      <w:sz w:val="56"/>
      <w:szCs w:val="32"/>
    </w:rPr>
  </w:style>
  <w:style w:type="paragraph" w:customStyle="1" w:styleId="HeaderFooter">
    <w:name w:val="Header &amp; Footer"/>
    <w:basedOn w:val="Normale"/>
    <w:semiHidden/>
    <w:rsid w:val="00591951"/>
    <w:pPr>
      <w:spacing w:line="200" w:lineRule="exact"/>
      <w:jc w:val="both"/>
    </w:pPr>
    <w:rPr>
      <w:rFonts w:eastAsia="Times New Roman" w:cs="ArialMT"/>
      <w:color w:val="000000"/>
      <w:sz w:val="16"/>
      <w:lang w:eastAsia="en-US"/>
    </w:rPr>
  </w:style>
  <w:style w:type="paragraph" w:customStyle="1" w:styleId="LogoType">
    <w:name w:val="Logo Type"/>
    <w:basedOn w:val="Intestazione"/>
    <w:semiHidden/>
    <w:rsid w:val="00591951"/>
    <w:pPr>
      <w:pBdr>
        <w:bottom w:val="single" w:sz="4" w:space="4" w:color="auto"/>
      </w:pBdr>
      <w:tabs>
        <w:tab w:val="left" w:pos="4686"/>
        <w:tab w:val="left" w:pos="7088"/>
        <w:tab w:val="left" w:pos="7242"/>
      </w:tabs>
      <w:spacing w:line="320" w:lineRule="exact"/>
    </w:pPr>
    <w:rPr>
      <w:rFonts w:cs="ArialMT"/>
      <w:b/>
      <w:color w:val="808080"/>
      <w:spacing w:val="-20"/>
      <w:sz w:val="32"/>
      <w:lang w:eastAsia="en-US"/>
    </w:rPr>
  </w:style>
  <w:style w:type="character" w:customStyle="1" w:styleId="CharChar">
    <w:name w:val="Char Char"/>
    <w:semiHidden/>
    <w:locked/>
    <w:rsid w:val="000A48AC"/>
    <w:rPr>
      <w:rFonts w:ascii="Arial" w:hAnsi="Arial" w:cs="Arial"/>
      <w:lang w:val="en-AU" w:eastAsia="en-AU" w:bidi="ar-SA"/>
    </w:rPr>
  </w:style>
  <w:style w:type="character" w:customStyle="1" w:styleId="SottotitoloCarattere">
    <w:name w:val="Sottotitolo Carattere"/>
    <w:basedOn w:val="Carpredefinitoparagrafo"/>
    <w:link w:val="Sottotitolo"/>
    <w:uiPriority w:val="11"/>
    <w:rsid w:val="00833FE3"/>
    <w:rPr>
      <w:rFonts w:ascii="Open Sans Light" w:eastAsia="MS Mincho" w:hAnsi="Open Sans Light"/>
      <w:bCs/>
      <w:color w:val="3B3C45" w:themeColor="background2" w:themeShade="80"/>
      <w:sz w:val="28"/>
      <w:szCs w:val="28"/>
    </w:rPr>
  </w:style>
  <w:style w:type="table" w:styleId="Tabellagriglia2-colore1">
    <w:name w:val="Grid Table 2 Accent 1"/>
    <w:basedOn w:val="Tabellanormale"/>
    <w:uiPriority w:val="47"/>
    <w:rsid w:val="00163C91"/>
    <w:tblPr>
      <w:tblStyleRowBandSize w:val="1"/>
      <w:tblStyleColBandSize w:val="1"/>
      <w:tblBorders>
        <w:top w:val="single" w:sz="2" w:space="0" w:color="3CB1FF" w:themeColor="accent1" w:themeTint="99"/>
        <w:bottom w:val="single" w:sz="2" w:space="0" w:color="3CB1FF" w:themeColor="accent1" w:themeTint="99"/>
        <w:insideH w:val="single" w:sz="2" w:space="0" w:color="3CB1FF" w:themeColor="accent1" w:themeTint="99"/>
        <w:insideV w:val="single" w:sz="2" w:space="0" w:color="3CB1FF" w:themeColor="accent1" w:themeTint="99"/>
      </w:tblBorders>
    </w:tblPr>
    <w:tblStylePr w:type="firstRow">
      <w:rPr>
        <w:b/>
        <w:bCs/>
      </w:rPr>
      <w:tblPr/>
      <w:tcPr>
        <w:tcBorders>
          <w:top w:val="nil"/>
          <w:bottom w:val="single" w:sz="12" w:space="0" w:color="3CB1FF" w:themeColor="accent1" w:themeTint="99"/>
          <w:insideH w:val="nil"/>
          <w:insideV w:val="nil"/>
        </w:tcBorders>
        <w:shd w:val="clear" w:color="auto" w:fill="FFFFFF" w:themeFill="background1"/>
      </w:tcPr>
    </w:tblStylePr>
    <w:tblStylePr w:type="lastRow">
      <w:rPr>
        <w:b/>
        <w:bCs/>
      </w:rPr>
      <w:tblPr/>
      <w:tcPr>
        <w:tcBorders>
          <w:top w:val="double" w:sz="2" w:space="0" w:color="3CB1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E5FF" w:themeFill="accent1" w:themeFillTint="33"/>
      </w:tcPr>
    </w:tblStylePr>
    <w:tblStylePr w:type="band1Horz">
      <w:tblPr/>
      <w:tcPr>
        <w:shd w:val="clear" w:color="auto" w:fill="BEE5FF" w:themeFill="accent1" w:themeFillTint="33"/>
      </w:tcPr>
    </w:tblStylePr>
  </w:style>
  <w:style w:type="table" w:styleId="Grigliachiara-Colore1">
    <w:name w:val="Light Grid Accent 1"/>
    <w:basedOn w:val="Tabellanormale"/>
    <w:uiPriority w:val="62"/>
    <w:rsid w:val="00B86A8A"/>
    <w:tblPr>
      <w:tblStyleRowBandSize w:val="1"/>
      <w:tblStyleColBandSize w:val="1"/>
      <w:tblBorders>
        <w:top w:val="single" w:sz="8" w:space="0" w:color="0070BA" w:themeColor="accent1"/>
        <w:left w:val="single" w:sz="8" w:space="0" w:color="0070BA" w:themeColor="accent1"/>
        <w:bottom w:val="single" w:sz="8" w:space="0" w:color="0070BA" w:themeColor="accent1"/>
        <w:right w:val="single" w:sz="8" w:space="0" w:color="0070BA" w:themeColor="accent1"/>
        <w:insideH w:val="single" w:sz="8" w:space="0" w:color="0070BA" w:themeColor="accent1"/>
        <w:insideV w:val="single" w:sz="8" w:space="0" w:color="0070B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BA" w:themeColor="accent1"/>
          <w:left w:val="single" w:sz="8" w:space="0" w:color="0070BA" w:themeColor="accent1"/>
          <w:bottom w:val="single" w:sz="18" w:space="0" w:color="0070BA" w:themeColor="accent1"/>
          <w:right w:val="single" w:sz="8" w:space="0" w:color="0070BA" w:themeColor="accent1"/>
          <w:insideH w:val="nil"/>
          <w:insideV w:val="single" w:sz="8" w:space="0" w:color="0070B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BA" w:themeColor="accent1"/>
          <w:left w:val="single" w:sz="8" w:space="0" w:color="0070BA" w:themeColor="accent1"/>
          <w:bottom w:val="single" w:sz="8" w:space="0" w:color="0070BA" w:themeColor="accent1"/>
          <w:right w:val="single" w:sz="8" w:space="0" w:color="0070BA" w:themeColor="accent1"/>
          <w:insideH w:val="nil"/>
          <w:insideV w:val="single" w:sz="8" w:space="0" w:color="0070B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BA" w:themeColor="accent1"/>
          <w:left w:val="single" w:sz="8" w:space="0" w:color="0070BA" w:themeColor="accent1"/>
          <w:bottom w:val="single" w:sz="8" w:space="0" w:color="0070BA" w:themeColor="accent1"/>
          <w:right w:val="single" w:sz="8" w:space="0" w:color="0070BA" w:themeColor="accent1"/>
        </w:tcBorders>
      </w:tcPr>
    </w:tblStylePr>
    <w:tblStylePr w:type="band1Vert">
      <w:tblPr/>
      <w:tcPr>
        <w:tcBorders>
          <w:top w:val="single" w:sz="8" w:space="0" w:color="0070BA" w:themeColor="accent1"/>
          <w:left w:val="single" w:sz="8" w:space="0" w:color="0070BA" w:themeColor="accent1"/>
          <w:bottom w:val="single" w:sz="8" w:space="0" w:color="0070BA" w:themeColor="accent1"/>
          <w:right w:val="single" w:sz="8" w:space="0" w:color="0070BA" w:themeColor="accent1"/>
        </w:tcBorders>
        <w:shd w:val="clear" w:color="auto" w:fill="AEDEFF" w:themeFill="accent1" w:themeFillTint="3F"/>
      </w:tcPr>
    </w:tblStylePr>
    <w:tblStylePr w:type="band1Horz">
      <w:tblPr/>
      <w:tcPr>
        <w:tcBorders>
          <w:top w:val="single" w:sz="8" w:space="0" w:color="0070BA" w:themeColor="accent1"/>
          <w:left w:val="single" w:sz="8" w:space="0" w:color="0070BA" w:themeColor="accent1"/>
          <w:bottom w:val="single" w:sz="8" w:space="0" w:color="0070BA" w:themeColor="accent1"/>
          <w:right w:val="single" w:sz="8" w:space="0" w:color="0070BA" w:themeColor="accent1"/>
          <w:insideV w:val="single" w:sz="8" w:space="0" w:color="0070BA" w:themeColor="accent1"/>
        </w:tcBorders>
        <w:shd w:val="clear" w:color="auto" w:fill="AEDEFF" w:themeFill="accent1" w:themeFillTint="3F"/>
      </w:tcPr>
    </w:tblStylePr>
    <w:tblStylePr w:type="band2Horz">
      <w:tblPr/>
      <w:tcPr>
        <w:tcBorders>
          <w:top w:val="single" w:sz="8" w:space="0" w:color="0070BA" w:themeColor="accent1"/>
          <w:left w:val="single" w:sz="8" w:space="0" w:color="0070BA" w:themeColor="accent1"/>
          <w:bottom w:val="single" w:sz="8" w:space="0" w:color="0070BA" w:themeColor="accent1"/>
          <w:right w:val="single" w:sz="8" w:space="0" w:color="0070BA" w:themeColor="accent1"/>
          <w:insideV w:val="single" w:sz="8" w:space="0" w:color="0070BA" w:themeColor="accent1"/>
        </w:tcBorders>
      </w:tcPr>
    </w:tblStylePr>
  </w:style>
  <w:style w:type="character" w:customStyle="1" w:styleId="DataCarattere">
    <w:name w:val="Data Carattere"/>
    <w:link w:val="Data"/>
    <w:semiHidden/>
    <w:rsid w:val="00343DBD"/>
    <w:rPr>
      <w:rFonts w:ascii="Arial" w:eastAsia="MS Mincho" w:hAnsi="Arial"/>
      <w:color w:val="595959"/>
      <w:sz w:val="26"/>
      <w:szCs w:val="24"/>
    </w:rPr>
  </w:style>
  <w:style w:type="table" w:styleId="Tabellagriglia6acolori-colore1">
    <w:name w:val="Grid Table 6 Colorful Accent 1"/>
    <w:basedOn w:val="Tabellanormale"/>
    <w:uiPriority w:val="51"/>
    <w:rsid w:val="00343DBD"/>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gliamedia1-Colore1">
    <w:name w:val="Medium Grid 1 Accent 1"/>
    <w:basedOn w:val="Tabellanormale"/>
    <w:uiPriority w:val="67"/>
    <w:rsid w:val="00F32F2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Tabellagriglia1chiara-colore1">
    <w:name w:val="Grid Table 1 Light Accent 1"/>
    <w:basedOn w:val="Tabellanormale"/>
    <w:uiPriority w:val="46"/>
    <w:rsid w:val="0000168C"/>
    <w:tblPr>
      <w:tblStyleRowBandSize w:val="1"/>
      <w:tblStyleColBandSize w:val="1"/>
      <w:tblBorders>
        <w:top w:val="single" w:sz="4" w:space="0" w:color="7DCBFF" w:themeColor="accent1" w:themeTint="66"/>
        <w:left w:val="single" w:sz="4" w:space="0" w:color="7DCBFF" w:themeColor="accent1" w:themeTint="66"/>
        <w:bottom w:val="single" w:sz="4" w:space="0" w:color="7DCBFF" w:themeColor="accent1" w:themeTint="66"/>
        <w:right w:val="single" w:sz="4" w:space="0" w:color="7DCBFF" w:themeColor="accent1" w:themeTint="66"/>
        <w:insideH w:val="single" w:sz="4" w:space="0" w:color="7DCBFF" w:themeColor="accent1" w:themeTint="66"/>
        <w:insideV w:val="single" w:sz="4" w:space="0" w:color="7DCBFF" w:themeColor="accent1" w:themeTint="66"/>
      </w:tblBorders>
    </w:tblPr>
    <w:tblStylePr w:type="firstRow">
      <w:rPr>
        <w:b/>
        <w:bCs/>
      </w:rPr>
      <w:tblPr/>
      <w:tcPr>
        <w:tcBorders>
          <w:bottom w:val="single" w:sz="12" w:space="0" w:color="3CB1FF" w:themeColor="accent1" w:themeTint="99"/>
        </w:tcBorders>
      </w:tcPr>
    </w:tblStylePr>
    <w:tblStylePr w:type="lastRow">
      <w:rPr>
        <w:b/>
        <w:bCs/>
      </w:rPr>
      <w:tblPr/>
      <w:tcPr>
        <w:tcBorders>
          <w:top w:val="double" w:sz="2" w:space="0" w:color="3CB1FF" w:themeColor="accent1" w:themeTint="99"/>
        </w:tcBorders>
      </w:tcPr>
    </w:tblStylePr>
    <w:tblStylePr w:type="firstCol">
      <w:rPr>
        <w:b/>
        <w:bCs/>
      </w:rPr>
    </w:tblStylePr>
    <w:tblStylePr w:type="lastCol">
      <w:rPr>
        <w:b/>
        <w:bCs/>
      </w:rPr>
    </w:tblStylePr>
  </w:style>
  <w:style w:type="table" w:styleId="Tabellagriglia6acolori">
    <w:name w:val="Grid Table 6 Colorful"/>
    <w:basedOn w:val="Tabellanormale"/>
    <w:uiPriority w:val="51"/>
    <w:rsid w:val="00601A0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estonotaapidipaginaCarattere">
    <w:name w:val="Testo nota a piè di pagina Carattere"/>
    <w:link w:val="Testonotaapidipagina"/>
    <w:semiHidden/>
    <w:rsid w:val="00705B08"/>
    <w:rPr>
      <w:rFonts w:ascii="Arial" w:eastAsia="MS Mincho" w:hAnsi="Arial"/>
    </w:rPr>
  </w:style>
  <w:style w:type="table" w:styleId="Tabellagriglia6acolori-colore5">
    <w:name w:val="Grid Table 6 Colorful Accent 5"/>
    <w:basedOn w:val="Tabellanormale"/>
    <w:uiPriority w:val="51"/>
    <w:rsid w:val="00BA7141"/>
    <w:rPr>
      <w:color w:val="E6BC42" w:themeColor="accent5" w:themeShade="BF"/>
    </w:rPr>
    <w:tblPr>
      <w:tblStyleRowBandSize w:val="1"/>
      <w:tblStyleColBandSize w:val="1"/>
      <w:tblBorders>
        <w:top w:val="single" w:sz="4" w:space="0" w:color="F7E9C2" w:themeColor="accent5" w:themeTint="99"/>
        <w:left w:val="single" w:sz="4" w:space="0" w:color="F7E9C2" w:themeColor="accent5" w:themeTint="99"/>
        <w:bottom w:val="single" w:sz="4" w:space="0" w:color="F7E9C2" w:themeColor="accent5" w:themeTint="99"/>
        <w:right w:val="single" w:sz="4" w:space="0" w:color="F7E9C2" w:themeColor="accent5" w:themeTint="99"/>
        <w:insideH w:val="single" w:sz="4" w:space="0" w:color="F7E9C2" w:themeColor="accent5" w:themeTint="99"/>
        <w:insideV w:val="single" w:sz="4" w:space="0" w:color="F7E9C2" w:themeColor="accent5" w:themeTint="99"/>
      </w:tblBorders>
    </w:tblPr>
    <w:tblStylePr w:type="firstRow">
      <w:rPr>
        <w:b/>
        <w:bCs/>
      </w:rPr>
      <w:tblPr/>
      <w:tcPr>
        <w:tcBorders>
          <w:bottom w:val="single" w:sz="12" w:space="0" w:color="F7E9C2" w:themeColor="accent5" w:themeTint="99"/>
        </w:tcBorders>
      </w:tcPr>
    </w:tblStylePr>
    <w:tblStylePr w:type="lastRow">
      <w:rPr>
        <w:b/>
        <w:bCs/>
      </w:rPr>
      <w:tblPr/>
      <w:tcPr>
        <w:tcBorders>
          <w:top w:val="double" w:sz="4" w:space="0" w:color="F7E9C2" w:themeColor="accent5" w:themeTint="99"/>
        </w:tcBorders>
      </w:tcPr>
    </w:tblStylePr>
    <w:tblStylePr w:type="firstCol">
      <w:rPr>
        <w:b/>
        <w:bCs/>
      </w:rPr>
    </w:tblStylePr>
    <w:tblStylePr w:type="lastCol">
      <w:rPr>
        <w:b/>
        <w:bCs/>
      </w:rPr>
    </w:tblStylePr>
    <w:tblStylePr w:type="band1Vert">
      <w:tblPr/>
      <w:tcPr>
        <w:shd w:val="clear" w:color="auto" w:fill="FCF7EA" w:themeFill="accent5" w:themeFillTint="33"/>
      </w:tcPr>
    </w:tblStylePr>
    <w:tblStylePr w:type="band1Horz">
      <w:tblPr/>
      <w:tcPr>
        <w:shd w:val="clear" w:color="auto" w:fill="FCF7EA" w:themeFill="accent5" w:themeFillTint="33"/>
      </w:tcPr>
    </w:tblStylePr>
  </w:style>
  <w:style w:type="table" w:styleId="Tabellagriglia7acolori-colore5">
    <w:name w:val="Grid Table 7 Colorful Accent 5"/>
    <w:basedOn w:val="Tabellanormale"/>
    <w:uiPriority w:val="52"/>
    <w:rsid w:val="00BA7141"/>
    <w:rPr>
      <w:color w:val="E6BC42" w:themeColor="accent5" w:themeShade="BF"/>
    </w:rPr>
    <w:tblPr>
      <w:tblStyleRowBandSize w:val="1"/>
      <w:tblStyleColBandSize w:val="1"/>
      <w:tblBorders>
        <w:top w:val="single" w:sz="4" w:space="0" w:color="F7E9C2" w:themeColor="accent5" w:themeTint="99"/>
        <w:left w:val="single" w:sz="4" w:space="0" w:color="F7E9C2" w:themeColor="accent5" w:themeTint="99"/>
        <w:bottom w:val="single" w:sz="4" w:space="0" w:color="F7E9C2" w:themeColor="accent5" w:themeTint="99"/>
        <w:right w:val="single" w:sz="4" w:space="0" w:color="F7E9C2" w:themeColor="accent5" w:themeTint="99"/>
        <w:insideH w:val="single" w:sz="4" w:space="0" w:color="F7E9C2" w:themeColor="accent5" w:themeTint="99"/>
        <w:insideV w:val="single" w:sz="4" w:space="0" w:color="F7E9C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7EA" w:themeFill="accent5" w:themeFillTint="33"/>
      </w:tcPr>
    </w:tblStylePr>
    <w:tblStylePr w:type="band1Horz">
      <w:tblPr/>
      <w:tcPr>
        <w:shd w:val="clear" w:color="auto" w:fill="FCF7EA" w:themeFill="accent5" w:themeFillTint="33"/>
      </w:tcPr>
    </w:tblStylePr>
    <w:tblStylePr w:type="neCell">
      <w:tblPr/>
      <w:tcPr>
        <w:tcBorders>
          <w:bottom w:val="single" w:sz="4" w:space="0" w:color="F7E9C2" w:themeColor="accent5" w:themeTint="99"/>
        </w:tcBorders>
      </w:tcPr>
    </w:tblStylePr>
    <w:tblStylePr w:type="nwCell">
      <w:tblPr/>
      <w:tcPr>
        <w:tcBorders>
          <w:bottom w:val="single" w:sz="4" w:space="0" w:color="F7E9C2" w:themeColor="accent5" w:themeTint="99"/>
        </w:tcBorders>
      </w:tcPr>
    </w:tblStylePr>
    <w:tblStylePr w:type="seCell">
      <w:tblPr/>
      <w:tcPr>
        <w:tcBorders>
          <w:top w:val="single" w:sz="4" w:space="0" w:color="F7E9C2" w:themeColor="accent5" w:themeTint="99"/>
        </w:tcBorders>
      </w:tcPr>
    </w:tblStylePr>
    <w:tblStylePr w:type="swCell">
      <w:tblPr/>
      <w:tcPr>
        <w:tcBorders>
          <w:top w:val="single" w:sz="4" w:space="0" w:color="F7E9C2" w:themeColor="accent5" w:themeTint="99"/>
        </w:tcBorders>
      </w:tcPr>
    </w:tblStylePr>
  </w:style>
  <w:style w:type="character" w:customStyle="1" w:styleId="FirmadipostaelettronicaCarattere">
    <w:name w:val="Firma di posta elettronica Carattere"/>
    <w:link w:val="Firmadipostaelettronica"/>
    <w:semiHidden/>
    <w:rsid w:val="006353EA"/>
    <w:rPr>
      <w:rFonts w:ascii="Arial" w:eastAsia="MS Mincho" w:hAnsi="Arial"/>
      <w:sz w:val="24"/>
      <w:szCs w:val="24"/>
    </w:rPr>
  </w:style>
  <w:style w:type="character" w:customStyle="1" w:styleId="TitoloCarattere">
    <w:name w:val="Titolo Carattere"/>
    <w:basedOn w:val="Carpredefinitoparagrafo"/>
    <w:link w:val="Titolo"/>
    <w:uiPriority w:val="10"/>
    <w:rsid w:val="00FB697F"/>
    <w:rPr>
      <w:rFonts w:ascii="Open Sans Light" w:eastAsiaTheme="majorEastAsia" w:hAnsi="Open Sans Light" w:cs="Times New Roman (Titoli CS)"/>
      <w:bCs/>
      <w:color w:val="76798B" w:themeColor="background2"/>
      <w:spacing w:val="-15"/>
      <w:sz w:val="72"/>
      <w:szCs w:val="72"/>
    </w:rPr>
  </w:style>
  <w:style w:type="table" w:styleId="Grigliamedia3-Colore1">
    <w:name w:val="Medium Grid 3 Accent 1"/>
    <w:basedOn w:val="Tabellanormale"/>
    <w:uiPriority w:val="69"/>
    <w:rsid w:val="006353E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Grigliamedia3-Colore3">
    <w:name w:val="Medium Grid 3 Accent 3"/>
    <w:basedOn w:val="Tabellanormale"/>
    <w:uiPriority w:val="69"/>
    <w:rsid w:val="006353E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Grigliamedia3-Colore2">
    <w:name w:val="Medium Grid 3 Accent 2"/>
    <w:basedOn w:val="Tabellanormale"/>
    <w:uiPriority w:val="69"/>
    <w:rsid w:val="006353E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Tabellagriglia5scura-colore4">
    <w:name w:val="Grid Table 5 Dark Accent 4"/>
    <w:basedOn w:val="Tabellanormale"/>
    <w:uiPriority w:val="50"/>
    <w:rsid w:val="006C49C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paragraph" w:styleId="Revisione">
    <w:name w:val="Revision"/>
    <w:hidden/>
    <w:uiPriority w:val="99"/>
    <w:semiHidden/>
    <w:rsid w:val="00A254B5"/>
    <w:rPr>
      <w:rFonts w:ascii="Arial" w:eastAsia="MS Mincho" w:hAnsi="Arial"/>
      <w:sz w:val="24"/>
      <w:szCs w:val="24"/>
    </w:rPr>
  </w:style>
  <w:style w:type="character" w:customStyle="1" w:styleId="UnresolvedMention1">
    <w:name w:val="Unresolved Mention1"/>
    <w:basedOn w:val="Carpredefinitoparagrafo"/>
    <w:uiPriority w:val="99"/>
    <w:semiHidden/>
    <w:unhideWhenUsed/>
    <w:rsid w:val="00294413"/>
    <w:rPr>
      <w:color w:val="605E5C"/>
      <w:shd w:val="clear" w:color="auto" w:fill="E1DFDD"/>
    </w:rPr>
  </w:style>
  <w:style w:type="numbering" w:customStyle="1" w:styleId="Elencocorrente9">
    <w:name w:val="Elenco corrente9"/>
    <w:uiPriority w:val="99"/>
    <w:rsid w:val="009A0DFF"/>
    <w:pPr>
      <w:numPr>
        <w:numId w:val="23"/>
      </w:numPr>
    </w:pPr>
  </w:style>
  <w:style w:type="paragraph" w:customStyle="1" w:styleId="TableText">
    <w:name w:val="Table Text"/>
    <w:basedOn w:val="Normale"/>
    <w:uiPriority w:val="99"/>
    <w:rsid w:val="00F67758"/>
    <w:pPr>
      <w:suppressAutoHyphens/>
      <w:autoSpaceDE w:val="0"/>
      <w:autoSpaceDN w:val="0"/>
      <w:adjustRightInd w:val="0"/>
      <w:spacing w:before="80" w:after="80" w:line="240" w:lineRule="auto"/>
      <w:textAlignment w:val="center"/>
    </w:pPr>
    <w:rPr>
      <w:rFonts w:eastAsia="Times New Roman" w:cs="Open Sans"/>
      <w:sz w:val="18"/>
      <w:szCs w:val="16"/>
      <w:lang w:val="en-US"/>
    </w:rPr>
  </w:style>
  <w:style w:type="table" w:styleId="Tabellaelenco4-colore4">
    <w:name w:val="List Table 4 Accent 4"/>
    <w:basedOn w:val="Tabellanormale"/>
    <w:uiPriority w:val="49"/>
    <w:rsid w:val="00E22AF1"/>
    <w:pPr>
      <w:spacing w:after="0" w:line="240" w:lineRule="auto"/>
    </w:pPr>
    <w:rPr>
      <w:rFonts w:ascii="Open Sans" w:hAnsi="Open Sans"/>
      <w:sz w:val="20"/>
    </w:rPr>
    <w:tblPr>
      <w:tblStyleRowBandSize w:val="1"/>
      <w:tblStyleColBandSize w:val="1"/>
      <w:tblBorders>
        <w:bottom w:val="single" w:sz="6" w:space="0" w:color="auto"/>
        <w:insideH w:val="single" w:sz="6" w:space="0" w:color="auto"/>
      </w:tblBorders>
      <w:tblCellMar>
        <w:top w:w="57" w:type="dxa"/>
        <w:left w:w="113" w:type="dxa"/>
        <w:bottom w:w="57" w:type="dxa"/>
        <w:right w:w="113" w:type="dxa"/>
      </w:tblCellMar>
    </w:tblPr>
    <w:tcPr>
      <w:vAlign w:val="bottom"/>
    </w:tcPr>
    <w:tblStylePr w:type="firstRow">
      <w:tblPr/>
      <w:tcPr>
        <w:shd w:val="clear" w:color="auto" w:fill="F27166" w:themeFill="accent4"/>
      </w:tcPr>
    </w:tblStylePr>
    <w:tblStylePr w:type="lastRow">
      <w:rPr>
        <w:b/>
        <w:bCs/>
      </w:rPr>
      <w:tblPr/>
      <w:tcPr>
        <w:tcBorders>
          <w:top w:val="double" w:sz="4" w:space="0" w:color="F7A9A3" w:themeColor="accent4" w:themeTint="99"/>
        </w:tcBorders>
      </w:tcPr>
    </w:tblStylePr>
    <w:tblStylePr w:type="firstCol">
      <w:rPr>
        <w:b/>
        <w:bCs/>
      </w:rPr>
    </w:tblStylePr>
    <w:tblStylePr w:type="lastCol">
      <w:rPr>
        <w:b/>
        <w:bCs/>
      </w:rPr>
    </w:tblStylePr>
    <w:tblStylePr w:type="band1Vert">
      <w:rPr>
        <w:color w:val="auto"/>
      </w:rPr>
      <w:tblPr/>
      <w:tcPr>
        <w:tcBorders>
          <w:left w:val="nil"/>
        </w:tcBorders>
      </w:tcPr>
    </w:tblStylePr>
  </w:style>
  <w:style w:type="paragraph" w:styleId="Citazione">
    <w:name w:val="Quote"/>
    <w:basedOn w:val="Normale"/>
    <w:next w:val="Normale"/>
    <w:link w:val="CitazioneCarattere"/>
    <w:uiPriority w:val="29"/>
    <w:qFormat/>
    <w:rsid w:val="00BD5960"/>
    <w:pPr>
      <w:keepLines w:val="0"/>
      <w:ind w:left="284"/>
    </w:pPr>
  </w:style>
  <w:style w:type="character" w:customStyle="1" w:styleId="CitazioneCarattere">
    <w:name w:val="Citazione Carattere"/>
    <w:basedOn w:val="Carpredefinitoparagrafo"/>
    <w:link w:val="Citazione"/>
    <w:uiPriority w:val="29"/>
    <w:rsid w:val="00BD5960"/>
    <w:rPr>
      <w:rFonts w:ascii="Open Sans" w:eastAsia="MS Mincho" w:hAnsi="Open Sans"/>
      <w:bCs/>
      <w:sz w:val="20"/>
      <w:szCs w:val="28"/>
    </w:rPr>
  </w:style>
  <w:style w:type="paragraph" w:customStyle="1" w:styleId="TableHeading">
    <w:name w:val="Table Heading"/>
    <w:qFormat/>
    <w:rsid w:val="00335D3E"/>
    <w:pPr>
      <w:spacing w:before="80" w:after="80"/>
    </w:pPr>
    <w:rPr>
      <w:rFonts w:ascii="Open Sans" w:eastAsia="MS Mincho" w:hAnsi="Open Sans"/>
      <w:b/>
      <w:sz w:val="18"/>
      <w:szCs w:val="24"/>
      <w:lang w:val="en-US" w:eastAsia="it-IT"/>
    </w:rPr>
  </w:style>
  <w:style w:type="numbering" w:customStyle="1" w:styleId="Elencocorrente17">
    <w:name w:val="Elenco corrente17"/>
    <w:uiPriority w:val="99"/>
    <w:rsid w:val="00811084"/>
    <w:pPr>
      <w:numPr>
        <w:numId w:val="34"/>
      </w:numPr>
    </w:pPr>
  </w:style>
  <w:style w:type="table" w:customStyle="1" w:styleId="TableStyle">
    <w:name w:val="Table Style"/>
    <w:basedOn w:val="Tabellanormale"/>
    <w:rsid w:val="00541893"/>
    <w:pPr>
      <w:spacing w:after="120"/>
    </w:pPr>
    <w:rPr>
      <w:rFonts w:ascii="Arial" w:eastAsia="Arial" w:hAnsi="Arial" w:cs="Arial"/>
      <w:sz w:val="18"/>
      <w:lang w:val="en-US" w:eastAsia="en-US"/>
    </w:rPr>
    <w:tblPr>
      <w:tblInd w:w="851" w:type="dxa"/>
      <w:tblBorders>
        <w:bottom w:val="single" w:sz="4" w:space="0" w:color="4D4D4D"/>
        <w:insideH w:val="single" w:sz="4" w:space="0" w:color="4D4D4D"/>
      </w:tblBorders>
      <w:tblCellMar>
        <w:top w:w="284" w:type="dxa"/>
        <w:left w:w="0" w:type="dxa"/>
        <w:bottom w:w="113" w:type="dxa"/>
        <w:right w:w="284" w:type="dxa"/>
      </w:tblCellMar>
    </w:tblPr>
  </w:style>
  <w:style w:type="paragraph" w:styleId="Didascalia">
    <w:name w:val="caption"/>
    <w:basedOn w:val="Normale"/>
    <w:next w:val="Normale"/>
    <w:uiPriority w:val="35"/>
    <w:semiHidden/>
    <w:unhideWhenUsed/>
    <w:qFormat/>
    <w:locked/>
    <w:rsid w:val="005D311D"/>
    <w:pPr>
      <w:spacing w:line="240" w:lineRule="auto"/>
    </w:pPr>
    <w:rPr>
      <w:b/>
      <w:bCs w:val="0"/>
      <w:smallCaps/>
      <w:color w:val="0E2A3F" w:themeColor="text2"/>
    </w:rPr>
  </w:style>
  <w:style w:type="character" w:styleId="Enfasidelicata">
    <w:name w:val="Subtle Emphasis"/>
    <w:basedOn w:val="Carpredefinitoparagrafo"/>
    <w:uiPriority w:val="19"/>
    <w:qFormat/>
    <w:rsid w:val="005D311D"/>
    <w:rPr>
      <w:i/>
      <w:iCs/>
      <w:color w:val="595959" w:themeColor="text1" w:themeTint="A6"/>
    </w:rPr>
  </w:style>
  <w:style w:type="character" w:styleId="Enfasiintensa">
    <w:name w:val="Intense Emphasis"/>
    <w:basedOn w:val="Carpredefinitoparagrafo"/>
    <w:uiPriority w:val="21"/>
    <w:qFormat/>
    <w:rsid w:val="005D311D"/>
    <w:rPr>
      <w:b/>
      <w:bCs/>
      <w:i/>
      <w:iCs/>
    </w:rPr>
  </w:style>
  <w:style w:type="paragraph" w:styleId="Testofumetto">
    <w:name w:val="Balloon Text"/>
    <w:basedOn w:val="Normale"/>
    <w:link w:val="TestofumettoCarattere"/>
    <w:semiHidden/>
    <w:unhideWhenUsed/>
    <w:locked/>
    <w:rsid w:val="003E1144"/>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semiHidden/>
    <w:rsid w:val="003E1144"/>
    <w:rPr>
      <w:rFonts w:ascii="Segoe UI" w:hAnsi="Segoe UI" w:cs="Segoe UI"/>
      <w:sz w:val="18"/>
      <w:szCs w:val="18"/>
    </w:rPr>
  </w:style>
  <w:style w:type="paragraph" w:customStyle="1" w:styleId="CopyrightText">
    <w:name w:val="Copyright Text"/>
    <w:basedOn w:val="Normale"/>
    <w:uiPriority w:val="99"/>
    <w:rsid w:val="004B6A0D"/>
    <w:pPr>
      <w:tabs>
        <w:tab w:val="left" w:pos="567"/>
      </w:tabs>
      <w:suppressAutoHyphens/>
      <w:autoSpaceDE w:val="0"/>
      <w:autoSpaceDN w:val="0"/>
      <w:adjustRightInd w:val="0"/>
      <w:spacing w:after="60" w:line="288" w:lineRule="auto"/>
      <w:textAlignment w:val="center"/>
    </w:pPr>
    <w:rPr>
      <w:rFonts w:eastAsiaTheme="minorHAnsi" w:cs="Open Sans"/>
      <w:szCs w:val="16"/>
      <w:u w:color="000000"/>
      <w:lang w:eastAsia="en-US"/>
    </w:rPr>
  </w:style>
  <w:style w:type="paragraph" w:customStyle="1" w:styleId="CopyrightBullets">
    <w:name w:val="Copyright Bullets"/>
    <w:basedOn w:val="Normale"/>
    <w:uiPriority w:val="99"/>
    <w:qFormat/>
    <w:rsid w:val="002151DA"/>
    <w:pPr>
      <w:numPr>
        <w:numId w:val="13"/>
      </w:numPr>
      <w:tabs>
        <w:tab w:val="left" w:pos="567"/>
      </w:tabs>
      <w:suppressAutoHyphens/>
      <w:autoSpaceDE w:val="0"/>
      <w:autoSpaceDN w:val="0"/>
      <w:adjustRightInd w:val="0"/>
      <w:spacing w:before="120" w:after="120" w:line="288" w:lineRule="auto"/>
      <w:contextualSpacing/>
      <w:textAlignment w:val="center"/>
    </w:pPr>
    <w:rPr>
      <w:rFonts w:eastAsiaTheme="minorHAnsi" w:cs="Open Sans"/>
      <w:color w:val="000000"/>
      <w:szCs w:val="20"/>
      <w:u w:color="000000"/>
      <w:lang w:eastAsia="en-US"/>
    </w:rPr>
  </w:style>
  <w:style w:type="paragraph" w:customStyle="1" w:styleId="CopyrightTextIndent">
    <w:name w:val="Copyright Text Indent"/>
    <w:basedOn w:val="CopyrightText"/>
    <w:uiPriority w:val="99"/>
    <w:qFormat/>
    <w:rsid w:val="002151DA"/>
    <w:pPr>
      <w:ind w:left="567"/>
    </w:pPr>
  </w:style>
  <w:style w:type="table" w:customStyle="1" w:styleId="TableGrid1">
    <w:name w:val="Table Grid1"/>
    <w:basedOn w:val="Tabellanormale"/>
    <w:next w:val="Grigliatabella"/>
    <w:rsid w:val="002E582F"/>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4" w:type="dxa"/>
        <w:bottom w:w="284" w:type="dxa"/>
        <w:right w:w="284" w:type="dxa"/>
      </w:tblCellMar>
    </w:tblPr>
  </w:style>
  <w:style w:type="paragraph" w:customStyle="1" w:styleId="CaseStudyHeading1">
    <w:name w:val="Case Study Heading 1"/>
    <w:basedOn w:val="Normale"/>
    <w:qFormat/>
    <w:rsid w:val="005B0C9C"/>
    <w:pPr>
      <w:spacing w:before="240" w:after="0" w:line="16" w:lineRule="atLeast"/>
    </w:pPr>
    <w:rPr>
      <w:rFonts w:cs="Open Sans Semibold"/>
      <w:b/>
      <w:caps/>
      <w:color w:val="0E2A3F" w:themeColor="text2"/>
      <w:spacing w:val="10"/>
    </w:rPr>
  </w:style>
  <w:style w:type="paragraph" w:customStyle="1" w:styleId="CaseStudyText">
    <w:name w:val="Case Study Text"/>
    <w:basedOn w:val="Normale"/>
    <w:qFormat/>
    <w:rsid w:val="00AA0197"/>
    <w:rPr>
      <w:bCs w:val="0"/>
    </w:rPr>
  </w:style>
  <w:style w:type="paragraph" w:customStyle="1" w:styleId="CaseStudyIndent">
    <w:name w:val="Case Study Indent"/>
    <w:basedOn w:val="Normale"/>
    <w:qFormat/>
    <w:rsid w:val="00785A12"/>
    <w:pPr>
      <w:keepLines w:val="0"/>
      <w:ind w:left="284"/>
    </w:pPr>
  </w:style>
  <w:style w:type="character" w:customStyle="1" w:styleId="UnresolvedMention2">
    <w:name w:val="Unresolved Mention2"/>
    <w:basedOn w:val="Carpredefinitoparagrafo"/>
    <w:uiPriority w:val="99"/>
    <w:semiHidden/>
    <w:unhideWhenUsed/>
    <w:rsid w:val="009571DF"/>
    <w:rPr>
      <w:color w:val="605E5C"/>
      <w:shd w:val="clear" w:color="auto" w:fill="E1DFDD"/>
    </w:rPr>
  </w:style>
  <w:style w:type="character" w:styleId="Menzionenonrisolta">
    <w:name w:val="Unresolved Mention"/>
    <w:basedOn w:val="Carpredefinitoparagrafo"/>
    <w:uiPriority w:val="99"/>
    <w:semiHidden/>
    <w:unhideWhenUsed/>
    <w:rsid w:val="001E40B6"/>
    <w:rPr>
      <w:color w:val="605E5C"/>
      <w:shd w:val="clear" w:color="auto" w:fill="E1DFDD"/>
    </w:rPr>
  </w:style>
  <w:style w:type="numbering" w:customStyle="1" w:styleId="Elencocorrente2">
    <w:name w:val="Elenco corrente2"/>
    <w:uiPriority w:val="99"/>
    <w:rsid w:val="00EE05D1"/>
    <w:pPr>
      <w:numPr>
        <w:numId w:val="15"/>
      </w:numPr>
    </w:pPr>
  </w:style>
  <w:style w:type="numbering" w:customStyle="1" w:styleId="Elencocorrente1">
    <w:name w:val="Elenco corrente1"/>
    <w:uiPriority w:val="99"/>
    <w:rsid w:val="00EE05D1"/>
    <w:pPr>
      <w:numPr>
        <w:numId w:val="14"/>
      </w:numPr>
    </w:pPr>
  </w:style>
  <w:style w:type="numbering" w:customStyle="1" w:styleId="Elencocorrente3">
    <w:name w:val="Elenco corrente3"/>
    <w:uiPriority w:val="99"/>
    <w:rsid w:val="000C5A81"/>
    <w:pPr>
      <w:numPr>
        <w:numId w:val="16"/>
      </w:numPr>
    </w:pPr>
  </w:style>
  <w:style w:type="numbering" w:customStyle="1" w:styleId="Elencocorrente4">
    <w:name w:val="Elenco corrente4"/>
    <w:uiPriority w:val="99"/>
    <w:rsid w:val="000C5A81"/>
    <w:pPr>
      <w:numPr>
        <w:numId w:val="17"/>
      </w:numPr>
    </w:pPr>
  </w:style>
  <w:style w:type="numbering" w:customStyle="1" w:styleId="Elencocorrente5">
    <w:name w:val="Elenco corrente5"/>
    <w:uiPriority w:val="99"/>
    <w:rsid w:val="000C5A81"/>
    <w:pPr>
      <w:numPr>
        <w:numId w:val="18"/>
      </w:numPr>
    </w:pPr>
  </w:style>
  <w:style w:type="numbering" w:customStyle="1" w:styleId="Elencocorrente6">
    <w:name w:val="Elenco corrente6"/>
    <w:uiPriority w:val="99"/>
    <w:rsid w:val="00BD0181"/>
    <w:pPr>
      <w:numPr>
        <w:numId w:val="19"/>
      </w:numPr>
    </w:pPr>
  </w:style>
  <w:style w:type="numbering" w:customStyle="1" w:styleId="Elencocorrente7">
    <w:name w:val="Elenco corrente7"/>
    <w:uiPriority w:val="99"/>
    <w:rsid w:val="00DA3A07"/>
    <w:pPr>
      <w:numPr>
        <w:numId w:val="20"/>
      </w:numPr>
    </w:pPr>
  </w:style>
  <w:style w:type="paragraph" w:customStyle="1" w:styleId="CaseStudyHeading2">
    <w:name w:val="Case Study Heading 2"/>
    <w:basedOn w:val="CaseStudyHeading1"/>
    <w:qFormat/>
    <w:rsid w:val="00AA0197"/>
    <w:pPr>
      <w:spacing w:before="0" w:after="240"/>
    </w:pPr>
    <w:rPr>
      <w:rFonts w:ascii="Open Sans Light" w:hAnsi="Open Sans Light"/>
      <w:b w:val="0"/>
      <w:caps w:val="0"/>
      <w:spacing w:val="0"/>
      <w:sz w:val="36"/>
    </w:rPr>
  </w:style>
  <w:style w:type="numbering" w:customStyle="1" w:styleId="Elencocorrente8">
    <w:name w:val="Elenco corrente8"/>
    <w:uiPriority w:val="99"/>
    <w:rsid w:val="0038722C"/>
    <w:pPr>
      <w:numPr>
        <w:numId w:val="21"/>
      </w:numPr>
    </w:pPr>
  </w:style>
  <w:style w:type="paragraph" w:styleId="Testocommento">
    <w:name w:val="annotation text"/>
    <w:basedOn w:val="Normale"/>
    <w:link w:val="TestocommentoCarattere"/>
    <w:uiPriority w:val="99"/>
    <w:locked/>
    <w:pPr>
      <w:spacing w:line="240" w:lineRule="auto"/>
    </w:pPr>
    <w:rPr>
      <w:szCs w:val="20"/>
    </w:rPr>
  </w:style>
  <w:style w:type="character" w:customStyle="1" w:styleId="TestocommentoCarattere">
    <w:name w:val="Testo commento Carattere"/>
    <w:basedOn w:val="Carpredefinitoparagrafo"/>
    <w:link w:val="Testocommento"/>
    <w:uiPriority w:val="99"/>
    <w:rPr>
      <w:rFonts w:ascii="Open Sans" w:eastAsia="MS Mincho" w:hAnsi="Open Sans"/>
      <w:bCs/>
      <w:color w:val="000000" w:themeColor="text1"/>
      <w:sz w:val="20"/>
      <w:szCs w:val="20"/>
    </w:rPr>
  </w:style>
  <w:style w:type="character" w:styleId="Rimandocommento">
    <w:name w:val="annotation reference"/>
    <w:basedOn w:val="Carpredefinitoparagrafo"/>
    <w:uiPriority w:val="99"/>
    <w:locked/>
    <w:rPr>
      <w:sz w:val="16"/>
      <w:szCs w:val="16"/>
    </w:rPr>
  </w:style>
  <w:style w:type="paragraph" w:styleId="Corpotesto">
    <w:name w:val="Body Text"/>
    <w:basedOn w:val="Normale"/>
    <w:link w:val="CorpotestoCarattere"/>
    <w:uiPriority w:val="1"/>
    <w:qFormat/>
    <w:locked/>
    <w:rsid w:val="001E063A"/>
    <w:pPr>
      <w:keepLines w:val="0"/>
      <w:spacing w:after="120"/>
    </w:pPr>
  </w:style>
  <w:style w:type="character" w:customStyle="1" w:styleId="CorpotestoCarattere">
    <w:name w:val="Corpo testo Carattere"/>
    <w:basedOn w:val="Carpredefinitoparagrafo"/>
    <w:link w:val="Corpotesto"/>
    <w:uiPriority w:val="1"/>
    <w:rsid w:val="001E063A"/>
    <w:rPr>
      <w:rFonts w:ascii="Open Sans" w:eastAsia="MS Mincho" w:hAnsi="Open Sans"/>
      <w:bCs/>
      <w:color w:val="000000" w:themeColor="text1"/>
      <w:sz w:val="20"/>
      <w:szCs w:val="28"/>
    </w:rPr>
  </w:style>
  <w:style w:type="numbering" w:customStyle="1" w:styleId="Elencocorrente18">
    <w:name w:val="Elenco corrente18"/>
    <w:uiPriority w:val="99"/>
    <w:rsid w:val="00811084"/>
    <w:pPr>
      <w:numPr>
        <w:numId w:val="35"/>
      </w:numPr>
    </w:pPr>
  </w:style>
  <w:style w:type="numbering" w:customStyle="1" w:styleId="Elencocorrente19">
    <w:name w:val="Elenco corrente19"/>
    <w:uiPriority w:val="99"/>
    <w:rsid w:val="00811084"/>
    <w:pPr>
      <w:numPr>
        <w:numId w:val="36"/>
      </w:numPr>
    </w:pPr>
  </w:style>
  <w:style w:type="numbering" w:customStyle="1" w:styleId="Elencocorrente20">
    <w:name w:val="Elenco corrente20"/>
    <w:uiPriority w:val="99"/>
    <w:rsid w:val="00811084"/>
    <w:pPr>
      <w:numPr>
        <w:numId w:val="37"/>
      </w:numPr>
    </w:pPr>
  </w:style>
  <w:style w:type="paragraph" w:customStyle="1" w:styleId="Normal-12ptafter">
    <w:name w:val="Normal - 12pt after"/>
    <w:basedOn w:val="Normale"/>
    <w:qFormat/>
    <w:rsid w:val="005A032A"/>
    <w:pPr>
      <w:spacing w:after="360"/>
    </w:pPr>
  </w:style>
  <w:style w:type="paragraph" w:styleId="Soggettocommento">
    <w:name w:val="annotation subject"/>
    <w:basedOn w:val="Testocommento"/>
    <w:next w:val="Testocommento"/>
    <w:link w:val="SoggettocommentoCarattere"/>
    <w:semiHidden/>
    <w:unhideWhenUsed/>
    <w:locked/>
    <w:rsid w:val="00FA2D42"/>
    <w:rPr>
      <w:b/>
    </w:rPr>
  </w:style>
  <w:style w:type="character" w:customStyle="1" w:styleId="SoggettocommentoCarattere">
    <w:name w:val="Soggetto commento Carattere"/>
    <w:basedOn w:val="TestocommentoCarattere"/>
    <w:link w:val="Soggettocommento"/>
    <w:semiHidden/>
    <w:rsid w:val="00FA2D42"/>
    <w:rPr>
      <w:rFonts w:ascii="Open Sans" w:eastAsia="MS Mincho" w:hAnsi="Open Sans"/>
      <w:b/>
      <w:bCs/>
      <w:color w:val="000000" w:themeColor="text1"/>
      <w:sz w:val="20"/>
      <w:szCs w:val="20"/>
    </w:rPr>
  </w:style>
  <w:style w:type="table" w:styleId="Tabellagriglia6acolori-colore3">
    <w:name w:val="Grid Table 6 Colorful Accent 3"/>
    <w:basedOn w:val="Tabellanormale"/>
    <w:uiPriority w:val="51"/>
    <w:rsid w:val="002F2DC0"/>
    <w:pPr>
      <w:spacing w:after="0" w:line="240" w:lineRule="auto"/>
    </w:pPr>
    <w:rPr>
      <w:rFonts w:ascii="Open Sans" w:hAnsi="Open Sans"/>
      <w:sz w:val="20"/>
    </w:rPr>
    <w:tblPr>
      <w:tblStyleRowBandSize w:val="1"/>
      <w:tblStyleColBandSize w:val="1"/>
      <w:tblCellMar>
        <w:top w:w="567" w:type="dxa"/>
        <w:left w:w="567" w:type="dxa"/>
        <w:bottom w:w="567" w:type="dxa"/>
        <w:right w:w="567" w:type="dxa"/>
      </w:tblCellMar>
    </w:tblPr>
    <w:tcPr>
      <w:shd w:val="clear" w:color="auto" w:fill="FDF5E3" w:themeFill="accent3" w:themeFillTint="33"/>
    </w:tcPr>
    <w:tblStylePr w:type="firstRow">
      <w:rPr>
        <w:rFonts w:ascii="ArialMT" w:hAnsi="ArialMT"/>
        <w:b w:val="0"/>
        <w:bCs/>
        <w:sz w:val="20"/>
      </w:rPr>
      <w:tblPr/>
      <w:tcPr>
        <w:shd w:val="clear" w:color="auto" w:fill="FDF5E3" w:themeFill="accent3" w:themeFillTint="33"/>
      </w:tcPr>
    </w:tblStylePr>
    <w:tblStylePr w:type="lastRow">
      <w:rPr>
        <w:b/>
        <w:bCs/>
        <w:sz w:val="20"/>
      </w:rPr>
      <w:tblPr/>
      <w:tcPr>
        <w:shd w:val="clear" w:color="auto" w:fill="FDF5E3" w:themeFill="accent3" w:themeFillTint="33"/>
      </w:tcPr>
    </w:tblStylePr>
    <w:tblStylePr w:type="firstCol">
      <w:rPr>
        <w:rFonts w:ascii="ArialMT" w:hAnsi="ArialMT"/>
        <w:b w:val="0"/>
        <w:bCs/>
        <w:i w:val="0"/>
      </w:rPr>
      <w:tblPr/>
      <w:tcPr>
        <w:shd w:val="clear" w:color="auto" w:fill="FDF5E3" w:themeFill="accent3" w:themeFillTint="33"/>
      </w:tcPr>
    </w:tblStylePr>
    <w:tblStylePr w:type="lastCol">
      <w:rPr>
        <w:b/>
        <w:bCs/>
      </w:rPr>
      <w:tblPr/>
      <w:tcPr>
        <w:shd w:val="clear" w:color="auto" w:fill="FDF5E3" w:themeFill="accent3" w:themeFillTint="33"/>
      </w:tcPr>
    </w:tblStylePr>
    <w:tblStylePr w:type="band1Vert">
      <w:rPr>
        <w:rFonts w:ascii="ArialMT" w:hAnsi="ArialMT"/>
        <w:b w:val="0"/>
        <w:i w:val="0"/>
        <w:color w:val="auto"/>
        <w:sz w:val="20"/>
      </w:rPr>
      <w:tblPr/>
      <w:tcPr>
        <w:tcBorders>
          <w:top w:val="nil"/>
          <w:left w:val="nil"/>
          <w:bottom w:val="nil"/>
          <w:right w:val="nil"/>
          <w:insideH w:val="nil"/>
          <w:insideV w:val="nil"/>
        </w:tcBorders>
      </w:tcPr>
    </w:tblStylePr>
    <w:tblStylePr w:type="band1Horz">
      <w:rPr>
        <w:rFonts w:ascii="ArialMT" w:hAnsi="ArialMT"/>
        <w:b w:val="0"/>
        <w:i w:val="0"/>
        <w:sz w:val="20"/>
      </w:rPr>
    </w:tblStylePr>
  </w:style>
  <w:style w:type="table" w:styleId="Tabellaelenco2-colore3">
    <w:name w:val="List Table 2 Accent 3"/>
    <w:basedOn w:val="Tabellanormale"/>
    <w:uiPriority w:val="47"/>
    <w:rsid w:val="006339BE"/>
    <w:pPr>
      <w:spacing w:after="0" w:line="240" w:lineRule="auto"/>
    </w:pPr>
    <w:tblPr>
      <w:tblStyleRowBandSize w:val="1"/>
      <w:tblStyleColBandSize w:val="1"/>
      <w:tblBorders>
        <w:top w:val="single" w:sz="4" w:space="0" w:color="FAE3AC" w:themeColor="accent3" w:themeTint="99"/>
        <w:bottom w:val="single" w:sz="4" w:space="0" w:color="FAE3AC" w:themeColor="accent3" w:themeTint="99"/>
        <w:insideH w:val="single" w:sz="4" w:space="0" w:color="FAE3A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5E3" w:themeFill="accent3" w:themeFillTint="33"/>
      </w:tcPr>
    </w:tblStylePr>
    <w:tblStylePr w:type="band1Horz">
      <w:tblPr/>
      <w:tcPr>
        <w:shd w:val="clear" w:color="auto" w:fill="FDF5E3" w:themeFill="accent3" w:themeFillTint="33"/>
      </w:tcPr>
    </w:tblStylePr>
  </w:style>
  <w:style w:type="table" w:styleId="Tabellaelenco2-colore5">
    <w:name w:val="List Table 2 Accent 5"/>
    <w:basedOn w:val="Tabellanormale"/>
    <w:uiPriority w:val="47"/>
    <w:rsid w:val="006339BE"/>
    <w:pPr>
      <w:spacing w:after="0" w:line="240" w:lineRule="auto"/>
    </w:pPr>
    <w:tblPr>
      <w:tblStyleRowBandSize w:val="1"/>
      <w:tblStyleColBandSize w:val="1"/>
      <w:tblBorders>
        <w:top w:val="single" w:sz="4" w:space="0" w:color="F7E9C2" w:themeColor="accent5" w:themeTint="99"/>
        <w:bottom w:val="single" w:sz="4" w:space="0" w:color="F7E9C2" w:themeColor="accent5" w:themeTint="99"/>
        <w:insideH w:val="single" w:sz="4" w:space="0" w:color="F7E9C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7EA" w:themeFill="accent5" w:themeFillTint="33"/>
      </w:tcPr>
    </w:tblStylePr>
    <w:tblStylePr w:type="band1Horz">
      <w:tblPr/>
      <w:tcPr>
        <w:shd w:val="clear" w:color="auto" w:fill="FCF7EA" w:themeFill="accent5" w:themeFillTint="33"/>
      </w:tcPr>
    </w:tblStylePr>
  </w:style>
  <w:style w:type="table" w:styleId="Tabellaelenco1chiara-colore3">
    <w:name w:val="List Table 1 Light Accent 3"/>
    <w:basedOn w:val="Tabellanormale"/>
    <w:uiPriority w:val="46"/>
    <w:rsid w:val="006339BE"/>
    <w:pPr>
      <w:spacing w:after="0" w:line="240" w:lineRule="auto"/>
    </w:pPr>
    <w:tblPr>
      <w:tblStyleRowBandSize w:val="1"/>
      <w:tblStyleColBandSize w:val="1"/>
    </w:tblPr>
    <w:tblStylePr w:type="firstRow">
      <w:rPr>
        <w:b/>
        <w:bCs/>
      </w:rPr>
      <w:tblPr/>
      <w:tcPr>
        <w:tcBorders>
          <w:bottom w:val="single" w:sz="4" w:space="0" w:color="FAE3AC" w:themeColor="accent3" w:themeTint="99"/>
        </w:tcBorders>
      </w:tcPr>
    </w:tblStylePr>
    <w:tblStylePr w:type="lastRow">
      <w:rPr>
        <w:b/>
        <w:bCs/>
      </w:rPr>
      <w:tblPr/>
      <w:tcPr>
        <w:tcBorders>
          <w:top w:val="single" w:sz="4" w:space="0" w:color="FAE3AC" w:themeColor="accent3" w:themeTint="99"/>
        </w:tcBorders>
      </w:tcPr>
    </w:tblStylePr>
    <w:tblStylePr w:type="firstCol">
      <w:rPr>
        <w:b/>
        <w:bCs/>
      </w:rPr>
    </w:tblStylePr>
    <w:tblStylePr w:type="lastCol">
      <w:rPr>
        <w:b/>
        <w:bCs/>
      </w:rPr>
    </w:tblStylePr>
    <w:tblStylePr w:type="band1Vert">
      <w:tblPr/>
      <w:tcPr>
        <w:shd w:val="clear" w:color="auto" w:fill="FDF5E3" w:themeFill="accent3" w:themeFillTint="33"/>
      </w:tcPr>
    </w:tblStylePr>
    <w:tblStylePr w:type="band1Horz">
      <w:tblPr/>
      <w:tcPr>
        <w:shd w:val="clear" w:color="auto" w:fill="FDF5E3" w:themeFill="accent3" w:themeFillTint="33"/>
      </w:tcPr>
    </w:tblStylePr>
  </w:style>
  <w:style w:type="table" w:styleId="Tabellagriglia2-colore5">
    <w:name w:val="Grid Table 2 Accent 5"/>
    <w:basedOn w:val="Tabellanormale"/>
    <w:uiPriority w:val="47"/>
    <w:rsid w:val="006339BE"/>
    <w:pPr>
      <w:spacing w:after="0" w:line="240" w:lineRule="auto"/>
    </w:pPr>
    <w:tblPr>
      <w:tblStyleRowBandSize w:val="1"/>
      <w:tblStyleColBandSize w:val="1"/>
      <w:tblBorders>
        <w:top w:val="single" w:sz="2" w:space="0" w:color="F7E9C2" w:themeColor="accent5" w:themeTint="99"/>
        <w:bottom w:val="single" w:sz="2" w:space="0" w:color="F7E9C2" w:themeColor="accent5" w:themeTint="99"/>
        <w:insideH w:val="single" w:sz="2" w:space="0" w:color="F7E9C2" w:themeColor="accent5" w:themeTint="99"/>
        <w:insideV w:val="single" w:sz="2" w:space="0" w:color="F7E9C2" w:themeColor="accent5" w:themeTint="99"/>
      </w:tblBorders>
    </w:tblPr>
    <w:tblStylePr w:type="firstRow">
      <w:rPr>
        <w:b/>
        <w:bCs/>
      </w:rPr>
      <w:tblPr/>
      <w:tcPr>
        <w:tcBorders>
          <w:top w:val="nil"/>
          <w:bottom w:val="single" w:sz="12" w:space="0" w:color="F7E9C2" w:themeColor="accent5" w:themeTint="99"/>
          <w:insideH w:val="nil"/>
          <w:insideV w:val="nil"/>
        </w:tcBorders>
        <w:shd w:val="clear" w:color="auto" w:fill="FFFFFF" w:themeFill="background1"/>
      </w:tcPr>
    </w:tblStylePr>
    <w:tblStylePr w:type="lastRow">
      <w:rPr>
        <w:b/>
        <w:bCs/>
      </w:rPr>
      <w:tblPr/>
      <w:tcPr>
        <w:tcBorders>
          <w:top w:val="double" w:sz="2" w:space="0" w:color="F7E9C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7EA" w:themeFill="accent5" w:themeFillTint="33"/>
      </w:tcPr>
    </w:tblStylePr>
    <w:tblStylePr w:type="band1Horz">
      <w:tblPr/>
      <w:tcPr>
        <w:shd w:val="clear" w:color="auto" w:fill="FCF7EA" w:themeFill="accent5" w:themeFillTint="33"/>
      </w:tcPr>
    </w:tblStylePr>
  </w:style>
  <w:style w:type="table" w:styleId="Tabellagriglia1chiara-colore3">
    <w:name w:val="Grid Table 1 Light Accent 3"/>
    <w:basedOn w:val="Tabellanormale"/>
    <w:uiPriority w:val="46"/>
    <w:rsid w:val="006339BE"/>
    <w:pPr>
      <w:spacing w:after="0" w:line="240" w:lineRule="auto"/>
    </w:pPr>
    <w:tblPr>
      <w:tblStyleRowBandSize w:val="1"/>
      <w:tblStyleColBandSize w:val="1"/>
      <w:tblBorders>
        <w:top w:val="single" w:sz="4" w:space="0" w:color="FCECC8" w:themeColor="accent3" w:themeTint="66"/>
        <w:left w:val="single" w:sz="4" w:space="0" w:color="FCECC8" w:themeColor="accent3" w:themeTint="66"/>
        <w:bottom w:val="single" w:sz="4" w:space="0" w:color="FCECC8" w:themeColor="accent3" w:themeTint="66"/>
        <w:right w:val="single" w:sz="4" w:space="0" w:color="FCECC8" w:themeColor="accent3" w:themeTint="66"/>
        <w:insideH w:val="single" w:sz="4" w:space="0" w:color="FCECC8" w:themeColor="accent3" w:themeTint="66"/>
        <w:insideV w:val="single" w:sz="4" w:space="0" w:color="FCECC8" w:themeColor="accent3" w:themeTint="66"/>
      </w:tblBorders>
    </w:tblPr>
    <w:tblStylePr w:type="firstRow">
      <w:rPr>
        <w:b/>
        <w:bCs/>
      </w:rPr>
      <w:tblPr/>
      <w:tcPr>
        <w:tcBorders>
          <w:bottom w:val="single" w:sz="12" w:space="0" w:color="FAE3AC" w:themeColor="accent3" w:themeTint="99"/>
        </w:tcBorders>
      </w:tcPr>
    </w:tblStylePr>
    <w:tblStylePr w:type="lastRow">
      <w:rPr>
        <w:b/>
        <w:bCs/>
      </w:rPr>
      <w:tblPr/>
      <w:tcPr>
        <w:tcBorders>
          <w:top w:val="double" w:sz="2" w:space="0" w:color="FAE3AC" w:themeColor="accent3" w:themeTint="99"/>
        </w:tcBorders>
      </w:tcPr>
    </w:tblStylePr>
    <w:tblStylePr w:type="firstCol">
      <w:rPr>
        <w:b/>
        <w:bCs/>
      </w:rPr>
    </w:tblStylePr>
    <w:tblStylePr w:type="lastCol">
      <w:rPr>
        <w:b/>
        <w:bCs/>
      </w:rPr>
    </w:tblStylePr>
  </w:style>
  <w:style w:type="table" w:styleId="Tabellagriglia1chiara">
    <w:name w:val="Grid Table 1 Light"/>
    <w:basedOn w:val="Tabellanormale"/>
    <w:uiPriority w:val="46"/>
    <w:rsid w:val="006339B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agriglia1chiara-colore5">
    <w:name w:val="Grid Table 1 Light Accent 5"/>
    <w:basedOn w:val="Tabellanormale"/>
    <w:uiPriority w:val="46"/>
    <w:rsid w:val="00EB3765"/>
    <w:pPr>
      <w:spacing w:after="0" w:line="240" w:lineRule="auto"/>
    </w:pPr>
    <w:tblPr>
      <w:tblStyleRowBandSize w:val="1"/>
      <w:tblStyleColBandSize w:val="1"/>
      <w:tblBorders>
        <w:top w:val="single" w:sz="4" w:space="0" w:color="F9F0D6" w:themeColor="accent5" w:themeTint="66"/>
        <w:left w:val="single" w:sz="4" w:space="0" w:color="F9F0D6" w:themeColor="accent5" w:themeTint="66"/>
        <w:bottom w:val="single" w:sz="4" w:space="0" w:color="F9F0D6" w:themeColor="accent5" w:themeTint="66"/>
        <w:right w:val="single" w:sz="4" w:space="0" w:color="F9F0D6" w:themeColor="accent5" w:themeTint="66"/>
        <w:insideH w:val="single" w:sz="4" w:space="0" w:color="F9F0D6" w:themeColor="accent5" w:themeTint="66"/>
        <w:insideV w:val="single" w:sz="4" w:space="0" w:color="F9F0D6" w:themeColor="accent5" w:themeTint="66"/>
      </w:tblBorders>
    </w:tblPr>
    <w:tblStylePr w:type="firstRow">
      <w:rPr>
        <w:b/>
        <w:bCs/>
      </w:rPr>
      <w:tblPr/>
      <w:tcPr>
        <w:tcBorders>
          <w:bottom w:val="single" w:sz="12" w:space="0" w:color="F7E9C2" w:themeColor="accent5" w:themeTint="99"/>
        </w:tcBorders>
      </w:tcPr>
    </w:tblStylePr>
    <w:tblStylePr w:type="lastRow">
      <w:rPr>
        <w:b/>
        <w:bCs/>
      </w:rPr>
      <w:tblPr/>
      <w:tcPr>
        <w:tcBorders>
          <w:top w:val="double" w:sz="2" w:space="0" w:color="F7E9C2" w:themeColor="accent5" w:themeTint="99"/>
        </w:tcBorders>
      </w:tcPr>
    </w:tblStylePr>
    <w:tblStylePr w:type="firstCol">
      <w:rPr>
        <w:b/>
        <w:bCs/>
      </w:rPr>
    </w:tblStylePr>
    <w:tblStylePr w:type="lastCol">
      <w:rPr>
        <w:b/>
        <w:bCs/>
      </w:rPr>
    </w:tblStylePr>
  </w:style>
  <w:style w:type="table" w:styleId="Tabellagriglia2-colore3">
    <w:name w:val="Grid Table 2 Accent 3"/>
    <w:basedOn w:val="Tabellanormale"/>
    <w:uiPriority w:val="47"/>
    <w:rsid w:val="00EB3765"/>
    <w:pPr>
      <w:spacing w:after="0" w:line="240" w:lineRule="auto"/>
    </w:pPr>
    <w:tblPr>
      <w:tblStyleRowBandSize w:val="1"/>
      <w:tblStyleColBandSize w:val="1"/>
      <w:tblBorders>
        <w:top w:val="single" w:sz="2" w:space="0" w:color="FAE3AC" w:themeColor="accent3" w:themeTint="99"/>
        <w:bottom w:val="single" w:sz="2" w:space="0" w:color="FAE3AC" w:themeColor="accent3" w:themeTint="99"/>
        <w:insideH w:val="single" w:sz="2" w:space="0" w:color="FAE3AC" w:themeColor="accent3" w:themeTint="99"/>
        <w:insideV w:val="single" w:sz="2" w:space="0" w:color="FAE3AC" w:themeColor="accent3" w:themeTint="99"/>
      </w:tblBorders>
    </w:tblPr>
    <w:tblStylePr w:type="firstRow">
      <w:rPr>
        <w:b/>
        <w:bCs/>
      </w:rPr>
      <w:tblPr/>
      <w:tcPr>
        <w:tcBorders>
          <w:top w:val="nil"/>
          <w:bottom w:val="single" w:sz="12" w:space="0" w:color="FAE3AC" w:themeColor="accent3" w:themeTint="99"/>
          <w:insideH w:val="nil"/>
          <w:insideV w:val="nil"/>
        </w:tcBorders>
        <w:shd w:val="clear" w:color="auto" w:fill="FFFFFF" w:themeFill="background1"/>
      </w:tcPr>
    </w:tblStylePr>
    <w:tblStylePr w:type="lastRow">
      <w:rPr>
        <w:b/>
        <w:bCs/>
      </w:rPr>
      <w:tblPr/>
      <w:tcPr>
        <w:tcBorders>
          <w:top w:val="double" w:sz="2" w:space="0" w:color="FAE3A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5E3" w:themeFill="accent3" w:themeFillTint="33"/>
      </w:tcPr>
    </w:tblStylePr>
    <w:tblStylePr w:type="band1Horz">
      <w:tblPr/>
      <w:tcPr>
        <w:shd w:val="clear" w:color="auto" w:fill="FDF5E3" w:themeFill="accent3" w:themeFillTint="33"/>
      </w:tcPr>
    </w:tblStylePr>
  </w:style>
  <w:style w:type="table" w:styleId="Tabellagriglia3-colore5">
    <w:name w:val="Grid Table 3 Accent 5"/>
    <w:basedOn w:val="Tabellanormale"/>
    <w:uiPriority w:val="48"/>
    <w:rsid w:val="00EB3765"/>
    <w:pPr>
      <w:spacing w:after="0" w:line="240" w:lineRule="auto"/>
    </w:pPr>
    <w:tblPr>
      <w:tblStyleRowBandSize w:val="1"/>
      <w:tblStyleColBandSize w:val="1"/>
      <w:tblBorders>
        <w:top w:val="single" w:sz="4" w:space="0" w:color="F7E9C2" w:themeColor="accent5" w:themeTint="99"/>
        <w:left w:val="single" w:sz="4" w:space="0" w:color="F7E9C2" w:themeColor="accent5" w:themeTint="99"/>
        <w:bottom w:val="single" w:sz="4" w:space="0" w:color="F7E9C2" w:themeColor="accent5" w:themeTint="99"/>
        <w:right w:val="single" w:sz="4" w:space="0" w:color="F7E9C2" w:themeColor="accent5" w:themeTint="99"/>
        <w:insideH w:val="single" w:sz="4" w:space="0" w:color="F7E9C2" w:themeColor="accent5" w:themeTint="99"/>
        <w:insideV w:val="single" w:sz="4" w:space="0" w:color="F7E9C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7EA" w:themeFill="accent5" w:themeFillTint="33"/>
      </w:tcPr>
    </w:tblStylePr>
    <w:tblStylePr w:type="band1Horz">
      <w:tblPr/>
      <w:tcPr>
        <w:shd w:val="clear" w:color="auto" w:fill="FCF7EA" w:themeFill="accent5" w:themeFillTint="33"/>
      </w:tcPr>
    </w:tblStylePr>
    <w:tblStylePr w:type="neCell">
      <w:tblPr/>
      <w:tcPr>
        <w:tcBorders>
          <w:bottom w:val="single" w:sz="4" w:space="0" w:color="F7E9C2" w:themeColor="accent5" w:themeTint="99"/>
        </w:tcBorders>
      </w:tcPr>
    </w:tblStylePr>
    <w:tblStylePr w:type="nwCell">
      <w:tblPr/>
      <w:tcPr>
        <w:tcBorders>
          <w:bottom w:val="single" w:sz="4" w:space="0" w:color="F7E9C2" w:themeColor="accent5" w:themeTint="99"/>
        </w:tcBorders>
      </w:tcPr>
    </w:tblStylePr>
    <w:tblStylePr w:type="seCell">
      <w:tblPr/>
      <w:tcPr>
        <w:tcBorders>
          <w:top w:val="single" w:sz="4" w:space="0" w:color="F7E9C2" w:themeColor="accent5" w:themeTint="99"/>
        </w:tcBorders>
      </w:tcPr>
    </w:tblStylePr>
    <w:tblStylePr w:type="swCell">
      <w:tblPr/>
      <w:tcPr>
        <w:tcBorders>
          <w:top w:val="single" w:sz="4" w:space="0" w:color="F7E9C2" w:themeColor="accent5" w:themeTint="99"/>
        </w:tcBorders>
      </w:tcPr>
    </w:tblStylePr>
  </w:style>
  <w:style w:type="table" w:styleId="Tabellagriglia4-colore5">
    <w:name w:val="Grid Table 4 Accent 5"/>
    <w:basedOn w:val="Tabellanormale"/>
    <w:uiPriority w:val="49"/>
    <w:rsid w:val="00EB3765"/>
    <w:pPr>
      <w:spacing w:after="0" w:line="240" w:lineRule="auto"/>
    </w:pPr>
    <w:tblPr>
      <w:tblStyleRowBandSize w:val="1"/>
      <w:tblStyleColBandSize w:val="1"/>
      <w:tblBorders>
        <w:top w:val="single" w:sz="4" w:space="0" w:color="F7E9C2" w:themeColor="accent5" w:themeTint="99"/>
        <w:left w:val="single" w:sz="4" w:space="0" w:color="F7E9C2" w:themeColor="accent5" w:themeTint="99"/>
        <w:bottom w:val="single" w:sz="4" w:space="0" w:color="F7E9C2" w:themeColor="accent5" w:themeTint="99"/>
        <w:right w:val="single" w:sz="4" w:space="0" w:color="F7E9C2" w:themeColor="accent5" w:themeTint="99"/>
        <w:insideH w:val="single" w:sz="4" w:space="0" w:color="F7E9C2" w:themeColor="accent5" w:themeTint="99"/>
        <w:insideV w:val="single" w:sz="4" w:space="0" w:color="F7E9C2" w:themeColor="accent5" w:themeTint="99"/>
      </w:tblBorders>
    </w:tblPr>
    <w:tblStylePr w:type="firstRow">
      <w:rPr>
        <w:b/>
        <w:bCs/>
        <w:color w:val="FFFFFF" w:themeColor="background1"/>
      </w:rPr>
      <w:tblPr/>
      <w:tcPr>
        <w:tcBorders>
          <w:top w:val="single" w:sz="4" w:space="0" w:color="F2DC9B" w:themeColor="accent5"/>
          <w:left w:val="single" w:sz="4" w:space="0" w:color="F2DC9B" w:themeColor="accent5"/>
          <w:bottom w:val="single" w:sz="4" w:space="0" w:color="F2DC9B" w:themeColor="accent5"/>
          <w:right w:val="single" w:sz="4" w:space="0" w:color="F2DC9B" w:themeColor="accent5"/>
          <w:insideH w:val="nil"/>
          <w:insideV w:val="nil"/>
        </w:tcBorders>
        <w:shd w:val="clear" w:color="auto" w:fill="F2DC9B" w:themeFill="accent5"/>
      </w:tcPr>
    </w:tblStylePr>
    <w:tblStylePr w:type="lastRow">
      <w:rPr>
        <w:b/>
        <w:bCs/>
      </w:rPr>
      <w:tblPr/>
      <w:tcPr>
        <w:tcBorders>
          <w:top w:val="double" w:sz="4" w:space="0" w:color="F2DC9B" w:themeColor="accent5"/>
        </w:tcBorders>
      </w:tcPr>
    </w:tblStylePr>
    <w:tblStylePr w:type="firstCol">
      <w:rPr>
        <w:b/>
        <w:bCs/>
      </w:rPr>
    </w:tblStylePr>
    <w:tblStylePr w:type="lastCol">
      <w:rPr>
        <w:b/>
        <w:bCs/>
      </w:rPr>
    </w:tblStylePr>
    <w:tblStylePr w:type="band1Vert">
      <w:tblPr/>
      <w:tcPr>
        <w:shd w:val="clear" w:color="auto" w:fill="FCF7EA" w:themeFill="accent5" w:themeFillTint="33"/>
      </w:tcPr>
    </w:tblStylePr>
    <w:tblStylePr w:type="band1Horz">
      <w:tblPr/>
      <w:tcPr>
        <w:shd w:val="clear" w:color="auto" w:fill="FCF7EA" w:themeFill="accent5" w:themeFillTint="33"/>
      </w:tcPr>
    </w:tblStylePr>
  </w:style>
  <w:style w:type="table" w:styleId="Tabellagriglia4-colore3">
    <w:name w:val="Grid Table 4 Accent 3"/>
    <w:basedOn w:val="Tabellanormale"/>
    <w:uiPriority w:val="49"/>
    <w:rsid w:val="00EB3765"/>
    <w:pPr>
      <w:spacing w:after="0" w:line="240" w:lineRule="auto"/>
    </w:pPr>
    <w:tblPr>
      <w:tblStyleRowBandSize w:val="1"/>
      <w:tblStyleColBandSize w:val="1"/>
      <w:tblBorders>
        <w:top w:val="single" w:sz="4" w:space="0" w:color="FAE3AC" w:themeColor="accent3" w:themeTint="99"/>
        <w:left w:val="single" w:sz="4" w:space="0" w:color="FAE3AC" w:themeColor="accent3" w:themeTint="99"/>
        <w:bottom w:val="single" w:sz="4" w:space="0" w:color="FAE3AC" w:themeColor="accent3" w:themeTint="99"/>
        <w:right w:val="single" w:sz="4" w:space="0" w:color="FAE3AC" w:themeColor="accent3" w:themeTint="99"/>
        <w:insideH w:val="single" w:sz="4" w:space="0" w:color="FAE3AC" w:themeColor="accent3" w:themeTint="99"/>
        <w:insideV w:val="single" w:sz="4" w:space="0" w:color="FAE3AC" w:themeColor="accent3" w:themeTint="99"/>
      </w:tblBorders>
    </w:tblPr>
    <w:tblStylePr w:type="firstRow">
      <w:rPr>
        <w:b/>
        <w:bCs/>
        <w:color w:val="FFFFFF" w:themeColor="background1"/>
      </w:rPr>
      <w:tblPr/>
      <w:tcPr>
        <w:tcBorders>
          <w:top w:val="single" w:sz="4" w:space="0" w:color="F8D276" w:themeColor="accent3"/>
          <w:left w:val="single" w:sz="4" w:space="0" w:color="F8D276" w:themeColor="accent3"/>
          <w:bottom w:val="single" w:sz="4" w:space="0" w:color="F8D276" w:themeColor="accent3"/>
          <w:right w:val="single" w:sz="4" w:space="0" w:color="F8D276" w:themeColor="accent3"/>
          <w:insideH w:val="nil"/>
          <w:insideV w:val="nil"/>
        </w:tcBorders>
        <w:shd w:val="clear" w:color="auto" w:fill="F8D276" w:themeFill="accent3"/>
      </w:tcPr>
    </w:tblStylePr>
    <w:tblStylePr w:type="lastRow">
      <w:rPr>
        <w:b/>
        <w:bCs/>
      </w:rPr>
      <w:tblPr/>
      <w:tcPr>
        <w:tcBorders>
          <w:top w:val="double" w:sz="4" w:space="0" w:color="F8D276" w:themeColor="accent3"/>
        </w:tcBorders>
      </w:tcPr>
    </w:tblStylePr>
    <w:tblStylePr w:type="firstCol">
      <w:rPr>
        <w:b/>
        <w:bCs/>
      </w:rPr>
    </w:tblStylePr>
    <w:tblStylePr w:type="lastCol">
      <w:rPr>
        <w:b/>
        <w:bCs/>
      </w:rPr>
    </w:tblStylePr>
    <w:tblStylePr w:type="band1Vert">
      <w:tblPr/>
      <w:tcPr>
        <w:shd w:val="clear" w:color="auto" w:fill="FDF5E3" w:themeFill="accent3" w:themeFillTint="33"/>
      </w:tcPr>
    </w:tblStylePr>
    <w:tblStylePr w:type="band1Horz">
      <w:tblPr/>
      <w:tcPr>
        <w:shd w:val="clear" w:color="auto" w:fill="FDF5E3" w:themeFill="accent3" w:themeFillTint="33"/>
      </w:tcPr>
    </w:tblStylePr>
  </w:style>
  <w:style w:type="numbering" w:customStyle="1" w:styleId="Elencocorrente21">
    <w:name w:val="Elenco corrente21"/>
    <w:uiPriority w:val="99"/>
    <w:rsid w:val="00E22AF1"/>
    <w:pPr>
      <w:numPr>
        <w:numId w:val="38"/>
      </w:numPr>
    </w:pPr>
  </w:style>
  <w:style w:type="numbering" w:customStyle="1" w:styleId="Elencocorrente22">
    <w:name w:val="Elenco corrente22"/>
    <w:uiPriority w:val="99"/>
    <w:rsid w:val="00E22AF1"/>
    <w:pPr>
      <w:numPr>
        <w:numId w:val="39"/>
      </w:numPr>
    </w:pPr>
  </w:style>
  <w:style w:type="numbering" w:customStyle="1" w:styleId="Elencocorrente23">
    <w:name w:val="Elenco corrente23"/>
    <w:uiPriority w:val="99"/>
    <w:rsid w:val="00E22AF1"/>
    <w:pPr>
      <w:numPr>
        <w:numId w:val="40"/>
      </w:numPr>
    </w:pPr>
  </w:style>
  <w:style w:type="numbering" w:customStyle="1" w:styleId="Elencocorrente24">
    <w:name w:val="Elenco corrente24"/>
    <w:uiPriority w:val="99"/>
    <w:rsid w:val="00E22AF1"/>
    <w:pPr>
      <w:numPr>
        <w:numId w:val="41"/>
      </w:numPr>
    </w:pPr>
  </w:style>
  <w:style w:type="numbering" w:customStyle="1" w:styleId="Elencocorrente25">
    <w:name w:val="Elenco corrente25"/>
    <w:uiPriority w:val="99"/>
    <w:rsid w:val="00E22AF1"/>
    <w:pPr>
      <w:numPr>
        <w:numId w:val="42"/>
      </w:numPr>
    </w:pPr>
  </w:style>
  <w:style w:type="numbering" w:customStyle="1" w:styleId="Elencocorrente26">
    <w:name w:val="Elenco corrente26"/>
    <w:uiPriority w:val="99"/>
    <w:rsid w:val="00F51244"/>
    <w:pPr>
      <w:numPr>
        <w:numId w:val="43"/>
      </w:numPr>
    </w:pPr>
  </w:style>
  <w:style w:type="numbering" w:customStyle="1" w:styleId="Elencocorrente27">
    <w:name w:val="Elenco corrente27"/>
    <w:uiPriority w:val="99"/>
    <w:rsid w:val="00F51244"/>
    <w:pPr>
      <w:numPr>
        <w:numId w:val="44"/>
      </w:numPr>
    </w:pPr>
  </w:style>
  <w:style w:type="paragraph" w:customStyle="1" w:styleId="Notadichiusura-Testo">
    <w:name w:val="Nota di chiusura - Testo"/>
    <w:basedOn w:val="Normale"/>
    <w:uiPriority w:val="99"/>
    <w:rsid w:val="001E063A"/>
    <w:pPr>
      <w:keepNext/>
      <w:keepLines w:val="0"/>
      <w:suppressAutoHyphens/>
      <w:autoSpaceDE w:val="0"/>
      <w:autoSpaceDN w:val="0"/>
      <w:adjustRightInd w:val="0"/>
      <w:spacing w:after="0" w:line="288" w:lineRule="auto"/>
      <w:ind w:left="397" w:hanging="397"/>
      <w:textAlignment w:val="center"/>
    </w:pPr>
    <w:rPr>
      <w:rFonts w:eastAsia="Times New Roman" w:cs="Open Sans"/>
      <w:color w:val="000000"/>
      <w:sz w:val="15"/>
      <w:szCs w:val="15"/>
      <w:lang w:val="en-US"/>
    </w:rPr>
  </w:style>
  <w:style w:type="paragraph" w:styleId="Citazioneintensa">
    <w:name w:val="Intense Quote"/>
    <w:basedOn w:val="Normale"/>
    <w:next w:val="Normale"/>
    <w:link w:val="CitazioneintensaCarattere"/>
    <w:uiPriority w:val="30"/>
    <w:qFormat/>
    <w:rsid w:val="00335D3E"/>
    <w:pPr>
      <w:keepLines w:val="0"/>
      <w:pBdr>
        <w:left w:val="single" w:sz="4" w:space="12" w:color="auto"/>
      </w:pBdr>
      <w:spacing w:after="0" w:line="288" w:lineRule="auto"/>
      <w:ind w:left="1134"/>
    </w:pPr>
    <w:rPr>
      <w:rFonts w:eastAsiaTheme="majorEastAsia" w:cs="Times New Roman (Titoli CS)"/>
      <w:i/>
      <w:szCs w:val="32"/>
    </w:rPr>
  </w:style>
  <w:style w:type="character" w:customStyle="1" w:styleId="CitazioneintensaCarattere">
    <w:name w:val="Citazione intensa Carattere"/>
    <w:basedOn w:val="Carpredefinitoparagrafo"/>
    <w:link w:val="Citazioneintensa"/>
    <w:uiPriority w:val="30"/>
    <w:rsid w:val="00335D3E"/>
    <w:rPr>
      <w:rFonts w:ascii="Open Sans" w:eastAsiaTheme="majorEastAsia" w:hAnsi="Open Sans" w:cs="Times New Roman (Titoli CS)"/>
      <w:bCs/>
      <w:i/>
      <w:sz w:val="20"/>
      <w:szCs w:val="32"/>
    </w:rPr>
  </w:style>
  <w:style w:type="paragraph" w:customStyle="1" w:styleId="Normal-12ptbefore">
    <w:name w:val="Normal - 12pt before"/>
    <w:basedOn w:val="Normale"/>
    <w:qFormat/>
    <w:rsid w:val="00F16368"/>
    <w:pPr>
      <w:spacing w:before="240"/>
    </w:pPr>
  </w:style>
  <w:style w:type="numbering" w:customStyle="1" w:styleId="Elencocorrente10">
    <w:name w:val="Elenco corrente10"/>
    <w:uiPriority w:val="99"/>
    <w:rsid w:val="009F4004"/>
    <w:pPr>
      <w:numPr>
        <w:numId w:val="25"/>
      </w:numPr>
    </w:pPr>
  </w:style>
  <w:style w:type="numbering" w:customStyle="1" w:styleId="Elencocorrente11">
    <w:name w:val="Elenco corrente11"/>
    <w:uiPriority w:val="99"/>
    <w:rsid w:val="009F4004"/>
    <w:pPr>
      <w:numPr>
        <w:numId w:val="26"/>
      </w:numPr>
    </w:pPr>
  </w:style>
  <w:style w:type="numbering" w:customStyle="1" w:styleId="Elencocorrente12">
    <w:name w:val="Elenco corrente12"/>
    <w:uiPriority w:val="99"/>
    <w:rsid w:val="00AA17BE"/>
    <w:pPr>
      <w:numPr>
        <w:numId w:val="27"/>
      </w:numPr>
    </w:pPr>
  </w:style>
  <w:style w:type="numbering" w:customStyle="1" w:styleId="Elencocorrente15">
    <w:name w:val="Elenco corrente15"/>
    <w:uiPriority w:val="99"/>
    <w:rsid w:val="00E2526F"/>
    <w:pPr>
      <w:numPr>
        <w:numId w:val="31"/>
      </w:numPr>
    </w:pPr>
  </w:style>
  <w:style w:type="numbering" w:customStyle="1" w:styleId="Elencocorrente13">
    <w:name w:val="Elenco corrente13"/>
    <w:uiPriority w:val="99"/>
    <w:rsid w:val="00E2526F"/>
    <w:pPr>
      <w:numPr>
        <w:numId w:val="28"/>
      </w:numPr>
    </w:pPr>
  </w:style>
  <w:style w:type="numbering" w:customStyle="1" w:styleId="Elencocorrente14">
    <w:name w:val="Elenco corrente14"/>
    <w:uiPriority w:val="99"/>
    <w:rsid w:val="00E2526F"/>
    <w:pPr>
      <w:numPr>
        <w:numId w:val="29"/>
      </w:numPr>
    </w:pPr>
  </w:style>
  <w:style w:type="numbering" w:customStyle="1" w:styleId="Elencocorrente16">
    <w:name w:val="Elenco corrente16"/>
    <w:uiPriority w:val="99"/>
    <w:rsid w:val="00E2526F"/>
    <w:pPr>
      <w:numPr>
        <w:numId w:val="33"/>
      </w:numPr>
    </w:pPr>
  </w:style>
  <w:style w:type="numbering" w:customStyle="1" w:styleId="Elencocorrente28">
    <w:name w:val="Elenco corrente28"/>
    <w:uiPriority w:val="99"/>
    <w:rsid w:val="002E25EB"/>
    <w:pPr>
      <w:numPr>
        <w:numId w:val="45"/>
      </w:numPr>
    </w:pPr>
  </w:style>
  <w:style w:type="numbering" w:customStyle="1" w:styleId="Elencocorrente29">
    <w:name w:val="Elenco corrente29"/>
    <w:uiPriority w:val="99"/>
    <w:rsid w:val="002E25EB"/>
    <w:pPr>
      <w:numPr>
        <w:numId w:val="46"/>
      </w:numPr>
    </w:pPr>
  </w:style>
  <w:style w:type="paragraph" w:customStyle="1" w:styleId="SectionNumber">
    <w:name w:val="Section Number"/>
    <w:basedOn w:val="Titolo5"/>
    <w:qFormat/>
    <w:rsid w:val="002F2DC0"/>
    <w:pPr>
      <w:jc w:val="center"/>
    </w:pPr>
    <w:rPr>
      <w:rFonts w:ascii="Open Sans" w:hAnsi="Open Sans" w:cs="Open Sans"/>
      <w:b w:val="0"/>
      <w:sz w:val="280"/>
      <w:szCs w:val="280"/>
      <w:lang w:val="it-IT"/>
    </w:rPr>
  </w:style>
  <w:style w:type="numbering" w:customStyle="1" w:styleId="Elencocorrente30">
    <w:name w:val="Elenco corrente30"/>
    <w:uiPriority w:val="99"/>
    <w:rsid w:val="009E4BB1"/>
    <w:pPr>
      <w:numPr>
        <w:numId w:val="47"/>
      </w:numPr>
    </w:pPr>
  </w:style>
  <w:style w:type="paragraph" w:customStyle="1" w:styleId="NormalIndent1cm">
    <w:name w:val="Normal Indent 1 cm"/>
    <w:basedOn w:val="Normale"/>
    <w:qFormat/>
    <w:rsid w:val="009E4BB1"/>
    <w:pPr>
      <w:spacing w:line="360" w:lineRule="auto"/>
      <w:ind w:left="567"/>
    </w:pPr>
  </w:style>
  <w:style w:type="numbering" w:customStyle="1" w:styleId="Elencocorrente31">
    <w:name w:val="Elenco corrente31"/>
    <w:uiPriority w:val="99"/>
    <w:rsid w:val="009A530B"/>
    <w:pPr>
      <w:numPr>
        <w:numId w:val="48"/>
      </w:numPr>
    </w:pPr>
  </w:style>
  <w:style w:type="character" w:customStyle="1" w:styleId="SuperscriptEndnotes">
    <w:name w:val="Superscript Endnotes"/>
    <w:basedOn w:val="Rimandonotadichiusura"/>
    <w:uiPriority w:val="1"/>
    <w:qFormat/>
    <w:rsid w:val="00BF05F7"/>
    <w:rPr>
      <w:rFonts w:ascii="Open Sans" w:hAnsi="Open Sans"/>
      <w:sz w:val="20"/>
      <w:vertAlign w:val="superscript"/>
    </w:rPr>
  </w:style>
  <w:style w:type="numbering" w:customStyle="1" w:styleId="Elencocorrente32">
    <w:name w:val="Elenco corrente32"/>
    <w:uiPriority w:val="99"/>
    <w:rsid w:val="00335D3E"/>
    <w:pPr>
      <w:numPr>
        <w:numId w:val="49"/>
      </w:numPr>
    </w:pPr>
  </w:style>
  <w:style w:type="numbering" w:customStyle="1" w:styleId="Elencocorrente33">
    <w:name w:val="Elenco corrente33"/>
    <w:uiPriority w:val="99"/>
    <w:rsid w:val="00335D3E"/>
    <w:pPr>
      <w:numPr>
        <w:numId w:val="50"/>
      </w:numPr>
    </w:pPr>
  </w:style>
  <w:style w:type="numbering" w:customStyle="1" w:styleId="Elencocorrente34">
    <w:name w:val="Elenco corrente34"/>
    <w:uiPriority w:val="99"/>
    <w:rsid w:val="006B7046"/>
    <w:pPr>
      <w:numPr>
        <w:numId w:val="51"/>
      </w:numPr>
    </w:pPr>
  </w:style>
  <w:style w:type="numbering" w:customStyle="1" w:styleId="Elencocorrente35">
    <w:name w:val="Elenco corrente35"/>
    <w:uiPriority w:val="99"/>
    <w:rsid w:val="006B7046"/>
    <w:pPr>
      <w:numPr>
        <w:numId w:val="5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4057">
      <w:bodyDiv w:val="1"/>
      <w:marLeft w:val="0"/>
      <w:marRight w:val="0"/>
      <w:marTop w:val="0"/>
      <w:marBottom w:val="0"/>
      <w:divBdr>
        <w:top w:val="none" w:sz="0" w:space="0" w:color="auto"/>
        <w:left w:val="none" w:sz="0" w:space="0" w:color="auto"/>
        <w:bottom w:val="none" w:sz="0" w:space="0" w:color="auto"/>
        <w:right w:val="none" w:sz="0" w:space="0" w:color="auto"/>
      </w:divBdr>
    </w:div>
    <w:div w:id="17433900">
      <w:bodyDiv w:val="1"/>
      <w:marLeft w:val="0"/>
      <w:marRight w:val="0"/>
      <w:marTop w:val="0"/>
      <w:marBottom w:val="0"/>
      <w:divBdr>
        <w:top w:val="none" w:sz="0" w:space="0" w:color="auto"/>
        <w:left w:val="none" w:sz="0" w:space="0" w:color="auto"/>
        <w:bottom w:val="none" w:sz="0" w:space="0" w:color="auto"/>
        <w:right w:val="none" w:sz="0" w:space="0" w:color="auto"/>
      </w:divBdr>
    </w:div>
    <w:div w:id="66652007">
      <w:bodyDiv w:val="1"/>
      <w:marLeft w:val="0"/>
      <w:marRight w:val="0"/>
      <w:marTop w:val="0"/>
      <w:marBottom w:val="0"/>
      <w:divBdr>
        <w:top w:val="none" w:sz="0" w:space="0" w:color="auto"/>
        <w:left w:val="none" w:sz="0" w:space="0" w:color="auto"/>
        <w:bottom w:val="none" w:sz="0" w:space="0" w:color="auto"/>
        <w:right w:val="none" w:sz="0" w:space="0" w:color="auto"/>
      </w:divBdr>
    </w:div>
    <w:div w:id="73210055">
      <w:bodyDiv w:val="1"/>
      <w:marLeft w:val="0"/>
      <w:marRight w:val="0"/>
      <w:marTop w:val="0"/>
      <w:marBottom w:val="0"/>
      <w:divBdr>
        <w:top w:val="none" w:sz="0" w:space="0" w:color="auto"/>
        <w:left w:val="none" w:sz="0" w:space="0" w:color="auto"/>
        <w:bottom w:val="none" w:sz="0" w:space="0" w:color="auto"/>
        <w:right w:val="none" w:sz="0" w:space="0" w:color="auto"/>
      </w:divBdr>
    </w:div>
    <w:div w:id="111680925">
      <w:bodyDiv w:val="1"/>
      <w:marLeft w:val="0"/>
      <w:marRight w:val="0"/>
      <w:marTop w:val="0"/>
      <w:marBottom w:val="0"/>
      <w:divBdr>
        <w:top w:val="none" w:sz="0" w:space="0" w:color="auto"/>
        <w:left w:val="none" w:sz="0" w:space="0" w:color="auto"/>
        <w:bottom w:val="none" w:sz="0" w:space="0" w:color="auto"/>
        <w:right w:val="none" w:sz="0" w:space="0" w:color="auto"/>
      </w:divBdr>
    </w:div>
    <w:div w:id="119230573">
      <w:bodyDiv w:val="1"/>
      <w:marLeft w:val="0"/>
      <w:marRight w:val="0"/>
      <w:marTop w:val="0"/>
      <w:marBottom w:val="0"/>
      <w:divBdr>
        <w:top w:val="none" w:sz="0" w:space="0" w:color="auto"/>
        <w:left w:val="none" w:sz="0" w:space="0" w:color="auto"/>
        <w:bottom w:val="none" w:sz="0" w:space="0" w:color="auto"/>
        <w:right w:val="none" w:sz="0" w:space="0" w:color="auto"/>
      </w:divBdr>
    </w:div>
    <w:div w:id="157811096">
      <w:bodyDiv w:val="1"/>
      <w:marLeft w:val="0"/>
      <w:marRight w:val="0"/>
      <w:marTop w:val="0"/>
      <w:marBottom w:val="0"/>
      <w:divBdr>
        <w:top w:val="none" w:sz="0" w:space="0" w:color="auto"/>
        <w:left w:val="none" w:sz="0" w:space="0" w:color="auto"/>
        <w:bottom w:val="none" w:sz="0" w:space="0" w:color="auto"/>
        <w:right w:val="none" w:sz="0" w:space="0" w:color="auto"/>
      </w:divBdr>
    </w:div>
    <w:div w:id="160851406">
      <w:bodyDiv w:val="1"/>
      <w:marLeft w:val="0"/>
      <w:marRight w:val="0"/>
      <w:marTop w:val="0"/>
      <w:marBottom w:val="0"/>
      <w:divBdr>
        <w:top w:val="none" w:sz="0" w:space="0" w:color="auto"/>
        <w:left w:val="none" w:sz="0" w:space="0" w:color="auto"/>
        <w:bottom w:val="none" w:sz="0" w:space="0" w:color="auto"/>
        <w:right w:val="none" w:sz="0" w:space="0" w:color="auto"/>
      </w:divBdr>
    </w:div>
    <w:div w:id="198469563">
      <w:bodyDiv w:val="1"/>
      <w:marLeft w:val="0"/>
      <w:marRight w:val="0"/>
      <w:marTop w:val="0"/>
      <w:marBottom w:val="0"/>
      <w:divBdr>
        <w:top w:val="none" w:sz="0" w:space="0" w:color="auto"/>
        <w:left w:val="none" w:sz="0" w:space="0" w:color="auto"/>
        <w:bottom w:val="none" w:sz="0" w:space="0" w:color="auto"/>
        <w:right w:val="none" w:sz="0" w:space="0" w:color="auto"/>
      </w:divBdr>
    </w:div>
    <w:div w:id="200945014">
      <w:bodyDiv w:val="1"/>
      <w:marLeft w:val="0"/>
      <w:marRight w:val="0"/>
      <w:marTop w:val="0"/>
      <w:marBottom w:val="0"/>
      <w:divBdr>
        <w:top w:val="none" w:sz="0" w:space="0" w:color="auto"/>
        <w:left w:val="none" w:sz="0" w:space="0" w:color="auto"/>
        <w:bottom w:val="none" w:sz="0" w:space="0" w:color="auto"/>
        <w:right w:val="none" w:sz="0" w:space="0" w:color="auto"/>
      </w:divBdr>
    </w:div>
    <w:div w:id="240145196">
      <w:bodyDiv w:val="1"/>
      <w:marLeft w:val="0"/>
      <w:marRight w:val="0"/>
      <w:marTop w:val="0"/>
      <w:marBottom w:val="0"/>
      <w:divBdr>
        <w:top w:val="none" w:sz="0" w:space="0" w:color="auto"/>
        <w:left w:val="none" w:sz="0" w:space="0" w:color="auto"/>
        <w:bottom w:val="none" w:sz="0" w:space="0" w:color="auto"/>
        <w:right w:val="none" w:sz="0" w:space="0" w:color="auto"/>
      </w:divBdr>
    </w:div>
    <w:div w:id="281353148">
      <w:bodyDiv w:val="1"/>
      <w:marLeft w:val="0"/>
      <w:marRight w:val="0"/>
      <w:marTop w:val="0"/>
      <w:marBottom w:val="0"/>
      <w:divBdr>
        <w:top w:val="none" w:sz="0" w:space="0" w:color="auto"/>
        <w:left w:val="none" w:sz="0" w:space="0" w:color="auto"/>
        <w:bottom w:val="none" w:sz="0" w:space="0" w:color="auto"/>
        <w:right w:val="none" w:sz="0" w:space="0" w:color="auto"/>
      </w:divBdr>
    </w:div>
    <w:div w:id="349766896">
      <w:bodyDiv w:val="1"/>
      <w:marLeft w:val="0"/>
      <w:marRight w:val="0"/>
      <w:marTop w:val="0"/>
      <w:marBottom w:val="0"/>
      <w:divBdr>
        <w:top w:val="none" w:sz="0" w:space="0" w:color="auto"/>
        <w:left w:val="none" w:sz="0" w:space="0" w:color="auto"/>
        <w:bottom w:val="none" w:sz="0" w:space="0" w:color="auto"/>
        <w:right w:val="none" w:sz="0" w:space="0" w:color="auto"/>
      </w:divBdr>
    </w:div>
    <w:div w:id="429787250">
      <w:bodyDiv w:val="1"/>
      <w:marLeft w:val="0"/>
      <w:marRight w:val="0"/>
      <w:marTop w:val="0"/>
      <w:marBottom w:val="0"/>
      <w:divBdr>
        <w:top w:val="none" w:sz="0" w:space="0" w:color="auto"/>
        <w:left w:val="none" w:sz="0" w:space="0" w:color="auto"/>
        <w:bottom w:val="none" w:sz="0" w:space="0" w:color="auto"/>
        <w:right w:val="none" w:sz="0" w:space="0" w:color="auto"/>
      </w:divBdr>
    </w:div>
    <w:div w:id="460459718">
      <w:bodyDiv w:val="1"/>
      <w:marLeft w:val="0"/>
      <w:marRight w:val="0"/>
      <w:marTop w:val="0"/>
      <w:marBottom w:val="0"/>
      <w:divBdr>
        <w:top w:val="none" w:sz="0" w:space="0" w:color="auto"/>
        <w:left w:val="none" w:sz="0" w:space="0" w:color="auto"/>
        <w:bottom w:val="none" w:sz="0" w:space="0" w:color="auto"/>
        <w:right w:val="none" w:sz="0" w:space="0" w:color="auto"/>
      </w:divBdr>
      <w:divsChild>
        <w:div w:id="26299820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76146527">
      <w:bodyDiv w:val="1"/>
      <w:marLeft w:val="0"/>
      <w:marRight w:val="0"/>
      <w:marTop w:val="0"/>
      <w:marBottom w:val="0"/>
      <w:divBdr>
        <w:top w:val="none" w:sz="0" w:space="0" w:color="auto"/>
        <w:left w:val="none" w:sz="0" w:space="0" w:color="auto"/>
        <w:bottom w:val="none" w:sz="0" w:space="0" w:color="auto"/>
        <w:right w:val="none" w:sz="0" w:space="0" w:color="auto"/>
      </w:divBdr>
    </w:div>
    <w:div w:id="480270437">
      <w:bodyDiv w:val="1"/>
      <w:marLeft w:val="0"/>
      <w:marRight w:val="0"/>
      <w:marTop w:val="0"/>
      <w:marBottom w:val="0"/>
      <w:divBdr>
        <w:top w:val="none" w:sz="0" w:space="0" w:color="auto"/>
        <w:left w:val="none" w:sz="0" w:space="0" w:color="auto"/>
        <w:bottom w:val="none" w:sz="0" w:space="0" w:color="auto"/>
        <w:right w:val="none" w:sz="0" w:space="0" w:color="auto"/>
      </w:divBdr>
    </w:div>
    <w:div w:id="629627021">
      <w:bodyDiv w:val="1"/>
      <w:marLeft w:val="0"/>
      <w:marRight w:val="0"/>
      <w:marTop w:val="0"/>
      <w:marBottom w:val="0"/>
      <w:divBdr>
        <w:top w:val="none" w:sz="0" w:space="0" w:color="auto"/>
        <w:left w:val="none" w:sz="0" w:space="0" w:color="auto"/>
        <w:bottom w:val="none" w:sz="0" w:space="0" w:color="auto"/>
        <w:right w:val="none" w:sz="0" w:space="0" w:color="auto"/>
      </w:divBdr>
    </w:div>
    <w:div w:id="629672346">
      <w:bodyDiv w:val="1"/>
      <w:marLeft w:val="0"/>
      <w:marRight w:val="0"/>
      <w:marTop w:val="0"/>
      <w:marBottom w:val="0"/>
      <w:divBdr>
        <w:top w:val="none" w:sz="0" w:space="0" w:color="auto"/>
        <w:left w:val="none" w:sz="0" w:space="0" w:color="auto"/>
        <w:bottom w:val="none" w:sz="0" w:space="0" w:color="auto"/>
        <w:right w:val="none" w:sz="0" w:space="0" w:color="auto"/>
      </w:divBdr>
    </w:div>
    <w:div w:id="683630581">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61072133">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788665752">
      <w:bodyDiv w:val="1"/>
      <w:marLeft w:val="0"/>
      <w:marRight w:val="0"/>
      <w:marTop w:val="0"/>
      <w:marBottom w:val="0"/>
      <w:divBdr>
        <w:top w:val="none" w:sz="0" w:space="0" w:color="auto"/>
        <w:left w:val="none" w:sz="0" w:space="0" w:color="auto"/>
        <w:bottom w:val="none" w:sz="0" w:space="0" w:color="auto"/>
        <w:right w:val="none" w:sz="0" w:space="0" w:color="auto"/>
      </w:divBdr>
      <w:divsChild>
        <w:div w:id="1940867926">
          <w:marLeft w:val="547"/>
          <w:marRight w:val="0"/>
          <w:marTop w:val="0"/>
          <w:marBottom w:val="0"/>
          <w:divBdr>
            <w:top w:val="none" w:sz="0" w:space="0" w:color="auto"/>
            <w:left w:val="none" w:sz="0" w:space="0" w:color="auto"/>
            <w:bottom w:val="none" w:sz="0" w:space="0" w:color="auto"/>
            <w:right w:val="none" w:sz="0" w:space="0" w:color="auto"/>
          </w:divBdr>
        </w:div>
      </w:divsChild>
    </w:div>
    <w:div w:id="797991121">
      <w:bodyDiv w:val="1"/>
      <w:marLeft w:val="0"/>
      <w:marRight w:val="0"/>
      <w:marTop w:val="0"/>
      <w:marBottom w:val="0"/>
      <w:divBdr>
        <w:top w:val="none" w:sz="0" w:space="0" w:color="auto"/>
        <w:left w:val="none" w:sz="0" w:space="0" w:color="auto"/>
        <w:bottom w:val="none" w:sz="0" w:space="0" w:color="auto"/>
        <w:right w:val="none" w:sz="0" w:space="0" w:color="auto"/>
      </w:divBdr>
      <w:divsChild>
        <w:div w:id="78872159">
          <w:marLeft w:val="0"/>
          <w:marRight w:val="0"/>
          <w:marTop w:val="0"/>
          <w:marBottom w:val="0"/>
          <w:divBdr>
            <w:top w:val="none" w:sz="0" w:space="0" w:color="auto"/>
            <w:left w:val="none" w:sz="0" w:space="0" w:color="auto"/>
            <w:bottom w:val="none" w:sz="0" w:space="0" w:color="auto"/>
            <w:right w:val="none" w:sz="0" w:space="0" w:color="auto"/>
          </w:divBdr>
          <w:divsChild>
            <w:div w:id="1533109008">
              <w:marLeft w:val="0"/>
              <w:marRight w:val="0"/>
              <w:marTop w:val="0"/>
              <w:marBottom w:val="0"/>
              <w:divBdr>
                <w:top w:val="none" w:sz="0" w:space="0" w:color="auto"/>
                <w:left w:val="none" w:sz="0" w:space="0" w:color="auto"/>
                <w:bottom w:val="none" w:sz="0" w:space="0" w:color="auto"/>
                <w:right w:val="none" w:sz="0" w:space="0" w:color="auto"/>
              </w:divBdr>
              <w:divsChild>
                <w:div w:id="747192353">
                  <w:marLeft w:val="0"/>
                  <w:marRight w:val="0"/>
                  <w:marTop w:val="0"/>
                  <w:marBottom w:val="0"/>
                  <w:divBdr>
                    <w:top w:val="none" w:sz="0" w:space="0" w:color="auto"/>
                    <w:left w:val="none" w:sz="0" w:space="0" w:color="auto"/>
                    <w:bottom w:val="none" w:sz="0" w:space="0" w:color="auto"/>
                    <w:right w:val="none" w:sz="0" w:space="0" w:color="auto"/>
                  </w:divBdr>
                  <w:divsChild>
                    <w:div w:id="6099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89909">
      <w:bodyDiv w:val="1"/>
      <w:marLeft w:val="0"/>
      <w:marRight w:val="0"/>
      <w:marTop w:val="0"/>
      <w:marBottom w:val="0"/>
      <w:divBdr>
        <w:top w:val="none" w:sz="0" w:space="0" w:color="auto"/>
        <w:left w:val="none" w:sz="0" w:space="0" w:color="auto"/>
        <w:bottom w:val="none" w:sz="0" w:space="0" w:color="auto"/>
        <w:right w:val="none" w:sz="0" w:space="0" w:color="auto"/>
      </w:divBdr>
    </w:div>
    <w:div w:id="920598858">
      <w:bodyDiv w:val="1"/>
      <w:marLeft w:val="0"/>
      <w:marRight w:val="0"/>
      <w:marTop w:val="0"/>
      <w:marBottom w:val="0"/>
      <w:divBdr>
        <w:top w:val="none" w:sz="0" w:space="0" w:color="auto"/>
        <w:left w:val="none" w:sz="0" w:space="0" w:color="auto"/>
        <w:bottom w:val="none" w:sz="0" w:space="0" w:color="auto"/>
        <w:right w:val="none" w:sz="0" w:space="0" w:color="auto"/>
      </w:divBdr>
    </w:div>
    <w:div w:id="939527878">
      <w:bodyDiv w:val="1"/>
      <w:marLeft w:val="0"/>
      <w:marRight w:val="0"/>
      <w:marTop w:val="0"/>
      <w:marBottom w:val="0"/>
      <w:divBdr>
        <w:top w:val="none" w:sz="0" w:space="0" w:color="auto"/>
        <w:left w:val="none" w:sz="0" w:space="0" w:color="auto"/>
        <w:bottom w:val="none" w:sz="0" w:space="0" w:color="auto"/>
        <w:right w:val="none" w:sz="0" w:space="0" w:color="auto"/>
      </w:divBdr>
    </w:div>
    <w:div w:id="967782475">
      <w:bodyDiv w:val="1"/>
      <w:marLeft w:val="0"/>
      <w:marRight w:val="0"/>
      <w:marTop w:val="0"/>
      <w:marBottom w:val="0"/>
      <w:divBdr>
        <w:top w:val="none" w:sz="0" w:space="0" w:color="auto"/>
        <w:left w:val="none" w:sz="0" w:space="0" w:color="auto"/>
        <w:bottom w:val="none" w:sz="0" w:space="0" w:color="auto"/>
        <w:right w:val="none" w:sz="0" w:space="0" w:color="auto"/>
      </w:divBdr>
      <w:divsChild>
        <w:div w:id="343242465">
          <w:marLeft w:val="0"/>
          <w:marRight w:val="0"/>
          <w:marTop w:val="0"/>
          <w:marBottom w:val="0"/>
          <w:divBdr>
            <w:top w:val="none" w:sz="0" w:space="0" w:color="auto"/>
            <w:left w:val="none" w:sz="0" w:space="0" w:color="auto"/>
            <w:bottom w:val="none" w:sz="0" w:space="0" w:color="auto"/>
            <w:right w:val="none" w:sz="0" w:space="0" w:color="auto"/>
          </w:divBdr>
          <w:divsChild>
            <w:div w:id="1135676704">
              <w:marLeft w:val="0"/>
              <w:marRight w:val="0"/>
              <w:marTop w:val="0"/>
              <w:marBottom w:val="0"/>
              <w:divBdr>
                <w:top w:val="none" w:sz="0" w:space="0" w:color="auto"/>
                <w:left w:val="none" w:sz="0" w:space="0" w:color="auto"/>
                <w:bottom w:val="none" w:sz="0" w:space="0" w:color="auto"/>
                <w:right w:val="none" w:sz="0" w:space="0" w:color="auto"/>
              </w:divBdr>
              <w:divsChild>
                <w:div w:id="905266696">
                  <w:marLeft w:val="0"/>
                  <w:marRight w:val="0"/>
                  <w:marTop w:val="0"/>
                  <w:marBottom w:val="0"/>
                  <w:divBdr>
                    <w:top w:val="none" w:sz="0" w:space="0" w:color="auto"/>
                    <w:left w:val="none" w:sz="0" w:space="0" w:color="auto"/>
                    <w:bottom w:val="none" w:sz="0" w:space="0" w:color="auto"/>
                    <w:right w:val="none" w:sz="0" w:space="0" w:color="auto"/>
                  </w:divBdr>
                  <w:divsChild>
                    <w:div w:id="52429692">
                      <w:marLeft w:val="0"/>
                      <w:marRight w:val="0"/>
                      <w:marTop w:val="0"/>
                      <w:marBottom w:val="0"/>
                      <w:divBdr>
                        <w:top w:val="none" w:sz="0" w:space="0" w:color="auto"/>
                        <w:left w:val="none" w:sz="0" w:space="0" w:color="auto"/>
                        <w:bottom w:val="none" w:sz="0" w:space="0" w:color="auto"/>
                        <w:right w:val="none" w:sz="0" w:space="0" w:color="auto"/>
                      </w:divBdr>
                      <w:divsChild>
                        <w:div w:id="1712073377">
                          <w:marLeft w:val="0"/>
                          <w:marRight w:val="0"/>
                          <w:marTop w:val="0"/>
                          <w:marBottom w:val="0"/>
                          <w:divBdr>
                            <w:top w:val="none" w:sz="0" w:space="0" w:color="auto"/>
                            <w:left w:val="none" w:sz="0" w:space="0" w:color="auto"/>
                            <w:bottom w:val="none" w:sz="0" w:space="0" w:color="auto"/>
                            <w:right w:val="none" w:sz="0" w:space="0" w:color="auto"/>
                          </w:divBdr>
                          <w:divsChild>
                            <w:div w:id="1295866932">
                              <w:marLeft w:val="0"/>
                              <w:marRight w:val="0"/>
                              <w:marTop w:val="0"/>
                              <w:marBottom w:val="0"/>
                              <w:divBdr>
                                <w:top w:val="none" w:sz="0" w:space="0" w:color="auto"/>
                                <w:left w:val="none" w:sz="0" w:space="0" w:color="auto"/>
                                <w:bottom w:val="none" w:sz="0" w:space="0" w:color="auto"/>
                                <w:right w:val="none" w:sz="0" w:space="0" w:color="auto"/>
                              </w:divBdr>
                              <w:divsChild>
                                <w:div w:id="92048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986782156">
      <w:bodyDiv w:val="1"/>
      <w:marLeft w:val="0"/>
      <w:marRight w:val="0"/>
      <w:marTop w:val="0"/>
      <w:marBottom w:val="0"/>
      <w:divBdr>
        <w:top w:val="none" w:sz="0" w:space="0" w:color="auto"/>
        <w:left w:val="none" w:sz="0" w:space="0" w:color="auto"/>
        <w:bottom w:val="none" w:sz="0" w:space="0" w:color="auto"/>
        <w:right w:val="none" w:sz="0" w:space="0" w:color="auto"/>
      </w:divBdr>
    </w:div>
    <w:div w:id="992492211">
      <w:bodyDiv w:val="1"/>
      <w:marLeft w:val="0"/>
      <w:marRight w:val="0"/>
      <w:marTop w:val="0"/>
      <w:marBottom w:val="0"/>
      <w:divBdr>
        <w:top w:val="none" w:sz="0" w:space="0" w:color="auto"/>
        <w:left w:val="none" w:sz="0" w:space="0" w:color="auto"/>
        <w:bottom w:val="none" w:sz="0" w:space="0" w:color="auto"/>
        <w:right w:val="none" w:sz="0" w:space="0" w:color="auto"/>
      </w:divBdr>
    </w:div>
    <w:div w:id="1003706011">
      <w:bodyDiv w:val="1"/>
      <w:marLeft w:val="0"/>
      <w:marRight w:val="0"/>
      <w:marTop w:val="0"/>
      <w:marBottom w:val="0"/>
      <w:divBdr>
        <w:top w:val="none" w:sz="0" w:space="0" w:color="auto"/>
        <w:left w:val="none" w:sz="0" w:space="0" w:color="auto"/>
        <w:bottom w:val="none" w:sz="0" w:space="0" w:color="auto"/>
        <w:right w:val="none" w:sz="0" w:space="0" w:color="auto"/>
      </w:divBdr>
    </w:div>
    <w:div w:id="1013074373">
      <w:bodyDiv w:val="1"/>
      <w:marLeft w:val="0"/>
      <w:marRight w:val="0"/>
      <w:marTop w:val="0"/>
      <w:marBottom w:val="0"/>
      <w:divBdr>
        <w:top w:val="none" w:sz="0" w:space="0" w:color="auto"/>
        <w:left w:val="none" w:sz="0" w:space="0" w:color="auto"/>
        <w:bottom w:val="none" w:sz="0" w:space="0" w:color="auto"/>
        <w:right w:val="none" w:sz="0" w:space="0" w:color="auto"/>
      </w:divBdr>
      <w:divsChild>
        <w:div w:id="2098597664">
          <w:marLeft w:val="547"/>
          <w:marRight w:val="0"/>
          <w:marTop w:val="0"/>
          <w:marBottom w:val="0"/>
          <w:divBdr>
            <w:top w:val="none" w:sz="0" w:space="0" w:color="auto"/>
            <w:left w:val="none" w:sz="0" w:space="0" w:color="auto"/>
            <w:bottom w:val="none" w:sz="0" w:space="0" w:color="auto"/>
            <w:right w:val="none" w:sz="0" w:space="0" w:color="auto"/>
          </w:divBdr>
        </w:div>
      </w:divsChild>
    </w:div>
    <w:div w:id="1021736300">
      <w:bodyDiv w:val="1"/>
      <w:marLeft w:val="0"/>
      <w:marRight w:val="0"/>
      <w:marTop w:val="0"/>
      <w:marBottom w:val="0"/>
      <w:divBdr>
        <w:top w:val="none" w:sz="0" w:space="0" w:color="auto"/>
        <w:left w:val="none" w:sz="0" w:space="0" w:color="auto"/>
        <w:bottom w:val="none" w:sz="0" w:space="0" w:color="auto"/>
        <w:right w:val="none" w:sz="0" w:space="0" w:color="auto"/>
      </w:divBdr>
    </w:div>
    <w:div w:id="1038776932">
      <w:bodyDiv w:val="1"/>
      <w:marLeft w:val="0"/>
      <w:marRight w:val="0"/>
      <w:marTop w:val="0"/>
      <w:marBottom w:val="0"/>
      <w:divBdr>
        <w:top w:val="none" w:sz="0" w:space="0" w:color="auto"/>
        <w:left w:val="none" w:sz="0" w:space="0" w:color="auto"/>
        <w:bottom w:val="none" w:sz="0" w:space="0" w:color="auto"/>
        <w:right w:val="none" w:sz="0" w:space="0" w:color="auto"/>
      </w:divBdr>
    </w:div>
    <w:div w:id="1048652950">
      <w:bodyDiv w:val="1"/>
      <w:marLeft w:val="0"/>
      <w:marRight w:val="0"/>
      <w:marTop w:val="0"/>
      <w:marBottom w:val="0"/>
      <w:divBdr>
        <w:top w:val="none" w:sz="0" w:space="0" w:color="auto"/>
        <w:left w:val="none" w:sz="0" w:space="0" w:color="auto"/>
        <w:bottom w:val="none" w:sz="0" w:space="0" w:color="auto"/>
        <w:right w:val="none" w:sz="0" w:space="0" w:color="auto"/>
      </w:divBdr>
    </w:div>
    <w:div w:id="1079253845">
      <w:bodyDiv w:val="1"/>
      <w:marLeft w:val="0"/>
      <w:marRight w:val="0"/>
      <w:marTop w:val="0"/>
      <w:marBottom w:val="0"/>
      <w:divBdr>
        <w:top w:val="none" w:sz="0" w:space="0" w:color="auto"/>
        <w:left w:val="none" w:sz="0" w:space="0" w:color="auto"/>
        <w:bottom w:val="none" w:sz="0" w:space="0" w:color="auto"/>
        <w:right w:val="none" w:sz="0" w:space="0" w:color="auto"/>
      </w:divBdr>
    </w:div>
    <w:div w:id="1144153908">
      <w:bodyDiv w:val="1"/>
      <w:marLeft w:val="0"/>
      <w:marRight w:val="0"/>
      <w:marTop w:val="0"/>
      <w:marBottom w:val="0"/>
      <w:divBdr>
        <w:top w:val="none" w:sz="0" w:space="0" w:color="auto"/>
        <w:left w:val="none" w:sz="0" w:space="0" w:color="auto"/>
        <w:bottom w:val="none" w:sz="0" w:space="0" w:color="auto"/>
        <w:right w:val="none" w:sz="0" w:space="0" w:color="auto"/>
      </w:divBdr>
    </w:div>
    <w:div w:id="1163356432">
      <w:bodyDiv w:val="1"/>
      <w:marLeft w:val="0"/>
      <w:marRight w:val="0"/>
      <w:marTop w:val="0"/>
      <w:marBottom w:val="0"/>
      <w:divBdr>
        <w:top w:val="none" w:sz="0" w:space="0" w:color="auto"/>
        <w:left w:val="none" w:sz="0" w:space="0" w:color="auto"/>
        <w:bottom w:val="none" w:sz="0" w:space="0" w:color="auto"/>
        <w:right w:val="none" w:sz="0" w:space="0" w:color="auto"/>
      </w:divBdr>
    </w:div>
    <w:div w:id="1193688883">
      <w:bodyDiv w:val="1"/>
      <w:marLeft w:val="0"/>
      <w:marRight w:val="0"/>
      <w:marTop w:val="0"/>
      <w:marBottom w:val="0"/>
      <w:divBdr>
        <w:top w:val="none" w:sz="0" w:space="0" w:color="auto"/>
        <w:left w:val="none" w:sz="0" w:space="0" w:color="auto"/>
        <w:bottom w:val="none" w:sz="0" w:space="0" w:color="auto"/>
        <w:right w:val="none" w:sz="0" w:space="0" w:color="auto"/>
      </w:divBdr>
    </w:div>
    <w:div w:id="1223909817">
      <w:bodyDiv w:val="1"/>
      <w:marLeft w:val="0"/>
      <w:marRight w:val="0"/>
      <w:marTop w:val="0"/>
      <w:marBottom w:val="0"/>
      <w:divBdr>
        <w:top w:val="none" w:sz="0" w:space="0" w:color="auto"/>
        <w:left w:val="none" w:sz="0" w:space="0" w:color="auto"/>
        <w:bottom w:val="none" w:sz="0" w:space="0" w:color="auto"/>
        <w:right w:val="none" w:sz="0" w:space="0" w:color="auto"/>
      </w:divBdr>
    </w:div>
    <w:div w:id="1242058822">
      <w:bodyDiv w:val="1"/>
      <w:marLeft w:val="0"/>
      <w:marRight w:val="0"/>
      <w:marTop w:val="0"/>
      <w:marBottom w:val="0"/>
      <w:divBdr>
        <w:top w:val="none" w:sz="0" w:space="0" w:color="auto"/>
        <w:left w:val="none" w:sz="0" w:space="0" w:color="auto"/>
        <w:bottom w:val="none" w:sz="0" w:space="0" w:color="auto"/>
        <w:right w:val="none" w:sz="0" w:space="0" w:color="auto"/>
      </w:divBdr>
    </w:div>
    <w:div w:id="1303928243">
      <w:bodyDiv w:val="1"/>
      <w:marLeft w:val="0"/>
      <w:marRight w:val="0"/>
      <w:marTop w:val="0"/>
      <w:marBottom w:val="0"/>
      <w:divBdr>
        <w:top w:val="none" w:sz="0" w:space="0" w:color="auto"/>
        <w:left w:val="none" w:sz="0" w:space="0" w:color="auto"/>
        <w:bottom w:val="none" w:sz="0" w:space="0" w:color="auto"/>
        <w:right w:val="none" w:sz="0" w:space="0" w:color="auto"/>
      </w:divBdr>
    </w:div>
    <w:div w:id="1314406367">
      <w:bodyDiv w:val="1"/>
      <w:marLeft w:val="0"/>
      <w:marRight w:val="0"/>
      <w:marTop w:val="0"/>
      <w:marBottom w:val="0"/>
      <w:divBdr>
        <w:top w:val="none" w:sz="0" w:space="0" w:color="auto"/>
        <w:left w:val="none" w:sz="0" w:space="0" w:color="auto"/>
        <w:bottom w:val="none" w:sz="0" w:space="0" w:color="auto"/>
        <w:right w:val="none" w:sz="0" w:space="0" w:color="auto"/>
      </w:divBdr>
    </w:div>
    <w:div w:id="1324507505">
      <w:bodyDiv w:val="1"/>
      <w:marLeft w:val="0"/>
      <w:marRight w:val="0"/>
      <w:marTop w:val="0"/>
      <w:marBottom w:val="0"/>
      <w:divBdr>
        <w:top w:val="none" w:sz="0" w:space="0" w:color="auto"/>
        <w:left w:val="none" w:sz="0" w:space="0" w:color="auto"/>
        <w:bottom w:val="none" w:sz="0" w:space="0" w:color="auto"/>
        <w:right w:val="none" w:sz="0" w:space="0" w:color="auto"/>
      </w:divBdr>
    </w:div>
    <w:div w:id="1342390280">
      <w:bodyDiv w:val="1"/>
      <w:marLeft w:val="0"/>
      <w:marRight w:val="0"/>
      <w:marTop w:val="0"/>
      <w:marBottom w:val="0"/>
      <w:divBdr>
        <w:top w:val="none" w:sz="0" w:space="0" w:color="auto"/>
        <w:left w:val="none" w:sz="0" w:space="0" w:color="auto"/>
        <w:bottom w:val="none" w:sz="0" w:space="0" w:color="auto"/>
        <w:right w:val="none" w:sz="0" w:space="0" w:color="auto"/>
      </w:divBdr>
    </w:div>
    <w:div w:id="1383866437">
      <w:bodyDiv w:val="1"/>
      <w:marLeft w:val="0"/>
      <w:marRight w:val="0"/>
      <w:marTop w:val="0"/>
      <w:marBottom w:val="0"/>
      <w:divBdr>
        <w:top w:val="none" w:sz="0" w:space="0" w:color="auto"/>
        <w:left w:val="none" w:sz="0" w:space="0" w:color="auto"/>
        <w:bottom w:val="none" w:sz="0" w:space="0" w:color="auto"/>
        <w:right w:val="none" w:sz="0" w:space="0" w:color="auto"/>
      </w:divBdr>
    </w:div>
    <w:div w:id="1418596469">
      <w:bodyDiv w:val="1"/>
      <w:marLeft w:val="0"/>
      <w:marRight w:val="0"/>
      <w:marTop w:val="0"/>
      <w:marBottom w:val="0"/>
      <w:divBdr>
        <w:top w:val="none" w:sz="0" w:space="0" w:color="auto"/>
        <w:left w:val="none" w:sz="0" w:space="0" w:color="auto"/>
        <w:bottom w:val="none" w:sz="0" w:space="0" w:color="auto"/>
        <w:right w:val="none" w:sz="0" w:space="0" w:color="auto"/>
      </w:divBdr>
    </w:div>
    <w:div w:id="1431315578">
      <w:bodyDiv w:val="1"/>
      <w:marLeft w:val="0"/>
      <w:marRight w:val="0"/>
      <w:marTop w:val="0"/>
      <w:marBottom w:val="0"/>
      <w:divBdr>
        <w:top w:val="none" w:sz="0" w:space="0" w:color="auto"/>
        <w:left w:val="none" w:sz="0" w:space="0" w:color="auto"/>
        <w:bottom w:val="none" w:sz="0" w:space="0" w:color="auto"/>
        <w:right w:val="none" w:sz="0" w:space="0" w:color="auto"/>
      </w:divBdr>
    </w:div>
    <w:div w:id="1438791605">
      <w:bodyDiv w:val="1"/>
      <w:marLeft w:val="0"/>
      <w:marRight w:val="0"/>
      <w:marTop w:val="0"/>
      <w:marBottom w:val="0"/>
      <w:divBdr>
        <w:top w:val="none" w:sz="0" w:space="0" w:color="auto"/>
        <w:left w:val="none" w:sz="0" w:space="0" w:color="auto"/>
        <w:bottom w:val="none" w:sz="0" w:space="0" w:color="auto"/>
        <w:right w:val="none" w:sz="0" w:space="0" w:color="auto"/>
      </w:divBdr>
      <w:divsChild>
        <w:div w:id="447049277">
          <w:marLeft w:val="547"/>
          <w:marRight w:val="0"/>
          <w:marTop w:val="0"/>
          <w:marBottom w:val="0"/>
          <w:divBdr>
            <w:top w:val="none" w:sz="0" w:space="0" w:color="auto"/>
            <w:left w:val="none" w:sz="0" w:space="0" w:color="auto"/>
            <w:bottom w:val="none" w:sz="0" w:space="0" w:color="auto"/>
            <w:right w:val="none" w:sz="0" w:space="0" w:color="auto"/>
          </w:divBdr>
        </w:div>
      </w:divsChild>
    </w:div>
    <w:div w:id="1438983594">
      <w:bodyDiv w:val="1"/>
      <w:marLeft w:val="0"/>
      <w:marRight w:val="0"/>
      <w:marTop w:val="0"/>
      <w:marBottom w:val="0"/>
      <w:divBdr>
        <w:top w:val="none" w:sz="0" w:space="0" w:color="auto"/>
        <w:left w:val="none" w:sz="0" w:space="0" w:color="auto"/>
        <w:bottom w:val="none" w:sz="0" w:space="0" w:color="auto"/>
        <w:right w:val="none" w:sz="0" w:space="0" w:color="auto"/>
      </w:divBdr>
    </w:div>
    <w:div w:id="1484736828">
      <w:bodyDiv w:val="1"/>
      <w:marLeft w:val="0"/>
      <w:marRight w:val="0"/>
      <w:marTop w:val="0"/>
      <w:marBottom w:val="0"/>
      <w:divBdr>
        <w:top w:val="none" w:sz="0" w:space="0" w:color="auto"/>
        <w:left w:val="none" w:sz="0" w:space="0" w:color="auto"/>
        <w:bottom w:val="none" w:sz="0" w:space="0" w:color="auto"/>
        <w:right w:val="none" w:sz="0" w:space="0" w:color="auto"/>
      </w:divBdr>
    </w:div>
    <w:div w:id="1533349017">
      <w:bodyDiv w:val="1"/>
      <w:marLeft w:val="0"/>
      <w:marRight w:val="0"/>
      <w:marTop w:val="0"/>
      <w:marBottom w:val="0"/>
      <w:divBdr>
        <w:top w:val="none" w:sz="0" w:space="0" w:color="auto"/>
        <w:left w:val="none" w:sz="0" w:space="0" w:color="auto"/>
        <w:bottom w:val="none" w:sz="0" w:space="0" w:color="auto"/>
        <w:right w:val="none" w:sz="0" w:space="0" w:color="auto"/>
      </w:divBdr>
    </w:div>
    <w:div w:id="1562132660">
      <w:bodyDiv w:val="1"/>
      <w:marLeft w:val="0"/>
      <w:marRight w:val="0"/>
      <w:marTop w:val="0"/>
      <w:marBottom w:val="0"/>
      <w:divBdr>
        <w:top w:val="none" w:sz="0" w:space="0" w:color="auto"/>
        <w:left w:val="none" w:sz="0" w:space="0" w:color="auto"/>
        <w:bottom w:val="none" w:sz="0" w:space="0" w:color="auto"/>
        <w:right w:val="none" w:sz="0" w:space="0" w:color="auto"/>
      </w:divBdr>
    </w:div>
    <w:div w:id="1570337538">
      <w:bodyDiv w:val="1"/>
      <w:marLeft w:val="0"/>
      <w:marRight w:val="0"/>
      <w:marTop w:val="0"/>
      <w:marBottom w:val="0"/>
      <w:divBdr>
        <w:top w:val="none" w:sz="0" w:space="0" w:color="auto"/>
        <w:left w:val="none" w:sz="0" w:space="0" w:color="auto"/>
        <w:bottom w:val="none" w:sz="0" w:space="0" w:color="auto"/>
        <w:right w:val="none" w:sz="0" w:space="0" w:color="auto"/>
      </w:divBdr>
    </w:div>
    <w:div w:id="1640305579">
      <w:bodyDiv w:val="1"/>
      <w:marLeft w:val="0"/>
      <w:marRight w:val="0"/>
      <w:marTop w:val="0"/>
      <w:marBottom w:val="0"/>
      <w:divBdr>
        <w:top w:val="none" w:sz="0" w:space="0" w:color="auto"/>
        <w:left w:val="none" w:sz="0" w:space="0" w:color="auto"/>
        <w:bottom w:val="none" w:sz="0" w:space="0" w:color="auto"/>
        <w:right w:val="none" w:sz="0" w:space="0" w:color="auto"/>
      </w:divBdr>
    </w:div>
    <w:div w:id="1641033980">
      <w:bodyDiv w:val="1"/>
      <w:marLeft w:val="0"/>
      <w:marRight w:val="0"/>
      <w:marTop w:val="0"/>
      <w:marBottom w:val="0"/>
      <w:divBdr>
        <w:top w:val="none" w:sz="0" w:space="0" w:color="auto"/>
        <w:left w:val="none" w:sz="0" w:space="0" w:color="auto"/>
        <w:bottom w:val="none" w:sz="0" w:space="0" w:color="auto"/>
        <w:right w:val="none" w:sz="0" w:space="0" w:color="auto"/>
      </w:divBdr>
    </w:div>
    <w:div w:id="1655639457">
      <w:bodyDiv w:val="1"/>
      <w:marLeft w:val="0"/>
      <w:marRight w:val="0"/>
      <w:marTop w:val="0"/>
      <w:marBottom w:val="0"/>
      <w:divBdr>
        <w:top w:val="none" w:sz="0" w:space="0" w:color="auto"/>
        <w:left w:val="none" w:sz="0" w:space="0" w:color="auto"/>
        <w:bottom w:val="none" w:sz="0" w:space="0" w:color="auto"/>
        <w:right w:val="none" w:sz="0" w:space="0" w:color="auto"/>
      </w:divBdr>
    </w:div>
    <w:div w:id="1697349052">
      <w:bodyDiv w:val="1"/>
      <w:marLeft w:val="0"/>
      <w:marRight w:val="0"/>
      <w:marTop w:val="0"/>
      <w:marBottom w:val="0"/>
      <w:divBdr>
        <w:top w:val="none" w:sz="0" w:space="0" w:color="auto"/>
        <w:left w:val="none" w:sz="0" w:space="0" w:color="auto"/>
        <w:bottom w:val="none" w:sz="0" w:space="0" w:color="auto"/>
        <w:right w:val="none" w:sz="0" w:space="0" w:color="auto"/>
      </w:divBdr>
    </w:div>
    <w:div w:id="1703358535">
      <w:bodyDiv w:val="1"/>
      <w:marLeft w:val="0"/>
      <w:marRight w:val="0"/>
      <w:marTop w:val="0"/>
      <w:marBottom w:val="0"/>
      <w:divBdr>
        <w:top w:val="none" w:sz="0" w:space="0" w:color="auto"/>
        <w:left w:val="none" w:sz="0" w:space="0" w:color="auto"/>
        <w:bottom w:val="none" w:sz="0" w:space="0" w:color="auto"/>
        <w:right w:val="none" w:sz="0" w:space="0" w:color="auto"/>
      </w:divBdr>
    </w:div>
    <w:div w:id="1824660105">
      <w:bodyDiv w:val="1"/>
      <w:marLeft w:val="0"/>
      <w:marRight w:val="0"/>
      <w:marTop w:val="0"/>
      <w:marBottom w:val="0"/>
      <w:divBdr>
        <w:top w:val="none" w:sz="0" w:space="0" w:color="auto"/>
        <w:left w:val="none" w:sz="0" w:space="0" w:color="auto"/>
        <w:bottom w:val="none" w:sz="0" w:space="0" w:color="auto"/>
        <w:right w:val="none" w:sz="0" w:space="0" w:color="auto"/>
      </w:divBdr>
    </w:div>
    <w:div w:id="1911694595">
      <w:bodyDiv w:val="1"/>
      <w:marLeft w:val="0"/>
      <w:marRight w:val="0"/>
      <w:marTop w:val="0"/>
      <w:marBottom w:val="0"/>
      <w:divBdr>
        <w:top w:val="none" w:sz="0" w:space="0" w:color="auto"/>
        <w:left w:val="none" w:sz="0" w:space="0" w:color="auto"/>
        <w:bottom w:val="none" w:sz="0" w:space="0" w:color="auto"/>
        <w:right w:val="none" w:sz="0" w:space="0" w:color="auto"/>
      </w:divBdr>
    </w:div>
    <w:div w:id="1951626037">
      <w:bodyDiv w:val="1"/>
      <w:marLeft w:val="0"/>
      <w:marRight w:val="0"/>
      <w:marTop w:val="0"/>
      <w:marBottom w:val="0"/>
      <w:divBdr>
        <w:top w:val="none" w:sz="0" w:space="0" w:color="auto"/>
        <w:left w:val="none" w:sz="0" w:space="0" w:color="auto"/>
        <w:bottom w:val="none" w:sz="0" w:space="0" w:color="auto"/>
        <w:right w:val="none" w:sz="0" w:space="0" w:color="auto"/>
      </w:divBdr>
    </w:div>
    <w:div w:id="1981183319">
      <w:bodyDiv w:val="1"/>
      <w:marLeft w:val="0"/>
      <w:marRight w:val="0"/>
      <w:marTop w:val="0"/>
      <w:marBottom w:val="0"/>
      <w:divBdr>
        <w:top w:val="none" w:sz="0" w:space="0" w:color="auto"/>
        <w:left w:val="none" w:sz="0" w:space="0" w:color="auto"/>
        <w:bottom w:val="none" w:sz="0" w:space="0" w:color="auto"/>
        <w:right w:val="none" w:sz="0" w:space="0" w:color="auto"/>
      </w:divBdr>
    </w:div>
    <w:div w:id="1989893287">
      <w:bodyDiv w:val="1"/>
      <w:marLeft w:val="0"/>
      <w:marRight w:val="0"/>
      <w:marTop w:val="0"/>
      <w:marBottom w:val="0"/>
      <w:divBdr>
        <w:top w:val="none" w:sz="0" w:space="0" w:color="auto"/>
        <w:left w:val="none" w:sz="0" w:space="0" w:color="auto"/>
        <w:bottom w:val="none" w:sz="0" w:space="0" w:color="auto"/>
        <w:right w:val="none" w:sz="0" w:space="0" w:color="auto"/>
      </w:divBdr>
    </w:div>
    <w:div w:id="2026710654">
      <w:bodyDiv w:val="1"/>
      <w:marLeft w:val="0"/>
      <w:marRight w:val="0"/>
      <w:marTop w:val="0"/>
      <w:marBottom w:val="0"/>
      <w:divBdr>
        <w:top w:val="none" w:sz="0" w:space="0" w:color="auto"/>
        <w:left w:val="none" w:sz="0" w:space="0" w:color="auto"/>
        <w:bottom w:val="none" w:sz="0" w:space="0" w:color="auto"/>
        <w:right w:val="none" w:sz="0" w:space="0" w:color="auto"/>
      </w:divBdr>
      <w:divsChild>
        <w:div w:id="936793307">
          <w:marLeft w:val="0"/>
          <w:marRight w:val="0"/>
          <w:marTop w:val="0"/>
          <w:marBottom w:val="0"/>
          <w:divBdr>
            <w:top w:val="none" w:sz="0" w:space="0" w:color="auto"/>
            <w:left w:val="none" w:sz="0" w:space="0" w:color="auto"/>
            <w:bottom w:val="none" w:sz="0" w:space="0" w:color="auto"/>
            <w:right w:val="none" w:sz="0" w:space="0" w:color="auto"/>
          </w:divBdr>
          <w:divsChild>
            <w:div w:id="460151939">
              <w:marLeft w:val="0"/>
              <w:marRight w:val="0"/>
              <w:marTop w:val="0"/>
              <w:marBottom w:val="0"/>
              <w:divBdr>
                <w:top w:val="none" w:sz="0" w:space="0" w:color="auto"/>
                <w:left w:val="none" w:sz="0" w:space="0" w:color="auto"/>
                <w:bottom w:val="none" w:sz="0" w:space="0" w:color="auto"/>
                <w:right w:val="none" w:sz="0" w:space="0" w:color="auto"/>
              </w:divBdr>
              <w:divsChild>
                <w:div w:id="1997681088">
                  <w:marLeft w:val="0"/>
                  <w:marRight w:val="0"/>
                  <w:marTop w:val="0"/>
                  <w:marBottom w:val="0"/>
                  <w:divBdr>
                    <w:top w:val="none" w:sz="0" w:space="0" w:color="auto"/>
                    <w:left w:val="none" w:sz="0" w:space="0" w:color="auto"/>
                    <w:bottom w:val="none" w:sz="0" w:space="0" w:color="auto"/>
                    <w:right w:val="none" w:sz="0" w:space="0" w:color="auto"/>
                  </w:divBdr>
                  <w:divsChild>
                    <w:div w:id="197637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361250">
      <w:bodyDiv w:val="1"/>
      <w:marLeft w:val="0"/>
      <w:marRight w:val="0"/>
      <w:marTop w:val="0"/>
      <w:marBottom w:val="0"/>
      <w:divBdr>
        <w:top w:val="none" w:sz="0" w:space="0" w:color="auto"/>
        <w:left w:val="none" w:sz="0" w:space="0" w:color="auto"/>
        <w:bottom w:val="none" w:sz="0" w:space="0" w:color="auto"/>
        <w:right w:val="none" w:sz="0" w:space="0" w:color="auto"/>
      </w:divBdr>
      <w:divsChild>
        <w:div w:id="104583027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mailto:communications@humanrights.gov.au" TargetMode="External"/><Relationship Id="rId26" Type="http://schemas.openxmlformats.org/officeDocument/2006/relationships/image" Target="media/image7.png"/><Relationship Id="rId39" Type="http://schemas.openxmlformats.org/officeDocument/2006/relationships/hyperlink" Target="https://hrc.act.gov.au/contact-us/" TargetMode="External"/><Relationship Id="rId21" Type="http://schemas.openxmlformats.org/officeDocument/2006/relationships/hyperlink" Target="file://syddmgt1/DesignTeam/Client%20Work/MCW227453/www.includeability.gov.au" TargetMode="External"/><Relationship Id="rId34" Type="http://schemas.openxmlformats.org/officeDocument/2006/relationships/hyperlink" Target="https://includeability.gov.au/resources-employers/creating-accessible-and-inclusive-induction" TargetMode="External"/><Relationship Id="rId42" Type="http://schemas.openxmlformats.org/officeDocument/2006/relationships/hyperlink" Target="https://www.qhrc.qld.gov.au/contactus" TargetMode="External"/><Relationship Id="rId47" Type="http://schemas.openxmlformats.org/officeDocument/2006/relationships/header" Target="header1.xml"/><Relationship Id="rId50" Type="http://schemas.openxmlformats.org/officeDocument/2006/relationships/header" Target="header3.xml"/><Relationship Id="rId55" Type="http://schemas.openxmlformats.org/officeDocument/2006/relationships/hyperlink" Target="mailto:publications@humanrights.gov.au"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creativecommons.org/licenses/by/4.0/legalcode" TargetMode="External"/><Relationship Id="rId29" Type="http://schemas.openxmlformats.org/officeDocument/2006/relationships/hyperlink" Target="https://pwd.org.au/resources/disability-info/language-guide/" TargetMode="External"/><Relationship Id="rId11" Type="http://schemas.openxmlformats.org/officeDocument/2006/relationships/webSettings" Target="webSettings.xml"/><Relationship Id="rId24" Type="http://schemas.openxmlformats.org/officeDocument/2006/relationships/hyperlink" Target="https://www.psc.nsw.gov.au/culture-and-inclusion/disability-employment/the-age-of-inclusion" TargetMode="External"/><Relationship Id="rId32" Type="http://schemas.openxmlformats.org/officeDocument/2006/relationships/hyperlink" Target="https://includeability.gov.au/resources-employers/attracting-and-recruiting-people-disability-your-organisation" TargetMode="External"/><Relationship Id="rId37" Type="http://schemas.openxmlformats.org/officeDocument/2006/relationships/hyperlink" Target="https://includeability.gov.au/contact-us-includeability" TargetMode="External"/><Relationship Id="rId40" Type="http://schemas.openxmlformats.org/officeDocument/2006/relationships/hyperlink" Target="https://antidiscrimination.nsw.gov.au/anti-discrimination-nsw/need-help.html" TargetMode="External"/><Relationship Id="rId45" Type="http://schemas.openxmlformats.org/officeDocument/2006/relationships/hyperlink" Target="https://www.humanrights.vic.gov.au/get-help/contact-us/" TargetMode="External"/><Relationship Id="rId53" Type="http://schemas.openxmlformats.org/officeDocument/2006/relationships/hyperlink" Target="http://www.humanrights.gov.au" TargetMode="External"/><Relationship Id="rId5" Type="http://schemas.openxmlformats.org/officeDocument/2006/relationships/customXml" Target="../customXml/item5.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jpeg"/><Relationship Id="rId27" Type="http://schemas.openxmlformats.org/officeDocument/2006/relationships/image" Target="media/image8.png"/><Relationship Id="rId30" Type="http://schemas.openxmlformats.org/officeDocument/2006/relationships/hyperlink" Target="https://pwd.org.au/resources/disability-info/language-guide/" TargetMode="External"/><Relationship Id="rId35" Type="http://schemas.openxmlformats.org/officeDocument/2006/relationships/hyperlink" Target="https://humanrights.gov.au/our-work/disability-rights/publications/disability-action-plan-guide-2021" TargetMode="External"/><Relationship Id="rId43" Type="http://schemas.openxmlformats.org/officeDocument/2006/relationships/hyperlink" Target="https://www.eoc.sa.gov.au/about-us/contact-us" TargetMode="External"/><Relationship Id="rId48" Type="http://schemas.openxmlformats.org/officeDocument/2006/relationships/header" Target="header2.xml"/><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humanrights.gov.au/our-work/publications" TargetMode="External"/><Relationship Id="rId25" Type="http://schemas.openxmlformats.org/officeDocument/2006/relationships/hyperlink" Target="https://www.apsc.gov.au/publication/australian-public-service-disability-employment-strategy-2020-25" TargetMode="External"/><Relationship Id="rId33" Type="http://schemas.openxmlformats.org/officeDocument/2006/relationships/hyperlink" Target="https://includeability.gov.au/resources-employers/creating-accessible-and-inclusive-workplace" TargetMode="External"/><Relationship Id="rId38" Type="http://schemas.openxmlformats.org/officeDocument/2006/relationships/hyperlink" Target="https://humanrights.gov.au/our-work/commission-general/contact-us" TargetMode="External"/><Relationship Id="rId46" Type="http://schemas.openxmlformats.org/officeDocument/2006/relationships/hyperlink" Target="https://www.wa.gov.au/organisation/equal-opportunity-commission" TargetMode="External"/><Relationship Id="rId20" Type="http://schemas.openxmlformats.org/officeDocument/2006/relationships/image" Target="media/image4.png"/><Relationship Id="rId41" Type="http://schemas.openxmlformats.org/officeDocument/2006/relationships/hyperlink" Target="https://adc.nt.gov.au/contacts" TargetMode="External"/><Relationship Id="rId54" Type="http://schemas.openxmlformats.org/officeDocument/2006/relationships/hyperlink" Target="http://www.humanrights.gov.au/about/publications/"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s://includeability.gov.au/resources-employers/creating-accessible-and-inclusive-communications" TargetMode="External"/><Relationship Id="rId36" Type="http://schemas.openxmlformats.org/officeDocument/2006/relationships/hyperlink" Target="https://humanrights.gov.au/our-work/disability-rights" TargetMode="External"/><Relationship Id="rId49" Type="http://schemas.openxmlformats.org/officeDocument/2006/relationships/footer" Target="footer1.xml"/><Relationship Id="rId57"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hyperlink" Target="http://toozly.com.au/" TargetMode="External"/><Relationship Id="rId44" Type="http://schemas.openxmlformats.org/officeDocument/2006/relationships/hyperlink" Target="https://equalopportunity.tas.gov.au/contact_us" TargetMode="External"/><Relationship Id="rId52" Type="http://schemas.openxmlformats.org/officeDocument/2006/relationships/hyperlink" Target="http://www.humanrights.gov.au"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apsc.gov.au/publication/australian-public-service-disability-employment-strategy-2020-25" TargetMode="External"/><Relationship Id="rId13" Type="http://schemas.openxmlformats.org/officeDocument/2006/relationships/hyperlink" Target="https://antidiscrimination.nsw.gov.au/anti-discrimination-nsw/organisations-and-community-groups/exemptions-and-certifications.html/" TargetMode="External"/><Relationship Id="rId18" Type="http://schemas.openxmlformats.org/officeDocument/2006/relationships/hyperlink" Target="https://equalopportunity.tas.gov.au/exemptions" TargetMode="External"/><Relationship Id="rId3" Type="http://schemas.openxmlformats.org/officeDocument/2006/relationships/hyperlink" Target="https://iworkfor.nsw.gov.au/job/assistant-project-officer-clerk-grade-5-6-disability-targeted-process-335596" TargetMode="External"/><Relationship Id="rId7" Type="http://schemas.openxmlformats.org/officeDocument/2006/relationships/hyperlink" Target="https://www.apsc.gov.au/publication/australian-public-service-disability-employment-strategy-2020-25" TargetMode="External"/><Relationship Id="rId12" Type="http://schemas.openxmlformats.org/officeDocument/2006/relationships/hyperlink" Target="https://www.pwc.com.au/publications/assets/pwc-australias-access-and-inclusion-plan-2020-2022.pdf" TargetMode="External"/><Relationship Id="rId17" Type="http://schemas.openxmlformats.org/officeDocument/2006/relationships/hyperlink" Target="https://equalopportunity.tas.gov.au/exemptions" TargetMode="External"/><Relationship Id="rId2" Type="http://schemas.openxmlformats.org/officeDocument/2006/relationships/hyperlink" Target="https://www.aihw.gov.au/getmedia/5f322ec4-ef63-4c43-a854-64f7a2f55a04/aihw-dis-72-people-with-disability-in-australia-2022.pdf.aspx?inline=true" TargetMode="External"/><Relationship Id="rId16" Type="http://schemas.openxmlformats.org/officeDocument/2006/relationships/hyperlink" Target="https://antidiscrimination.nsw.gov.au/anti-discrimination-nsw/organisations-and-community-groups/exemptions-and-certifications/current-exemptions.html" TargetMode="External"/><Relationship Id="rId1" Type="http://schemas.openxmlformats.org/officeDocument/2006/relationships/hyperlink" Target="https://www.aihw.gov.au/getmedia/5f322ec4-ef63-4c43-a854-64f7a2f55a04/aihw-dis-72-people-with-disability-in-australia-2022.pdf.aspx?inline=true" TargetMode="External"/><Relationship Id="rId6" Type="http://schemas.openxmlformats.org/officeDocument/2006/relationships/hyperlink" Target="https://www.apsc.gov.au/publication/australian-public-service-disability-employment-strategy-2020-25" TargetMode="External"/><Relationship Id="rId11" Type="http://schemas.openxmlformats.org/officeDocument/2006/relationships/hyperlink" Target="https://equalopportunity.tas.gov.au/exemptions" TargetMode="External"/><Relationship Id="rId5" Type="http://schemas.openxmlformats.org/officeDocument/2006/relationships/hyperlink" Target="http://www.includeability.gov.au" TargetMode="External"/><Relationship Id="rId15" Type="http://schemas.openxmlformats.org/officeDocument/2006/relationships/hyperlink" Target="https://antidiscrimination.nsw.gov.au/anti-discrimination-nsw/organisations-and-community-groups/exemptions-and-certifications.html/" TargetMode="External"/><Relationship Id="rId10" Type="http://schemas.openxmlformats.org/officeDocument/2006/relationships/hyperlink" Target="https://about.abc.net.au/press-releases/abc-regional-storyteller-scholarship-winners-announced" TargetMode="External"/><Relationship Id="rId4" Type="http://schemas.openxmlformats.org/officeDocument/2006/relationships/hyperlink" Target="https://iworkfor.nsw.gov.au/job/assistant-project-officer-clerk-grade-5-6-disability-targeted-process-335596" TargetMode="External"/><Relationship Id="rId9" Type="http://schemas.openxmlformats.org/officeDocument/2006/relationships/hyperlink" Target="https://www.apsc.gov.au/working-aps/diversity-and-inclusion/disability/affirmative-measure-recruiting-people-disability-guide-applicants" TargetMode="External"/><Relationship Id="rId14" Type="http://schemas.openxmlformats.org/officeDocument/2006/relationships/hyperlink" Target="https://antidiscrimination.nsw.gov.au/anti-discrimination-nsw/organisations-and-community-groups/exemptions-and-certification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IncludeAbility Targeted Recruitment">
      <a:dk1>
        <a:srgbClr val="000000"/>
      </a:dk1>
      <a:lt1>
        <a:srgbClr val="FFFFFF"/>
      </a:lt1>
      <a:dk2>
        <a:srgbClr val="0E2A3F"/>
      </a:dk2>
      <a:lt2>
        <a:srgbClr val="76798B"/>
      </a:lt2>
      <a:accent1>
        <a:srgbClr val="0070BA"/>
      </a:accent1>
      <a:accent2>
        <a:srgbClr val="2BB8C9"/>
      </a:accent2>
      <a:accent3>
        <a:srgbClr val="F8D276"/>
      </a:accent3>
      <a:accent4>
        <a:srgbClr val="F27166"/>
      </a:accent4>
      <a:accent5>
        <a:srgbClr val="F2DC9B"/>
      </a:accent5>
      <a:accent6>
        <a:srgbClr val="000000"/>
      </a:accent6>
      <a:hlink>
        <a:srgbClr val="0070BA"/>
      </a:hlink>
      <a:folHlink>
        <a:srgbClr val="0070B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F9BCE703BAF44CBCFAFA1D85771A1F" ma:contentTypeVersion="1734" ma:contentTypeDescription="Create a new document." ma:contentTypeScope="" ma:versionID="b9370bd9140e8eb13589b3e5c0b68e2c">
  <xsd:schema xmlns:xsd="http://www.w3.org/2001/XMLSchema" xmlns:xs="http://www.w3.org/2001/XMLSchema" xmlns:p="http://schemas.microsoft.com/office/2006/metadata/properties" xmlns:ns2="6500fe01-343b-4fb9-a1b0-68ac19d62e01" xmlns:ns3="f38bc97f-71db-45c8-93e4-332747d752e1" xmlns:ns4="4d4c9e61-66a8-4e83-a6ce-9b84a95d8b05" targetNamespace="http://schemas.microsoft.com/office/2006/metadata/properties" ma:root="true" ma:fieldsID="196e5409b3fcda8d6f12f7bb5147e9b9" ns2:_="" ns3:_="" ns4:_="">
    <xsd:import namespace="6500fe01-343b-4fb9-a1b0-68ac19d62e01"/>
    <xsd:import namespace="f38bc97f-71db-45c8-93e4-332747d752e1"/>
    <xsd:import namespace="4d4c9e61-66a8-4e83-a6ce-9b84a95d8b05"/>
    <xsd:element name="properties">
      <xsd:complexType>
        <xsd:sequence>
          <xsd:element name="documentManagement">
            <xsd:complexType>
              <xsd:all>
                <xsd:element ref="ns2:TaxKeywordTaxHTField" minOccurs="0"/>
                <xsd:element ref="ns2:TaxCatchAll" minOccurs="0"/>
                <xsd:element ref="ns2:TaxCatchAllLabel" minOccurs="0"/>
                <xsd:element ref="ns2:_dlc_DocId" minOccurs="0"/>
                <xsd:element ref="ns2:_dlc_DocIdUrl" minOccurs="0"/>
                <xsd:element ref="ns2:_dlc_DocIdPersistId" minOccurs="0"/>
                <xsd:element ref="ns3:fbe8333e833142b1aa4e528d7d71931d" minOccurs="0"/>
                <xsd:element ref="ns3:From1" minOccurs="0"/>
                <xsd:element ref="ns3:Has_x0020_Attachments" minOccurs="0"/>
                <xsd:element ref="ns3:Received_x002f_Sent" minOccurs="0"/>
                <xsd:element ref="ns3:To" minOccurs="0"/>
                <xsd:element ref="ns3:Download" minOccurs="0"/>
                <xsd:element ref="ns3:Open_x0020_in_x0020_Outlook"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3:SharedWithUsers" minOccurs="0"/>
                <xsd:element ref="ns3:SharedWithDetails" minOccurs="0"/>
                <xsd:element ref="ns4:MediaLengthInSeconds" minOccurs="0"/>
                <xsd:element ref="ns4:lcf76f155ced4ddcb4097134ff3c332f"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4abab14b-d755-459c-8f5c-ac356589ffea}"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abab14b-d755-459c-8f5c-ac356589ffea}"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dexed="true"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fbe8333e833142b1aa4e528d7d71931d" ma:index="17" nillable="true" ma:taxonomy="true" ma:internalName="fbe8333e833142b1aa4e528d7d71931d" ma:taxonomyFieldName="Document_x0020_Type" ma:displayName="Document Type" ma:indexed="true" ma:default="" ma:fieldId="{fbe8333e-8331-42b1-aa4e-528d7d71931d}"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18" nillable="true" ma:displayName="From" ma:hidden="true" ma:indexed="true" ma:internalName="From1" ma:readOnly="false">
      <xsd:simpleType>
        <xsd:restriction base="dms:Text">
          <xsd:maxLength value="255"/>
        </xsd:restriction>
      </xsd:simpleType>
    </xsd:element>
    <xsd:element name="Has_x0020_Attachments" ma:index="19" nillable="true" ma:displayName="Has Attachments" ma:hidden="true" ma:indexed="true" ma:internalName="Has_x0020_Attachments" ma:readOnly="false">
      <xsd:simpleType>
        <xsd:restriction base="dms:Text">
          <xsd:maxLength value="255"/>
        </xsd:restriction>
      </xsd:simpleType>
    </xsd:element>
    <xsd:element name="Received_x002f_Sent" ma:index="20" nillable="true" ma:displayName="Received/Sent" ma:format="DateOnly" ma:hidden="true" ma:indexed="true" ma:internalName="Received_x002F_Sent" ma:readOnly="false">
      <xsd:simpleType>
        <xsd:restriction base="dms:DateTime"/>
      </xsd:simpleType>
    </xsd:element>
    <xsd:element name="To" ma:index="21" nillable="true" ma:displayName="To" ma:hidden="true" ma:indexed="true" ma:internalName="To" ma:readOnly="false">
      <xsd:simpleType>
        <xsd:restriction base="dms:Text">
          <xsd:maxLength value="255"/>
        </xsd:restriction>
      </xsd:simpleType>
    </xsd:element>
    <xsd:element name="Download" ma:index="22" nillable="true" ma:displayName="Download" ma:hidden="true" ma:indexed="true" ma:internalName="Download" ma:readOnly="false">
      <xsd:simpleType>
        <xsd:restriction base="dms:Text">
          <xsd:maxLength value="255"/>
        </xsd:restriction>
      </xsd:simpleType>
    </xsd:element>
    <xsd:element name="Open_x0020_in_x0020_Outlook" ma:index="23" nillable="true" ma:displayName="Open in Outlook" ma:hidden="true" ma:indexed="true" ma:internalName="Open_x0020_in_x0020_Outlook" ma:readOnly="false">
      <xsd:simpleType>
        <xsd:restriction base="dms:Text">
          <xsd:maxLength value="255"/>
        </xsd:restriction>
      </xsd:simple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4c9e61-66a8-4e83-a6ce-9b84a95d8b05"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Tags" ma:internalName="MediaServiceAutoTags"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LengthInSeconds" ma:index="35" nillable="true" ma:displayName="Length (seconds)"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element name="MediaServiceLocation" ma:index="3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36"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975c5ac6-a0cc-43ed-b850-4a2ae59237b6" ContentTypeId="0x0101" PreviousValue="false"/>
</file>

<file path=customXml/item5.xml><?xml version="1.0" encoding="utf-8"?>
<p:properties xmlns:p="http://schemas.microsoft.com/office/2006/metadata/properties" xmlns:xsi="http://www.w3.org/2001/XMLSchema-instance">
  <documentManagement>
    <fbe8333e833142b1aa4e528d7d71931d xmlns="f38bc97f-71db-45c8-93e4-332747d752e1">
      <Terms xmlns="http://schemas.microsoft.com/office/infopath/2007/PartnerControls"/>
    </fbe8333e833142b1aa4e528d7d71931d>
    <To xmlns="f38bc97f-71db-45c8-93e4-332747d752e1" xsi:nil="true"/>
    <TaxCatchAll xmlns="6500fe01-343b-4fb9-a1b0-68ac19d62e01" xsi:nil="true"/>
    <Has_x0020_Attachments xmlns="f38bc97f-71db-45c8-93e4-332747d752e1" xsi:nil="true"/>
    <TaxKeywordTaxHTField xmlns="6500fe01-343b-4fb9-a1b0-68ac19d62e01">
      <Terms xmlns="http://schemas.microsoft.com/office/infopath/2007/PartnerControls"/>
    </TaxKeywordTaxHTField>
    <Download xmlns="f38bc97f-71db-45c8-93e4-332747d752e1" xsi:nil="true"/>
    <Received_x002f_Sent xmlns="f38bc97f-71db-45c8-93e4-332747d752e1" xsi:nil="true"/>
    <lcf76f155ced4ddcb4097134ff3c332f xmlns="4d4c9e61-66a8-4e83-a6ce-9b84a95d8b05">
      <Terms xmlns="http://schemas.microsoft.com/office/infopath/2007/PartnerControls"/>
    </lcf76f155ced4ddcb4097134ff3c332f>
    <Open_x0020_in_x0020_Outlook xmlns="f38bc97f-71db-45c8-93e4-332747d752e1" xsi:nil="true"/>
    <From1 xmlns="f38bc97f-71db-45c8-93e4-332747d752e1" xsi:nil="true"/>
    <_dlc_DocId xmlns="6500fe01-343b-4fb9-a1b0-68ac19d62e01">DGE6U7RJ2EFV-655893732-10788</_dlc_DocId>
    <_dlc_DocIdUrl xmlns="6500fe01-343b-4fb9-a1b0-68ac19d62e01">
      <Url>https://australianhrc.sharepoint.com/sites/PolicyExternalProjects/_layouts/15/DocIdRedir.aspx?ID=DGE6U7RJ2EFV-655893732-10788</Url>
      <Description>DGE6U7RJ2EFV-655893732-10788</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customXsn xmlns="http://schemas.microsoft.com/office/2006/metadata/customXsn">
  <xsnLocation/>
  <cached>True</cached>
  <openByDefault>False</openByDefault>
  <xsnScope/>
</customXsn>
</file>

<file path=customXml/itemProps1.xml><?xml version="1.0" encoding="utf-8"?>
<ds:datastoreItem xmlns:ds="http://schemas.openxmlformats.org/officeDocument/2006/customXml" ds:itemID="{FE1272D1-F624-4DFF-B412-9F03E3163DF9}">
  <ds:schemaRefs>
    <ds:schemaRef ds:uri="http://schemas.microsoft.com/sharepoint/v3/contenttype/forms"/>
  </ds:schemaRefs>
</ds:datastoreItem>
</file>

<file path=customXml/itemProps2.xml><?xml version="1.0" encoding="utf-8"?>
<ds:datastoreItem xmlns:ds="http://schemas.openxmlformats.org/officeDocument/2006/customXml" ds:itemID="{C4F5A29C-25AF-4DC3-9E04-99F69D6F0B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f38bc97f-71db-45c8-93e4-332747d752e1"/>
    <ds:schemaRef ds:uri="4d4c9e61-66a8-4e83-a6ce-9b84a95d8b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D9C25A-17CA-481F-860C-0F49F639ED86}">
  <ds:schemaRefs>
    <ds:schemaRef ds:uri="http://schemas.openxmlformats.org/officeDocument/2006/bibliography"/>
  </ds:schemaRefs>
</ds:datastoreItem>
</file>

<file path=customXml/itemProps4.xml><?xml version="1.0" encoding="utf-8"?>
<ds:datastoreItem xmlns:ds="http://schemas.openxmlformats.org/officeDocument/2006/customXml" ds:itemID="{98DADD28-1A43-4333-81E3-8A4A19BF947F}">
  <ds:schemaRefs>
    <ds:schemaRef ds:uri="Microsoft.SharePoint.Taxonomy.ContentTypeSync"/>
  </ds:schemaRefs>
</ds:datastoreItem>
</file>

<file path=customXml/itemProps5.xml><?xml version="1.0" encoding="utf-8"?>
<ds:datastoreItem xmlns:ds="http://schemas.openxmlformats.org/officeDocument/2006/customXml" ds:itemID="{00EBF5FD-0819-4872-8496-320B530989BF}">
  <ds:schemaRefs>
    <ds:schemaRef ds:uri="http://schemas.microsoft.com/office/2006/metadata/properties"/>
    <ds:schemaRef ds:uri="f38bc97f-71db-45c8-93e4-332747d752e1"/>
    <ds:schemaRef ds:uri="http://schemas.microsoft.com/office/infopath/2007/PartnerControls"/>
    <ds:schemaRef ds:uri="6500fe01-343b-4fb9-a1b0-68ac19d62e01"/>
    <ds:schemaRef ds:uri="4d4c9e61-66a8-4e83-a6ce-9b84a95d8b05"/>
  </ds:schemaRefs>
</ds:datastoreItem>
</file>

<file path=customXml/itemProps6.xml><?xml version="1.0" encoding="utf-8"?>
<ds:datastoreItem xmlns:ds="http://schemas.openxmlformats.org/officeDocument/2006/customXml" ds:itemID="{8982443E-CBE5-44A1-A28B-6C6443D5753E}">
  <ds:schemaRefs>
    <ds:schemaRef ds:uri="http://schemas.microsoft.com/sharepoint/events"/>
  </ds:schemaRefs>
</ds:datastoreItem>
</file>

<file path=customXml/itemProps7.xml><?xml version="1.0" encoding="utf-8"?>
<ds:datastoreItem xmlns:ds="http://schemas.openxmlformats.org/officeDocument/2006/customXml" ds:itemID="{DCEFA30A-FC2C-429C-9E14-D497AF54981F}">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Pages>
  <Words>9783</Words>
  <Characters>55767</Characters>
  <Application>Microsoft Office Word</Application>
  <DocSecurity>0</DocSecurity>
  <Lines>464</Lines>
  <Paragraphs>130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2018 Project.Evaluation PLAN form</vt:lpstr>
      <vt:lpstr>2018 Project.Evaluation PLAN form</vt:lpstr>
    </vt:vector>
  </TitlesOfParts>
  <Company>Human Rights and Equal Opportunity Commission</Company>
  <LinksUpToDate>false</LinksUpToDate>
  <CharactersWithSpaces>65420</CharactersWithSpaces>
  <SharedDoc>false</SharedDoc>
  <HLinks>
    <vt:vector size="504" baseType="variant">
      <vt:variant>
        <vt:i4>6619253</vt:i4>
      </vt:variant>
      <vt:variant>
        <vt:i4>312</vt:i4>
      </vt:variant>
      <vt:variant>
        <vt:i4>0</vt:i4>
      </vt:variant>
      <vt:variant>
        <vt:i4>5</vt:i4>
      </vt:variant>
      <vt:variant>
        <vt:lpwstr>https://www.wa.gov.au/organisation/equal-opportunity-commission</vt:lpwstr>
      </vt:variant>
      <vt:variant>
        <vt:lpwstr/>
      </vt:variant>
      <vt:variant>
        <vt:i4>8257571</vt:i4>
      </vt:variant>
      <vt:variant>
        <vt:i4>309</vt:i4>
      </vt:variant>
      <vt:variant>
        <vt:i4>0</vt:i4>
      </vt:variant>
      <vt:variant>
        <vt:i4>5</vt:i4>
      </vt:variant>
      <vt:variant>
        <vt:lpwstr>https://www.humanrights.vic.gov.au/get-help/contact-us/</vt:lpwstr>
      </vt:variant>
      <vt:variant>
        <vt:lpwstr/>
      </vt:variant>
      <vt:variant>
        <vt:i4>327797</vt:i4>
      </vt:variant>
      <vt:variant>
        <vt:i4>306</vt:i4>
      </vt:variant>
      <vt:variant>
        <vt:i4>0</vt:i4>
      </vt:variant>
      <vt:variant>
        <vt:i4>5</vt:i4>
      </vt:variant>
      <vt:variant>
        <vt:lpwstr>https://equalopportunity.tas.gov.au/contact_us</vt:lpwstr>
      </vt:variant>
      <vt:variant>
        <vt:lpwstr/>
      </vt:variant>
      <vt:variant>
        <vt:i4>1245274</vt:i4>
      </vt:variant>
      <vt:variant>
        <vt:i4>303</vt:i4>
      </vt:variant>
      <vt:variant>
        <vt:i4>0</vt:i4>
      </vt:variant>
      <vt:variant>
        <vt:i4>5</vt:i4>
      </vt:variant>
      <vt:variant>
        <vt:lpwstr>https://www.eoc.sa.gov.au/about-us/contact-us</vt:lpwstr>
      </vt:variant>
      <vt:variant>
        <vt:lpwstr/>
      </vt:variant>
      <vt:variant>
        <vt:i4>262147</vt:i4>
      </vt:variant>
      <vt:variant>
        <vt:i4>300</vt:i4>
      </vt:variant>
      <vt:variant>
        <vt:i4>0</vt:i4>
      </vt:variant>
      <vt:variant>
        <vt:i4>5</vt:i4>
      </vt:variant>
      <vt:variant>
        <vt:lpwstr>https://www.qhrc.qld.gov.au/contactus</vt:lpwstr>
      </vt:variant>
      <vt:variant>
        <vt:lpwstr/>
      </vt:variant>
      <vt:variant>
        <vt:i4>8060974</vt:i4>
      </vt:variant>
      <vt:variant>
        <vt:i4>297</vt:i4>
      </vt:variant>
      <vt:variant>
        <vt:i4>0</vt:i4>
      </vt:variant>
      <vt:variant>
        <vt:i4>5</vt:i4>
      </vt:variant>
      <vt:variant>
        <vt:lpwstr>https://adc.nt.gov.au/contacts</vt:lpwstr>
      </vt:variant>
      <vt:variant>
        <vt:lpwstr/>
      </vt:variant>
      <vt:variant>
        <vt:i4>262164</vt:i4>
      </vt:variant>
      <vt:variant>
        <vt:i4>294</vt:i4>
      </vt:variant>
      <vt:variant>
        <vt:i4>0</vt:i4>
      </vt:variant>
      <vt:variant>
        <vt:i4>5</vt:i4>
      </vt:variant>
      <vt:variant>
        <vt:lpwstr>https://antidiscrimination.nsw.gov.au/anti-discrimination-nsw/need-help.html</vt:lpwstr>
      </vt:variant>
      <vt:variant>
        <vt:lpwstr/>
      </vt:variant>
      <vt:variant>
        <vt:i4>7733287</vt:i4>
      </vt:variant>
      <vt:variant>
        <vt:i4>291</vt:i4>
      </vt:variant>
      <vt:variant>
        <vt:i4>0</vt:i4>
      </vt:variant>
      <vt:variant>
        <vt:i4>5</vt:i4>
      </vt:variant>
      <vt:variant>
        <vt:lpwstr>https://hrc.act.gov.au/contact-us/</vt:lpwstr>
      </vt:variant>
      <vt:variant>
        <vt:lpwstr/>
      </vt:variant>
      <vt:variant>
        <vt:i4>4522007</vt:i4>
      </vt:variant>
      <vt:variant>
        <vt:i4>288</vt:i4>
      </vt:variant>
      <vt:variant>
        <vt:i4>0</vt:i4>
      </vt:variant>
      <vt:variant>
        <vt:i4>5</vt:i4>
      </vt:variant>
      <vt:variant>
        <vt:lpwstr>https://humanrights.gov.au/our-work/commission-general/contact-us</vt:lpwstr>
      </vt:variant>
      <vt:variant>
        <vt:lpwstr/>
      </vt:variant>
      <vt:variant>
        <vt:i4>7733373</vt:i4>
      </vt:variant>
      <vt:variant>
        <vt:i4>285</vt:i4>
      </vt:variant>
      <vt:variant>
        <vt:i4>0</vt:i4>
      </vt:variant>
      <vt:variant>
        <vt:i4>5</vt:i4>
      </vt:variant>
      <vt:variant>
        <vt:lpwstr>https://includeability.gov.au/contact-us-includeability</vt:lpwstr>
      </vt:variant>
      <vt:variant>
        <vt:lpwstr/>
      </vt:variant>
      <vt:variant>
        <vt:i4>5832731</vt:i4>
      </vt:variant>
      <vt:variant>
        <vt:i4>282</vt:i4>
      </vt:variant>
      <vt:variant>
        <vt:i4>0</vt:i4>
      </vt:variant>
      <vt:variant>
        <vt:i4>5</vt:i4>
      </vt:variant>
      <vt:variant>
        <vt:lpwstr>https://humanrights.gov.au/our-work/disability-rights</vt:lpwstr>
      </vt:variant>
      <vt:variant>
        <vt:lpwstr/>
      </vt:variant>
      <vt:variant>
        <vt:i4>4259861</vt:i4>
      </vt:variant>
      <vt:variant>
        <vt:i4>279</vt:i4>
      </vt:variant>
      <vt:variant>
        <vt:i4>0</vt:i4>
      </vt:variant>
      <vt:variant>
        <vt:i4>5</vt:i4>
      </vt:variant>
      <vt:variant>
        <vt:lpwstr>https://humanrights.gov.au/our-work/disability-rights/publications/disability-action-plan-guide-2021</vt:lpwstr>
      </vt:variant>
      <vt:variant>
        <vt:lpwstr/>
      </vt:variant>
      <vt:variant>
        <vt:i4>524288</vt:i4>
      </vt:variant>
      <vt:variant>
        <vt:i4>276</vt:i4>
      </vt:variant>
      <vt:variant>
        <vt:i4>0</vt:i4>
      </vt:variant>
      <vt:variant>
        <vt:i4>5</vt:i4>
      </vt:variant>
      <vt:variant>
        <vt:lpwstr>https://includeability.gov.au/resources-employers/creating-accessible-and-inclusive-induction</vt:lpwstr>
      </vt:variant>
      <vt:variant>
        <vt:lpwstr/>
      </vt:variant>
      <vt:variant>
        <vt:i4>196627</vt:i4>
      </vt:variant>
      <vt:variant>
        <vt:i4>273</vt:i4>
      </vt:variant>
      <vt:variant>
        <vt:i4>0</vt:i4>
      </vt:variant>
      <vt:variant>
        <vt:i4>5</vt:i4>
      </vt:variant>
      <vt:variant>
        <vt:lpwstr>https://includeability.gov.au/resources-employers/creating-accessible-and-inclusive-workplace</vt:lpwstr>
      </vt:variant>
      <vt:variant>
        <vt:lpwstr/>
      </vt:variant>
      <vt:variant>
        <vt:i4>6553617</vt:i4>
      </vt:variant>
      <vt:variant>
        <vt:i4>270</vt:i4>
      </vt:variant>
      <vt:variant>
        <vt:i4>0</vt:i4>
      </vt:variant>
      <vt:variant>
        <vt:i4>5</vt:i4>
      </vt:variant>
      <vt:variant>
        <vt:lpwstr>https://includeability.gov.au/resources-employers/attracting-and-recruiting-people-disability-your-organisation</vt:lpwstr>
      </vt:variant>
      <vt:variant>
        <vt:lpwstr>_ednref1</vt:lpwstr>
      </vt:variant>
      <vt:variant>
        <vt:i4>4587530</vt:i4>
      </vt:variant>
      <vt:variant>
        <vt:i4>267</vt:i4>
      </vt:variant>
      <vt:variant>
        <vt:i4>0</vt:i4>
      </vt:variant>
      <vt:variant>
        <vt:i4>5</vt:i4>
      </vt:variant>
      <vt:variant>
        <vt:lpwstr>http://toozly.com.au/</vt:lpwstr>
      </vt:variant>
      <vt:variant>
        <vt:lpwstr/>
      </vt:variant>
      <vt:variant>
        <vt:i4>4653080</vt:i4>
      </vt:variant>
      <vt:variant>
        <vt:i4>264</vt:i4>
      </vt:variant>
      <vt:variant>
        <vt:i4>0</vt:i4>
      </vt:variant>
      <vt:variant>
        <vt:i4>5</vt:i4>
      </vt:variant>
      <vt:variant>
        <vt:lpwstr>https://pwd.org.au/resources/disability-info/language-guide/</vt:lpwstr>
      </vt:variant>
      <vt:variant>
        <vt:lpwstr/>
      </vt:variant>
      <vt:variant>
        <vt:i4>4653080</vt:i4>
      </vt:variant>
      <vt:variant>
        <vt:i4>261</vt:i4>
      </vt:variant>
      <vt:variant>
        <vt:i4>0</vt:i4>
      </vt:variant>
      <vt:variant>
        <vt:i4>5</vt:i4>
      </vt:variant>
      <vt:variant>
        <vt:lpwstr>https://pwd.org.au/resources/disability-info/language-guide/</vt:lpwstr>
      </vt:variant>
      <vt:variant>
        <vt:lpwstr/>
      </vt:variant>
      <vt:variant>
        <vt:i4>7274611</vt:i4>
      </vt:variant>
      <vt:variant>
        <vt:i4>258</vt:i4>
      </vt:variant>
      <vt:variant>
        <vt:i4>0</vt:i4>
      </vt:variant>
      <vt:variant>
        <vt:i4>5</vt:i4>
      </vt:variant>
      <vt:variant>
        <vt:lpwstr>https://includeability.gov.au/resources-employers/creating-accessible-and-inclusive-communications</vt:lpwstr>
      </vt:variant>
      <vt:variant>
        <vt:lpwstr/>
      </vt:variant>
      <vt:variant>
        <vt:i4>8257633</vt:i4>
      </vt:variant>
      <vt:variant>
        <vt:i4>255</vt:i4>
      </vt:variant>
      <vt:variant>
        <vt:i4>0</vt:i4>
      </vt:variant>
      <vt:variant>
        <vt:i4>5</vt:i4>
      </vt:variant>
      <vt:variant>
        <vt:lpwstr>https://www.psc.nsw.gov.au/culture-and-inclusion/disability-employment/the-age-of-inclusion</vt:lpwstr>
      </vt:variant>
      <vt:variant>
        <vt:lpwstr/>
      </vt:variant>
      <vt:variant>
        <vt:i4>5373956</vt:i4>
      </vt:variant>
      <vt:variant>
        <vt:i4>252</vt:i4>
      </vt:variant>
      <vt:variant>
        <vt:i4>0</vt:i4>
      </vt:variant>
      <vt:variant>
        <vt:i4>5</vt:i4>
      </vt:variant>
      <vt:variant>
        <vt:lpwstr>\\syddmgt1\DesignTeam\Client Work\MCW227453\www.includeability.gov.au</vt:lpwstr>
      </vt:variant>
      <vt:variant>
        <vt:lpwstr/>
      </vt:variant>
      <vt:variant>
        <vt:i4>1572922</vt:i4>
      </vt:variant>
      <vt:variant>
        <vt:i4>245</vt:i4>
      </vt:variant>
      <vt:variant>
        <vt:i4>0</vt:i4>
      </vt:variant>
      <vt:variant>
        <vt:i4>5</vt:i4>
      </vt:variant>
      <vt:variant>
        <vt:lpwstr/>
      </vt:variant>
      <vt:variant>
        <vt:lpwstr>_Toc118008363</vt:lpwstr>
      </vt:variant>
      <vt:variant>
        <vt:i4>1572922</vt:i4>
      </vt:variant>
      <vt:variant>
        <vt:i4>239</vt:i4>
      </vt:variant>
      <vt:variant>
        <vt:i4>0</vt:i4>
      </vt:variant>
      <vt:variant>
        <vt:i4>5</vt:i4>
      </vt:variant>
      <vt:variant>
        <vt:lpwstr/>
      </vt:variant>
      <vt:variant>
        <vt:lpwstr>_Toc118008362</vt:lpwstr>
      </vt:variant>
      <vt:variant>
        <vt:i4>1572922</vt:i4>
      </vt:variant>
      <vt:variant>
        <vt:i4>233</vt:i4>
      </vt:variant>
      <vt:variant>
        <vt:i4>0</vt:i4>
      </vt:variant>
      <vt:variant>
        <vt:i4>5</vt:i4>
      </vt:variant>
      <vt:variant>
        <vt:lpwstr/>
      </vt:variant>
      <vt:variant>
        <vt:lpwstr>_Toc118008361</vt:lpwstr>
      </vt:variant>
      <vt:variant>
        <vt:i4>1572922</vt:i4>
      </vt:variant>
      <vt:variant>
        <vt:i4>227</vt:i4>
      </vt:variant>
      <vt:variant>
        <vt:i4>0</vt:i4>
      </vt:variant>
      <vt:variant>
        <vt:i4>5</vt:i4>
      </vt:variant>
      <vt:variant>
        <vt:lpwstr/>
      </vt:variant>
      <vt:variant>
        <vt:lpwstr>_Toc118008360</vt:lpwstr>
      </vt:variant>
      <vt:variant>
        <vt:i4>1769530</vt:i4>
      </vt:variant>
      <vt:variant>
        <vt:i4>221</vt:i4>
      </vt:variant>
      <vt:variant>
        <vt:i4>0</vt:i4>
      </vt:variant>
      <vt:variant>
        <vt:i4>5</vt:i4>
      </vt:variant>
      <vt:variant>
        <vt:lpwstr/>
      </vt:variant>
      <vt:variant>
        <vt:lpwstr>_Toc118008359</vt:lpwstr>
      </vt:variant>
      <vt:variant>
        <vt:i4>1769530</vt:i4>
      </vt:variant>
      <vt:variant>
        <vt:i4>215</vt:i4>
      </vt:variant>
      <vt:variant>
        <vt:i4>0</vt:i4>
      </vt:variant>
      <vt:variant>
        <vt:i4>5</vt:i4>
      </vt:variant>
      <vt:variant>
        <vt:lpwstr/>
      </vt:variant>
      <vt:variant>
        <vt:lpwstr>_Toc118008358</vt:lpwstr>
      </vt:variant>
      <vt:variant>
        <vt:i4>1769530</vt:i4>
      </vt:variant>
      <vt:variant>
        <vt:i4>209</vt:i4>
      </vt:variant>
      <vt:variant>
        <vt:i4>0</vt:i4>
      </vt:variant>
      <vt:variant>
        <vt:i4>5</vt:i4>
      </vt:variant>
      <vt:variant>
        <vt:lpwstr/>
      </vt:variant>
      <vt:variant>
        <vt:lpwstr>_Toc118008357</vt:lpwstr>
      </vt:variant>
      <vt:variant>
        <vt:i4>1769530</vt:i4>
      </vt:variant>
      <vt:variant>
        <vt:i4>203</vt:i4>
      </vt:variant>
      <vt:variant>
        <vt:i4>0</vt:i4>
      </vt:variant>
      <vt:variant>
        <vt:i4>5</vt:i4>
      </vt:variant>
      <vt:variant>
        <vt:lpwstr/>
      </vt:variant>
      <vt:variant>
        <vt:lpwstr>_Toc118008356</vt:lpwstr>
      </vt:variant>
      <vt:variant>
        <vt:i4>1769530</vt:i4>
      </vt:variant>
      <vt:variant>
        <vt:i4>197</vt:i4>
      </vt:variant>
      <vt:variant>
        <vt:i4>0</vt:i4>
      </vt:variant>
      <vt:variant>
        <vt:i4>5</vt:i4>
      </vt:variant>
      <vt:variant>
        <vt:lpwstr/>
      </vt:variant>
      <vt:variant>
        <vt:lpwstr>_Toc118008355</vt:lpwstr>
      </vt:variant>
      <vt:variant>
        <vt:i4>1769530</vt:i4>
      </vt:variant>
      <vt:variant>
        <vt:i4>191</vt:i4>
      </vt:variant>
      <vt:variant>
        <vt:i4>0</vt:i4>
      </vt:variant>
      <vt:variant>
        <vt:i4>5</vt:i4>
      </vt:variant>
      <vt:variant>
        <vt:lpwstr/>
      </vt:variant>
      <vt:variant>
        <vt:lpwstr>_Toc118008354</vt:lpwstr>
      </vt:variant>
      <vt:variant>
        <vt:i4>1769530</vt:i4>
      </vt:variant>
      <vt:variant>
        <vt:i4>185</vt:i4>
      </vt:variant>
      <vt:variant>
        <vt:i4>0</vt:i4>
      </vt:variant>
      <vt:variant>
        <vt:i4>5</vt:i4>
      </vt:variant>
      <vt:variant>
        <vt:lpwstr/>
      </vt:variant>
      <vt:variant>
        <vt:lpwstr>_Toc118008353</vt:lpwstr>
      </vt:variant>
      <vt:variant>
        <vt:i4>1769530</vt:i4>
      </vt:variant>
      <vt:variant>
        <vt:i4>179</vt:i4>
      </vt:variant>
      <vt:variant>
        <vt:i4>0</vt:i4>
      </vt:variant>
      <vt:variant>
        <vt:i4>5</vt:i4>
      </vt:variant>
      <vt:variant>
        <vt:lpwstr/>
      </vt:variant>
      <vt:variant>
        <vt:lpwstr>_Toc118008352</vt:lpwstr>
      </vt:variant>
      <vt:variant>
        <vt:i4>1769530</vt:i4>
      </vt:variant>
      <vt:variant>
        <vt:i4>173</vt:i4>
      </vt:variant>
      <vt:variant>
        <vt:i4>0</vt:i4>
      </vt:variant>
      <vt:variant>
        <vt:i4>5</vt:i4>
      </vt:variant>
      <vt:variant>
        <vt:lpwstr/>
      </vt:variant>
      <vt:variant>
        <vt:lpwstr>_Toc118008351</vt:lpwstr>
      </vt:variant>
      <vt:variant>
        <vt:i4>1769530</vt:i4>
      </vt:variant>
      <vt:variant>
        <vt:i4>167</vt:i4>
      </vt:variant>
      <vt:variant>
        <vt:i4>0</vt:i4>
      </vt:variant>
      <vt:variant>
        <vt:i4>5</vt:i4>
      </vt:variant>
      <vt:variant>
        <vt:lpwstr/>
      </vt:variant>
      <vt:variant>
        <vt:lpwstr>_Toc118008350</vt:lpwstr>
      </vt:variant>
      <vt:variant>
        <vt:i4>1703994</vt:i4>
      </vt:variant>
      <vt:variant>
        <vt:i4>161</vt:i4>
      </vt:variant>
      <vt:variant>
        <vt:i4>0</vt:i4>
      </vt:variant>
      <vt:variant>
        <vt:i4>5</vt:i4>
      </vt:variant>
      <vt:variant>
        <vt:lpwstr/>
      </vt:variant>
      <vt:variant>
        <vt:lpwstr>_Toc118008349</vt:lpwstr>
      </vt:variant>
      <vt:variant>
        <vt:i4>1703994</vt:i4>
      </vt:variant>
      <vt:variant>
        <vt:i4>155</vt:i4>
      </vt:variant>
      <vt:variant>
        <vt:i4>0</vt:i4>
      </vt:variant>
      <vt:variant>
        <vt:i4>5</vt:i4>
      </vt:variant>
      <vt:variant>
        <vt:lpwstr/>
      </vt:variant>
      <vt:variant>
        <vt:lpwstr>_Toc118008348</vt:lpwstr>
      </vt:variant>
      <vt:variant>
        <vt:i4>1703994</vt:i4>
      </vt:variant>
      <vt:variant>
        <vt:i4>149</vt:i4>
      </vt:variant>
      <vt:variant>
        <vt:i4>0</vt:i4>
      </vt:variant>
      <vt:variant>
        <vt:i4>5</vt:i4>
      </vt:variant>
      <vt:variant>
        <vt:lpwstr/>
      </vt:variant>
      <vt:variant>
        <vt:lpwstr>_Toc118008347</vt:lpwstr>
      </vt:variant>
      <vt:variant>
        <vt:i4>1703994</vt:i4>
      </vt:variant>
      <vt:variant>
        <vt:i4>143</vt:i4>
      </vt:variant>
      <vt:variant>
        <vt:i4>0</vt:i4>
      </vt:variant>
      <vt:variant>
        <vt:i4>5</vt:i4>
      </vt:variant>
      <vt:variant>
        <vt:lpwstr/>
      </vt:variant>
      <vt:variant>
        <vt:lpwstr>_Toc118008346</vt:lpwstr>
      </vt:variant>
      <vt:variant>
        <vt:i4>1703994</vt:i4>
      </vt:variant>
      <vt:variant>
        <vt:i4>137</vt:i4>
      </vt:variant>
      <vt:variant>
        <vt:i4>0</vt:i4>
      </vt:variant>
      <vt:variant>
        <vt:i4>5</vt:i4>
      </vt:variant>
      <vt:variant>
        <vt:lpwstr/>
      </vt:variant>
      <vt:variant>
        <vt:lpwstr>_Toc118008345</vt:lpwstr>
      </vt:variant>
      <vt:variant>
        <vt:i4>1703994</vt:i4>
      </vt:variant>
      <vt:variant>
        <vt:i4>131</vt:i4>
      </vt:variant>
      <vt:variant>
        <vt:i4>0</vt:i4>
      </vt:variant>
      <vt:variant>
        <vt:i4>5</vt:i4>
      </vt:variant>
      <vt:variant>
        <vt:lpwstr/>
      </vt:variant>
      <vt:variant>
        <vt:lpwstr>_Toc118008344</vt:lpwstr>
      </vt:variant>
      <vt:variant>
        <vt:i4>1703994</vt:i4>
      </vt:variant>
      <vt:variant>
        <vt:i4>125</vt:i4>
      </vt:variant>
      <vt:variant>
        <vt:i4>0</vt:i4>
      </vt:variant>
      <vt:variant>
        <vt:i4>5</vt:i4>
      </vt:variant>
      <vt:variant>
        <vt:lpwstr/>
      </vt:variant>
      <vt:variant>
        <vt:lpwstr>_Toc118008343</vt:lpwstr>
      </vt:variant>
      <vt:variant>
        <vt:i4>1703994</vt:i4>
      </vt:variant>
      <vt:variant>
        <vt:i4>119</vt:i4>
      </vt:variant>
      <vt:variant>
        <vt:i4>0</vt:i4>
      </vt:variant>
      <vt:variant>
        <vt:i4>5</vt:i4>
      </vt:variant>
      <vt:variant>
        <vt:lpwstr/>
      </vt:variant>
      <vt:variant>
        <vt:lpwstr>_Toc118008342</vt:lpwstr>
      </vt:variant>
      <vt:variant>
        <vt:i4>1703994</vt:i4>
      </vt:variant>
      <vt:variant>
        <vt:i4>113</vt:i4>
      </vt:variant>
      <vt:variant>
        <vt:i4>0</vt:i4>
      </vt:variant>
      <vt:variant>
        <vt:i4>5</vt:i4>
      </vt:variant>
      <vt:variant>
        <vt:lpwstr/>
      </vt:variant>
      <vt:variant>
        <vt:lpwstr>_Toc118008341</vt:lpwstr>
      </vt:variant>
      <vt:variant>
        <vt:i4>1703994</vt:i4>
      </vt:variant>
      <vt:variant>
        <vt:i4>107</vt:i4>
      </vt:variant>
      <vt:variant>
        <vt:i4>0</vt:i4>
      </vt:variant>
      <vt:variant>
        <vt:i4>5</vt:i4>
      </vt:variant>
      <vt:variant>
        <vt:lpwstr/>
      </vt:variant>
      <vt:variant>
        <vt:lpwstr>_Toc118008340</vt:lpwstr>
      </vt:variant>
      <vt:variant>
        <vt:i4>1900602</vt:i4>
      </vt:variant>
      <vt:variant>
        <vt:i4>101</vt:i4>
      </vt:variant>
      <vt:variant>
        <vt:i4>0</vt:i4>
      </vt:variant>
      <vt:variant>
        <vt:i4>5</vt:i4>
      </vt:variant>
      <vt:variant>
        <vt:lpwstr/>
      </vt:variant>
      <vt:variant>
        <vt:lpwstr>_Toc118008339</vt:lpwstr>
      </vt:variant>
      <vt:variant>
        <vt:i4>1900602</vt:i4>
      </vt:variant>
      <vt:variant>
        <vt:i4>95</vt:i4>
      </vt:variant>
      <vt:variant>
        <vt:i4>0</vt:i4>
      </vt:variant>
      <vt:variant>
        <vt:i4>5</vt:i4>
      </vt:variant>
      <vt:variant>
        <vt:lpwstr/>
      </vt:variant>
      <vt:variant>
        <vt:lpwstr>_Toc118008338</vt:lpwstr>
      </vt:variant>
      <vt:variant>
        <vt:i4>1900602</vt:i4>
      </vt:variant>
      <vt:variant>
        <vt:i4>89</vt:i4>
      </vt:variant>
      <vt:variant>
        <vt:i4>0</vt:i4>
      </vt:variant>
      <vt:variant>
        <vt:i4>5</vt:i4>
      </vt:variant>
      <vt:variant>
        <vt:lpwstr/>
      </vt:variant>
      <vt:variant>
        <vt:lpwstr>_Toc118008337</vt:lpwstr>
      </vt:variant>
      <vt:variant>
        <vt:i4>1900602</vt:i4>
      </vt:variant>
      <vt:variant>
        <vt:i4>83</vt:i4>
      </vt:variant>
      <vt:variant>
        <vt:i4>0</vt:i4>
      </vt:variant>
      <vt:variant>
        <vt:i4>5</vt:i4>
      </vt:variant>
      <vt:variant>
        <vt:lpwstr/>
      </vt:variant>
      <vt:variant>
        <vt:lpwstr>_Toc118008336</vt:lpwstr>
      </vt:variant>
      <vt:variant>
        <vt:i4>1900602</vt:i4>
      </vt:variant>
      <vt:variant>
        <vt:i4>77</vt:i4>
      </vt:variant>
      <vt:variant>
        <vt:i4>0</vt:i4>
      </vt:variant>
      <vt:variant>
        <vt:i4>5</vt:i4>
      </vt:variant>
      <vt:variant>
        <vt:lpwstr/>
      </vt:variant>
      <vt:variant>
        <vt:lpwstr>_Toc118008335</vt:lpwstr>
      </vt:variant>
      <vt:variant>
        <vt:i4>1900602</vt:i4>
      </vt:variant>
      <vt:variant>
        <vt:i4>71</vt:i4>
      </vt:variant>
      <vt:variant>
        <vt:i4>0</vt:i4>
      </vt:variant>
      <vt:variant>
        <vt:i4>5</vt:i4>
      </vt:variant>
      <vt:variant>
        <vt:lpwstr/>
      </vt:variant>
      <vt:variant>
        <vt:lpwstr>_Toc118008334</vt:lpwstr>
      </vt:variant>
      <vt:variant>
        <vt:i4>1900602</vt:i4>
      </vt:variant>
      <vt:variant>
        <vt:i4>65</vt:i4>
      </vt:variant>
      <vt:variant>
        <vt:i4>0</vt:i4>
      </vt:variant>
      <vt:variant>
        <vt:i4>5</vt:i4>
      </vt:variant>
      <vt:variant>
        <vt:lpwstr/>
      </vt:variant>
      <vt:variant>
        <vt:lpwstr>_Toc118008333</vt:lpwstr>
      </vt:variant>
      <vt:variant>
        <vt:i4>1900602</vt:i4>
      </vt:variant>
      <vt:variant>
        <vt:i4>59</vt:i4>
      </vt:variant>
      <vt:variant>
        <vt:i4>0</vt:i4>
      </vt:variant>
      <vt:variant>
        <vt:i4>5</vt:i4>
      </vt:variant>
      <vt:variant>
        <vt:lpwstr/>
      </vt:variant>
      <vt:variant>
        <vt:lpwstr>_Toc118008332</vt:lpwstr>
      </vt:variant>
      <vt:variant>
        <vt:i4>1900602</vt:i4>
      </vt:variant>
      <vt:variant>
        <vt:i4>53</vt:i4>
      </vt:variant>
      <vt:variant>
        <vt:i4>0</vt:i4>
      </vt:variant>
      <vt:variant>
        <vt:i4>5</vt:i4>
      </vt:variant>
      <vt:variant>
        <vt:lpwstr/>
      </vt:variant>
      <vt:variant>
        <vt:lpwstr>_Toc118008331</vt:lpwstr>
      </vt:variant>
      <vt:variant>
        <vt:i4>1900602</vt:i4>
      </vt:variant>
      <vt:variant>
        <vt:i4>47</vt:i4>
      </vt:variant>
      <vt:variant>
        <vt:i4>0</vt:i4>
      </vt:variant>
      <vt:variant>
        <vt:i4>5</vt:i4>
      </vt:variant>
      <vt:variant>
        <vt:lpwstr/>
      </vt:variant>
      <vt:variant>
        <vt:lpwstr>_Toc118008330</vt:lpwstr>
      </vt:variant>
      <vt:variant>
        <vt:i4>1835066</vt:i4>
      </vt:variant>
      <vt:variant>
        <vt:i4>41</vt:i4>
      </vt:variant>
      <vt:variant>
        <vt:i4>0</vt:i4>
      </vt:variant>
      <vt:variant>
        <vt:i4>5</vt:i4>
      </vt:variant>
      <vt:variant>
        <vt:lpwstr/>
      </vt:variant>
      <vt:variant>
        <vt:lpwstr>_Toc118008329</vt:lpwstr>
      </vt:variant>
      <vt:variant>
        <vt:i4>1835066</vt:i4>
      </vt:variant>
      <vt:variant>
        <vt:i4>35</vt:i4>
      </vt:variant>
      <vt:variant>
        <vt:i4>0</vt:i4>
      </vt:variant>
      <vt:variant>
        <vt:i4>5</vt:i4>
      </vt:variant>
      <vt:variant>
        <vt:lpwstr/>
      </vt:variant>
      <vt:variant>
        <vt:lpwstr>_Toc118008328</vt:lpwstr>
      </vt:variant>
      <vt:variant>
        <vt:i4>1835066</vt:i4>
      </vt:variant>
      <vt:variant>
        <vt:i4>29</vt:i4>
      </vt:variant>
      <vt:variant>
        <vt:i4>0</vt:i4>
      </vt:variant>
      <vt:variant>
        <vt:i4>5</vt:i4>
      </vt:variant>
      <vt:variant>
        <vt:lpwstr/>
      </vt:variant>
      <vt:variant>
        <vt:lpwstr>_Toc118008327</vt:lpwstr>
      </vt:variant>
      <vt:variant>
        <vt:i4>1835066</vt:i4>
      </vt:variant>
      <vt:variant>
        <vt:i4>23</vt:i4>
      </vt:variant>
      <vt:variant>
        <vt:i4>0</vt:i4>
      </vt:variant>
      <vt:variant>
        <vt:i4>5</vt:i4>
      </vt:variant>
      <vt:variant>
        <vt:lpwstr/>
      </vt:variant>
      <vt:variant>
        <vt:lpwstr>_Toc118008326</vt:lpwstr>
      </vt:variant>
      <vt:variant>
        <vt:i4>1835066</vt:i4>
      </vt:variant>
      <vt:variant>
        <vt:i4>17</vt:i4>
      </vt:variant>
      <vt:variant>
        <vt:i4>0</vt:i4>
      </vt:variant>
      <vt:variant>
        <vt:i4>5</vt:i4>
      </vt:variant>
      <vt:variant>
        <vt:lpwstr/>
      </vt:variant>
      <vt:variant>
        <vt:lpwstr>_Toc118008325</vt:lpwstr>
      </vt:variant>
      <vt:variant>
        <vt:i4>1835066</vt:i4>
      </vt:variant>
      <vt:variant>
        <vt:i4>11</vt:i4>
      </vt:variant>
      <vt:variant>
        <vt:i4>0</vt:i4>
      </vt:variant>
      <vt:variant>
        <vt:i4>5</vt:i4>
      </vt:variant>
      <vt:variant>
        <vt:lpwstr/>
      </vt:variant>
      <vt:variant>
        <vt:lpwstr>_Toc118008324</vt:lpwstr>
      </vt:variant>
      <vt:variant>
        <vt:i4>3735620</vt:i4>
      </vt:variant>
      <vt:variant>
        <vt:i4>6</vt:i4>
      </vt:variant>
      <vt:variant>
        <vt:i4>0</vt:i4>
      </vt:variant>
      <vt:variant>
        <vt:i4>5</vt:i4>
      </vt:variant>
      <vt:variant>
        <vt:lpwstr>mailto:communications@humanrights.gov.au</vt:lpwstr>
      </vt:variant>
      <vt:variant>
        <vt:lpwstr/>
      </vt:variant>
      <vt:variant>
        <vt:i4>131143</vt:i4>
      </vt:variant>
      <vt:variant>
        <vt:i4>3</vt:i4>
      </vt:variant>
      <vt:variant>
        <vt:i4>0</vt:i4>
      </vt:variant>
      <vt:variant>
        <vt:i4>5</vt:i4>
      </vt:variant>
      <vt:variant>
        <vt:lpwstr>https://www.humanrights.gov.au/our-work/publications</vt:lpwstr>
      </vt:variant>
      <vt:variant>
        <vt:lpwstr/>
      </vt:variant>
      <vt:variant>
        <vt:i4>917578</vt:i4>
      </vt:variant>
      <vt:variant>
        <vt:i4>0</vt:i4>
      </vt:variant>
      <vt:variant>
        <vt:i4>0</vt:i4>
      </vt:variant>
      <vt:variant>
        <vt:i4>5</vt:i4>
      </vt:variant>
      <vt:variant>
        <vt:lpwstr>http://creativecommons.org/licenses/by/4.0/legalcode</vt:lpwstr>
      </vt:variant>
      <vt:variant>
        <vt:lpwstr/>
      </vt:variant>
      <vt:variant>
        <vt:i4>8257571</vt:i4>
      </vt:variant>
      <vt:variant>
        <vt:i4>3</vt:i4>
      </vt:variant>
      <vt:variant>
        <vt:i4>0</vt:i4>
      </vt:variant>
      <vt:variant>
        <vt:i4>5</vt:i4>
      </vt:variant>
      <vt:variant>
        <vt:lpwstr>https://www.humanrights.vic.gov.au/get-help/contact-us/</vt:lpwstr>
      </vt:variant>
      <vt:variant>
        <vt:lpwstr/>
      </vt:variant>
      <vt:variant>
        <vt:i4>1179718</vt:i4>
      </vt:variant>
      <vt:variant>
        <vt:i4>0</vt:i4>
      </vt:variant>
      <vt:variant>
        <vt:i4>0</vt:i4>
      </vt:variant>
      <vt:variant>
        <vt:i4>5</vt:i4>
      </vt:variant>
      <vt:variant>
        <vt:lpwstr>https://www.apsc.gov.au/publication/australian-public-service-disability-employment-strategy-2020-25</vt:lpwstr>
      </vt:variant>
      <vt:variant>
        <vt:lpwstr/>
      </vt:variant>
      <vt:variant>
        <vt:i4>2883695</vt:i4>
      </vt:variant>
      <vt:variant>
        <vt:i4>51</vt:i4>
      </vt:variant>
      <vt:variant>
        <vt:i4>0</vt:i4>
      </vt:variant>
      <vt:variant>
        <vt:i4>5</vt:i4>
      </vt:variant>
      <vt:variant>
        <vt:lpwstr>https://equalopportunity.tas.gov.au/exemptions</vt:lpwstr>
      </vt:variant>
      <vt:variant>
        <vt:lpwstr/>
      </vt:variant>
      <vt:variant>
        <vt:i4>2883695</vt:i4>
      </vt:variant>
      <vt:variant>
        <vt:i4>48</vt:i4>
      </vt:variant>
      <vt:variant>
        <vt:i4>0</vt:i4>
      </vt:variant>
      <vt:variant>
        <vt:i4>5</vt:i4>
      </vt:variant>
      <vt:variant>
        <vt:lpwstr>https://equalopportunity.tas.gov.au/exemptions</vt:lpwstr>
      </vt:variant>
      <vt:variant>
        <vt:lpwstr/>
      </vt:variant>
      <vt:variant>
        <vt:i4>2097274</vt:i4>
      </vt:variant>
      <vt:variant>
        <vt:i4>45</vt:i4>
      </vt:variant>
      <vt:variant>
        <vt:i4>0</vt:i4>
      </vt:variant>
      <vt:variant>
        <vt:i4>5</vt:i4>
      </vt:variant>
      <vt:variant>
        <vt:lpwstr>https://antidiscrimination.nsw.gov.au/anti-discrimination-nsw/organisations-and-community-groups/exemptions-and-certifications/current-exemptions.html</vt:lpwstr>
      </vt:variant>
      <vt:variant>
        <vt:lpwstr/>
      </vt:variant>
      <vt:variant>
        <vt:i4>4915295</vt:i4>
      </vt:variant>
      <vt:variant>
        <vt:i4>42</vt:i4>
      </vt:variant>
      <vt:variant>
        <vt:i4>0</vt:i4>
      </vt:variant>
      <vt:variant>
        <vt:i4>5</vt:i4>
      </vt:variant>
      <vt:variant>
        <vt:lpwstr>https://antidiscrimination.nsw.gov.au/anti-discrimination-nsw/organisations-and-community-groups/exemptions-and-certifications.html/</vt:lpwstr>
      </vt:variant>
      <vt:variant>
        <vt:lpwstr/>
      </vt:variant>
      <vt:variant>
        <vt:i4>4915295</vt:i4>
      </vt:variant>
      <vt:variant>
        <vt:i4>39</vt:i4>
      </vt:variant>
      <vt:variant>
        <vt:i4>0</vt:i4>
      </vt:variant>
      <vt:variant>
        <vt:i4>5</vt:i4>
      </vt:variant>
      <vt:variant>
        <vt:lpwstr>https://antidiscrimination.nsw.gov.au/anti-discrimination-nsw/organisations-and-community-groups/exemptions-and-certifications.html/</vt:lpwstr>
      </vt:variant>
      <vt:variant>
        <vt:lpwstr/>
      </vt:variant>
      <vt:variant>
        <vt:i4>4915295</vt:i4>
      </vt:variant>
      <vt:variant>
        <vt:i4>36</vt:i4>
      </vt:variant>
      <vt:variant>
        <vt:i4>0</vt:i4>
      </vt:variant>
      <vt:variant>
        <vt:i4>5</vt:i4>
      </vt:variant>
      <vt:variant>
        <vt:lpwstr>https://antidiscrimination.nsw.gov.au/anti-discrimination-nsw/organisations-and-community-groups/exemptions-and-certifications.html/</vt:lpwstr>
      </vt:variant>
      <vt:variant>
        <vt:lpwstr/>
      </vt:variant>
      <vt:variant>
        <vt:i4>6225945</vt:i4>
      </vt:variant>
      <vt:variant>
        <vt:i4>33</vt:i4>
      </vt:variant>
      <vt:variant>
        <vt:i4>0</vt:i4>
      </vt:variant>
      <vt:variant>
        <vt:i4>5</vt:i4>
      </vt:variant>
      <vt:variant>
        <vt:lpwstr>https://www.pwc.com.au/publications/assets/pwc-australias-access-and-inclusion-plan-2020-2022.pdf</vt:lpwstr>
      </vt:variant>
      <vt:variant>
        <vt:lpwstr/>
      </vt:variant>
      <vt:variant>
        <vt:i4>2883695</vt:i4>
      </vt:variant>
      <vt:variant>
        <vt:i4>30</vt:i4>
      </vt:variant>
      <vt:variant>
        <vt:i4>0</vt:i4>
      </vt:variant>
      <vt:variant>
        <vt:i4>5</vt:i4>
      </vt:variant>
      <vt:variant>
        <vt:lpwstr>https://equalopportunity.tas.gov.au/exemptions</vt:lpwstr>
      </vt:variant>
      <vt:variant>
        <vt:lpwstr/>
      </vt:variant>
      <vt:variant>
        <vt:i4>3735594</vt:i4>
      </vt:variant>
      <vt:variant>
        <vt:i4>27</vt:i4>
      </vt:variant>
      <vt:variant>
        <vt:i4>0</vt:i4>
      </vt:variant>
      <vt:variant>
        <vt:i4>5</vt:i4>
      </vt:variant>
      <vt:variant>
        <vt:lpwstr>https://about.abc.net.au/press-releases/abc-regional-storyteller-scholarship-winners-announced</vt:lpwstr>
      </vt:variant>
      <vt:variant>
        <vt:lpwstr/>
      </vt:variant>
      <vt:variant>
        <vt:i4>67</vt:i4>
      </vt:variant>
      <vt:variant>
        <vt:i4>24</vt:i4>
      </vt:variant>
      <vt:variant>
        <vt:i4>0</vt:i4>
      </vt:variant>
      <vt:variant>
        <vt:i4>5</vt:i4>
      </vt:variant>
      <vt:variant>
        <vt:lpwstr>https://www.apsc.gov.au/working-aps/diversity-and-inclusion/disability/affirmative-measure-recruiting-people-disability-guide-applicants</vt:lpwstr>
      </vt:variant>
      <vt:variant>
        <vt:lpwstr/>
      </vt:variant>
      <vt:variant>
        <vt:i4>1179718</vt:i4>
      </vt:variant>
      <vt:variant>
        <vt:i4>21</vt:i4>
      </vt:variant>
      <vt:variant>
        <vt:i4>0</vt:i4>
      </vt:variant>
      <vt:variant>
        <vt:i4>5</vt:i4>
      </vt:variant>
      <vt:variant>
        <vt:lpwstr>https://www.apsc.gov.au/publication/australian-public-service-disability-employment-strategy-2020-25</vt:lpwstr>
      </vt:variant>
      <vt:variant>
        <vt:lpwstr/>
      </vt:variant>
      <vt:variant>
        <vt:i4>1179718</vt:i4>
      </vt:variant>
      <vt:variant>
        <vt:i4>18</vt:i4>
      </vt:variant>
      <vt:variant>
        <vt:i4>0</vt:i4>
      </vt:variant>
      <vt:variant>
        <vt:i4>5</vt:i4>
      </vt:variant>
      <vt:variant>
        <vt:lpwstr>https://www.apsc.gov.au/publication/australian-public-service-disability-employment-strategy-2020-25</vt:lpwstr>
      </vt:variant>
      <vt:variant>
        <vt:lpwstr/>
      </vt:variant>
      <vt:variant>
        <vt:i4>1179718</vt:i4>
      </vt:variant>
      <vt:variant>
        <vt:i4>15</vt:i4>
      </vt:variant>
      <vt:variant>
        <vt:i4>0</vt:i4>
      </vt:variant>
      <vt:variant>
        <vt:i4>5</vt:i4>
      </vt:variant>
      <vt:variant>
        <vt:lpwstr>https://www.apsc.gov.au/publication/australian-public-service-disability-employment-strategy-2020-25</vt:lpwstr>
      </vt:variant>
      <vt:variant>
        <vt:lpwstr/>
      </vt:variant>
      <vt:variant>
        <vt:i4>5308510</vt:i4>
      </vt:variant>
      <vt:variant>
        <vt:i4>12</vt:i4>
      </vt:variant>
      <vt:variant>
        <vt:i4>0</vt:i4>
      </vt:variant>
      <vt:variant>
        <vt:i4>5</vt:i4>
      </vt:variant>
      <vt:variant>
        <vt:lpwstr>http://www.includeability.gov.au/</vt:lpwstr>
      </vt:variant>
      <vt:variant>
        <vt:lpwstr/>
      </vt:variant>
      <vt:variant>
        <vt:i4>1507330</vt:i4>
      </vt:variant>
      <vt:variant>
        <vt:i4>9</vt:i4>
      </vt:variant>
      <vt:variant>
        <vt:i4>0</vt:i4>
      </vt:variant>
      <vt:variant>
        <vt:i4>5</vt:i4>
      </vt:variant>
      <vt:variant>
        <vt:lpwstr>https://iworkfor.nsw.gov.au/job/assistant-project-officer-clerk-grade-5-6-disability-targeted-process-335596</vt:lpwstr>
      </vt:variant>
      <vt:variant>
        <vt:lpwstr/>
      </vt:variant>
      <vt:variant>
        <vt:i4>1507330</vt:i4>
      </vt:variant>
      <vt:variant>
        <vt:i4>6</vt:i4>
      </vt:variant>
      <vt:variant>
        <vt:i4>0</vt:i4>
      </vt:variant>
      <vt:variant>
        <vt:i4>5</vt:i4>
      </vt:variant>
      <vt:variant>
        <vt:lpwstr>https://iworkfor.nsw.gov.au/job/assistant-project-officer-clerk-grade-5-6-disability-targeted-process-335596</vt:lpwstr>
      </vt:variant>
      <vt:variant>
        <vt:lpwstr/>
      </vt:variant>
      <vt:variant>
        <vt:i4>7471205</vt:i4>
      </vt:variant>
      <vt:variant>
        <vt:i4>3</vt:i4>
      </vt:variant>
      <vt:variant>
        <vt:i4>0</vt:i4>
      </vt:variant>
      <vt:variant>
        <vt:i4>5</vt:i4>
      </vt:variant>
      <vt:variant>
        <vt:lpwstr>https://www.aihw.gov.au/getmedia/5f322ec4-ef63-4c43-a854-64f7a2f55a04/aihw-dis-72-people-with-disability-in-australia-2022.pdf.aspx?inline=true</vt:lpwstr>
      </vt:variant>
      <vt:variant>
        <vt:lpwstr/>
      </vt:variant>
      <vt:variant>
        <vt:i4>7471205</vt:i4>
      </vt:variant>
      <vt:variant>
        <vt:i4>0</vt:i4>
      </vt:variant>
      <vt:variant>
        <vt:i4>0</vt:i4>
      </vt:variant>
      <vt:variant>
        <vt:i4>5</vt:i4>
      </vt:variant>
      <vt:variant>
        <vt:lpwstr>https://www.aihw.gov.au/getmedia/5f322ec4-ef63-4c43-a854-64f7a2f55a04/aihw-dis-72-people-with-disability-in-australia-2022.pdf.aspx?inline=true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Project.Evaluation PLAN form</dc:title>
  <dc:subject/>
  <dc:creator>Afton Fife</dc:creator>
  <cp:keywords/>
  <cp:lastModifiedBy>Jo Rita Stocovaz</cp:lastModifiedBy>
  <cp:revision>5</cp:revision>
  <cp:lastPrinted>2022-10-30T17:38:00Z</cp:lastPrinted>
  <dcterms:created xsi:type="dcterms:W3CDTF">2022-11-03T19:33:00Z</dcterms:created>
  <dcterms:modified xsi:type="dcterms:W3CDTF">2022-11-03T21:11:00Z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0x0101004BF9BCE703BAF44CBCFAFA1D85771A1F</vt:lpwstr>
  </property>
  <property fmtid="{D5CDD505-2E9C-101B-9397-08002B2CF9AE}" pid="3" name="_DocHome">
    <vt:i4>87286831</vt:i4>
  </property>
  <property fmtid="{D5CDD505-2E9C-101B-9397-08002B2CF9AE}" pid="4" name="ZOTERO_PREF_1">
    <vt:lpwstr>&lt;data data-version="3" zotero-version="5.0.74"&gt;&lt;session id="PeAFoZ74"/&gt;&lt;style id="http://www.zotero.org/styles/ahrc-australian-guide-to-legal-citation" hasBibliography="1" bibliographyStyleHasBeenSet="0"/&gt;&lt;prefs&gt;&lt;pref name="fieldType" value="Field"/&gt;&lt;pref</vt:lpwstr>
  </property>
  <property fmtid="{D5CDD505-2E9C-101B-9397-08002B2CF9AE}" pid="5" name="ZOTERO_PREF_2">
    <vt:lpwstr> name="automaticJournalAbbreviations" value="true"/&gt;&lt;pref name="noteType" value="2"/&gt;&lt;/prefs&gt;&lt;/data&gt;</vt:lpwstr>
  </property>
  <property fmtid="{D5CDD505-2E9C-101B-9397-08002B2CF9AE}" pid="6" name="_dlc_DocIdItemGuid">
    <vt:lpwstr>3867505c-fb69-41cf-be69-fd24e7b2c0aa</vt:lpwstr>
  </property>
  <property fmtid="{D5CDD505-2E9C-101B-9397-08002B2CF9AE}" pid="7" name="TaxKeyword">
    <vt:lpwstr/>
  </property>
  <property fmtid="{D5CDD505-2E9C-101B-9397-08002B2CF9AE}" pid="8" name="MediaServiceImageTags">
    <vt:lpwstr/>
  </property>
  <property fmtid="{D5CDD505-2E9C-101B-9397-08002B2CF9AE}" pid="9" name="Document Type">
    <vt:lpwstr/>
  </property>
  <property fmtid="{D5CDD505-2E9C-101B-9397-08002B2CF9AE}" pid="10" name="DocSet Type">
    <vt:lpwstr/>
  </property>
  <property fmtid="{D5CDD505-2E9C-101B-9397-08002B2CF9AE}" pid="11" name="Business Unit">
    <vt:lpwstr/>
  </property>
  <property fmtid="{D5CDD505-2E9C-101B-9397-08002B2CF9AE}" pid="12" name="DocumentSetDescription">
    <vt:lpwstr/>
  </property>
  <property fmtid="{D5CDD505-2E9C-101B-9397-08002B2CF9AE}" pid="13" name="DocSet Check">
    <vt:lpwstr/>
  </property>
  <property fmtid="{D5CDD505-2E9C-101B-9397-08002B2CF9AE}" pid="14" name="_ExtendedDescription">
    <vt:lpwstr/>
  </property>
  <property fmtid="{D5CDD505-2E9C-101B-9397-08002B2CF9AE}" pid="15" name="Library">
    <vt:lpwstr/>
  </property>
</Properties>
</file>