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9294" w14:textId="77777777" w:rsidR="00DB1694" w:rsidRDefault="00DB1694" w:rsidP="00030E67">
      <w:pPr>
        <w:pStyle w:val="MainTitle"/>
      </w:pPr>
      <w:r>
        <w:t xml:space="preserve">The impact of changes to service delivery </w:t>
      </w:r>
      <w:r w:rsidRPr="00030E67">
        <w:t>models</w:t>
      </w:r>
      <w:r>
        <w:t xml:space="preserve"> on the administration and running of Government programs </w:t>
      </w:r>
    </w:p>
    <w:p w14:paraId="204CB578" w14:textId="52BE3039" w:rsidR="001F2DA4" w:rsidRDefault="001F2DA4" w:rsidP="001F2DA4">
      <w:pPr>
        <w:pStyle w:val="MainTitle"/>
      </w:pPr>
    </w:p>
    <w:p w14:paraId="114897D2" w14:textId="77777777" w:rsidR="00A355F9" w:rsidRDefault="00A355F9" w:rsidP="00A355F9">
      <w:pPr>
        <w:pStyle w:val="MainTitle"/>
      </w:pPr>
    </w:p>
    <w:p w14:paraId="28F4FFF3" w14:textId="77777777" w:rsidR="00817C73" w:rsidRPr="00FF5B2A" w:rsidRDefault="00817C73" w:rsidP="00FF5B2A">
      <w:pPr>
        <w:jc w:val="right"/>
        <w:rPr>
          <w:color w:val="4472C4" w:themeColor="accent5"/>
          <w:sz w:val="28"/>
          <w:szCs w:val="28"/>
        </w:rPr>
      </w:pPr>
      <w:bookmarkStart w:id="0" w:name="_Toc515873204"/>
      <w:bookmarkStart w:id="1" w:name="_Toc16773882"/>
      <w:bookmarkStart w:id="2" w:name="_Toc17187357"/>
      <w:bookmarkStart w:id="3" w:name="_Toc17201563"/>
      <w:r w:rsidRPr="00FF5B2A">
        <w:rPr>
          <w:color w:val="4472C4" w:themeColor="accent5"/>
          <w:sz w:val="28"/>
          <w:szCs w:val="28"/>
        </w:rPr>
        <w:t>Australian Human Rights Commission</w:t>
      </w:r>
      <w:bookmarkEnd w:id="0"/>
      <w:bookmarkEnd w:id="1"/>
      <w:bookmarkEnd w:id="2"/>
      <w:bookmarkEnd w:id="3"/>
    </w:p>
    <w:p w14:paraId="5A0BCAA4" w14:textId="77777777" w:rsidR="00817C73" w:rsidRPr="00FF5B2A" w:rsidRDefault="00817C73" w:rsidP="00FF5B2A">
      <w:pPr>
        <w:jc w:val="right"/>
        <w:rPr>
          <w:color w:val="4472C4" w:themeColor="accent5"/>
          <w:sz w:val="28"/>
          <w:szCs w:val="28"/>
        </w:rPr>
      </w:pPr>
      <w:bookmarkStart w:id="4" w:name="_Toc515873205"/>
      <w:bookmarkStart w:id="5" w:name="_Toc16773883"/>
      <w:bookmarkStart w:id="6" w:name="_Toc17187358"/>
      <w:bookmarkStart w:id="7" w:name="_Toc17201564"/>
      <w:r w:rsidRPr="00FF5B2A">
        <w:rPr>
          <w:color w:val="4472C4" w:themeColor="accent5"/>
          <w:sz w:val="28"/>
          <w:szCs w:val="28"/>
        </w:rPr>
        <w:t xml:space="preserve">Submission to the </w:t>
      </w:r>
      <w:bookmarkEnd w:id="4"/>
      <w:r w:rsidR="001F2DA4" w:rsidRPr="00FF5B2A">
        <w:rPr>
          <w:color w:val="4472C4" w:themeColor="accent5"/>
          <w:sz w:val="28"/>
          <w:szCs w:val="28"/>
        </w:rPr>
        <w:t>Senate Standing Committee on Legal and Constitutional Affairs</w:t>
      </w:r>
      <w:bookmarkEnd w:id="5"/>
      <w:bookmarkEnd w:id="6"/>
      <w:bookmarkEnd w:id="7"/>
      <w:r w:rsidR="001F2DA4" w:rsidRPr="00FF5B2A">
        <w:rPr>
          <w:color w:val="4472C4" w:themeColor="accent5"/>
          <w:sz w:val="28"/>
          <w:szCs w:val="28"/>
        </w:rPr>
        <w:t xml:space="preserve"> </w:t>
      </w:r>
    </w:p>
    <w:p w14:paraId="1169ECB8" w14:textId="581FE22E" w:rsidR="00F220A5" w:rsidRPr="00817C73" w:rsidRDefault="00253179" w:rsidP="00F220A5">
      <w:pPr>
        <w:pStyle w:val="Date"/>
      </w:pPr>
      <w:r>
        <w:t xml:space="preserve">23 </w:t>
      </w:r>
      <w:r w:rsidR="001F2DA4">
        <w:t>August 2019</w:t>
      </w:r>
    </w:p>
    <w:p w14:paraId="27AAFAFA" w14:textId="77777777" w:rsidR="00AC636D" w:rsidRDefault="00AC636D" w:rsidP="00AC636D"/>
    <w:p w14:paraId="656B2222" w14:textId="77777777" w:rsidR="009E4BD0" w:rsidRPr="00AC636D" w:rsidRDefault="009E4BD0" w:rsidP="00AC636D">
      <w:pPr>
        <w:sectPr w:rsidR="009E4BD0" w:rsidRPr="00AC636D"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bookmarkStart w:id="8" w:name="_Toc209316062" w:displacedByCustomXml="next"/>
    <w:bookmarkEnd w:id="8" w:displacedByCustomXml="next"/>
    <w:bookmarkStart w:id="9" w:name="_Toc207761830" w:displacedByCustomXml="next"/>
    <w:bookmarkStart w:id="10" w:name="_Toc209578266" w:displacedByCustomXml="next"/>
    <w:bookmarkStart w:id="11" w:name="_Toc209941766" w:displacedByCustomXml="next"/>
    <w:bookmarkStart w:id="12" w:name="_Toc16773884" w:displacedByCustomXml="next"/>
    <w:sdt>
      <w:sdtPr>
        <w:rPr>
          <w:b w:val="0"/>
          <w:lang w:val="en-AU" w:eastAsia="en-AU"/>
        </w:rPr>
        <w:id w:val="346139561"/>
        <w:docPartObj>
          <w:docPartGallery w:val="Table of Contents"/>
          <w:docPartUnique/>
        </w:docPartObj>
      </w:sdtPr>
      <w:sdtEndPr>
        <w:rPr>
          <w:bCs/>
          <w:noProof/>
        </w:rPr>
      </w:sdtEndPr>
      <w:sdtContent>
        <w:p w14:paraId="19B0CAB1" w14:textId="437E6EAF" w:rsidR="001D4E43" w:rsidRDefault="001D4E43">
          <w:pPr>
            <w:pStyle w:val="TOCHeading"/>
          </w:pPr>
          <w:r>
            <w:t>Contents</w:t>
          </w:r>
        </w:p>
        <w:p w14:paraId="72B912BB" w14:textId="7E0F9606" w:rsidR="00FF5B2A" w:rsidRDefault="001D4E43">
          <w:pPr>
            <w:pStyle w:val="TOC1"/>
            <w:rPr>
              <w:rFonts w:asciiTheme="minorHAnsi" w:eastAsiaTheme="minorEastAsia" w:hAnsiTheme="minorHAnsi" w:cstheme="minorBidi"/>
              <w:b w:val="0"/>
              <w:sz w:val="22"/>
              <w:szCs w:val="22"/>
            </w:rPr>
          </w:pPr>
          <w:r>
            <w:rPr>
              <w:i/>
            </w:rPr>
            <w:fldChar w:fldCharType="begin"/>
          </w:r>
          <w:r>
            <w:instrText xml:space="preserve"> TOC \o "1-3" \h \z \u </w:instrText>
          </w:r>
          <w:r>
            <w:rPr>
              <w:i/>
            </w:rPr>
            <w:fldChar w:fldCharType="separate"/>
          </w:r>
          <w:hyperlink w:anchor="_Toc17444040" w:history="1">
            <w:r w:rsidR="00FF5B2A" w:rsidRPr="003C3277">
              <w:rPr>
                <w:rStyle w:val="Hyperlink"/>
              </w:rPr>
              <w:t>1</w:t>
            </w:r>
            <w:r w:rsidR="00FF5B2A">
              <w:rPr>
                <w:rFonts w:asciiTheme="minorHAnsi" w:eastAsiaTheme="minorEastAsia" w:hAnsiTheme="minorHAnsi" w:cstheme="minorBidi"/>
                <w:b w:val="0"/>
                <w:sz w:val="22"/>
                <w:szCs w:val="22"/>
              </w:rPr>
              <w:tab/>
            </w:r>
            <w:r w:rsidR="00FF5B2A" w:rsidRPr="003C3277">
              <w:rPr>
                <w:rStyle w:val="Hyperlink"/>
              </w:rPr>
              <w:t>Introduction</w:t>
            </w:r>
            <w:r w:rsidR="00FF5B2A">
              <w:rPr>
                <w:webHidden/>
              </w:rPr>
              <w:tab/>
            </w:r>
            <w:r w:rsidR="00FF5B2A">
              <w:rPr>
                <w:webHidden/>
              </w:rPr>
              <w:fldChar w:fldCharType="begin"/>
            </w:r>
            <w:r w:rsidR="00FF5B2A">
              <w:rPr>
                <w:webHidden/>
              </w:rPr>
              <w:instrText xml:space="preserve"> PAGEREF _Toc17444040 \h </w:instrText>
            </w:r>
            <w:r w:rsidR="00FF5B2A">
              <w:rPr>
                <w:webHidden/>
              </w:rPr>
            </w:r>
            <w:r w:rsidR="00FF5B2A">
              <w:rPr>
                <w:webHidden/>
              </w:rPr>
              <w:fldChar w:fldCharType="separate"/>
            </w:r>
            <w:r w:rsidR="00FC444B">
              <w:rPr>
                <w:webHidden/>
              </w:rPr>
              <w:t>3</w:t>
            </w:r>
            <w:r w:rsidR="00FF5B2A">
              <w:rPr>
                <w:webHidden/>
              </w:rPr>
              <w:fldChar w:fldCharType="end"/>
            </w:r>
          </w:hyperlink>
        </w:p>
        <w:p w14:paraId="41108D97" w14:textId="6E6349D7" w:rsidR="00FF5B2A" w:rsidRDefault="00136057">
          <w:pPr>
            <w:pStyle w:val="TOC1"/>
            <w:rPr>
              <w:rFonts w:asciiTheme="minorHAnsi" w:eastAsiaTheme="minorEastAsia" w:hAnsiTheme="minorHAnsi" w:cstheme="minorBidi"/>
              <w:b w:val="0"/>
              <w:sz w:val="22"/>
              <w:szCs w:val="22"/>
            </w:rPr>
          </w:pPr>
          <w:hyperlink w:anchor="_Toc17444041" w:history="1">
            <w:r w:rsidR="00FF5B2A" w:rsidRPr="003C3277">
              <w:rPr>
                <w:rStyle w:val="Hyperlink"/>
              </w:rPr>
              <w:t>2</w:t>
            </w:r>
            <w:r w:rsidR="00FF5B2A">
              <w:rPr>
                <w:rFonts w:asciiTheme="minorHAnsi" w:eastAsiaTheme="minorEastAsia" w:hAnsiTheme="minorHAnsi" w:cstheme="minorBidi"/>
                <w:b w:val="0"/>
                <w:sz w:val="22"/>
                <w:szCs w:val="22"/>
              </w:rPr>
              <w:tab/>
            </w:r>
            <w:r w:rsidR="00FF5B2A" w:rsidRPr="003C3277">
              <w:rPr>
                <w:rStyle w:val="Hyperlink"/>
              </w:rPr>
              <w:t>Background to this submission</w:t>
            </w:r>
            <w:r w:rsidR="00FF5B2A">
              <w:rPr>
                <w:webHidden/>
              </w:rPr>
              <w:tab/>
            </w:r>
            <w:r w:rsidR="00FF5B2A">
              <w:rPr>
                <w:webHidden/>
              </w:rPr>
              <w:fldChar w:fldCharType="begin"/>
            </w:r>
            <w:r w:rsidR="00FF5B2A">
              <w:rPr>
                <w:webHidden/>
              </w:rPr>
              <w:instrText xml:space="preserve"> PAGEREF _Toc17444041 \h </w:instrText>
            </w:r>
            <w:r w:rsidR="00FF5B2A">
              <w:rPr>
                <w:webHidden/>
              </w:rPr>
            </w:r>
            <w:r w:rsidR="00FF5B2A">
              <w:rPr>
                <w:webHidden/>
              </w:rPr>
              <w:fldChar w:fldCharType="separate"/>
            </w:r>
            <w:r w:rsidR="00FC444B">
              <w:rPr>
                <w:webHidden/>
              </w:rPr>
              <w:t>3</w:t>
            </w:r>
            <w:r w:rsidR="00FF5B2A">
              <w:rPr>
                <w:webHidden/>
              </w:rPr>
              <w:fldChar w:fldCharType="end"/>
            </w:r>
          </w:hyperlink>
        </w:p>
        <w:p w14:paraId="3314A4DC" w14:textId="2172C8A7" w:rsidR="00FF5B2A" w:rsidRDefault="00136057">
          <w:pPr>
            <w:pStyle w:val="TOC1"/>
            <w:rPr>
              <w:rFonts w:asciiTheme="minorHAnsi" w:eastAsiaTheme="minorEastAsia" w:hAnsiTheme="minorHAnsi" w:cstheme="minorBidi"/>
              <w:b w:val="0"/>
              <w:sz w:val="22"/>
              <w:szCs w:val="22"/>
            </w:rPr>
          </w:pPr>
          <w:hyperlink w:anchor="_Toc17444042" w:history="1">
            <w:r w:rsidR="00FF5B2A" w:rsidRPr="003C3277">
              <w:rPr>
                <w:rStyle w:val="Hyperlink"/>
              </w:rPr>
              <w:t>3</w:t>
            </w:r>
            <w:r w:rsidR="00FF5B2A">
              <w:rPr>
                <w:rFonts w:asciiTheme="minorHAnsi" w:eastAsiaTheme="minorEastAsia" w:hAnsiTheme="minorHAnsi" w:cstheme="minorBidi"/>
                <w:b w:val="0"/>
                <w:sz w:val="22"/>
                <w:szCs w:val="22"/>
              </w:rPr>
              <w:tab/>
            </w:r>
            <w:r w:rsidR="00FF5B2A" w:rsidRPr="003C3277">
              <w:rPr>
                <w:rStyle w:val="Hyperlink"/>
              </w:rPr>
              <w:t>The Centrelink Debt Program</w:t>
            </w:r>
            <w:r w:rsidR="00FF5B2A">
              <w:rPr>
                <w:webHidden/>
              </w:rPr>
              <w:tab/>
            </w:r>
            <w:r w:rsidR="00FF5B2A">
              <w:rPr>
                <w:webHidden/>
              </w:rPr>
              <w:fldChar w:fldCharType="begin"/>
            </w:r>
            <w:r w:rsidR="00FF5B2A">
              <w:rPr>
                <w:webHidden/>
              </w:rPr>
              <w:instrText xml:space="preserve"> PAGEREF _Toc17444042 \h </w:instrText>
            </w:r>
            <w:r w:rsidR="00FF5B2A">
              <w:rPr>
                <w:webHidden/>
              </w:rPr>
            </w:r>
            <w:r w:rsidR="00FF5B2A">
              <w:rPr>
                <w:webHidden/>
              </w:rPr>
              <w:fldChar w:fldCharType="separate"/>
            </w:r>
            <w:r w:rsidR="00FC444B">
              <w:rPr>
                <w:webHidden/>
              </w:rPr>
              <w:t>4</w:t>
            </w:r>
            <w:r w:rsidR="00FF5B2A">
              <w:rPr>
                <w:webHidden/>
              </w:rPr>
              <w:fldChar w:fldCharType="end"/>
            </w:r>
          </w:hyperlink>
        </w:p>
        <w:p w14:paraId="3A055EF1" w14:textId="4F263DB1" w:rsidR="00FF5B2A" w:rsidRDefault="00136057">
          <w:pPr>
            <w:pStyle w:val="TOC1"/>
            <w:rPr>
              <w:rFonts w:asciiTheme="minorHAnsi" w:eastAsiaTheme="minorEastAsia" w:hAnsiTheme="minorHAnsi" w:cstheme="minorBidi"/>
              <w:b w:val="0"/>
              <w:sz w:val="22"/>
              <w:szCs w:val="22"/>
            </w:rPr>
          </w:pPr>
          <w:hyperlink w:anchor="_Toc17444043" w:history="1">
            <w:r w:rsidR="00FF5B2A" w:rsidRPr="003C3277">
              <w:rPr>
                <w:rStyle w:val="Hyperlink"/>
              </w:rPr>
              <w:t>4</w:t>
            </w:r>
            <w:r w:rsidR="00FF5B2A">
              <w:rPr>
                <w:rFonts w:asciiTheme="minorHAnsi" w:eastAsiaTheme="minorEastAsia" w:hAnsiTheme="minorHAnsi" w:cstheme="minorBidi"/>
                <w:b w:val="0"/>
                <w:sz w:val="22"/>
                <w:szCs w:val="22"/>
              </w:rPr>
              <w:tab/>
            </w:r>
            <w:r w:rsidR="00FF5B2A" w:rsidRPr="003C3277">
              <w:rPr>
                <w:rStyle w:val="Hyperlink"/>
              </w:rPr>
              <w:t>Human rights implications of automated decision making by government</w:t>
            </w:r>
            <w:r w:rsidR="00FF5B2A">
              <w:rPr>
                <w:webHidden/>
              </w:rPr>
              <w:tab/>
            </w:r>
            <w:r w:rsidR="00FF5B2A">
              <w:rPr>
                <w:webHidden/>
              </w:rPr>
              <w:fldChar w:fldCharType="begin"/>
            </w:r>
            <w:r w:rsidR="00FF5B2A">
              <w:rPr>
                <w:webHidden/>
              </w:rPr>
              <w:instrText xml:space="preserve"> PAGEREF _Toc17444043 \h </w:instrText>
            </w:r>
            <w:r w:rsidR="00FF5B2A">
              <w:rPr>
                <w:webHidden/>
              </w:rPr>
            </w:r>
            <w:r w:rsidR="00FF5B2A">
              <w:rPr>
                <w:webHidden/>
              </w:rPr>
              <w:fldChar w:fldCharType="separate"/>
            </w:r>
            <w:r w:rsidR="00FC444B">
              <w:rPr>
                <w:webHidden/>
              </w:rPr>
              <w:t>5</w:t>
            </w:r>
            <w:r w:rsidR="00FF5B2A">
              <w:rPr>
                <w:webHidden/>
              </w:rPr>
              <w:fldChar w:fldCharType="end"/>
            </w:r>
          </w:hyperlink>
        </w:p>
        <w:p w14:paraId="7B182747" w14:textId="355E285A" w:rsidR="00FF5B2A" w:rsidRDefault="00136057">
          <w:pPr>
            <w:pStyle w:val="TOC2"/>
            <w:rPr>
              <w:rFonts w:asciiTheme="minorHAnsi" w:eastAsiaTheme="minorEastAsia" w:hAnsiTheme="minorHAnsi" w:cstheme="minorBidi"/>
              <w:b w:val="0"/>
              <w:i w:val="0"/>
              <w:sz w:val="22"/>
              <w:szCs w:val="22"/>
            </w:rPr>
          </w:pPr>
          <w:hyperlink w:anchor="_Toc17444044" w:history="1">
            <w:r w:rsidR="00FF5B2A" w:rsidRPr="003C3277">
              <w:rPr>
                <w:rStyle w:val="Hyperlink"/>
              </w:rPr>
              <w:t>4.1</w:t>
            </w:r>
            <w:r w:rsidR="00FF5B2A">
              <w:rPr>
                <w:rFonts w:asciiTheme="minorHAnsi" w:eastAsiaTheme="minorEastAsia" w:hAnsiTheme="minorHAnsi" w:cstheme="minorBidi"/>
                <w:b w:val="0"/>
                <w:i w:val="0"/>
                <w:sz w:val="22"/>
                <w:szCs w:val="22"/>
              </w:rPr>
              <w:tab/>
            </w:r>
            <w:r w:rsidR="00FF5B2A" w:rsidRPr="003C3277">
              <w:rPr>
                <w:rStyle w:val="Hyperlink"/>
              </w:rPr>
              <w:t>Relevant human rights</w:t>
            </w:r>
            <w:r w:rsidR="00FF5B2A">
              <w:rPr>
                <w:webHidden/>
              </w:rPr>
              <w:tab/>
            </w:r>
            <w:r w:rsidR="00FF5B2A">
              <w:rPr>
                <w:webHidden/>
              </w:rPr>
              <w:fldChar w:fldCharType="begin"/>
            </w:r>
            <w:r w:rsidR="00FF5B2A">
              <w:rPr>
                <w:webHidden/>
              </w:rPr>
              <w:instrText xml:space="preserve"> PAGEREF _Toc17444044 \h </w:instrText>
            </w:r>
            <w:r w:rsidR="00FF5B2A">
              <w:rPr>
                <w:webHidden/>
              </w:rPr>
            </w:r>
            <w:r w:rsidR="00FF5B2A">
              <w:rPr>
                <w:webHidden/>
              </w:rPr>
              <w:fldChar w:fldCharType="separate"/>
            </w:r>
            <w:r w:rsidR="00FC444B">
              <w:rPr>
                <w:webHidden/>
              </w:rPr>
              <w:t>5</w:t>
            </w:r>
            <w:r w:rsidR="00FF5B2A">
              <w:rPr>
                <w:webHidden/>
              </w:rPr>
              <w:fldChar w:fldCharType="end"/>
            </w:r>
          </w:hyperlink>
        </w:p>
        <w:p w14:paraId="68A7C5ED" w14:textId="1E3407B8" w:rsidR="00FF5B2A" w:rsidRDefault="00136057">
          <w:pPr>
            <w:pStyle w:val="TOC2"/>
            <w:rPr>
              <w:rFonts w:asciiTheme="minorHAnsi" w:eastAsiaTheme="minorEastAsia" w:hAnsiTheme="minorHAnsi" w:cstheme="minorBidi"/>
              <w:b w:val="0"/>
              <w:i w:val="0"/>
              <w:sz w:val="22"/>
              <w:szCs w:val="22"/>
            </w:rPr>
          </w:pPr>
          <w:hyperlink w:anchor="_Toc17444045" w:history="1">
            <w:r w:rsidR="00FF5B2A" w:rsidRPr="003C3277">
              <w:rPr>
                <w:rStyle w:val="Hyperlink"/>
              </w:rPr>
              <w:t>4.2</w:t>
            </w:r>
            <w:r w:rsidR="00FF5B2A">
              <w:rPr>
                <w:rFonts w:asciiTheme="minorHAnsi" w:eastAsiaTheme="minorEastAsia" w:hAnsiTheme="minorHAnsi" w:cstheme="minorBidi"/>
                <w:b w:val="0"/>
                <w:i w:val="0"/>
                <w:sz w:val="22"/>
                <w:szCs w:val="22"/>
              </w:rPr>
              <w:tab/>
            </w:r>
            <w:r w:rsidR="00FF5B2A" w:rsidRPr="003C3277">
              <w:rPr>
                <w:rStyle w:val="Hyperlink"/>
              </w:rPr>
              <w:t xml:space="preserve">Submissions to the Project related to the </w:t>
            </w:r>
            <w:r w:rsidR="00FF5B2A" w:rsidRPr="003C3277">
              <w:rPr>
                <w:rStyle w:val="Hyperlink"/>
                <w:shd w:val="clear" w:color="auto" w:fill="FFFFFF"/>
              </w:rPr>
              <w:t>Centrelink Debt Program</w:t>
            </w:r>
            <w:r w:rsidR="00FF5B2A">
              <w:rPr>
                <w:webHidden/>
              </w:rPr>
              <w:tab/>
            </w:r>
            <w:r w:rsidR="00FF5B2A">
              <w:rPr>
                <w:webHidden/>
              </w:rPr>
              <w:fldChar w:fldCharType="begin"/>
            </w:r>
            <w:r w:rsidR="00FF5B2A">
              <w:rPr>
                <w:webHidden/>
              </w:rPr>
              <w:instrText xml:space="preserve"> PAGEREF _Toc17444045 \h </w:instrText>
            </w:r>
            <w:r w:rsidR="00FF5B2A">
              <w:rPr>
                <w:webHidden/>
              </w:rPr>
            </w:r>
            <w:r w:rsidR="00FF5B2A">
              <w:rPr>
                <w:webHidden/>
              </w:rPr>
              <w:fldChar w:fldCharType="separate"/>
            </w:r>
            <w:r w:rsidR="00FC444B">
              <w:rPr>
                <w:webHidden/>
              </w:rPr>
              <w:t>7</w:t>
            </w:r>
            <w:r w:rsidR="00FF5B2A">
              <w:rPr>
                <w:webHidden/>
              </w:rPr>
              <w:fldChar w:fldCharType="end"/>
            </w:r>
          </w:hyperlink>
        </w:p>
        <w:p w14:paraId="07610E1C" w14:textId="511F4F0A" w:rsidR="00FF5B2A" w:rsidRDefault="00136057">
          <w:pPr>
            <w:pStyle w:val="TOC2"/>
            <w:rPr>
              <w:rFonts w:asciiTheme="minorHAnsi" w:eastAsiaTheme="minorEastAsia" w:hAnsiTheme="minorHAnsi" w:cstheme="minorBidi"/>
              <w:b w:val="0"/>
              <w:i w:val="0"/>
              <w:sz w:val="22"/>
              <w:szCs w:val="22"/>
            </w:rPr>
          </w:pPr>
          <w:hyperlink w:anchor="_Toc17444046" w:history="1">
            <w:r w:rsidR="00FF5B2A" w:rsidRPr="003C3277">
              <w:rPr>
                <w:rStyle w:val="Hyperlink"/>
              </w:rPr>
              <w:t>4.3</w:t>
            </w:r>
            <w:r w:rsidR="00FF5B2A">
              <w:rPr>
                <w:rFonts w:asciiTheme="minorHAnsi" w:eastAsiaTheme="minorEastAsia" w:hAnsiTheme="minorHAnsi" w:cstheme="minorBidi"/>
                <w:b w:val="0"/>
                <w:i w:val="0"/>
                <w:sz w:val="22"/>
                <w:szCs w:val="22"/>
              </w:rPr>
              <w:tab/>
            </w:r>
            <w:r w:rsidR="00FF5B2A" w:rsidRPr="003C3277">
              <w:rPr>
                <w:rStyle w:val="Hyperlink"/>
              </w:rPr>
              <w:t>Principles for automated decision making by government</w:t>
            </w:r>
            <w:r w:rsidR="00FF5B2A">
              <w:rPr>
                <w:webHidden/>
              </w:rPr>
              <w:tab/>
            </w:r>
            <w:r w:rsidR="00FF5B2A">
              <w:rPr>
                <w:webHidden/>
              </w:rPr>
              <w:fldChar w:fldCharType="begin"/>
            </w:r>
            <w:r w:rsidR="00FF5B2A">
              <w:rPr>
                <w:webHidden/>
              </w:rPr>
              <w:instrText xml:space="preserve"> PAGEREF _Toc17444046 \h </w:instrText>
            </w:r>
            <w:r w:rsidR="00FF5B2A">
              <w:rPr>
                <w:webHidden/>
              </w:rPr>
            </w:r>
            <w:r w:rsidR="00FF5B2A">
              <w:rPr>
                <w:webHidden/>
              </w:rPr>
              <w:fldChar w:fldCharType="separate"/>
            </w:r>
            <w:r w:rsidR="00FC444B">
              <w:rPr>
                <w:webHidden/>
              </w:rPr>
              <w:t>8</w:t>
            </w:r>
            <w:r w:rsidR="00FF5B2A">
              <w:rPr>
                <w:webHidden/>
              </w:rPr>
              <w:fldChar w:fldCharType="end"/>
            </w:r>
          </w:hyperlink>
        </w:p>
        <w:p w14:paraId="2E5CAC30" w14:textId="7F54C93D" w:rsidR="001D4E43" w:rsidRDefault="001D4E43">
          <w:r>
            <w:rPr>
              <w:b/>
              <w:bCs/>
              <w:noProof/>
            </w:rPr>
            <w:fldChar w:fldCharType="end"/>
          </w:r>
        </w:p>
      </w:sdtContent>
    </w:sdt>
    <w:p w14:paraId="175A6159" w14:textId="26B4F9BC" w:rsidR="00BB2987" w:rsidRDefault="00BB2987">
      <w:pPr>
        <w:spacing w:before="0" w:after="0"/>
        <w:rPr>
          <w:b/>
          <w:bCs/>
          <w:sz w:val="36"/>
          <w:szCs w:val="28"/>
        </w:rPr>
      </w:pPr>
      <w:r>
        <w:br w:type="page"/>
      </w:r>
    </w:p>
    <w:p w14:paraId="137E71F6" w14:textId="61D083BA" w:rsidR="00510390" w:rsidRDefault="009F2764" w:rsidP="00A27ABE">
      <w:pPr>
        <w:pStyle w:val="Heading1"/>
      </w:pPr>
      <w:bookmarkStart w:id="13" w:name="_Toc17444040"/>
      <w:r w:rsidRPr="009E08D1">
        <w:lastRenderedPageBreak/>
        <w:t>Introduction</w:t>
      </w:r>
      <w:bookmarkEnd w:id="13"/>
      <w:bookmarkEnd w:id="12"/>
      <w:bookmarkEnd w:id="11"/>
      <w:bookmarkEnd w:id="10"/>
      <w:bookmarkEnd w:id="9"/>
    </w:p>
    <w:p w14:paraId="3D334507" w14:textId="1EF67ED3" w:rsidR="00597797" w:rsidRPr="000714DE" w:rsidRDefault="007F6638" w:rsidP="00DD1949">
      <w:pPr>
        <w:rPr>
          <w:shd w:val="clear" w:color="auto" w:fill="FFFFFF"/>
        </w:rPr>
      </w:pPr>
      <w:r w:rsidRPr="000714DE">
        <w:rPr>
          <w:shd w:val="clear" w:color="auto" w:fill="FFFFFF"/>
        </w:rPr>
        <w:t xml:space="preserve">The </w:t>
      </w:r>
      <w:r w:rsidR="00C919DA" w:rsidRPr="000714DE">
        <w:rPr>
          <w:shd w:val="clear" w:color="auto" w:fill="FFFFFF"/>
        </w:rPr>
        <w:t xml:space="preserve">Australian Human Rights </w:t>
      </w:r>
      <w:r w:rsidRPr="000714DE">
        <w:rPr>
          <w:shd w:val="clear" w:color="auto" w:fill="FFFFFF"/>
        </w:rPr>
        <w:t xml:space="preserve">Commission </w:t>
      </w:r>
      <w:r w:rsidR="004F4229">
        <w:rPr>
          <w:shd w:val="clear" w:color="auto" w:fill="FFFFFF"/>
        </w:rPr>
        <w:t xml:space="preserve">(the Commission) </w:t>
      </w:r>
      <w:r w:rsidRPr="000714DE">
        <w:rPr>
          <w:shd w:val="clear" w:color="auto" w:fill="FFFFFF"/>
        </w:rPr>
        <w:t xml:space="preserve">welcomes the opportunity to make </w:t>
      </w:r>
      <w:r w:rsidR="00FD2526" w:rsidRPr="00BA6522">
        <w:t>this</w:t>
      </w:r>
      <w:r w:rsidRPr="000714DE">
        <w:rPr>
          <w:shd w:val="clear" w:color="auto" w:fill="FFFFFF"/>
        </w:rPr>
        <w:t xml:space="preserve"> submission to the Senate Legal and Constitutional Affairs </w:t>
      </w:r>
      <w:r w:rsidR="004F4229">
        <w:rPr>
          <w:shd w:val="clear" w:color="auto" w:fill="FFFFFF"/>
        </w:rPr>
        <w:t xml:space="preserve">References Committee </w:t>
      </w:r>
      <w:r w:rsidR="00C919DA" w:rsidRPr="000714DE">
        <w:rPr>
          <w:shd w:val="clear" w:color="auto" w:fill="FFFFFF"/>
        </w:rPr>
        <w:t xml:space="preserve">(the Committee) </w:t>
      </w:r>
      <w:r w:rsidRPr="000714DE">
        <w:rPr>
          <w:shd w:val="clear" w:color="auto" w:fill="FFFFFF"/>
        </w:rPr>
        <w:t>regarding its inquiry into ‘the impact of changes to service delivery models on the administration and running of Government program</w:t>
      </w:r>
      <w:r w:rsidR="005F6C9F" w:rsidRPr="000714DE">
        <w:rPr>
          <w:shd w:val="clear" w:color="auto" w:fill="FFFFFF"/>
        </w:rPr>
        <w:t>s’.</w:t>
      </w:r>
    </w:p>
    <w:p w14:paraId="58452196" w14:textId="57E9F1EE" w:rsidR="00030E67" w:rsidRPr="000714DE" w:rsidRDefault="00FD2526" w:rsidP="00DD1949">
      <w:pPr>
        <w:rPr>
          <w:shd w:val="clear" w:color="auto" w:fill="FFFFFF"/>
        </w:rPr>
      </w:pPr>
      <w:r w:rsidRPr="000714DE">
        <w:rPr>
          <w:shd w:val="clear" w:color="auto" w:fill="FFFFFF"/>
        </w:rPr>
        <w:t>This submission addresses</w:t>
      </w:r>
      <w:r w:rsidR="00606651" w:rsidRPr="000714DE">
        <w:rPr>
          <w:shd w:val="clear" w:color="auto" w:fill="FFFFFF"/>
        </w:rPr>
        <w:t xml:space="preserve"> </w:t>
      </w:r>
      <w:r w:rsidR="0003634B" w:rsidRPr="000714DE">
        <w:rPr>
          <w:shd w:val="clear" w:color="auto" w:fill="FFFFFF"/>
        </w:rPr>
        <w:t xml:space="preserve">some of </w:t>
      </w:r>
      <w:r w:rsidR="00606651" w:rsidRPr="000714DE">
        <w:rPr>
          <w:shd w:val="clear" w:color="auto" w:fill="FFFFFF"/>
        </w:rPr>
        <w:t>the</w:t>
      </w:r>
      <w:r w:rsidR="0003634B" w:rsidRPr="000714DE">
        <w:rPr>
          <w:shd w:val="clear" w:color="auto" w:fill="FFFFFF"/>
        </w:rPr>
        <w:t xml:space="preserve"> principal</w:t>
      </w:r>
      <w:r w:rsidR="00606651" w:rsidRPr="000714DE">
        <w:rPr>
          <w:shd w:val="clear" w:color="auto" w:fill="FFFFFF"/>
        </w:rPr>
        <w:t xml:space="preserve"> </w:t>
      </w:r>
      <w:r w:rsidR="005F6C9F" w:rsidRPr="000714DE">
        <w:rPr>
          <w:shd w:val="clear" w:color="auto" w:fill="FFFFFF"/>
        </w:rPr>
        <w:t xml:space="preserve">human rights implications of </w:t>
      </w:r>
      <w:r w:rsidR="0092017C" w:rsidRPr="000714DE">
        <w:rPr>
          <w:shd w:val="clear" w:color="auto" w:fill="FFFFFF"/>
        </w:rPr>
        <w:t>Centrelink’s</w:t>
      </w:r>
      <w:r w:rsidR="0003634B" w:rsidRPr="000714DE">
        <w:rPr>
          <w:shd w:val="clear" w:color="auto" w:fill="FFFFFF"/>
        </w:rPr>
        <w:t xml:space="preserve"> automated</w:t>
      </w:r>
      <w:r w:rsidR="00FD5F16" w:rsidRPr="000714DE">
        <w:rPr>
          <w:shd w:val="clear" w:color="auto" w:fill="FFFFFF"/>
        </w:rPr>
        <w:t xml:space="preserve"> </w:t>
      </w:r>
      <w:r w:rsidR="0092017C" w:rsidRPr="000714DE">
        <w:rPr>
          <w:shd w:val="clear" w:color="auto" w:fill="FFFFFF"/>
        </w:rPr>
        <w:t>compliance and outsourced debt collection program</w:t>
      </w:r>
      <w:r w:rsidR="00BE4A64">
        <w:rPr>
          <w:shd w:val="clear" w:color="auto" w:fill="FFFFFF"/>
        </w:rPr>
        <w:t xml:space="preserve">, referred to in this submission as the ‘Centrelink Debt Program’, </w:t>
      </w:r>
      <w:proofErr w:type="gramStart"/>
      <w:r w:rsidR="00BE4A64">
        <w:rPr>
          <w:shd w:val="clear" w:color="auto" w:fill="FFFFFF"/>
        </w:rPr>
        <w:t>and also</w:t>
      </w:r>
      <w:proofErr w:type="gramEnd"/>
      <w:r w:rsidR="00BE4A64">
        <w:rPr>
          <w:shd w:val="clear" w:color="auto" w:fill="FFFFFF"/>
        </w:rPr>
        <w:t xml:space="preserve"> known as ‘</w:t>
      </w:r>
      <w:proofErr w:type="spellStart"/>
      <w:r w:rsidR="00BE4A64">
        <w:rPr>
          <w:shd w:val="clear" w:color="auto" w:fill="FFFFFF"/>
        </w:rPr>
        <w:t>Robodebt</w:t>
      </w:r>
      <w:proofErr w:type="spellEnd"/>
      <w:r w:rsidR="00BE4A64">
        <w:rPr>
          <w:shd w:val="clear" w:color="auto" w:fill="FFFFFF"/>
        </w:rPr>
        <w:t>’</w:t>
      </w:r>
      <w:r w:rsidRPr="000714DE">
        <w:rPr>
          <w:shd w:val="clear" w:color="auto" w:fill="FFFFFF"/>
        </w:rPr>
        <w:t xml:space="preserve">. This is the subject of </w:t>
      </w:r>
      <w:r w:rsidR="004F4229">
        <w:rPr>
          <w:shd w:val="clear" w:color="auto" w:fill="FFFFFF"/>
        </w:rPr>
        <w:t>item</w:t>
      </w:r>
      <w:r w:rsidR="0092017C" w:rsidRPr="000714DE">
        <w:rPr>
          <w:shd w:val="clear" w:color="auto" w:fill="FFFFFF"/>
        </w:rPr>
        <w:t xml:space="preserve"> (b) </w:t>
      </w:r>
      <w:r w:rsidR="004F4229">
        <w:rPr>
          <w:shd w:val="clear" w:color="auto" w:fill="FFFFFF"/>
        </w:rPr>
        <w:t>in th</w:t>
      </w:r>
      <w:r w:rsidR="003C1F46">
        <w:rPr>
          <w:shd w:val="clear" w:color="auto" w:fill="FFFFFF"/>
        </w:rPr>
        <w:t>is inquiry’s</w:t>
      </w:r>
      <w:r w:rsidR="004F4229">
        <w:rPr>
          <w:shd w:val="clear" w:color="auto" w:fill="FFFFFF"/>
        </w:rPr>
        <w:t xml:space="preserve"> terms </w:t>
      </w:r>
      <w:r w:rsidR="0092017C" w:rsidRPr="000714DE">
        <w:rPr>
          <w:shd w:val="clear" w:color="auto" w:fill="FFFFFF"/>
        </w:rPr>
        <w:t>of reference</w:t>
      </w:r>
      <w:r w:rsidR="004F4229">
        <w:rPr>
          <w:shd w:val="clear" w:color="auto" w:fill="FFFFFF"/>
        </w:rPr>
        <w:t>, which refers to ‘</w:t>
      </w:r>
      <w:r w:rsidR="004F4229" w:rsidRPr="004F4229">
        <w:rPr>
          <w:shd w:val="clear" w:color="auto" w:fill="FFFFFF"/>
        </w:rPr>
        <w:t xml:space="preserve">Centrelink’s </w:t>
      </w:r>
      <w:proofErr w:type="spellStart"/>
      <w:r w:rsidR="004F4229" w:rsidRPr="004F4229">
        <w:rPr>
          <w:shd w:val="clear" w:color="auto" w:fill="FFFFFF"/>
        </w:rPr>
        <w:t>Robodebt</w:t>
      </w:r>
      <w:proofErr w:type="spellEnd"/>
      <w:r w:rsidR="004F4229" w:rsidRPr="004F4229">
        <w:rPr>
          <w:shd w:val="clear" w:color="auto" w:fill="FFFFFF"/>
        </w:rPr>
        <w:t xml:space="preserve"> compliance and outsourced debt collection program</w:t>
      </w:r>
      <w:r w:rsidR="004F4229">
        <w:rPr>
          <w:shd w:val="clear" w:color="auto" w:fill="FFFFFF"/>
        </w:rPr>
        <w:t>’</w:t>
      </w:r>
      <w:r w:rsidR="0092017C" w:rsidRPr="000714DE">
        <w:rPr>
          <w:shd w:val="clear" w:color="auto" w:fill="FFFFFF"/>
        </w:rPr>
        <w:t>.</w:t>
      </w:r>
      <w:r w:rsidR="0015742D">
        <w:rPr>
          <w:rStyle w:val="EndnoteReference"/>
          <w:rFonts w:eastAsia="Times New Roman" w:cs="Open Sans"/>
          <w:color w:val="222222"/>
          <w:sz w:val="23"/>
          <w:szCs w:val="23"/>
          <w:shd w:val="clear" w:color="auto" w:fill="FFFFFF"/>
        </w:rPr>
        <w:endnoteReference w:id="1"/>
      </w:r>
      <w:r w:rsidR="0015742D" w:rsidRPr="000714DE">
        <w:rPr>
          <w:shd w:val="clear" w:color="auto" w:fill="FFFFFF"/>
        </w:rPr>
        <w:t xml:space="preserve"> </w:t>
      </w:r>
    </w:p>
    <w:p w14:paraId="36A4D1D7" w14:textId="5E8E8A92" w:rsidR="00FA474B" w:rsidRPr="000714DE" w:rsidRDefault="0015742D" w:rsidP="00DD1949">
      <w:pPr>
        <w:rPr>
          <w:shd w:val="clear" w:color="auto" w:fill="FFFFFF"/>
        </w:rPr>
      </w:pPr>
      <w:r w:rsidRPr="000714DE">
        <w:rPr>
          <w:shd w:val="clear" w:color="auto" w:fill="FFFFFF"/>
        </w:rPr>
        <w:t xml:space="preserve">This submission </w:t>
      </w:r>
      <w:r w:rsidR="00C643F3" w:rsidRPr="000714DE">
        <w:rPr>
          <w:shd w:val="clear" w:color="auto" w:fill="FFFFFF"/>
        </w:rPr>
        <w:t>draws on consultations conducted by the Commission in the course of its project on</w:t>
      </w:r>
      <w:r w:rsidRPr="000714DE">
        <w:rPr>
          <w:shd w:val="clear" w:color="auto" w:fill="FFFFFF"/>
        </w:rPr>
        <w:t xml:space="preserve"> human rights and technology</w:t>
      </w:r>
      <w:r w:rsidR="008B215B">
        <w:rPr>
          <w:shd w:val="clear" w:color="auto" w:fill="FFFFFF"/>
        </w:rPr>
        <w:t xml:space="preserve"> (the Project)</w:t>
      </w:r>
      <w:r w:rsidR="00030E67">
        <w:rPr>
          <w:shd w:val="clear" w:color="auto" w:fill="FFFFFF"/>
        </w:rPr>
        <w:t>, including an in-depth consultation that concluded earlier this year</w:t>
      </w:r>
      <w:r w:rsidR="00C643F3" w:rsidRPr="000714DE">
        <w:rPr>
          <w:shd w:val="clear" w:color="auto" w:fill="FFFFFF"/>
        </w:rPr>
        <w:t>.</w:t>
      </w:r>
      <w:r w:rsidR="00FA474B">
        <w:rPr>
          <w:rStyle w:val="EndnoteReference"/>
          <w:rFonts w:eastAsia="Times New Roman" w:cs="Open Sans"/>
          <w:color w:val="222222"/>
          <w:sz w:val="23"/>
          <w:szCs w:val="23"/>
          <w:shd w:val="clear" w:color="auto" w:fill="FFFFFF"/>
        </w:rPr>
        <w:endnoteReference w:id="2"/>
      </w:r>
      <w:r w:rsidR="00FA474B" w:rsidRPr="000714DE">
        <w:rPr>
          <w:shd w:val="clear" w:color="auto" w:fill="FFFFFF"/>
        </w:rPr>
        <w:t xml:space="preserve"> This project is ongoing, and is led by the Human Rights Commissioner, Edward Santow. </w:t>
      </w:r>
    </w:p>
    <w:p w14:paraId="5E1707D2" w14:textId="51E33FC9" w:rsidR="00FA474B" w:rsidRDefault="00FA474B" w:rsidP="001F5872">
      <w:pPr>
        <w:pStyle w:val="Heading1"/>
      </w:pPr>
      <w:bookmarkStart w:id="14" w:name="_Toc17444041"/>
      <w:bookmarkStart w:id="15" w:name="_Toc16773885"/>
      <w:r>
        <w:t>Background to this submission</w:t>
      </w:r>
      <w:bookmarkEnd w:id="14"/>
      <w:r>
        <w:t xml:space="preserve"> </w:t>
      </w:r>
    </w:p>
    <w:p w14:paraId="1612D634" w14:textId="2C3C79BA" w:rsidR="00FA474B" w:rsidRDefault="00FA474B" w:rsidP="002764E4">
      <w:r>
        <w:t xml:space="preserve">The use of new and emerging technologies, particularly in the context of government decision making and service delivery, is increasing at a rapid pace. Specifically, </w:t>
      </w:r>
      <w:r w:rsidR="004F4229">
        <w:t>a</w:t>
      </w:r>
      <w:r>
        <w:t xml:space="preserve">rtificial </w:t>
      </w:r>
      <w:r w:rsidR="004F4229">
        <w:t>i</w:t>
      </w:r>
      <w:r>
        <w:t>ntelligence (AI)</w:t>
      </w:r>
      <w:r w:rsidR="004F4229">
        <w:t xml:space="preserve"> is increasingly being used in government and non-government</w:t>
      </w:r>
      <w:r>
        <w:t xml:space="preserve"> decision-making systems</w:t>
      </w:r>
      <w:r w:rsidR="004F4229">
        <w:t>. While AI is not a term of art, it is widely used to refer to a cluster of technologies</w:t>
      </w:r>
      <w:r w:rsidR="001E4C6E">
        <w:t xml:space="preserve"> and techniques that include </w:t>
      </w:r>
      <w:r>
        <w:t>machine learning</w:t>
      </w:r>
      <w:r w:rsidR="001E4C6E">
        <w:t>, some forms of automation and neural-network processing.</w:t>
      </w:r>
      <w:r>
        <w:t xml:space="preserve"> </w:t>
      </w:r>
    </w:p>
    <w:p w14:paraId="5F5D25D3" w14:textId="77777777" w:rsidR="00C31ACB" w:rsidRDefault="00FA474B" w:rsidP="00DE64FF">
      <w:r>
        <w:t>The Commission’s project on human right</w:t>
      </w:r>
      <w:r w:rsidR="00980B73">
        <w:t>s</w:t>
      </w:r>
      <w:r>
        <w:t xml:space="preserve"> and technology is examining the impact of new and emerging technologies using a human rights framework. The Project aims to advance human rights protection in a context of unprecedented technological change.</w:t>
      </w:r>
      <w:r>
        <w:rPr>
          <w:rStyle w:val="EndnoteReference"/>
        </w:rPr>
        <w:endnoteReference w:id="3"/>
      </w:r>
      <w:r>
        <w:t xml:space="preserve"> One of the key issues being investigated by the Commission is the way in which human rights are engaged by the use of AI technologies, and in particular decision making which involves use of AI. </w:t>
      </w:r>
    </w:p>
    <w:p w14:paraId="70EA26A0" w14:textId="7D7EC883" w:rsidR="00FA474B" w:rsidRDefault="00C31ACB" w:rsidP="00DE64FF">
      <w:r>
        <w:t xml:space="preserve">Because there is not </w:t>
      </w:r>
      <w:r w:rsidR="00E73D35">
        <w:t xml:space="preserve">universal agreement about </w:t>
      </w:r>
      <w:r>
        <w:t xml:space="preserve">the precise meaning of AI, there is some debate among experts about whether the </w:t>
      </w:r>
      <w:r w:rsidR="00BE4A64">
        <w:rPr>
          <w:shd w:val="clear" w:color="auto" w:fill="FFFFFF"/>
        </w:rPr>
        <w:t xml:space="preserve">Centrelink Debt Program </w:t>
      </w:r>
      <w:r w:rsidR="00E73D35">
        <w:t xml:space="preserve">is </w:t>
      </w:r>
      <w:r w:rsidR="00BE4A64">
        <w:t xml:space="preserve">truly </w:t>
      </w:r>
      <w:r w:rsidR="00E73D35">
        <w:t xml:space="preserve">an example of decision making that uses AI. </w:t>
      </w:r>
      <w:r w:rsidR="00BE4A64">
        <w:t xml:space="preserve">It could be </w:t>
      </w:r>
      <w:r w:rsidR="003C1F46">
        <w:t xml:space="preserve">described </w:t>
      </w:r>
      <w:r w:rsidR="004E545F">
        <w:t xml:space="preserve">also </w:t>
      </w:r>
      <w:r w:rsidR="00BE4A64">
        <w:t xml:space="preserve">as algorithmic decision making. </w:t>
      </w:r>
      <w:r w:rsidR="00E73D35">
        <w:t>This is an important debate, because clear delineation of the boundaries of th</w:t>
      </w:r>
      <w:r w:rsidR="00BE4A64">
        <w:t>e relevant</w:t>
      </w:r>
      <w:r w:rsidR="00E73D35">
        <w:t xml:space="preserve"> technolog</w:t>
      </w:r>
      <w:r w:rsidR="00BE4A64">
        <w:t>ies</w:t>
      </w:r>
      <w:r w:rsidR="00E73D35">
        <w:t xml:space="preserve"> </w:t>
      </w:r>
      <w:r w:rsidR="00294697">
        <w:t xml:space="preserve">is </w:t>
      </w:r>
      <w:r w:rsidR="00E73D35">
        <w:t xml:space="preserve">necessary to </w:t>
      </w:r>
      <w:r w:rsidR="00E73D35">
        <w:lastRenderedPageBreak/>
        <w:t xml:space="preserve">regulate effectively in this area. Nevertheless, that detailed question does not need to be addressed for present purposes, and it suffices to observe that </w:t>
      </w:r>
      <w:r w:rsidR="00BE4A64">
        <w:t xml:space="preserve">the </w:t>
      </w:r>
      <w:r w:rsidR="00BE4A64">
        <w:rPr>
          <w:shd w:val="clear" w:color="auto" w:fill="FFFFFF"/>
        </w:rPr>
        <w:t xml:space="preserve">Centrelink Debt Program raises many of the concerns that arise in respect of </w:t>
      </w:r>
      <w:r w:rsidR="00E73D35">
        <w:t>a</w:t>
      </w:r>
      <w:r w:rsidR="00FA474B">
        <w:t xml:space="preserve">utomated decision-making systems </w:t>
      </w:r>
      <w:r w:rsidR="00BE4A64">
        <w:t>that unquestionably use AI</w:t>
      </w:r>
      <w:r w:rsidR="00294697">
        <w:t>—</w:t>
      </w:r>
      <w:r w:rsidR="00BE4A64">
        <w:t>something reflected in many</w:t>
      </w:r>
      <w:r w:rsidR="00FA474B">
        <w:t xml:space="preserve"> submissions to the Project.</w:t>
      </w:r>
    </w:p>
    <w:p w14:paraId="10C060D8" w14:textId="03DF570F" w:rsidR="00FA474B" w:rsidRDefault="00FA474B" w:rsidP="003E1D0E">
      <w:r>
        <w:t xml:space="preserve">In a forthcoming Discussion Paper, the Commission will propose </w:t>
      </w:r>
      <w:r w:rsidR="00BE4A64">
        <w:t>reforms</w:t>
      </w:r>
      <w:r>
        <w:t xml:space="preserve"> to ensure the Australian </w:t>
      </w:r>
      <w:r w:rsidR="00BE4A64">
        <w:t>G</w:t>
      </w:r>
      <w:r>
        <w:t xml:space="preserve">overnment </w:t>
      </w:r>
      <w:r w:rsidR="00BE4A64">
        <w:t xml:space="preserve">and others </w:t>
      </w:r>
      <w:r>
        <w:t>compl</w:t>
      </w:r>
      <w:r w:rsidR="00BE4A64">
        <w:t>y</w:t>
      </w:r>
      <w:r>
        <w:t xml:space="preserve"> with international human rights law</w:t>
      </w:r>
      <w:r w:rsidR="00BE4A64">
        <w:t xml:space="preserve"> in decision making that uses AI</w:t>
      </w:r>
      <w:r>
        <w:t>.</w:t>
      </w:r>
    </w:p>
    <w:p w14:paraId="7CED6837" w14:textId="14ADED54" w:rsidR="00FA474B" w:rsidRDefault="00FA474B">
      <w:r>
        <w:t xml:space="preserve">The purpose of this submission is twofold. First, the Commission reflects </w:t>
      </w:r>
      <w:r w:rsidR="00980B73">
        <w:t xml:space="preserve">on </w:t>
      </w:r>
      <w:r>
        <w:t xml:space="preserve">key issues for consideration </w:t>
      </w:r>
      <w:r w:rsidR="003562BB">
        <w:t xml:space="preserve">in relation to </w:t>
      </w:r>
      <w:r w:rsidR="004E545F">
        <w:t xml:space="preserve">the </w:t>
      </w:r>
      <w:r w:rsidR="004E545F">
        <w:rPr>
          <w:shd w:val="clear" w:color="auto" w:fill="FFFFFF"/>
        </w:rPr>
        <w:t>Centrelink Debt Program, informed by the Commission’s consultation</w:t>
      </w:r>
      <w:r w:rsidR="00294697">
        <w:rPr>
          <w:shd w:val="clear" w:color="auto" w:fill="FFFFFF"/>
        </w:rPr>
        <w:t>s</w:t>
      </w:r>
      <w:r w:rsidR="004E545F">
        <w:rPr>
          <w:shd w:val="clear" w:color="auto" w:fill="FFFFFF"/>
        </w:rPr>
        <w:t xml:space="preserve"> to date</w:t>
      </w:r>
      <w:r>
        <w:t xml:space="preserve">. Secondly, </w:t>
      </w:r>
      <w:r w:rsidR="003C1F46">
        <w:t xml:space="preserve">as the inquiry’s terms of reference refer to </w:t>
      </w:r>
      <w:proofErr w:type="gramStart"/>
      <w:r w:rsidR="003C1F46">
        <w:t>a number of</w:t>
      </w:r>
      <w:proofErr w:type="gramEnd"/>
      <w:r w:rsidR="003C1F46">
        <w:t xml:space="preserve"> other government decision-making contexts, </w:t>
      </w:r>
      <w:r>
        <w:t xml:space="preserve">the Commission urges the Committee to consider how the automation of government </w:t>
      </w:r>
      <w:r w:rsidR="003C1F46">
        <w:t xml:space="preserve">decision making </w:t>
      </w:r>
      <w:r>
        <w:t>engage</w:t>
      </w:r>
      <w:r w:rsidR="004E545F">
        <w:t>s</w:t>
      </w:r>
      <w:r>
        <w:t xml:space="preserve"> Australia</w:t>
      </w:r>
      <w:r w:rsidR="004E545F">
        <w:t>’s human rights obligations</w:t>
      </w:r>
      <w:r>
        <w:t xml:space="preserve">. </w:t>
      </w:r>
    </w:p>
    <w:p w14:paraId="57994C6B" w14:textId="3A8C1514" w:rsidR="00FA474B" w:rsidRPr="00DD1949" w:rsidRDefault="004E545F" w:rsidP="001F5872">
      <w:pPr>
        <w:pStyle w:val="Heading1"/>
      </w:pPr>
      <w:bookmarkStart w:id="16" w:name="_Toc17444042"/>
      <w:r>
        <w:t>T</w:t>
      </w:r>
      <w:r w:rsidRPr="004E545F">
        <w:t>he Centrelink Debt Program</w:t>
      </w:r>
      <w:bookmarkEnd w:id="16"/>
    </w:p>
    <w:p w14:paraId="360C41F6" w14:textId="559D5921" w:rsidR="00FA474B" w:rsidRDefault="004E545F" w:rsidP="00F57AF7">
      <w:r>
        <w:t xml:space="preserve">The </w:t>
      </w:r>
      <w:r>
        <w:rPr>
          <w:shd w:val="clear" w:color="auto" w:fill="FFFFFF"/>
        </w:rPr>
        <w:t>Centrelink Debt Program was established i</w:t>
      </w:r>
      <w:r w:rsidR="00FA474B" w:rsidRPr="00DD1949">
        <w:t>n July 2016</w:t>
      </w:r>
      <w:r>
        <w:t xml:space="preserve"> by</w:t>
      </w:r>
      <w:r w:rsidR="00FA474B" w:rsidRPr="00DD1949">
        <w:t xml:space="preserve"> Centrelink, within the Department of Human Services</w:t>
      </w:r>
      <w:r w:rsidR="00FA474B">
        <w:t xml:space="preserve"> (DHS)</w:t>
      </w:r>
      <w:r>
        <w:t>. It</w:t>
      </w:r>
      <w:r w:rsidR="00FA474B" w:rsidRPr="00DD1949">
        <w:t xml:space="preserve"> commenced using a new online compliance intervention (OCI) system for raising and recovering debts. The use of this automated system </w:t>
      </w:r>
      <w:r>
        <w:t xml:space="preserve">has been </w:t>
      </w:r>
      <w:r w:rsidR="00FA474B" w:rsidRPr="00DD1949">
        <w:t xml:space="preserve">referred to </w:t>
      </w:r>
      <w:r>
        <w:t xml:space="preserve">by some </w:t>
      </w:r>
      <w:r w:rsidR="00FA474B" w:rsidRPr="00DD1949">
        <w:t>as ‘</w:t>
      </w:r>
      <w:proofErr w:type="spellStart"/>
      <w:r w:rsidR="00FA474B" w:rsidRPr="00DD1949">
        <w:t>Robodebt</w:t>
      </w:r>
      <w:proofErr w:type="spellEnd"/>
      <w:r w:rsidR="00FA474B" w:rsidRPr="00DD1949">
        <w:t>’</w:t>
      </w:r>
      <w:r w:rsidR="00FA474B">
        <w:t xml:space="preserve">, primarily </w:t>
      </w:r>
      <w:r>
        <w:t xml:space="preserve">because </w:t>
      </w:r>
      <w:r w:rsidR="00FA474B">
        <w:t>the system led to debt recovery letters being automatically generated by a computer program</w:t>
      </w:r>
      <w:r w:rsidR="00FA474B" w:rsidRPr="00DD1949">
        <w:t xml:space="preserve">. </w:t>
      </w:r>
    </w:p>
    <w:p w14:paraId="217C3554" w14:textId="75B75280" w:rsidR="00FA474B" w:rsidRPr="00DD1949" w:rsidRDefault="00FA474B" w:rsidP="00F57AF7">
      <w:r w:rsidRPr="00DD1949">
        <w:t>In its 2017 inquiry into the OCI system, the Commonwealth Ombudsman described the operation of the automated system as follows</w:t>
      </w:r>
      <w:r w:rsidR="004E545F">
        <w:t>:</w:t>
      </w:r>
    </w:p>
    <w:p w14:paraId="135C51F0" w14:textId="582E0A61" w:rsidR="00FA474B" w:rsidRPr="00DD1949" w:rsidRDefault="00FA474B" w:rsidP="00DD1949">
      <w:pPr>
        <w:ind w:left="720"/>
        <w:rPr>
          <w:sz w:val="20"/>
          <w:szCs w:val="20"/>
        </w:rPr>
      </w:pPr>
      <w:r w:rsidRPr="00DD1949">
        <w:rPr>
          <w:sz w:val="20"/>
          <w:szCs w:val="20"/>
        </w:rPr>
        <w:t>The OCI matches the earnings recorded on a customer’s Centrelink record with historical employer-reported income data from the Australian Taxation Office (ATO). Parts of the debt raising process previously done manually by compliance officers within DHS are now done using this automated process. Customers are asked to confirm or update their income using the online system. If the customer does not engage with DHS either online or in person, or if there are gaps in the information provided by the customer, the system will fill the gaps with a fortnightly income figure derived from the ATO income data for the relevant employment period (‘averaged’ data).</w:t>
      </w:r>
      <w:r w:rsidRPr="00DD1949">
        <w:rPr>
          <w:rStyle w:val="EndnoteReference"/>
          <w:szCs w:val="20"/>
        </w:rPr>
        <w:endnoteReference w:id="4"/>
      </w:r>
    </w:p>
    <w:p w14:paraId="7951194E" w14:textId="2A1B8B87" w:rsidR="00FA474B" w:rsidRDefault="00FA474B" w:rsidP="005E1E0C">
      <w:r w:rsidRPr="00DD1949">
        <w:t>The deployment of the</w:t>
      </w:r>
      <w:r w:rsidR="00CC0CAD">
        <w:t xml:space="preserve"> </w:t>
      </w:r>
      <w:r w:rsidR="00CC0CAD">
        <w:rPr>
          <w:shd w:val="clear" w:color="auto" w:fill="FFFFFF"/>
        </w:rPr>
        <w:t>Centrelink Debt Program, which used this</w:t>
      </w:r>
      <w:r w:rsidRPr="00DD1949">
        <w:t xml:space="preserve"> OCI system</w:t>
      </w:r>
      <w:r w:rsidR="00CC0CAD">
        <w:t>,</w:t>
      </w:r>
      <w:r w:rsidRPr="00DD1949">
        <w:t xml:space="preserve"> resulted in </w:t>
      </w:r>
      <w:r>
        <w:t>a huge increase in the scale of DHS’s debt</w:t>
      </w:r>
      <w:r w:rsidR="00CC0CAD">
        <w:t>-</w:t>
      </w:r>
      <w:r>
        <w:t xml:space="preserve">raising and recovery process. Using the manual system of identifying discrepancies, DHS estimated </w:t>
      </w:r>
      <w:r w:rsidR="00CC0CAD">
        <w:t xml:space="preserve">it </w:t>
      </w:r>
      <w:r>
        <w:t>would make around 20</w:t>
      </w:r>
      <w:r w:rsidR="00CC0CAD">
        <w:t>,</w:t>
      </w:r>
      <w:r>
        <w:t>000 compliance interventions per year; in 2016</w:t>
      </w:r>
      <w:r w:rsidR="00294697">
        <w:t>–</w:t>
      </w:r>
      <w:r>
        <w:t>17, DHS estimated it would undertake approximately 783</w:t>
      </w:r>
      <w:r w:rsidR="00CC0CAD">
        <w:t>,</w:t>
      </w:r>
      <w:r>
        <w:t>000 interventions.</w:t>
      </w:r>
      <w:r>
        <w:rPr>
          <w:rStyle w:val="EndnoteReference"/>
        </w:rPr>
        <w:endnoteReference w:id="5"/>
      </w:r>
      <w:r>
        <w:t xml:space="preserve"> </w:t>
      </w:r>
    </w:p>
    <w:p w14:paraId="51485A03" w14:textId="410E8C01" w:rsidR="00FA474B" w:rsidRDefault="00FA474B" w:rsidP="00677E08">
      <w:pPr>
        <w:rPr>
          <w:highlight w:val="yellow"/>
        </w:rPr>
      </w:pPr>
      <w:bookmarkStart w:id="17" w:name="_Toc17193027"/>
      <w:r w:rsidRPr="00DD1949">
        <w:lastRenderedPageBreak/>
        <w:t>When the</w:t>
      </w:r>
      <w:r w:rsidRPr="00DD1949">
        <w:rPr>
          <w:sz w:val="36"/>
          <w:szCs w:val="28"/>
        </w:rPr>
        <w:t xml:space="preserve"> </w:t>
      </w:r>
      <w:r w:rsidR="00CC0CAD">
        <w:rPr>
          <w:shd w:val="clear" w:color="auto" w:fill="FFFFFF"/>
        </w:rPr>
        <w:t xml:space="preserve">Centrelink Debt Program </w:t>
      </w:r>
      <w:r>
        <w:t>commenced operation, it became apparent that the ‘averaged’ data process was resulting in the generation of inaccurate debt notices,</w:t>
      </w:r>
      <w:r>
        <w:rPr>
          <w:rStyle w:val="EndnoteReference"/>
        </w:rPr>
        <w:endnoteReference w:id="6"/>
      </w:r>
      <w:r>
        <w:t xml:space="preserve"> which has a particular impact on a number of recipients who were already marginalised.</w:t>
      </w:r>
      <w:r>
        <w:rPr>
          <w:rStyle w:val="EndnoteReference"/>
        </w:rPr>
        <w:endnoteReference w:id="7"/>
      </w:r>
      <w:r>
        <w:t xml:space="preserve"> Evidence provided to the inquiry into the OCI system undertaken by the Senate Standing Committee on Community Affairs received evidence of ‘many personal accounts of the stress and distress’ the OCI system caused recipients.</w:t>
      </w:r>
      <w:r>
        <w:rPr>
          <w:rStyle w:val="EndnoteReference"/>
        </w:rPr>
        <w:endnoteReference w:id="8"/>
      </w:r>
      <w:r>
        <w:t xml:space="preserve"> </w:t>
      </w:r>
      <w:bookmarkEnd w:id="17"/>
    </w:p>
    <w:p w14:paraId="52129269" w14:textId="2EE76E35" w:rsidR="00FA474B" w:rsidRPr="00DD1949" w:rsidRDefault="00FA474B" w:rsidP="00677E08">
      <w:r w:rsidRPr="00DD1949">
        <w:t>Both the Commonwealth Ombudsman</w:t>
      </w:r>
      <w:r w:rsidR="00CC0CAD">
        <w:t>’s</w:t>
      </w:r>
      <w:r w:rsidRPr="00DD1949">
        <w:t xml:space="preserve"> and the </w:t>
      </w:r>
      <w:r w:rsidR="00CC0CAD">
        <w:t>Senate Standing Committee on Community Affairs’</w:t>
      </w:r>
      <w:r w:rsidR="00CC0CAD" w:rsidRPr="00DD1949" w:rsidDel="00CC0CAD">
        <w:t xml:space="preserve"> </w:t>
      </w:r>
      <w:r w:rsidR="00CC0CAD">
        <w:t xml:space="preserve">respective </w:t>
      </w:r>
      <w:r w:rsidRPr="00DD1949">
        <w:t>inquir</w:t>
      </w:r>
      <w:r w:rsidR="00CC0CAD">
        <w:t>ies</w:t>
      </w:r>
      <w:r w:rsidRPr="00DD1949">
        <w:t xml:space="preserve"> </w:t>
      </w:r>
      <w:r>
        <w:t xml:space="preserve">identified that many of the problematic aspects of the </w:t>
      </w:r>
      <w:r w:rsidR="00CC0CAD">
        <w:rPr>
          <w:shd w:val="clear" w:color="auto" w:fill="FFFFFF"/>
        </w:rPr>
        <w:t>Centrelink Debt Program</w:t>
      </w:r>
      <w:r>
        <w:t xml:space="preserve"> related to how the system was rolled out. This included, for example, the lack of information, and difficulty accessing information about how to challenge or seek review of a debt nominated in a debt recovery letter.</w:t>
      </w:r>
      <w:r>
        <w:rPr>
          <w:rStyle w:val="EndnoteReference"/>
        </w:rPr>
        <w:endnoteReference w:id="9"/>
      </w:r>
      <w:r>
        <w:t xml:space="preserve"> </w:t>
      </w:r>
    </w:p>
    <w:p w14:paraId="7A4A5551" w14:textId="6C8D9411" w:rsidR="00FA474B" w:rsidRDefault="00FA474B" w:rsidP="00282354">
      <w:pPr>
        <w:pStyle w:val="Heading1"/>
      </w:pPr>
      <w:bookmarkStart w:id="18" w:name="_Toc17201568"/>
      <w:bookmarkStart w:id="19" w:name="_Toc17444043"/>
      <w:bookmarkEnd w:id="18"/>
      <w:r>
        <w:t xml:space="preserve">Human rights implications of automated </w:t>
      </w:r>
      <w:r w:rsidR="008A25AC">
        <w:t>decision making by government</w:t>
      </w:r>
      <w:bookmarkEnd w:id="19"/>
      <w:r>
        <w:t xml:space="preserve">  </w:t>
      </w:r>
    </w:p>
    <w:p w14:paraId="1E04F47B" w14:textId="7F7BC00A" w:rsidR="00FA474B" w:rsidRPr="00D9094F" w:rsidRDefault="00EC4D09" w:rsidP="00426E6E">
      <w:pPr>
        <w:pStyle w:val="Heading2"/>
      </w:pPr>
      <w:bookmarkStart w:id="20" w:name="_Toc17444044"/>
      <w:r>
        <w:t>4</w:t>
      </w:r>
      <w:r w:rsidR="00FA474B">
        <w:t>.1</w:t>
      </w:r>
      <w:r w:rsidR="00FA474B">
        <w:tab/>
      </w:r>
      <w:r w:rsidR="00FA474B" w:rsidRPr="00C919DA">
        <w:t>Relevant human righ</w:t>
      </w:r>
      <w:r w:rsidR="00FA474B" w:rsidRPr="00CA16DC">
        <w:t>ts</w:t>
      </w:r>
      <w:bookmarkEnd w:id="20"/>
    </w:p>
    <w:p w14:paraId="7AD9315F" w14:textId="1141D421" w:rsidR="00FA474B" w:rsidRDefault="00FA474B" w:rsidP="00DD1949">
      <w:r>
        <w:t xml:space="preserve">The use of </w:t>
      </w:r>
      <w:r w:rsidRPr="00B6658B">
        <w:rPr>
          <w:rFonts w:eastAsia="Times New Roman" w:cs="Open Sans"/>
          <w:color w:val="222222"/>
          <w:sz w:val="23"/>
          <w:szCs w:val="23"/>
          <w:shd w:val="clear" w:color="auto" w:fill="FFFFFF"/>
        </w:rPr>
        <w:t>an</w:t>
      </w:r>
      <w:r>
        <w:t xml:space="preserve"> automated</w:t>
      </w:r>
      <w:r w:rsidR="003C1F46">
        <w:t xml:space="preserve"> decision-making system as a means of collecting</w:t>
      </w:r>
      <w:r>
        <w:t xml:space="preserve"> debt</w:t>
      </w:r>
      <w:r w:rsidR="003C1F46">
        <w:t>s</w:t>
      </w:r>
      <w:r>
        <w:t xml:space="preserve"> </w:t>
      </w:r>
      <w:r w:rsidR="003C1F46">
        <w:t xml:space="preserve">relating to </w:t>
      </w:r>
      <w:r>
        <w:t>social security entitlements engages a range of human rights. Most relevantly, the right to social security is protected by Article 9 of the International Covenant on Economic, Social and Cultural Rights (ICESCR).</w:t>
      </w:r>
      <w:r w:rsidRPr="00EF6AE8">
        <w:rPr>
          <w:rStyle w:val="EndnoteReference"/>
        </w:rPr>
        <w:endnoteReference w:id="10"/>
      </w:r>
      <w:r>
        <w:t xml:space="preserve"> </w:t>
      </w:r>
      <w:r w:rsidR="00774852">
        <w:t>As a party to</w:t>
      </w:r>
      <w:r>
        <w:t xml:space="preserve"> ICESCR, Australia </w:t>
      </w:r>
      <w:r w:rsidR="00774852">
        <w:t xml:space="preserve">must </w:t>
      </w:r>
      <w:r>
        <w:t>fulfil this right by establishing a social security system, within the government’s maximum available resources, to support access to social security support without discrimination.</w:t>
      </w:r>
      <w:r>
        <w:rPr>
          <w:rStyle w:val="EndnoteReference"/>
        </w:rPr>
        <w:endnoteReference w:id="11"/>
      </w:r>
      <w:r>
        <w:t xml:space="preserve"> While everyone has the right to social security, nation states should give special attention to those ‘who traditionally face difficulties in exercising this right’.</w:t>
      </w:r>
      <w:r>
        <w:rPr>
          <w:rStyle w:val="EndnoteReference"/>
        </w:rPr>
        <w:endnoteReference w:id="12"/>
      </w:r>
    </w:p>
    <w:p w14:paraId="79480E6E" w14:textId="77777777" w:rsidR="00FA474B" w:rsidRDefault="00FA474B" w:rsidP="00DD1949">
      <w:r>
        <w:t>In addition, governments must ensure that eligibility criteria for social security benefits are ‘reasonable, proportionate and transparent’.</w:t>
      </w:r>
      <w:r>
        <w:rPr>
          <w:rStyle w:val="EndnoteReference"/>
        </w:rPr>
        <w:endnoteReference w:id="13"/>
      </w:r>
      <w:r>
        <w:t xml:space="preserve"> Further, any ‘withdrawal, reduction or suspension’ of social security benefits should be circumscribed and ‘based on grounds that are reasonable, subject to due process, and provided for in national law’.</w:t>
      </w:r>
      <w:r w:rsidRPr="00EF6AE8">
        <w:rPr>
          <w:rStyle w:val="EndnoteReference"/>
        </w:rPr>
        <w:endnoteReference w:id="14"/>
      </w:r>
    </w:p>
    <w:p w14:paraId="3473177D" w14:textId="3A0EE359" w:rsidR="00FA474B" w:rsidRDefault="00FA474B" w:rsidP="00DD1949">
      <w:r>
        <w:t xml:space="preserve">The right to social security has been recognised as an enabling right, supporting the realisation of </w:t>
      </w:r>
      <w:r w:rsidR="00383C7E">
        <w:t xml:space="preserve">a range of human </w:t>
      </w:r>
      <w:r>
        <w:t>rights in the ICESCR and other human rights treaties, such as the right to an effective remedy,</w:t>
      </w:r>
      <w:r>
        <w:rPr>
          <w:rStyle w:val="EndnoteReference"/>
        </w:rPr>
        <w:endnoteReference w:id="15"/>
      </w:r>
      <w:r>
        <w:t xml:space="preserve"> provision of child care and welfare,</w:t>
      </w:r>
      <w:r>
        <w:rPr>
          <w:rStyle w:val="EndnoteReference"/>
        </w:rPr>
        <w:endnoteReference w:id="16"/>
      </w:r>
      <w:r>
        <w:t xml:space="preserve"> right to health,</w:t>
      </w:r>
      <w:r>
        <w:rPr>
          <w:rStyle w:val="EndnoteReference"/>
        </w:rPr>
        <w:endnoteReference w:id="17"/>
      </w:r>
      <w:r>
        <w:t xml:space="preserve"> right to work</w:t>
      </w:r>
      <w:r>
        <w:rPr>
          <w:rStyle w:val="EndnoteReference"/>
        </w:rPr>
        <w:endnoteReference w:id="18"/>
      </w:r>
      <w:r>
        <w:t xml:space="preserve"> and right to an adequate standard of living.</w:t>
      </w:r>
      <w:r>
        <w:rPr>
          <w:rStyle w:val="EndnoteReference"/>
        </w:rPr>
        <w:endnoteReference w:id="19"/>
      </w:r>
      <w:r w:rsidR="008B3F9C">
        <w:t xml:space="preserve"> In addition</w:t>
      </w:r>
      <w:r>
        <w:t xml:space="preserve">, social security plays an important role ‘through its </w:t>
      </w:r>
      <w:r>
        <w:lastRenderedPageBreak/>
        <w:t>redistribut</w:t>
      </w:r>
      <w:r w:rsidR="008B3F9C">
        <w:t>iv</w:t>
      </w:r>
      <w:r>
        <w:t>e character … in poverty reduction and alleviation, preventing social exclusion and promoting social inclusion’.</w:t>
      </w:r>
      <w:r>
        <w:rPr>
          <w:rStyle w:val="EndnoteReference"/>
        </w:rPr>
        <w:endnoteReference w:id="20"/>
      </w:r>
    </w:p>
    <w:p w14:paraId="2A51C1B3" w14:textId="48206798" w:rsidR="00FA474B" w:rsidRDefault="00FA474B" w:rsidP="00B6658B">
      <w:r>
        <w:t xml:space="preserve">Any system </w:t>
      </w:r>
      <w:r w:rsidR="008B3F9C">
        <w:t xml:space="preserve">that </w:t>
      </w:r>
      <w:r>
        <w:t>arbitrarily interferes with people</w:t>
      </w:r>
      <w:r w:rsidR="000F7FC3">
        <w:t>’s</w:t>
      </w:r>
      <w:r>
        <w:t xml:space="preserve"> social security entitlements will be likely to interfere impermissibly with </w:t>
      </w:r>
      <w:r w:rsidR="008B3F9C">
        <w:t xml:space="preserve">the ICESCR </w:t>
      </w:r>
      <w:r>
        <w:t xml:space="preserve">rights discussed above.  </w:t>
      </w:r>
    </w:p>
    <w:p w14:paraId="1D3E5DB7" w14:textId="7944B874" w:rsidR="0023011D" w:rsidRDefault="00FA474B" w:rsidP="00DD1949">
      <w:r>
        <w:t xml:space="preserve">Automated decision-making systems can also engage </w:t>
      </w:r>
      <w:proofErr w:type="gramStart"/>
      <w:r>
        <w:t>a number of</w:t>
      </w:r>
      <w:proofErr w:type="gramEnd"/>
      <w:r>
        <w:t xml:space="preserve"> other human rights. </w:t>
      </w:r>
      <w:r w:rsidR="0023011D">
        <w:t xml:space="preserve">A </w:t>
      </w:r>
      <w:proofErr w:type="gramStart"/>
      <w:r w:rsidR="0023011D">
        <w:t>particular problem</w:t>
      </w:r>
      <w:proofErr w:type="gramEnd"/>
      <w:r w:rsidR="0023011D">
        <w:t xml:space="preserve"> that </w:t>
      </w:r>
      <w:r w:rsidR="00383C7E">
        <w:t xml:space="preserve">can </w:t>
      </w:r>
      <w:r w:rsidR="0023011D">
        <w:t xml:space="preserve">arise in </w:t>
      </w:r>
      <w:r w:rsidR="00383C7E">
        <w:t xml:space="preserve">this context </w:t>
      </w:r>
      <w:r w:rsidR="0023011D">
        <w:t xml:space="preserve">is known as ‘algorithmic bias’. Algorithmic bias has been identified in </w:t>
      </w:r>
      <w:r w:rsidR="00383C7E">
        <w:t xml:space="preserve">automated </w:t>
      </w:r>
      <w:r w:rsidR="0023011D">
        <w:t>decision</w:t>
      </w:r>
      <w:r w:rsidR="00383C7E">
        <w:t>-</w:t>
      </w:r>
      <w:r w:rsidR="0023011D">
        <w:t>making</w:t>
      </w:r>
      <w:r w:rsidR="00383C7E">
        <w:t xml:space="preserve"> systems</w:t>
      </w:r>
      <w:r w:rsidR="0023011D">
        <w:t>, leading to errors that unfairly disadvantage people by reference to their race, gender and other protected attributes</w:t>
      </w:r>
      <w:r>
        <w:t>.</w:t>
      </w:r>
      <w:r>
        <w:rPr>
          <w:rStyle w:val="EndnoteReference"/>
        </w:rPr>
        <w:endnoteReference w:id="21"/>
      </w:r>
      <w:r>
        <w:t xml:space="preserve"> </w:t>
      </w:r>
      <w:r w:rsidR="0023011D">
        <w:t>This can amount to unlawful discrimination and interfere with a number of human rights protected in international law</w:t>
      </w:r>
      <w:r w:rsidR="003861E3">
        <w:t>—</w:t>
      </w:r>
      <w:r w:rsidR="0023011D">
        <w:t>most obviously, the right to equality and non-discrimination</w:t>
      </w:r>
      <w:r>
        <w:t>.</w:t>
      </w:r>
      <w:r>
        <w:rPr>
          <w:rStyle w:val="EndnoteReference"/>
        </w:rPr>
        <w:endnoteReference w:id="22"/>
      </w:r>
      <w:r>
        <w:t xml:space="preserve"> </w:t>
      </w:r>
      <w:r w:rsidR="0023011D">
        <w:t xml:space="preserve">Depending on the context in which an automated decision-making system is deployed, it can also engage other human rights as well. For example, </w:t>
      </w:r>
      <w:r w:rsidR="00B55E46">
        <w:t xml:space="preserve">where such a system is used to make decisions in the criminal justice system, this could engage a range of additional rights, such as the right to </w:t>
      </w:r>
      <w:r w:rsidR="00633ABB">
        <w:t>a fair trial, the right not to be arbitrarily detained and the right to equality before the law.</w:t>
      </w:r>
      <w:r w:rsidR="00633ABB">
        <w:rPr>
          <w:rStyle w:val="EndnoteReference"/>
        </w:rPr>
        <w:endnoteReference w:id="23"/>
      </w:r>
    </w:p>
    <w:p w14:paraId="5A120846" w14:textId="2EF57C53" w:rsidR="00FA474B" w:rsidRDefault="00633ABB" w:rsidP="00DD1949">
      <w:r>
        <w:t xml:space="preserve">For a variety of reasons, including </w:t>
      </w:r>
      <w:r w:rsidR="00FA474B">
        <w:t>the proprietary nature of software or computer programs procured to make or support government decision</w:t>
      </w:r>
      <w:r>
        <w:t xml:space="preserve"> </w:t>
      </w:r>
      <w:r w:rsidR="00FA474B">
        <w:t>making, it is often unclear</w:t>
      </w:r>
      <w:r w:rsidR="00383C7E">
        <w:t xml:space="preserve"> to someone who is subject to a decision made using </w:t>
      </w:r>
      <w:r>
        <w:t>an automated decision-making system</w:t>
      </w:r>
      <w:r w:rsidR="00FA474B">
        <w:t xml:space="preserve"> </w:t>
      </w:r>
      <w:r w:rsidR="00383C7E">
        <w:t>how the decision was made</w:t>
      </w:r>
      <w:r w:rsidR="003861E3">
        <w:t>—</w:t>
      </w:r>
      <w:r w:rsidR="00383C7E">
        <w:t xml:space="preserve">especially the way </w:t>
      </w:r>
      <w:r w:rsidR="00FA474B">
        <w:t xml:space="preserve">factors are </w:t>
      </w:r>
      <w:r>
        <w:t xml:space="preserve">weighed </w:t>
      </w:r>
      <w:r w:rsidR="00FA474B">
        <w:t xml:space="preserve">in reaching </w:t>
      </w:r>
      <w:r w:rsidR="00383C7E">
        <w:t xml:space="preserve">the </w:t>
      </w:r>
      <w:r>
        <w:t>decision</w:t>
      </w:r>
      <w:r w:rsidR="00FA474B">
        <w:t xml:space="preserve">. This opacity can limit </w:t>
      </w:r>
      <w:r w:rsidR="00383C7E">
        <w:t xml:space="preserve">an individual’s </w:t>
      </w:r>
      <w:r w:rsidR="00FA474B">
        <w:t xml:space="preserve">right to receive reasons for a decision that affects them. This procedural right is protected, for example, by the right to obtain a remedy for breaches of human rights and the right to a fair trial. </w:t>
      </w:r>
    </w:p>
    <w:p w14:paraId="4D224691" w14:textId="72BD6B42" w:rsidR="0023011D" w:rsidRPr="00677E08" w:rsidRDefault="00633ABB" w:rsidP="00DD1949">
      <w:r>
        <w:t>It should be noted</w:t>
      </w:r>
      <w:r w:rsidR="00383C7E">
        <w:t xml:space="preserve"> also</w:t>
      </w:r>
      <w:r>
        <w:t xml:space="preserve"> that a</w:t>
      </w:r>
      <w:r w:rsidR="0023011D" w:rsidRPr="006872AF">
        <w:t xml:space="preserve">utomated decision-making systems that do not include </w:t>
      </w:r>
      <w:r w:rsidR="0023011D">
        <w:t xml:space="preserve">provision for rigorous human oversight of the decision-making process, and the decisions </w:t>
      </w:r>
      <w:proofErr w:type="gramStart"/>
      <w:r w:rsidR="0023011D">
        <w:t>actually being</w:t>
      </w:r>
      <w:proofErr w:type="gramEnd"/>
      <w:r w:rsidR="0023011D">
        <w:t xml:space="preserve"> made, </w:t>
      </w:r>
      <w:r w:rsidR="0023011D" w:rsidRPr="006872AF">
        <w:t xml:space="preserve">are more prone to </w:t>
      </w:r>
      <w:r w:rsidR="0023011D">
        <w:t xml:space="preserve">error. </w:t>
      </w:r>
      <w:proofErr w:type="gramStart"/>
      <w:r w:rsidR="0023011D">
        <w:t>In particular, such</w:t>
      </w:r>
      <w:proofErr w:type="gramEnd"/>
      <w:r w:rsidR="0023011D">
        <w:t xml:space="preserve"> systems are more likely to </w:t>
      </w:r>
      <w:r w:rsidR="0023011D" w:rsidRPr="006872AF">
        <w:t>mak</w:t>
      </w:r>
      <w:r w:rsidR="0023011D">
        <w:t>e</w:t>
      </w:r>
      <w:r w:rsidR="0023011D" w:rsidRPr="006872AF">
        <w:t xml:space="preserve"> arbitrary decisions, because the</w:t>
      </w:r>
      <w:r w:rsidR="00383C7E">
        <w:t>se</w:t>
      </w:r>
      <w:r w:rsidR="0023011D" w:rsidRPr="006872AF">
        <w:t xml:space="preserve"> systems are not truly </w:t>
      </w:r>
      <w:r w:rsidR="003861E3">
        <w:t>‘</w:t>
      </w:r>
      <w:r w:rsidR="0023011D" w:rsidRPr="006872AF">
        <w:t>intelligent</w:t>
      </w:r>
      <w:r w:rsidR="003861E3">
        <w:t>’</w:t>
      </w:r>
      <w:r w:rsidR="0023011D">
        <w:t>, in the sense that humans are intelligent.</w:t>
      </w:r>
      <w:r w:rsidR="0023011D" w:rsidRPr="006872AF">
        <w:t xml:space="preserve"> </w:t>
      </w:r>
      <w:r w:rsidR="0023011D">
        <w:t xml:space="preserve">Automated decision-making systems </w:t>
      </w:r>
      <w:r w:rsidR="0023011D" w:rsidRPr="006872AF">
        <w:t>are constrained by their programming</w:t>
      </w:r>
      <w:r w:rsidR="0023011D">
        <w:t>,</w:t>
      </w:r>
      <w:r w:rsidR="0023011D" w:rsidRPr="006872AF">
        <w:t xml:space="preserve"> and</w:t>
      </w:r>
      <w:r w:rsidR="0023011D">
        <w:t xml:space="preserve"> in systems that use machine learning, they are constrained </w:t>
      </w:r>
      <w:r w:rsidR="00383C7E">
        <w:t xml:space="preserve">also </w:t>
      </w:r>
      <w:r w:rsidR="0023011D">
        <w:t>by</w:t>
      </w:r>
      <w:r w:rsidR="0023011D" w:rsidRPr="006872AF">
        <w:t xml:space="preserve"> their ‘training</w:t>
      </w:r>
      <w:r w:rsidR="0023011D">
        <w:t xml:space="preserve"> data</w:t>
      </w:r>
      <w:r w:rsidR="0023011D" w:rsidRPr="006872AF">
        <w:t>’</w:t>
      </w:r>
      <w:r w:rsidR="0023011D">
        <w:t>, replicating errors contained therein.</w:t>
      </w:r>
      <w:r w:rsidR="0023011D" w:rsidRPr="006872AF">
        <w:t xml:space="preserve"> </w:t>
      </w:r>
      <w:r w:rsidR="0023011D">
        <w:t>T</w:t>
      </w:r>
      <w:r w:rsidR="0023011D" w:rsidRPr="006872AF">
        <w:t>herefore</w:t>
      </w:r>
      <w:r w:rsidR="0023011D">
        <w:t>, such systems</w:t>
      </w:r>
      <w:r w:rsidR="0023011D" w:rsidRPr="006872AF">
        <w:t xml:space="preserve"> cannot </w:t>
      </w:r>
      <w:r w:rsidR="0023011D">
        <w:t xml:space="preserve">identify or </w:t>
      </w:r>
      <w:r w:rsidR="0023011D" w:rsidRPr="006872AF">
        <w:t xml:space="preserve">self-correct </w:t>
      </w:r>
      <w:r w:rsidR="0023011D">
        <w:t xml:space="preserve">many forms </w:t>
      </w:r>
      <w:r w:rsidR="0023011D" w:rsidRPr="006872AF">
        <w:t xml:space="preserve">of systemic or </w:t>
      </w:r>
      <w:proofErr w:type="gramStart"/>
      <w:r w:rsidR="0023011D" w:rsidRPr="006872AF">
        <w:t>particular error</w:t>
      </w:r>
      <w:proofErr w:type="gramEnd"/>
      <w:r w:rsidR="0023011D" w:rsidRPr="006872AF">
        <w:t>.</w:t>
      </w:r>
      <w:r w:rsidR="0023011D">
        <w:t xml:space="preserve"> </w:t>
      </w:r>
    </w:p>
    <w:p w14:paraId="4E22AAF3" w14:textId="301B9F3F" w:rsidR="00FA474B" w:rsidRPr="0083789F" w:rsidRDefault="00EC4D09" w:rsidP="00426E6E">
      <w:pPr>
        <w:pStyle w:val="Heading2"/>
      </w:pPr>
      <w:bookmarkStart w:id="21" w:name="_Toc17444045"/>
      <w:r>
        <w:lastRenderedPageBreak/>
        <w:t>4</w:t>
      </w:r>
      <w:r w:rsidR="00FA474B">
        <w:t>.2</w:t>
      </w:r>
      <w:r w:rsidR="00FA474B">
        <w:tab/>
        <w:t xml:space="preserve">Submissions to the Project related to </w:t>
      </w:r>
      <w:r w:rsidR="003E290C">
        <w:t xml:space="preserve">the </w:t>
      </w:r>
      <w:r w:rsidR="003E290C">
        <w:rPr>
          <w:shd w:val="clear" w:color="auto" w:fill="FFFFFF"/>
        </w:rPr>
        <w:t>Centrelink Debt Program</w:t>
      </w:r>
      <w:bookmarkEnd w:id="21"/>
    </w:p>
    <w:bookmarkEnd w:id="15"/>
    <w:p w14:paraId="08BD0E48" w14:textId="2F47222E" w:rsidR="002B6BA4" w:rsidRDefault="00FA474B" w:rsidP="00DD1949">
      <w:r>
        <w:t xml:space="preserve">The Commission’s </w:t>
      </w:r>
      <w:r w:rsidR="00633ABB">
        <w:t xml:space="preserve">Project </w:t>
      </w:r>
      <w:r>
        <w:t>is ongoing.  However, submissions responding to the Commission’s Issues Paper</w:t>
      </w:r>
      <w:r>
        <w:rPr>
          <w:rStyle w:val="EndnoteReference"/>
        </w:rPr>
        <w:endnoteReference w:id="24"/>
      </w:r>
      <w:r>
        <w:t xml:space="preserve"> </w:t>
      </w:r>
      <w:r w:rsidR="002B6BA4">
        <w:t xml:space="preserve">have discussed the human rights implications of </w:t>
      </w:r>
      <w:r w:rsidR="0091593A">
        <w:t>AI</w:t>
      </w:r>
      <w:r w:rsidR="002B6BA4">
        <w:t xml:space="preserve"> technologies, including as adopted and deployed in government decision</w:t>
      </w:r>
      <w:r w:rsidR="007B64BE">
        <w:t xml:space="preserve"> </w:t>
      </w:r>
      <w:r w:rsidR="002B6BA4">
        <w:t xml:space="preserve">making and service delivery.  A number of those submissions have expressly identified concerns with the adoption of </w:t>
      </w:r>
      <w:r w:rsidR="00633ABB">
        <w:t xml:space="preserve">the </w:t>
      </w:r>
      <w:r w:rsidR="00633ABB">
        <w:rPr>
          <w:shd w:val="clear" w:color="auto" w:fill="FFFFFF"/>
        </w:rPr>
        <w:t>Centrelink Debt Program</w:t>
      </w:r>
      <w:r w:rsidR="002B6BA4">
        <w:t>.  These concerns include:</w:t>
      </w:r>
    </w:p>
    <w:p w14:paraId="1DE2A5B1" w14:textId="5505E6A3" w:rsidR="0083789F" w:rsidRDefault="0083789F" w:rsidP="004A06C0">
      <w:pPr>
        <w:pStyle w:val="ListParagraph"/>
        <w:numPr>
          <w:ilvl w:val="0"/>
          <w:numId w:val="45"/>
        </w:numPr>
      </w:pPr>
      <w:r>
        <w:t>the impact of automated debt collection on people who are already marginalised or vulnerable, with the risk of entrenching discrimination</w:t>
      </w:r>
      <w:r w:rsidR="00633ABB">
        <w:t>,</w:t>
      </w:r>
      <w:r>
        <w:t xml:space="preserve"> and contributing to further </w:t>
      </w:r>
      <w:r w:rsidR="00633ABB">
        <w:t xml:space="preserve">disadvantage and </w:t>
      </w:r>
      <w:r>
        <w:t>social exclusion</w:t>
      </w:r>
    </w:p>
    <w:p w14:paraId="330456EB" w14:textId="19BDB29C" w:rsidR="000B36D5" w:rsidRDefault="00633ABB" w:rsidP="0083789F">
      <w:pPr>
        <w:pStyle w:val="ListParagraph"/>
        <w:numPr>
          <w:ilvl w:val="0"/>
          <w:numId w:val="45"/>
        </w:numPr>
      </w:pPr>
      <w:r>
        <w:t>inadequate</w:t>
      </w:r>
      <w:r w:rsidR="0083789F">
        <w:t xml:space="preserve"> information regarding how debts are calculated by the algorithm supporting the automated process, and </w:t>
      </w:r>
      <w:r>
        <w:t xml:space="preserve">the </w:t>
      </w:r>
      <w:r w:rsidR="0083789F">
        <w:t xml:space="preserve">basis </w:t>
      </w:r>
      <w:r>
        <w:t xml:space="preserve">on which </w:t>
      </w:r>
      <w:r w:rsidR="0083789F">
        <w:t>those decision</w:t>
      </w:r>
      <w:r>
        <w:t>s</w:t>
      </w:r>
      <w:r w:rsidR="0083789F">
        <w:t xml:space="preserve"> are reached </w:t>
      </w:r>
    </w:p>
    <w:p w14:paraId="1AFB4980" w14:textId="630D6323" w:rsidR="0083789F" w:rsidRDefault="0083789F" w:rsidP="0083789F">
      <w:pPr>
        <w:pStyle w:val="ListParagraph"/>
        <w:numPr>
          <w:ilvl w:val="0"/>
          <w:numId w:val="45"/>
        </w:numPr>
      </w:pPr>
      <w:r>
        <w:t xml:space="preserve">inadequate information regarding how a decision </w:t>
      </w:r>
      <w:r w:rsidR="000B36D5">
        <w:t xml:space="preserve">can </w:t>
      </w:r>
      <w:r>
        <w:t xml:space="preserve">be challenged or reviewed </w:t>
      </w:r>
    </w:p>
    <w:p w14:paraId="353F70F1" w14:textId="4BCAA956" w:rsidR="0083789F" w:rsidRDefault="0083789F" w:rsidP="0083789F">
      <w:pPr>
        <w:pStyle w:val="ListParagraph"/>
        <w:numPr>
          <w:ilvl w:val="0"/>
          <w:numId w:val="45"/>
        </w:numPr>
      </w:pPr>
      <w:r>
        <w:t xml:space="preserve">lack of planning in the program and/or policy development phase regarding the </w:t>
      </w:r>
      <w:proofErr w:type="gramStart"/>
      <w:r>
        <w:t>particular needs</w:t>
      </w:r>
      <w:proofErr w:type="gramEnd"/>
      <w:r>
        <w:t xml:space="preserve"> of vulnerable debt notice recipients, many of whom experienced significant difficulty in investigating or challenging the debt or the amount calculated, including those with a cognitive impairment or </w:t>
      </w:r>
      <w:r w:rsidR="00030883">
        <w:t xml:space="preserve">a </w:t>
      </w:r>
      <w:r>
        <w:t>mental health condition</w:t>
      </w:r>
    </w:p>
    <w:p w14:paraId="5DDCA54A" w14:textId="2908FC48" w:rsidR="0083789F" w:rsidRDefault="0083789F" w:rsidP="0083789F">
      <w:pPr>
        <w:pStyle w:val="ListParagraph"/>
        <w:numPr>
          <w:ilvl w:val="0"/>
          <w:numId w:val="45"/>
        </w:numPr>
      </w:pPr>
      <w:r>
        <w:t xml:space="preserve">a lack of transparency </w:t>
      </w:r>
      <w:r w:rsidR="0019217D">
        <w:t xml:space="preserve">regarding </w:t>
      </w:r>
      <w:r>
        <w:t xml:space="preserve">the process by which Centrelink adopted </w:t>
      </w:r>
      <w:r w:rsidR="0019217D">
        <w:t xml:space="preserve">and rolled out </w:t>
      </w:r>
      <w:r>
        <w:t xml:space="preserve">the automated technology </w:t>
      </w:r>
      <w:r w:rsidR="0019217D">
        <w:t xml:space="preserve">used in the </w:t>
      </w:r>
      <w:r w:rsidR="0019217D">
        <w:rPr>
          <w:shd w:val="clear" w:color="auto" w:fill="FFFFFF"/>
        </w:rPr>
        <w:t>Centrelink Debt Program</w:t>
      </w:r>
      <w:r>
        <w:t xml:space="preserve"> </w:t>
      </w:r>
    </w:p>
    <w:p w14:paraId="74BDFC9E" w14:textId="7E07C98A" w:rsidR="0083789F" w:rsidRDefault="0083789F" w:rsidP="0083789F">
      <w:pPr>
        <w:pStyle w:val="ListParagraph"/>
        <w:numPr>
          <w:ilvl w:val="0"/>
          <w:numId w:val="45"/>
        </w:numPr>
      </w:pPr>
      <w:r>
        <w:t>lack of continuing evaluation and monitoring, as well as an absence of human oversight of the program.</w:t>
      </w:r>
    </w:p>
    <w:p w14:paraId="62117A4C" w14:textId="0139F1A2" w:rsidR="00F06EDA" w:rsidRDefault="0083789F" w:rsidP="00296A48">
      <w:r>
        <w:t xml:space="preserve">The </w:t>
      </w:r>
      <w:r w:rsidR="0019217D">
        <w:t xml:space="preserve">concerns </w:t>
      </w:r>
      <w:r>
        <w:t xml:space="preserve">raised in these submissions </w:t>
      </w:r>
      <w:r w:rsidR="0019217D">
        <w:t xml:space="preserve">are </w:t>
      </w:r>
      <w:r>
        <w:t>reflect</w:t>
      </w:r>
      <w:r w:rsidR="0019217D">
        <w:t>ed</w:t>
      </w:r>
      <w:r>
        <w:t xml:space="preserve"> in </w:t>
      </w:r>
      <w:proofErr w:type="gramStart"/>
      <w:r w:rsidR="00ED29F3">
        <w:t>a number of</w:t>
      </w:r>
      <w:proofErr w:type="gramEnd"/>
      <w:r>
        <w:t xml:space="preserve"> formal inquiries into </w:t>
      </w:r>
      <w:r w:rsidR="00633ABB">
        <w:t xml:space="preserve">the </w:t>
      </w:r>
      <w:r w:rsidR="00633ABB">
        <w:rPr>
          <w:shd w:val="clear" w:color="auto" w:fill="FFFFFF"/>
        </w:rPr>
        <w:t>Centrelink Debt Pro</w:t>
      </w:r>
      <w:bookmarkStart w:id="22" w:name="_GoBack"/>
      <w:bookmarkEnd w:id="22"/>
      <w:r w:rsidR="00633ABB">
        <w:rPr>
          <w:shd w:val="clear" w:color="auto" w:fill="FFFFFF"/>
        </w:rPr>
        <w:t>gram</w:t>
      </w:r>
      <w:r>
        <w:t xml:space="preserve">. The Senate Community Affairs Reference Committee, for example, concluded </w:t>
      </w:r>
      <w:r w:rsidR="003861E3">
        <w:t xml:space="preserve">that </w:t>
      </w:r>
      <w:r>
        <w:t>‘the system was so flawed it was set up to fail’, with an absence of procedural fairness at all stages of its rollout.</w:t>
      </w:r>
      <w:r w:rsidRPr="00EF6AE8">
        <w:rPr>
          <w:rStyle w:val="EndnoteReference"/>
        </w:rPr>
        <w:endnoteReference w:id="25"/>
      </w:r>
      <w:r w:rsidR="008E64D3">
        <w:t xml:space="preserve"> That Committee drew particular attention to problems including: a lack of consultation with vulnerable stakeholders; the lack of a testing phase for the program website; the failure to carry out of a risk assessment before the process started; and a failure to evaluate the accuracy of the Centrelink Debt Program’s outputs.</w:t>
      </w:r>
    </w:p>
    <w:p w14:paraId="6583F816" w14:textId="48D494E4" w:rsidR="0083789F" w:rsidRDefault="0083789F" w:rsidP="00DD1949">
      <w:r>
        <w:lastRenderedPageBreak/>
        <w:t xml:space="preserve">The matters identified above suggest there are real concerns that </w:t>
      </w:r>
      <w:proofErr w:type="gramStart"/>
      <w:r>
        <w:t>a number of</w:t>
      </w:r>
      <w:proofErr w:type="gramEnd"/>
      <w:r>
        <w:t xml:space="preserve"> </w:t>
      </w:r>
      <w:r w:rsidR="00ED29F3">
        <w:t xml:space="preserve">human </w:t>
      </w:r>
      <w:r>
        <w:t>rights, including the right to social security</w:t>
      </w:r>
      <w:r w:rsidR="007B64BE">
        <w:t>,</w:t>
      </w:r>
      <w:r>
        <w:t xml:space="preserve"> may have been impermissibly limited by the </w:t>
      </w:r>
      <w:r w:rsidR="007A18FE">
        <w:t xml:space="preserve">deployment of </w:t>
      </w:r>
      <w:r w:rsidR="008E64D3">
        <w:t xml:space="preserve">the </w:t>
      </w:r>
      <w:r w:rsidR="008E64D3">
        <w:rPr>
          <w:shd w:val="clear" w:color="auto" w:fill="FFFFFF"/>
        </w:rPr>
        <w:t>Centrelink Debt Program</w:t>
      </w:r>
      <w:r w:rsidR="007A18FE">
        <w:t xml:space="preserve">. </w:t>
      </w:r>
      <w:r w:rsidR="00F06EDA">
        <w:t>T</w:t>
      </w:r>
      <w:r w:rsidR="007A18FE">
        <w:t>he Commission urges the Committee to investigate the matters discussed above</w:t>
      </w:r>
      <w:r w:rsidR="008E64D3">
        <w:t xml:space="preserve">, and the extent to which they have been </w:t>
      </w:r>
      <w:r w:rsidR="00944E29">
        <w:t>addressed or remediated,</w:t>
      </w:r>
      <w:r w:rsidR="007A18FE">
        <w:t xml:space="preserve"> in the present inquiry.  </w:t>
      </w:r>
    </w:p>
    <w:p w14:paraId="6479D8E4" w14:textId="69EF6691" w:rsidR="0083789F" w:rsidRDefault="00EC4D09" w:rsidP="0083789F">
      <w:pPr>
        <w:pStyle w:val="Heading2"/>
      </w:pPr>
      <w:bookmarkStart w:id="23" w:name="_Toc17444046"/>
      <w:r>
        <w:t>4</w:t>
      </w:r>
      <w:r w:rsidR="00C127D0">
        <w:t>.3</w:t>
      </w:r>
      <w:r w:rsidR="00C127D0">
        <w:tab/>
      </w:r>
      <w:r w:rsidR="008A25AC">
        <w:t xml:space="preserve">Principles for </w:t>
      </w:r>
      <w:r w:rsidR="00C919DA">
        <w:t>automated decision</w:t>
      </w:r>
      <w:r w:rsidR="003D288B">
        <w:t xml:space="preserve"> </w:t>
      </w:r>
      <w:r w:rsidR="00C919DA">
        <w:t xml:space="preserve">making </w:t>
      </w:r>
      <w:r w:rsidR="008A25AC">
        <w:t>by government</w:t>
      </w:r>
      <w:bookmarkEnd w:id="23"/>
    </w:p>
    <w:p w14:paraId="419C2304" w14:textId="77777777" w:rsidR="0091593A" w:rsidRDefault="0083789F" w:rsidP="00CB5D30">
      <w:r>
        <w:t xml:space="preserve">The use of automation and similar technologies is rapidly increasing in the public sector to deliver social services and support administrative decision-making, both in Australia and overseas. </w:t>
      </w:r>
    </w:p>
    <w:p w14:paraId="3244788D" w14:textId="08D7DE2C" w:rsidR="0083789F" w:rsidRDefault="00944E29" w:rsidP="00DD1949">
      <w:r>
        <w:t>However</w:t>
      </w:r>
      <w:r w:rsidR="0083789F">
        <w:t xml:space="preserve">, there is growing concern regarding how this will </w:t>
      </w:r>
      <w:r>
        <w:t xml:space="preserve">affect the human rights of </w:t>
      </w:r>
      <w:r w:rsidR="0083789F">
        <w:t xml:space="preserve">individuals, particularly those who are already vulnerable or marginalised. The </w:t>
      </w:r>
      <w:r>
        <w:t xml:space="preserve">UN </w:t>
      </w:r>
      <w:r w:rsidR="0083789F">
        <w:t xml:space="preserve">Special Rapporteur on </w:t>
      </w:r>
      <w:r>
        <w:t>e</w:t>
      </w:r>
      <w:r w:rsidR="0083789F">
        <w:t xml:space="preserve">xtreme </w:t>
      </w:r>
      <w:r>
        <w:t>p</w:t>
      </w:r>
      <w:r w:rsidR="0083789F">
        <w:t xml:space="preserve">overty and </w:t>
      </w:r>
      <w:r>
        <w:t>h</w:t>
      </w:r>
      <w:r w:rsidR="0083789F">
        <w:t xml:space="preserve">uman </w:t>
      </w:r>
      <w:r>
        <w:t>r</w:t>
      </w:r>
      <w:r w:rsidR="0083789F">
        <w:t>ights, for example, is currently preparing a thematic report to the UN General Assembly on digital technology, social protection and human rights.</w:t>
      </w:r>
      <w:r w:rsidR="0083789F">
        <w:rPr>
          <w:rStyle w:val="EndnoteReference"/>
        </w:rPr>
        <w:endnoteReference w:id="26"/>
      </w:r>
      <w:r w:rsidR="0083789F">
        <w:t xml:space="preserve"> Evidence is emerging </w:t>
      </w:r>
      <w:r w:rsidR="007B64BE">
        <w:t xml:space="preserve">that shows how automated decision making, used </w:t>
      </w:r>
      <w:r w:rsidR="0083789F">
        <w:t xml:space="preserve">in the delivery of social services ranging from social security to child protection, </w:t>
      </w:r>
      <w:r>
        <w:t xml:space="preserve">can have the unintended impact of </w:t>
      </w:r>
      <w:r w:rsidR="0083789F">
        <w:t>entrenching disadvantage</w:t>
      </w:r>
      <w:r>
        <w:t>, with a disproportionate negative</w:t>
      </w:r>
      <w:r w:rsidR="0083789F">
        <w:t xml:space="preserve"> impact</w:t>
      </w:r>
      <w:r>
        <w:t xml:space="preserve"> on</w:t>
      </w:r>
      <w:r w:rsidR="0083789F">
        <w:t xml:space="preserve"> minority and vulnerable groups.</w:t>
      </w:r>
      <w:r w:rsidR="0083789F">
        <w:rPr>
          <w:rStyle w:val="EndnoteReference"/>
        </w:rPr>
        <w:endnoteReference w:id="27"/>
      </w:r>
      <w:r w:rsidR="0083789F">
        <w:t xml:space="preserve"> </w:t>
      </w:r>
    </w:p>
    <w:p w14:paraId="07D19277" w14:textId="1AAF522C" w:rsidR="0083789F" w:rsidRDefault="00ED29F3" w:rsidP="00DD1949">
      <w:r>
        <w:t>As discussed above, t</w:t>
      </w:r>
      <w:r w:rsidR="0083789F">
        <w:t xml:space="preserve">he </w:t>
      </w:r>
      <w:r w:rsidR="007B64BE">
        <w:t>Commission</w:t>
      </w:r>
      <w:r w:rsidR="00A82807">
        <w:t>’s Project</w:t>
      </w:r>
      <w:r w:rsidR="007B64BE">
        <w:t xml:space="preserve"> is considering</w:t>
      </w:r>
      <w:r w:rsidR="00190A8A">
        <w:t>, among other things,</w:t>
      </w:r>
      <w:r w:rsidR="007B64BE">
        <w:t xml:space="preserve"> </w:t>
      </w:r>
      <w:r>
        <w:t xml:space="preserve">how to protect human rights in </w:t>
      </w:r>
      <w:r w:rsidR="007B64BE">
        <w:t>the context of automated decision making</w:t>
      </w:r>
      <w:r w:rsidR="0083789F">
        <w:t xml:space="preserve">. </w:t>
      </w:r>
      <w:r>
        <w:t xml:space="preserve">Issues the Commission is likely to address in its </w:t>
      </w:r>
      <w:r w:rsidR="003861E3">
        <w:t xml:space="preserve">forthcoming </w:t>
      </w:r>
      <w:r>
        <w:t>Discussion Paper and final report include:</w:t>
      </w:r>
      <w:r w:rsidR="0083789F">
        <w:t xml:space="preserve"> </w:t>
      </w:r>
    </w:p>
    <w:p w14:paraId="0DEC9F86" w14:textId="376404E0" w:rsidR="0083789F" w:rsidRDefault="0083789F" w:rsidP="0083789F">
      <w:pPr>
        <w:pStyle w:val="ListParagraph"/>
        <w:numPr>
          <w:ilvl w:val="0"/>
          <w:numId w:val="47"/>
        </w:numPr>
      </w:pPr>
      <w:r>
        <w:t xml:space="preserve">how to safeguard procedural fairness in </w:t>
      </w:r>
      <w:r w:rsidR="00190A8A">
        <w:t xml:space="preserve">automated </w:t>
      </w:r>
      <w:r>
        <w:t>decision</w:t>
      </w:r>
      <w:r w:rsidR="00944E29">
        <w:t xml:space="preserve"> </w:t>
      </w:r>
      <w:r>
        <w:t xml:space="preserve">making </w:t>
      </w:r>
      <w:r w:rsidR="00190A8A">
        <w:t>by government</w:t>
      </w:r>
    </w:p>
    <w:p w14:paraId="49B08550" w14:textId="131BCD76" w:rsidR="0083789F" w:rsidRDefault="0083789F" w:rsidP="0083789F">
      <w:pPr>
        <w:pStyle w:val="ListParagraph"/>
        <w:numPr>
          <w:ilvl w:val="0"/>
          <w:numId w:val="47"/>
        </w:numPr>
      </w:pPr>
      <w:r>
        <w:t xml:space="preserve">the importance of human oversight, including monitoring and evaluation of government use of automated </w:t>
      </w:r>
      <w:r w:rsidR="00944E29">
        <w:t>decision-making systems</w:t>
      </w:r>
    </w:p>
    <w:p w14:paraId="13F7194B" w14:textId="7CCA4F9E" w:rsidR="0083789F" w:rsidRDefault="006C655F" w:rsidP="0083789F">
      <w:pPr>
        <w:pStyle w:val="ListParagraph"/>
        <w:numPr>
          <w:ilvl w:val="0"/>
          <w:numId w:val="47"/>
        </w:numPr>
      </w:pPr>
      <w:r>
        <w:t xml:space="preserve">promoting accountability and transparency regarding </w:t>
      </w:r>
      <w:r w:rsidR="00190A8A">
        <w:t xml:space="preserve">automated </w:t>
      </w:r>
      <w:r>
        <w:t xml:space="preserve">decision making </w:t>
      </w:r>
      <w:r w:rsidR="00190A8A">
        <w:t>by government</w:t>
      </w:r>
    </w:p>
    <w:p w14:paraId="440EC391" w14:textId="243A618B" w:rsidR="0083789F" w:rsidRDefault="0083789F" w:rsidP="00190A8A">
      <w:pPr>
        <w:pStyle w:val="ListParagraph"/>
        <w:numPr>
          <w:ilvl w:val="0"/>
          <w:numId w:val="47"/>
        </w:numPr>
      </w:pPr>
      <w:r>
        <w:t xml:space="preserve">the impact of AI </w:t>
      </w:r>
      <w:r w:rsidR="006C655F">
        <w:t xml:space="preserve">and related </w:t>
      </w:r>
      <w:r>
        <w:t>technologies on vulnerable and marginalised groups, particularly those already facing barriers to digital inclusion</w:t>
      </w:r>
      <w:r w:rsidR="00190A8A">
        <w:t>.</w:t>
      </w:r>
    </w:p>
    <w:p w14:paraId="501B89DE" w14:textId="513E1355" w:rsidR="002B6BA4" w:rsidRDefault="00C919DA" w:rsidP="00DD1949">
      <w:r>
        <w:t xml:space="preserve">The Commission will </w:t>
      </w:r>
      <w:r w:rsidR="00ED29F3">
        <w:t xml:space="preserve">release </w:t>
      </w:r>
      <w:r w:rsidR="00D9094F">
        <w:t>its</w:t>
      </w:r>
      <w:r w:rsidR="00ED29F3">
        <w:t xml:space="preserve"> Discussion Paper later this year, and, following further </w:t>
      </w:r>
      <w:r w:rsidR="00190A8A">
        <w:t xml:space="preserve">public </w:t>
      </w:r>
      <w:r w:rsidR="00ED29F3">
        <w:t xml:space="preserve">consultation, </w:t>
      </w:r>
      <w:r>
        <w:t xml:space="preserve">a final report in 2020.  </w:t>
      </w:r>
    </w:p>
    <w:p w14:paraId="1970681A" w14:textId="76C0C6FD" w:rsidR="00E14D3E" w:rsidRDefault="00E14D3E" w:rsidP="00426E6E">
      <w:pPr>
        <w:pStyle w:val="Heading2"/>
      </w:pPr>
    </w:p>
    <w:sectPr w:rsidR="00E14D3E"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936B" w14:textId="77777777" w:rsidR="00232C2F" w:rsidRDefault="00232C2F" w:rsidP="00F14C6D">
      <w:r>
        <w:separator/>
      </w:r>
    </w:p>
  </w:endnote>
  <w:endnote w:type="continuationSeparator" w:id="0">
    <w:p w14:paraId="4CCEF4D8" w14:textId="77777777" w:rsidR="00232C2F" w:rsidRDefault="00232C2F" w:rsidP="00F14C6D">
      <w:r>
        <w:continuationSeparator/>
      </w:r>
    </w:p>
  </w:endnote>
  <w:endnote w:id="1">
    <w:p w14:paraId="070BDABF" w14:textId="0AC7E115" w:rsidR="008E64D3" w:rsidRPr="00F80F67" w:rsidRDefault="008E64D3">
      <w:pPr>
        <w:pStyle w:val="EndnoteText"/>
        <w:rPr>
          <w:rFonts w:cs="Open Sans"/>
          <w:lang w:val="en-US"/>
        </w:rPr>
      </w:pPr>
      <w:r w:rsidRPr="00F80F67">
        <w:rPr>
          <w:rStyle w:val="EndnoteReference"/>
          <w:rFonts w:cs="Open Sans"/>
        </w:rPr>
        <w:endnoteRef/>
      </w:r>
      <w:r w:rsidRPr="00F80F67">
        <w:rPr>
          <w:rFonts w:cs="Open Sans"/>
        </w:rPr>
        <w:t xml:space="preserve"> </w:t>
      </w:r>
      <w:r>
        <w:rPr>
          <w:rFonts w:cs="Open Sans"/>
        </w:rPr>
        <w:t xml:space="preserve">Terms of Reference to the Senate Legal and Constitutional Affairs Committee of 16 October 2019 ‘The impact of changes to service delivery models on the administration and running of Government </w:t>
      </w:r>
      <w:proofErr w:type="gramStart"/>
      <w:r>
        <w:rPr>
          <w:rFonts w:cs="Open Sans"/>
        </w:rPr>
        <w:t>programs’</w:t>
      </w:r>
      <w:proofErr w:type="gramEnd"/>
      <w:r>
        <w:rPr>
          <w:rFonts w:cs="Open Sans"/>
        </w:rPr>
        <w:t xml:space="preserve">. At </w:t>
      </w:r>
      <w:hyperlink r:id="rId1" w:history="1">
        <w:r>
          <w:rPr>
            <w:rStyle w:val="Hyperlink"/>
          </w:rPr>
          <w:t>https://www.aph.gov.au/Parliamentary_Business/Committees/Senate/Legal_and_Constitutional_Affairs/ServiceDelivery</w:t>
        </w:r>
      </w:hyperlink>
      <w:r>
        <w:t xml:space="preserve">. </w:t>
      </w:r>
    </w:p>
  </w:endnote>
  <w:endnote w:id="2">
    <w:p w14:paraId="1A85D004" w14:textId="27BA7A59" w:rsidR="008E64D3" w:rsidRPr="0044730E" w:rsidRDefault="008E64D3">
      <w:pPr>
        <w:pStyle w:val="EndnoteText"/>
      </w:pPr>
      <w:r>
        <w:rPr>
          <w:rStyle w:val="EndnoteReference"/>
        </w:rPr>
        <w:endnoteRef/>
      </w:r>
      <w:r>
        <w:t xml:space="preserve"> Information about the Commission’s major project on human rights and technology can be found on the project website, tech.humanrights.gov.au, and in the Issues Paper: Australian Human Rights Commission </w:t>
      </w:r>
      <w:r>
        <w:rPr>
          <w:i/>
          <w:iCs/>
        </w:rPr>
        <w:t>Human Rights and Technology Issues Paper</w:t>
      </w:r>
      <w:r>
        <w:t xml:space="preserve"> (July 2018), at </w:t>
      </w:r>
      <w:hyperlink r:id="rId2" w:history="1">
        <w:r>
          <w:rPr>
            <w:rStyle w:val="Hyperlink"/>
          </w:rPr>
          <w:t>https://tech.humanrights.gov.au/consultation</w:t>
        </w:r>
      </w:hyperlink>
      <w:r>
        <w:t xml:space="preserve">. </w:t>
      </w:r>
    </w:p>
  </w:endnote>
  <w:endnote w:id="3">
    <w:p w14:paraId="61D8BD76" w14:textId="7BDD9B4E" w:rsidR="008E64D3" w:rsidRPr="00F80F67" w:rsidRDefault="008E64D3" w:rsidP="00DE64FF">
      <w:pPr>
        <w:pStyle w:val="EndnoteText"/>
        <w:rPr>
          <w:rFonts w:cs="Open Sans"/>
        </w:rPr>
      </w:pPr>
      <w:r w:rsidRPr="00F80F67">
        <w:rPr>
          <w:rStyle w:val="EndnoteReference"/>
          <w:rFonts w:cs="Open Sans"/>
        </w:rPr>
        <w:endnoteRef/>
      </w:r>
      <w:r w:rsidRPr="00F80F67">
        <w:rPr>
          <w:rFonts w:cs="Open Sans"/>
        </w:rPr>
        <w:t xml:space="preserve"> More information about the Project can be found at: </w:t>
      </w:r>
      <w:hyperlink r:id="rId3" w:history="1">
        <w:r w:rsidR="009F3E19" w:rsidRPr="00685756">
          <w:rPr>
            <w:rStyle w:val="Hyperlink"/>
            <w:rFonts w:cs="Open Sans"/>
          </w:rPr>
          <w:t>www.tech.humanrights.gov.au</w:t>
        </w:r>
      </w:hyperlink>
      <w:r w:rsidR="009F3E19">
        <w:rPr>
          <w:rFonts w:cs="Open Sans"/>
        </w:rPr>
        <w:t xml:space="preserve"> </w:t>
      </w:r>
    </w:p>
  </w:endnote>
  <w:endnote w:id="4">
    <w:p w14:paraId="6CD6AAFC" w14:textId="5B32D9F4" w:rsidR="008E64D3" w:rsidRPr="006E3D59" w:rsidRDefault="008E64D3">
      <w:pPr>
        <w:pStyle w:val="EndnoteText"/>
      </w:pPr>
      <w:r>
        <w:rPr>
          <w:rStyle w:val="EndnoteReference"/>
        </w:rPr>
        <w:endnoteRef/>
      </w:r>
      <w:r>
        <w:t xml:space="preserve"> Commonwealth Ombudsman </w:t>
      </w:r>
      <w:r>
        <w:rPr>
          <w:i/>
          <w:iCs/>
        </w:rPr>
        <w:t xml:space="preserve">Centrelink’s automated debt raising and recovery system: A report about the Department of Human Services’ Online Compliance Intervention System for Debt Raising an Recovery </w:t>
      </w:r>
      <w:r>
        <w:t xml:space="preserve">(April 2017), 1 at </w:t>
      </w:r>
      <w:hyperlink r:id="rId4" w:history="1">
        <w:r>
          <w:rPr>
            <w:rStyle w:val="Hyperlink"/>
          </w:rPr>
          <w:t>http://www.ombudsman.gov.au/__data/assets/pdf_file/0022/43528/Report-Centrelinks-automated-debt-raising-and-recovery-system-April-2017.pdf</w:t>
        </w:r>
      </w:hyperlink>
      <w:r>
        <w:t xml:space="preserve"> </w:t>
      </w:r>
    </w:p>
  </w:endnote>
  <w:endnote w:id="5">
    <w:p w14:paraId="4281A259" w14:textId="0AAB911D" w:rsidR="008E64D3" w:rsidRDefault="008E64D3">
      <w:pPr>
        <w:pStyle w:val="EndnoteText"/>
      </w:pPr>
      <w:r>
        <w:rPr>
          <w:rStyle w:val="EndnoteReference"/>
        </w:rPr>
        <w:endnoteRef/>
      </w:r>
      <w:r>
        <w:t xml:space="preserve"> Commonwealth Ombudsman </w:t>
      </w:r>
      <w:r>
        <w:rPr>
          <w:i/>
          <w:iCs/>
        </w:rPr>
        <w:t xml:space="preserve">Centrelink’s automated debt raising and recovery system: A report about the Department of Human Services’ Online Compliance Intervention System for Debt Raising an Recovery </w:t>
      </w:r>
      <w:r>
        <w:t xml:space="preserve">(April 2017), 5 at </w:t>
      </w:r>
      <w:hyperlink r:id="rId5" w:history="1">
        <w:r>
          <w:rPr>
            <w:rStyle w:val="Hyperlink"/>
          </w:rPr>
          <w:t>http://www.ombudsman.gov.au/__data/assets/pdf_file/0022/43528/Report-Centrelinks-automated-debt-raising-and-recovery-system-April-2017.pdf</w:t>
        </w:r>
      </w:hyperlink>
    </w:p>
  </w:endnote>
  <w:endnote w:id="6">
    <w:p w14:paraId="08FBFF06" w14:textId="58A5E9BD" w:rsidR="008E64D3" w:rsidRDefault="008E64D3">
      <w:pPr>
        <w:pStyle w:val="EndnoteText"/>
      </w:pPr>
      <w:r>
        <w:rPr>
          <w:rStyle w:val="EndnoteReference"/>
        </w:rPr>
        <w:endnoteRef/>
      </w:r>
      <w:r>
        <w:t xml:space="preserve"> Errors and discrepancies arose when an assumption was made about income, and, consequently, incorrect information being included in the OCI’s calculation: see Senate Standing Committee on Community Affairs </w:t>
      </w:r>
      <w:r>
        <w:rPr>
          <w:i/>
          <w:iCs/>
        </w:rPr>
        <w:t xml:space="preserve">Design, scope, cost-benefit analysis, contracts awarded and implementation associated with the Better Management of the Social Welfare System initiative </w:t>
      </w:r>
      <w:r>
        <w:t xml:space="preserve">(21 June 2017), [2.85]-[2.101], </w:t>
      </w:r>
      <w:hyperlink r:id="rId6" w:history="1">
        <w:r>
          <w:rPr>
            <w:rStyle w:val="Hyperlink"/>
          </w:rPr>
          <w:t>https://www.aph.gov.au/parliamentary_business/committees/senate/community_affairs/socialwelfaresystem/Report/c02</w:t>
        </w:r>
      </w:hyperlink>
      <w:r>
        <w:t xml:space="preserve"> </w:t>
      </w:r>
    </w:p>
  </w:endnote>
  <w:endnote w:id="7">
    <w:p w14:paraId="44B8A109" w14:textId="532AEC88" w:rsidR="008E64D3" w:rsidRPr="00F31E18" w:rsidRDefault="008E64D3">
      <w:pPr>
        <w:pStyle w:val="EndnoteText"/>
      </w:pPr>
      <w:r>
        <w:rPr>
          <w:rStyle w:val="EndnoteReference"/>
        </w:rPr>
        <w:endnoteRef/>
      </w:r>
      <w:r>
        <w:t xml:space="preserve"> See, for example, Australian Council of Social Service, Submission 31 to the Senate Standing Committee on Community Affairs inquiry into the </w:t>
      </w:r>
      <w:r>
        <w:rPr>
          <w:i/>
          <w:iCs/>
        </w:rPr>
        <w:t>Design, scope, cost-benefit analysis, contracts awarded and implementation associated with the Better Management of the Social Welfare System Initiative</w:t>
      </w:r>
      <w:r>
        <w:t xml:space="preserve"> (March 2017), at </w:t>
      </w:r>
      <w:hyperlink r:id="rId7" w:history="1">
        <w:r>
          <w:rPr>
            <w:rStyle w:val="Hyperlink"/>
          </w:rPr>
          <w:t>https://www.aph.gov.au/Parliamentary_Business/Committees/Senate/Community_Affairs/SocialWelfareSystem/Submissions</w:t>
        </w:r>
      </w:hyperlink>
      <w:r>
        <w:t xml:space="preserve"> </w:t>
      </w:r>
    </w:p>
  </w:endnote>
  <w:endnote w:id="8">
    <w:p w14:paraId="3E25793D" w14:textId="6731A474" w:rsidR="008E64D3" w:rsidRDefault="008E64D3">
      <w:pPr>
        <w:pStyle w:val="EndnoteText"/>
      </w:pPr>
      <w:r>
        <w:rPr>
          <w:rStyle w:val="EndnoteReference"/>
        </w:rPr>
        <w:endnoteRef/>
      </w:r>
      <w:r>
        <w:t xml:space="preserve"> Senate Standing Committee on Community Affairs </w:t>
      </w:r>
      <w:r>
        <w:rPr>
          <w:i/>
          <w:iCs/>
        </w:rPr>
        <w:t xml:space="preserve">Design, scope, cost-benefit analysis, contracts awarded and implementation associated with the Better Management of the Social Welfare System initiative </w:t>
      </w:r>
      <w:r>
        <w:t xml:space="preserve">(21 June 2017), [1.23] </w:t>
      </w:r>
      <w:hyperlink r:id="rId8" w:history="1">
        <w:r>
          <w:rPr>
            <w:rStyle w:val="Hyperlink"/>
          </w:rPr>
          <w:t>https://www.aph.gov.au/parliamentary_business/committees/senate/community_affairs/socialwelfaresystem/Report/c02</w:t>
        </w:r>
      </w:hyperlink>
    </w:p>
  </w:endnote>
  <w:endnote w:id="9">
    <w:p w14:paraId="6191EC1F" w14:textId="6AEEC09F" w:rsidR="008E64D3" w:rsidRPr="00DD1949" w:rsidRDefault="008E64D3">
      <w:pPr>
        <w:pStyle w:val="EndnoteText"/>
        <w:rPr>
          <w:i/>
          <w:iCs/>
        </w:rPr>
      </w:pPr>
      <w:r>
        <w:rPr>
          <w:rStyle w:val="EndnoteReference"/>
        </w:rPr>
        <w:endnoteRef/>
      </w:r>
      <w:r>
        <w:t xml:space="preserve"> See Senate Standing Committee on Community Affairs ‘Chapter 3 – Communicating with Centrelink’ </w:t>
      </w:r>
      <w:r>
        <w:rPr>
          <w:i/>
          <w:iCs/>
        </w:rPr>
        <w:t xml:space="preserve">Design, scope, cost-benefit analysis, contracts awarded and implementation associated with the Better Management of the Social Welfare System initiative </w:t>
      </w:r>
      <w:r>
        <w:t xml:space="preserve">(21 June 2017)  </w:t>
      </w:r>
      <w:hyperlink r:id="rId9" w:history="1">
        <w:r>
          <w:rPr>
            <w:rStyle w:val="Hyperlink"/>
          </w:rPr>
          <w:t>https://www.aph.gov.au/parliamentary_business/committees/senate/community_affairs/socialwelfaresystem/Report/c02</w:t>
        </w:r>
      </w:hyperlink>
    </w:p>
  </w:endnote>
  <w:endnote w:id="10">
    <w:p w14:paraId="70E0E8A4" w14:textId="46ED4B94"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rPr>
        <w:fldChar w:fldCharType="begin"/>
      </w:r>
      <w:r w:rsidRPr="00F80F67">
        <w:rPr>
          <w:rFonts w:cs="Open Sans"/>
        </w:rPr>
        <w:instrText xml:space="preserve"> ADDIN ZOTERO_ITEM CSL_CITATION {"citationID":"osZzQv0h","properties":{"formattedCitation":"{\\i{}International Covenant on Economic, Social and Cultural Rights}, opened for signature 16 December 1966, 993 UNTS 3 (entered into force 3 January 1976) art 22; {\\i{}Universal Declaration of Human Rights }, GA Res 217A (III), UN GAOR, 3rd Sess, 183rd Plen Mtg, UN Doc A/810 (10 December 1948) art 22.","plainCitation":"International Covenant on Economic, Social and Cultural Rights, opened for signature 16 December 1966, 993 UNTS 3 (entered into force 3 January 1976) art 22; Universal Declaration of Human Rights , GA Res 217A (III), UN GAOR, 3rd Sess, 183rd Plen Mtg, UN Doc A/810 (10 December 1948) art 22.","noteIndex":36},"citationItems":[{"id":213,"uris":["http://zotero.org/groups/1703699/items/UAE36X9C"],"uri":["http://zotero.org/groups/1703699/items/UAE36X9C"],"itemData":{"id":213,"type":"manuscript","title":"International Covenant on Economic, Social and Cultural Rights","genre":"opened for signature 16 December 1966, 993 UNTS 3 (entered into force 3 January 1976)"},"suffix":"art 22"},{"id":3560,"uris":["http://zotero.org/groups/1703699/items/ZCLR3Q7T"],"uri":["http://zotero.org/groups/1703699/items/ZCLR3Q7T"],"itemData":{"id":3560,"type":"bill","title":"&lt;i&gt;Universal Declaration of Human Rights &lt;/i&gt;, GA Res 217A (III), UN GAOR, 3rd sess, 183rd plen mtg, UN Doc A/810 (10 December 1948)"},"suffix":"art 22"}],"schema":"https://github.com/citation-style-language/schema/raw/master/csl-citation.json"} </w:instrText>
      </w:r>
      <w:r w:rsidRPr="00F80F67">
        <w:rPr>
          <w:rFonts w:cs="Open Sans"/>
        </w:rPr>
        <w:fldChar w:fldCharType="separate"/>
      </w:r>
      <w:r w:rsidRPr="00F80F67">
        <w:rPr>
          <w:rFonts w:cs="Open Sans"/>
          <w:i/>
          <w:iCs/>
        </w:rPr>
        <w:t>International Covenant on Economic, Social and Cultural Rights</w:t>
      </w:r>
      <w:r w:rsidRPr="00F80F67">
        <w:rPr>
          <w:rFonts w:cs="Open Sans"/>
        </w:rPr>
        <w:t xml:space="preserve">, opened for signature 16 December 1966, 993 UNTS 3 (entered into force 3 January 1976) art 22; </w:t>
      </w:r>
      <w:r w:rsidRPr="00F80F67">
        <w:rPr>
          <w:rFonts w:cs="Open Sans"/>
          <w:i/>
          <w:iCs/>
        </w:rPr>
        <w:t>Universal Declaration of Human Rights</w:t>
      </w:r>
      <w:r w:rsidRPr="00F80F67">
        <w:rPr>
          <w:rFonts w:cs="Open Sans"/>
        </w:rPr>
        <w:t xml:space="preserve">, GA Res 217A (III), UN GAOR, 3rd Sess, 183rd Plen Mtg, UN Doc A/810 (10 December 1948) </w:t>
      </w:r>
      <w:r w:rsidR="00683885">
        <w:rPr>
          <w:rFonts w:cs="Open Sans"/>
        </w:rPr>
        <w:t>A</w:t>
      </w:r>
      <w:r w:rsidRPr="00F80F67">
        <w:rPr>
          <w:rFonts w:cs="Open Sans"/>
        </w:rPr>
        <w:t>rt 22.</w:t>
      </w:r>
      <w:r w:rsidRPr="00F80F67">
        <w:rPr>
          <w:rFonts w:cs="Open Sans"/>
        </w:rPr>
        <w:fldChar w:fldCharType="end"/>
      </w:r>
    </w:p>
  </w:endnote>
  <w:endnote w:id="11">
    <w:p w14:paraId="7F49CD77" w14:textId="77777777"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UN Committee on Economic, Social and Cultural Rights </w:t>
      </w:r>
      <w:r w:rsidRPr="00F80F67">
        <w:rPr>
          <w:rFonts w:cs="Open Sans"/>
          <w:i/>
          <w:iCs/>
        </w:rPr>
        <w:t xml:space="preserve">General Comment No. 19: The right to social security (Art 9 of the Covenant), </w:t>
      </w:r>
      <w:r w:rsidRPr="00F80F67">
        <w:rPr>
          <w:rFonts w:cs="Open Sans"/>
        </w:rPr>
        <w:t>39</w:t>
      </w:r>
      <w:r w:rsidRPr="00F80F67">
        <w:rPr>
          <w:rFonts w:cs="Open Sans"/>
          <w:vertAlign w:val="superscript"/>
        </w:rPr>
        <w:t xml:space="preserve">th </w:t>
      </w:r>
      <w:r w:rsidRPr="00F80F67">
        <w:rPr>
          <w:rFonts w:cs="Open Sans"/>
        </w:rPr>
        <w:t xml:space="preserve">session, UN Doc E/C.12/GC/19 (4 February 2008), [4].  </w:t>
      </w:r>
    </w:p>
  </w:endnote>
  <w:endnote w:id="12">
    <w:p w14:paraId="4D5C5207" w14:textId="77777777"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Ibid [31]. </w:t>
      </w:r>
    </w:p>
  </w:endnote>
  <w:endnote w:id="13">
    <w:p w14:paraId="69C3C3DC" w14:textId="77777777"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Ibid [24]. </w:t>
      </w:r>
    </w:p>
  </w:endnote>
  <w:endnote w:id="14">
    <w:p w14:paraId="163DCFA7" w14:textId="5A13809D"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Ibid</w:t>
      </w:r>
      <w:r w:rsidR="009F3E19">
        <w:rPr>
          <w:rFonts w:cs="Open Sans"/>
        </w:rPr>
        <w:t xml:space="preserve"> [24].</w:t>
      </w:r>
    </w:p>
  </w:endnote>
  <w:endnote w:id="15">
    <w:p w14:paraId="5C53EF64" w14:textId="7E58B3B4" w:rsidR="008E64D3" w:rsidRPr="003368C0" w:rsidRDefault="008E64D3" w:rsidP="00282354">
      <w:pPr>
        <w:pStyle w:val="EndnoteText"/>
        <w:rPr>
          <w:rFonts w:cs="Open Sans"/>
        </w:rPr>
      </w:pPr>
      <w:r w:rsidRPr="00F80F67">
        <w:rPr>
          <w:rStyle w:val="EndnoteReference"/>
          <w:rFonts w:cs="Open Sans"/>
        </w:rPr>
        <w:endnoteRef/>
      </w:r>
      <w:r w:rsidRPr="00F80F67">
        <w:rPr>
          <w:rFonts w:cs="Open Sans"/>
        </w:rPr>
        <w:t xml:space="preserve"> </w:t>
      </w:r>
      <w:r w:rsidRPr="003368C0">
        <w:rPr>
          <w:rFonts w:cs="Open Sans"/>
          <w:i/>
          <w:iCs/>
        </w:rPr>
        <w:t xml:space="preserve">International Covenant on Civil and Political Rights, </w:t>
      </w:r>
      <w:r>
        <w:rPr>
          <w:rFonts w:cs="Open Sans"/>
        </w:rPr>
        <w:t xml:space="preserve">opened for signature on 19 December 1966, 999 UNTS 171 (entered into force 23 March 1976), </w:t>
      </w:r>
      <w:r w:rsidR="00683885">
        <w:rPr>
          <w:rFonts w:cs="Open Sans"/>
        </w:rPr>
        <w:t>A</w:t>
      </w:r>
      <w:r>
        <w:rPr>
          <w:rFonts w:cs="Open Sans"/>
        </w:rPr>
        <w:t xml:space="preserve">rt 2(3). </w:t>
      </w:r>
    </w:p>
  </w:endnote>
  <w:endnote w:id="16">
    <w:p w14:paraId="1B13B23C" w14:textId="7AD6FAB0" w:rsidR="008E64D3" w:rsidRPr="00925A93" w:rsidRDefault="008E64D3" w:rsidP="00282354">
      <w:pPr>
        <w:pStyle w:val="EndnoteText"/>
        <w:rPr>
          <w:rFonts w:cs="Open Sans"/>
        </w:rPr>
      </w:pPr>
      <w:r w:rsidRPr="00F80F67">
        <w:rPr>
          <w:rStyle w:val="EndnoteReference"/>
          <w:rFonts w:cs="Open Sans"/>
        </w:rPr>
        <w:endnoteRef/>
      </w:r>
      <w:r w:rsidRPr="00F80F67">
        <w:rPr>
          <w:rFonts w:cs="Open Sans"/>
        </w:rPr>
        <w:t xml:space="preserve"> </w:t>
      </w:r>
      <w:r>
        <w:rPr>
          <w:rFonts w:cs="Open Sans"/>
          <w:i/>
          <w:iCs/>
        </w:rPr>
        <w:t xml:space="preserve">International Convention on the Rights of the Child, </w:t>
      </w:r>
      <w:r>
        <w:rPr>
          <w:rFonts w:cs="Open Sans"/>
        </w:rPr>
        <w:t xml:space="preserve">opened for signature on 20 November 1989 (entered into force 2 September 1990), </w:t>
      </w:r>
      <w:r w:rsidR="00683885">
        <w:rPr>
          <w:rFonts w:cs="Open Sans"/>
        </w:rPr>
        <w:t>A</w:t>
      </w:r>
      <w:r>
        <w:rPr>
          <w:rFonts w:cs="Open Sans"/>
        </w:rPr>
        <w:t xml:space="preserve">rt’s 3(2), 18(3). </w:t>
      </w:r>
    </w:p>
  </w:endnote>
  <w:endnote w:id="17">
    <w:p w14:paraId="5DA978A5" w14:textId="77777777"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i/>
          <w:iCs/>
        </w:rPr>
        <w:t>International Covenant on Economic, Social and Cultural Rights</w:t>
      </w:r>
      <w:r w:rsidRPr="00F80F67">
        <w:rPr>
          <w:rFonts w:cs="Open Sans"/>
        </w:rPr>
        <w:t>, opened for signature 16 December 1966, 993 UNTS 3 (entered into force 3 January 1976)</w:t>
      </w:r>
      <w:r>
        <w:rPr>
          <w:rFonts w:cs="Open Sans"/>
        </w:rPr>
        <w:t xml:space="preserve">, Art 12(1). </w:t>
      </w:r>
    </w:p>
  </w:endnote>
  <w:endnote w:id="18">
    <w:p w14:paraId="49862B68" w14:textId="77777777"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i/>
          <w:iCs/>
        </w:rPr>
        <w:t>International Covenant on Economic, Social and Cultural Rights</w:t>
      </w:r>
      <w:r w:rsidRPr="00F80F67">
        <w:rPr>
          <w:rFonts w:cs="Open Sans"/>
        </w:rPr>
        <w:t>, opened for signature 16 December 1966, 993 UNTS 3 (entered into force 3 January 1976)</w:t>
      </w:r>
      <w:r>
        <w:rPr>
          <w:rFonts w:cs="Open Sans"/>
        </w:rPr>
        <w:t>, Art 6.</w:t>
      </w:r>
    </w:p>
  </w:endnote>
  <w:endnote w:id="19">
    <w:p w14:paraId="3B3C09FA" w14:textId="77777777"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i/>
          <w:iCs/>
        </w:rPr>
        <w:t>International Covenant on Economic, Social and Cultural Rights</w:t>
      </w:r>
      <w:r w:rsidRPr="00F80F67">
        <w:rPr>
          <w:rFonts w:cs="Open Sans"/>
        </w:rPr>
        <w:t>, opened for signature 16 December 1966, 993 UNTS 3 (entered into force 3 January 1976)</w:t>
      </w:r>
      <w:r>
        <w:rPr>
          <w:rFonts w:cs="Open Sans"/>
        </w:rPr>
        <w:t xml:space="preserve"> Art 11.</w:t>
      </w:r>
    </w:p>
  </w:endnote>
  <w:endnote w:id="20">
    <w:p w14:paraId="09578375" w14:textId="31128818" w:rsidR="008E64D3" w:rsidRPr="00F80F67" w:rsidRDefault="008E64D3" w:rsidP="00282354">
      <w:pPr>
        <w:pStyle w:val="EndnoteText"/>
        <w:rPr>
          <w:rFonts w:cs="Open Sans"/>
        </w:rPr>
      </w:pPr>
      <w:r w:rsidRPr="00F80F67">
        <w:rPr>
          <w:rStyle w:val="EndnoteReference"/>
          <w:rFonts w:cs="Open Sans"/>
        </w:rPr>
        <w:endnoteRef/>
      </w:r>
      <w:r w:rsidRPr="00F80F67">
        <w:rPr>
          <w:rFonts w:cs="Open Sans"/>
        </w:rPr>
        <w:t xml:space="preserve"> UN Committee on Economic, Social and Cultural Rights </w:t>
      </w:r>
      <w:r w:rsidRPr="00F80F67">
        <w:rPr>
          <w:rFonts w:cs="Open Sans"/>
          <w:i/>
          <w:iCs/>
        </w:rPr>
        <w:t xml:space="preserve">General Comment No. 19: The right to social security (Art 9 of the Covenant), </w:t>
      </w:r>
      <w:r w:rsidRPr="00F80F67">
        <w:rPr>
          <w:rFonts w:cs="Open Sans"/>
        </w:rPr>
        <w:t>39</w:t>
      </w:r>
      <w:r w:rsidRPr="00F80F67">
        <w:rPr>
          <w:rFonts w:cs="Open Sans"/>
          <w:vertAlign w:val="superscript"/>
        </w:rPr>
        <w:t xml:space="preserve">th </w:t>
      </w:r>
      <w:r w:rsidRPr="00F80F67">
        <w:rPr>
          <w:rFonts w:cs="Open Sans"/>
        </w:rPr>
        <w:t xml:space="preserve">session, UN Doc E/C.12/GC/19 (4 February 2008), [3]. </w:t>
      </w:r>
    </w:p>
  </w:endnote>
  <w:endnote w:id="21">
    <w:p w14:paraId="299211C8" w14:textId="5C2B6264" w:rsidR="008E64D3" w:rsidRDefault="008E64D3">
      <w:pPr>
        <w:pStyle w:val="EndnoteText"/>
      </w:pPr>
      <w:r>
        <w:rPr>
          <w:rStyle w:val="EndnoteReference"/>
        </w:rPr>
        <w:endnoteRef/>
      </w:r>
      <w:r>
        <w:t xml:space="preserve"> For detailed analysis of the human rights implications of AI technologies, including the phenomenon of algorithmic bias, see, for example, </w:t>
      </w:r>
      <w:r w:rsidRPr="000A15D9">
        <w:rPr>
          <w:rFonts w:cs="Open Sans"/>
        </w:rPr>
        <w:fldChar w:fldCharType="begin"/>
      </w:r>
      <w:r w:rsidRPr="000A15D9">
        <w:rPr>
          <w:rFonts w:cs="Open Sans"/>
        </w:rPr>
        <w:instrText xml:space="preserve"> ADDIN ZOTERO_ITEM CSL_CITATION {"citationID":"L2Eads8D","properties":{"formattedCitation":"Mark Latonero, \\uc0\\u8216{}Governing Artificial Intelligence: Upholding Human Rights &amp; Dignity\\uc0\\u8217{} (Data&amp;Society, 2018).; Mark Hodge and Dunstan Allison-Hope, \\uc0\\u8216{}Artificial Intelligence: A Rights-Based Blueprint for Business,\\uc0\\u8217{} (Working Paper No 2, BSR, 2018).; Filippo Raso, Hannah Hilligoss, Vivek Krishnamurthy, Christopher Bavitz and Levin Kim, \\uc0\\u8216{}Artificial Intelligence &amp; Human Rights: Opportunities &amp; Risks\\uc0\\u8217{} {\\i{}Berkman Klein Center Research Publication No 2018-6}.","plainCitation":"Mark Latonero, ‘Governing Artificial Intelligence: Upholding Human Rights &amp; Dignity’ (Data&amp;Society, 2018).; Mark Hodge and Dunstan Allison-Hope, ‘Artificial Intelligence: A Rights-Based Blueprint for Business,’ (Working Paper No 2, BSR, 2018).; Filippo Raso, Hannah Hilligoss, Vivek Krishnamurthy, Christopher Bavitz and Levin Kim, ‘Artificial Intelligence &amp; Human Rights: Opportunities &amp; Risks’ Berkman Klein Center Research Publication No 2018-6.","noteIndex":89},"citationItems":[{"id":1587,"uris":["http://zotero.org/groups/1703699/items/3VZ2EWZ4"],"uri":["http://zotero.org/groups/1703699/items/3VZ2EWZ4"],"itemData":{"id":1587,"type":"bill","title":"Mark Latonero, 'Governing Artificial Intelligence: Upholding Human Rights &amp; Dignity' (Data&amp;Society, 2018)."}},{"id":1598,"uris":["http://zotero.org/groups/1703699/items/AVP7DU7Q"],"uri":["http://zotero.org/groups/1703699/items/AVP7DU7Q"],"itemData":{"id":1598,"type":"bill","title":"Mark Hodge and Dunstan Allison-Hope, 'Artificial Intelligence: A Rights-Based Blueprint for Business,' (Working Paper No 2, BSR, 2018)."}},{"id":3592,"uris":["http://zotero.org/groups/1703699/items/MKYM6FQU"],"uri":["http://zotero.org/groups/1703699/items/MKYM6FQU"],"itemData":{"id":3592,"type":"bill","title":"Filippo Raso, Hannah Hilligoss, Vivek Krishnamurthy, Christopher Bavitz and Levin Kim, 'Artificial Intelligence &amp; Human Rights: Opportunities &amp; Risks' &lt;i&gt;Berkman Klein Center Research Publication No 2018-6&lt;/i&gt;"}}],"schema":"https://github.com/citation-style-language/schema/raw/master/csl-citation.json"} </w:instrText>
      </w:r>
      <w:r w:rsidRPr="000A15D9">
        <w:rPr>
          <w:rFonts w:cs="Open Sans"/>
        </w:rPr>
        <w:fldChar w:fldCharType="separate"/>
      </w:r>
      <w:r w:rsidRPr="000A15D9">
        <w:rPr>
          <w:rFonts w:cs="Open Sans"/>
        </w:rPr>
        <w:t>Mark Latonero, ‘Governing Artificial Intelligence: Upholding Human Rights &amp; Dignity’ (Data&amp;Society, 2018); Mark Hodge and Dunstan Allison-Hope, ‘Artificial Intelligence: A Rights-Based Blueprint for Business,’ (Working Paper No 2, BSR, 2018); Filippo Raso et al, ‘Artificial Intelligence &amp; Human Rights: Opportunities &amp; Risks’ (Berkman Klein Center Research Publication No 2018-6).</w:t>
      </w:r>
      <w:r w:rsidRPr="000A15D9">
        <w:rPr>
          <w:rFonts w:cs="Open Sans"/>
        </w:rPr>
        <w:fldChar w:fldCharType="end"/>
      </w:r>
    </w:p>
  </w:endnote>
  <w:endnote w:id="22">
    <w:p w14:paraId="0BA3CBD9" w14:textId="02457B13" w:rsidR="008E64D3" w:rsidRDefault="008E64D3">
      <w:pPr>
        <w:pStyle w:val="EndnoteText"/>
      </w:pPr>
      <w:r>
        <w:rPr>
          <w:rStyle w:val="EndnoteReference"/>
        </w:rPr>
        <w:endnoteRef/>
      </w:r>
      <w:r>
        <w:t xml:space="preserve"> </w:t>
      </w:r>
      <w:r w:rsidRPr="000A15D9">
        <w:rPr>
          <w:rFonts w:cs="Open Sans"/>
        </w:rPr>
        <w:fldChar w:fldCharType="begin"/>
      </w:r>
      <w:r w:rsidRPr="000A15D9">
        <w:rPr>
          <w:rFonts w:cs="Open Sans"/>
        </w:rPr>
        <w:instrText xml:space="preserve"> ADDIN ZOTERO_ITEM CSL_CITATION {"citationID":"YzCRHaUl","properties":{"formattedCitation":"{\\i{}International Covenant on Civil and Political Rights}, opened for signature 16 December 1966, 999 UNTS 171 (entered into force 23 March 1976) art 2.","plainCitation":"International Covenant on Civil and Political Rights, opened for signature 16 December 1966, 999 UNTS 171 (entered into force 23 March 1976) art 2.","noteIndex":69},"citationItems":[{"id":470,"uris":["http://zotero.org/groups/1703699/items/YEB923KK"],"uri":["http://zotero.org/groups/1703699/items/YEB923KK"],"itemData":{"id":470,"type":"manuscript","title":"International Covenant on Civil and Political Rights","genre":"opened for signature 16 December 1966, 999 UNTS 171 (entered into force 23 March 1976)","accessed":{"date-parts":[["2013",9,23]]}},"suffix":"art 2"}],"schema":"https://github.com/citation-style-language/schema/raw/master/csl-citation.json"} </w:instrText>
      </w:r>
      <w:r w:rsidRPr="000A15D9">
        <w:rPr>
          <w:rFonts w:cs="Open Sans"/>
        </w:rPr>
        <w:fldChar w:fldCharType="separate"/>
      </w:r>
      <w:r>
        <w:rPr>
          <w:rFonts w:cs="Open Sans"/>
          <w:i/>
          <w:iCs/>
        </w:rPr>
        <w:t>International Covenant on Civil and Political Rights</w:t>
      </w:r>
      <w:r>
        <w:rPr>
          <w:rFonts w:cs="Open Sans"/>
        </w:rPr>
        <w:t xml:space="preserve">, </w:t>
      </w:r>
      <w:r w:rsidRPr="000A15D9">
        <w:rPr>
          <w:rFonts w:cs="Open Sans"/>
        </w:rPr>
        <w:t>art 2.</w:t>
      </w:r>
      <w:r w:rsidRPr="000A15D9">
        <w:rPr>
          <w:rFonts w:cs="Open Sans"/>
        </w:rPr>
        <w:fldChar w:fldCharType="end"/>
      </w:r>
      <w:r w:rsidRPr="00F55FDA">
        <w:rPr>
          <w:rFonts w:cs="Open Sans"/>
        </w:rPr>
        <w:t xml:space="preserve"> See also</w:t>
      </w:r>
      <w:r>
        <w:rPr>
          <w:rFonts w:cs="Open Sans"/>
          <w:lang w:val="en-US"/>
        </w:rPr>
        <w:t>:</w:t>
      </w:r>
      <w:r w:rsidRPr="000A15D9">
        <w:rPr>
          <w:rFonts w:cs="Open Sans"/>
          <w:lang w:val="en-US"/>
        </w:rPr>
        <w:t xml:space="preserve"> </w:t>
      </w:r>
      <w:r w:rsidRPr="00F55FDA">
        <w:rPr>
          <w:rFonts w:cs="Open Sans"/>
          <w:i/>
          <w:iCs/>
          <w:lang w:val="en-US"/>
        </w:rPr>
        <w:t>Convention on the Elimination of All Forms of Discrimination Against Women</w:t>
      </w:r>
      <w:r w:rsidRPr="000A15D9">
        <w:rPr>
          <w:rFonts w:cs="Open Sans"/>
          <w:i/>
          <w:iCs/>
          <w:lang w:val="en-US"/>
        </w:rPr>
        <w:t xml:space="preserve">, </w:t>
      </w:r>
      <w:r w:rsidRPr="000A15D9">
        <w:rPr>
          <w:rFonts w:cs="Open Sans"/>
          <w:lang w:val="en-US"/>
        </w:rPr>
        <w:t xml:space="preserve">opened for signature 18 December 1979, Treaty Series, vol. 1249 (entered into force 3 September 1981) arts 11 and 14(2)(e); </w:t>
      </w:r>
      <w:r w:rsidRPr="00F55FDA">
        <w:rPr>
          <w:rFonts w:cs="Open Sans"/>
          <w:i/>
          <w:iCs/>
          <w:lang w:val="en-US"/>
        </w:rPr>
        <w:t>International C</w:t>
      </w:r>
      <w:r w:rsidRPr="000A15D9">
        <w:rPr>
          <w:rFonts w:cs="Open Sans"/>
          <w:i/>
          <w:iCs/>
          <w:lang w:val="en-US"/>
        </w:rPr>
        <w:t>onvention on the Elimination of All Forms of Discrimination</w:t>
      </w:r>
      <w:r w:rsidRPr="000A15D9">
        <w:rPr>
          <w:rFonts w:cs="Open Sans"/>
          <w:lang w:val="en-US"/>
        </w:rPr>
        <w:t>, opened for signature 21 December 1965, 660 UNTS 195 (entered into force 4 January 1969) arts 5(e)(</w:t>
      </w:r>
      <w:proofErr w:type="spellStart"/>
      <w:r w:rsidRPr="000A15D9">
        <w:rPr>
          <w:rFonts w:cs="Open Sans"/>
          <w:lang w:val="en-US"/>
        </w:rPr>
        <w:t>i</w:t>
      </w:r>
      <w:proofErr w:type="spellEnd"/>
      <w:r w:rsidRPr="000A15D9">
        <w:rPr>
          <w:rFonts w:cs="Open Sans"/>
          <w:lang w:val="en-US"/>
        </w:rPr>
        <w:t xml:space="preserve">) and (ii); </w:t>
      </w:r>
      <w:r w:rsidRPr="000A15D9">
        <w:rPr>
          <w:rFonts w:cs="Open Sans"/>
          <w:i/>
          <w:iCs/>
          <w:lang w:val="en-US"/>
        </w:rPr>
        <w:t>Convention on the Rights of Persons with Disabilities</w:t>
      </w:r>
      <w:r w:rsidRPr="000A15D9">
        <w:rPr>
          <w:rFonts w:cs="Open Sans"/>
          <w:lang w:val="en-US"/>
        </w:rPr>
        <w:t>, GA61/106, 61</w:t>
      </w:r>
      <w:r w:rsidRPr="000A15D9">
        <w:rPr>
          <w:rFonts w:cs="Open Sans"/>
          <w:vertAlign w:val="superscript"/>
          <w:lang w:val="en-US"/>
        </w:rPr>
        <w:t>st</w:t>
      </w:r>
      <w:r w:rsidRPr="00F55FDA">
        <w:rPr>
          <w:rFonts w:cs="Open Sans"/>
          <w:lang w:val="en-US"/>
        </w:rPr>
        <w:t xml:space="preserve"> </w:t>
      </w:r>
      <w:proofErr w:type="spellStart"/>
      <w:r w:rsidRPr="00F55FDA">
        <w:rPr>
          <w:rFonts w:cs="Open Sans"/>
          <w:lang w:val="en-US"/>
        </w:rPr>
        <w:t>ses</w:t>
      </w:r>
      <w:r w:rsidRPr="000A15D9">
        <w:rPr>
          <w:rFonts w:cs="Open Sans"/>
          <w:lang w:val="en-US"/>
        </w:rPr>
        <w:t>s</w:t>
      </w:r>
      <w:proofErr w:type="spellEnd"/>
      <w:r w:rsidRPr="000A15D9">
        <w:rPr>
          <w:rFonts w:cs="Open Sans"/>
          <w:lang w:val="en-US"/>
        </w:rPr>
        <w:t>, 106</w:t>
      </w:r>
      <w:r w:rsidRPr="000A15D9">
        <w:rPr>
          <w:rFonts w:cs="Open Sans"/>
          <w:vertAlign w:val="superscript"/>
          <w:lang w:val="en-US"/>
        </w:rPr>
        <w:t>th</w:t>
      </w:r>
      <w:r w:rsidRPr="00F55FDA">
        <w:rPr>
          <w:rFonts w:cs="Open Sans"/>
          <w:lang w:val="en-US"/>
        </w:rPr>
        <w:t xml:space="preserve"> plena</w:t>
      </w:r>
      <w:r w:rsidRPr="000A15D9">
        <w:rPr>
          <w:rFonts w:cs="Open Sans"/>
          <w:lang w:val="en-US"/>
        </w:rPr>
        <w:t xml:space="preserve">ry meeting, A/RES/61/106 (24 January 2007), </w:t>
      </w:r>
      <w:r w:rsidR="00683885">
        <w:rPr>
          <w:rFonts w:cs="Open Sans"/>
          <w:lang w:val="en-US"/>
        </w:rPr>
        <w:t>A</w:t>
      </w:r>
      <w:r w:rsidRPr="000A15D9">
        <w:rPr>
          <w:rFonts w:cs="Open Sans"/>
          <w:lang w:val="en-US"/>
        </w:rPr>
        <w:t>rt 27.</w:t>
      </w:r>
    </w:p>
  </w:endnote>
  <w:endnote w:id="23">
    <w:p w14:paraId="6BAF0967" w14:textId="4E354F08" w:rsidR="008E64D3" w:rsidRDefault="008E64D3">
      <w:pPr>
        <w:pStyle w:val="EndnoteText"/>
      </w:pPr>
      <w:r>
        <w:rPr>
          <w:rStyle w:val="EndnoteReference"/>
        </w:rPr>
        <w:endnoteRef/>
      </w:r>
      <w:r>
        <w:t xml:space="preserve"> See, </w:t>
      </w:r>
      <w:r w:rsidR="008A25AC">
        <w:t>for example</w:t>
      </w:r>
      <w:r>
        <w:t xml:space="preserve">, Australian Human Rights Commission </w:t>
      </w:r>
      <w:r>
        <w:rPr>
          <w:i/>
          <w:iCs/>
        </w:rPr>
        <w:t>Human Rights and Technology Issues Paper</w:t>
      </w:r>
      <w:r>
        <w:t xml:space="preserve"> (July 2018), 29.</w:t>
      </w:r>
    </w:p>
  </w:endnote>
  <w:endnote w:id="24">
    <w:p w14:paraId="00679E16" w14:textId="1913E7D4" w:rsidR="008E64D3" w:rsidRPr="006B0EB3" w:rsidRDefault="008E64D3">
      <w:pPr>
        <w:pStyle w:val="EndnoteText"/>
      </w:pPr>
      <w:r>
        <w:rPr>
          <w:rStyle w:val="EndnoteReference"/>
        </w:rPr>
        <w:endnoteRef/>
      </w:r>
      <w:r>
        <w:t xml:space="preserve"> Australian Human Rights Commission </w:t>
      </w:r>
      <w:r>
        <w:rPr>
          <w:i/>
          <w:iCs/>
        </w:rPr>
        <w:t xml:space="preserve">Human Rights and Technology Issues Paper </w:t>
      </w:r>
      <w:r>
        <w:t xml:space="preserve">(July 2018) </w:t>
      </w:r>
      <w:hyperlink r:id="rId10" w:history="1">
        <w:r w:rsidRPr="00F04A93">
          <w:rPr>
            <w:rStyle w:val="Hyperlink"/>
          </w:rPr>
          <w:t>www.tech.humanrights.gov.au</w:t>
        </w:r>
      </w:hyperlink>
      <w:r>
        <w:t xml:space="preserve"> </w:t>
      </w:r>
    </w:p>
  </w:endnote>
  <w:endnote w:id="25">
    <w:p w14:paraId="0F134AA0" w14:textId="2EFBD3AA" w:rsidR="008E64D3" w:rsidRPr="00F80F67" w:rsidRDefault="008E64D3" w:rsidP="0083789F">
      <w:pPr>
        <w:pStyle w:val="EndnoteText"/>
        <w:rPr>
          <w:rFonts w:cs="Open Sans"/>
          <w:lang w:val="en-US"/>
        </w:rPr>
      </w:pPr>
      <w:r w:rsidRPr="00F80F67">
        <w:rPr>
          <w:rStyle w:val="EndnoteReference"/>
          <w:rFonts w:cs="Open Sans"/>
        </w:rPr>
        <w:endnoteRef/>
      </w:r>
      <w:r w:rsidRPr="00F80F67">
        <w:rPr>
          <w:rFonts w:cs="Open Sans"/>
        </w:rPr>
        <w:t xml:space="preserve"> </w:t>
      </w:r>
      <w:r w:rsidRPr="00F80F67">
        <w:rPr>
          <w:rFonts w:cs="Open Sans"/>
        </w:rPr>
        <w:fldChar w:fldCharType="begin"/>
      </w:r>
      <w:r w:rsidRPr="00F80F67">
        <w:rPr>
          <w:rFonts w:cs="Open Sans"/>
        </w:rPr>
        <w:instrText xml:space="preserve"> ADDIN ZOTERO_ITEM CSL_CITATION {"citationID":"XelxG0cu","properties":{"formattedCitation":"Senate Community Affairs References Committee, {\\i{}Design, Scope, Cost-Benefit Analysis, Contracts Awarded and Implementation Associated with the Better Management of the Social Welfare System Initiative} Parliament of Australia 106 &lt;https://www.aph.gov.au/Parliamentary_Business/Committees/Senate/Community_Affairs/SocialWelfareSystem&gt;.","plainCitation":"Senate Community Affairs References Committee, Design, Scope, Cost-Benefit Analysis, Contracts Awarded and Implementation Associated with the Better Management of the Social Welfare System Initiative Parliament of Australia 106 &lt;https://www.aph.gov.au/Parliamentary_Business/Committees/Senate/Community_Affairs/SocialWelfareSystem&gt;.","noteIndex":35},"citationItems":[{"id":1276,"uris":["http://zotero.org/groups/1703699/items/SZRCU5SZ"],"uri":["http://zotero.org/groups/1703699/items/SZRCU5SZ"],"itemData":{"id":1276,"type":"webpage","title":"Design, scope, cost-benefit analysis, contracts awarded and implementation associated with the Better Management of the Social Welfare System initiative","container-title":"Parliament of Australia","abstract":"Design, scope, cost-benefit analysis, contracts awarded and implementation associated with the Better Management of the Social Welfare System initiative","URL":"https://www.aph.gov.au/Parliamentary_Business/Committees/Senate/Community_Affairs/SocialWelfareSystem","language":"en-AU","author":[{"family":"Senate Community Affairs References Committee","given":""}],"accessed":{"date-parts":[["2018",12,4]]}},"locator":"106"}],"schema":"https://github.com/citation-style-language/schema/raw/master/csl-citation.json"} </w:instrText>
      </w:r>
      <w:r w:rsidRPr="00F80F67">
        <w:rPr>
          <w:rFonts w:cs="Open Sans"/>
        </w:rPr>
        <w:fldChar w:fldCharType="separate"/>
      </w:r>
      <w:r w:rsidRPr="00F80F67">
        <w:rPr>
          <w:rFonts w:cs="Open Sans"/>
        </w:rPr>
        <w:t xml:space="preserve">Senate Community Affairs References Committee, Parliament of Australia, </w:t>
      </w:r>
      <w:r w:rsidRPr="00F80F67">
        <w:rPr>
          <w:rFonts w:cs="Open Sans"/>
          <w:i/>
          <w:iCs/>
        </w:rPr>
        <w:t>Design, Scope, Cost-Benefit Analysis, Contracts Awarded and Implementation Associated with the Better Management of the Social Welfare System Initiative</w:t>
      </w:r>
      <w:r w:rsidRPr="00F80F67">
        <w:rPr>
          <w:rFonts w:cs="Open Sans"/>
        </w:rPr>
        <w:t>, 10</w:t>
      </w:r>
      <w:r>
        <w:rPr>
          <w:rFonts w:cs="Open Sans"/>
        </w:rPr>
        <w:t>7</w:t>
      </w:r>
      <w:r w:rsidRPr="00F80F67">
        <w:rPr>
          <w:rFonts w:cs="Open Sans"/>
        </w:rPr>
        <w:t xml:space="preserve">. </w:t>
      </w:r>
      <w:r w:rsidRPr="00F80F67">
        <w:rPr>
          <w:rFonts w:cs="Open Sans"/>
        </w:rPr>
        <w:fldChar w:fldCharType="end"/>
      </w:r>
    </w:p>
  </w:endnote>
  <w:endnote w:id="26">
    <w:p w14:paraId="64119ACF" w14:textId="77777777" w:rsidR="008E64D3" w:rsidRPr="00F80F67" w:rsidRDefault="008E64D3" w:rsidP="0083789F">
      <w:pPr>
        <w:pStyle w:val="EndnoteText"/>
        <w:rPr>
          <w:rFonts w:cs="Open Sans"/>
        </w:rPr>
      </w:pPr>
      <w:r w:rsidRPr="00F80F67">
        <w:rPr>
          <w:rStyle w:val="EndnoteReference"/>
          <w:rFonts w:cs="Open Sans"/>
        </w:rPr>
        <w:endnoteRef/>
      </w:r>
      <w:r w:rsidRPr="00F80F67">
        <w:rPr>
          <w:rFonts w:cs="Open Sans"/>
        </w:rPr>
        <w:t xml:space="preserve"> United Nations Office of the High Commissioner, ‘Call for submissions: Thematic report to the UN General Assembly on digital technology, social protection and human rights’ (Web Page, 2019) &lt;</w:t>
      </w:r>
      <w:hyperlink r:id="rId11" w:history="1">
        <w:r w:rsidRPr="00F80F67">
          <w:rPr>
            <w:rFonts w:cs="Open Sans"/>
            <w:color w:val="0000FF"/>
            <w:u w:val="single"/>
          </w:rPr>
          <w:t>https://www.ohchr.org/EN/Issues/Poverty/Pages/CallforinputGADigitalTechnology.aspx</w:t>
        </w:r>
      </w:hyperlink>
      <w:r w:rsidRPr="00F80F67">
        <w:rPr>
          <w:rFonts w:cs="Open Sans"/>
        </w:rPr>
        <w:t xml:space="preserve">&gt; </w:t>
      </w:r>
    </w:p>
  </w:endnote>
  <w:endnote w:id="27">
    <w:p w14:paraId="126CE6EC" w14:textId="77777777" w:rsidR="008E64D3" w:rsidRPr="00F80F67" w:rsidRDefault="008E64D3" w:rsidP="0083789F">
      <w:pPr>
        <w:pStyle w:val="EndnoteText"/>
        <w:rPr>
          <w:rFonts w:cs="Open Sans"/>
        </w:rPr>
      </w:pPr>
      <w:r w:rsidRPr="00F80F67">
        <w:rPr>
          <w:rStyle w:val="EndnoteReference"/>
          <w:rFonts w:cs="Open Sans"/>
        </w:rPr>
        <w:endnoteRef/>
      </w:r>
      <w:r w:rsidRPr="00F80F67">
        <w:rPr>
          <w:rFonts w:cs="Open Sans"/>
        </w:rPr>
        <w:t xml:space="preserve"> See, for example, Virginia Eubanks, </w:t>
      </w:r>
      <w:r w:rsidRPr="00F80F67">
        <w:rPr>
          <w:rFonts w:cs="Open Sans"/>
          <w:i/>
          <w:iCs/>
        </w:rPr>
        <w:t xml:space="preserve">Automating Inequality </w:t>
      </w:r>
      <w:r w:rsidRPr="00F80F67">
        <w:rPr>
          <w:rFonts w:cs="Open Sans"/>
        </w:rPr>
        <w:t>(St Martin’s Press,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02C3" w14:textId="77777777" w:rsidR="008E64D3" w:rsidRPr="000465F1" w:rsidRDefault="008E64D3" w:rsidP="000465F1">
    <w:pPr>
      <w:pStyle w:val="Footer"/>
    </w:pPr>
    <w:r w:rsidRPr="000465F1">
      <w:t>ABN 47 996 232 602</w:t>
    </w:r>
  </w:p>
  <w:p w14:paraId="4B9DC4D0" w14:textId="77777777" w:rsidR="008E64D3" w:rsidRPr="000465F1" w:rsidRDefault="008E64D3" w:rsidP="000465F1">
    <w:pPr>
      <w:pStyle w:val="Footer"/>
    </w:pPr>
    <w:r w:rsidRPr="000465F1">
      <w:t>Level 3, 175 Pitt Street, Sydney NSW 2000</w:t>
    </w:r>
  </w:p>
  <w:p w14:paraId="7E942E75" w14:textId="77777777" w:rsidR="008E64D3" w:rsidRPr="000465F1" w:rsidRDefault="008E64D3" w:rsidP="000465F1">
    <w:pPr>
      <w:pStyle w:val="Footer"/>
    </w:pPr>
    <w:r w:rsidRPr="000465F1">
      <w:t>GPO Box 5218, Sydney NSW 2001</w:t>
    </w:r>
  </w:p>
  <w:p w14:paraId="15C748F9" w14:textId="77777777" w:rsidR="008E64D3" w:rsidRPr="000465F1" w:rsidRDefault="008E64D3" w:rsidP="000465F1">
    <w:pPr>
      <w:pStyle w:val="Footer"/>
    </w:pPr>
    <w:r w:rsidRPr="000465F1">
      <w:t>General enquiries 1300 369 711</w:t>
    </w:r>
  </w:p>
  <w:p w14:paraId="194745B6" w14:textId="77777777" w:rsidR="008E64D3" w:rsidRPr="000465F1" w:rsidRDefault="008E64D3" w:rsidP="000465F1">
    <w:pPr>
      <w:pStyle w:val="Footer"/>
    </w:pPr>
    <w:r w:rsidRPr="000465F1">
      <w:t>Complaints info line 1300 656 419</w:t>
    </w:r>
  </w:p>
  <w:p w14:paraId="5E4A1502" w14:textId="77777777" w:rsidR="008E64D3" w:rsidRPr="000465F1" w:rsidRDefault="008E64D3"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73FF" w14:textId="77777777" w:rsidR="008E64D3" w:rsidRDefault="008E64D3">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A8EC" w14:textId="77777777" w:rsidR="008E64D3" w:rsidRDefault="008E64D3"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CEBD" w14:textId="77777777" w:rsidR="008E64D3" w:rsidRDefault="008E64D3"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C5C7" w14:textId="77777777" w:rsidR="00232C2F" w:rsidRDefault="00232C2F" w:rsidP="00F14C6D">
      <w:r>
        <w:separator/>
      </w:r>
    </w:p>
  </w:footnote>
  <w:footnote w:type="continuationSeparator" w:id="0">
    <w:p w14:paraId="0A501A62" w14:textId="77777777" w:rsidR="00232C2F" w:rsidRDefault="00232C2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3B44" w14:textId="77777777" w:rsidR="008E64D3" w:rsidRPr="000465F1" w:rsidRDefault="00136057" w:rsidP="000465F1">
    <w:pPr>
      <w:pStyle w:val="Header"/>
    </w:pPr>
    <w:r>
      <w:pict w14:anchorId="4B57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8E64D3" w:rsidRPr="000465F1">
      <w:t>Australian Human Rights Commission</w:t>
    </w:r>
  </w:p>
  <w:p w14:paraId="470C63D0" w14:textId="77777777" w:rsidR="008E64D3" w:rsidRPr="00622508" w:rsidRDefault="008E64D3"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BCB8" w14:textId="77777777" w:rsidR="008E64D3" w:rsidRPr="000465F1" w:rsidRDefault="00136057" w:rsidP="000465F1">
    <w:r>
      <w:pict w14:anchorId="2EAF0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8E64D3" w:rsidRPr="000465F1">
      <w:t>Australian Human Rights Commission</w:t>
    </w:r>
  </w:p>
  <w:p w14:paraId="70F0D0CF" w14:textId="77777777" w:rsidR="008E64D3" w:rsidRPr="000465F1" w:rsidRDefault="008E64D3"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F313" w14:textId="77777777" w:rsidR="008E64D3" w:rsidRDefault="00136057" w:rsidP="002012F7">
    <w:pPr>
      <w:pStyle w:val="Header"/>
    </w:pPr>
    <w:r>
      <w:pict w14:anchorId="16041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pict w14:anchorId="6C538B29">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2EE4D600" w14:textId="77777777" w:rsidR="008E64D3" w:rsidRDefault="008E64D3" w:rsidP="002012F7">
    <w:pPr>
      <w:pStyle w:val="Header"/>
    </w:pPr>
  </w:p>
  <w:p w14:paraId="1BF29D63" w14:textId="77777777" w:rsidR="008E64D3" w:rsidRDefault="008E64D3"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F288" w14:textId="77777777" w:rsidR="001664CA" w:rsidRPr="000465F1" w:rsidRDefault="001664CA" w:rsidP="001664CA">
    <w:pPr>
      <w:pStyle w:val="Header"/>
    </w:pPr>
    <w:r w:rsidRPr="000465F1">
      <w:t>Australian Human Rights Commission</w:t>
    </w:r>
  </w:p>
  <w:p w14:paraId="52A4F307" w14:textId="77777777" w:rsidR="001A7728" w:rsidRDefault="001664CA" w:rsidP="001664CA">
    <w:pPr>
      <w:pStyle w:val="HeaderDocumentDate"/>
      <w:rPr>
        <w:rStyle w:val="HeaderDocumentTitle"/>
      </w:rPr>
    </w:pPr>
    <w:r w:rsidRPr="00231565">
      <w:rPr>
        <w:rStyle w:val="HeaderDocumentTitle"/>
      </w:rPr>
      <w:t>The impact of changes to service delivery models o</w:t>
    </w:r>
    <w:r>
      <w:rPr>
        <w:rStyle w:val="HeaderDocumentTitle"/>
      </w:rPr>
      <w:t xml:space="preserve">n </w:t>
    </w:r>
    <w:r w:rsidRPr="00231565">
      <w:rPr>
        <w:rStyle w:val="HeaderDocumentTitle"/>
      </w:rPr>
      <w:t>Government programs</w:t>
    </w:r>
  </w:p>
  <w:p w14:paraId="2B9DBCC1" w14:textId="30474C1A" w:rsidR="008E64D3" w:rsidRDefault="001A7728" w:rsidP="001A7728">
    <w:pPr>
      <w:pStyle w:val="HeaderDocumentDate"/>
      <w:rPr>
        <w:rStyle w:val="HeaderDocumentTitle"/>
        <w:b w:val="0"/>
        <w:bCs/>
      </w:rPr>
    </w:pPr>
    <w:r>
      <w:rPr>
        <w:rStyle w:val="HeaderDocumentTitle"/>
        <w:b w:val="0"/>
        <w:bCs/>
      </w:rPr>
      <w:t>23 August 2019</w:t>
    </w:r>
  </w:p>
  <w:p w14:paraId="3A3F4EFF" w14:textId="77777777" w:rsidR="001A7728" w:rsidRPr="001A7728" w:rsidRDefault="001A7728" w:rsidP="001A7728">
    <w:pPr>
      <w:pStyle w:val="HeaderDocumentDate"/>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6573" w14:textId="77777777" w:rsidR="00253179" w:rsidRPr="000465F1" w:rsidRDefault="00253179" w:rsidP="00253179">
    <w:pPr>
      <w:pStyle w:val="Header"/>
    </w:pPr>
    <w:r w:rsidRPr="000465F1">
      <w:t>Australian Human Rights Commission</w:t>
    </w:r>
  </w:p>
  <w:p w14:paraId="0EC2EEC8" w14:textId="45BAA493" w:rsidR="00253179" w:rsidRDefault="00253179" w:rsidP="00253179">
    <w:pPr>
      <w:pStyle w:val="HeaderDocumentDate"/>
      <w:rPr>
        <w:rStyle w:val="HeaderDocumentTitle"/>
      </w:rPr>
    </w:pPr>
    <w:r w:rsidRPr="00231565">
      <w:rPr>
        <w:rStyle w:val="HeaderDocumentTitle"/>
      </w:rPr>
      <w:t>The impact of changes to service delivery models o</w:t>
    </w:r>
    <w:r>
      <w:rPr>
        <w:rStyle w:val="HeaderDocumentTitle"/>
      </w:rPr>
      <w:t xml:space="preserve">n </w:t>
    </w:r>
    <w:r w:rsidRPr="00231565">
      <w:rPr>
        <w:rStyle w:val="HeaderDocumentTitle"/>
      </w:rPr>
      <w:t>Government programs</w:t>
    </w:r>
  </w:p>
  <w:p w14:paraId="24487DDC" w14:textId="6EC5FF29" w:rsidR="001A7728" w:rsidRPr="001A7728" w:rsidRDefault="001A7728" w:rsidP="00253179">
    <w:pPr>
      <w:pStyle w:val="HeaderDocumentDate"/>
      <w:rPr>
        <w:bCs/>
      </w:rPr>
    </w:pPr>
    <w:r>
      <w:rPr>
        <w:rStyle w:val="HeaderDocumentTitle"/>
        <w:b w:val="0"/>
        <w:bCs/>
      </w:rPr>
      <w:t>23 August 2019</w:t>
    </w:r>
  </w:p>
  <w:p w14:paraId="29C12077" w14:textId="77777777" w:rsidR="00253179" w:rsidRPr="000465F1" w:rsidRDefault="00253179" w:rsidP="00253179">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6D62" w14:textId="77777777" w:rsidR="008E64D3" w:rsidRPr="000465F1" w:rsidRDefault="008E64D3" w:rsidP="0063009F">
    <w:pPr>
      <w:pStyle w:val="Header"/>
    </w:pPr>
    <w:r w:rsidRPr="000465F1">
      <w:t>Australian Human Rights Commission</w:t>
    </w:r>
  </w:p>
  <w:p w14:paraId="76EDBFA8" w14:textId="77777777" w:rsidR="0002525D" w:rsidRDefault="0002525D" w:rsidP="0002525D">
    <w:pPr>
      <w:pStyle w:val="HeaderDocumentDate"/>
      <w:rPr>
        <w:rStyle w:val="HeaderDocumentTitle"/>
      </w:rPr>
    </w:pPr>
    <w:r w:rsidRPr="00231565">
      <w:rPr>
        <w:rStyle w:val="HeaderDocumentTitle"/>
      </w:rPr>
      <w:t>The impact of changes to service delivery models o</w:t>
    </w:r>
    <w:r>
      <w:rPr>
        <w:rStyle w:val="HeaderDocumentTitle"/>
      </w:rPr>
      <w:t xml:space="preserve">n </w:t>
    </w:r>
    <w:r w:rsidRPr="00231565">
      <w:rPr>
        <w:rStyle w:val="HeaderDocumentTitle"/>
      </w:rPr>
      <w:t>Government programs</w:t>
    </w:r>
  </w:p>
  <w:p w14:paraId="764650D1" w14:textId="11FA4173" w:rsidR="008E64D3" w:rsidRDefault="001A7728" w:rsidP="0063009F">
    <w:pPr>
      <w:pStyle w:val="HeaderDocumentDate"/>
    </w:pPr>
    <w:r>
      <w:rPr>
        <w:rStyle w:val="HeaderDocumentTitle"/>
        <w:b w:val="0"/>
        <w:bCs/>
      </w:rPr>
      <w:t>23 August 2019</w:t>
    </w:r>
    <w:r>
      <w:t xml:space="preserve"> </w:t>
    </w:r>
  </w:p>
  <w:p w14:paraId="3F8E216E" w14:textId="77777777" w:rsidR="00253179" w:rsidRPr="000465F1" w:rsidRDefault="00253179"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FE0731"/>
    <w:multiLevelType w:val="hybridMultilevel"/>
    <w:tmpl w:val="403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7E80962"/>
    <w:multiLevelType w:val="hybridMultilevel"/>
    <w:tmpl w:val="680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F13EA1FA"/>
    <w:lvl w:ilvl="0">
      <w:start w:val="1"/>
      <w:numFmt w:val="decimal"/>
      <w:pStyle w:val="Heading1"/>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6C0F52"/>
    <w:multiLevelType w:val="hybridMultilevel"/>
    <w:tmpl w:val="C33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8C227D5"/>
    <w:multiLevelType w:val="hybridMultilevel"/>
    <w:tmpl w:val="AF0E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354CCB"/>
    <w:multiLevelType w:val="hybridMultilevel"/>
    <w:tmpl w:val="9966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66ED4"/>
    <w:multiLevelType w:val="multilevel"/>
    <w:tmpl w:val="1406A6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CB211F7"/>
    <w:multiLevelType w:val="hybridMultilevel"/>
    <w:tmpl w:val="CDA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2"/>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9"/>
  </w:num>
  <w:num w:numId="18">
    <w:abstractNumId w:val="22"/>
  </w:num>
  <w:num w:numId="19">
    <w:abstractNumId w:val="15"/>
  </w:num>
  <w:num w:numId="20">
    <w:abstractNumId w:val="35"/>
  </w:num>
  <w:num w:numId="21">
    <w:abstractNumId w:val="24"/>
  </w:num>
  <w:num w:numId="22">
    <w:abstractNumId w:val="23"/>
  </w:num>
  <w:num w:numId="23">
    <w:abstractNumId w:val="37"/>
  </w:num>
  <w:num w:numId="24">
    <w:abstractNumId w:val="11"/>
  </w:num>
  <w:num w:numId="25">
    <w:abstractNumId w:val="36"/>
  </w:num>
  <w:num w:numId="26">
    <w:abstractNumId w:val="25"/>
  </w:num>
  <w:num w:numId="27">
    <w:abstractNumId w:val="12"/>
  </w:num>
  <w:num w:numId="28">
    <w:abstractNumId w:val="16"/>
  </w:num>
  <w:num w:numId="29">
    <w:abstractNumId w:val="28"/>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num>
  <w:num w:numId="36">
    <w:abstractNumId w:val="14"/>
  </w:num>
  <w:num w:numId="37">
    <w:abstractNumId w:val="10"/>
  </w:num>
  <w:num w:numId="38">
    <w:abstractNumId w:val="9"/>
    <w:lvlOverride w:ilvl="0">
      <w:startOverride w:val="1"/>
    </w:lvlOverride>
  </w:num>
  <w:num w:numId="39">
    <w:abstractNumId w:val="39"/>
  </w:num>
  <w:num w:numId="40">
    <w:abstractNumId w:val="21"/>
  </w:num>
  <w:num w:numId="41">
    <w:abstractNumId w:val="21"/>
  </w:num>
  <w:num w:numId="42">
    <w:abstractNumId w:val="31"/>
  </w:num>
  <w:num w:numId="43">
    <w:abstractNumId w:val="26"/>
  </w:num>
  <w:num w:numId="44">
    <w:abstractNumId w:val="38"/>
  </w:num>
  <w:num w:numId="45">
    <w:abstractNumId w:val="40"/>
  </w:num>
  <w:num w:numId="46">
    <w:abstractNumId w:val="34"/>
  </w:num>
  <w:num w:numId="47">
    <w:abstractNumId w:val="13"/>
  </w:num>
  <w:num w:numId="48">
    <w:abstractNumId w:val="26"/>
  </w:num>
  <w:num w:numId="49">
    <w:abstractNumId w:val="26"/>
  </w:num>
  <w:num w:numId="50">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A4"/>
    <w:rsid w:val="000015EC"/>
    <w:rsid w:val="00003EA5"/>
    <w:rsid w:val="0000452D"/>
    <w:rsid w:val="00004AC2"/>
    <w:rsid w:val="00012D69"/>
    <w:rsid w:val="000161C2"/>
    <w:rsid w:val="00021612"/>
    <w:rsid w:val="0002247A"/>
    <w:rsid w:val="00024583"/>
    <w:rsid w:val="0002476A"/>
    <w:rsid w:val="0002525D"/>
    <w:rsid w:val="00030883"/>
    <w:rsid w:val="00030E67"/>
    <w:rsid w:val="00030FDC"/>
    <w:rsid w:val="0003634B"/>
    <w:rsid w:val="00036BE4"/>
    <w:rsid w:val="000430B8"/>
    <w:rsid w:val="00045712"/>
    <w:rsid w:val="00045C4B"/>
    <w:rsid w:val="000465F1"/>
    <w:rsid w:val="000509B3"/>
    <w:rsid w:val="00052018"/>
    <w:rsid w:val="000579B1"/>
    <w:rsid w:val="00061C6C"/>
    <w:rsid w:val="00063F21"/>
    <w:rsid w:val="000714DE"/>
    <w:rsid w:val="00072EDA"/>
    <w:rsid w:val="000854F8"/>
    <w:rsid w:val="0009224D"/>
    <w:rsid w:val="00094645"/>
    <w:rsid w:val="000A1DB8"/>
    <w:rsid w:val="000A48AC"/>
    <w:rsid w:val="000A520E"/>
    <w:rsid w:val="000B0603"/>
    <w:rsid w:val="000B0A5D"/>
    <w:rsid w:val="000B36D5"/>
    <w:rsid w:val="000B3A41"/>
    <w:rsid w:val="000B5B68"/>
    <w:rsid w:val="000C5608"/>
    <w:rsid w:val="000C5DA6"/>
    <w:rsid w:val="000C7DDD"/>
    <w:rsid w:val="000E130A"/>
    <w:rsid w:val="000E6617"/>
    <w:rsid w:val="000F0124"/>
    <w:rsid w:val="000F3D0D"/>
    <w:rsid w:val="000F7FC3"/>
    <w:rsid w:val="0011228F"/>
    <w:rsid w:val="00134774"/>
    <w:rsid w:val="00140274"/>
    <w:rsid w:val="00151263"/>
    <w:rsid w:val="0015239E"/>
    <w:rsid w:val="0015742D"/>
    <w:rsid w:val="0016266F"/>
    <w:rsid w:val="00162A8D"/>
    <w:rsid w:val="00165E3C"/>
    <w:rsid w:val="001664CA"/>
    <w:rsid w:val="00173FB5"/>
    <w:rsid w:val="00174D9A"/>
    <w:rsid w:val="0018147D"/>
    <w:rsid w:val="001839C6"/>
    <w:rsid w:val="001901F4"/>
    <w:rsid w:val="00190A8A"/>
    <w:rsid w:val="0019217D"/>
    <w:rsid w:val="00192CB4"/>
    <w:rsid w:val="0019485F"/>
    <w:rsid w:val="00195EDE"/>
    <w:rsid w:val="00196446"/>
    <w:rsid w:val="001A58E8"/>
    <w:rsid w:val="001A7728"/>
    <w:rsid w:val="001B0353"/>
    <w:rsid w:val="001B4C58"/>
    <w:rsid w:val="001C1F8B"/>
    <w:rsid w:val="001C429D"/>
    <w:rsid w:val="001D4E43"/>
    <w:rsid w:val="001E4C6E"/>
    <w:rsid w:val="001E5676"/>
    <w:rsid w:val="001F219D"/>
    <w:rsid w:val="001F2BBB"/>
    <w:rsid w:val="001F2DA4"/>
    <w:rsid w:val="001F52FD"/>
    <w:rsid w:val="001F5872"/>
    <w:rsid w:val="001F62CC"/>
    <w:rsid w:val="00200677"/>
    <w:rsid w:val="002012F7"/>
    <w:rsid w:val="002027F6"/>
    <w:rsid w:val="002068EB"/>
    <w:rsid w:val="00224EFF"/>
    <w:rsid w:val="0023011D"/>
    <w:rsid w:val="00231565"/>
    <w:rsid w:val="00231ED1"/>
    <w:rsid w:val="00232C2F"/>
    <w:rsid w:val="00241523"/>
    <w:rsid w:val="00242624"/>
    <w:rsid w:val="0024557E"/>
    <w:rsid w:val="0024572E"/>
    <w:rsid w:val="00246E66"/>
    <w:rsid w:val="002471FD"/>
    <w:rsid w:val="00247FCF"/>
    <w:rsid w:val="00253179"/>
    <w:rsid w:val="002632EA"/>
    <w:rsid w:val="002708D1"/>
    <w:rsid w:val="002764E4"/>
    <w:rsid w:val="00282354"/>
    <w:rsid w:val="0028506A"/>
    <w:rsid w:val="002850B0"/>
    <w:rsid w:val="002863D7"/>
    <w:rsid w:val="002873B4"/>
    <w:rsid w:val="00292AB5"/>
    <w:rsid w:val="00294697"/>
    <w:rsid w:val="00296A48"/>
    <w:rsid w:val="002A43C2"/>
    <w:rsid w:val="002B1B65"/>
    <w:rsid w:val="002B277D"/>
    <w:rsid w:val="002B6BA4"/>
    <w:rsid w:val="002C02DB"/>
    <w:rsid w:val="002C1866"/>
    <w:rsid w:val="002C5060"/>
    <w:rsid w:val="002E070C"/>
    <w:rsid w:val="002E29D9"/>
    <w:rsid w:val="002E5A1B"/>
    <w:rsid w:val="002F4CE1"/>
    <w:rsid w:val="002F5E96"/>
    <w:rsid w:val="0030053D"/>
    <w:rsid w:val="00300F22"/>
    <w:rsid w:val="00304A37"/>
    <w:rsid w:val="00304B33"/>
    <w:rsid w:val="00305F0A"/>
    <w:rsid w:val="0031040E"/>
    <w:rsid w:val="00310ED4"/>
    <w:rsid w:val="00312301"/>
    <w:rsid w:val="0031492A"/>
    <w:rsid w:val="00316C1A"/>
    <w:rsid w:val="003172ED"/>
    <w:rsid w:val="00323C73"/>
    <w:rsid w:val="00331141"/>
    <w:rsid w:val="003368C0"/>
    <w:rsid w:val="003370A1"/>
    <w:rsid w:val="003423F4"/>
    <w:rsid w:val="00342ADF"/>
    <w:rsid w:val="00344758"/>
    <w:rsid w:val="00347142"/>
    <w:rsid w:val="00350D1B"/>
    <w:rsid w:val="0035318A"/>
    <w:rsid w:val="00354DC4"/>
    <w:rsid w:val="003562BB"/>
    <w:rsid w:val="003565A8"/>
    <w:rsid w:val="003566EA"/>
    <w:rsid w:val="00372C79"/>
    <w:rsid w:val="00383C7E"/>
    <w:rsid w:val="003861E3"/>
    <w:rsid w:val="00391E92"/>
    <w:rsid w:val="003971C8"/>
    <w:rsid w:val="003A168E"/>
    <w:rsid w:val="003A48B7"/>
    <w:rsid w:val="003B6E79"/>
    <w:rsid w:val="003C1F46"/>
    <w:rsid w:val="003D288B"/>
    <w:rsid w:val="003D6FDB"/>
    <w:rsid w:val="003E1D0E"/>
    <w:rsid w:val="003E290C"/>
    <w:rsid w:val="003E5DEF"/>
    <w:rsid w:val="0040278C"/>
    <w:rsid w:val="0040497E"/>
    <w:rsid w:val="00421AAD"/>
    <w:rsid w:val="00422417"/>
    <w:rsid w:val="00424233"/>
    <w:rsid w:val="00426E6E"/>
    <w:rsid w:val="0044116A"/>
    <w:rsid w:val="00445CB5"/>
    <w:rsid w:val="0044730E"/>
    <w:rsid w:val="00447886"/>
    <w:rsid w:val="00460EE0"/>
    <w:rsid w:val="004712FB"/>
    <w:rsid w:val="00471BB7"/>
    <w:rsid w:val="00472EFF"/>
    <w:rsid w:val="00473A74"/>
    <w:rsid w:val="00474063"/>
    <w:rsid w:val="00476793"/>
    <w:rsid w:val="004803E2"/>
    <w:rsid w:val="00481B2A"/>
    <w:rsid w:val="00482091"/>
    <w:rsid w:val="00486B6B"/>
    <w:rsid w:val="00491FCD"/>
    <w:rsid w:val="004A06C0"/>
    <w:rsid w:val="004A187B"/>
    <w:rsid w:val="004A2D3C"/>
    <w:rsid w:val="004A5559"/>
    <w:rsid w:val="004A7ADF"/>
    <w:rsid w:val="004C105C"/>
    <w:rsid w:val="004C7412"/>
    <w:rsid w:val="004D04BF"/>
    <w:rsid w:val="004E0DFF"/>
    <w:rsid w:val="004E529D"/>
    <w:rsid w:val="004E545F"/>
    <w:rsid w:val="004F1C7C"/>
    <w:rsid w:val="004F4229"/>
    <w:rsid w:val="00503FCA"/>
    <w:rsid w:val="00510390"/>
    <w:rsid w:val="005123F0"/>
    <w:rsid w:val="00513540"/>
    <w:rsid w:val="00513941"/>
    <w:rsid w:val="005176AE"/>
    <w:rsid w:val="0053051D"/>
    <w:rsid w:val="00530C96"/>
    <w:rsid w:val="005439E7"/>
    <w:rsid w:val="00564208"/>
    <w:rsid w:val="005659A9"/>
    <w:rsid w:val="00571CEB"/>
    <w:rsid w:val="0058296E"/>
    <w:rsid w:val="00585D0F"/>
    <w:rsid w:val="00591951"/>
    <w:rsid w:val="00597797"/>
    <w:rsid w:val="005A0964"/>
    <w:rsid w:val="005B36F6"/>
    <w:rsid w:val="005C2ECF"/>
    <w:rsid w:val="005C5D41"/>
    <w:rsid w:val="005D075A"/>
    <w:rsid w:val="005D11C6"/>
    <w:rsid w:val="005D1F34"/>
    <w:rsid w:val="005D383D"/>
    <w:rsid w:val="005D5EBB"/>
    <w:rsid w:val="005E1E0C"/>
    <w:rsid w:val="005F6C9F"/>
    <w:rsid w:val="006000D0"/>
    <w:rsid w:val="00606651"/>
    <w:rsid w:val="00616F88"/>
    <w:rsid w:val="00622508"/>
    <w:rsid w:val="0063009F"/>
    <w:rsid w:val="00633558"/>
    <w:rsid w:val="00633ABB"/>
    <w:rsid w:val="006356C5"/>
    <w:rsid w:val="00650E26"/>
    <w:rsid w:val="00654793"/>
    <w:rsid w:val="00677E08"/>
    <w:rsid w:val="00683885"/>
    <w:rsid w:val="0068433A"/>
    <w:rsid w:val="006872AF"/>
    <w:rsid w:val="0069339E"/>
    <w:rsid w:val="00694229"/>
    <w:rsid w:val="006A3CDF"/>
    <w:rsid w:val="006A6BB3"/>
    <w:rsid w:val="006A7B77"/>
    <w:rsid w:val="006B0EB3"/>
    <w:rsid w:val="006B3DE1"/>
    <w:rsid w:val="006B4E0E"/>
    <w:rsid w:val="006B60C2"/>
    <w:rsid w:val="006C0642"/>
    <w:rsid w:val="006C23CA"/>
    <w:rsid w:val="006C655F"/>
    <w:rsid w:val="006C6CD6"/>
    <w:rsid w:val="006D0407"/>
    <w:rsid w:val="006D4848"/>
    <w:rsid w:val="006D5EE5"/>
    <w:rsid w:val="006D6A42"/>
    <w:rsid w:val="006E3D59"/>
    <w:rsid w:val="006E6D3B"/>
    <w:rsid w:val="00711440"/>
    <w:rsid w:val="00714FF5"/>
    <w:rsid w:val="00717365"/>
    <w:rsid w:val="00730BD2"/>
    <w:rsid w:val="0075319C"/>
    <w:rsid w:val="007535D8"/>
    <w:rsid w:val="007540BF"/>
    <w:rsid w:val="00754D99"/>
    <w:rsid w:val="007637A8"/>
    <w:rsid w:val="00765B58"/>
    <w:rsid w:val="00770DCB"/>
    <w:rsid w:val="00774852"/>
    <w:rsid w:val="00775485"/>
    <w:rsid w:val="00776E1D"/>
    <w:rsid w:val="0078172D"/>
    <w:rsid w:val="00782DFF"/>
    <w:rsid w:val="00783532"/>
    <w:rsid w:val="007846B5"/>
    <w:rsid w:val="007A18FE"/>
    <w:rsid w:val="007B06EA"/>
    <w:rsid w:val="007B64BE"/>
    <w:rsid w:val="007C0C35"/>
    <w:rsid w:val="007C2CDA"/>
    <w:rsid w:val="007D2F00"/>
    <w:rsid w:val="007D489B"/>
    <w:rsid w:val="007D7BB5"/>
    <w:rsid w:val="007E0F9C"/>
    <w:rsid w:val="007E3604"/>
    <w:rsid w:val="007E5B88"/>
    <w:rsid w:val="007F0D0B"/>
    <w:rsid w:val="007F6638"/>
    <w:rsid w:val="008007A8"/>
    <w:rsid w:val="008042D9"/>
    <w:rsid w:val="00805E61"/>
    <w:rsid w:val="00810EC8"/>
    <w:rsid w:val="00812B45"/>
    <w:rsid w:val="00814FC0"/>
    <w:rsid w:val="00817C73"/>
    <w:rsid w:val="00823005"/>
    <w:rsid w:val="0083789F"/>
    <w:rsid w:val="008449B9"/>
    <w:rsid w:val="00847191"/>
    <w:rsid w:val="008472A4"/>
    <w:rsid w:val="00851A7F"/>
    <w:rsid w:val="00861E0F"/>
    <w:rsid w:val="0086254F"/>
    <w:rsid w:val="00870567"/>
    <w:rsid w:val="00871205"/>
    <w:rsid w:val="008724DE"/>
    <w:rsid w:val="008758D9"/>
    <w:rsid w:val="00876ED3"/>
    <w:rsid w:val="00882B0A"/>
    <w:rsid w:val="008A25AC"/>
    <w:rsid w:val="008A3D57"/>
    <w:rsid w:val="008B215B"/>
    <w:rsid w:val="008B22FE"/>
    <w:rsid w:val="008B23BC"/>
    <w:rsid w:val="008B3899"/>
    <w:rsid w:val="008B3F9C"/>
    <w:rsid w:val="008B6A57"/>
    <w:rsid w:val="008C58BB"/>
    <w:rsid w:val="008E2299"/>
    <w:rsid w:val="008E328C"/>
    <w:rsid w:val="008E385A"/>
    <w:rsid w:val="008E3D60"/>
    <w:rsid w:val="008E3F4C"/>
    <w:rsid w:val="008E44F3"/>
    <w:rsid w:val="008E5856"/>
    <w:rsid w:val="008E64D3"/>
    <w:rsid w:val="008F062E"/>
    <w:rsid w:val="008F36DB"/>
    <w:rsid w:val="0090165F"/>
    <w:rsid w:val="00901B82"/>
    <w:rsid w:val="00902890"/>
    <w:rsid w:val="009044E3"/>
    <w:rsid w:val="0091144D"/>
    <w:rsid w:val="00912B09"/>
    <w:rsid w:val="00912F2B"/>
    <w:rsid w:val="0091593A"/>
    <w:rsid w:val="0092017C"/>
    <w:rsid w:val="00923E41"/>
    <w:rsid w:val="00925A93"/>
    <w:rsid w:val="009432CF"/>
    <w:rsid w:val="00944E29"/>
    <w:rsid w:val="00946458"/>
    <w:rsid w:val="00952E2A"/>
    <w:rsid w:val="009579CB"/>
    <w:rsid w:val="00966C2F"/>
    <w:rsid w:val="0096742A"/>
    <w:rsid w:val="00972F92"/>
    <w:rsid w:val="0097512B"/>
    <w:rsid w:val="00980B73"/>
    <w:rsid w:val="00982404"/>
    <w:rsid w:val="009841ED"/>
    <w:rsid w:val="009A1259"/>
    <w:rsid w:val="009B427C"/>
    <w:rsid w:val="009D67F6"/>
    <w:rsid w:val="009D75E1"/>
    <w:rsid w:val="009E08D1"/>
    <w:rsid w:val="009E0FE1"/>
    <w:rsid w:val="009E4BD0"/>
    <w:rsid w:val="009E52B9"/>
    <w:rsid w:val="009F2764"/>
    <w:rsid w:val="009F3E19"/>
    <w:rsid w:val="00A0406E"/>
    <w:rsid w:val="00A0730C"/>
    <w:rsid w:val="00A11307"/>
    <w:rsid w:val="00A13AF3"/>
    <w:rsid w:val="00A14F73"/>
    <w:rsid w:val="00A15A0E"/>
    <w:rsid w:val="00A21388"/>
    <w:rsid w:val="00A2741E"/>
    <w:rsid w:val="00A27791"/>
    <w:rsid w:val="00A27ABE"/>
    <w:rsid w:val="00A30600"/>
    <w:rsid w:val="00A30E40"/>
    <w:rsid w:val="00A355F9"/>
    <w:rsid w:val="00A35D37"/>
    <w:rsid w:val="00A368AA"/>
    <w:rsid w:val="00A41355"/>
    <w:rsid w:val="00A437B6"/>
    <w:rsid w:val="00A43B92"/>
    <w:rsid w:val="00A54251"/>
    <w:rsid w:val="00A6179E"/>
    <w:rsid w:val="00A64316"/>
    <w:rsid w:val="00A72B46"/>
    <w:rsid w:val="00A804D9"/>
    <w:rsid w:val="00A82807"/>
    <w:rsid w:val="00A8573B"/>
    <w:rsid w:val="00A92915"/>
    <w:rsid w:val="00A92F92"/>
    <w:rsid w:val="00A96892"/>
    <w:rsid w:val="00AA2051"/>
    <w:rsid w:val="00AA70C4"/>
    <w:rsid w:val="00AB41ED"/>
    <w:rsid w:val="00AB7C8F"/>
    <w:rsid w:val="00AC2192"/>
    <w:rsid w:val="00AC636D"/>
    <w:rsid w:val="00AF2007"/>
    <w:rsid w:val="00B00F61"/>
    <w:rsid w:val="00B06770"/>
    <w:rsid w:val="00B237FB"/>
    <w:rsid w:val="00B24B1D"/>
    <w:rsid w:val="00B26C33"/>
    <w:rsid w:val="00B277E0"/>
    <w:rsid w:val="00B34946"/>
    <w:rsid w:val="00B444B3"/>
    <w:rsid w:val="00B519FD"/>
    <w:rsid w:val="00B520BC"/>
    <w:rsid w:val="00B539CC"/>
    <w:rsid w:val="00B55E46"/>
    <w:rsid w:val="00B63D24"/>
    <w:rsid w:val="00B6658B"/>
    <w:rsid w:val="00B7626B"/>
    <w:rsid w:val="00B76CD6"/>
    <w:rsid w:val="00B85197"/>
    <w:rsid w:val="00B866CB"/>
    <w:rsid w:val="00B924E6"/>
    <w:rsid w:val="00B95F3A"/>
    <w:rsid w:val="00BA262D"/>
    <w:rsid w:val="00BA5698"/>
    <w:rsid w:val="00BA6522"/>
    <w:rsid w:val="00BB2987"/>
    <w:rsid w:val="00BB3A8E"/>
    <w:rsid w:val="00BB70A0"/>
    <w:rsid w:val="00BB7889"/>
    <w:rsid w:val="00BB7BED"/>
    <w:rsid w:val="00BC595F"/>
    <w:rsid w:val="00BC79EB"/>
    <w:rsid w:val="00BD691B"/>
    <w:rsid w:val="00BD7FCF"/>
    <w:rsid w:val="00BE1C4D"/>
    <w:rsid w:val="00BE4A64"/>
    <w:rsid w:val="00BE78EB"/>
    <w:rsid w:val="00BF1E92"/>
    <w:rsid w:val="00BF6406"/>
    <w:rsid w:val="00C064DC"/>
    <w:rsid w:val="00C127D0"/>
    <w:rsid w:val="00C149BD"/>
    <w:rsid w:val="00C167DA"/>
    <w:rsid w:val="00C25BDA"/>
    <w:rsid w:val="00C25E6C"/>
    <w:rsid w:val="00C262FA"/>
    <w:rsid w:val="00C31ACB"/>
    <w:rsid w:val="00C33104"/>
    <w:rsid w:val="00C332D4"/>
    <w:rsid w:val="00C37760"/>
    <w:rsid w:val="00C40FE8"/>
    <w:rsid w:val="00C51011"/>
    <w:rsid w:val="00C528A5"/>
    <w:rsid w:val="00C560AC"/>
    <w:rsid w:val="00C5781C"/>
    <w:rsid w:val="00C60343"/>
    <w:rsid w:val="00C643F3"/>
    <w:rsid w:val="00C708C1"/>
    <w:rsid w:val="00C854D4"/>
    <w:rsid w:val="00C90556"/>
    <w:rsid w:val="00C919DA"/>
    <w:rsid w:val="00C95381"/>
    <w:rsid w:val="00CA0D78"/>
    <w:rsid w:val="00CA16DC"/>
    <w:rsid w:val="00CA4855"/>
    <w:rsid w:val="00CA5D90"/>
    <w:rsid w:val="00CB24FE"/>
    <w:rsid w:val="00CB5D30"/>
    <w:rsid w:val="00CC092B"/>
    <w:rsid w:val="00CC0CAD"/>
    <w:rsid w:val="00CC1832"/>
    <w:rsid w:val="00CC2AA0"/>
    <w:rsid w:val="00CD58FD"/>
    <w:rsid w:val="00CE2FC3"/>
    <w:rsid w:val="00CF2CF6"/>
    <w:rsid w:val="00CF3E6B"/>
    <w:rsid w:val="00D03307"/>
    <w:rsid w:val="00D14D34"/>
    <w:rsid w:val="00D21D0D"/>
    <w:rsid w:val="00D246B1"/>
    <w:rsid w:val="00D343FA"/>
    <w:rsid w:val="00D418FF"/>
    <w:rsid w:val="00D426FD"/>
    <w:rsid w:val="00D552C9"/>
    <w:rsid w:val="00D65C76"/>
    <w:rsid w:val="00D734C7"/>
    <w:rsid w:val="00D7542B"/>
    <w:rsid w:val="00D8351F"/>
    <w:rsid w:val="00D857B7"/>
    <w:rsid w:val="00D9094F"/>
    <w:rsid w:val="00DA1D32"/>
    <w:rsid w:val="00DA2F73"/>
    <w:rsid w:val="00DA7A55"/>
    <w:rsid w:val="00DB1694"/>
    <w:rsid w:val="00DC307B"/>
    <w:rsid w:val="00DC343B"/>
    <w:rsid w:val="00DC462F"/>
    <w:rsid w:val="00DC499A"/>
    <w:rsid w:val="00DC6A6B"/>
    <w:rsid w:val="00DD1949"/>
    <w:rsid w:val="00DD6A21"/>
    <w:rsid w:val="00DE18A7"/>
    <w:rsid w:val="00DE2EFB"/>
    <w:rsid w:val="00DE60CA"/>
    <w:rsid w:val="00DE64FF"/>
    <w:rsid w:val="00DF1F99"/>
    <w:rsid w:val="00DF2E73"/>
    <w:rsid w:val="00E00958"/>
    <w:rsid w:val="00E02517"/>
    <w:rsid w:val="00E049A4"/>
    <w:rsid w:val="00E14352"/>
    <w:rsid w:val="00E14833"/>
    <w:rsid w:val="00E14D3E"/>
    <w:rsid w:val="00E1675F"/>
    <w:rsid w:val="00E22631"/>
    <w:rsid w:val="00E24FA3"/>
    <w:rsid w:val="00E26B28"/>
    <w:rsid w:val="00E30B88"/>
    <w:rsid w:val="00E31465"/>
    <w:rsid w:val="00E328CD"/>
    <w:rsid w:val="00E3489E"/>
    <w:rsid w:val="00E362F0"/>
    <w:rsid w:val="00E36B95"/>
    <w:rsid w:val="00E4003F"/>
    <w:rsid w:val="00E458F6"/>
    <w:rsid w:val="00E45954"/>
    <w:rsid w:val="00E46704"/>
    <w:rsid w:val="00E53546"/>
    <w:rsid w:val="00E55F24"/>
    <w:rsid w:val="00E56B90"/>
    <w:rsid w:val="00E727DD"/>
    <w:rsid w:val="00E728AD"/>
    <w:rsid w:val="00E73D35"/>
    <w:rsid w:val="00E922E0"/>
    <w:rsid w:val="00E948B0"/>
    <w:rsid w:val="00EA44D9"/>
    <w:rsid w:val="00EA707D"/>
    <w:rsid w:val="00EB2AD5"/>
    <w:rsid w:val="00EB6A76"/>
    <w:rsid w:val="00EC1E2A"/>
    <w:rsid w:val="00EC4D09"/>
    <w:rsid w:val="00ED282B"/>
    <w:rsid w:val="00ED29F3"/>
    <w:rsid w:val="00EE4BF5"/>
    <w:rsid w:val="00F06EDA"/>
    <w:rsid w:val="00F076D6"/>
    <w:rsid w:val="00F0799D"/>
    <w:rsid w:val="00F107A0"/>
    <w:rsid w:val="00F127A8"/>
    <w:rsid w:val="00F128C4"/>
    <w:rsid w:val="00F129E0"/>
    <w:rsid w:val="00F14C6D"/>
    <w:rsid w:val="00F16BAC"/>
    <w:rsid w:val="00F220A5"/>
    <w:rsid w:val="00F31E18"/>
    <w:rsid w:val="00F34362"/>
    <w:rsid w:val="00F34BC9"/>
    <w:rsid w:val="00F40994"/>
    <w:rsid w:val="00F40CD0"/>
    <w:rsid w:val="00F513AE"/>
    <w:rsid w:val="00F54A0F"/>
    <w:rsid w:val="00F55E6B"/>
    <w:rsid w:val="00F57AF7"/>
    <w:rsid w:val="00F62E30"/>
    <w:rsid w:val="00F67C59"/>
    <w:rsid w:val="00F80F67"/>
    <w:rsid w:val="00F8302E"/>
    <w:rsid w:val="00F86DAB"/>
    <w:rsid w:val="00F93B37"/>
    <w:rsid w:val="00FA474B"/>
    <w:rsid w:val="00FA4916"/>
    <w:rsid w:val="00FA7E5C"/>
    <w:rsid w:val="00FB09F7"/>
    <w:rsid w:val="00FB193D"/>
    <w:rsid w:val="00FB3422"/>
    <w:rsid w:val="00FC444B"/>
    <w:rsid w:val="00FD01B5"/>
    <w:rsid w:val="00FD2526"/>
    <w:rsid w:val="00FD5BF0"/>
    <w:rsid w:val="00FD5F16"/>
    <w:rsid w:val="00FE17ED"/>
    <w:rsid w:val="00FF4E1C"/>
    <w:rsid w:val="00FF5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A17961C"/>
  <w15:chartTrackingRefBased/>
  <w15:docId w15:val="{006BA926-584B-4F19-A3DA-82E5E0CD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qFormat="1"/>
    <w:lsdException w:name="header" w:locked="0" w:qFormat="1"/>
    <w:lsdException w:name="footer" w:locked="0" w:uiPriority="99"/>
    <w:lsdException w:name="caption" w:semiHidden="1" w:unhideWhenUsed="1" w:qFormat="1"/>
    <w:lsdException w:name="footnote reference"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Id w:val="0"/>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aliases w:val="Footnote Text PhD"/>
    <w:basedOn w:val="Normal"/>
    <w:link w:val="FootnoteTextChar"/>
    <w:qFormat/>
    <w:locked/>
    <w:rsid w:val="0092017C"/>
    <w:pPr>
      <w:spacing w:before="0" w:after="0"/>
    </w:pPr>
    <w:rPr>
      <w:sz w:val="20"/>
      <w:szCs w:val="20"/>
    </w:rPr>
  </w:style>
  <w:style w:type="character" w:customStyle="1" w:styleId="FootnoteTextChar">
    <w:name w:val="Footnote Text Char"/>
    <w:aliases w:val="Footnote Text PhD Char"/>
    <w:basedOn w:val="DefaultParagraphFont"/>
    <w:link w:val="FootnoteText"/>
    <w:rsid w:val="0092017C"/>
    <w:rPr>
      <w:rFonts w:ascii="Open Sans" w:eastAsia="MS Mincho" w:hAnsi="Open Sans"/>
    </w:rPr>
  </w:style>
  <w:style w:type="character" w:styleId="FootnoteReference">
    <w:name w:val="footnote reference"/>
    <w:basedOn w:val="DefaultParagraphFont"/>
    <w:qFormat/>
    <w:locked/>
    <w:rsid w:val="0092017C"/>
    <w:rPr>
      <w:vertAlign w:val="superscript"/>
    </w:rPr>
  </w:style>
  <w:style w:type="character" w:styleId="UnresolvedMention">
    <w:name w:val="Unresolved Mention"/>
    <w:basedOn w:val="DefaultParagraphFont"/>
    <w:uiPriority w:val="99"/>
    <w:semiHidden/>
    <w:unhideWhenUsed/>
    <w:rsid w:val="00F8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849815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5487356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430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senate/community_affairs/socialwelfaresystem/Report/c02" TargetMode="External"/><Relationship Id="rId3" Type="http://schemas.openxmlformats.org/officeDocument/2006/relationships/hyperlink" Target="http://www.tech.humanrights.gov.au" TargetMode="External"/><Relationship Id="rId7" Type="http://schemas.openxmlformats.org/officeDocument/2006/relationships/hyperlink" Target="https://www.aph.gov.au/Parliamentary_Business/Committees/Senate/Community_Affairs/SocialWelfareSystem/Submissions" TargetMode="External"/><Relationship Id="rId2" Type="http://schemas.openxmlformats.org/officeDocument/2006/relationships/hyperlink" Target="https://tech.humanrights.gov.au/consultation" TargetMode="External"/><Relationship Id="rId1" Type="http://schemas.openxmlformats.org/officeDocument/2006/relationships/hyperlink" Target="https://www.aph.gov.au/Parliamentary_Business/Committees/Senate/Legal_and_Constitutional_Affairs/ServiceDelivery" TargetMode="External"/><Relationship Id="rId6" Type="http://schemas.openxmlformats.org/officeDocument/2006/relationships/hyperlink" Target="https://www.aph.gov.au/parliamentary_business/committees/senate/community_affairs/socialwelfaresystem/Report/c02" TargetMode="External"/><Relationship Id="rId11" Type="http://schemas.openxmlformats.org/officeDocument/2006/relationships/hyperlink" Target="https://www.ohchr.org/EN/Issues/Poverty/Pages/CallforinputGADigitalTechnology.aspx" TargetMode="External"/><Relationship Id="rId5" Type="http://schemas.openxmlformats.org/officeDocument/2006/relationships/hyperlink" Target="http://www.ombudsman.gov.au/__data/assets/pdf_file/0022/43528/Report-Centrelinks-automated-debt-raising-and-recovery-system-April-2017.pdf" TargetMode="External"/><Relationship Id="rId10" Type="http://schemas.openxmlformats.org/officeDocument/2006/relationships/hyperlink" Target="http://www.tech.humanrights.gov.au" TargetMode="External"/><Relationship Id="rId4" Type="http://schemas.openxmlformats.org/officeDocument/2006/relationships/hyperlink" Target="http://www.ombudsman.gov.au/__data/assets/pdf_file/0022/43528/Report-Centrelinks-automated-debt-raising-and-recovery-system-April-2017.pdf" TargetMode="External"/><Relationship Id="rId9" Type="http://schemas.openxmlformats.org/officeDocument/2006/relationships/hyperlink" Target="https://www.aph.gov.au/parliamentary_business/committees/senate/community_affairs/socialwelfaresystem/Report/c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E24C-8597-4679-848B-E3F9FEDD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56</TotalTime>
  <Pages>11</Pages>
  <Words>2205</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15162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Sophie Farthing</dc:creator>
  <cp:keywords/>
  <cp:lastModifiedBy>Sophie Farthing</cp:lastModifiedBy>
  <cp:revision>13</cp:revision>
  <cp:lastPrinted>2019-08-23T00:10:00Z</cp:lastPrinted>
  <dcterms:created xsi:type="dcterms:W3CDTF">2019-08-22T03:57:00Z</dcterms:created>
  <dcterms:modified xsi:type="dcterms:W3CDTF">2019-08-23T00:11:00Z</dcterms:modified>
</cp:coreProperties>
</file>