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9A03F7"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-452755</wp:posOffset>
                </wp:positionH>
                <wp:positionV relativeFrom="paragraph">
                  <wp:posOffset>1454785</wp:posOffset>
                </wp:positionV>
                <wp:extent cx="618744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504825"/>
                        </a:xfrm>
                        <a:prstGeom prst="rect">
                          <a:avLst/>
                        </a:prstGeom>
                        <a:noFill/>
                        <a:ln w="6350">
                          <a:noFill/>
                        </a:ln>
                        <a:effectLst/>
                      </wps:spPr>
                      <wps:txbx>
                        <w:txbxContent>
                          <w:p w:rsidR="00502314" w:rsidRPr="00B74219" w:rsidRDefault="00502314" w:rsidP="00A11307">
                            <w:pPr>
                              <w:pStyle w:val="Subtitle"/>
                            </w:pPr>
                            <w:bookmarkStart w:id="1" w:name="_Toc345062674"/>
                            <w:bookmarkStart w:id="2" w:name="_Toc345320956"/>
                            <w:bookmarkStart w:id="3" w:name="_Toc345321007"/>
                            <w:bookmarkStart w:id="4" w:name="_Toc345332905"/>
                            <w:bookmarkStart w:id="5" w:name="_Toc345571757"/>
                            <w:bookmarkStart w:id="6" w:name="_Toc346539910"/>
                            <w:r w:rsidRPr="002863D7">
                              <w:t xml:space="preserve">Australian Human Rights Commission Submission to the </w:t>
                            </w:r>
                            <w:r>
                              <w:t>senate legal and constitutional Affairs legislation committee</w:t>
                            </w:r>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5pt;margin-top:114.55pt;width:487.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" filled="f" stroked="f" strokeweight=".5pt">
                <v:path arrowok="t"/>
                <v:textbox>
                  <w:txbxContent>
                    <w:p w:rsidR="00502314" w:rsidRPr="00B74219" w:rsidRDefault="00502314" w:rsidP="00A11307">
                      <w:pPr>
                        <w:pStyle w:val="Subtitle"/>
                      </w:pPr>
                      <w:bookmarkStart w:id="7" w:name="_Toc345062674"/>
                      <w:bookmarkStart w:id="8" w:name="_Toc345320956"/>
                      <w:bookmarkStart w:id="9" w:name="_Toc345321007"/>
                      <w:bookmarkStart w:id="10" w:name="_Toc345332905"/>
                      <w:bookmarkStart w:id="11" w:name="_Toc345571757"/>
                      <w:bookmarkStart w:id="12" w:name="_Toc346539910"/>
                      <w:r w:rsidRPr="002863D7">
                        <w:t xml:space="preserve">Australian Human Rights Commission Submission to the </w:t>
                      </w:r>
                      <w:r>
                        <w:t>senate legal and constitutional Affairs legislation committee</w:t>
                      </w:r>
                      <w:bookmarkEnd w:id="7"/>
                      <w:bookmarkEnd w:id="8"/>
                      <w:bookmarkEnd w:id="9"/>
                      <w:bookmarkEnd w:id="10"/>
                      <w:bookmarkEnd w:id="11"/>
                      <w:bookmarkEnd w:id="12"/>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502314" w:rsidRPr="00B74219" w:rsidRDefault="007F5F05" w:rsidP="002863D7">
                            <w:pPr>
                              <w:pStyle w:val="Date"/>
                            </w:pPr>
                            <w:r>
                              <w:t>2</w:t>
                            </w:r>
                            <w:r w:rsidR="003D0629">
                              <w:t>5</w:t>
                            </w:r>
                            <w:r w:rsidR="00502314">
                              <w:t xml:space="preserve"> January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rsidR="00502314" w:rsidRPr="00B74219" w:rsidRDefault="007F5F05" w:rsidP="002863D7">
                      <w:pPr>
                        <w:pStyle w:val="Date"/>
                      </w:pPr>
                      <w:r>
                        <w:t>2</w:t>
                      </w:r>
                      <w:r w:rsidR="003D0629">
                        <w:t>5</w:t>
                      </w:r>
                      <w:r w:rsidR="00502314">
                        <w:t xml:space="preserve"> January 2013</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502314" w:rsidRDefault="00502314" w:rsidP="00FD01B5">
                            <w:pPr>
                              <w:pStyle w:val="MainTitle"/>
                            </w:pPr>
                            <w:r w:rsidRPr="00A64316">
                              <w:t>N</w:t>
                            </w:r>
                            <w:r>
                              <w:t>ative Title Amendment Bill 2012</w:t>
                            </w:r>
                          </w:p>
                          <w:p w:rsidR="00502314" w:rsidRDefault="00502314" w:rsidP="00FD01B5">
                            <w:pPr>
                              <w:pStyle w:val="MainTitle"/>
                            </w:pPr>
                            <w:proofErr w:type="gramStart"/>
                            <w:r>
                              <w:rPr>
                                <w:rFonts w:cs="Arial"/>
                              </w:rPr>
                              <w:t>o</w:t>
                            </w:r>
                            <w:r w:rsidRPr="003E07CF">
                              <w:rPr>
                                <w:rFonts w:cs="Arial"/>
                              </w:rPr>
                              <w:t>ver</w:t>
                            </w:r>
                            <w:proofErr w:type="gramEnd"/>
                            <w:r w:rsidRPr="003E07CF">
                              <w:rPr>
                                <w:rFonts w:cs="Arial"/>
                              </w:rPr>
                              <w:t xml:space="preserve"> three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502314" w:rsidRDefault="00502314" w:rsidP="00FD01B5">
                      <w:pPr>
                        <w:pStyle w:val="MainTitle"/>
                      </w:pPr>
                      <w:r w:rsidRPr="00A64316">
                        <w:t>N</w:t>
                      </w:r>
                      <w:r>
                        <w:t>ative Title Amendment Bill 2012</w:t>
                      </w:r>
                    </w:p>
                    <w:p w:rsidR="00502314" w:rsidRDefault="00502314" w:rsidP="00FD01B5">
                      <w:pPr>
                        <w:pStyle w:val="MainTitle"/>
                      </w:pPr>
                      <w:proofErr w:type="gramStart"/>
                      <w:r>
                        <w:rPr>
                          <w:rFonts w:cs="Arial"/>
                        </w:rPr>
                        <w:t>o</w:t>
                      </w:r>
                      <w:r w:rsidRPr="003E07CF">
                        <w:rPr>
                          <w:rFonts w:cs="Arial"/>
                        </w:rPr>
                        <w:t>ver</w:t>
                      </w:r>
                      <w:proofErr w:type="gramEnd"/>
                      <w:r w:rsidRPr="003E07CF">
                        <w:rPr>
                          <w:rFonts w:cs="Arial"/>
                        </w:rPr>
                        <w:t xml:space="preserve"> three lines</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7" w:name="_Toc209316062"/>
      <w:bookmarkEnd w:id="7"/>
    </w:p>
    <w:p w:rsidR="00B63D24" w:rsidRPr="00907336" w:rsidRDefault="00B63D24" w:rsidP="00B63D24">
      <w:pPr>
        <w:rPr>
          <w:b/>
          <w:sz w:val="28"/>
          <w:szCs w:val="28"/>
        </w:rPr>
      </w:pPr>
      <w:bookmarkStart w:id="8" w:name="_Toc207761829"/>
      <w:r w:rsidRPr="00907336">
        <w:rPr>
          <w:b/>
          <w:sz w:val="28"/>
          <w:szCs w:val="28"/>
        </w:rPr>
        <w:lastRenderedPageBreak/>
        <w:t>Table of Contents</w:t>
      </w:r>
      <w:bookmarkEnd w:id="8"/>
    </w:p>
    <w:p w:rsidR="005B6BC9" w:rsidRPr="005B6BC9" w:rsidRDefault="00B63D24">
      <w:pPr>
        <w:pStyle w:val="TOC2"/>
        <w:rPr>
          <w:rFonts w:asciiTheme="minorHAnsi" w:eastAsiaTheme="minorEastAsia" w:hAnsiTheme="minorHAnsi" w:cstheme="minorBidi"/>
          <w:b w:val="0"/>
          <w:i w:val="0"/>
          <w:sz w:val="22"/>
          <w:szCs w:val="22"/>
        </w:rPr>
      </w:pPr>
      <w:r w:rsidRPr="005B6BC9">
        <w:rPr>
          <w:sz w:val="22"/>
          <w:szCs w:val="22"/>
        </w:rPr>
        <w:fldChar w:fldCharType="begin"/>
      </w:r>
      <w:r w:rsidRPr="005B6BC9">
        <w:rPr>
          <w:sz w:val="22"/>
          <w:szCs w:val="22"/>
        </w:rPr>
        <w:instrText xml:space="preserve"> TOC \o "1-4" \h \z \u </w:instrText>
      </w:r>
      <w:r w:rsidRPr="005B6BC9">
        <w:rPr>
          <w:sz w:val="22"/>
          <w:szCs w:val="22"/>
        </w:rPr>
        <w:fldChar w:fldCharType="separate"/>
      </w:r>
    </w:p>
    <w:p w:rsidR="005B6BC9" w:rsidRPr="005B6BC9" w:rsidRDefault="006E52E4">
      <w:pPr>
        <w:pStyle w:val="TOC1"/>
        <w:rPr>
          <w:rFonts w:asciiTheme="minorHAnsi" w:eastAsiaTheme="minorEastAsia" w:hAnsiTheme="minorHAnsi" w:cstheme="minorBidi"/>
          <w:b w:val="0"/>
          <w:szCs w:val="22"/>
        </w:rPr>
      </w:pPr>
      <w:hyperlink w:anchor="_Toc346539911" w:history="1">
        <w:r w:rsidR="005B6BC9" w:rsidRPr="005B6BC9">
          <w:rPr>
            <w:rStyle w:val="Hyperlink"/>
            <w:szCs w:val="22"/>
          </w:rPr>
          <w:t>1</w:t>
        </w:r>
        <w:r w:rsidR="005B6BC9" w:rsidRPr="005B6BC9">
          <w:rPr>
            <w:rFonts w:asciiTheme="minorHAnsi" w:eastAsiaTheme="minorEastAsia" w:hAnsiTheme="minorHAnsi" w:cstheme="minorBidi"/>
            <w:b w:val="0"/>
            <w:szCs w:val="22"/>
          </w:rPr>
          <w:tab/>
        </w:r>
        <w:r w:rsidR="005B6BC9" w:rsidRPr="005B6BC9">
          <w:rPr>
            <w:rStyle w:val="Hyperlink"/>
            <w:szCs w:val="22"/>
          </w:rPr>
          <w:t>Introduction</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_Toc346539911 \h </w:instrText>
        </w:r>
        <w:r w:rsidR="005B6BC9" w:rsidRPr="005B6BC9">
          <w:rPr>
            <w:webHidden/>
            <w:szCs w:val="22"/>
          </w:rPr>
        </w:r>
        <w:r w:rsidR="005B6BC9" w:rsidRPr="005B6BC9">
          <w:rPr>
            <w:webHidden/>
            <w:szCs w:val="22"/>
          </w:rPr>
          <w:fldChar w:fldCharType="separate"/>
        </w:r>
        <w:r>
          <w:rPr>
            <w:webHidden/>
            <w:szCs w:val="22"/>
          </w:rPr>
          <w:t>3</w:t>
        </w:r>
        <w:r w:rsidR="005B6BC9" w:rsidRPr="005B6BC9">
          <w:rPr>
            <w:webHidden/>
            <w:szCs w:val="22"/>
          </w:rPr>
          <w:fldChar w:fldCharType="end"/>
        </w:r>
      </w:hyperlink>
    </w:p>
    <w:p w:rsidR="005B6BC9" w:rsidRPr="005B6BC9" w:rsidRDefault="006E52E4">
      <w:pPr>
        <w:pStyle w:val="TOC1"/>
        <w:rPr>
          <w:rFonts w:asciiTheme="minorHAnsi" w:eastAsiaTheme="minorEastAsia" w:hAnsiTheme="minorHAnsi" w:cstheme="minorBidi"/>
          <w:b w:val="0"/>
          <w:szCs w:val="22"/>
        </w:rPr>
      </w:pPr>
      <w:hyperlink w:anchor="_Toc346539912" w:history="1">
        <w:r w:rsidR="005B6BC9" w:rsidRPr="005B6BC9">
          <w:rPr>
            <w:rStyle w:val="Hyperlink"/>
            <w:szCs w:val="22"/>
          </w:rPr>
          <w:t>2</w:t>
        </w:r>
        <w:r w:rsidR="005B6BC9" w:rsidRPr="005B6BC9">
          <w:rPr>
            <w:rFonts w:asciiTheme="minorHAnsi" w:eastAsiaTheme="minorEastAsia" w:hAnsiTheme="minorHAnsi" w:cstheme="minorBidi"/>
            <w:b w:val="0"/>
            <w:szCs w:val="22"/>
          </w:rPr>
          <w:tab/>
        </w:r>
        <w:r w:rsidR="005B6BC9" w:rsidRPr="005B6BC9">
          <w:rPr>
            <w:rStyle w:val="Hyperlink"/>
            <w:szCs w:val="22"/>
          </w:rPr>
          <w:t>Summary</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_Toc346539912 \h </w:instrText>
        </w:r>
        <w:r w:rsidR="005B6BC9" w:rsidRPr="005B6BC9">
          <w:rPr>
            <w:webHidden/>
            <w:szCs w:val="22"/>
          </w:rPr>
        </w:r>
        <w:r w:rsidR="005B6BC9" w:rsidRPr="005B6BC9">
          <w:rPr>
            <w:webHidden/>
            <w:szCs w:val="22"/>
          </w:rPr>
          <w:fldChar w:fldCharType="separate"/>
        </w:r>
        <w:r>
          <w:rPr>
            <w:webHidden/>
            <w:szCs w:val="22"/>
          </w:rPr>
          <w:t>3</w:t>
        </w:r>
        <w:r w:rsidR="005B6BC9" w:rsidRPr="005B6BC9">
          <w:rPr>
            <w:webHidden/>
            <w:szCs w:val="22"/>
          </w:rPr>
          <w:fldChar w:fldCharType="end"/>
        </w:r>
      </w:hyperlink>
    </w:p>
    <w:p w:rsidR="005B6BC9" w:rsidRPr="005B6BC9" w:rsidRDefault="006E52E4">
      <w:pPr>
        <w:pStyle w:val="TOC1"/>
        <w:rPr>
          <w:rFonts w:asciiTheme="minorHAnsi" w:eastAsiaTheme="minorEastAsia" w:hAnsiTheme="minorHAnsi" w:cstheme="minorBidi"/>
          <w:b w:val="0"/>
          <w:szCs w:val="22"/>
        </w:rPr>
      </w:pPr>
      <w:hyperlink w:anchor="_Toc346539913" w:history="1">
        <w:r w:rsidR="005B6BC9" w:rsidRPr="005B6BC9">
          <w:rPr>
            <w:rStyle w:val="Hyperlink"/>
            <w:szCs w:val="22"/>
          </w:rPr>
          <w:t>3</w:t>
        </w:r>
        <w:r w:rsidR="005B6BC9" w:rsidRPr="005B6BC9">
          <w:rPr>
            <w:rFonts w:asciiTheme="minorHAnsi" w:eastAsiaTheme="minorEastAsia" w:hAnsiTheme="minorHAnsi" w:cstheme="minorBidi"/>
            <w:b w:val="0"/>
            <w:szCs w:val="22"/>
          </w:rPr>
          <w:tab/>
        </w:r>
        <w:r w:rsidR="005B6BC9" w:rsidRPr="005B6BC9">
          <w:rPr>
            <w:rStyle w:val="Hyperlink"/>
            <w:szCs w:val="22"/>
          </w:rPr>
          <w:t>Recommendations</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_Toc346539913 \h </w:instrText>
        </w:r>
        <w:r w:rsidR="005B6BC9" w:rsidRPr="005B6BC9">
          <w:rPr>
            <w:webHidden/>
            <w:szCs w:val="22"/>
          </w:rPr>
        </w:r>
        <w:r w:rsidR="005B6BC9" w:rsidRPr="005B6BC9">
          <w:rPr>
            <w:webHidden/>
            <w:szCs w:val="22"/>
          </w:rPr>
          <w:fldChar w:fldCharType="separate"/>
        </w:r>
        <w:r>
          <w:rPr>
            <w:webHidden/>
            <w:szCs w:val="22"/>
          </w:rPr>
          <w:t>4</w:t>
        </w:r>
        <w:r w:rsidR="005B6BC9" w:rsidRPr="005B6BC9">
          <w:rPr>
            <w:webHidden/>
            <w:szCs w:val="22"/>
          </w:rPr>
          <w:fldChar w:fldCharType="end"/>
        </w:r>
      </w:hyperlink>
    </w:p>
    <w:p w:rsidR="005B6BC9" w:rsidRPr="005B6BC9" w:rsidRDefault="006E52E4">
      <w:pPr>
        <w:pStyle w:val="TOC1"/>
        <w:rPr>
          <w:rFonts w:asciiTheme="minorHAnsi" w:eastAsiaTheme="minorEastAsia" w:hAnsiTheme="minorHAnsi" w:cstheme="minorBidi"/>
          <w:b w:val="0"/>
          <w:szCs w:val="22"/>
        </w:rPr>
      </w:pPr>
      <w:hyperlink w:anchor="_Toc346539914" w:history="1">
        <w:r w:rsidR="005B6BC9" w:rsidRPr="005B6BC9">
          <w:rPr>
            <w:rStyle w:val="Hyperlink"/>
            <w:szCs w:val="22"/>
          </w:rPr>
          <w:t>4</w:t>
        </w:r>
        <w:r w:rsidR="005B6BC9" w:rsidRPr="005B6BC9">
          <w:rPr>
            <w:rFonts w:asciiTheme="minorHAnsi" w:eastAsiaTheme="minorEastAsia" w:hAnsiTheme="minorHAnsi" w:cstheme="minorBidi"/>
            <w:b w:val="0"/>
            <w:szCs w:val="22"/>
          </w:rPr>
          <w:tab/>
        </w:r>
        <w:r w:rsidR="005B6BC9" w:rsidRPr="005B6BC9">
          <w:rPr>
            <w:rStyle w:val="Hyperlink"/>
            <w:szCs w:val="22"/>
          </w:rPr>
          <w:t>Amendments to disregard the historical extinguishment of native title in areas set aside to preserve the natural environment</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_Toc346539914 \h </w:instrText>
        </w:r>
        <w:r w:rsidR="005B6BC9" w:rsidRPr="005B6BC9">
          <w:rPr>
            <w:webHidden/>
            <w:szCs w:val="22"/>
          </w:rPr>
        </w:r>
        <w:r w:rsidR="005B6BC9" w:rsidRPr="005B6BC9">
          <w:rPr>
            <w:webHidden/>
            <w:szCs w:val="22"/>
          </w:rPr>
          <w:fldChar w:fldCharType="separate"/>
        </w:r>
        <w:r>
          <w:rPr>
            <w:webHidden/>
            <w:szCs w:val="22"/>
          </w:rPr>
          <w:t>4</w:t>
        </w:r>
        <w:r w:rsidR="005B6BC9" w:rsidRPr="005B6BC9">
          <w:rPr>
            <w:webHidden/>
            <w:szCs w:val="22"/>
          </w:rPr>
          <w:fldChar w:fldCharType="end"/>
        </w:r>
      </w:hyperlink>
    </w:p>
    <w:p w:rsidR="005B6BC9" w:rsidRPr="005B6BC9" w:rsidRDefault="006E52E4">
      <w:pPr>
        <w:pStyle w:val="TOC1"/>
        <w:rPr>
          <w:rFonts w:asciiTheme="minorHAnsi" w:eastAsiaTheme="minorEastAsia" w:hAnsiTheme="minorHAnsi" w:cstheme="minorBidi"/>
          <w:b w:val="0"/>
          <w:szCs w:val="22"/>
        </w:rPr>
      </w:pPr>
      <w:hyperlink w:anchor="_Toc346539915" w:history="1">
        <w:r w:rsidR="005B6BC9" w:rsidRPr="005B6BC9">
          <w:rPr>
            <w:rStyle w:val="Hyperlink"/>
            <w:szCs w:val="22"/>
          </w:rPr>
          <w:t>5</w:t>
        </w:r>
        <w:r w:rsidR="005B6BC9" w:rsidRPr="005B6BC9">
          <w:rPr>
            <w:rFonts w:asciiTheme="minorHAnsi" w:eastAsiaTheme="minorEastAsia" w:hAnsiTheme="minorHAnsi" w:cstheme="minorBidi"/>
            <w:b w:val="0"/>
            <w:szCs w:val="22"/>
          </w:rPr>
          <w:tab/>
        </w:r>
        <w:r w:rsidR="005B6BC9" w:rsidRPr="005B6BC9">
          <w:rPr>
            <w:rStyle w:val="Hyperlink"/>
            <w:szCs w:val="22"/>
          </w:rPr>
          <w:t>Amendments to clarify good faith requirements in the right to negotiate provisions</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_Toc346539915 \h </w:instrText>
        </w:r>
        <w:r w:rsidR="005B6BC9" w:rsidRPr="005B6BC9">
          <w:rPr>
            <w:webHidden/>
            <w:szCs w:val="22"/>
          </w:rPr>
        </w:r>
        <w:r w:rsidR="005B6BC9" w:rsidRPr="005B6BC9">
          <w:rPr>
            <w:webHidden/>
            <w:szCs w:val="22"/>
          </w:rPr>
          <w:fldChar w:fldCharType="separate"/>
        </w:r>
        <w:r>
          <w:rPr>
            <w:webHidden/>
            <w:szCs w:val="22"/>
          </w:rPr>
          <w:t>6</w:t>
        </w:r>
        <w:r w:rsidR="005B6BC9" w:rsidRPr="005B6BC9">
          <w:rPr>
            <w:webHidden/>
            <w:szCs w:val="22"/>
          </w:rPr>
          <w:fldChar w:fldCharType="end"/>
        </w:r>
      </w:hyperlink>
    </w:p>
    <w:p w:rsidR="005B6BC9" w:rsidRPr="005B6BC9" w:rsidRDefault="006E52E4">
      <w:pPr>
        <w:pStyle w:val="TOC1"/>
        <w:rPr>
          <w:rFonts w:asciiTheme="minorHAnsi" w:eastAsiaTheme="minorEastAsia" w:hAnsiTheme="minorHAnsi" w:cstheme="minorBidi"/>
          <w:b w:val="0"/>
          <w:szCs w:val="22"/>
        </w:rPr>
      </w:pPr>
      <w:hyperlink w:anchor="_Toc346539916" w:history="1">
        <w:r w:rsidR="005B6BC9" w:rsidRPr="005B6BC9">
          <w:rPr>
            <w:rStyle w:val="Hyperlink"/>
            <w:szCs w:val="22"/>
          </w:rPr>
          <w:t>6</w:t>
        </w:r>
        <w:r w:rsidR="005B6BC9" w:rsidRPr="005B6BC9">
          <w:rPr>
            <w:rFonts w:asciiTheme="minorHAnsi" w:eastAsiaTheme="minorEastAsia" w:hAnsiTheme="minorHAnsi" w:cstheme="minorBidi"/>
            <w:b w:val="0"/>
            <w:szCs w:val="22"/>
          </w:rPr>
          <w:tab/>
        </w:r>
        <w:r w:rsidR="005B6BC9" w:rsidRPr="005B6BC9">
          <w:rPr>
            <w:rStyle w:val="Hyperlink"/>
            <w:szCs w:val="22"/>
          </w:rPr>
          <w:t>Amendments to Indigenous Land Use Agreement processes</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_Toc346539916 \h </w:instrText>
        </w:r>
        <w:r w:rsidR="005B6BC9" w:rsidRPr="005B6BC9">
          <w:rPr>
            <w:webHidden/>
            <w:szCs w:val="22"/>
          </w:rPr>
        </w:r>
        <w:r w:rsidR="005B6BC9" w:rsidRPr="005B6BC9">
          <w:rPr>
            <w:webHidden/>
            <w:szCs w:val="22"/>
          </w:rPr>
          <w:fldChar w:fldCharType="separate"/>
        </w:r>
        <w:r>
          <w:rPr>
            <w:webHidden/>
            <w:szCs w:val="22"/>
          </w:rPr>
          <w:t>7</w:t>
        </w:r>
        <w:r w:rsidR="005B6BC9" w:rsidRPr="005B6BC9">
          <w:rPr>
            <w:webHidden/>
            <w:szCs w:val="22"/>
          </w:rPr>
          <w:fldChar w:fldCharType="end"/>
        </w:r>
      </w:hyperlink>
    </w:p>
    <w:p w:rsidR="005B6BC9" w:rsidRPr="005B6BC9" w:rsidRDefault="006E52E4">
      <w:pPr>
        <w:pStyle w:val="TOC2"/>
        <w:tabs>
          <w:tab w:val="left" w:pos="720"/>
        </w:tabs>
        <w:rPr>
          <w:rFonts w:asciiTheme="minorHAnsi" w:eastAsiaTheme="minorEastAsia" w:hAnsiTheme="minorHAnsi" w:cstheme="minorBidi"/>
          <w:b w:val="0"/>
          <w:i w:val="0"/>
          <w:sz w:val="22"/>
          <w:szCs w:val="22"/>
        </w:rPr>
      </w:pPr>
      <w:hyperlink w:anchor="_Toc346539917" w:history="1">
        <w:r w:rsidR="005B6BC9" w:rsidRPr="005B6BC9">
          <w:rPr>
            <w:rStyle w:val="Hyperlink"/>
            <w:sz w:val="22"/>
            <w:szCs w:val="22"/>
          </w:rPr>
          <w:t>6.1</w:t>
        </w:r>
        <w:r w:rsidR="005B6BC9" w:rsidRPr="005B6BC9">
          <w:rPr>
            <w:rFonts w:asciiTheme="minorHAnsi" w:eastAsiaTheme="minorEastAsia" w:hAnsiTheme="minorHAnsi" w:cstheme="minorBidi"/>
            <w:b w:val="0"/>
            <w:i w:val="0"/>
            <w:sz w:val="22"/>
            <w:szCs w:val="22"/>
          </w:rPr>
          <w:tab/>
        </w:r>
        <w:r w:rsidR="005B6BC9" w:rsidRPr="005B6BC9">
          <w:rPr>
            <w:rStyle w:val="Hyperlink"/>
            <w:sz w:val="22"/>
            <w:szCs w:val="22"/>
          </w:rPr>
          <w:t>Broaden the scope of body corporate (Subdivision B) ILUAs</w:t>
        </w:r>
        <w:r w:rsidR="005B6BC9" w:rsidRPr="005B6BC9">
          <w:rPr>
            <w:webHidden/>
            <w:sz w:val="22"/>
            <w:szCs w:val="22"/>
          </w:rPr>
          <w:tab/>
        </w:r>
        <w:r w:rsidR="005B6BC9" w:rsidRPr="005B6BC9">
          <w:rPr>
            <w:webHidden/>
            <w:sz w:val="22"/>
            <w:szCs w:val="22"/>
          </w:rPr>
          <w:fldChar w:fldCharType="begin"/>
        </w:r>
        <w:r w:rsidR="005B6BC9" w:rsidRPr="005B6BC9">
          <w:rPr>
            <w:webHidden/>
            <w:sz w:val="22"/>
            <w:szCs w:val="22"/>
          </w:rPr>
          <w:instrText xml:space="preserve"> PAGEREF _Toc346539917 \h </w:instrText>
        </w:r>
        <w:r w:rsidR="005B6BC9" w:rsidRPr="005B6BC9">
          <w:rPr>
            <w:webHidden/>
            <w:sz w:val="22"/>
            <w:szCs w:val="22"/>
          </w:rPr>
        </w:r>
        <w:r w:rsidR="005B6BC9" w:rsidRPr="005B6BC9">
          <w:rPr>
            <w:webHidden/>
            <w:sz w:val="22"/>
            <w:szCs w:val="22"/>
          </w:rPr>
          <w:fldChar w:fldCharType="separate"/>
        </w:r>
        <w:r>
          <w:rPr>
            <w:webHidden/>
            <w:sz w:val="22"/>
            <w:szCs w:val="22"/>
          </w:rPr>
          <w:t>7</w:t>
        </w:r>
        <w:r w:rsidR="005B6BC9" w:rsidRPr="005B6BC9">
          <w:rPr>
            <w:webHidden/>
            <w:sz w:val="22"/>
            <w:szCs w:val="22"/>
          </w:rPr>
          <w:fldChar w:fldCharType="end"/>
        </w:r>
      </w:hyperlink>
    </w:p>
    <w:p w:rsidR="005B6BC9" w:rsidRPr="005B6BC9" w:rsidRDefault="006E52E4">
      <w:pPr>
        <w:pStyle w:val="TOC2"/>
        <w:tabs>
          <w:tab w:val="left" w:pos="720"/>
        </w:tabs>
        <w:rPr>
          <w:rFonts w:asciiTheme="minorHAnsi" w:eastAsiaTheme="minorEastAsia" w:hAnsiTheme="minorHAnsi" w:cstheme="minorBidi"/>
          <w:b w:val="0"/>
          <w:i w:val="0"/>
          <w:sz w:val="22"/>
          <w:szCs w:val="22"/>
        </w:rPr>
      </w:pPr>
      <w:hyperlink w:anchor="_Toc346539918" w:history="1">
        <w:r w:rsidR="005B6BC9" w:rsidRPr="005B6BC9">
          <w:rPr>
            <w:rStyle w:val="Hyperlink"/>
            <w:sz w:val="22"/>
            <w:szCs w:val="22"/>
          </w:rPr>
          <w:t>6.2</w:t>
        </w:r>
        <w:r w:rsidR="005B6BC9" w:rsidRPr="005B6BC9">
          <w:rPr>
            <w:rFonts w:asciiTheme="minorHAnsi" w:eastAsiaTheme="minorEastAsia" w:hAnsiTheme="minorHAnsi" w:cstheme="minorBidi"/>
            <w:b w:val="0"/>
            <w:i w:val="0"/>
            <w:sz w:val="22"/>
            <w:szCs w:val="22"/>
          </w:rPr>
          <w:tab/>
        </w:r>
        <w:r w:rsidR="005B6BC9" w:rsidRPr="005B6BC9">
          <w:rPr>
            <w:rStyle w:val="Hyperlink"/>
            <w:sz w:val="22"/>
            <w:szCs w:val="22"/>
          </w:rPr>
          <w:t>Authorisation and registration processes for ILUAs</w:t>
        </w:r>
        <w:r w:rsidR="005B6BC9" w:rsidRPr="005B6BC9">
          <w:rPr>
            <w:webHidden/>
            <w:sz w:val="22"/>
            <w:szCs w:val="22"/>
          </w:rPr>
          <w:tab/>
        </w:r>
        <w:r w:rsidR="005B6BC9" w:rsidRPr="005B6BC9">
          <w:rPr>
            <w:webHidden/>
            <w:sz w:val="22"/>
            <w:szCs w:val="22"/>
          </w:rPr>
          <w:fldChar w:fldCharType="begin"/>
        </w:r>
        <w:r w:rsidR="005B6BC9" w:rsidRPr="005B6BC9">
          <w:rPr>
            <w:webHidden/>
            <w:sz w:val="22"/>
            <w:szCs w:val="22"/>
          </w:rPr>
          <w:instrText xml:space="preserve"> PAGEREF _Toc346539918 \h </w:instrText>
        </w:r>
        <w:r w:rsidR="005B6BC9" w:rsidRPr="005B6BC9">
          <w:rPr>
            <w:webHidden/>
            <w:sz w:val="22"/>
            <w:szCs w:val="22"/>
          </w:rPr>
        </w:r>
        <w:r w:rsidR="005B6BC9" w:rsidRPr="005B6BC9">
          <w:rPr>
            <w:webHidden/>
            <w:sz w:val="22"/>
            <w:szCs w:val="22"/>
          </w:rPr>
          <w:fldChar w:fldCharType="separate"/>
        </w:r>
        <w:r>
          <w:rPr>
            <w:webHidden/>
            <w:sz w:val="22"/>
            <w:szCs w:val="22"/>
          </w:rPr>
          <w:t>7</w:t>
        </w:r>
        <w:r w:rsidR="005B6BC9" w:rsidRPr="005B6BC9">
          <w:rPr>
            <w:webHidden/>
            <w:sz w:val="22"/>
            <w:szCs w:val="22"/>
          </w:rPr>
          <w:fldChar w:fldCharType="end"/>
        </w:r>
      </w:hyperlink>
    </w:p>
    <w:p w:rsidR="005B6BC9" w:rsidRPr="005B6BC9" w:rsidRDefault="006E52E4">
      <w:pPr>
        <w:pStyle w:val="TOC2"/>
        <w:tabs>
          <w:tab w:val="left" w:pos="720"/>
        </w:tabs>
        <w:rPr>
          <w:rFonts w:asciiTheme="minorHAnsi" w:eastAsiaTheme="minorEastAsia" w:hAnsiTheme="minorHAnsi" w:cstheme="minorBidi"/>
          <w:b w:val="0"/>
          <w:i w:val="0"/>
          <w:sz w:val="22"/>
          <w:szCs w:val="22"/>
        </w:rPr>
      </w:pPr>
      <w:hyperlink w:anchor="_Toc346539919" w:history="1">
        <w:r w:rsidR="005B6BC9" w:rsidRPr="005B6BC9">
          <w:rPr>
            <w:rStyle w:val="Hyperlink"/>
            <w:sz w:val="22"/>
            <w:szCs w:val="22"/>
          </w:rPr>
          <w:t>6.3</w:t>
        </w:r>
        <w:r w:rsidR="005B6BC9" w:rsidRPr="005B6BC9">
          <w:rPr>
            <w:rFonts w:asciiTheme="minorHAnsi" w:eastAsiaTheme="minorEastAsia" w:hAnsiTheme="minorHAnsi" w:cstheme="minorBidi"/>
            <w:b w:val="0"/>
            <w:i w:val="0"/>
            <w:sz w:val="22"/>
            <w:szCs w:val="22"/>
          </w:rPr>
          <w:tab/>
        </w:r>
        <w:r w:rsidR="005B6BC9" w:rsidRPr="005B6BC9">
          <w:rPr>
            <w:rStyle w:val="Hyperlink"/>
            <w:sz w:val="22"/>
            <w:szCs w:val="22"/>
          </w:rPr>
          <w:t>Simplify the process for amending ILUAs</w:t>
        </w:r>
        <w:r w:rsidR="005B6BC9" w:rsidRPr="005B6BC9">
          <w:rPr>
            <w:webHidden/>
            <w:sz w:val="22"/>
            <w:szCs w:val="22"/>
          </w:rPr>
          <w:tab/>
        </w:r>
        <w:r w:rsidR="005B6BC9" w:rsidRPr="005B6BC9">
          <w:rPr>
            <w:webHidden/>
            <w:sz w:val="22"/>
            <w:szCs w:val="22"/>
          </w:rPr>
          <w:fldChar w:fldCharType="begin"/>
        </w:r>
        <w:r w:rsidR="005B6BC9" w:rsidRPr="005B6BC9">
          <w:rPr>
            <w:webHidden/>
            <w:sz w:val="22"/>
            <w:szCs w:val="22"/>
          </w:rPr>
          <w:instrText xml:space="preserve"> PAGEREF _Toc346539919 \h </w:instrText>
        </w:r>
        <w:r w:rsidR="005B6BC9" w:rsidRPr="005B6BC9">
          <w:rPr>
            <w:webHidden/>
            <w:sz w:val="22"/>
            <w:szCs w:val="22"/>
          </w:rPr>
        </w:r>
        <w:r w:rsidR="005B6BC9" w:rsidRPr="005B6BC9">
          <w:rPr>
            <w:webHidden/>
            <w:sz w:val="22"/>
            <w:szCs w:val="22"/>
          </w:rPr>
          <w:fldChar w:fldCharType="separate"/>
        </w:r>
        <w:r>
          <w:rPr>
            <w:webHidden/>
            <w:sz w:val="22"/>
            <w:szCs w:val="22"/>
          </w:rPr>
          <w:t>8</w:t>
        </w:r>
        <w:r w:rsidR="005B6BC9" w:rsidRPr="005B6BC9">
          <w:rPr>
            <w:webHidden/>
            <w:sz w:val="22"/>
            <w:szCs w:val="22"/>
          </w:rPr>
          <w:fldChar w:fldCharType="end"/>
        </w:r>
      </w:hyperlink>
    </w:p>
    <w:p w:rsidR="005B6BC9" w:rsidRPr="005B6BC9" w:rsidRDefault="006E52E4">
      <w:pPr>
        <w:pStyle w:val="TOC1"/>
        <w:rPr>
          <w:rFonts w:asciiTheme="minorHAnsi" w:eastAsiaTheme="minorEastAsia" w:hAnsiTheme="minorHAnsi" w:cstheme="minorBidi"/>
          <w:b w:val="0"/>
          <w:szCs w:val="22"/>
        </w:rPr>
      </w:pPr>
      <w:hyperlink w:anchor="_Toc346539920" w:history="1">
        <w:r w:rsidR="005B6BC9" w:rsidRPr="005B6BC9">
          <w:rPr>
            <w:rStyle w:val="Hyperlink"/>
            <w:szCs w:val="22"/>
          </w:rPr>
          <w:t>7</w:t>
        </w:r>
        <w:r w:rsidR="005B6BC9" w:rsidRPr="005B6BC9">
          <w:rPr>
            <w:rFonts w:asciiTheme="minorHAnsi" w:eastAsiaTheme="minorEastAsia" w:hAnsiTheme="minorHAnsi" w:cstheme="minorBidi"/>
            <w:b w:val="0"/>
            <w:szCs w:val="22"/>
          </w:rPr>
          <w:tab/>
        </w:r>
        <w:r w:rsidR="005B6BC9" w:rsidRPr="005B6BC9">
          <w:rPr>
            <w:rStyle w:val="Hyperlink"/>
            <w:szCs w:val="22"/>
          </w:rPr>
          <w:t>Implications of the Native Title Amendment Bill 2012 on human rights</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_Toc346539920 \h </w:instrText>
        </w:r>
        <w:r w:rsidR="005B6BC9" w:rsidRPr="005B6BC9">
          <w:rPr>
            <w:webHidden/>
            <w:szCs w:val="22"/>
          </w:rPr>
        </w:r>
        <w:r w:rsidR="005B6BC9" w:rsidRPr="005B6BC9">
          <w:rPr>
            <w:webHidden/>
            <w:szCs w:val="22"/>
          </w:rPr>
          <w:fldChar w:fldCharType="separate"/>
        </w:r>
        <w:r>
          <w:rPr>
            <w:webHidden/>
            <w:szCs w:val="22"/>
          </w:rPr>
          <w:t>8</w:t>
        </w:r>
        <w:r w:rsidR="005B6BC9" w:rsidRPr="005B6BC9">
          <w:rPr>
            <w:webHidden/>
            <w:szCs w:val="22"/>
          </w:rPr>
          <w:fldChar w:fldCharType="end"/>
        </w:r>
      </w:hyperlink>
    </w:p>
    <w:p w:rsidR="005B6BC9" w:rsidRPr="005B6BC9" w:rsidRDefault="006E52E4">
      <w:pPr>
        <w:pStyle w:val="TOC1"/>
        <w:rPr>
          <w:rFonts w:asciiTheme="minorHAnsi" w:eastAsiaTheme="minorEastAsia" w:hAnsiTheme="minorHAnsi" w:cstheme="minorBidi"/>
          <w:b w:val="0"/>
          <w:szCs w:val="22"/>
        </w:rPr>
      </w:pPr>
      <w:hyperlink w:anchor="_Toc346539921" w:history="1">
        <w:r w:rsidR="005B6BC9" w:rsidRPr="005B6BC9">
          <w:rPr>
            <w:rStyle w:val="Hyperlink"/>
            <w:szCs w:val="22"/>
          </w:rPr>
          <w:t>8</w:t>
        </w:r>
        <w:r w:rsidR="005B6BC9" w:rsidRPr="005B6BC9">
          <w:rPr>
            <w:rFonts w:asciiTheme="minorHAnsi" w:eastAsiaTheme="minorEastAsia" w:hAnsiTheme="minorHAnsi" w:cstheme="minorBidi"/>
            <w:b w:val="0"/>
            <w:szCs w:val="22"/>
          </w:rPr>
          <w:tab/>
        </w:r>
        <w:r w:rsidR="005B6BC9" w:rsidRPr="005B6BC9">
          <w:rPr>
            <w:rStyle w:val="Hyperlink"/>
            <w:szCs w:val="22"/>
          </w:rPr>
          <w:t>Appendix A – The Commission’s recommendations to the House Standing Committee on Aboriginal and Torres Strait Islander Affairs Inquiry</w:t>
        </w:r>
        <w:r w:rsidR="005B6BC9" w:rsidRPr="005B6BC9">
          <w:rPr>
            <w:webHidden/>
            <w:szCs w:val="22"/>
          </w:rPr>
          <w:tab/>
        </w:r>
        <w:r w:rsidR="005B6BC9" w:rsidRPr="005B6BC9">
          <w:rPr>
            <w:webHidden/>
            <w:szCs w:val="22"/>
          </w:rPr>
          <w:fldChar w:fldCharType="begin"/>
        </w:r>
        <w:r w:rsidR="005B6BC9" w:rsidRPr="005B6BC9">
          <w:rPr>
            <w:webHidden/>
            <w:szCs w:val="22"/>
          </w:rPr>
          <w:instrText xml:space="preserve"> PAGEREF _Toc346539921 \h </w:instrText>
        </w:r>
        <w:r w:rsidR="005B6BC9" w:rsidRPr="005B6BC9">
          <w:rPr>
            <w:webHidden/>
            <w:szCs w:val="22"/>
          </w:rPr>
        </w:r>
        <w:r w:rsidR="005B6BC9" w:rsidRPr="005B6BC9">
          <w:rPr>
            <w:webHidden/>
            <w:szCs w:val="22"/>
          </w:rPr>
          <w:fldChar w:fldCharType="separate"/>
        </w:r>
        <w:r>
          <w:rPr>
            <w:webHidden/>
            <w:szCs w:val="22"/>
          </w:rPr>
          <w:t>9</w:t>
        </w:r>
        <w:r w:rsidR="005B6BC9" w:rsidRPr="005B6BC9">
          <w:rPr>
            <w:webHidden/>
            <w:szCs w:val="22"/>
          </w:rPr>
          <w:fldChar w:fldCharType="end"/>
        </w:r>
      </w:hyperlink>
    </w:p>
    <w:p w:rsidR="00B34946" w:rsidRPr="005B6BC9" w:rsidRDefault="00B63D24" w:rsidP="00B63D24">
      <w:pPr>
        <w:rPr>
          <w:sz w:val="22"/>
          <w:szCs w:val="22"/>
        </w:rPr>
      </w:pPr>
      <w:r w:rsidRPr="005B6BC9">
        <w:rPr>
          <w:sz w:val="22"/>
          <w:szCs w:val="22"/>
        </w:rPr>
        <w:fldChar w:fldCharType="end"/>
      </w:r>
    </w:p>
    <w:p w:rsidR="00B34946" w:rsidRDefault="00B34946">
      <w:pPr>
        <w:spacing w:before="0" w:after="0"/>
      </w:pPr>
      <w:r>
        <w:br w:type="page"/>
      </w:r>
    </w:p>
    <w:p w:rsidR="00B34946" w:rsidRPr="001E1304" w:rsidRDefault="00B34946" w:rsidP="0032093B">
      <w:pPr>
        <w:pStyle w:val="Heading1"/>
        <w:numPr>
          <w:ilvl w:val="0"/>
          <w:numId w:val="16"/>
        </w:numPr>
      </w:pPr>
      <w:bookmarkStart w:id="9" w:name="_Toc207761830"/>
      <w:bookmarkStart w:id="10" w:name="_Toc209578266"/>
      <w:bookmarkStart w:id="11" w:name="_Toc346539911"/>
      <w:r w:rsidRPr="001E1304">
        <w:lastRenderedPageBreak/>
        <w:t>Introduction</w:t>
      </w:r>
      <w:bookmarkEnd w:id="9"/>
      <w:bookmarkEnd w:id="10"/>
      <w:bookmarkEnd w:id="11"/>
      <w:r w:rsidRPr="001E1304">
        <w:t xml:space="preserve"> </w:t>
      </w:r>
    </w:p>
    <w:p w:rsidR="00B34946" w:rsidRDefault="00B34946" w:rsidP="001C1930">
      <w:pPr>
        <w:pStyle w:val="SubmissionNormal"/>
        <w:tabs>
          <w:tab w:val="clear" w:pos="720"/>
          <w:tab w:val="num" w:pos="851"/>
        </w:tabs>
        <w:ind w:left="851" w:hanging="709"/>
      </w:pPr>
      <w:r w:rsidRPr="00C5786C">
        <w:t xml:space="preserve">The Australian Human Rights Commission makes this submission to the </w:t>
      </w:r>
      <w:r w:rsidR="006F5811">
        <w:t>Senate Legal and Constitutional Affairs Legislation Committee</w:t>
      </w:r>
      <w:r w:rsidRPr="00C5786C">
        <w:t xml:space="preserve"> in its Inquiry into </w:t>
      </w:r>
      <w:r w:rsidR="006F5811">
        <w:t>the Native Title Amendment Bill 2012</w:t>
      </w:r>
      <w:r w:rsidR="00D82080">
        <w:t xml:space="preserve"> (the Bill)</w:t>
      </w:r>
      <w:r w:rsidRPr="008A0C37">
        <w:t>.</w:t>
      </w:r>
    </w:p>
    <w:p w:rsidR="0095617D" w:rsidRDefault="0095617D" w:rsidP="0095617D">
      <w:pPr>
        <w:pStyle w:val="SubmissionNormal"/>
        <w:tabs>
          <w:tab w:val="clear" w:pos="720"/>
          <w:tab w:val="num" w:pos="851"/>
        </w:tabs>
        <w:ind w:left="851" w:hanging="709"/>
      </w:pPr>
      <w:r>
        <w:t>The Bill contains amendments to:</w:t>
      </w:r>
    </w:p>
    <w:p w:rsidR="0095617D" w:rsidRDefault="0095617D" w:rsidP="0095617D">
      <w:pPr>
        <w:pStyle w:val="SubmissionNormal"/>
        <w:numPr>
          <w:ilvl w:val="1"/>
          <w:numId w:val="19"/>
        </w:numPr>
      </w:pPr>
      <w:r>
        <w:t>enable parties to agree to disregard the historical extinguishment of native title over an area that has been set aside or vested to preserve the natural environment such as parks and reserves</w:t>
      </w:r>
    </w:p>
    <w:p w:rsidR="0095617D" w:rsidRDefault="0095617D" w:rsidP="0095617D">
      <w:pPr>
        <w:pStyle w:val="SubmissionNormal"/>
        <w:numPr>
          <w:ilvl w:val="1"/>
          <w:numId w:val="19"/>
        </w:numPr>
      </w:pPr>
      <w:r>
        <w:t>clarify the meaning of good faith under the right to negotiate regime, and the conduct and effort required of parties in seeking to reach agreement</w:t>
      </w:r>
    </w:p>
    <w:p w:rsidR="0095617D" w:rsidRDefault="0095617D" w:rsidP="0095617D">
      <w:pPr>
        <w:pStyle w:val="SubmissionNormal"/>
        <w:numPr>
          <w:ilvl w:val="1"/>
          <w:numId w:val="19"/>
        </w:numPr>
      </w:pPr>
      <w:proofErr w:type="gramStart"/>
      <w:r>
        <w:t>streamline</w:t>
      </w:r>
      <w:proofErr w:type="gramEnd"/>
      <w:r>
        <w:t xml:space="preserve"> processes for Indigenous Land Use Agreements (ILUAs).</w:t>
      </w:r>
    </w:p>
    <w:p w:rsidR="0095617D" w:rsidRDefault="0095617D" w:rsidP="0095617D">
      <w:pPr>
        <w:pStyle w:val="SubmissionNormal"/>
        <w:tabs>
          <w:tab w:val="clear" w:pos="720"/>
          <w:tab w:val="num" w:pos="851"/>
        </w:tabs>
        <w:ind w:left="851" w:hanging="709"/>
      </w:pPr>
      <w:r>
        <w:t>According to the Explanatory Memorandum to the Bill, these amendments ‘aim to improve agreement-making, encourage flexibility in claim resolution and promote sustainable outcomes’.</w:t>
      </w:r>
      <w:r>
        <w:rPr>
          <w:rStyle w:val="EndnoteReference"/>
        </w:rPr>
        <w:endnoteReference w:id="1"/>
      </w:r>
    </w:p>
    <w:p w:rsidR="0095617D" w:rsidRDefault="0095617D" w:rsidP="0095617D">
      <w:pPr>
        <w:pStyle w:val="SubmissionNormal"/>
        <w:tabs>
          <w:tab w:val="clear" w:pos="720"/>
          <w:tab w:val="num" w:pos="851"/>
        </w:tabs>
        <w:ind w:left="851" w:hanging="709"/>
      </w:pPr>
      <w:r>
        <w:t>The Commission notes that the Attorney-General’s Department has consulted with a wide range of stakeholders on the development of the Bill.</w:t>
      </w:r>
    </w:p>
    <w:p w:rsidR="00B34946" w:rsidRDefault="00B34946" w:rsidP="00B34946">
      <w:pPr>
        <w:ind w:hanging="567"/>
      </w:pPr>
    </w:p>
    <w:p w:rsidR="00B34946" w:rsidRPr="00DD425D" w:rsidRDefault="00B34946" w:rsidP="0032093B">
      <w:pPr>
        <w:pStyle w:val="Heading1"/>
        <w:numPr>
          <w:ilvl w:val="0"/>
          <w:numId w:val="16"/>
        </w:numPr>
      </w:pPr>
      <w:bookmarkStart w:id="12" w:name="_Toc162769290"/>
      <w:bookmarkStart w:id="13" w:name="_Toc207761831"/>
      <w:bookmarkStart w:id="14" w:name="_Toc209578267"/>
      <w:bookmarkStart w:id="15" w:name="_Toc346539912"/>
      <w:r>
        <w:t>Su</w:t>
      </w:r>
      <w:r w:rsidRPr="00DD425D">
        <w:t>mmary</w:t>
      </w:r>
      <w:bookmarkEnd w:id="12"/>
      <w:bookmarkEnd w:id="13"/>
      <w:bookmarkEnd w:id="14"/>
      <w:bookmarkEnd w:id="15"/>
    </w:p>
    <w:p w:rsidR="00262428" w:rsidRDefault="00D15CAC" w:rsidP="00262428">
      <w:pPr>
        <w:pStyle w:val="SubmissionNormal"/>
        <w:tabs>
          <w:tab w:val="clear" w:pos="720"/>
          <w:tab w:val="num" w:pos="851"/>
        </w:tabs>
        <w:ind w:left="851" w:hanging="709"/>
      </w:pPr>
      <w:r>
        <w:t xml:space="preserve">The Commission </w:t>
      </w:r>
      <w:r w:rsidR="00C423D8">
        <w:t xml:space="preserve">generally </w:t>
      </w:r>
      <w:r w:rsidR="009E4F1E">
        <w:t xml:space="preserve">welcomes </w:t>
      </w:r>
      <w:r w:rsidR="0095617D">
        <w:t>the Bill. The proposed</w:t>
      </w:r>
      <w:r>
        <w:t xml:space="preserve"> amendments</w:t>
      </w:r>
      <w:r w:rsidR="0095617D">
        <w:t xml:space="preserve"> </w:t>
      </w:r>
      <w:r w:rsidR="008061D5">
        <w:t xml:space="preserve">are compatible </w:t>
      </w:r>
      <w:r w:rsidR="00345594">
        <w:t xml:space="preserve">with </w:t>
      </w:r>
      <w:r w:rsidR="009E4F1E">
        <w:t>the human rights to enjoy and benefit from cult</w:t>
      </w:r>
      <w:r w:rsidR="002D0822">
        <w:t xml:space="preserve">ure and to self-determination </w:t>
      </w:r>
      <w:r w:rsidR="008061D5">
        <w:t xml:space="preserve">contained in the </w:t>
      </w:r>
      <w:r w:rsidR="008061D5" w:rsidRPr="008061D5">
        <w:rPr>
          <w:i/>
        </w:rPr>
        <w:t>International Covenant on Civil and Political Rights</w:t>
      </w:r>
      <w:r w:rsidR="008061D5">
        <w:t xml:space="preserve">, the </w:t>
      </w:r>
      <w:r w:rsidR="008061D5" w:rsidRPr="008061D5">
        <w:rPr>
          <w:i/>
        </w:rPr>
        <w:t xml:space="preserve">International Covenant on Economic, Social and Cultural Rights </w:t>
      </w:r>
      <w:r w:rsidR="008061D5">
        <w:t xml:space="preserve">and the </w:t>
      </w:r>
      <w:r w:rsidR="008061D5" w:rsidRPr="008061D5">
        <w:rPr>
          <w:i/>
        </w:rPr>
        <w:t>United Nations Declaration on the Rights of Indigenous Peoples</w:t>
      </w:r>
      <w:r w:rsidR="008061D5">
        <w:t>.</w:t>
      </w:r>
    </w:p>
    <w:p w:rsidR="0095617D" w:rsidRDefault="0095617D" w:rsidP="00262428">
      <w:pPr>
        <w:pStyle w:val="SubmissionNormal"/>
        <w:tabs>
          <w:tab w:val="clear" w:pos="720"/>
          <w:tab w:val="num" w:pos="851"/>
        </w:tabs>
        <w:ind w:left="851" w:hanging="709"/>
      </w:pPr>
      <w:r>
        <w:t>The Commission makes four recomme</w:t>
      </w:r>
      <w:r w:rsidR="008A08F3">
        <w:t xml:space="preserve">ndations relating to the Bill – </w:t>
      </w:r>
      <w:r>
        <w:t>contained in the next section of this submission.</w:t>
      </w:r>
    </w:p>
    <w:p w:rsidR="00B44CFE" w:rsidRDefault="0095617D" w:rsidP="00B94C80">
      <w:pPr>
        <w:pStyle w:val="SubmissionNormal"/>
        <w:tabs>
          <w:tab w:val="clear" w:pos="720"/>
          <w:tab w:val="num" w:pos="851"/>
        </w:tabs>
        <w:ind w:left="851" w:hanging="709"/>
      </w:pPr>
      <w:r>
        <w:t>T</w:t>
      </w:r>
      <w:r w:rsidR="00262428">
        <w:t xml:space="preserve">he Commission </w:t>
      </w:r>
      <w:r>
        <w:t xml:space="preserve">also notes that the </w:t>
      </w:r>
      <w:r w:rsidRPr="00C22EC1">
        <w:rPr>
          <w:i/>
        </w:rPr>
        <w:t xml:space="preserve">Native Title Act </w:t>
      </w:r>
      <w:r w:rsidR="00C22EC1" w:rsidRPr="00C22EC1">
        <w:rPr>
          <w:i/>
        </w:rPr>
        <w:t>1993</w:t>
      </w:r>
      <w:r w:rsidR="00C22EC1">
        <w:t xml:space="preserve"> </w:t>
      </w:r>
      <w:r>
        <w:t>continues to impose</w:t>
      </w:r>
      <w:r w:rsidR="00262428">
        <w:t xml:space="preserve"> significant burden</w:t>
      </w:r>
      <w:r w:rsidR="00BD1AFF">
        <w:t>s</w:t>
      </w:r>
      <w:r w:rsidR="00262428">
        <w:t xml:space="preserve"> on Aboriginal and Torres Strait Islander peoples to prove their </w:t>
      </w:r>
      <w:r w:rsidR="00B92EA0">
        <w:t xml:space="preserve">on-going </w:t>
      </w:r>
      <w:r w:rsidR="00262428">
        <w:t xml:space="preserve">connection to their lands, territories </w:t>
      </w:r>
      <w:r w:rsidR="00B92EA0">
        <w:t>and resources</w:t>
      </w:r>
      <w:r w:rsidR="00262428">
        <w:t>.</w:t>
      </w:r>
      <w:r w:rsidR="00B94C80">
        <w:t xml:space="preserve"> </w:t>
      </w:r>
      <w:r w:rsidR="00BD1AFF">
        <w:t>Some of the causes of these burdens are not addressed through the proposed amendments.</w:t>
      </w:r>
    </w:p>
    <w:p w:rsidR="00262428" w:rsidRDefault="00B94C80" w:rsidP="00B94C80">
      <w:pPr>
        <w:pStyle w:val="SubmissionNormal"/>
        <w:tabs>
          <w:tab w:val="clear" w:pos="720"/>
          <w:tab w:val="num" w:pos="851"/>
        </w:tabs>
        <w:ind w:left="851" w:hanging="709"/>
      </w:pPr>
      <w:r>
        <w:t xml:space="preserve">The Commission notes that the Bill has also been referred to the House Standing Committee on Aboriginal and Torres Strait Islander Affairs </w:t>
      </w:r>
      <w:r w:rsidR="00B44CFE">
        <w:t xml:space="preserve">(House Standing Committee) </w:t>
      </w:r>
      <w:r>
        <w:t>to ‘specifically examine and report on the benefits or otherwise of an amendment to the Bill that would reverse the onus of proof for claimants on on-going connection to land’.</w:t>
      </w:r>
      <w:r w:rsidR="00CC23AD">
        <w:rPr>
          <w:rStyle w:val="EndnoteReference"/>
        </w:rPr>
        <w:endnoteReference w:id="2"/>
      </w:r>
      <w:r w:rsidR="00B44CFE">
        <w:t xml:space="preserve"> The Commission is providing a separate submission </w:t>
      </w:r>
      <w:r w:rsidR="007B340E">
        <w:t>to th</w:t>
      </w:r>
      <w:r w:rsidR="00BD1AFF">
        <w:t xml:space="preserve">at </w:t>
      </w:r>
      <w:r w:rsidR="007B340E">
        <w:t>Committee recommending</w:t>
      </w:r>
      <w:r w:rsidR="00250E9C">
        <w:t xml:space="preserve"> future reforms to</w:t>
      </w:r>
      <w:r w:rsidR="00D345B8">
        <w:t xml:space="preserve"> </w:t>
      </w:r>
      <w:r w:rsidR="00D345B8">
        <w:lastRenderedPageBreak/>
        <w:t>the native title process</w:t>
      </w:r>
      <w:r w:rsidR="0073756B">
        <w:t xml:space="preserve"> </w:t>
      </w:r>
      <w:r w:rsidR="00BD1AFF">
        <w:t xml:space="preserve">– the Commission’s recommendations to that Committee </w:t>
      </w:r>
      <w:r w:rsidR="00287FBF">
        <w:t>ar</w:t>
      </w:r>
      <w:r w:rsidR="00BD1AFF">
        <w:t>e attached at Appendix A</w:t>
      </w:r>
      <w:r w:rsidR="00D345B8">
        <w:t>.</w:t>
      </w:r>
    </w:p>
    <w:p w:rsidR="00B34946" w:rsidRDefault="00B34946" w:rsidP="00B34946">
      <w:pPr>
        <w:ind w:hanging="567"/>
      </w:pPr>
    </w:p>
    <w:p w:rsidR="00B34946" w:rsidRPr="001E1304" w:rsidRDefault="00B34946" w:rsidP="0032093B">
      <w:pPr>
        <w:pStyle w:val="Heading1"/>
        <w:numPr>
          <w:ilvl w:val="0"/>
          <w:numId w:val="16"/>
        </w:numPr>
      </w:pPr>
      <w:bookmarkStart w:id="16" w:name="_Toc162769291"/>
      <w:bookmarkStart w:id="17" w:name="_Toc207761832"/>
      <w:bookmarkStart w:id="18" w:name="_Toc209578268"/>
      <w:bookmarkStart w:id="19" w:name="_Toc346539913"/>
      <w:r w:rsidRPr="001E1304">
        <w:t>Recommendations</w:t>
      </w:r>
      <w:bookmarkEnd w:id="16"/>
      <w:bookmarkEnd w:id="17"/>
      <w:bookmarkEnd w:id="18"/>
      <w:bookmarkEnd w:id="19"/>
    </w:p>
    <w:p w:rsidR="00262428" w:rsidRDefault="00B34946" w:rsidP="001C1930">
      <w:pPr>
        <w:pStyle w:val="SubmissionNormal"/>
        <w:tabs>
          <w:tab w:val="clear" w:pos="720"/>
          <w:tab w:val="num" w:pos="851"/>
        </w:tabs>
        <w:ind w:left="851" w:hanging="709"/>
      </w:pPr>
      <w:r w:rsidRPr="008A0C37">
        <w:t xml:space="preserve">The Australian Human Rights Commission </w:t>
      </w:r>
      <w:r w:rsidRPr="008A0C37">
        <w:rPr>
          <w:rStyle w:val="Heading3Char"/>
          <w:bCs w:val="0"/>
          <w:i w:val="0"/>
        </w:rPr>
        <w:t>re</w:t>
      </w:r>
      <w:r w:rsidRPr="008A0C37">
        <w:t>co</w:t>
      </w:r>
      <w:r w:rsidRPr="008A0C37">
        <w:rPr>
          <w:rStyle w:val="Heading4Char"/>
          <w:iCs w:val="0"/>
        </w:rPr>
        <w:t>mm</w:t>
      </w:r>
      <w:r w:rsidR="00BA5EFA">
        <w:t xml:space="preserve">ends that the </w:t>
      </w:r>
      <w:r w:rsidR="0086395C">
        <w:t>Senate Legal and Constitutional Affairs Legislation Committee</w:t>
      </w:r>
      <w:r w:rsidR="00262428">
        <w:t>:</w:t>
      </w:r>
    </w:p>
    <w:p w:rsidR="00B34946" w:rsidRPr="001B55A4" w:rsidRDefault="00262428" w:rsidP="005204E1">
      <w:pPr>
        <w:pStyle w:val="SubmissionNormal"/>
        <w:numPr>
          <w:ilvl w:val="1"/>
          <w:numId w:val="18"/>
        </w:numPr>
      </w:pPr>
      <w:r>
        <w:t>S</w:t>
      </w:r>
      <w:r w:rsidR="0086395C">
        <w:t xml:space="preserve">upport the </w:t>
      </w:r>
      <w:r w:rsidR="00A45D47">
        <w:t xml:space="preserve">passage of the </w:t>
      </w:r>
      <w:r w:rsidR="0086395C">
        <w:t>Native Title Amendment Bill 2012.</w:t>
      </w:r>
      <w:r w:rsidR="00B45022">
        <w:t xml:space="preserve"> </w:t>
      </w:r>
      <w:r w:rsidR="00B45022" w:rsidRPr="001B55A4">
        <w:t>[Recommendation no. 1]</w:t>
      </w:r>
    </w:p>
    <w:p w:rsidR="008D14E6" w:rsidRPr="001B55A4" w:rsidRDefault="00953C67" w:rsidP="005204E1">
      <w:pPr>
        <w:pStyle w:val="SubmissionNormal"/>
        <w:numPr>
          <w:ilvl w:val="1"/>
          <w:numId w:val="18"/>
        </w:numPr>
      </w:pPr>
      <w:r w:rsidRPr="001B55A4">
        <w:t xml:space="preserve">Consider incorporating the changes outlined in </w:t>
      </w:r>
      <w:r w:rsidR="00A45D47" w:rsidRPr="001B55A4">
        <w:t>paragraph</w:t>
      </w:r>
      <w:r w:rsidR="001B55A4" w:rsidRPr="001B55A4">
        <w:t xml:space="preserve"> 13</w:t>
      </w:r>
      <w:r w:rsidR="00A45D47" w:rsidRPr="001B55A4">
        <w:t xml:space="preserve"> </w:t>
      </w:r>
      <w:r w:rsidRPr="001B55A4">
        <w:t>of this submission</w:t>
      </w:r>
      <w:r w:rsidR="00081B97" w:rsidRPr="001B55A4">
        <w:t xml:space="preserve"> </w:t>
      </w:r>
      <w:r w:rsidR="00D3789A" w:rsidRPr="001B55A4">
        <w:t xml:space="preserve">into the Native Title Amendment Bill 2012 – </w:t>
      </w:r>
      <w:r w:rsidR="001B55A4" w:rsidRPr="001B55A4">
        <w:t>that is</w:t>
      </w:r>
      <w:r w:rsidR="00D3789A" w:rsidRPr="001B55A4">
        <w:t xml:space="preserve">, </w:t>
      </w:r>
      <w:r w:rsidR="001B55A4" w:rsidRPr="001B55A4">
        <w:t>expand</w:t>
      </w:r>
      <w:r w:rsidR="008D14E6" w:rsidRPr="001B55A4">
        <w:t xml:space="preserve"> the </w:t>
      </w:r>
      <w:r w:rsidR="008D14E6" w:rsidRPr="001B55A4">
        <w:rPr>
          <w:szCs w:val="28"/>
        </w:rPr>
        <w:t>proposed section 47C in the following two ways:</w:t>
      </w:r>
    </w:p>
    <w:p w:rsidR="008D14E6" w:rsidRPr="001B55A4" w:rsidRDefault="008D14E6" w:rsidP="008D14E6">
      <w:pPr>
        <w:pStyle w:val="SubmissionNormal"/>
        <w:numPr>
          <w:ilvl w:val="2"/>
          <w:numId w:val="18"/>
        </w:numPr>
        <w:rPr>
          <w:szCs w:val="28"/>
        </w:rPr>
      </w:pPr>
      <w:r w:rsidRPr="001B55A4">
        <w:rPr>
          <w:rFonts w:cs="Arial"/>
        </w:rPr>
        <w:t xml:space="preserve">alter the wording of the amendment so that the </w:t>
      </w:r>
      <w:r w:rsidRPr="001B55A4">
        <w:rPr>
          <w:szCs w:val="28"/>
        </w:rPr>
        <w:t>proposed section 47C operates in a manner similar to sections 47, 47A and 47B; namely, so that it is understood that agreement will be provided to disregard historical extinguishment as the starting point rather than requiring such agreement to be reached for every potential matter</w:t>
      </w:r>
    </w:p>
    <w:p w:rsidR="008D14E6" w:rsidRPr="001B55A4" w:rsidRDefault="001B55A4" w:rsidP="001B55A4">
      <w:pPr>
        <w:pStyle w:val="SubmissionNormal"/>
        <w:numPr>
          <w:ilvl w:val="2"/>
          <w:numId w:val="18"/>
        </w:numPr>
        <w:rPr>
          <w:szCs w:val="28"/>
        </w:rPr>
      </w:pPr>
      <w:proofErr w:type="gramStart"/>
      <w:r w:rsidRPr="001B55A4">
        <w:rPr>
          <w:szCs w:val="28"/>
        </w:rPr>
        <w:t>expand</w:t>
      </w:r>
      <w:proofErr w:type="gramEnd"/>
      <w:r w:rsidRPr="001B55A4">
        <w:rPr>
          <w:szCs w:val="28"/>
        </w:rPr>
        <w:t xml:space="preserve"> section 47C to allow h</w:t>
      </w:r>
      <w:r w:rsidRPr="001B55A4">
        <w:rPr>
          <w:rFonts w:cs="Arial"/>
        </w:rPr>
        <w:t xml:space="preserve">istorical extinguishment of native title to be disregarded over </w:t>
      </w:r>
      <w:r w:rsidRPr="001B55A4">
        <w:rPr>
          <w:rFonts w:cs="Arial"/>
          <w:i/>
        </w:rPr>
        <w:t>any</w:t>
      </w:r>
      <w:r w:rsidRPr="001B55A4">
        <w:rPr>
          <w:rFonts w:cs="Arial"/>
        </w:rPr>
        <w:t xml:space="preserve"> areas of Crown land where there is agreement between the government and native title claimants.</w:t>
      </w:r>
      <w:r w:rsidRPr="001B55A4">
        <w:rPr>
          <w:szCs w:val="28"/>
        </w:rPr>
        <w:t xml:space="preserve"> </w:t>
      </w:r>
      <w:r w:rsidR="00081B97" w:rsidRPr="001B55A4">
        <w:t>[Recommendation no. 2]</w:t>
      </w:r>
    </w:p>
    <w:p w:rsidR="00C37D50" w:rsidRDefault="00C37D50" w:rsidP="005204E1">
      <w:pPr>
        <w:pStyle w:val="SubmissionNormal"/>
        <w:numPr>
          <w:ilvl w:val="1"/>
          <w:numId w:val="18"/>
        </w:numPr>
      </w:pPr>
      <w:r>
        <w:t xml:space="preserve">Consider the implications of the </w:t>
      </w:r>
      <w:r w:rsidR="00B24AC5">
        <w:t>amendment</w:t>
      </w:r>
      <w:r w:rsidR="001B55A4">
        <w:t xml:space="preserve"> outlined in paragraph </w:t>
      </w:r>
      <w:r w:rsidR="001B55A4" w:rsidRPr="0046226B">
        <w:t>26</w:t>
      </w:r>
      <w:r>
        <w:t xml:space="preserve"> of this submission into the Native Title Amendment Bill 2012 – in particular, the implications of replacing section 24CK with a provision that removes the objection process for ILUAs certified by a native title representative body. </w:t>
      </w:r>
      <w:r w:rsidR="00B24AC5">
        <w:t>[Recommendation no. 3]</w:t>
      </w:r>
    </w:p>
    <w:p w:rsidR="00B44CFE" w:rsidRDefault="00B32C89" w:rsidP="00B44CFE">
      <w:pPr>
        <w:pStyle w:val="SubmissionNormal"/>
        <w:numPr>
          <w:ilvl w:val="1"/>
          <w:numId w:val="18"/>
        </w:numPr>
      </w:pPr>
      <w:r>
        <w:t>Co</w:t>
      </w:r>
      <w:r w:rsidR="00BA6A44">
        <w:t>llaborate</w:t>
      </w:r>
      <w:r w:rsidR="00262428">
        <w:t xml:space="preserve"> with the House Standing Committee on Aboriginal and Torres Strait Islander Affairs</w:t>
      </w:r>
      <w:r w:rsidR="00B45022">
        <w:t xml:space="preserve"> on an amendment to the Bill that would </w:t>
      </w:r>
      <w:r w:rsidR="00BA6A44">
        <w:t xml:space="preserve">effectively </w:t>
      </w:r>
      <w:r w:rsidR="00B45022">
        <w:t xml:space="preserve">reverse the onus of proof for </w:t>
      </w:r>
      <w:r w:rsidR="00132622">
        <w:t xml:space="preserve">native title </w:t>
      </w:r>
      <w:r w:rsidR="00B45022">
        <w:t xml:space="preserve">claimants in relation to their on-going connection to </w:t>
      </w:r>
      <w:r w:rsidR="00BA6A44">
        <w:t xml:space="preserve">their traditional </w:t>
      </w:r>
      <w:r w:rsidR="00B45022">
        <w:t>land</w:t>
      </w:r>
      <w:r w:rsidR="00BA6A44">
        <w:t>s, territories and resources</w:t>
      </w:r>
      <w:r w:rsidR="004E6C2B">
        <w:t>, and to implement any other proposals recommended by that Committee for the future reform of the native title system</w:t>
      </w:r>
      <w:r w:rsidR="00B24AC5">
        <w:t>. [Recommendation no. 4</w:t>
      </w:r>
      <w:r w:rsidR="00B45022">
        <w:t>]</w:t>
      </w:r>
    </w:p>
    <w:p w:rsidR="002D61B5" w:rsidRPr="002D61B5" w:rsidRDefault="002D61B5" w:rsidP="002D61B5">
      <w:bookmarkStart w:id="20" w:name="_Toc162769292"/>
      <w:bookmarkStart w:id="21" w:name="_Toc207761833"/>
      <w:bookmarkStart w:id="22" w:name="_Toc209578269"/>
    </w:p>
    <w:p w:rsidR="00B34946" w:rsidRPr="00C12498" w:rsidRDefault="00F061D5" w:rsidP="0032093B">
      <w:pPr>
        <w:pStyle w:val="Heading1"/>
        <w:numPr>
          <w:ilvl w:val="0"/>
          <w:numId w:val="16"/>
        </w:numPr>
      </w:pPr>
      <w:bookmarkStart w:id="23" w:name="_Toc346539914"/>
      <w:r>
        <w:t>Amendments</w:t>
      </w:r>
      <w:r w:rsidR="000E120E">
        <w:t xml:space="preserve"> to disregard </w:t>
      </w:r>
      <w:r w:rsidR="00D014FA">
        <w:t xml:space="preserve">the </w:t>
      </w:r>
      <w:r w:rsidR="000E120E">
        <w:t>h</w:t>
      </w:r>
      <w:r w:rsidR="00C43B1B">
        <w:t>istorical extinguishment</w:t>
      </w:r>
      <w:bookmarkEnd w:id="20"/>
      <w:bookmarkEnd w:id="21"/>
      <w:bookmarkEnd w:id="22"/>
      <w:r w:rsidR="00D014FA">
        <w:t xml:space="preserve"> of native title in areas set aside to preserve the natural environment</w:t>
      </w:r>
      <w:bookmarkEnd w:id="23"/>
    </w:p>
    <w:p w:rsidR="000B23B2" w:rsidRPr="000B23B2" w:rsidRDefault="000B23B2" w:rsidP="000B23B2">
      <w:pPr>
        <w:pStyle w:val="SubmissionNormal"/>
        <w:tabs>
          <w:tab w:val="clear" w:pos="720"/>
          <w:tab w:val="num" w:pos="851"/>
        </w:tabs>
        <w:ind w:left="851" w:hanging="709"/>
      </w:pPr>
      <w:r>
        <w:rPr>
          <w:rFonts w:cs="Arial"/>
        </w:rPr>
        <w:t xml:space="preserve">The </w:t>
      </w:r>
      <w:r w:rsidRPr="00C22EC1">
        <w:rPr>
          <w:rFonts w:cs="Arial"/>
          <w:i/>
        </w:rPr>
        <w:t xml:space="preserve">Native Title Act </w:t>
      </w:r>
      <w:r w:rsidR="00C22EC1" w:rsidRPr="00C22EC1">
        <w:rPr>
          <w:rFonts w:cs="Arial"/>
          <w:i/>
        </w:rPr>
        <w:t>1993</w:t>
      </w:r>
      <w:r w:rsidR="00C22EC1">
        <w:rPr>
          <w:rFonts w:cs="Arial"/>
        </w:rPr>
        <w:t xml:space="preserve"> </w:t>
      </w:r>
      <w:r w:rsidRPr="00C22EC1">
        <w:rPr>
          <w:rFonts w:cs="Arial"/>
        </w:rPr>
        <w:t>does</w:t>
      </w:r>
      <w:r>
        <w:rPr>
          <w:rFonts w:cs="Arial"/>
        </w:rPr>
        <w:t xml:space="preserve"> not currently allow parties to reach agreement about disregarding extinguishment </w:t>
      </w:r>
      <w:r w:rsidR="005B63E9">
        <w:rPr>
          <w:rFonts w:cs="Arial"/>
        </w:rPr>
        <w:t xml:space="preserve">of native title </w:t>
      </w:r>
      <w:r>
        <w:rPr>
          <w:rFonts w:cs="Arial"/>
        </w:rPr>
        <w:t xml:space="preserve">except in particular </w:t>
      </w:r>
      <w:r>
        <w:rPr>
          <w:rFonts w:cs="Arial"/>
        </w:rPr>
        <w:lastRenderedPageBreak/>
        <w:t>circumstances set out in section 47 (pastoral leases held by native title claimants), section 47A (reserves covered by claimant applications) and section 47B (vacant Crown land covered by claimant applications).</w:t>
      </w:r>
    </w:p>
    <w:p w:rsidR="00C85C90" w:rsidRPr="00C85C90" w:rsidRDefault="008B2657" w:rsidP="00F061D5">
      <w:pPr>
        <w:pStyle w:val="SubmissionNormal"/>
        <w:tabs>
          <w:tab w:val="clear" w:pos="720"/>
          <w:tab w:val="num" w:pos="851"/>
        </w:tabs>
        <w:ind w:left="851" w:hanging="709"/>
      </w:pPr>
      <w:r>
        <w:rPr>
          <w:rFonts w:cs="Arial"/>
        </w:rPr>
        <w:t>Th</w:t>
      </w:r>
      <w:r w:rsidR="00D014FA">
        <w:rPr>
          <w:rFonts w:cs="Arial"/>
        </w:rPr>
        <w:t xml:space="preserve">e Bill </w:t>
      </w:r>
      <w:r w:rsidR="00C85C90">
        <w:rPr>
          <w:rFonts w:cs="Arial"/>
        </w:rPr>
        <w:t>inserts section 47C, which a</w:t>
      </w:r>
      <w:r w:rsidRPr="00C51232">
        <w:rPr>
          <w:rFonts w:cs="Arial"/>
        </w:rPr>
        <w:t>llow</w:t>
      </w:r>
      <w:r w:rsidR="00C85C90">
        <w:rPr>
          <w:rFonts w:cs="Arial"/>
        </w:rPr>
        <w:t>s</w:t>
      </w:r>
      <w:r w:rsidRPr="00C51232">
        <w:rPr>
          <w:rFonts w:cs="Arial"/>
        </w:rPr>
        <w:t xml:space="preserve"> historical extinguishment </w:t>
      </w:r>
      <w:r w:rsidR="005B63E9">
        <w:rPr>
          <w:rFonts w:cs="Arial"/>
        </w:rPr>
        <w:t xml:space="preserve">of native title </w:t>
      </w:r>
      <w:r w:rsidRPr="00C51232">
        <w:rPr>
          <w:rFonts w:cs="Arial"/>
        </w:rPr>
        <w:t xml:space="preserve">over </w:t>
      </w:r>
      <w:r w:rsidR="00D014FA">
        <w:rPr>
          <w:rFonts w:cs="Arial"/>
        </w:rPr>
        <w:t xml:space="preserve">national, State and Territory </w:t>
      </w:r>
      <w:r w:rsidRPr="00C51232">
        <w:rPr>
          <w:rFonts w:cs="Arial"/>
        </w:rPr>
        <w:t xml:space="preserve">parks and reserves to be disregarded where there is agreement between the </w:t>
      </w:r>
      <w:r w:rsidR="000D55C0">
        <w:rPr>
          <w:rFonts w:cs="Arial"/>
        </w:rPr>
        <w:t xml:space="preserve">relevant </w:t>
      </w:r>
      <w:r w:rsidRPr="00C51232">
        <w:rPr>
          <w:rFonts w:cs="Arial"/>
        </w:rPr>
        <w:t>government party and the native title party.</w:t>
      </w:r>
      <w:r w:rsidR="00C85C90">
        <w:rPr>
          <w:rFonts w:cs="Arial"/>
        </w:rPr>
        <w:t xml:space="preserve"> </w:t>
      </w:r>
      <w:r w:rsidR="00C85C90">
        <w:t xml:space="preserve">The </w:t>
      </w:r>
      <w:r w:rsidR="00C85C90">
        <w:rPr>
          <w:rFonts w:cs="Arial"/>
        </w:rPr>
        <w:t xml:space="preserve">intent of this amendment is to </w:t>
      </w:r>
      <w:r w:rsidR="00F061D5">
        <w:rPr>
          <w:rFonts w:cs="Arial"/>
        </w:rPr>
        <w:t xml:space="preserve">increase </w:t>
      </w:r>
      <w:r w:rsidR="00C85C90">
        <w:rPr>
          <w:rFonts w:cs="Arial"/>
        </w:rPr>
        <w:t>flexibility for parties to agree to disregard historical extinguishment</w:t>
      </w:r>
      <w:r w:rsidR="00132622">
        <w:rPr>
          <w:rFonts w:cs="Arial"/>
        </w:rPr>
        <w:t xml:space="preserve"> of native title</w:t>
      </w:r>
      <w:r w:rsidR="00C85C90">
        <w:rPr>
          <w:rFonts w:cs="Arial"/>
        </w:rPr>
        <w:t xml:space="preserve">. </w:t>
      </w:r>
    </w:p>
    <w:p w:rsidR="00EB1F5E" w:rsidRPr="00EB1F5E" w:rsidRDefault="00EB1F5E" w:rsidP="00EB1F5E">
      <w:pPr>
        <w:pStyle w:val="SubmissionNormal"/>
        <w:tabs>
          <w:tab w:val="clear" w:pos="720"/>
          <w:tab w:val="num" w:pos="851"/>
        </w:tabs>
        <w:ind w:left="851" w:hanging="709"/>
      </w:pPr>
      <w:r>
        <w:t>This</w:t>
      </w:r>
      <w:r w:rsidR="005E5251">
        <w:t xml:space="preserve"> </w:t>
      </w:r>
      <w:r w:rsidR="005E5251">
        <w:rPr>
          <w:rFonts w:cs="Arial"/>
        </w:rPr>
        <w:t xml:space="preserve">amendment </w:t>
      </w:r>
      <w:r>
        <w:rPr>
          <w:rFonts w:cs="Arial"/>
        </w:rPr>
        <w:t>also:</w:t>
      </w:r>
    </w:p>
    <w:p w:rsidR="00EB1F5E" w:rsidRPr="00EB1F5E" w:rsidRDefault="00F03EF9" w:rsidP="00EB1F5E">
      <w:pPr>
        <w:pStyle w:val="SubmissionNormal"/>
        <w:numPr>
          <w:ilvl w:val="1"/>
          <w:numId w:val="18"/>
        </w:numPr>
      </w:pPr>
      <w:r>
        <w:t>enables</w:t>
      </w:r>
      <w:r w:rsidR="00EB1F5E">
        <w:t xml:space="preserve"> </w:t>
      </w:r>
      <w:r w:rsidR="00853EA3">
        <w:t>the government party to include a statement in the agreement that it agrees to disregard extinguishment of native title over public works within the agreement area, if the public works were established or constructed by or on behalf of the relevant government party</w:t>
      </w:r>
    </w:p>
    <w:p w:rsidR="00C43B1B" w:rsidRDefault="00F03EF9" w:rsidP="00EB1F5E">
      <w:pPr>
        <w:pStyle w:val="SubmissionNormal"/>
        <w:numPr>
          <w:ilvl w:val="1"/>
          <w:numId w:val="18"/>
        </w:numPr>
      </w:pPr>
      <w:r>
        <w:rPr>
          <w:rFonts w:cs="Arial"/>
        </w:rPr>
        <w:t xml:space="preserve">provides </w:t>
      </w:r>
      <w:r w:rsidR="005E5251">
        <w:rPr>
          <w:rFonts w:cs="Arial"/>
        </w:rPr>
        <w:t xml:space="preserve">notification requirements to give interested persons an opportunity to comment over a two month period on the proposed </w:t>
      </w:r>
      <w:r w:rsidR="005E5251" w:rsidRPr="000B23B2">
        <w:t>ag</w:t>
      </w:r>
      <w:r w:rsidR="000B23B2">
        <w:t>reement</w:t>
      </w:r>
    </w:p>
    <w:p w:rsidR="00095096" w:rsidRDefault="00095096" w:rsidP="00EB1F5E">
      <w:pPr>
        <w:pStyle w:val="SubmissionNormal"/>
        <w:numPr>
          <w:ilvl w:val="1"/>
          <w:numId w:val="18"/>
        </w:numPr>
      </w:pPr>
      <w:r>
        <w:t>ensures the validity of other prior interests (</w:t>
      </w:r>
      <w:r w:rsidR="00132C1D">
        <w:t>such as licenses and leases) and</w:t>
      </w:r>
      <w:r>
        <w:t xml:space="preserve"> mai</w:t>
      </w:r>
      <w:r w:rsidR="00132C1D">
        <w:t>ntains public access to the area</w:t>
      </w:r>
    </w:p>
    <w:p w:rsidR="004450F2" w:rsidRPr="004450F2" w:rsidRDefault="00132C1D" w:rsidP="00132C1D">
      <w:pPr>
        <w:pStyle w:val="SubmissionNormal"/>
        <w:numPr>
          <w:ilvl w:val="1"/>
          <w:numId w:val="18"/>
        </w:numPr>
      </w:pPr>
      <w:r>
        <w:t>provides that the non-</w:t>
      </w:r>
      <w:r w:rsidRPr="00132C1D">
        <w:t xml:space="preserve">extinguishment </w:t>
      </w:r>
      <w:r w:rsidRPr="00132C1D">
        <w:rPr>
          <w:rFonts w:cs="Arial"/>
        </w:rPr>
        <w:t xml:space="preserve">principle applies, so that any current interests over the land </w:t>
      </w:r>
      <w:r w:rsidR="003A3DAB">
        <w:rPr>
          <w:rFonts w:cs="Arial"/>
        </w:rPr>
        <w:t xml:space="preserve">will </w:t>
      </w:r>
      <w:r w:rsidR="00D345B8">
        <w:rPr>
          <w:rFonts w:cs="Arial"/>
        </w:rPr>
        <w:t>continue to exist</w:t>
      </w:r>
      <w:r w:rsidRPr="00132C1D">
        <w:rPr>
          <w:rFonts w:cs="Arial"/>
        </w:rPr>
        <w:t xml:space="preserve"> </w:t>
      </w:r>
      <w:r w:rsidR="003A3DAB">
        <w:rPr>
          <w:rFonts w:cs="Arial"/>
        </w:rPr>
        <w:t xml:space="preserve">but </w:t>
      </w:r>
      <w:r w:rsidR="00D345B8">
        <w:rPr>
          <w:rFonts w:cs="Arial"/>
        </w:rPr>
        <w:t xml:space="preserve">will </w:t>
      </w:r>
      <w:r w:rsidR="003A3DAB">
        <w:rPr>
          <w:rFonts w:cs="Arial"/>
        </w:rPr>
        <w:t>suppress rather than extinguish any native title rights to the extent of any inconsistency</w:t>
      </w:r>
    </w:p>
    <w:p w:rsidR="000B23B2" w:rsidRDefault="004450F2" w:rsidP="00132C1D">
      <w:pPr>
        <w:pStyle w:val="SubmissionNormal"/>
        <w:numPr>
          <w:ilvl w:val="1"/>
          <w:numId w:val="18"/>
        </w:numPr>
      </w:pPr>
      <w:proofErr w:type="gramStart"/>
      <w:r>
        <w:rPr>
          <w:rFonts w:cs="Arial"/>
        </w:rPr>
        <w:t>excludes</w:t>
      </w:r>
      <w:proofErr w:type="gramEnd"/>
      <w:r>
        <w:rPr>
          <w:rFonts w:cs="Arial"/>
        </w:rPr>
        <w:t xml:space="preserve"> Crown ownership of natural resources from the operation of section 47C</w:t>
      </w:r>
      <w:r w:rsidR="00132C1D" w:rsidRPr="00132C1D">
        <w:rPr>
          <w:rFonts w:cs="Arial"/>
        </w:rPr>
        <w:t>.</w:t>
      </w:r>
    </w:p>
    <w:p w:rsidR="00C22EC1" w:rsidRPr="00C22EC1" w:rsidRDefault="00C22EC1" w:rsidP="000D55C0">
      <w:pPr>
        <w:pStyle w:val="SubmissionNormal"/>
        <w:tabs>
          <w:tab w:val="clear" w:pos="720"/>
          <w:tab w:val="num" w:pos="851"/>
        </w:tabs>
        <w:ind w:left="851" w:hanging="709"/>
        <w:rPr>
          <w:szCs w:val="28"/>
        </w:rPr>
      </w:pPr>
      <w:r>
        <w:rPr>
          <w:rFonts w:cs="Arial"/>
        </w:rPr>
        <w:t>T</w:t>
      </w:r>
      <w:r w:rsidR="005E5251">
        <w:rPr>
          <w:rFonts w:cs="Arial"/>
        </w:rPr>
        <w:t>he Commission welcomes this amendment</w:t>
      </w:r>
      <w:r w:rsidR="00D345B8">
        <w:rPr>
          <w:rFonts w:cs="Arial"/>
        </w:rPr>
        <w:t xml:space="preserve"> to expand </w:t>
      </w:r>
      <w:r w:rsidR="002705E8">
        <w:rPr>
          <w:rFonts w:cs="Arial"/>
        </w:rPr>
        <w:t xml:space="preserve">the areas where </w:t>
      </w:r>
      <w:r w:rsidR="00D345B8">
        <w:rPr>
          <w:rFonts w:cs="Arial"/>
        </w:rPr>
        <w:t xml:space="preserve">historical extinguishment </w:t>
      </w:r>
      <w:r w:rsidR="00414F2F">
        <w:rPr>
          <w:rFonts w:cs="Arial"/>
        </w:rPr>
        <w:t xml:space="preserve">of native title </w:t>
      </w:r>
      <w:r w:rsidR="002705E8">
        <w:rPr>
          <w:rFonts w:cs="Arial"/>
        </w:rPr>
        <w:t>can be disregarded</w:t>
      </w:r>
      <w:r>
        <w:rPr>
          <w:rFonts w:cs="Arial"/>
        </w:rPr>
        <w:t>. The Commission is of the view that this proposed provision should be further expanded in the following two ways:</w:t>
      </w:r>
    </w:p>
    <w:p w:rsidR="00945290" w:rsidRDefault="00C22EC1" w:rsidP="00C22EC1">
      <w:pPr>
        <w:pStyle w:val="SubmissionNormal"/>
        <w:numPr>
          <w:ilvl w:val="1"/>
          <w:numId w:val="18"/>
        </w:numPr>
        <w:rPr>
          <w:szCs w:val="28"/>
        </w:rPr>
      </w:pPr>
      <w:r>
        <w:rPr>
          <w:rFonts w:cs="Arial"/>
        </w:rPr>
        <w:t>alte</w:t>
      </w:r>
      <w:r w:rsidR="00E951E9">
        <w:rPr>
          <w:rFonts w:cs="Arial"/>
        </w:rPr>
        <w:t>r</w:t>
      </w:r>
      <w:r w:rsidR="00DB754E">
        <w:rPr>
          <w:rFonts w:cs="Arial"/>
        </w:rPr>
        <w:t xml:space="preserve"> </w:t>
      </w:r>
      <w:r>
        <w:rPr>
          <w:rFonts w:cs="Arial"/>
        </w:rPr>
        <w:t xml:space="preserve">the wording of the amendment </w:t>
      </w:r>
      <w:r w:rsidR="00945290">
        <w:rPr>
          <w:rFonts w:cs="Arial"/>
        </w:rPr>
        <w:t>so that</w:t>
      </w:r>
      <w:r w:rsidR="001C2601">
        <w:rPr>
          <w:rFonts w:cs="Arial"/>
        </w:rPr>
        <w:t xml:space="preserve"> </w:t>
      </w:r>
      <w:r w:rsidR="000D55C0">
        <w:rPr>
          <w:rFonts w:cs="Arial"/>
        </w:rPr>
        <w:t xml:space="preserve">the </w:t>
      </w:r>
      <w:r w:rsidR="000D55C0">
        <w:rPr>
          <w:szCs w:val="28"/>
        </w:rPr>
        <w:t>proposed section 47C operate</w:t>
      </w:r>
      <w:r w:rsidR="00945290">
        <w:rPr>
          <w:szCs w:val="28"/>
        </w:rPr>
        <w:t>s in a manner similar to sections 47, 47A and 47B; namely, so that it is understood that agreement will be provided to disregard historical extinguishment as the starting point rather than requiring such agreement to be reached for every potential matter</w:t>
      </w:r>
    </w:p>
    <w:p w:rsidR="003966D6" w:rsidRPr="000D55C0" w:rsidRDefault="008D14E6" w:rsidP="00C22EC1">
      <w:pPr>
        <w:pStyle w:val="SubmissionNormal"/>
        <w:numPr>
          <w:ilvl w:val="1"/>
          <w:numId w:val="18"/>
        </w:numPr>
        <w:rPr>
          <w:szCs w:val="28"/>
        </w:rPr>
      </w:pPr>
      <w:proofErr w:type="gramStart"/>
      <w:r>
        <w:rPr>
          <w:szCs w:val="28"/>
        </w:rPr>
        <w:t>ex</w:t>
      </w:r>
      <w:r w:rsidR="003C438A">
        <w:rPr>
          <w:szCs w:val="28"/>
        </w:rPr>
        <w:t>pand</w:t>
      </w:r>
      <w:proofErr w:type="gramEnd"/>
      <w:r w:rsidR="003C438A">
        <w:rPr>
          <w:szCs w:val="28"/>
        </w:rPr>
        <w:t xml:space="preserve"> </w:t>
      </w:r>
      <w:r w:rsidR="00704324">
        <w:rPr>
          <w:szCs w:val="28"/>
        </w:rPr>
        <w:t>section 47C</w:t>
      </w:r>
      <w:r w:rsidR="003C438A">
        <w:rPr>
          <w:szCs w:val="28"/>
        </w:rPr>
        <w:t xml:space="preserve"> to </w:t>
      </w:r>
      <w:r w:rsidR="00B43BED">
        <w:rPr>
          <w:szCs w:val="28"/>
        </w:rPr>
        <w:t>allow h</w:t>
      </w:r>
      <w:r w:rsidR="00C06F26" w:rsidRPr="00611396">
        <w:rPr>
          <w:rFonts w:cs="Arial"/>
        </w:rPr>
        <w:t xml:space="preserve">istorical extinguishment </w:t>
      </w:r>
      <w:r w:rsidR="00C06F26">
        <w:rPr>
          <w:rFonts w:cs="Arial"/>
        </w:rPr>
        <w:t>o</w:t>
      </w:r>
      <w:r w:rsidR="00303079">
        <w:rPr>
          <w:rFonts w:cs="Arial"/>
        </w:rPr>
        <w:t>f native title</w:t>
      </w:r>
      <w:r w:rsidR="00C06F26">
        <w:rPr>
          <w:rFonts w:cs="Arial"/>
        </w:rPr>
        <w:t xml:space="preserve"> </w:t>
      </w:r>
      <w:r w:rsidR="00B43BED">
        <w:rPr>
          <w:rFonts w:cs="Arial"/>
        </w:rPr>
        <w:t xml:space="preserve">to be disregarded </w:t>
      </w:r>
      <w:r w:rsidR="003C438A">
        <w:rPr>
          <w:rFonts w:cs="Arial"/>
        </w:rPr>
        <w:t>over</w:t>
      </w:r>
      <w:r w:rsidR="003C438A" w:rsidRPr="00E6539B">
        <w:rPr>
          <w:rFonts w:cs="Arial"/>
        </w:rPr>
        <w:t xml:space="preserve"> </w:t>
      </w:r>
      <w:r w:rsidR="003C438A" w:rsidRPr="005B63E9">
        <w:rPr>
          <w:rFonts w:cs="Arial"/>
          <w:i/>
        </w:rPr>
        <w:t>any</w:t>
      </w:r>
      <w:r w:rsidR="003C438A">
        <w:rPr>
          <w:rFonts w:cs="Arial"/>
        </w:rPr>
        <w:t xml:space="preserve"> areas </w:t>
      </w:r>
      <w:r w:rsidR="00821D66">
        <w:rPr>
          <w:rFonts w:cs="Arial"/>
        </w:rPr>
        <w:t xml:space="preserve">of Crown land </w:t>
      </w:r>
      <w:r w:rsidR="00C06F26">
        <w:rPr>
          <w:rFonts w:cs="Arial"/>
        </w:rPr>
        <w:t xml:space="preserve">where </w:t>
      </w:r>
      <w:r w:rsidR="003C438A">
        <w:rPr>
          <w:rFonts w:cs="Arial"/>
        </w:rPr>
        <w:t xml:space="preserve">there is agreement between </w:t>
      </w:r>
      <w:r>
        <w:rPr>
          <w:rFonts w:cs="Arial"/>
        </w:rPr>
        <w:t>the government and native title claimants</w:t>
      </w:r>
      <w:r w:rsidR="003C438A">
        <w:rPr>
          <w:rFonts w:cs="Arial"/>
        </w:rPr>
        <w:t>.</w:t>
      </w:r>
    </w:p>
    <w:p w:rsidR="000E120E" w:rsidRPr="000E120E" w:rsidRDefault="000E120E" w:rsidP="000E120E">
      <w:pPr>
        <w:pStyle w:val="SubmissionNormal"/>
        <w:numPr>
          <w:ilvl w:val="0"/>
          <w:numId w:val="0"/>
        </w:numPr>
        <w:ind w:left="851"/>
        <w:rPr>
          <w:szCs w:val="28"/>
        </w:rPr>
      </w:pPr>
    </w:p>
    <w:p w:rsidR="00C43B1B" w:rsidRPr="001C1599" w:rsidRDefault="000E120E" w:rsidP="0032093B">
      <w:pPr>
        <w:pStyle w:val="Heading1"/>
        <w:numPr>
          <w:ilvl w:val="0"/>
          <w:numId w:val="16"/>
        </w:numPr>
      </w:pPr>
      <w:bookmarkStart w:id="24" w:name="_Toc346539915"/>
      <w:r>
        <w:lastRenderedPageBreak/>
        <w:t xml:space="preserve">Amendments </w:t>
      </w:r>
      <w:r w:rsidR="004662DB">
        <w:t xml:space="preserve">to </w:t>
      </w:r>
      <w:r>
        <w:t>clarify good faith requirements</w:t>
      </w:r>
      <w:r w:rsidR="00CC59E2">
        <w:t xml:space="preserve"> in the right to negotiate provisions</w:t>
      </w:r>
      <w:bookmarkEnd w:id="24"/>
    </w:p>
    <w:p w:rsidR="006D3F12" w:rsidRPr="006D3F12" w:rsidRDefault="006D3F12" w:rsidP="002353A4">
      <w:pPr>
        <w:pStyle w:val="SubmissionNormal"/>
        <w:tabs>
          <w:tab w:val="clear" w:pos="720"/>
          <w:tab w:val="num" w:pos="851"/>
        </w:tabs>
        <w:ind w:left="851" w:hanging="709"/>
      </w:pPr>
      <w:r>
        <w:t>The Bill in</w:t>
      </w:r>
      <w:r w:rsidR="0073756B">
        <w:t>serts section 31A, which sets out</w:t>
      </w:r>
      <w:r>
        <w:t xml:space="preserve"> good faith criteria that </w:t>
      </w:r>
      <w:r>
        <w:rPr>
          <w:rFonts w:cs="Arial"/>
        </w:rPr>
        <w:t xml:space="preserve">establish the conduct expected of negotiating parties. The </w:t>
      </w:r>
      <w:r w:rsidR="00A93846">
        <w:rPr>
          <w:rFonts w:cs="Arial"/>
        </w:rPr>
        <w:t>objective of this amendment is to ‘encourage parties across the [resource] sector to focus on negotiated, rather than arbitrated, outcomes’.</w:t>
      </w:r>
      <w:r w:rsidR="00953C67">
        <w:rPr>
          <w:rStyle w:val="EndnoteReference"/>
          <w:rFonts w:cs="Arial"/>
        </w:rPr>
        <w:endnoteReference w:id="3"/>
      </w:r>
      <w:r w:rsidR="00A93846">
        <w:rPr>
          <w:rFonts w:cs="Arial"/>
        </w:rPr>
        <w:t xml:space="preserve"> </w:t>
      </w:r>
    </w:p>
    <w:p w:rsidR="00953C67" w:rsidRPr="00B13484" w:rsidRDefault="00801C89" w:rsidP="002353A4">
      <w:pPr>
        <w:pStyle w:val="SubmissionNormal"/>
        <w:tabs>
          <w:tab w:val="clear" w:pos="720"/>
          <w:tab w:val="num" w:pos="851"/>
        </w:tabs>
        <w:ind w:left="851" w:hanging="709"/>
      </w:pPr>
      <w:r>
        <w:rPr>
          <w:rFonts w:cs="Arial"/>
        </w:rPr>
        <w:t>Section 31A</w:t>
      </w:r>
      <w:r w:rsidR="006F529D">
        <w:rPr>
          <w:rFonts w:cs="Arial"/>
        </w:rPr>
        <w:t xml:space="preserve"> </w:t>
      </w:r>
      <w:r w:rsidR="004662DB">
        <w:rPr>
          <w:rFonts w:cs="Arial"/>
        </w:rPr>
        <w:t>establish</w:t>
      </w:r>
      <w:r w:rsidR="0003230D">
        <w:rPr>
          <w:rFonts w:cs="Arial"/>
        </w:rPr>
        <w:t>es</w:t>
      </w:r>
      <w:r w:rsidR="00953C67">
        <w:rPr>
          <w:rFonts w:cs="Arial"/>
        </w:rPr>
        <w:t xml:space="preserve"> </w:t>
      </w:r>
      <w:r w:rsidR="00D629FD">
        <w:rPr>
          <w:rFonts w:cs="Arial"/>
        </w:rPr>
        <w:t xml:space="preserve">good faith </w:t>
      </w:r>
      <w:r w:rsidR="00CF668F">
        <w:rPr>
          <w:rFonts w:cs="Arial"/>
        </w:rPr>
        <w:t>requirements</w:t>
      </w:r>
      <w:r w:rsidR="0003230D">
        <w:rPr>
          <w:rFonts w:cs="Arial"/>
        </w:rPr>
        <w:t xml:space="preserve"> </w:t>
      </w:r>
      <w:r w:rsidR="00C3691D">
        <w:rPr>
          <w:rFonts w:cs="Arial"/>
        </w:rPr>
        <w:t xml:space="preserve">for parties in relation to negotiating a proposed agreement. These requirements </w:t>
      </w:r>
      <w:r w:rsidR="004921C6">
        <w:rPr>
          <w:rFonts w:cs="Arial"/>
        </w:rPr>
        <w:t xml:space="preserve">are set out in section 31A(2) and </w:t>
      </w:r>
      <w:r w:rsidR="001D730D">
        <w:rPr>
          <w:rFonts w:cs="Arial"/>
        </w:rPr>
        <w:t>includ</w:t>
      </w:r>
      <w:r w:rsidR="00A5243F">
        <w:rPr>
          <w:rFonts w:cs="Arial"/>
        </w:rPr>
        <w:t>e the negotiating</w:t>
      </w:r>
      <w:r w:rsidR="00C3691D">
        <w:rPr>
          <w:rFonts w:cs="Arial"/>
        </w:rPr>
        <w:t xml:space="preserve"> part</w:t>
      </w:r>
      <w:r w:rsidR="00414F2F">
        <w:rPr>
          <w:rFonts w:cs="Arial"/>
        </w:rPr>
        <w:t>ies</w:t>
      </w:r>
      <w:r w:rsidR="00953C67">
        <w:rPr>
          <w:rFonts w:cs="Arial"/>
        </w:rPr>
        <w:t>:</w:t>
      </w:r>
    </w:p>
    <w:p w:rsidR="00B13484" w:rsidRPr="00CF30D6" w:rsidRDefault="00414F2F" w:rsidP="00B13484">
      <w:pPr>
        <w:pStyle w:val="SubmissionNormal"/>
        <w:numPr>
          <w:ilvl w:val="1"/>
          <w:numId w:val="18"/>
        </w:numPr>
      </w:pPr>
      <w:r>
        <w:rPr>
          <w:rFonts w:cs="Arial"/>
        </w:rPr>
        <w:t>attend</w:t>
      </w:r>
      <w:r w:rsidR="00EA6C97">
        <w:rPr>
          <w:rFonts w:cs="Arial"/>
        </w:rPr>
        <w:t>ing</w:t>
      </w:r>
      <w:r>
        <w:rPr>
          <w:rFonts w:cs="Arial"/>
        </w:rPr>
        <w:t xml:space="preserve"> and participat</w:t>
      </w:r>
      <w:r w:rsidR="00EA6C97">
        <w:rPr>
          <w:rFonts w:cs="Arial"/>
        </w:rPr>
        <w:t>ing</w:t>
      </w:r>
      <w:r w:rsidR="00B13484" w:rsidRPr="00CF30D6">
        <w:rPr>
          <w:rFonts w:cs="Arial"/>
        </w:rPr>
        <w:t xml:space="preserve"> in meetings at reasonable times</w:t>
      </w:r>
    </w:p>
    <w:p w:rsidR="00B13484" w:rsidRPr="00CF30D6" w:rsidRDefault="00EA6C97" w:rsidP="00B13484">
      <w:pPr>
        <w:pStyle w:val="SubmissionNormal"/>
        <w:numPr>
          <w:ilvl w:val="1"/>
          <w:numId w:val="18"/>
        </w:numPr>
      </w:pPr>
      <w:r>
        <w:rPr>
          <w:rFonts w:cs="Arial"/>
        </w:rPr>
        <w:t>disclosing</w:t>
      </w:r>
      <w:r w:rsidR="00B13484" w:rsidRPr="00CF30D6">
        <w:rPr>
          <w:rFonts w:cs="Arial"/>
        </w:rPr>
        <w:t xml:space="preserve"> relevant information (other than confidential or commercially sensitive information) in a timely manner</w:t>
      </w:r>
    </w:p>
    <w:p w:rsidR="00B13484" w:rsidRPr="00CF30D6" w:rsidRDefault="00414F2F" w:rsidP="00CF30D6">
      <w:pPr>
        <w:pStyle w:val="SubmissionNormal"/>
        <w:numPr>
          <w:ilvl w:val="1"/>
          <w:numId w:val="18"/>
        </w:numPr>
      </w:pPr>
      <w:r>
        <w:rPr>
          <w:rFonts w:cs="Arial"/>
        </w:rPr>
        <w:t>mak</w:t>
      </w:r>
      <w:r w:rsidR="00EA6C97">
        <w:rPr>
          <w:rFonts w:cs="Arial"/>
        </w:rPr>
        <w:t>ing</w:t>
      </w:r>
      <w:r w:rsidR="00B13484" w:rsidRPr="00CF30D6">
        <w:rPr>
          <w:rFonts w:cs="Arial"/>
        </w:rPr>
        <w:t xml:space="preserve"> reasonable </w:t>
      </w:r>
      <w:r w:rsidR="00CF30D6" w:rsidRPr="00CF30D6">
        <w:rPr>
          <w:rFonts w:cs="Arial"/>
        </w:rPr>
        <w:t>proposals and counter proposals</w:t>
      </w:r>
    </w:p>
    <w:p w:rsidR="00B13484" w:rsidRPr="00CF30D6" w:rsidRDefault="00414F2F" w:rsidP="00CF30D6">
      <w:pPr>
        <w:pStyle w:val="SubmissionNormal"/>
        <w:numPr>
          <w:ilvl w:val="1"/>
          <w:numId w:val="18"/>
        </w:numPr>
      </w:pPr>
      <w:r>
        <w:rPr>
          <w:rFonts w:cs="Arial"/>
        </w:rPr>
        <w:t>respond</w:t>
      </w:r>
      <w:r w:rsidR="00EA6C97">
        <w:rPr>
          <w:rFonts w:cs="Arial"/>
        </w:rPr>
        <w:t>ing</w:t>
      </w:r>
      <w:r w:rsidR="00B13484" w:rsidRPr="00CF30D6">
        <w:rPr>
          <w:rFonts w:cs="Arial"/>
        </w:rPr>
        <w:t xml:space="preserve"> to proposals made by other negotiation parties for the agreement in a timely manner</w:t>
      </w:r>
    </w:p>
    <w:p w:rsidR="00B13484" w:rsidRPr="00CF30D6" w:rsidRDefault="00EA6C97" w:rsidP="00CF30D6">
      <w:pPr>
        <w:pStyle w:val="SubmissionNormal"/>
        <w:numPr>
          <w:ilvl w:val="1"/>
          <w:numId w:val="18"/>
        </w:numPr>
      </w:pPr>
      <w:r>
        <w:rPr>
          <w:rFonts w:cs="Arial"/>
        </w:rPr>
        <w:t>giving</w:t>
      </w:r>
      <w:r w:rsidR="00B13484" w:rsidRPr="00CF30D6">
        <w:rPr>
          <w:rFonts w:cs="Arial"/>
        </w:rPr>
        <w:t xml:space="preserve"> genuine consideration to the proposals of other negotiation parties</w:t>
      </w:r>
    </w:p>
    <w:p w:rsidR="006900FE" w:rsidRPr="00CF30D6" w:rsidRDefault="00B13484" w:rsidP="006900FE">
      <w:pPr>
        <w:pStyle w:val="SubmissionNormal"/>
        <w:numPr>
          <w:ilvl w:val="1"/>
          <w:numId w:val="18"/>
        </w:numPr>
      </w:pPr>
      <w:r w:rsidRPr="00CF30D6">
        <w:rPr>
          <w:rFonts w:cs="Arial"/>
        </w:rPr>
        <w:t>refrain</w:t>
      </w:r>
      <w:r w:rsidR="00EA6C97">
        <w:rPr>
          <w:rFonts w:cs="Arial"/>
        </w:rPr>
        <w:t>ing</w:t>
      </w:r>
      <w:r w:rsidRPr="00CF30D6">
        <w:rPr>
          <w:rFonts w:cs="Arial"/>
        </w:rPr>
        <w:t xml:space="preserve"> from capricious or unfair conduct that undermined negotiation</w:t>
      </w:r>
    </w:p>
    <w:p w:rsidR="00B13484" w:rsidRPr="00CF30D6" w:rsidRDefault="00B13484" w:rsidP="00CF30D6">
      <w:pPr>
        <w:pStyle w:val="SubmissionNormal"/>
        <w:numPr>
          <w:ilvl w:val="1"/>
          <w:numId w:val="18"/>
        </w:numPr>
      </w:pPr>
      <w:r w:rsidRPr="00CF30D6">
        <w:rPr>
          <w:rFonts w:cs="Arial"/>
        </w:rPr>
        <w:t>recognis</w:t>
      </w:r>
      <w:r w:rsidR="00EA6C97">
        <w:rPr>
          <w:rFonts w:cs="Arial"/>
        </w:rPr>
        <w:t>ing</w:t>
      </w:r>
      <w:r w:rsidRPr="00CF30D6">
        <w:rPr>
          <w:rFonts w:cs="Arial"/>
        </w:rPr>
        <w:t xml:space="preserve"> and negotiat</w:t>
      </w:r>
      <w:r w:rsidR="00EA6C97">
        <w:rPr>
          <w:rFonts w:cs="Arial"/>
        </w:rPr>
        <w:t>ing</w:t>
      </w:r>
      <w:r w:rsidRPr="00CF30D6">
        <w:rPr>
          <w:rFonts w:cs="Arial"/>
        </w:rPr>
        <w:t xml:space="preserve"> with the other negotiation parties</w:t>
      </w:r>
      <w:r w:rsidR="00CF30D6" w:rsidRPr="00CF30D6">
        <w:rPr>
          <w:rFonts w:cs="Arial"/>
        </w:rPr>
        <w:t xml:space="preserve"> or their representatives</w:t>
      </w:r>
    </w:p>
    <w:p w:rsidR="00B13484" w:rsidRPr="00CF30D6" w:rsidRDefault="00414F2F" w:rsidP="00CF30D6">
      <w:pPr>
        <w:pStyle w:val="SubmissionNormal"/>
        <w:numPr>
          <w:ilvl w:val="1"/>
          <w:numId w:val="18"/>
        </w:numPr>
      </w:pPr>
      <w:r>
        <w:rPr>
          <w:rFonts w:cs="Arial"/>
        </w:rPr>
        <w:t>refrain</w:t>
      </w:r>
      <w:r w:rsidR="00EA6C97">
        <w:rPr>
          <w:rFonts w:cs="Arial"/>
        </w:rPr>
        <w:t>ing</w:t>
      </w:r>
      <w:r w:rsidR="00B13484" w:rsidRPr="00CF30D6">
        <w:rPr>
          <w:rFonts w:cs="Arial"/>
        </w:rPr>
        <w:t xml:space="preserve"> from acting for an improper purpose </w:t>
      </w:r>
      <w:r w:rsidR="00CF30D6" w:rsidRPr="00CF30D6">
        <w:rPr>
          <w:rFonts w:cs="Arial"/>
        </w:rPr>
        <w:t>in relation to the negotiations</w:t>
      </w:r>
    </w:p>
    <w:p w:rsidR="0037723C" w:rsidRPr="00CF30D6" w:rsidRDefault="00CF30D6" w:rsidP="0037723C">
      <w:pPr>
        <w:pStyle w:val="SubmissionNormal"/>
        <w:numPr>
          <w:ilvl w:val="1"/>
          <w:numId w:val="18"/>
        </w:numPr>
      </w:pPr>
      <w:proofErr w:type="gramStart"/>
      <w:r w:rsidRPr="00CF30D6">
        <w:t>any</w:t>
      </w:r>
      <w:proofErr w:type="gramEnd"/>
      <w:r w:rsidRPr="00CF30D6">
        <w:t xml:space="preserve"> other matter the arbitral body considers relevant.</w:t>
      </w:r>
    </w:p>
    <w:p w:rsidR="00801C89" w:rsidRPr="00801C89" w:rsidRDefault="00801C89" w:rsidP="00801C89">
      <w:pPr>
        <w:pStyle w:val="SubmissionNormal"/>
        <w:tabs>
          <w:tab w:val="clear" w:pos="720"/>
          <w:tab w:val="num" w:pos="851"/>
        </w:tabs>
        <w:ind w:left="851" w:hanging="709"/>
      </w:pPr>
      <w:r>
        <w:t xml:space="preserve">The Commission welcomes </w:t>
      </w:r>
      <w:r>
        <w:rPr>
          <w:rFonts w:cs="Arial"/>
        </w:rPr>
        <w:t>th</w:t>
      </w:r>
      <w:r w:rsidR="00ED06E3">
        <w:rPr>
          <w:rFonts w:cs="Arial"/>
        </w:rPr>
        <w:t xml:space="preserve">is amendment that </w:t>
      </w:r>
      <w:r w:rsidR="00E87E9E">
        <w:rPr>
          <w:rFonts w:cs="Arial"/>
        </w:rPr>
        <w:t>clarifies</w:t>
      </w:r>
      <w:r w:rsidR="0086694A">
        <w:rPr>
          <w:rFonts w:cs="Arial"/>
        </w:rPr>
        <w:t xml:space="preserve"> the requirements</w:t>
      </w:r>
      <w:r w:rsidR="00EA5EDA">
        <w:rPr>
          <w:rFonts w:cs="Arial"/>
        </w:rPr>
        <w:t xml:space="preserve"> for </w:t>
      </w:r>
      <w:r w:rsidR="00B10D61">
        <w:rPr>
          <w:rFonts w:cs="Arial"/>
        </w:rPr>
        <w:t>parties</w:t>
      </w:r>
      <w:r w:rsidR="0086694A">
        <w:rPr>
          <w:rFonts w:cs="Arial"/>
        </w:rPr>
        <w:t xml:space="preserve"> </w:t>
      </w:r>
      <w:r w:rsidR="00B10D61">
        <w:rPr>
          <w:rFonts w:cs="Arial"/>
        </w:rPr>
        <w:t xml:space="preserve">who need </w:t>
      </w:r>
      <w:r w:rsidR="0086694A">
        <w:rPr>
          <w:rFonts w:cs="Arial"/>
        </w:rPr>
        <w:t xml:space="preserve">to demonstrate they have negotiated in </w:t>
      </w:r>
      <w:r>
        <w:rPr>
          <w:rFonts w:cs="Arial"/>
        </w:rPr>
        <w:t>good</w:t>
      </w:r>
      <w:r w:rsidR="0086694A">
        <w:rPr>
          <w:rFonts w:cs="Arial"/>
        </w:rPr>
        <w:t xml:space="preserve"> faith</w:t>
      </w:r>
      <w:r w:rsidR="00ED06E3">
        <w:rPr>
          <w:rFonts w:cs="Arial"/>
        </w:rPr>
        <w:t>.</w:t>
      </w:r>
      <w:r w:rsidR="001B2644">
        <w:rPr>
          <w:rFonts w:cs="Arial"/>
        </w:rPr>
        <w:t xml:space="preserve"> </w:t>
      </w:r>
      <w:r w:rsidR="00ED06E3">
        <w:rPr>
          <w:rFonts w:cs="Arial"/>
        </w:rPr>
        <w:t xml:space="preserve">This amendment </w:t>
      </w:r>
      <w:r w:rsidR="00B10D61">
        <w:rPr>
          <w:rFonts w:cs="Arial"/>
        </w:rPr>
        <w:t xml:space="preserve">seeks to </w:t>
      </w:r>
      <w:r w:rsidR="001B2644">
        <w:rPr>
          <w:rFonts w:cs="Arial"/>
        </w:rPr>
        <w:t xml:space="preserve">address </w:t>
      </w:r>
      <w:r w:rsidR="0076506B">
        <w:rPr>
          <w:rFonts w:cs="Arial"/>
        </w:rPr>
        <w:t xml:space="preserve">the </w:t>
      </w:r>
      <w:r w:rsidR="00ED06E3">
        <w:rPr>
          <w:rFonts w:cs="Arial"/>
        </w:rPr>
        <w:t xml:space="preserve">uncertainty </w:t>
      </w:r>
      <w:r w:rsidR="0076506B">
        <w:rPr>
          <w:rFonts w:cs="Arial"/>
        </w:rPr>
        <w:t>held by</w:t>
      </w:r>
      <w:r w:rsidR="001B2644">
        <w:rPr>
          <w:rFonts w:cs="Arial"/>
        </w:rPr>
        <w:t xml:space="preserve"> </w:t>
      </w:r>
      <w:r w:rsidR="00B10D61">
        <w:rPr>
          <w:rFonts w:cs="Arial"/>
        </w:rPr>
        <w:t>native title</w:t>
      </w:r>
      <w:r w:rsidR="0076506B">
        <w:rPr>
          <w:rFonts w:cs="Arial"/>
        </w:rPr>
        <w:t xml:space="preserve"> </w:t>
      </w:r>
      <w:r w:rsidR="001B2644">
        <w:rPr>
          <w:rFonts w:cs="Arial"/>
        </w:rPr>
        <w:t xml:space="preserve">parties </w:t>
      </w:r>
      <w:r>
        <w:rPr>
          <w:rFonts w:cs="Arial"/>
        </w:rPr>
        <w:t>following t</w:t>
      </w:r>
      <w:r w:rsidRPr="00013CF7">
        <w:rPr>
          <w:rFonts w:cs="Arial"/>
        </w:rPr>
        <w:t>he</w:t>
      </w:r>
      <w:r>
        <w:rPr>
          <w:rFonts w:cs="Arial"/>
        </w:rPr>
        <w:t xml:space="preserve"> </w:t>
      </w:r>
      <w:r>
        <w:rPr>
          <w:rFonts w:cs="Arial"/>
          <w:i/>
        </w:rPr>
        <w:t xml:space="preserve">FMG Pilbara Pty Ltd v Cox </w:t>
      </w:r>
      <w:r w:rsidR="005E3DAA">
        <w:rPr>
          <w:rFonts w:cs="Arial"/>
        </w:rPr>
        <w:t xml:space="preserve">Federal Court </w:t>
      </w:r>
      <w:r>
        <w:rPr>
          <w:rFonts w:cs="Arial"/>
        </w:rPr>
        <w:t xml:space="preserve">decision in 2009 that found </w:t>
      </w:r>
      <w:r w:rsidRPr="00013CF7">
        <w:rPr>
          <w:rFonts w:cs="Arial"/>
        </w:rPr>
        <w:t xml:space="preserve">the </w:t>
      </w:r>
      <w:r w:rsidRPr="006F529D">
        <w:rPr>
          <w:rFonts w:cs="Arial"/>
          <w:i/>
        </w:rPr>
        <w:t xml:space="preserve">Native Title Act 1993 </w:t>
      </w:r>
      <w:r w:rsidRPr="00013CF7">
        <w:rPr>
          <w:rFonts w:cs="Arial"/>
        </w:rPr>
        <w:t xml:space="preserve">does not require parties to reach a certain stage in negotiations before a party can apply </w:t>
      </w:r>
      <w:r w:rsidR="007B340E">
        <w:rPr>
          <w:rFonts w:cs="Arial"/>
        </w:rPr>
        <w:t xml:space="preserve">to the arbitral body </w:t>
      </w:r>
      <w:r w:rsidRPr="00013CF7">
        <w:rPr>
          <w:rFonts w:cs="Arial"/>
        </w:rPr>
        <w:t>for a determination</w:t>
      </w:r>
      <w:r>
        <w:rPr>
          <w:rFonts w:cs="Arial"/>
        </w:rPr>
        <w:t xml:space="preserve"> that the future act can proceed</w:t>
      </w:r>
      <w:r w:rsidRPr="00013CF7">
        <w:rPr>
          <w:rFonts w:cs="Arial"/>
        </w:rPr>
        <w:t>.</w:t>
      </w:r>
      <w:r w:rsidRPr="00BB56DF">
        <w:rPr>
          <w:sz w:val="20"/>
          <w:vertAlign w:val="superscript"/>
        </w:rPr>
        <w:endnoteReference w:id="4"/>
      </w:r>
    </w:p>
    <w:p w:rsidR="001873D6" w:rsidRDefault="008E7476" w:rsidP="00281670">
      <w:pPr>
        <w:pStyle w:val="SubmissionNormal"/>
        <w:tabs>
          <w:tab w:val="clear" w:pos="720"/>
          <w:tab w:val="num" w:pos="851"/>
        </w:tabs>
        <w:ind w:left="851" w:hanging="709"/>
      </w:pPr>
      <w:r>
        <w:rPr>
          <w:rFonts w:cs="Arial"/>
        </w:rPr>
        <w:t>The</w:t>
      </w:r>
      <w:r w:rsidR="00953C67">
        <w:rPr>
          <w:rFonts w:cs="Arial"/>
        </w:rPr>
        <w:t xml:space="preserve"> </w:t>
      </w:r>
      <w:r w:rsidR="00EF6FB0">
        <w:rPr>
          <w:rFonts w:cs="Arial"/>
        </w:rPr>
        <w:t>Bill</w:t>
      </w:r>
      <w:r>
        <w:rPr>
          <w:rFonts w:cs="Arial"/>
        </w:rPr>
        <w:t xml:space="preserve"> </w:t>
      </w:r>
      <w:r w:rsidR="00EF6FB0">
        <w:rPr>
          <w:rFonts w:cs="Arial"/>
        </w:rPr>
        <w:t>amends</w:t>
      </w:r>
      <w:r w:rsidR="006D506C">
        <w:rPr>
          <w:rFonts w:cs="Arial"/>
        </w:rPr>
        <w:t xml:space="preserve"> paragraph 35(1</w:t>
      </w:r>
      <w:proofErr w:type="gramStart"/>
      <w:r w:rsidR="006D506C">
        <w:rPr>
          <w:rFonts w:cs="Arial"/>
        </w:rPr>
        <w:t>)(</w:t>
      </w:r>
      <w:proofErr w:type="gramEnd"/>
      <w:r w:rsidR="006D506C">
        <w:rPr>
          <w:rFonts w:cs="Arial"/>
        </w:rPr>
        <w:t xml:space="preserve">a) that </w:t>
      </w:r>
      <w:r>
        <w:rPr>
          <w:rFonts w:cs="Arial"/>
        </w:rPr>
        <w:t>extend</w:t>
      </w:r>
      <w:r w:rsidR="006D506C">
        <w:rPr>
          <w:rFonts w:cs="Arial"/>
        </w:rPr>
        <w:t>s</w:t>
      </w:r>
      <w:r>
        <w:rPr>
          <w:rFonts w:cs="Arial"/>
        </w:rPr>
        <w:t xml:space="preserve"> the time before a party may seek a future act determination from the arbitral body from six to eight months. </w:t>
      </w:r>
      <w:r w:rsidR="00281670">
        <w:rPr>
          <w:rFonts w:cs="Arial"/>
        </w:rPr>
        <w:t>The Commission agrees with this extension of time but is of the view that it is unlikely to create any substantial change to negotiation</w:t>
      </w:r>
      <w:r w:rsidR="00D85298">
        <w:rPr>
          <w:rFonts w:cs="Arial"/>
        </w:rPr>
        <w:t xml:space="preserve"> outcomes</w:t>
      </w:r>
      <w:r w:rsidR="00281670">
        <w:t xml:space="preserve"> </w:t>
      </w:r>
      <w:r w:rsidR="004034C5">
        <w:t xml:space="preserve">for native title </w:t>
      </w:r>
      <w:r w:rsidR="00281670">
        <w:t>parties.</w:t>
      </w:r>
    </w:p>
    <w:p w:rsidR="006D506C" w:rsidRPr="001873D6" w:rsidRDefault="00EF6FB0" w:rsidP="002353A4">
      <w:pPr>
        <w:pStyle w:val="SubmissionNormal"/>
        <w:tabs>
          <w:tab w:val="clear" w:pos="720"/>
          <w:tab w:val="num" w:pos="851"/>
        </w:tabs>
        <w:ind w:left="851" w:hanging="709"/>
      </w:pPr>
      <w:r>
        <w:t>The Bill</w:t>
      </w:r>
      <w:r w:rsidR="006D506C">
        <w:t xml:space="preserve"> </w:t>
      </w:r>
      <w:r>
        <w:t xml:space="preserve">replaces section 36(2), which specifies </w:t>
      </w:r>
      <w:r w:rsidRPr="002827E6">
        <w:rPr>
          <w:rFonts w:cs="Arial"/>
        </w:rPr>
        <w:t xml:space="preserve">that where a negotiation party asserts that another negotiation party (the second negotiation party) has not satisfied the good faith requirements, it is the second negotiating party </w:t>
      </w:r>
      <w:r>
        <w:rPr>
          <w:rFonts w:cs="Arial"/>
        </w:rPr>
        <w:t xml:space="preserve">that </w:t>
      </w:r>
      <w:r>
        <w:rPr>
          <w:rFonts w:cs="Arial"/>
        </w:rPr>
        <w:lastRenderedPageBreak/>
        <w:t>must then establish that it</w:t>
      </w:r>
      <w:r w:rsidRPr="002827E6">
        <w:rPr>
          <w:rFonts w:cs="Arial"/>
        </w:rPr>
        <w:t xml:space="preserve"> has met the good faith negotiation requirements before seeking a determination from the arbitral body that the future act can proceed</w:t>
      </w:r>
      <w:r>
        <w:rPr>
          <w:rFonts w:cs="Arial"/>
        </w:rPr>
        <w:t>.</w:t>
      </w:r>
    </w:p>
    <w:p w:rsidR="00013CF7" w:rsidRPr="001D730D" w:rsidRDefault="00281670" w:rsidP="000E120E">
      <w:pPr>
        <w:pStyle w:val="SubmissionNormal"/>
        <w:tabs>
          <w:tab w:val="clear" w:pos="720"/>
          <w:tab w:val="num" w:pos="851"/>
        </w:tabs>
        <w:ind w:left="851" w:hanging="709"/>
      </w:pPr>
      <w:r>
        <w:t>T</w:t>
      </w:r>
      <w:r w:rsidR="00CF668F" w:rsidRPr="001D730D">
        <w:t>h</w:t>
      </w:r>
      <w:r w:rsidR="00013CF7" w:rsidRPr="001D730D">
        <w:t xml:space="preserve">e </w:t>
      </w:r>
      <w:r w:rsidR="00474D98">
        <w:rPr>
          <w:rFonts w:cs="Arial"/>
        </w:rPr>
        <w:t xml:space="preserve">Commission </w:t>
      </w:r>
      <w:r>
        <w:rPr>
          <w:rFonts w:cs="Arial"/>
        </w:rPr>
        <w:t>supports this amendment that requires</w:t>
      </w:r>
      <w:r w:rsidR="005E3DAA">
        <w:rPr>
          <w:rFonts w:cs="Arial"/>
        </w:rPr>
        <w:t xml:space="preserve"> the</w:t>
      </w:r>
      <w:r w:rsidR="00013CF7" w:rsidRPr="001D730D">
        <w:rPr>
          <w:rFonts w:cs="Arial"/>
        </w:rPr>
        <w:t xml:space="preserve"> </w:t>
      </w:r>
      <w:r w:rsidR="005E3DAA">
        <w:rPr>
          <w:rFonts w:cs="Arial"/>
        </w:rPr>
        <w:t>second nego</w:t>
      </w:r>
      <w:r>
        <w:rPr>
          <w:rFonts w:cs="Arial"/>
        </w:rPr>
        <w:t>tiating party</w:t>
      </w:r>
      <w:r w:rsidR="005E3DAA">
        <w:rPr>
          <w:rFonts w:cs="Arial"/>
        </w:rPr>
        <w:t xml:space="preserve"> to demonstrate </w:t>
      </w:r>
      <w:r w:rsidR="00D06513" w:rsidRPr="001D730D">
        <w:rPr>
          <w:rFonts w:cs="Arial"/>
        </w:rPr>
        <w:t>that good faith negotiati</w:t>
      </w:r>
      <w:r w:rsidR="005E3DAA">
        <w:rPr>
          <w:rFonts w:cs="Arial"/>
        </w:rPr>
        <w:t xml:space="preserve">on requirements have been met </w:t>
      </w:r>
      <w:r w:rsidR="00D06513" w:rsidRPr="001D730D">
        <w:rPr>
          <w:rFonts w:cs="Arial"/>
        </w:rPr>
        <w:t xml:space="preserve">before </w:t>
      </w:r>
      <w:r w:rsidR="00013CF7" w:rsidRPr="001D730D">
        <w:rPr>
          <w:rFonts w:cs="Arial"/>
        </w:rPr>
        <w:t xml:space="preserve">seeking </w:t>
      </w:r>
      <w:r w:rsidR="00D06513" w:rsidRPr="001D730D">
        <w:rPr>
          <w:rFonts w:cs="Arial"/>
        </w:rPr>
        <w:t xml:space="preserve">a determination </w:t>
      </w:r>
      <w:r>
        <w:rPr>
          <w:rFonts w:cs="Arial"/>
        </w:rPr>
        <w:t>that the future act can proceed. However, the Commission notes that</w:t>
      </w:r>
      <w:r w:rsidR="00D06513" w:rsidRPr="001D730D">
        <w:rPr>
          <w:rFonts w:cs="Arial"/>
        </w:rPr>
        <w:t xml:space="preserve"> </w:t>
      </w:r>
      <w:r w:rsidR="0046226B">
        <w:rPr>
          <w:rFonts w:cs="Arial"/>
        </w:rPr>
        <w:t xml:space="preserve">the wording in subsection 36(2) is unnecessarily complex and </w:t>
      </w:r>
      <w:r w:rsidR="0041627D">
        <w:rPr>
          <w:rFonts w:cs="Arial"/>
        </w:rPr>
        <w:t>the arbitral body (usually</w:t>
      </w:r>
      <w:r w:rsidR="001D730D" w:rsidRPr="001D730D">
        <w:rPr>
          <w:rFonts w:cs="Arial"/>
        </w:rPr>
        <w:t xml:space="preserve"> the National Native Title Tribunal) is</w:t>
      </w:r>
      <w:r w:rsidR="0078433E" w:rsidRPr="001D730D">
        <w:rPr>
          <w:rFonts w:cs="Arial"/>
        </w:rPr>
        <w:t xml:space="preserve"> in a </w:t>
      </w:r>
      <w:r w:rsidR="00B13484">
        <w:rPr>
          <w:rFonts w:cs="Arial"/>
        </w:rPr>
        <w:t>more informed</w:t>
      </w:r>
      <w:r w:rsidR="0041627D">
        <w:rPr>
          <w:rFonts w:cs="Arial"/>
        </w:rPr>
        <w:t xml:space="preserve"> </w:t>
      </w:r>
      <w:r w:rsidR="00EA5EDA">
        <w:rPr>
          <w:rFonts w:cs="Arial"/>
        </w:rPr>
        <w:t>position to comment on</w:t>
      </w:r>
      <w:r w:rsidR="00294404">
        <w:rPr>
          <w:rFonts w:cs="Arial"/>
        </w:rPr>
        <w:t xml:space="preserve"> </w:t>
      </w:r>
      <w:r w:rsidR="00673A1B">
        <w:rPr>
          <w:rFonts w:cs="Arial"/>
        </w:rPr>
        <w:t xml:space="preserve">the application and operation of </w:t>
      </w:r>
      <w:r w:rsidR="00294404">
        <w:rPr>
          <w:rFonts w:cs="Arial"/>
        </w:rPr>
        <w:t>this provision</w:t>
      </w:r>
      <w:r w:rsidR="00B13484">
        <w:rPr>
          <w:rFonts w:cs="Arial"/>
        </w:rPr>
        <w:t>.</w:t>
      </w:r>
    </w:p>
    <w:p w:rsidR="00013CF7" w:rsidRDefault="00013CF7" w:rsidP="00D85298">
      <w:pPr>
        <w:pStyle w:val="SubmissionNormal"/>
        <w:numPr>
          <w:ilvl w:val="0"/>
          <w:numId w:val="0"/>
        </w:numPr>
        <w:ind w:left="142"/>
        <w:rPr>
          <w:rFonts w:cs="Arial"/>
        </w:rPr>
      </w:pPr>
    </w:p>
    <w:p w:rsidR="00013CF7" w:rsidRDefault="00013CF7" w:rsidP="0032093B">
      <w:pPr>
        <w:pStyle w:val="Heading1"/>
        <w:numPr>
          <w:ilvl w:val="0"/>
          <w:numId w:val="16"/>
        </w:numPr>
      </w:pPr>
      <w:bookmarkStart w:id="25" w:name="_Toc346539916"/>
      <w:r>
        <w:t>Amendments to I</w:t>
      </w:r>
      <w:r w:rsidR="00EB3301">
        <w:t xml:space="preserve">ndigenous </w:t>
      </w:r>
      <w:r w:rsidR="0006669F">
        <w:t>L</w:t>
      </w:r>
      <w:r w:rsidR="00EB3301">
        <w:t xml:space="preserve">and </w:t>
      </w:r>
      <w:r w:rsidR="0006669F">
        <w:t>U</w:t>
      </w:r>
      <w:r w:rsidR="00EB3301">
        <w:t xml:space="preserve">se </w:t>
      </w:r>
      <w:r w:rsidR="0006669F">
        <w:t>A</w:t>
      </w:r>
      <w:r w:rsidR="00EB3301">
        <w:t>greement</w:t>
      </w:r>
      <w:r w:rsidR="0006669F">
        <w:t xml:space="preserve"> processes</w:t>
      </w:r>
      <w:bookmarkEnd w:id="25"/>
    </w:p>
    <w:p w:rsidR="007B340E" w:rsidRDefault="00633997" w:rsidP="007B340E">
      <w:pPr>
        <w:pStyle w:val="SubmissionNormal"/>
        <w:tabs>
          <w:tab w:val="clear" w:pos="720"/>
          <w:tab w:val="num" w:pos="851"/>
        </w:tabs>
        <w:ind w:left="851" w:hanging="709"/>
      </w:pPr>
      <w:r>
        <w:t>Amendments to ILUA processes include provisions to:</w:t>
      </w:r>
    </w:p>
    <w:p w:rsidR="00633997" w:rsidRDefault="00633997" w:rsidP="00633997">
      <w:pPr>
        <w:pStyle w:val="SubmissionNormal"/>
        <w:numPr>
          <w:ilvl w:val="1"/>
          <w:numId w:val="18"/>
        </w:numPr>
      </w:pPr>
      <w:r>
        <w:t>broaden the scope of body corporate (Subdivision B) ILUAs</w:t>
      </w:r>
    </w:p>
    <w:p w:rsidR="00633997" w:rsidRDefault="00633997" w:rsidP="00633997">
      <w:pPr>
        <w:pStyle w:val="SubmissionNormal"/>
        <w:numPr>
          <w:ilvl w:val="1"/>
          <w:numId w:val="18"/>
        </w:numPr>
      </w:pPr>
      <w:r>
        <w:t>improve authorisation and registration processes for ILUAs</w:t>
      </w:r>
    </w:p>
    <w:p w:rsidR="00633997" w:rsidRDefault="00633997" w:rsidP="00633997">
      <w:pPr>
        <w:pStyle w:val="SubmissionNormal"/>
        <w:numPr>
          <w:ilvl w:val="1"/>
          <w:numId w:val="18"/>
        </w:numPr>
      </w:pPr>
      <w:proofErr w:type="gramStart"/>
      <w:r>
        <w:t>simplify</w:t>
      </w:r>
      <w:proofErr w:type="gramEnd"/>
      <w:r>
        <w:t xml:space="preserve"> the process for amending ILUAs.</w:t>
      </w:r>
    </w:p>
    <w:p w:rsidR="00633997" w:rsidRPr="007B340E" w:rsidRDefault="000C73F8" w:rsidP="000C73F8">
      <w:pPr>
        <w:pStyle w:val="SubmissionNormal"/>
        <w:tabs>
          <w:tab w:val="clear" w:pos="720"/>
          <w:tab w:val="num" w:pos="851"/>
        </w:tabs>
        <w:ind w:left="851" w:hanging="709"/>
      </w:pPr>
      <w:r>
        <w:t>The intention of these amendments is to ‘ensure parties are able to negotiate flexible, pragmatic agreements to suit their particular circumstances’.</w:t>
      </w:r>
      <w:r>
        <w:rPr>
          <w:rStyle w:val="EndnoteReference"/>
        </w:rPr>
        <w:endnoteReference w:id="5"/>
      </w:r>
    </w:p>
    <w:p w:rsidR="00D66688" w:rsidRDefault="00DE6607" w:rsidP="0032093B">
      <w:pPr>
        <w:pStyle w:val="Heading2"/>
        <w:numPr>
          <w:ilvl w:val="1"/>
          <w:numId w:val="16"/>
        </w:numPr>
        <w:tabs>
          <w:tab w:val="clear" w:pos="851"/>
          <w:tab w:val="num" w:pos="993"/>
        </w:tabs>
        <w:ind w:left="993"/>
      </w:pPr>
      <w:bookmarkStart w:id="26" w:name="_Toc345062681"/>
      <w:bookmarkStart w:id="27" w:name="_Toc346539917"/>
      <w:r>
        <w:t xml:space="preserve">Broaden </w:t>
      </w:r>
      <w:r w:rsidR="00227B68">
        <w:t xml:space="preserve">the </w:t>
      </w:r>
      <w:r>
        <w:t>scope of body cor</w:t>
      </w:r>
      <w:r w:rsidR="00227B68">
        <w:t>porate (S</w:t>
      </w:r>
      <w:r w:rsidR="00B37921">
        <w:t>ubdivision B) ILUA</w:t>
      </w:r>
      <w:r>
        <w:t>s</w:t>
      </w:r>
      <w:bookmarkEnd w:id="26"/>
      <w:bookmarkEnd w:id="27"/>
    </w:p>
    <w:p w:rsidR="00D66688" w:rsidRPr="00DE6607" w:rsidRDefault="00DE6607" w:rsidP="00DE6607">
      <w:pPr>
        <w:pStyle w:val="SubmissionNormal"/>
        <w:tabs>
          <w:tab w:val="clear" w:pos="720"/>
          <w:tab w:val="num" w:pos="851"/>
        </w:tabs>
        <w:ind w:left="851" w:hanging="709"/>
      </w:pPr>
      <w:r>
        <w:rPr>
          <w:rFonts w:cs="Arial"/>
        </w:rPr>
        <w:t xml:space="preserve">The </w:t>
      </w:r>
      <w:r w:rsidR="00381C1E">
        <w:rPr>
          <w:rFonts w:cs="Arial"/>
        </w:rPr>
        <w:t xml:space="preserve">Bill inserts subsection </w:t>
      </w:r>
      <w:proofErr w:type="gramStart"/>
      <w:r w:rsidR="00381C1E">
        <w:rPr>
          <w:rFonts w:cs="Arial"/>
        </w:rPr>
        <w:t>24BC(</w:t>
      </w:r>
      <w:proofErr w:type="gramEnd"/>
      <w:r w:rsidR="00381C1E">
        <w:rPr>
          <w:rFonts w:cs="Arial"/>
        </w:rPr>
        <w:t xml:space="preserve">2), which </w:t>
      </w:r>
      <w:r w:rsidR="00D85298">
        <w:rPr>
          <w:rFonts w:cs="Arial"/>
        </w:rPr>
        <w:t xml:space="preserve">allows </w:t>
      </w:r>
      <w:r>
        <w:rPr>
          <w:rFonts w:cs="Arial"/>
        </w:rPr>
        <w:t xml:space="preserve">parties </w:t>
      </w:r>
      <w:r w:rsidR="00D85298">
        <w:rPr>
          <w:rFonts w:cs="Arial"/>
        </w:rPr>
        <w:t xml:space="preserve">to make a body corporate ILUA </w:t>
      </w:r>
      <w:r w:rsidR="00D40795">
        <w:rPr>
          <w:rFonts w:cs="Arial"/>
        </w:rPr>
        <w:t>over</w:t>
      </w:r>
      <w:r>
        <w:rPr>
          <w:rFonts w:cs="Arial"/>
        </w:rPr>
        <w:t xml:space="preserve"> areas </w:t>
      </w:r>
      <w:r w:rsidR="00D40795">
        <w:rPr>
          <w:rFonts w:cs="Arial"/>
        </w:rPr>
        <w:t xml:space="preserve">that are wholly determined but include areas </w:t>
      </w:r>
      <w:r>
        <w:rPr>
          <w:rFonts w:cs="Arial"/>
        </w:rPr>
        <w:t>where nat</w:t>
      </w:r>
      <w:r w:rsidR="00D40795">
        <w:rPr>
          <w:rFonts w:cs="Arial"/>
        </w:rPr>
        <w:t>ive title has been extinguished; and/or where an area has been excluded from a determination, and native title would have been held by the relevant native title group had native title not been extinguished over that particular area</w:t>
      </w:r>
      <w:r>
        <w:rPr>
          <w:rFonts w:cs="Arial"/>
        </w:rPr>
        <w:t>.</w:t>
      </w:r>
    </w:p>
    <w:p w:rsidR="00DE6607" w:rsidRPr="00DE6607" w:rsidRDefault="00DE6607" w:rsidP="00DE6607">
      <w:pPr>
        <w:pStyle w:val="SubmissionNormal"/>
        <w:tabs>
          <w:tab w:val="clear" w:pos="720"/>
          <w:tab w:val="num" w:pos="851"/>
        </w:tabs>
        <w:ind w:left="851" w:hanging="709"/>
      </w:pPr>
      <w:r>
        <w:rPr>
          <w:rFonts w:cs="Arial"/>
        </w:rPr>
        <w:t xml:space="preserve">The </w:t>
      </w:r>
      <w:r w:rsidRPr="00334B36">
        <w:rPr>
          <w:rFonts w:cs="Arial"/>
        </w:rPr>
        <w:t xml:space="preserve">Commission </w:t>
      </w:r>
      <w:r w:rsidR="005C61EA">
        <w:rPr>
          <w:rFonts w:cs="Arial"/>
        </w:rPr>
        <w:t xml:space="preserve">supports </w:t>
      </w:r>
      <w:r w:rsidRPr="00334B36">
        <w:rPr>
          <w:rFonts w:cs="Arial"/>
        </w:rPr>
        <w:t xml:space="preserve">this amendment </w:t>
      </w:r>
      <w:r w:rsidR="005C61EA">
        <w:rPr>
          <w:rFonts w:cs="Arial"/>
        </w:rPr>
        <w:t>as it provides greater</w:t>
      </w:r>
      <w:r w:rsidRPr="00334B36">
        <w:rPr>
          <w:rFonts w:cs="Arial"/>
        </w:rPr>
        <w:t xml:space="preserve"> flexibility </w:t>
      </w:r>
      <w:r w:rsidR="005C61EA">
        <w:rPr>
          <w:rFonts w:cs="Arial"/>
        </w:rPr>
        <w:t xml:space="preserve">for the use of body corporate </w:t>
      </w:r>
      <w:r w:rsidRPr="00334B36">
        <w:rPr>
          <w:rFonts w:cs="Arial"/>
        </w:rPr>
        <w:t>ILUAs.</w:t>
      </w:r>
    </w:p>
    <w:p w:rsidR="00B34946" w:rsidRPr="008A0C37" w:rsidRDefault="00B37921" w:rsidP="0032093B">
      <w:pPr>
        <w:pStyle w:val="Heading2"/>
        <w:numPr>
          <w:ilvl w:val="1"/>
          <w:numId w:val="16"/>
        </w:numPr>
        <w:tabs>
          <w:tab w:val="clear" w:pos="851"/>
          <w:tab w:val="num" w:pos="993"/>
        </w:tabs>
        <w:ind w:left="993"/>
        <w:rPr>
          <w:szCs w:val="28"/>
        </w:rPr>
      </w:pPr>
      <w:bookmarkStart w:id="28" w:name="_Toc345062683"/>
      <w:bookmarkStart w:id="29" w:name="_Toc346539918"/>
      <w:r>
        <w:rPr>
          <w:szCs w:val="28"/>
        </w:rPr>
        <w:t xml:space="preserve">Authorisation and registration </w:t>
      </w:r>
      <w:r w:rsidR="005C4B7A">
        <w:rPr>
          <w:szCs w:val="28"/>
        </w:rPr>
        <w:t xml:space="preserve">processes for </w:t>
      </w:r>
      <w:r>
        <w:rPr>
          <w:szCs w:val="28"/>
        </w:rPr>
        <w:t>ILUAs</w:t>
      </w:r>
      <w:bookmarkEnd w:id="28"/>
      <w:bookmarkEnd w:id="29"/>
    </w:p>
    <w:p w:rsidR="003C7AD9" w:rsidRPr="003C7AD9" w:rsidRDefault="006F529D" w:rsidP="002B3ECD">
      <w:pPr>
        <w:pStyle w:val="SubmissionNormal"/>
        <w:tabs>
          <w:tab w:val="clear" w:pos="720"/>
          <w:tab w:val="num" w:pos="851"/>
        </w:tabs>
        <w:ind w:left="851" w:hanging="709"/>
      </w:pPr>
      <w:r>
        <w:t>The</w:t>
      </w:r>
      <w:r w:rsidR="005C4B7A">
        <w:t xml:space="preserve"> Bill introduces a number of </w:t>
      </w:r>
      <w:r w:rsidR="00204AC5">
        <w:t xml:space="preserve">complementary </w:t>
      </w:r>
      <w:r>
        <w:rPr>
          <w:rFonts w:cs="Arial"/>
        </w:rPr>
        <w:t xml:space="preserve">amendments </w:t>
      </w:r>
      <w:r w:rsidR="005C4B7A">
        <w:rPr>
          <w:rFonts w:cs="Arial"/>
        </w:rPr>
        <w:t xml:space="preserve">that </w:t>
      </w:r>
      <w:r w:rsidR="00F4377E">
        <w:rPr>
          <w:rFonts w:cs="Arial"/>
        </w:rPr>
        <w:t xml:space="preserve">aim to </w:t>
      </w:r>
      <w:r w:rsidR="00204AC5">
        <w:rPr>
          <w:rFonts w:cs="Arial"/>
        </w:rPr>
        <w:t xml:space="preserve">streamline </w:t>
      </w:r>
      <w:r w:rsidR="00C32E91" w:rsidRPr="00086060">
        <w:rPr>
          <w:rFonts w:cs="Arial"/>
        </w:rPr>
        <w:t>authorisation</w:t>
      </w:r>
      <w:r w:rsidR="00851A5E">
        <w:rPr>
          <w:rFonts w:cs="Arial"/>
        </w:rPr>
        <w:t>, notification</w:t>
      </w:r>
      <w:r w:rsidR="00C32E91" w:rsidRPr="00086060">
        <w:rPr>
          <w:rFonts w:cs="Arial"/>
        </w:rPr>
        <w:t xml:space="preserve"> and registration </w:t>
      </w:r>
      <w:r w:rsidR="00874205">
        <w:rPr>
          <w:rFonts w:cs="Arial"/>
        </w:rPr>
        <w:t>processes for</w:t>
      </w:r>
      <w:r w:rsidR="00C32E91" w:rsidRPr="00086060">
        <w:rPr>
          <w:rFonts w:cs="Arial"/>
        </w:rPr>
        <w:t xml:space="preserve"> area agreement </w:t>
      </w:r>
      <w:r w:rsidR="005A7B63">
        <w:rPr>
          <w:rFonts w:cs="Arial"/>
        </w:rPr>
        <w:t xml:space="preserve">(Subdivision C) </w:t>
      </w:r>
      <w:r w:rsidR="00204AC5">
        <w:rPr>
          <w:rFonts w:cs="Arial"/>
        </w:rPr>
        <w:t>ILUAs.</w:t>
      </w:r>
    </w:p>
    <w:p w:rsidR="00A5243F" w:rsidRPr="00A5243F" w:rsidRDefault="00D815EA" w:rsidP="002B3ECD">
      <w:pPr>
        <w:pStyle w:val="SubmissionNormal"/>
        <w:tabs>
          <w:tab w:val="clear" w:pos="720"/>
          <w:tab w:val="num" w:pos="851"/>
        </w:tabs>
        <w:ind w:left="851" w:hanging="709"/>
      </w:pPr>
      <w:r>
        <w:t>T</w:t>
      </w:r>
      <w:r w:rsidR="003C7AD9">
        <w:t>he</w:t>
      </w:r>
      <w:r w:rsidR="002B3ECD">
        <w:rPr>
          <w:rFonts w:cs="Arial"/>
        </w:rPr>
        <w:t xml:space="preserve"> Commission</w:t>
      </w:r>
      <w:r w:rsidR="003C7AD9">
        <w:rPr>
          <w:rFonts w:cs="Arial"/>
        </w:rPr>
        <w:t>’s v</w:t>
      </w:r>
      <w:r w:rsidR="002B3ECD">
        <w:rPr>
          <w:rFonts w:cs="Arial"/>
        </w:rPr>
        <w:t>iew</w:t>
      </w:r>
      <w:r w:rsidR="003C7AD9">
        <w:rPr>
          <w:rFonts w:cs="Arial"/>
        </w:rPr>
        <w:t xml:space="preserve"> is that t</w:t>
      </w:r>
      <w:r w:rsidR="002B3ECD">
        <w:rPr>
          <w:rFonts w:cs="Arial"/>
        </w:rPr>
        <w:t xml:space="preserve">hese amendments </w:t>
      </w:r>
      <w:r>
        <w:rPr>
          <w:rFonts w:cs="Arial"/>
        </w:rPr>
        <w:t xml:space="preserve">generally </w:t>
      </w:r>
      <w:r w:rsidR="003C7AD9">
        <w:rPr>
          <w:rFonts w:cs="Arial"/>
        </w:rPr>
        <w:t>provide a balanced</w:t>
      </w:r>
      <w:r w:rsidR="002B3ECD">
        <w:rPr>
          <w:rFonts w:cs="Arial"/>
        </w:rPr>
        <w:t xml:space="preserve"> and pragmatic </w:t>
      </w:r>
      <w:r w:rsidR="002B3ECD" w:rsidRPr="00086060">
        <w:rPr>
          <w:rFonts w:cs="Arial"/>
        </w:rPr>
        <w:t>re</w:t>
      </w:r>
      <w:r w:rsidR="002B3ECD">
        <w:rPr>
          <w:rFonts w:cs="Arial"/>
        </w:rPr>
        <w:t xml:space="preserve">sponse to resolving uncertainty about </w:t>
      </w:r>
      <w:r w:rsidR="00316920">
        <w:rPr>
          <w:rFonts w:cs="Arial"/>
        </w:rPr>
        <w:t xml:space="preserve">authorisation and </w:t>
      </w:r>
      <w:r w:rsidR="002B3ECD" w:rsidRPr="00086060">
        <w:rPr>
          <w:rFonts w:cs="Arial"/>
        </w:rPr>
        <w:t xml:space="preserve">registration </w:t>
      </w:r>
      <w:r w:rsidR="002B3ECD">
        <w:rPr>
          <w:rFonts w:cs="Arial"/>
        </w:rPr>
        <w:t xml:space="preserve">processes </w:t>
      </w:r>
      <w:r w:rsidR="002B3ECD" w:rsidRPr="00086060">
        <w:rPr>
          <w:rFonts w:cs="Arial"/>
        </w:rPr>
        <w:t xml:space="preserve">of area agreement </w:t>
      </w:r>
      <w:r w:rsidR="002B3ECD">
        <w:rPr>
          <w:rFonts w:cs="Arial"/>
        </w:rPr>
        <w:t>(Subdivision C) ILUAs</w:t>
      </w:r>
      <w:r w:rsidR="002D2ED5">
        <w:rPr>
          <w:rFonts w:cs="Arial"/>
        </w:rPr>
        <w:t>.</w:t>
      </w:r>
    </w:p>
    <w:p w:rsidR="002B3ECD" w:rsidRPr="002B3ECD" w:rsidRDefault="002125E2" w:rsidP="002B3ECD">
      <w:pPr>
        <w:pStyle w:val="SubmissionNormal"/>
        <w:tabs>
          <w:tab w:val="clear" w:pos="720"/>
          <w:tab w:val="num" w:pos="851"/>
        </w:tabs>
        <w:ind w:left="851" w:hanging="709"/>
      </w:pPr>
      <w:r>
        <w:rPr>
          <w:rFonts w:cs="Arial"/>
        </w:rPr>
        <w:lastRenderedPageBreak/>
        <w:t>However, the Commission notes that due to the complex</w:t>
      </w:r>
      <w:r w:rsidR="00A5243F">
        <w:rPr>
          <w:rFonts w:cs="Arial"/>
        </w:rPr>
        <w:t xml:space="preserve">ities of native title matters that may need to be </w:t>
      </w:r>
      <w:r w:rsidR="00EA6C97">
        <w:rPr>
          <w:rFonts w:cs="Arial"/>
        </w:rPr>
        <w:t xml:space="preserve">considered </w:t>
      </w:r>
      <w:r w:rsidR="00A5243F">
        <w:rPr>
          <w:rFonts w:cs="Arial"/>
        </w:rPr>
        <w:t>during the registration</w:t>
      </w:r>
      <w:r>
        <w:rPr>
          <w:rFonts w:cs="Arial"/>
        </w:rPr>
        <w:t xml:space="preserve"> of ILUA</w:t>
      </w:r>
      <w:r w:rsidR="00A5243F">
        <w:rPr>
          <w:rFonts w:cs="Arial"/>
        </w:rPr>
        <w:t xml:space="preserve">s, </w:t>
      </w:r>
      <w:r>
        <w:rPr>
          <w:rFonts w:cs="Arial"/>
        </w:rPr>
        <w:t xml:space="preserve">some </w:t>
      </w:r>
      <w:r w:rsidR="00E87E9E">
        <w:rPr>
          <w:rFonts w:cs="Arial"/>
        </w:rPr>
        <w:t xml:space="preserve">of these </w:t>
      </w:r>
      <w:r>
        <w:rPr>
          <w:rFonts w:cs="Arial"/>
        </w:rPr>
        <w:t xml:space="preserve">amendments may create unforeseen </w:t>
      </w:r>
      <w:r w:rsidR="00316920">
        <w:rPr>
          <w:rFonts w:cs="Arial"/>
        </w:rPr>
        <w:t>and</w:t>
      </w:r>
      <w:r w:rsidR="002D2ED5">
        <w:rPr>
          <w:rFonts w:cs="Arial"/>
        </w:rPr>
        <w:t>/or</w:t>
      </w:r>
      <w:r w:rsidR="00316920">
        <w:rPr>
          <w:rFonts w:cs="Arial"/>
        </w:rPr>
        <w:t xml:space="preserve"> unintentional</w:t>
      </w:r>
      <w:r w:rsidR="00B66E53">
        <w:rPr>
          <w:rFonts w:cs="Arial"/>
        </w:rPr>
        <w:t xml:space="preserve"> </w:t>
      </w:r>
      <w:r>
        <w:rPr>
          <w:rFonts w:cs="Arial"/>
        </w:rPr>
        <w:t>outcomes</w:t>
      </w:r>
      <w:r w:rsidR="002B3ECD">
        <w:rPr>
          <w:rFonts w:cs="Arial"/>
        </w:rPr>
        <w:t>.</w:t>
      </w:r>
      <w:r w:rsidR="001F7668">
        <w:rPr>
          <w:rFonts w:cs="Arial"/>
        </w:rPr>
        <w:t xml:space="preserve"> </w:t>
      </w:r>
      <w:r w:rsidR="002D2ED5">
        <w:rPr>
          <w:rFonts w:cs="Arial"/>
        </w:rPr>
        <w:t>In particular</w:t>
      </w:r>
      <w:r w:rsidR="001F7668">
        <w:rPr>
          <w:rFonts w:cs="Arial"/>
        </w:rPr>
        <w:t xml:space="preserve">, </w:t>
      </w:r>
      <w:r w:rsidR="00316920">
        <w:rPr>
          <w:rFonts w:cs="Arial"/>
        </w:rPr>
        <w:t xml:space="preserve">the Commission </w:t>
      </w:r>
      <w:r w:rsidR="003804CF">
        <w:rPr>
          <w:rFonts w:cs="Arial"/>
        </w:rPr>
        <w:t>is</w:t>
      </w:r>
      <w:r w:rsidR="002D2ED5">
        <w:rPr>
          <w:rFonts w:cs="Arial"/>
        </w:rPr>
        <w:t xml:space="preserve"> concern</w:t>
      </w:r>
      <w:r w:rsidR="003804CF">
        <w:rPr>
          <w:rFonts w:cs="Arial"/>
        </w:rPr>
        <w:t>ed</w:t>
      </w:r>
      <w:r w:rsidR="002D2ED5">
        <w:rPr>
          <w:rFonts w:cs="Arial"/>
        </w:rPr>
        <w:t xml:space="preserve"> that</w:t>
      </w:r>
      <w:r w:rsidR="00316920">
        <w:rPr>
          <w:rFonts w:cs="Arial"/>
        </w:rPr>
        <w:t xml:space="preserve"> replac</w:t>
      </w:r>
      <w:r w:rsidR="00E87E9E">
        <w:rPr>
          <w:rFonts w:cs="Arial"/>
        </w:rPr>
        <w:t>ing</w:t>
      </w:r>
      <w:r w:rsidR="00316920">
        <w:rPr>
          <w:rFonts w:cs="Arial"/>
        </w:rPr>
        <w:t xml:space="preserve"> </w:t>
      </w:r>
      <w:r w:rsidR="001F7668">
        <w:rPr>
          <w:rFonts w:cs="Arial"/>
        </w:rPr>
        <w:t>section 24CK with a provision that removes the objection process for ILUAs certified by a n</w:t>
      </w:r>
      <w:r w:rsidR="00F4377E">
        <w:rPr>
          <w:rFonts w:cs="Arial"/>
        </w:rPr>
        <w:t xml:space="preserve">ative title representative body will mean that </w:t>
      </w:r>
      <w:r w:rsidR="001F7668">
        <w:rPr>
          <w:rFonts w:cs="Arial"/>
        </w:rPr>
        <w:t>person</w:t>
      </w:r>
      <w:r w:rsidR="00316920">
        <w:rPr>
          <w:rFonts w:cs="Arial"/>
        </w:rPr>
        <w:t>s</w:t>
      </w:r>
      <w:r w:rsidR="001F7668">
        <w:rPr>
          <w:rFonts w:cs="Arial"/>
        </w:rPr>
        <w:t xml:space="preserve"> </w:t>
      </w:r>
      <w:r w:rsidR="00F4377E">
        <w:rPr>
          <w:rFonts w:cs="Arial"/>
        </w:rPr>
        <w:t xml:space="preserve">who </w:t>
      </w:r>
      <w:r w:rsidR="001F7668">
        <w:rPr>
          <w:rFonts w:cs="Arial"/>
        </w:rPr>
        <w:t>wish</w:t>
      </w:r>
      <w:r w:rsidR="003804CF">
        <w:rPr>
          <w:rFonts w:cs="Arial"/>
        </w:rPr>
        <w:t xml:space="preserve"> to object</w:t>
      </w:r>
      <w:r w:rsidR="006E7660">
        <w:rPr>
          <w:rFonts w:cs="Arial"/>
        </w:rPr>
        <w:t xml:space="preserve"> to</w:t>
      </w:r>
      <w:r w:rsidR="003804CF">
        <w:rPr>
          <w:rFonts w:cs="Arial"/>
        </w:rPr>
        <w:t xml:space="preserve"> a certified</w:t>
      </w:r>
      <w:r w:rsidR="001F7668">
        <w:rPr>
          <w:rFonts w:cs="Arial"/>
        </w:rPr>
        <w:t xml:space="preserve"> ILUA </w:t>
      </w:r>
      <w:r w:rsidR="000008CF">
        <w:rPr>
          <w:rFonts w:cs="Arial"/>
        </w:rPr>
        <w:t>will</w:t>
      </w:r>
      <w:r w:rsidR="00F4377E">
        <w:rPr>
          <w:rFonts w:cs="Arial"/>
        </w:rPr>
        <w:t xml:space="preserve"> only </w:t>
      </w:r>
      <w:r w:rsidR="000008CF">
        <w:rPr>
          <w:rFonts w:cs="Arial"/>
        </w:rPr>
        <w:t xml:space="preserve">be </w:t>
      </w:r>
      <w:r w:rsidR="00F4377E">
        <w:rPr>
          <w:rFonts w:cs="Arial"/>
        </w:rPr>
        <w:t xml:space="preserve">able </w:t>
      </w:r>
      <w:r w:rsidR="00A2445C">
        <w:rPr>
          <w:rFonts w:cs="Arial"/>
        </w:rPr>
        <w:t xml:space="preserve">to </w:t>
      </w:r>
      <w:r w:rsidR="0005104E">
        <w:rPr>
          <w:rFonts w:cs="Arial"/>
        </w:rPr>
        <w:t xml:space="preserve">seek </w:t>
      </w:r>
      <w:r w:rsidR="00B66E53">
        <w:rPr>
          <w:rFonts w:cs="Arial"/>
        </w:rPr>
        <w:t>judicial review</w:t>
      </w:r>
      <w:r w:rsidR="0005104E">
        <w:rPr>
          <w:rFonts w:cs="Arial"/>
        </w:rPr>
        <w:t>.</w:t>
      </w:r>
      <w:r w:rsidR="00B66E53">
        <w:rPr>
          <w:rStyle w:val="EndnoteReference"/>
          <w:rFonts w:cs="Arial"/>
        </w:rPr>
        <w:endnoteReference w:id="6"/>
      </w:r>
      <w:r w:rsidR="00761120">
        <w:rPr>
          <w:rFonts w:cs="Arial"/>
        </w:rPr>
        <w:t xml:space="preserve"> </w:t>
      </w:r>
      <w:r w:rsidR="00950CC9">
        <w:rPr>
          <w:rFonts w:cs="Arial"/>
        </w:rPr>
        <w:t>Removing the process of independent assessment and registration by the Registrar of the National Native Title Tribunal</w:t>
      </w:r>
      <w:r w:rsidR="003332C9">
        <w:rPr>
          <w:rFonts w:cs="Arial"/>
        </w:rPr>
        <w:t xml:space="preserve"> may lead to expensive and </w:t>
      </w:r>
      <w:r w:rsidR="005D5CCD">
        <w:rPr>
          <w:rFonts w:cs="Arial"/>
        </w:rPr>
        <w:t>unnecessary litigation in the courts</w:t>
      </w:r>
      <w:r w:rsidR="00950CC9">
        <w:rPr>
          <w:rFonts w:cs="Arial"/>
        </w:rPr>
        <w:t xml:space="preserve"> –</w:t>
      </w:r>
      <w:r w:rsidR="00DC2C8F">
        <w:rPr>
          <w:rFonts w:cs="Arial"/>
        </w:rPr>
        <w:t xml:space="preserve"> most likely </w:t>
      </w:r>
      <w:r w:rsidR="006F349A">
        <w:rPr>
          <w:rFonts w:cs="Arial"/>
        </w:rPr>
        <w:t>by</w:t>
      </w:r>
      <w:r w:rsidR="00950CC9">
        <w:rPr>
          <w:rFonts w:cs="Arial"/>
        </w:rPr>
        <w:t xml:space="preserve"> Aboriginal and Torres Strait Islander peoples who do not </w:t>
      </w:r>
      <w:r w:rsidR="00DC2C8F">
        <w:rPr>
          <w:rFonts w:cs="Arial"/>
        </w:rPr>
        <w:t>believe</w:t>
      </w:r>
      <w:r w:rsidR="00950CC9">
        <w:rPr>
          <w:rFonts w:cs="Arial"/>
        </w:rPr>
        <w:t xml:space="preserve"> their native title representative body or service provider represents their </w:t>
      </w:r>
      <w:r w:rsidR="00DC2C8F">
        <w:rPr>
          <w:rFonts w:cs="Arial"/>
        </w:rPr>
        <w:t xml:space="preserve">native title </w:t>
      </w:r>
      <w:r w:rsidR="00950CC9">
        <w:rPr>
          <w:rFonts w:cs="Arial"/>
        </w:rPr>
        <w:t>interests</w:t>
      </w:r>
      <w:r w:rsidR="005D5CCD">
        <w:rPr>
          <w:rFonts w:cs="Arial"/>
        </w:rPr>
        <w:t xml:space="preserve">. </w:t>
      </w:r>
      <w:r w:rsidR="00761120">
        <w:rPr>
          <w:rFonts w:cs="Arial"/>
        </w:rPr>
        <w:t xml:space="preserve">While the Commission supports </w:t>
      </w:r>
      <w:r w:rsidR="003804CF">
        <w:rPr>
          <w:rFonts w:cs="Arial"/>
        </w:rPr>
        <w:t xml:space="preserve">amendments that </w:t>
      </w:r>
      <w:r w:rsidR="00761120">
        <w:rPr>
          <w:rFonts w:cs="Arial"/>
        </w:rPr>
        <w:t>simplify the registration proces</w:t>
      </w:r>
      <w:r w:rsidR="006E7660">
        <w:rPr>
          <w:rFonts w:cs="Arial"/>
        </w:rPr>
        <w:t>s,</w:t>
      </w:r>
      <w:r w:rsidR="00761120">
        <w:rPr>
          <w:rFonts w:cs="Arial"/>
        </w:rPr>
        <w:t xml:space="preserve"> this should not </w:t>
      </w:r>
      <w:r w:rsidR="003332C9">
        <w:rPr>
          <w:rFonts w:cs="Arial"/>
        </w:rPr>
        <w:t xml:space="preserve">occur at the expense of </w:t>
      </w:r>
      <w:r w:rsidR="003804CF">
        <w:rPr>
          <w:rFonts w:cs="Arial"/>
        </w:rPr>
        <w:t>pe</w:t>
      </w:r>
      <w:r w:rsidR="006E7660">
        <w:rPr>
          <w:rFonts w:cs="Arial"/>
        </w:rPr>
        <w:t>ople</w:t>
      </w:r>
      <w:r w:rsidR="003332C9">
        <w:rPr>
          <w:rFonts w:cs="Arial"/>
        </w:rPr>
        <w:t xml:space="preserve"> being able to</w:t>
      </w:r>
      <w:r w:rsidR="003804CF">
        <w:rPr>
          <w:rFonts w:cs="Arial"/>
        </w:rPr>
        <w:t xml:space="preserve"> seek </w:t>
      </w:r>
      <w:r w:rsidR="006E7660">
        <w:rPr>
          <w:rFonts w:cs="Arial"/>
        </w:rPr>
        <w:t>an inexpensive</w:t>
      </w:r>
      <w:r w:rsidR="00D815EA">
        <w:rPr>
          <w:rFonts w:cs="Arial"/>
        </w:rPr>
        <w:t xml:space="preserve"> </w:t>
      </w:r>
      <w:r w:rsidR="00A2445C">
        <w:rPr>
          <w:rFonts w:cs="Arial"/>
        </w:rPr>
        <w:t xml:space="preserve">and </w:t>
      </w:r>
      <w:r w:rsidR="003804CF">
        <w:rPr>
          <w:rFonts w:cs="Arial"/>
        </w:rPr>
        <w:t xml:space="preserve">independent review of the </w:t>
      </w:r>
      <w:r w:rsidR="00FB7675">
        <w:rPr>
          <w:rFonts w:cs="Arial"/>
        </w:rPr>
        <w:t xml:space="preserve">registration </w:t>
      </w:r>
      <w:r w:rsidR="003804CF">
        <w:rPr>
          <w:rFonts w:cs="Arial"/>
        </w:rPr>
        <w:t>process.</w:t>
      </w:r>
    </w:p>
    <w:p w:rsidR="00073D5B" w:rsidRPr="00073D5B" w:rsidRDefault="00073D5B" w:rsidP="00073D5B">
      <w:pPr>
        <w:pStyle w:val="Heading2"/>
        <w:numPr>
          <w:ilvl w:val="1"/>
          <w:numId w:val="16"/>
        </w:numPr>
        <w:tabs>
          <w:tab w:val="clear" w:pos="851"/>
          <w:tab w:val="num" w:pos="993"/>
        </w:tabs>
        <w:ind w:left="993"/>
      </w:pPr>
      <w:bookmarkStart w:id="30" w:name="_Toc346539919"/>
      <w:r>
        <w:t>Simplify the process for amending ILUAs</w:t>
      </w:r>
      <w:bookmarkEnd w:id="30"/>
    </w:p>
    <w:p w:rsidR="00EE210A" w:rsidRPr="00EE210A" w:rsidRDefault="002B3ECD" w:rsidP="00204AC5">
      <w:pPr>
        <w:pStyle w:val="SubmissionNormal"/>
        <w:tabs>
          <w:tab w:val="clear" w:pos="720"/>
          <w:tab w:val="num" w:pos="851"/>
        </w:tabs>
        <w:ind w:left="851" w:hanging="709"/>
      </w:pPr>
      <w:r>
        <w:rPr>
          <w:rFonts w:cs="Arial"/>
        </w:rPr>
        <w:t>The Bill also provides for certain amendments to be made to ILUAs (whether body corporate, area agreement or alternative procedure) where</w:t>
      </w:r>
      <w:r w:rsidR="00EE210A">
        <w:rPr>
          <w:rFonts w:cs="Arial"/>
        </w:rPr>
        <w:t>:</w:t>
      </w:r>
    </w:p>
    <w:p w:rsidR="00EE210A" w:rsidRPr="00EE210A" w:rsidRDefault="00EE210A" w:rsidP="00EE210A">
      <w:pPr>
        <w:pStyle w:val="SubmissionNormal"/>
        <w:numPr>
          <w:ilvl w:val="1"/>
          <w:numId w:val="18"/>
        </w:numPr>
      </w:pPr>
      <w:r>
        <w:rPr>
          <w:rFonts w:cs="Arial"/>
        </w:rPr>
        <w:t>the amendment is specified in subsection 24ED(1) –</w:t>
      </w:r>
      <w:r w:rsidR="007F5437">
        <w:rPr>
          <w:rFonts w:cs="Arial"/>
        </w:rPr>
        <w:t xml:space="preserve"> </w:t>
      </w:r>
      <w:r>
        <w:rPr>
          <w:rFonts w:cs="Arial"/>
        </w:rPr>
        <w:t xml:space="preserve">amendments </w:t>
      </w:r>
      <w:r w:rsidR="005333E3">
        <w:rPr>
          <w:rFonts w:cs="Arial"/>
        </w:rPr>
        <w:t xml:space="preserve">that can </w:t>
      </w:r>
      <w:r w:rsidR="007F5437">
        <w:rPr>
          <w:rFonts w:cs="Arial"/>
        </w:rPr>
        <w:t xml:space="preserve">mostly </w:t>
      </w:r>
      <w:r w:rsidR="005333E3">
        <w:rPr>
          <w:rFonts w:cs="Arial"/>
        </w:rPr>
        <w:t xml:space="preserve">be </w:t>
      </w:r>
      <w:r>
        <w:rPr>
          <w:rFonts w:cs="Arial"/>
        </w:rPr>
        <w:t>categorised as administrative</w:t>
      </w:r>
      <w:r w:rsidR="007F5437">
        <w:rPr>
          <w:rFonts w:cs="Arial"/>
        </w:rPr>
        <w:t xml:space="preserve"> amendments</w:t>
      </w:r>
    </w:p>
    <w:p w:rsidR="00073D5B" w:rsidRPr="00073D5B" w:rsidRDefault="002B3ECD" w:rsidP="00EE210A">
      <w:pPr>
        <w:pStyle w:val="SubmissionNormal"/>
        <w:numPr>
          <w:ilvl w:val="1"/>
          <w:numId w:val="18"/>
        </w:numPr>
      </w:pPr>
      <w:r>
        <w:rPr>
          <w:rFonts w:cs="Arial"/>
        </w:rPr>
        <w:t>the parties to the agreement have agreed to the amendment</w:t>
      </w:r>
    </w:p>
    <w:p w:rsidR="008335FE" w:rsidRPr="00073D5B" w:rsidRDefault="007F5437" w:rsidP="00EE210A">
      <w:pPr>
        <w:pStyle w:val="SubmissionNormal"/>
        <w:numPr>
          <w:ilvl w:val="1"/>
          <w:numId w:val="18"/>
        </w:numPr>
      </w:pPr>
      <w:proofErr w:type="gramStart"/>
      <w:r>
        <w:rPr>
          <w:rFonts w:cs="Arial"/>
        </w:rPr>
        <w:t>the</w:t>
      </w:r>
      <w:proofErr w:type="gramEnd"/>
      <w:r>
        <w:rPr>
          <w:rFonts w:cs="Arial"/>
        </w:rPr>
        <w:t xml:space="preserve"> Registrar </w:t>
      </w:r>
      <w:r w:rsidR="00073D5B">
        <w:rPr>
          <w:rFonts w:cs="Arial"/>
        </w:rPr>
        <w:t>of the</w:t>
      </w:r>
      <w:r>
        <w:rPr>
          <w:rFonts w:cs="Arial"/>
        </w:rPr>
        <w:t xml:space="preserve"> National Native Title Tribunal</w:t>
      </w:r>
      <w:r w:rsidR="00EA11FE">
        <w:rPr>
          <w:rFonts w:cs="Arial"/>
        </w:rPr>
        <w:t xml:space="preserve"> has been notified of the amendments </w:t>
      </w:r>
      <w:r w:rsidR="00073D5B">
        <w:rPr>
          <w:rFonts w:cs="Arial"/>
        </w:rPr>
        <w:t>in writing.</w:t>
      </w:r>
    </w:p>
    <w:p w:rsidR="00073D5B" w:rsidRPr="00826BFF" w:rsidRDefault="00073D5B" w:rsidP="00073D5B">
      <w:pPr>
        <w:pStyle w:val="SubmissionNormal"/>
        <w:tabs>
          <w:tab w:val="clear" w:pos="720"/>
          <w:tab w:val="num" w:pos="851"/>
        </w:tabs>
        <w:ind w:left="851" w:hanging="709"/>
      </w:pPr>
      <w:r>
        <w:t xml:space="preserve">The Commission supports this amendment as it will provide flexibility to </w:t>
      </w:r>
      <w:r w:rsidR="002F0959">
        <w:t xml:space="preserve">enable </w:t>
      </w:r>
      <w:r>
        <w:t xml:space="preserve">parties to </w:t>
      </w:r>
      <w:r w:rsidR="00EA11FE">
        <w:t xml:space="preserve">make administrative amendments to </w:t>
      </w:r>
      <w:r w:rsidR="007F5437">
        <w:t>ILUAs without requir</w:t>
      </w:r>
      <w:r w:rsidR="002F0959">
        <w:t>ing a new registration process.</w:t>
      </w:r>
      <w:r w:rsidR="007F5437">
        <w:t xml:space="preserve"> </w:t>
      </w:r>
    </w:p>
    <w:p w:rsidR="00086060" w:rsidRDefault="00086060" w:rsidP="00086060">
      <w:pPr>
        <w:pStyle w:val="SubmissionNormal"/>
        <w:numPr>
          <w:ilvl w:val="0"/>
          <w:numId w:val="0"/>
        </w:numPr>
      </w:pPr>
    </w:p>
    <w:p w:rsidR="00086060" w:rsidRDefault="00EF50E6" w:rsidP="000A1523">
      <w:pPr>
        <w:pStyle w:val="Heading1"/>
        <w:numPr>
          <w:ilvl w:val="0"/>
          <w:numId w:val="16"/>
        </w:numPr>
      </w:pPr>
      <w:bookmarkStart w:id="31" w:name="_Toc346539920"/>
      <w:r>
        <w:t xml:space="preserve">Implications of the Native Title Amendment Bill </w:t>
      </w:r>
      <w:r w:rsidR="00CE15CD">
        <w:t xml:space="preserve">2012 </w:t>
      </w:r>
      <w:r>
        <w:t>on human rights</w:t>
      </w:r>
      <w:bookmarkEnd w:id="31"/>
    </w:p>
    <w:p w:rsidR="00BD6C93" w:rsidRDefault="00C5716C" w:rsidP="00BD6C93">
      <w:pPr>
        <w:pStyle w:val="SubmissionNormal"/>
        <w:tabs>
          <w:tab w:val="clear" w:pos="720"/>
          <w:tab w:val="num" w:pos="851"/>
        </w:tabs>
        <w:ind w:left="851" w:hanging="709"/>
      </w:pPr>
      <w:r>
        <w:t>Overall, t</w:t>
      </w:r>
      <w:r w:rsidR="00BD6C93">
        <w:t>h</w:t>
      </w:r>
      <w:r>
        <w:t>e Commission welcomes the Bill</w:t>
      </w:r>
      <w:r w:rsidR="00BD6C93">
        <w:t xml:space="preserve"> </w:t>
      </w:r>
      <w:r>
        <w:t>as it</w:t>
      </w:r>
      <w:r w:rsidR="00BD6C93">
        <w:t xml:space="preserve"> is compatible with the human rights to enjoy and benefit from culture and to self-determination contained in the </w:t>
      </w:r>
      <w:r w:rsidR="00BD6C93" w:rsidRPr="008061D5">
        <w:rPr>
          <w:i/>
        </w:rPr>
        <w:t>International Covenant on Civil and Political Rights</w:t>
      </w:r>
      <w:r w:rsidR="00BD6C93">
        <w:t xml:space="preserve">, the </w:t>
      </w:r>
      <w:r w:rsidR="00BD6C93" w:rsidRPr="008061D5">
        <w:rPr>
          <w:i/>
        </w:rPr>
        <w:t xml:space="preserve">International Covenant on Economic, Social and Cultural Rights </w:t>
      </w:r>
      <w:r w:rsidR="00BD6C93">
        <w:t xml:space="preserve">and the </w:t>
      </w:r>
      <w:r w:rsidR="00BD6C93" w:rsidRPr="008061D5">
        <w:rPr>
          <w:i/>
        </w:rPr>
        <w:t>United Nations Declaration on the Rights of Indigenous Peoples</w:t>
      </w:r>
      <w:r w:rsidR="00BD6C93">
        <w:t xml:space="preserve">. </w:t>
      </w:r>
    </w:p>
    <w:p w:rsidR="00C5716C" w:rsidRDefault="001F6024" w:rsidP="00BD6C93">
      <w:pPr>
        <w:pStyle w:val="SubmissionNormal"/>
        <w:tabs>
          <w:tab w:val="clear" w:pos="720"/>
          <w:tab w:val="num" w:pos="851"/>
        </w:tabs>
        <w:ind w:left="851" w:hanging="709"/>
      </w:pPr>
      <w:r>
        <w:t xml:space="preserve">While </w:t>
      </w:r>
      <w:r w:rsidR="00C5716C">
        <w:t xml:space="preserve">the Bill </w:t>
      </w:r>
      <w:r w:rsidR="00BD6C93">
        <w:t>seek</w:t>
      </w:r>
      <w:r w:rsidR="00C5716C">
        <w:t>s</w:t>
      </w:r>
      <w:r w:rsidR="00BD6C93">
        <w:t xml:space="preserve"> to achieve a </w:t>
      </w:r>
      <w:r w:rsidR="00C5716C">
        <w:t xml:space="preserve">sensible </w:t>
      </w:r>
      <w:r w:rsidR="00BD6C93">
        <w:t xml:space="preserve">balance of interests between parties involved in the native title </w:t>
      </w:r>
      <w:r>
        <w:t xml:space="preserve">system, it is the Commission’s view that further reforms are required to achieve substantive native title outcomes for Aboriginal and Torres Strait Islander peoples. In particular, the Commission refers </w:t>
      </w:r>
      <w:r w:rsidR="00E6539B">
        <w:t xml:space="preserve">the Committee </w:t>
      </w:r>
      <w:r>
        <w:t xml:space="preserve">to Article 27 of the </w:t>
      </w:r>
      <w:r w:rsidRPr="00670C81">
        <w:rPr>
          <w:i/>
        </w:rPr>
        <w:t>United Nations Declaration on the Rights of Indigenous Peop</w:t>
      </w:r>
      <w:r w:rsidR="00670C81" w:rsidRPr="00670C81">
        <w:rPr>
          <w:i/>
        </w:rPr>
        <w:t>les</w:t>
      </w:r>
      <w:r w:rsidR="00670C81">
        <w:t>, which articulates that</w:t>
      </w:r>
      <w:r>
        <w:t>:</w:t>
      </w:r>
    </w:p>
    <w:p w:rsidR="00670C81" w:rsidRPr="00670C81" w:rsidRDefault="00670C81" w:rsidP="00670C81">
      <w:pPr>
        <w:pStyle w:val="SubmissionNormal"/>
        <w:numPr>
          <w:ilvl w:val="0"/>
          <w:numId w:val="0"/>
        </w:numPr>
        <w:ind w:left="1440"/>
        <w:rPr>
          <w:sz w:val="22"/>
          <w:szCs w:val="22"/>
        </w:rPr>
      </w:pPr>
      <w:r w:rsidRPr="00670C81">
        <w:rPr>
          <w:sz w:val="22"/>
          <w:szCs w:val="22"/>
        </w:rPr>
        <w:lastRenderedPageBreak/>
        <w:t>States shall establish and implement, in conjunction with indigenous peoples concerned, a fair, independent, impartial, open and transparent process, giving due recognition to indigenous peoples’ laws, traditions, customs and land tenure systems, to recognize and adjudicate the rights of indigenous peoples pertaining to their lands, territories and resources, including those which were traditionally owned or otherwise occupied or used. Indigenous peoples shall have the right to participate in this process.</w:t>
      </w:r>
    </w:p>
    <w:p w:rsidR="0073756B" w:rsidRDefault="0073756B" w:rsidP="0073756B">
      <w:pPr>
        <w:pStyle w:val="SubmissionNormal"/>
        <w:tabs>
          <w:tab w:val="clear" w:pos="720"/>
          <w:tab w:val="num" w:pos="851"/>
        </w:tabs>
        <w:ind w:left="851" w:hanging="709"/>
      </w:pPr>
      <w:r>
        <w:t>The Commission sets out recommendations for future reforms to the native title system in its submission to the House Standing Committee on Aboriginal and Torres Strait Islander Affairs (see Appendix A).</w:t>
      </w:r>
    </w:p>
    <w:p w:rsidR="00B13AAD" w:rsidRDefault="00B13AAD" w:rsidP="00B13AAD">
      <w:pPr>
        <w:pStyle w:val="Heading1"/>
        <w:numPr>
          <w:ilvl w:val="0"/>
          <w:numId w:val="16"/>
        </w:numPr>
      </w:pPr>
      <w:bookmarkStart w:id="32" w:name="_Toc346539921"/>
      <w:r>
        <w:t>Appendix A</w:t>
      </w:r>
      <w:r w:rsidR="00DC2C8F">
        <w:t xml:space="preserve"> – </w:t>
      </w:r>
      <w:r w:rsidR="00DB00A4">
        <w:t>The Commission’s r</w:t>
      </w:r>
      <w:r w:rsidR="00DC2C8F">
        <w:t>ecommendations to the House Standing Committee on Aboriginal and Torres Strait Islander Affairs Inquiry</w:t>
      </w:r>
      <w:r w:rsidR="004B7525">
        <w:rPr>
          <w:rStyle w:val="EndnoteReference"/>
        </w:rPr>
        <w:endnoteReference w:id="7"/>
      </w:r>
      <w:bookmarkEnd w:id="32"/>
    </w:p>
    <w:p w:rsidR="00B13AAD" w:rsidRDefault="007B0D8D" w:rsidP="00B13AAD">
      <w:pPr>
        <w:pStyle w:val="SubmissionNormal"/>
        <w:tabs>
          <w:tab w:val="clear" w:pos="720"/>
          <w:tab w:val="num" w:pos="851"/>
        </w:tabs>
        <w:ind w:left="851" w:hanging="709"/>
      </w:pPr>
      <w:r>
        <w:t>The Commission</w:t>
      </w:r>
      <w:r w:rsidR="008A08F3">
        <w:t xml:space="preserve"> </w:t>
      </w:r>
      <w:r>
        <w:t xml:space="preserve">makes the following </w:t>
      </w:r>
      <w:r w:rsidR="008A08F3">
        <w:t>r</w:t>
      </w:r>
      <w:r w:rsidR="00B13AAD">
        <w:t>ecommend</w:t>
      </w:r>
      <w:r>
        <w:t>ations</w:t>
      </w:r>
      <w:r w:rsidR="00B13AAD">
        <w:t xml:space="preserve"> to the </w:t>
      </w:r>
      <w:r w:rsidR="00DC2C8F">
        <w:t>House Standing Committee on Aboriginal and Torres Strait Island</w:t>
      </w:r>
      <w:r w:rsidR="008A08F3">
        <w:t>er Affairs Inquiry into</w:t>
      </w:r>
      <w:r w:rsidR="00DC2C8F">
        <w:t xml:space="preserve"> </w:t>
      </w:r>
      <w:r w:rsidR="00453B44">
        <w:t xml:space="preserve">the Native Title Amendment Bill 2012 and </w:t>
      </w:r>
      <w:r w:rsidR="006A59D3">
        <w:t xml:space="preserve">proposals for </w:t>
      </w:r>
      <w:r w:rsidR="00DC2C8F">
        <w:t xml:space="preserve">future reform of the native title </w:t>
      </w:r>
      <w:r>
        <w:t>process</w:t>
      </w:r>
      <w:r w:rsidR="006A59D3">
        <w:t>:</w:t>
      </w:r>
    </w:p>
    <w:p w:rsidR="00EA6305" w:rsidRPr="007C0498" w:rsidRDefault="00EA6305" w:rsidP="00EA6305">
      <w:pPr>
        <w:pStyle w:val="SubmissionNormal"/>
        <w:numPr>
          <w:ilvl w:val="1"/>
          <w:numId w:val="19"/>
        </w:numPr>
      </w:pPr>
      <w:r w:rsidRPr="007C0498">
        <w:t>Support the passage of the Native Title Amendment Bill 2012. [Recommendation no. 1]</w:t>
      </w:r>
    </w:p>
    <w:p w:rsidR="00EA6305" w:rsidRPr="007C0498" w:rsidRDefault="00EA6305" w:rsidP="00EA6305">
      <w:pPr>
        <w:pStyle w:val="SubmissionNormal"/>
        <w:numPr>
          <w:ilvl w:val="1"/>
          <w:numId w:val="19"/>
        </w:numPr>
      </w:pPr>
      <w:r w:rsidRPr="007C0498">
        <w:t xml:space="preserve">Consider incorporating the changes outlined in paragraph 15 of this submission into the Native Title Amendment Bill 2012 – that is, expand the </w:t>
      </w:r>
      <w:r w:rsidRPr="007C0498">
        <w:rPr>
          <w:szCs w:val="28"/>
        </w:rPr>
        <w:t>proposed section 47C in the following two ways:</w:t>
      </w:r>
    </w:p>
    <w:p w:rsidR="00EA6305" w:rsidRPr="007C0498" w:rsidRDefault="00EA6305" w:rsidP="00EA6305">
      <w:pPr>
        <w:pStyle w:val="SubmissionNormal"/>
        <w:numPr>
          <w:ilvl w:val="2"/>
          <w:numId w:val="15"/>
        </w:numPr>
        <w:rPr>
          <w:szCs w:val="28"/>
        </w:rPr>
      </w:pPr>
      <w:r w:rsidRPr="007C0498">
        <w:rPr>
          <w:rFonts w:cs="Arial"/>
        </w:rPr>
        <w:t xml:space="preserve">alter the wording of the amendment so that the </w:t>
      </w:r>
      <w:r w:rsidRPr="007C0498">
        <w:rPr>
          <w:szCs w:val="28"/>
        </w:rPr>
        <w:t>proposed section 47C operates in a manner similar to sections 47, 47A and 47B; namely, so that it is understood that agreement will be provided to disregard historical extinguishment as the starting point rather than requiring such agreement to be reached for every potential matter</w:t>
      </w:r>
    </w:p>
    <w:p w:rsidR="00EA6305" w:rsidRPr="007C0498" w:rsidRDefault="00EA6305" w:rsidP="00EA6305">
      <w:pPr>
        <w:pStyle w:val="SubmissionNormal"/>
        <w:numPr>
          <w:ilvl w:val="2"/>
          <w:numId w:val="15"/>
        </w:numPr>
        <w:rPr>
          <w:szCs w:val="28"/>
        </w:rPr>
      </w:pPr>
      <w:proofErr w:type="gramStart"/>
      <w:r w:rsidRPr="007C0498">
        <w:rPr>
          <w:szCs w:val="28"/>
        </w:rPr>
        <w:t>expand</w:t>
      </w:r>
      <w:proofErr w:type="gramEnd"/>
      <w:r w:rsidRPr="007C0498">
        <w:rPr>
          <w:szCs w:val="28"/>
        </w:rPr>
        <w:t xml:space="preserve"> section 47C to allow h</w:t>
      </w:r>
      <w:r w:rsidRPr="007C0498">
        <w:rPr>
          <w:rFonts w:cs="Arial"/>
        </w:rPr>
        <w:t xml:space="preserve">istorical extinguishment of native title to be disregarded over </w:t>
      </w:r>
      <w:r w:rsidRPr="007C0498">
        <w:rPr>
          <w:rFonts w:cs="Arial"/>
          <w:i/>
        </w:rPr>
        <w:t>any</w:t>
      </w:r>
      <w:r w:rsidRPr="007C0498">
        <w:rPr>
          <w:rFonts w:cs="Arial"/>
        </w:rPr>
        <w:t xml:space="preserve"> areas of Crown land where there is agreement between the government and native title claimants.</w:t>
      </w:r>
      <w:r w:rsidRPr="007C0498">
        <w:rPr>
          <w:szCs w:val="28"/>
        </w:rPr>
        <w:t xml:space="preserve"> </w:t>
      </w:r>
      <w:r w:rsidRPr="007C0498">
        <w:t>[Recommendation no. 2]</w:t>
      </w:r>
    </w:p>
    <w:p w:rsidR="00EA6305" w:rsidRPr="007C0498" w:rsidRDefault="00EA6305" w:rsidP="00EA6305">
      <w:pPr>
        <w:pStyle w:val="SubmissionNormal"/>
        <w:numPr>
          <w:ilvl w:val="1"/>
          <w:numId w:val="19"/>
        </w:numPr>
      </w:pPr>
      <w:r w:rsidRPr="007C0498">
        <w:t>Consider the implications of the amendment outlined in paragraph 28 of this submission into the Native Title Amendment Bill 2012 – in particular, the implications of replacing section 24CK with a provision that removes the objection process for ILUAs certified by a native title representative body. [Recommendation no. 3]</w:t>
      </w:r>
    </w:p>
    <w:p w:rsidR="00EA6305" w:rsidRDefault="00EA6305" w:rsidP="00EA6305">
      <w:pPr>
        <w:pStyle w:val="SubmissionNormal"/>
        <w:numPr>
          <w:ilvl w:val="1"/>
          <w:numId w:val="19"/>
        </w:numPr>
      </w:pPr>
      <w:r>
        <w:t>Collaborate with the Senate Legal and Constitutional Affairs Legislation Committee on their Inquiry into the Native Title Amendment Bill 2012. [Recommendation no. 4]</w:t>
      </w:r>
    </w:p>
    <w:p w:rsidR="00EA6305" w:rsidRDefault="00EA6305" w:rsidP="00EA6305">
      <w:pPr>
        <w:pStyle w:val="SubmissionNormal"/>
        <w:numPr>
          <w:ilvl w:val="1"/>
          <w:numId w:val="19"/>
        </w:numPr>
      </w:pPr>
      <w:r>
        <w:lastRenderedPageBreak/>
        <w:t xml:space="preserve">Consider the following outstanding recommendations in the </w:t>
      </w:r>
      <w:r w:rsidRPr="00787139">
        <w:rPr>
          <w:i/>
        </w:rPr>
        <w:t>Native Title Report 2012</w:t>
      </w:r>
      <w:r>
        <w:rPr>
          <w:i/>
        </w:rPr>
        <w:t xml:space="preserve"> </w:t>
      </w:r>
      <w:r>
        <w:t xml:space="preserve">in relation to implementing the </w:t>
      </w:r>
      <w:r w:rsidRPr="00B51379">
        <w:rPr>
          <w:i/>
        </w:rPr>
        <w:t>United Nations Declaration on the Rights of Indigenous Peoples</w:t>
      </w:r>
      <w:r w:rsidRPr="00787139">
        <w:t>:</w:t>
      </w:r>
    </w:p>
    <w:p w:rsidR="00EA6305" w:rsidRDefault="00EA6305" w:rsidP="00EA6305">
      <w:pPr>
        <w:pStyle w:val="SubmissionNormal"/>
        <w:numPr>
          <w:ilvl w:val="0"/>
          <w:numId w:val="45"/>
        </w:numPr>
      </w:pPr>
      <w:r>
        <w:t xml:space="preserve">That the Australian Government work in partnership with Aboriginal and Torres Strait Islander peoples to develop a national strategy to ensure the principles of the </w:t>
      </w:r>
      <w:r w:rsidRPr="00132D4E">
        <w:rPr>
          <w:i/>
        </w:rPr>
        <w:t xml:space="preserve">United Nations Declaration on the Rights of Indigenous Peoples </w:t>
      </w:r>
      <w:r>
        <w:t>are given full effect.</w:t>
      </w:r>
    </w:p>
    <w:p w:rsidR="00EA6305" w:rsidRDefault="00EA6305" w:rsidP="00EA6305">
      <w:pPr>
        <w:pStyle w:val="SubmissionNormal"/>
        <w:numPr>
          <w:ilvl w:val="0"/>
          <w:numId w:val="45"/>
        </w:numPr>
      </w:pPr>
      <w:r>
        <w:t xml:space="preserve">That the Australian Government ensures that the </w:t>
      </w:r>
      <w:r w:rsidRPr="000A4772">
        <w:rPr>
          <w:i/>
        </w:rPr>
        <w:t>Native Title Act 1993</w:t>
      </w:r>
      <w:r>
        <w:t xml:space="preserve"> (</w:t>
      </w:r>
      <w:proofErr w:type="spellStart"/>
      <w:r>
        <w:t>Cth</w:t>
      </w:r>
      <w:proofErr w:type="spellEnd"/>
      <w:r>
        <w:t xml:space="preserve">), the </w:t>
      </w:r>
      <w:r w:rsidRPr="000A4772">
        <w:rPr>
          <w:i/>
        </w:rPr>
        <w:t>Native Title (Prescribed Bodies Corporate) Regulations 1999</w:t>
      </w:r>
      <w:r>
        <w:t xml:space="preserve"> and the </w:t>
      </w:r>
      <w:r w:rsidRPr="000A4772">
        <w:rPr>
          <w:i/>
        </w:rPr>
        <w:t>Corporations (Aboriginal and Torres Strait Islander) Act 2006</w:t>
      </w:r>
      <w:r>
        <w:t xml:space="preserve"> (</w:t>
      </w:r>
      <w:proofErr w:type="spellStart"/>
      <w:r>
        <w:t>Cth</w:t>
      </w:r>
      <w:proofErr w:type="spellEnd"/>
      <w:r>
        <w:t xml:space="preserve">) are consistent with the </w:t>
      </w:r>
      <w:r w:rsidRPr="00DD155C">
        <w:rPr>
          <w:i/>
        </w:rPr>
        <w:t>United Nations Declaration on the Rights of Indigenous Peoples</w:t>
      </w:r>
      <w:r>
        <w:t>.</w:t>
      </w:r>
      <w:r>
        <w:rPr>
          <w:rStyle w:val="EndnoteReference"/>
        </w:rPr>
        <w:endnoteReference w:id="8"/>
      </w:r>
      <w:r>
        <w:t xml:space="preserve"> [Recommendation no. 5]</w:t>
      </w:r>
    </w:p>
    <w:p w:rsidR="00EA6305" w:rsidRDefault="00EA6305" w:rsidP="00EA6305">
      <w:pPr>
        <w:pStyle w:val="SubmissionNormal"/>
        <w:numPr>
          <w:ilvl w:val="1"/>
          <w:numId w:val="19"/>
        </w:numPr>
      </w:pPr>
      <w:r>
        <w:t xml:space="preserve">Consider the following outstanding recommendations in the </w:t>
      </w:r>
      <w:r w:rsidRPr="003566B9">
        <w:rPr>
          <w:i/>
        </w:rPr>
        <w:t>Native Title Report 2009</w:t>
      </w:r>
      <w:r>
        <w:rPr>
          <w:i/>
        </w:rPr>
        <w:t xml:space="preserve"> </w:t>
      </w:r>
      <w:r>
        <w:t>in relation to shifting the burden of proof for native title:</w:t>
      </w:r>
    </w:p>
    <w:p w:rsidR="00EA6305" w:rsidRPr="00441F11" w:rsidRDefault="00EA6305" w:rsidP="00EA6305">
      <w:pPr>
        <w:pStyle w:val="SubmissionNormal"/>
        <w:numPr>
          <w:ilvl w:val="0"/>
          <w:numId w:val="47"/>
        </w:numPr>
      </w:pPr>
      <w:r w:rsidRPr="00441F11">
        <w:t xml:space="preserve">That the </w:t>
      </w:r>
      <w:r w:rsidRPr="00441F11">
        <w:rPr>
          <w:i/>
        </w:rPr>
        <w:t>Native Title Act 1993</w:t>
      </w:r>
      <w:r w:rsidRPr="00441F11">
        <w:t xml:space="preserve"> be amended to provide for a shift in the burden of proof to the respondent once the </w:t>
      </w:r>
      <w:r>
        <w:t xml:space="preserve">native title </w:t>
      </w:r>
      <w:r w:rsidRPr="00441F11">
        <w:t xml:space="preserve">applicant has met the </w:t>
      </w:r>
      <w:r>
        <w:t>relevant</w:t>
      </w:r>
      <w:r w:rsidRPr="00441F11">
        <w:t xml:space="preserve"> threshold requirements</w:t>
      </w:r>
      <w:r>
        <w:t xml:space="preserve"> in the registration test</w:t>
      </w:r>
      <w:r w:rsidRPr="00441F11">
        <w:t>.</w:t>
      </w:r>
    </w:p>
    <w:p w:rsidR="00EA6305" w:rsidRDefault="00EA6305" w:rsidP="00EA6305">
      <w:pPr>
        <w:pStyle w:val="SubmissionNormal"/>
        <w:numPr>
          <w:ilvl w:val="0"/>
          <w:numId w:val="47"/>
        </w:numPr>
      </w:pPr>
      <w:r>
        <w:t xml:space="preserve">That the </w:t>
      </w:r>
      <w:r w:rsidRPr="00441F11">
        <w:rPr>
          <w:i/>
        </w:rPr>
        <w:t>Native Title Act 1993</w:t>
      </w:r>
      <w:r>
        <w:t xml:space="preserve"> provide for presumptions in favour of native title claimants, including a presumption of continuity in the acknowledgment and observance of traditional law and custom and of the relevant society.</w:t>
      </w:r>
      <w:r>
        <w:rPr>
          <w:rStyle w:val="EndnoteReference"/>
        </w:rPr>
        <w:endnoteReference w:id="9"/>
      </w:r>
      <w:r>
        <w:t xml:space="preserve"> [Recommendation no. 6]</w:t>
      </w:r>
    </w:p>
    <w:p w:rsidR="00EA6305" w:rsidRDefault="00EA6305" w:rsidP="00EA6305">
      <w:pPr>
        <w:pStyle w:val="SubmissionNormal"/>
        <w:numPr>
          <w:ilvl w:val="1"/>
          <w:numId w:val="19"/>
        </w:numPr>
      </w:pPr>
      <w:r>
        <w:t xml:space="preserve">Consider repealing section 26(3) of the </w:t>
      </w:r>
      <w:r w:rsidRPr="00A630FF">
        <w:rPr>
          <w:i/>
        </w:rPr>
        <w:t>Native Title Act 1993</w:t>
      </w:r>
      <w:r>
        <w:t xml:space="preserve"> to allow procedural rights in relation to offshore areas. [Recommendation no. 7]</w:t>
      </w:r>
    </w:p>
    <w:p w:rsidR="00EA6305" w:rsidRDefault="00EA6305" w:rsidP="00EA6305">
      <w:pPr>
        <w:pStyle w:val="SubmissionNormal"/>
        <w:numPr>
          <w:ilvl w:val="1"/>
          <w:numId w:val="19"/>
        </w:numPr>
      </w:pPr>
      <w:r>
        <w:t xml:space="preserve">Consider amending section 223(2) of the </w:t>
      </w:r>
      <w:r w:rsidRPr="00D00471">
        <w:rPr>
          <w:i/>
        </w:rPr>
        <w:t>Native Title Act 1993</w:t>
      </w:r>
      <w:r>
        <w:t xml:space="preserve"> to specify that native title rights and interests include the ‘right to trade and other rights and interests of an economic nature’. [Recommendation no. 8]</w:t>
      </w:r>
    </w:p>
    <w:p w:rsidR="00EA6305" w:rsidRDefault="00EA6305" w:rsidP="00EA6305">
      <w:pPr>
        <w:pStyle w:val="SubmissionNormal"/>
        <w:numPr>
          <w:ilvl w:val="1"/>
          <w:numId w:val="19"/>
        </w:numPr>
      </w:pPr>
      <w:r>
        <w:t xml:space="preserve">Consider the following outstanding recommendation in the </w:t>
      </w:r>
      <w:r w:rsidRPr="00787139">
        <w:rPr>
          <w:i/>
        </w:rPr>
        <w:t>Native Title Report 2012</w:t>
      </w:r>
      <w:r>
        <w:rPr>
          <w:i/>
        </w:rPr>
        <w:t xml:space="preserve"> </w:t>
      </w:r>
      <w:r>
        <w:t>in relation to Prescribed Bodies Corporate:</w:t>
      </w:r>
    </w:p>
    <w:p w:rsidR="00EA6305" w:rsidRDefault="00EA6305" w:rsidP="00EA6305">
      <w:pPr>
        <w:pStyle w:val="SubmissionNormal"/>
        <w:numPr>
          <w:ilvl w:val="2"/>
          <w:numId w:val="19"/>
        </w:numPr>
      </w:pPr>
      <w:r>
        <w:t>That the Australian Government provides Prescribed Bodies Corporate with adequate funding levels to meet their administrative, legal and financial functions. The level of funding should reflect the particular circumstances of the Prescribed Body Corporate, such as the location, membership, cultural and language requirements, and the extent to which the Prescribed Body Corporate may be required to deal with alternate legislation in relation to their lands, territories and resources. [Recommendation no. 9]</w:t>
      </w:r>
    </w:p>
    <w:p w:rsidR="00EA6305" w:rsidRPr="001B55A4" w:rsidRDefault="00EA6305" w:rsidP="00EA6305">
      <w:pPr>
        <w:pStyle w:val="SubmissionNormal"/>
        <w:numPr>
          <w:ilvl w:val="1"/>
          <w:numId w:val="19"/>
        </w:numPr>
      </w:pPr>
      <w:r>
        <w:lastRenderedPageBreak/>
        <w:t xml:space="preserve">Recommend that the Australian Government establish an independent inquiry to review the operation of the native title system and explore options for native title reform, with a view to aligning the system with the </w:t>
      </w:r>
      <w:r w:rsidRPr="003F0017">
        <w:rPr>
          <w:i/>
        </w:rPr>
        <w:t>United Nations Declaration on the Rights of Indigenous Peoples</w:t>
      </w:r>
      <w:r>
        <w:t>. The terms of reference for this inquiry should be developed in full consultation with all relevant stakeholders, particularly Aboriginal and Torres Strait Islander peoples. Participants in this inquiry should include representatives from Native Title Representative Bodies, Native Title Service Providers, Prescribed Bodies Corporate, Aboriginal and Torres Strait Islander peoples, Australian, State and Territory governments, and respondent stakeholders including mining and pastoral interests. [Recommendation no. 10]</w:t>
      </w:r>
    </w:p>
    <w:p w:rsidR="00B4245E" w:rsidRPr="00A96892" w:rsidRDefault="00B4245E" w:rsidP="00B4245E">
      <w:pPr>
        <w:pStyle w:val="SubmissionNormal"/>
        <w:numPr>
          <w:ilvl w:val="0"/>
          <w:numId w:val="0"/>
        </w:numPr>
        <w:ind w:left="1440"/>
      </w:pPr>
    </w:p>
    <w:sectPr w:rsidR="00B4245E" w:rsidRPr="00A9689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14" w:rsidRDefault="00502314" w:rsidP="00F14C6D">
      <w:r>
        <w:separator/>
      </w:r>
    </w:p>
  </w:endnote>
  <w:endnote w:type="continuationSeparator" w:id="0">
    <w:p w:rsidR="00502314" w:rsidRDefault="00502314" w:rsidP="00F14C6D">
      <w:r>
        <w:continuationSeparator/>
      </w:r>
    </w:p>
  </w:endnote>
  <w:endnote w:id="1">
    <w:p w:rsidR="00502314" w:rsidRPr="00287FBF" w:rsidRDefault="00502314" w:rsidP="0095617D">
      <w:pPr>
        <w:pStyle w:val="EndnoteText"/>
        <w:rPr>
          <w:rFonts w:cs="Arial"/>
        </w:rPr>
      </w:pPr>
      <w:r w:rsidRPr="00287FBF">
        <w:rPr>
          <w:rStyle w:val="EndnoteReference"/>
          <w:rFonts w:cs="Arial"/>
        </w:rPr>
        <w:endnoteRef/>
      </w:r>
      <w:r w:rsidRPr="00287FBF">
        <w:rPr>
          <w:rFonts w:cs="Arial"/>
        </w:rPr>
        <w:t xml:space="preserve"> </w:t>
      </w:r>
      <w:proofErr w:type="gramStart"/>
      <w:r w:rsidRPr="00287FBF">
        <w:rPr>
          <w:rFonts w:cs="Arial"/>
        </w:rPr>
        <w:t xml:space="preserve">Hon N Roxon, Attorney-General, </w:t>
      </w:r>
      <w:r w:rsidRPr="00287FBF">
        <w:rPr>
          <w:rFonts w:cs="Arial"/>
          <w:i/>
        </w:rPr>
        <w:t>Explanatory Memorandum to the Native Title Amendment Bill 2012</w:t>
      </w:r>
      <w:r w:rsidRPr="00287FBF">
        <w:rPr>
          <w:rFonts w:cs="Arial"/>
        </w:rPr>
        <w:t>, p 3.</w:t>
      </w:r>
      <w:proofErr w:type="gramEnd"/>
    </w:p>
  </w:endnote>
  <w:endnote w:id="2">
    <w:p w:rsidR="00502314" w:rsidRPr="00287FBF" w:rsidRDefault="00502314">
      <w:pPr>
        <w:pStyle w:val="EndnoteText"/>
        <w:rPr>
          <w:rFonts w:cs="Arial"/>
        </w:rPr>
      </w:pPr>
      <w:r w:rsidRPr="00287FBF">
        <w:rPr>
          <w:rStyle w:val="EndnoteReference"/>
          <w:rFonts w:cs="Arial"/>
        </w:rPr>
        <w:endnoteRef/>
      </w:r>
      <w:r w:rsidRPr="00287FBF">
        <w:rPr>
          <w:rFonts w:cs="Arial"/>
        </w:rPr>
        <w:t xml:space="preserve"> House of Representatives Selection Committee, </w:t>
      </w:r>
      <w:r w:rsidRPr="00287FBF">
        <w:rPr>
          <w:rFonts w:cs="Arial"/>
          <w:i/>
        </w:rPr>
        <w:t>Report No. 73 – Private Members’ business and referral of bills to committees</w:t>
      </w:r>
      <w:r w:rsidRPr="00287FBF">
        <w:rPr>
          <w:rFonts w:cs="Arial"/>
        </w:rPr>
        <w:t>, (2012), p 3.</w:t>
      </w:r>
    </w:p>
  </w:endnote>
  <w:endnote w:id="3">
    <w:p w:rsidR="00502314" w:rsidRPr="00287FBF" w:rsidRDefault="00502314">
      <w:pPr>
        <w:pStyle w:val="EndnoteText"/>
        <w:rPr>
          <w:rFonts w:cs="Arial"/>
        </w:rPr>
      </w:pPr>
      <w:r w:rsidRPr="00287FBF">
        <w:rPr>
          <w:rStyle w:val="EndnoteReference"/>
          <w:rFonts w:cs="Arial"/>
        </w:rPr>
        <w:endnoteRef/>
      </w:r>
      <w:r w:rsidRPr="00287FBF">
        <w:rPr>
          <w:rFonts w:cs="Arial"/>
        </w:rPr>
        <w:t xml:space="preserve"> </w:t>
      </w:r>
      <w:proofErr w:type="gramStart"/>
      <w:r w:rsidRPr="00287FBF">
        <w:rPr>
          <w:rFonts w:cs="Arial"/>
        </w:rPr>
        <w:t xml:space="preserve">Hon N Roxon, Attorney-General, </w:t>
      </w:r>
      <w:r w:rsidRPr="00287FBF">
        <w:rPr>
          <w:rFonts w:cs="Arial"/>
          <w:i/>
        </w:rPr>
        <w:t>Explanatory Memorandum to the Native Title Amendment Bill 2012</w:t>
      </w:r>
      <w:r w:rsidRPr="00287FBF">
        <w:rPr>
          <w:rFonts w:cs="Arial"/>
        </w:rPr>
        <w:t>, p 16.</w:t>
      </w:r>
      <w:proofErr w:type="gramEnd"/>
    </w:p>
  </w:endnote>
  <w:endnote w:id="4">
    <w:p w:rsidR="00502314" w:rsidRPr="00287FBF" w:rsidRDefault="00502314" w:rsidP="00801C89">
      <w:pPr>
        <w:pStyle w:val="EndnoteText"/>
        <w:rPr>
          <w:rFonts w:cs="Arial"/>
          <w:i/>
        </w:rPr>
      </w:pPr>
      <w:r w:rsidRPr="00287FBF">
        <w:rPr>
          <w:rStyle w:val="EndnoteReference"/>
          <w:rFonts w:cs="Arial"/>
        </w:rPr>
        <w:endnoteRef/>
      </w:r>
      <w:r w:rsidRPr="00287FBF">
        <w:rPr>
          <w:rFonts w:cs="Arial"/>
        </w:rPr>
        <w:t xml:space="preserve"> </w:t>
      </w:r>
      <w:proofErr w:type="gramStart"/>
      <w:r w:rsidRPr="00287FBF">
        <w:rPr>
          <w:rFonts w:cs="Arial"/>
          <w:i/>
        </w:rPr>
        <w:t>FMG Pilbara Pty Ltd v Cox</w:t>
      </w:r>
      <w:r w:rsidRPr="00287FBF">
        <w:rPr>
          <w:rFonts w:cs="Arial"/>
        </w:rPr>
        <w:t xml:space="preserve"> (2009) 175 FCR 141.</w:t>
      </w:r>
      <w:proofErr w:type="gramEnd"/>
      <w:r w:rsidRPr="00287FBF">
        <w:rPr>
          <w:rFonts w:cs="Arial"/>
        </w:rPr>
        <w:t xml:space="preserve"> This decision was profiled in T </w:t>
      </w:r>
      <w:proofErr w:type="spellStart"/>
      <w:r w:rsidRPr="00287FBF">
        <w:rPr>
          <w:rFonts w:cs="Arial"/>
        </w:rPr>
        <w:t>Calma</w:t>
      </w:r>
      <w:proofErr w:type="spellEnd"/>
      <w:r w:rsidRPr="00287FBF">
        <w:rPr>
          <w:rFonts w:cs="Arial"/>
        </w:rPr>
        <w:t xml:space="preserve">, Aboriginal and Torres Strait Islander Social Justice Commissioner, Australian Human Rights Commission, </w:t>
      </w:r>
      <w:r w:rsidRPr="00287FBF">
        <w:rPr>
          <w:rFonts w:cs="Arial"/>
          <w:i/>
        </w:rPr>
        <w:t>Native Title Report 2009</w:t>
      </w:r>
      <w:r w:rsidRPr="00287FBF">
        <w:rPr>
          <w:rFonts w:cs="Arial"/>
        </w:rPr>
        <w:t xml:space="preserve">, (2010), </w:t>
      </w:r>
      <w:proofErr w:type="spellStart"/>
      <w:r w:rsidRPr="00287FBF">
        <w:rPr>
          <w:rFonts w:cs="Arial"/>
        </w:rPr>
        <w:t>pp</w:t>
      </w:r>
      <w:proofErr w:type="spellEnd"/>
      <w:r w:rsidRPr="00287FBF">
        <w:rPr>
          <w:rFonts w:cs="Arial"/>
        </w:rPr>
        <w:t xml:space="preserve"> 31–35. At </w:t>
      </w:r>
      <w:hyperlink r:id="rId1" w:history="1">
        <w:r w:rsidRPr="00287FBF">
          <w:rPr>
            <w:rStyle w:val="Hyperlink"/>
            <w:rFonts w:cs="Arial"/>
            <w:color w:val="auto"/>
          </w:rPr>
          <w:t>http://www.humanrights.gov.au/social_justice/nt_report/ntreport09/index.html</w:t>
        </w:r>
      </w:hyperlink>
      <w:r w:rsidRPr="00287FBF">
        <w:rPr>
          <w:rFonts w:cs="Arial"/>
        </w:rPr>
        <w:t xml:space="preserve"> (viewed 4 January 2013). </w:t>
      </w:r>
    </w:p>
  </w:endnote>
  <w:endnote w:id="5">
    <w:p w:rsidR="00502314" w:rsidRPr="00287FBF" w:rsidRDefault="00502314">
      <w:pPr>
        <w:pStyle w:val="EndnoteText"/>
        <w:rPr>
          <w:rFonts w:cs="Arial"/>
        </w:rPr>
      </w:pPr>
      <w:r w:rsidRPr="00287FBF">
        <w:rPr>
          <w:rStyle w:val="EndnoteReference"/>
          <w:rFonts w:cs="Arial"/>
        </w:rPr>
        <w:endnoteRef/>
      </w:r>
      <w:r w:rsidRPr="00287FBF">
        <w:rPr>
          <w:rFonts w:cs="Arial"/>
        </w:rPr>
        <w:t xml:space="preserve"> </w:t>
      </w:r>
      <w:proofErr w:type="gramStart"/>
      <w:r w:rsidRPr="00287FBF">
        <w:rPr>
          <w:rFonts w:cs="Arial"/>
        </w:rPr>
        <w:t xml:space="preserve">Hon N Roxon, Attorney-General, </w:t>
      </w:r>
      <w:r w:rsidRPr="00287FBF">
        <w:rPr>
          <w:rFonts w:cs="Arial"/>
          <w:i/>
        </w:rPr>
        <w:t>Explanatory Memorandum to the Native Title Amendment Bill 2012</w:t>
      </w:r>
      <w:r w:rsidRPr="00287FBF">
        <w:rPr>
          <w:rFonts w:cs="Arial"/>
        </w:rPr>
        <w:t>, p 20.</w:t>
      </w:r>
      <w:proofErr w:type="gramEnd"/>
    </w:p>
  </w:endnote>
  <w:endnote w:id="6">
    <w:p w:rsidR="00502314" w:rsidRDefault="00502314">
      <w:pPr>
        <w:pStyle w:val="EndnoteText"/>
      </w:pPr>
      <w:r w:rsidRPr="00287FBF">
        <w:rPr>
          <w:rStyle w:val="EndnoteReference"/>
          <w:rFonts w:cs="Arial"/>
        </w:rPr>
        <w:endnoteRef/>
      </w:r>
      <w:r w:rsidRPr="00287FBF">
        <w:rPr>
          <w:rFonts w:cs="Arial"/>
        </w:rPr>
        <w:t xml:space="preserve"> </w:t>
      </w:r>
      <w:proofErr w:type="gramStart"/>
      <w:r w:rsidRPr="00287FBF">
        <w:rPr>
          <w:rFonts w:cs="Arial"/>
        </w:rPr>
        <w:t xml:space="preserve">Hon N Roxon, Attorney-General, </w:t>
      </w:r>
      <w:r w:rsidRPr="00287FBF">
        <w:rPr>
          <w:rFonts w:cs="Arial"/>
          <w:i/>
        </w:rPr>
        <w:t>Explanatory Memorandum to the Native Title Amendment Bill 2012</w:t>
      </w:r>
      <w:r w:rsidRPr="00287FBF">
        <w:rPr>
          <w:rFonts w:cs="Arial"/>
        </w:rPr>
        <w:t xml:space="preserve">, p 22, </w:t>
      </w:r>
      <w:proofErr w:type="spellStart"/>
      <w:r w:rsidRPr="00287FBF">
        <w:rPr>
          <w:rFonts w:cs="Arial"/>
        </w:rPr>
        <w:t>para</w:t>
      </w:r>
      <w:proofErr w:type="spellEnd"/>
      <w:r w:rsidRPr="00287FBF">
        <w:rPr>
          <w:rFonts w:cs="Arial"/>
        </w:rPr>
        <w:t xml:space="preserve"> 97.</w:t>
      </w:r>
      <w:proofErr w:type="gramEnd"/>
    </w:p>
  </w:endnote>
  <w:endnote w:id="7">
    <w:p w:rsidR="00502314" w:rsidRDefault="00502314">
      <w:pPr>
        <w:pStyle w:val="EndnoteText"/>
      </w:pPr>
      <w:r>
        <w:rPr>
          <w:rStyle w:val="EndnoteReference"/>
        </w:rPr>
        <w:endnoteRef/>
      </w:r>
      <w:r>
        <w:t xml:space="preserve"> The House of Representatives Standing Committee on Aboriginal and Torres Strait Islander Affairs Inquiry into the Native Title Amendment Bill 2012 is specifically examining ‘whether a sensible balance has been struck in the Bill between the views of various stakeholders, and/or proposals for future reform of the native title process.’ At </w:t>
      </w:r>
      <w:hyperlink r:id="rId2" w:history="1">
        <w:r w:rsidRPr="00124E6A">
          <w:rPr>
            <w:rStyle w:val="Hyperlink"/>
          </w:rPr>
          <w:t>http://www.aph.gov.au/Parliamentary_Business/Committees/House_of_Representatives_Committees?url=atsia/native%20title%20bill/index.htm</w:t>
        </w:r>
      </w:hyperlink>
      <w:r>
        <w:t xml:space="preserve"> (viewed 4 January 2013).</w:t>
      </w:r>
    </w:p>
  </w:endnote>
  <w:endnote w:id="8">
    <w:p w:rsidR="00EA6305" w:rsidRPr="000A4772" w:rsidRDefault="00EA6305" w:rsidP="00EA6305">
      <w:pPr>
        <w:pStyle w:val="EndnoteText"/>
      </w:pPr>
      <w:r>
        <w:rPr>
          <w:rStyle w:val="EndnoteReference"/>
        </w:rPr>
        <w:endnoteRef/>
      </w:r>
      <w:r>
        <w:t xml:space="preserve"> M Gooda, Aboriginal and Torres Strait Islander Social Justice Commissioner, Australian Human Rights Commission, </w:t>
      </w:r>
      <w:r>
        <w:rPr>
          <w:i/>
        </w:rPr>
        <w:t>Native Title Report 2012</w:t>
      </w:r>
      <w:r>
        <w:t xml:space="preserve"> (2012), p 14. At </w:t>
      </w:r>
      <w:hyperlink r:id="rId3" w:history="1">
        <w:r w:rsidRPr="0045308C">
          <w:rPr>
            <w:rStyle w:val="Hyperlink"/>
          </w:rPr>
          <w:t>http://www.humanrights.gov.au/social_justice/nt_report/ntreport12/index.html</w:t>
        </w:r>
      </w:hyperlink>
      <w:r>
        <w:t xml:space="preserve"> (viewed 10 January 2013).</w:t>
      </w:r>
    </w:p>
  </w:endnote>
  <w:endnote w:id="9">
    <w:p w:rsidR="00EA6305" w:rsidRDefault="00EA6305" w:rsidP="00EA6305">
      <w:pPr>
        <w:pStyle w:val="EndnoteText"/>
      </w:pPr>
      <w:r>
        <w:rPr>
          <w:rStyle w:val="EndnoteReference"/>
        </w:rPr>
        <w:endnoteRef/>
      </w:r>
      <w:r>
        <w:t xml:space="preserve"> T </w:t>
      </w:r>
      <w:proofErr w:type="spellStart"/>
      <w:r>
        <w:t>Calma</w:t>
      </w:r>
      <w:proofErr w:type="spellEnd"/>
      <w:r>
        <w:t xml:space="preserve">, Aboriginal and Torres Strait Islander Social Justice Commissioner, Australian Human Rights Commission, </w:t>
      </w:r>
      <w:r>
        <w:rPr>
          <w:i/>
        </w:rPr>
        <w:t>Native Title Report 2009</w:t>
      </w:r>
      <w:r>
        <w:t xml:space="preserve"> (2009), p xv. At </w:t>
      </w:r>
      <w:hyperlink r:id="rId4" w:history="1">
        <w:r w:rsidRPr="00191050">
          <w:rPr>
            <w:rStyle w:val="Hyperlink"/>
          </w:rPr>
          <w:t>http://www.humanrights.gov.au/social_justice/nt_report/ntreport09/index.html</w:t>
        </w:r>
      </w:hyperlink>
      <w:r>
        <w:t xml:space="preserve"> (viewed 15 January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Pr="0090165F" w:rsidRDefault="00502314"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Pr="004A187B" w:rsidRDefault="009A03F7"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502314" w:rsidRPr="0003606D" w:rsidRDefault="00502314" w:rsidP="0003606D">
                          <w:pPr>
                            <w:pStyle w:val="coveraddresses"/>
                          </w:pPr>
                          <w:r w:rsidRPr="0003606D">
                            <w:t>ABN 47 996 232 602</w:t>
                          </w:r>
                        </w:p>
                        <w:p w:rsidR="00502314" w:rsidRPr="0003606D" w:rsidRDefault="00502314" w:rsidP="0003606D">
                          <w:pPr>
                            <w:pStyle w:val="coveraddresses"/>
                          </w:pPr>
                          <w:r w:rsidRPr="0003606D">
                            <w:t>Level 3, 175 Pitt Street, Sydney NSW 2000</w:t>
                          </w:r>
                        </w:p>
                        <w:p w:rsidR="00502314" w:rsidRPr="0003606D" w:rsidRDefault="00502314" w:rsidP="0003606D">
                          <w:pPr>
                            <w:pStyle w:val="coveraddresses"/>
                          </w:pPr>
                          <w:r w:rsidRPr="0003606D">
                            <w:t>GPO Box 5218, Sydney NSW 2001</w:t>
                          </w:r>
                        </w:p>
                        <w:p w:rsidR="00502314" w:rsidRPr="0003606D" w:rsidRDefault="00502314" w:rsidP="0003606D">
                          <w:pPr>
                            <w:pStyle w:val="coveraddresses"/>
                          </w:pPr>
                          <w:r w:rsidRPr="0003606D">
                            <w:t>General enquiries 1300 369 711</w:t>
                          </w:r>
                        </w:p>
                        <w:p w:rsidR="00502314" w:rsidRPr="0003606D" w:rsidRDefault="00502314" w:rsidP="0003606D">
                          <w:pPr>
                            <w:pStyle w:val="coveraddresses"/>
                          </w:pPr>
                          <w:r w:rsidRPr="0003606D">
                            <w:t>Complaints info line 1300 656 419</w:t>
                          </w:r>
                        </w:p>
                        <w:p w:rsidR="00502314" w:rsidRPr="0003606D" w:rsidRDefault="00502314" w:rsidP="0003606D">
                          <w:pPr>
                            <w:pStyle w:val="coveraddresses"/>
                          </w:pPr>
                          <w:r w:rsidRPr="0003606D">
                            <w:t>TTY 1800 620 241</w:t>
                          </w:r>
                        </w:p>
                        <w:p w:rsidR="00502314" w:rsidRPr="00B63D24" w:rsidRDefault="00502314"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502314" w:rsidRPr="0003606D" w:rsidRDefault="00502314" w:rsidP="0003606D">
                    <w:pPr>
                      <w:pStyle w:val="coveraddresses"/>
                    </w:pPr>
                    <w:r w:rsidRPr="0003606D">
                      <w:t>ABN 47 996 232 602</w:t>
                    </w:r>
                  </w:p>
                  <w:p w:rsidR="00502314" w:rsidRPr="0003606D" w:rsidRDefault="00502314" w:rsidP="0003606D">
                    <w:pPr>
                      <w:pStyle w:val="coveraddresses"/>
                    </w:pPr>
                    <w:r w:rsidRPr="0003606D">
                      <w:t>Level 3, 175 Pitt Street, Sydney NSW 2000</w:t>
                    </w:r>
                  </w:p>
                  <w:p w:rsidR="00502314" w:rsidRPr="0003606D" w:rsidRDefault="00502314" w:rsidP="0003606D">
                    <w:pPr>
                      <w:pStyle w:val="coveraddresses"/>
                    </w:pPr>
                    <w:r w:rsidRPr="0003606D">
                      <w:t>GPO Box 5218, Sydney NSW 2001</w:t>
                    </w:r>
                  </w:p>
                  <w:p w:rsidR="00502314" w:rsidRPr="0003606D" w:rsidRDefault="00502314" w:rsidP="0003606D">
                    <w:pPr>
                      <w:pStyle w:val="coveraddresses"/>
                    </w:pPr>
                    <w:r w:rsidRPr="0003606D">
                      <w:t>General enquiries 1300 369 711</w:t>
                    </w:r>
                  </w:p>
                  <w:p w:rsidR="00502314" w:rsidRPr="0003606D" w:rsidRDefault="00502314" w:rsidP="0003606D">
                    <w:pPr>
                      <w:pStyle w:val="coveraddresses"/>
                    </w:pPr>
                    <w:r w:rsidRPr="0003606D">
                      <w:t>Complaints info line 1300 656 419</w:t>
                    </w:r>
                  </w:p>
                  <w:p w:rsidR="00502314" w:rsidRPr="0003606D" w:rsidRDefault="00502314" w:rsidP="0003606D">
                    <w:pPr>
                      <w:pStyle w:val="coveraddresses"/>
                    </w:pPr>
                    <w:r w:rsidRPr="0003606D">
                      <w:t>TTY 1800 620 241</w:t>
                    </w:r>
                  </w:p>
                  <w:p w:rsidR="00502314" w:rsidRPr="00B63D24" w:rsidRDefault="00502314"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Pr="0090165F" w:rsidRDefault="00502314"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6E52E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14" w:rsidRDefault="00502314" w:rsidP="00F14C6D">
      <w:r>
        <w:separator/>
      </w:r>
    </w:p>
  </w:footnote>
  <w:footnote w:type="continuationSeparator" w:id="0">
    <w:p w:rsidR="00502314" w:rsidRDefault="0050231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Default="006E52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Pr="00D27262" w:rsidRDefault="006E52E4"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502314" w:rsidRPr="00D27262">
      <w:rPr>
        <w:sz w:val="22"/>
        <w:szCs w:val="22"/>
      </w:rPr>
      <w:t>Au</w:t>
    </w:r>
    <w:r w:rsidR="00502314">
      <w:rPr>
        <w:sz w:val="22"/>
        <w:szCs w:val="22"/>
      </w:rPr>
      <w:t>stralian Human Rights Commission</w:t>
    </w:r>
  </w:p>
  <w:p w:rsidR="00502314" w:rsidRDefault="00502314"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02314" w:rsidRPr="00B85DD4" w:rsidTr="00165E3C">
      <w:trPr>
        <w:trHeight w:val="1276"/>
      </w:trPr>
      <w:tc>
        <w:tcPr>
          <w:tcW w:w="1508" w:type="dxa"/>
        </w:tcPr>
        <w:p w:rsidR="00502314" w:rsidRPr="00B85DD4" w:rsidRDefault="006E52E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502314" w:rsidRPr="00B85DD4" w:rsidRDefault="00502314" w:rsidP="002B1B65">
          <w:pPr>
            <w:spacing w:before="0" w:after="0"/>
            <w:rPr>
              <w:rFonts w:cs="ArialMT"/>
              <w:i/>
              <w:color w:val="808080"/>
              <w:sz w:val="17"/>
            </w:rPr>
          </w:pPr>
        </w:p>
      </w:tc>
      <w:tc>
        <w:tcPr>
          <w:tcW w:w="2302" w:type="dxa"/>
        </w:tcPr>
        <w:p w:rsidR="00502314" w:rsidRPr="00B85DD4" w:rsidRDefault="00502314" w:rsidP="00B520BC">
          <w:pPr>
            <w:pStyle w:val="HeaderFooter"/>
            <w:rPr>
              <w:b/>
              <w:spacing w:val="-20"/>
              <w:sz w:val="40"/>
            </w:rPr>
          </w:pPr>
        </w:p>
      </w:tc>
      <w:tc>
        <w:tcPr>
          <w:tcW w:w="2130" w:type="dxa"/>
        </w:tcPr>
        <w:p w:rsidR="00502314" w:rsidRPr="00B85DD4" w:rsidRDefault="00502314" w:rsidP="00B520BC">
          <w:pPr>
            <w:pStyle w:val="HeaderFooter"/>
            <w:rPr>
              <w:b/>
              <w:spacing w:val="-20"/>
              <w:sz w:val="40"/>
            </w:rPr>
          </w:pPr>
        </w:p>
      </w:tc>
      <w:tc>
        <w:tcPr>
          <w:tcW w:w="1721" w:type="dxa"/>
        </w:tcPr>
        <w:p w:rsidR="00502314" w:rsidRPr="00B85DD4" w:rsidRDefault="00502314" w:rsidP="00B520BC">
          <w:pPr>
            <w:pStyle w:val="HeaderFooter"/>
            <w:spacing w:before="227" w:after="340"/>
            <w:rPr>
              <w:b/>
              <w:spacing w:val="-20"/>
              <w:sz w:val="40"/>
            </w:rPr>
          </w:pPr>
        </w:p>
      </w:tc>
    </w:tr>
  </w:tbl>
  <w:p w:rsidR="00502314" w:rsidRDefault="00502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Default="006E52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4" w:rsidRPr="00D27262" w:rsidRDefault="00502314" w:rsidP="00B34946">
    <w:pPr>
      <w:spacing w:before="0" w:after="60"/>
      <w:jc w:val="right"/>
      <w:rPr>
        <w:sz w:val="22"/>
        <w:szCs w:val="22"/>
      </w:rPr>
    </w:pPr>
    <w:r w:rsidRPr="00D27262">
      <w:rPr>
        <w:sz w:val="22"/>
        <w:szCs w:val="22"/>
      </w:rPr>
      <w:t>Au</w:t>
    </w:r>
    <w:r>
      <w:rPr>
        <w:sz w:val="22"/>
        <w:szCs w:val="22"/>
      </w:rPr>
      <w:t>stralian Human Rights Commission</w:t>
    </w:r>
  </w:p>
  <w:p w:rsidR="00502314" w:rsidRPr="00D729AD" w:rsidRDefault="00502314" w:rsidP="002F4CE1">
    <w:pPr>
      <w:pStyle w:val="Footer"/>
      <w:spacing w:after="240"/>
      <w:jc w:val="right"/>
      <w:rPr>
        <w:i/>
        <w:szCs w:val="18"/>
      </w:rPr>
    </w:pPr>
    <w:r>
      <w:rPr>
        <w:b/>
        <w:i/>
        <w:szCs w:val="18"/>
      </w:rPr>
      <w:t>Native Title Amendment Bill</w:t>
    </w:r>
    <w:r w:rsidR="003D0629">
      <w:rPr>
        <w:i/>
        <w:szCs w:val="18"/>
      </w:rPr>
      <w:t xml:space="preserve"> – 25</w:t>
    </w:r>
    <w:r>
      <w:rPr>
        <w:i/>
        <w:szCs w:val="18"/>
      </w:rPr>
      <w:t xml:space="preserve"> January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02314" w:rsidRPr="00B85DD4" w:rsidTr="002B1B65">
      <w:trPr>
        <w:trHeight w:val="1603"/>
      </w:trPr>
      <w:tc>
        <w:tcPr>
          <w:tcW w:w="1508" w:type="dxa"/>
        </w:tcPr>
        <w:p w:rsidR="00502314" w:rsidRPr="00B85DD4" w:rsidRDefault="006E52E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9A03F7">
            <w:rPr>
              <w:rFonts w:cs="ArialMT"/>
              <w:b/>
              <w:noProof/>
              <w:spacing w:val="-20"/>
            </w:rPr>
            <w:drawing>
              <wp:inline distT="0" distB="0" distL="0" distR="0">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502314" w:rsidRPr="00D36BB2" w:rsidRDefault="00502314" w:rsidP="002B1B65">
          <w:pPr>
            <w:pStyle w:val="LogoType"/>
            <w:pBdr>
              <w:bottom w:val="single" w:sz="4" w:space="1" w:color="808080"/>
            </w:pBdr>
            <w:spacing w:line="240" w:lineRule="auto"/>
          </w:pPr>
          <w:r w:rsidRPr="00D36BB2">
            <w:t>Australian</w:t>
          </w:r>
        </w:p>
        <w:p w:rsidR="00502314" w:rsidRPr="00D36BB2" w:rsidRDefault="00502314" w:rsidP="002B1B65">
          <w:pPr>
            <w:pStyle w:val="LogoType"/>
            <w:pBdr>
              <w:bottom w:val="single" w:sz="4" w:space="1" w:color="808080"/>
            </w:pBdr>
            <w:spacing w:line="240" w:lineRule="auto"/>
          </w:pPr>
          <w:r w:rsidRPr="00D36BB2">
            <w:t>Human Rights</w:t>
          </w:r>
        </w:p>
        <w:p w:rsidR="00502314" w:rsidRPr="00D36BB2" w:rsidRDefault="00502314" w:rsidP="002B1B65">
          <w:pPr>
            <w:pStyle w:val="LogoType"/>
            <w:pBdr>
              <w:bottom w:val="single" w:sz="4" w:space="1" w:color="808080"/>
            </w:pBdr>
            <w:spacing w:line="240" w:lineRule="auto"/>
          </w:pPr>
          <w:r w:rsidRPr="00D36BB2">
            <w:t>Commission</w:t>
          </w:r>
        </w:p>
        <w:p w:rsidR="00502314" w:rsidRPr="00B85DD4" w:rsidRDefault="00502314"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502314" w:rsidRPr="00B85DD4" w:rsidRDefault="00502314" w:rsidP="00B520BC">
          <w:pPr>
            <w:pStyle w:val="HeaderFooter"/>
            <w:rPr>
              <w:b/>
              <w:spacing w:val="-20"/>
              <w:sz w:val="40"/>
            </w:rPr>
          </w:pPr>
        </w:p>
      </w:tc>
      <w:tc>
        <w:tcPr>
          <w:tcW w:w="2130" w:type="dxa"/>
        </w:tcPr>
        <w:p w:rsidR="00502314" w:rsidRPr="00B85DD4" w:rsidRDefault="00502314" w:rsidP="00B520BC">
          <w:pPr>
            <w:pStyle w:val="HeaderFooter"/>
            <w:rPr>
              <w:b/>
              <w:spacing w:val="-20"/>
              <w:sz w:val="40"/>
            </w:rPr>
          </w:pPr>
        </w:p>
      </w:tc>
      <w:tc>
        <w:tcPr>
          <w:tcW w:w="1721" w:type="dxa"/>
        </w:tcPr>
        <w:p w:rsidR="00502314" w:rsidRPr="00B85DD4" w:rsidRDefault="00502314" w:rsidP="00B520BC">
          <w:pPr>
            <w:pStyle w:val="HeaderFooter"/>
            <w:spacing w:before="227" w:after="340"/>
            <w:rPr>
              <w:b/>
              <w:spacing w:val="-20"/>
              <w:sz w:val="40"/>
            </w:rPr>
          </w:pPr>
        </w:p>
      </w:tc>
    </w:tr>
  </w:tbl>
  <w:p w:rsidR="00502314" w:rsidRDefault="00502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6882B6F8"/>
    <w:lvl w:ilvl="0">
      <w:start w:val="1"/>
      <w:numFmt w:val="decimal"/>
      <w:lvlText w:val="%1"/>
      <w:lvlJc w:val="left"/>
      <w:pPr>
        <w:tabs>
          <w:tab w:val="num" w:pos="993"/>
        </w:tabs>
        <w:ind w:left="993" w:hanging="851"/>
      </w:pPr>
      <w:rPr>
        <w:rFonts w:hint="default"/>
        <w:b/>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0233AA7"/>
    <w:multiLevelType w:val="multilevel"/>
    <w:tmpl w:val="B5B8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421162"/>
    <w:multiLevelType w:val="hybridMultilevel"/>
    <w:tmpl w:val="24068652"/>
    <w:lvl w:ilvl="0" w:tplc="0C09001B">
      <w:start w:val="1"/>
      <w:numFmt w:val="lowerRoman"/>
      <w:lvlText w:val="%1."/>
      <w:lvlJc w:val="right"/>
      <w:pPr>
        <w:tabs>
          <w:tab w:val="num" w:pos="2160"/>
        </w:tabs>
        <w:ind w:left="2160" w:hanging="18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CB237C"/>
    <w:multiLevelType w:val="hybridMultilevel"/>
    <w:tmpl w:val="231A0EDA"/>
    <w:lvl w:ilvl="0" w:tplc="A32EC982">
      <w:start w:val="1"/>
      <w:numFmt w:val="decimal"/>
      <w:pStyle w:val="SubmissionNor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D1F0297"/>
    <w:multiLevelType w:val="multilevel"/>
    <w:tmpl w:val="B3B01F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hAnsi="Arial" w:cs="Arial" w:hint="default"/>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353FB5"/>
    <w:multiLevelType w:val="hybridMultilevel"/>
    <w:tmpl w:val="6DEA2E02"/>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9FF7A73"/>
    <w:multiLevelType w:val="multilevel"/>
    <w:tmpl w:val="5AEEDA9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7FA3A29"/>
    <w:multiLevelType w:val="hybridMultilevel"/>
    <w:tmpl w:val="BADABCDE"/>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00C5AB9"/>
    <w:multiLevelType w:val="hybridMultilevel"/>
    <w:tmpl w:val="24068652"/>
    <w:lvl w:ilvl="0" w:tplc="0C09001B">
      <w:start w:val="1"/>
      <w:numFmt w:val="lowerRoman"/>
      <w:lvlText w:val="%1."/>
      <w:lvlJc w:val="right"/>
      <w:pPr>
        <w:tabs>
          <w:tab w:val="num" w:pos="2160"/>
        </w:tabs>
        <w:ind w:left="2160" w:hanging="18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6"/>
  </w:num>
  <w:num w:numId="14">
    <w:abstractNumId w:val="14"/>
  </w:num>
  <w:num w:numId="15">
    <w:abstractNumId w:val="13"/>
  </w:num>
  <w:num w:numId="16">
    <w:abstractNumId w:val="10"/>
  </w:num>
  <w:num w:numId="17">
    <w:abstractNumId w:val="13"/>
  </w:num>
  <w:num w:numId="18">
    <w:abstractNumId w:val="20"/>
  </w:num>
  <w:num w:numId="19">
    <w:abstractNumId w:val="17"/>
  </w:num>
  <w:num w:numId="20">
    <w:abstractNumId w:val="13"/>
  </w:num>
  <w:num w:numId="21">
    <w:abstractNumId w:val="13"/>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5"/>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8"/>
  </w:num>
  <w:num w:numId="40">
    <w:abstractNumId w:val="13"/>
  </w:num>
  <w:num w:numId="41">
    <w:abstractNumId w:val="13"/>
  </w:num>
  <w:num w:numId="42">
    <w:abstractNumId w:val="18"/>
  </w:num>
  <w:num w:numId="43">
    <w:abstractNumId w:val="13"/>
  </w:num>
  <w:num w:numId="44">
    <w:abstractNumId w:val="13"/>
  </w:num>
  <w:num w:numId="45">
    <w:abstractNumId w:val="21"/>
  </w:num>
  <w:num w:numId="46">
    <w:abstractNumId w:val="13"/>
  </w:num>
  <w:num w:numId="47">
    <w:abstractNumId w:val="12"/>
  </w:num>
  <w:num w:numId="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97"/>
    <w:rsid w:val="000008CF"/>
    <w:rsid w:val="00004FCB"/>
    <w:rsid w:val="00013CF7"/>
    <w:rsid w:val="0003230D"/>
    <w:rsid w:val="0003606D"/>
    <w:rsid w:val="00050C11"/>
    <w:rsid w:val="0005104E"/>
    <w:rsid w:val="000579B1"/>
    <w:rsid w:val="0006669F"/>
    <w:rsid w:val="00072D2F"/>
    <w:rsid w:val="00073D5B"/>
    <w:rsid w:val="00074312"/>
    <w:rsid w:val="00081B97"/>
    <w:rsid w:val="00086060"/>
    <w:rsid w:val="00095096"/>
    <w:rsid w:val="000A1523"/>
    <w:rsid w:val="000A1DB8"/>
    <w:rsid w:val="000A48AC"/>
    <w:rsid w:val="000B0A5D"/>
    <w:rsid w:val="000B23B2"/>
    <w:rsid w:val="000B4B80"/>
    <w:rsid w:val="000C73F8"/>
    <w:rsid w:val="000D2D9C"/>
    <w:rsid w:val="000D4F67"/>
    <w:rsid w:val="000D55C0"/>
    <w:rsid w:val="000E120E"/>
    <w:rsid w:val="000E130A"/>
    <w:rsid w:val="00117D36"/>
    <w:rsid w:val="00121022"/>
    <w:rsid w:val="00126E61"/>
    <w:rsid w:val="00132622"/>
    <w:rsid w:val="00132C1D"/>
    <w:rsid w:val="00134774"/>
    <w:rsid w:val="00140274"/>
    <w:rsid w:val="001449AE"/>
    <w:rsid w:val="00151263"/>
    <w:rsid w:val="00162A8D"/>
    <w:rsid w:val="00165E3C"/>
    <w:rsid w:val="00173FB5"/>
    <w:rsid w:val="00182521"/>
    <w:rsid w:val="001873D6"/>
    <w:rsid w:val="0019189E"/>
    <w:rsid w:val="00195878"/>
    <w:rsid w:val="001A3CD8"/>
    <w:rsid w:val="001B0353"/>
    <w:rsid w:val="001B2644"/>
    <w:rsid w:val="001B55A4"/>
    <w:rsid w:val="001C1930"/>
    <w:rsid w:val="001C1F8B"/>
    <w:rsid w:val="001C2601"/>
    <w:rsid w:val="001D730D"/>
    <w:rsid w:val="001F08A6"/>
    <w:rsid w:val="001F2BBB"/>
    <w:rsid w:val="001F6024"/>
    <w:rsid w:val="001F6736"/>
    <w:rsid w:val="001F7668"/>
    <w:rsid w:val="00200677"/>
    <w:rsid w:val="00204AC5"/>
    <w:rsid w:val="002125E2"/>
    <w:rsid w:val="00215B76"/>
    <w:rsid w:val="00225173"/>
    <w:rsid w:val="00227B68"/>
    <w:rsid w:val="00231ED1"/>
    <w:rsid w:val="002353A4"/>
    <w:rsid w:val="00242624"/>
    <w:rsid w:val="0024557E"/>
    <w:rsid w:val="002508B8"/>
    <w:rsid w:val="00250E9C"/>
    <w:rsid w:val="00250EF4"/>
    <w:rsid w:val="00262428"/>
    <w:rsid w:val="002705E8"/>
    <w:rsid w:val="00277A22"/>
    <w:rsid w:val="00281670"/>
    <w:rsid w:val="002827E6"/>
    <w:rsid w:val="002863D7"/>
    <w:rsid w:val="00287FBF"/>
    <w:rsid w:val="00294404"/>
    <w:rsid w:val="002A4521"/>
    <w:rsid w:val="002A58F4"/>
    <w:rsid w:val="002B1B65"/>
    <w:rsid w:val="002B3ECD"/>
    <w:rsid w:val="002C1866"/>
    <w:rsid w:val="002D0822"/>
    <w:rsid w:val="002D1B8E"/>
    <w:rsid w:val="002D2ED5"/>
    <w:rsid w:val="002D61B5"/>
    <w:rsid w:val="002F04CC"/>
    <w:rsid w:val="002F0959"/>
    <w:rsid w:val="002F4CE1"/>
    <w:rsid w:val="00300F22"/>
    <w:rsid w:val="00303079"/>
    <w:rsid w:val="00304A37"/>
    <w:rsid w:val="00310ED4"/>
    <w:rsid w:val="00312301"/>
    <w:rsid w:val="0031492A"/>
    <w:rsid w:val="00316920"/>
    <w:rsid w:val="00316C1A"/>
    <w:rsid w:val="0032093B"/>
    <w:rsid w:val="00323C73"/>
    <w:rsid w:val="00331141"/>
    <w:rsid w:val="003332C9"/>
    <w:rsid w:val="00344758"/>
    <w:rsid w:val="00345594"/>
    <w:rsid w:val="00347142"/>
    <w:rsid w:val="003565A8"/>
    <w:rsid w:val="003566EA"/>
    <w:rsid w:val="00372C79"/>
    <w:rsid w:val="0037723C"/>
    <w:rsid w:val="003804CF"/>
    <w:rsid w:val="00381C1E"/>
    <w:rsid w:val="00382FD3"/>
    <w:rsid w:val="003966D6"/>
    <w:rsid w:val="003A3DAB"/>
    <w:rsid w:val="003A4823"/>
    <w:rsid w:val="003B2B7E"/>
    <w:rsid w:val="003C438A"/>
    <w:rsid w:val="003C7AD9"/>
    <w:rsid w:val="003D0629"/>
    <w:rsid w:val="003D136F"/>
    <w:rsid w:val="003D60D3"/>
    <w:rsid w:val="003E7769"/>
    <w:rsid w:val="004034C5"/>
    <w:rsid w:val="00406F11"/>
    <w:rsid w:val="00414F2F"/>
    <w:rsid w:val="0041627D"/>
    <w:rsid w:val="00422417"/>
    <w:rsid w:val="00424233"/>
    <w:rsid w:val="0043042B"/>
    <w:rsid w:val="004450F2"/>
    <w:rsid w:val="00453B44"/>
    <w:rsid w:val="0046226B"/>
    <w:rsid w:val="004659A3"/>
    <w:rsid w:val="004662DB"/>
    <w:rsid w:val="00472EFF"/>
    <w:rsid w:val="00474063"/>
    <w:rsid w:val="00474D98"/>
    <w:rsid w:val="00476793"/>
    <w:rsid w:val="004921C6"/>
    <w:rsid w:val="004A187B"/>
    <w:rsid w:val="004A2D3C"/>
    <w:rsid w:val="004B7525"/>
    <w:rsid w:val="004C7412"/>
    <w:rsid w:val="004D04BF"/>
    <w:rsid w:val="004E0D05"/>
    <w:rsid w:val="004E0DFF"/>
    <w:rsid w:val="004E6C2B"/>
    <w:rsid w:val="004F1C7C"/>
    <w:rsid w:val="004F2E2F"/>
    <w:rsid w:val="00502314"/>
    <w:rsid w:val="005123F0"/>
    <w:rsid w:val="00513540"/>
    <w:rsid w:val="00513941"/>
    <w:rsid w:val="005204E1"/>
    <w:rsid w:val="00520B61"/>
    <w:rsid w:val="0053051D"/>
    <w:rsid w:val="005333E3"/>
    <w:rsid w:val="00564208"/>
    <w:rsid w:val="00571B2B"/>
    <w:rsid w:val="00571CEB"/>
    <w:rsid w:val="00575EDF"/>
    <w:rsid w:val="00591951"/>
    <w:rsid w:val="00593AB1"/>
    <w:rsid w:val="005A7B63"/>
    <w:rsid w:val="005B63E9"/>
    <w:rsid w:val="005B6BC9"/>
    <w:rsid w:val="005C4B7A"/>
    <w:rsid w:val="005C5D41"/>
    <w:rsid w:val="005C61EA"/>
    <w:rsid w:val="005D1F34"/>
    <w:rsid w:val="005D383D"/>
    <w:rsid w:val="005D4F55"/>
    <w:rsid w:val="005D5CCD"/>
    <w:rsid w:val="005E3DAA"/>
    <w:rsid w:val="005E5251"/>
    <w:rsid w:val="00604BE4"/>
    <w:rsid w:val="00633997"/>
    <w:rsid w:val="006339A8"/>
    <w:rsid w:val="00641D9A"/>
    <w:rsid w:val="00654793"/>
    <w:rsid w:val="00666919"/>
    <w:rsid w:val="00670C81"/>
    <w:rsid w:val="00670EED"/>
    <w:rsid w:val="00673A1B"/>
    <w:rsid w:val="00683B93"/>
    <w:rsid w:val="006900FE"/>
    <w:rsid w:val="006A01A6"/>
    <w:rsid w:val="006A59D3"/>
    <w:rsid w:val="006A6BB3"/>
    <w:rsid w:val="006D3F12"/>
    <w:rsid w:val="006D506C"/>
    <w:rsid w:val="006D5EE5"/>
    <w:rsid w:val="006E083A"/>
    <w:rsid w:val="006E52E4"/>
    <w:rsid w:val="006E5BE1"/>
    <w:rsid w:val="006E7660"/>
    <w:rsid w:val="006F349A"/>
    <w:rsid w:val="006F529D"/>
    <w:rsid w:val="006F5811"/>
    <w:rsid w:val="006F72E1"/>
    <w:rsid w:val="00704324"/>
    <w:rsid w:val="00716DD7"/>
    <w:rsid w:val="0073756B"/>
    <w:rsid w:val="00743727"/>
    <w:rsid w:val="007540BF"/>
    <w:rsid w:val="00761120"/>
    <w:rsid w:val="0076506B"/>
    <w:rsid w:val="00770DCB"/>
    <w:rsid w:val="00775485"/>
    <w:rsid w:val="0078433E"/>
    <w:rsid w:val="007B0D8D"/>
    <w:rsid w:val="007B340E"/>
    <w:rsid w:val="007C2B35"/>
    <w:rsid w:val="007C35DD"/>
    <w:rsid w:val="007E5B88"/>
    <w:rsid w:val="007F0D0B"/>
    <w:rsid w:val="007F5437"/>
    <w:rsid w:val="007F5F05"/>
    <w:rsid w:val="008007A8"/>
    <w:rsid w:val="00801C89"/>
    <w:rsid w:val="008042D9"/>
    <w:rsid w:val="008061D5"/>
    <w:rsid w:val="00814FC0"/>
    <w:rsid w:val="00821D66"/>
    <w:rsid w:val="008261E9"/>
    <w:rsid w:val="00826BFF"/>
    <w:rsid w:val="008335FE"/>
    <w:rsid w:val="00851A5E"/>
    <w:rsid w:val="00853EA3"/>
    <w:rsid w:val="008547E4"/>
    <w:rsid w:val="0085662D"/>
    <w:rsid w:val="00860670"/>
    <w:rsid w:val="0086395C"/>
    <w:rsid w:val="0086694A"/>
    <w:rsid w:val="008724DE"/>
    <w:rsid w:val="00874205"/>
    <w:rsid w:val="008A08F3"/>
    <w:rsid w:val="008A3D57"/>
    <w:rsid w:val="008B23BC"/>
    <w:rsid w:val="008B2657"/>
    <w:rsid w:val="008D0F91"/>
    <w:rsid w:val="008D0FC3"/>
    <w:rsid w:val="008D14E6"/>
    <w:rsid w:val="008D350B"/>
    <w:rsid w:val="008E3D60"/>
    <w:rsid w:val="008E3F4C"/>
    <w:rsid w:val="008E7476"/>
    <w:rsid w:val="008F6B7B"/>
    <w:rsid w:val="0090165F"/>
    <w:rsid w:val="00901B82"/>
    <w:rsid w:val="00912B09"/>
    <w:rsid w:val="00931487"/>
    <w:rsid w:val="009333D3"/>
    <w:rsid w:val="00945290"/>
    <w:rsid w:val="00950CC9"/>
    <w:rsid w:val="00953C67"/>
    <w:rsid w:val="0095435B"/>
    <w:rsid w:val="0095617D"/>
    <w:rsid w:val="00966C2F"/>
    <w:rsid w:val="0097512B"/>
    <w:rsid w:val="00975CD6"/>
    <w:rsid w:val="0098669D"/>
    <w:rsid w:val="009A03F7"/>
    <w:rsid w:val="009A04CB"/>
    <w:rsid w:val="009D67F6"/>
    <w:rsid w:val="009E0FE1"/>
    <w:rsid w:val="009E4F1E"/>
    <w:rsid w:val="009F7E0E"/>
    <w:rsid w:val="00A0406E"/>
    <w:rsid w:val="00A11307"/>
    <w:rsid w:val="00A13AF3"/>
    <w:rsid w:val="00A21388"/>
    <w:rsid w:val="00A2445C"/>
    <w:rsid w:val="00A25C36"/>
    <w:rsid w:val="00A27791"/>
    <w:rsid w:val="00A41355"/>
    <w:rsid w:val="00A43B92"/>
    <w:rsid w:val="00A45D47"/>
    <w:rsid w:val="00A5243F"/>
    <w:rsid w:val="00A54251"/>
    <w:rsid w:val="00A6179E"/>
    <w:rsid w:val="00A64316"/>
    <w:rsid w:val="00A804D9"/>
    <w:rsid w:val="00A809FD"/>
    <w:rsid w:val="00A92F92"/>
    <w:rsid w:val="00A93846"/>
    <w:rsid w:val="00A9389A"/>
    <w:rsid w:val="00A96892"/>
    <w:rsid w:val="00AA2051"/>
    <w:rsid w:val="00AC50F1"/>
    <w:rsid w:val="00AE4E18"/>
    <w:rsid w:val="00B03249"/>
    <w:rsid w:val="00B10D61"/>
    <w:rsid w:val="00B13484"/>
    <w:rsid w:val="00B13AAD"/>
    <w:rsid w:val="00B149AA"/>
    <w:rsid w:val="00B149E9"/>
    <w:rsid w:val="00B24AC5"/>
    <w:rsid w:val="00B24B1D"/>
    <w:rsid w:val="00B277E0"/>
    <w:rsid w:val="00B32C89"/>
    <w:rsid w:val="00B34946"/>
    <w:rsid w:val="00B36F43"/>
    <w:rsid w:val="00B37921"/>
    <w:rsid w:val="00B4245E"/>
    <w:rsid w:val="00B43BED"/>
    <w:rsid w:val="00B44CFE"/>
    <w:rsid w:val="00B45022"/>
    <w:rsid w:val="00B519FD"/>
    <w:rsid w:val="00B520BC"/>
    <w:rsid w:val="00B63D24"/>
    <w:rsid w:val="00B668BC"/>
    <w:rsid w:val="00B66E53"/>
    <w:rsid w:val="00B924E6"/>
    <w:rsid w:val="00B92EA0"/>
    <w:rsid w:val="00B94C80"/>
    <w:rsid w:val="00BA262D"/>
    <w:rsid w:val="00BA5698"/>
    <w:rsid w:val="00BA5EFA"/>
    <w:rsid w:val="00BA6A44"/>
    <w:rsid w:val="00BC4367"/>
    <w:rsid w:val="00BC79EB"/>
    <w:rsid w:val="00BD1AFF"/>
    <w:rsid w:val="00BD6C93"/>
    <w:rsid w:val="00BD7FCF"/>
    <w:rsid w:val="00BF1973"/>
    <w:rsid w:val="00C06F26"/>
    <w:rsid w:val="00C14B2E"/>
    <w:rsid w:val="00C22EC1"/>
    <w:rsid w:val="00C25BDA"/>
    <w:rsid w:val="00C32E91"/>
    <w:rsid w:val="00C33104"/>
    <w:rsid w:val="00C3691D"/>
    <w:rsid w:val="00C37D50"/>
    <w:rsid w:val="00C423D8"/>
    <w:rsid w:val="00C43B1B"/>
    <w:rsid w:val="00C47642"/>
    <w:rsid w:val="00C5716C"/>
    <w:rsid w:val="00C7635E"/>
    <w:rsid w:val="00C854D4"/>
    <w:rsid w:val="00C8566B"/>
    <w:rsid w:val="00C85C90"/>
    <w:rsid w:val="00C90556"/>
    <w:rsid w:val="00CA0D78"/>
    <w:rsid w:val="00CA4855"/>
    <w:rsid w:val="00CB24FE"/>
    <w:rsid w:val="00CC23AD"/>
    <w:rsid w:val="00CC4949"/>
    <w:rsid w:val="00CC59E2"/>
    <w:rsid w:val="00CD58FD"/>
    <w:rsid w:val="00CE15CD"/>
    <w:rsid w:val="00CF30D6"/>
    <w:rsid w:val="00CF668F"/>
    <w:rsid w:val="00D01386"/>
    <w:rsid w:val="00D014FA"/>
    <w:rsid w:val="00D06513"/>
    <w:rsid w:val="00D15CAC"/>
    <w:rsid w:val="00D22AE7"/>
    <w:rsid w:val="00D30A61"/>
    <w:rsid w:val="00D343FA"/>
    <w:rsid w:val="00D345B8"/>
    <w:rsid w:val="00D3789A"/>
    <w:rsid w:val="00D40795"/>
    <w:rsid w:val="00D418FF"/>
    <w:rsid w:val="00D475D2"/>
    <w:rsid w:val="00D629FD"/>
    <w:rsid w:val="00D65C76"/>
    <w:rsid w:val="00D66688"/>
    <w:rsid w:val="00D70F7B"/>
    <w:rsid w:val="00D729AD"/>
    <w:rsid w:val="00D734C7"/>
    <w:rsid w:val="00D815EA"/>
    <w:rsid w:val="00D82080"/>
    <w:rsid w:val="00D85298"/>
    <w:rsid w:val="00DA2F73"/>
    <w:rsid w:val="00DA6497"/>
    <w:rsid w:val="00DB00A4"/>
    <w:rsid w:val="00DB5FDF"/>
    <w:rsid w:val="00DB754E"/>
    <w:rsid w:val="00DC2C8F"/>
    <w:rsid w:val="00DC462F"/>
    <w:rsid w:val="00DD51EA"/>
    <w:rsid w:val="00DD5B44"/>
    <w:rsid w:val="00DD6A21"/>
    <w:rsid w:val="00DE60CA"/>
    <w:rsid w:val="00DE6607"/>
    <w:rsid w:val="00E04840"/>
    <w:rsid w:val="00E24FA3"/>
    <w:rsid w:val="00E26B28"/>
    <w:rsid w:val="00E31465"/>
    <w:rsid w:val="00E328CD"/>
    <w:rsid w:val="00E34E7D"/>
    <w:rsid w:val="00E36B95"/>
    <w:rsid w:val="00E4003F"/>
    <w:rsid w:val="00E458F6"/>
    <w:rsid w:val="00E45954"/>
    <w:rsid w:val="00E6539B"/>
    <w:rsid w:val="00E87E9E"/>
    <w:rsid w:val="00E951E9"/>
    <w:rsid w:val="00EA11FE"/>
    <w:rsid w:val="00EA44D9"/>
    <w:rsid w:val="00EA5EDA"/>
    <w:rsid w:val="00EA6305"/>
    <w:rsid w:val="00EA6C97"/>
    <w:rsid w:val="00EB1F5E"/>
    <w:rsid w:val="00EB3301"/>
    <w:rsid w:val="00EB4159"/>
    <w:rsid w:val="00EB4C9F"/>
    <w:rsid w:val="00EB6A76"/>
    <w:rsid w:val="00EC083D"/>
    <w:rsid w:val="00EC2C3B"/>
    <w:rsid w:val="00ED06E3"/>
    <w:rsid w:val="00EE210A"/>
    <w:rsid w:val="00EE4192"/>
    <w:rsid w:val="00EF50E6"/>
    <w:rsid w:val="00EF6FB0"/>
    <w:rsid w:val="00F03EF9"/>
    <w:rsid w:val="00F061D5"/>
    <w:rsid w:val="00F1202C"/>
    <w:rsid w:val="00F14C6D"/>
    <w:rsid w:val="00F4377E"/>
    <w:rsid w:val="00F7792A"/>
    <w:rsid w:val="00F92FE6"/>
    <w:rsid w:val="00FA4916"/>
    <w:rsid w:val="00FB7675"/>
    <w:rsid w:val="00FD01B5"/>
    <w:rsid w:val="00FE0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D66688"/>
    <w:pPr>
      <w:tabs>
        <w:tab w:val="right" w:leader="dot" w:pos="9060"/>
      </w:tabs>
      <w:spacing w:before="0" w:after="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semiHidden/>
    <w:locked/>
    <w:rsid w:val="00013CF7"/>
    <w:rPr>
      <w:rFonts w:ascii="Arial" w:eastAsia="MS Mincho" w:hAnsi="Arial"/>
    </w:rPr>
  </w:style>
  <w:style w:type="character" w:styleId="CommentReference">
    <w:name w:val="annotation reference"/>
    <w:basedOn w:val="DefaultParagraphFont"/>
    <w:locked/>
    <w:rsid w:val="005B63E9"/>
    <w:rPr>
      <w:sz w:val="16"/>
      <w:szCs w:val="16"/>
    </w:rPr>
  </w:style>
  <w:style w:type="paragraph" w:styleId="CommentText">
    <w:name w:val="annotation text"/>
    <w:basedOn w:val="Normal"/>
    <w:link w:val="CommentTextChar"/>
    <w:locked/>
    <w:rsid w:val="005B63E9"/>
    <w:rPr>
      <w:sz w:val="20"/>
      <w:szCs w:val="20"/>
    </w:rPr>
  </w:style>
  <w:style w:type="character" w:customStyle="1" w:styleId="CommentTextChar">
    <w:name w:val="Comment Text Char"/>
    <w:basedOn w:val="DefaultParagraphFont"/>
    <w:link w:val="CommentText"/>
    <w:rsid w:val="005B63E9"/>
    <w:rPr>
      <w:rFonts w:ascii="Arial" w:eastAsia="MS Mincho" w:hAnsi="Arial"/>
    </w:rPr>
  </w:style>
  <w:style w:type="paragraph" w:styleId="CommentSubject">
    <w:name w:val="annotation subject"/>
    <w:basedOn w:val="CommentText"/>
    <w:next w:val="CommentText"/>
    <w:link w:val="CommentSubjectChar"/>
    <w:locked/>
    <w:rsid w:val="005B63E9"/>
    <w:rPr>
      <w:b/>
      <w:bCs/>
    </w:rPr>
  </w:style>
  <w:style w:type="character" w:customStyle="1" w:styleId="CommentSubjectChar">
    <w:name w:val="Comment Subject Char"/>
    <w:basedOn w:val="CommentTextChar"/>
    <w:link w:val="CommentSubject"/>
    <w:rsid w:val="005B63E9"/>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D66688"/>
    <w:pPr>
      <w:tabs>
        <w:tab w:val="right" w:leader="dot" w:pos="9060"/>
      </w:tabs>
      <w:spacing w:before="0" w:after="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semiHidden/>
    <w:locked/>
    <w:rsid w:val="00013CF7"/>
    <w:rPr>
      <w:rFonts w:ascii="Arial" w:eastAsia="MS Mincho" w:hAnsi="Arial"/>
    </w:rPr>
  </w:style>
  <w:style w:type="character" w:styleId="CommentReference">
    <w:name w:val="annotation reference"/>
    <w:basedOn w:val="DefaultParagraphFont"/>
    <w:locked/>
    <w:rsid w:val="005B63E9"/>
    <w:rPr>
      <w:sz w:val="16"/>
      <w:szCs w:val="16"/>
    </w:rPr>
  </w:style>
  <w:style w:type="paragraph" w:styleId="CommentText">
    <w:name w:val="annotation text"/>
    <w:basedOn w:val="Normal"/>
    <w:link w:val="CommentTextChar"/>
    <w:locked/>
    <w:rsid w:val="005B63E9"/>
    <w:rPr>
      <w:sz w:val="20"/>
      <w:szCs w:val="20"/>
    </w:rPr>
  </w:style>
  <w:style w:type="character" w:customStyle="1" w:styleId="CommentTextChar">
    <w:name w:val="Comment Text Char"/>
    <w:basedOn w:val="DefaultParagraphFont"/>
    <w:link w:val="CommentText"/>
    <w:rsid w:val="005B63E9"/>
    <w:rPr>
      <w:rFonts w:ascii="Arial" w:eastAsia="MS Mincho" w:hAnsi="Arial"/>
    </w:rPr>
  </w:style>
  <w:style w:type="paragraph" w:styleId="CommentSubject">
    <w:name w:val="annotation subject"/>
    <w:basedOn w:val="CommentText"/>
    <w:next w:val="CommentText"/>
    <w:link w:val="CommentSubjectChar"/>
    <w:locked/>
    <w:rsid w:val="005B63E9"/>
    <w:rPr>
      <w:b/>
      <w:bCs/>
    </w:rPr>
  </w:style>
  <w:style w:type="character" w:customStyle="1" w:styleId="CommentSubjectChar">
    <w:name w:val="Comment Subject Char"/>
    <w:basedOn w:val="CommentTextChar"/>
    <w:link w:val="CommentSubject"/>
    <w:rsid w:val="005B63E9"/>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62095651">
      <w:bodyDiv w:val="1"/>
      <w:marLeft w:val="0"/>
      <w:marRight w:val="0"/>
      <w:marTop w:val="0"/>
      <w:marBottom w:val="0"/>
      <w:divBdr>
        <w:top w:val="none" w:sz="0" w:space="0" w:color="auto"/>
        <w:left w:val="none" w:sz="0" w:space="0" w:color="auto"/>
        <w:bottom w:val="none" w:sz="0" w:space="0" w:color="auto"/>
        <w:right w:val="none" w:sz="0" w:space="0" w:color="auto"/>
      </w:divBdr>
      <w:divsChild>
        <w:div w:id="1576236449">
          <w:marLeft w:val="0"/>
          <w:marRight w:val="0"/>
          <w:marTop w:val="0"/>
          <w:marBottom w:val="0"/>
          <w:divBdr>
            <w:top w:val="none" w:sz="0" w:space="0" w:color="auto"/>
            <w:left w:val="none" w:sz="0" w:space="0" w:color="auto"/>
            <w:bottom w:val="none" w:sz="0" w:space="0" w:color="auto"/>
            <w:right w:val="none" w:sz="0" w:space="0" w:color="auto"/>
          </w:divBdr>
          <w:divsChild>
            <w:div w:id="1235823878">
              <w:marLeft w:val="0"/>
              <w:marRight w:val="0"/>
              <w:marTop w:val="0"/>
              <w:marBottom w:val="0"/>
              <w:divBdr>
                <w:top w:val="none" w:sz="0" w:space="0" w:color="auto"/>
                <w:left w:val="none" w:sz="0" w:space="0" w:color="auto"/>
                <w:bottom w:val="none" w:sz="0" w:space="0" w:color="auto"/>
                <w:right w:val="none" w:sz="0" w:space="0" w:color="auto"/>
              </w:divBdr>
              <w:divsChild>
                <w:div w:id="641077468">
                  <w:marLeft w:val="15"/>
                  <w:marRight w:val="15"/>
                  <w:marTop w:val="0"/>
                  <w:marBottom w:val="0"/>
                  <w:divBdr>
                    <w:top w:val="single" w:sz="6" w:space="0" w:color="FFFFFF"/>
                    <w:left w:val="single" w:sz="6" w:space="0" w:color="FFFFFF"/>
                    <w:bottom w:val="single" w:sz="6" w:space="11" w:color="FFFFFF"/>
                    <w:right w:val="single" w:sz="6" w:space="0" w:color="FFFFFF"/>
                  </w:divBdr>
                  <w:divsChild>
                    <w:div w:id="150751838">
                      <w:marLeft w:val="300"/>
                      <w:marRight w:val="300"/>
                      <w:marTop w:val="300"/>
                      <w:marBottom w:val="0"/>
                      <w:divBdr>
                        <w:top w:val="none" w:sz="0" w:space="0" w:color="auto"/>
                        <w:left w:val="none" w:sz="0" w:space="0" w:color="auto"/>
                        <w:bottom w:val="none" w:sz="0" w:space="0" w:color="auto"/>
                        <w:right w:val="none" w:sz="0" w:space="0" w:color="auto"/>
                      </w:divBdr>
                      <w:divsChild>
                        <w:div w:id="56710805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2016223950">
      <w:bodyDiv w:val="1"/>
      <w:marLeft w:val="0"/>
      <w:marRight w:val="0"/>
      <w:marTop w:val="0"/>
      <w:marBottom w:val="0"/>
      <w:divBdr>
        <w:top w:val="none" w:sz="0" w:space="0" w:color="auto"/>
        <w:left w:val="none" w:sz="0" w:space="0" w:color="auto"/>
        <w:bottom w:val="none" w:sz="0" w:space="0" w:color="auto"/>
        <w:right w:val="none" w:sz="0" w:space="0" w:color="auto"/>
      </w:divBdr>
      <w:divsChild>
        <w:div w:id="2128352514">
          <w:marLeft w:val="0"/>
          <w:marRight w:val="0"/>
          <w:marTop w:val="0"/>
          <w:marBottom w:val="0"/>
          <w:divBdr>
            <w:top w:val="none" w:sz="0" w:space="0" w:color="auto"/>
            <w:left w:val="none" w:sz="0" w:space="0" w:color="auto"/>
            <w:bottom w:val="none" w:sz="0" w:space="0" w:color="auto"/>
            <w:right w:val="none" w:sz="0" w:space="0" w:color="auto"/>
          </w:divBdr>
          <w:divsChild>
            <w:div w:id="286395463">
              <w:marLeft w:val="0"/>
              <w:marRight w:val="0"/>
              <w:marTop w:val="0"/>
              <w:marBottom w:val="0"/>
              <w:divBdr>
                <w:top w:val="none" w:sz="0" w:space="0" w:color="auto"/>
                <w:left w:val="none" w:sz="0" w:space="0" w:color="auto"/>
                <w:bottom w:val="none" w:sz="0" w:space="0" w:color="auto"/>
                <w:right w:val="none" w:sz="0" w:space="0" w:color="auto"/>
              </w:divBdr>
              <w:divsChild>
                <w:div w:id="1122378852">
                  <w:marLeft w:val="15"/>
                  <w:marRight w:val="15"/>
                  <w:marTop w:val="0"/>
                  <w:marBottom w:val="0"/>
                  <w:divBdr>
                    <w:top w:val="single" w:sz="6" w:space="0" w:color="FFFFFF"/>
                    <w:left w:val="single" w:sz="6" w:space="0" w:color="FFFFFF"/>
                    <w:bottom w:val="single" w:sz="6" w:space="11" w:color="FFFFFF"/>
                    <w:right w:val="single" w:sz="6" w:space="0" w:color="FFFFFF"/>
                  </w:divBdr>
                  <w:divsChild>
                    <w:div w:id="508910910">
                      <w:marLeft w:val="300"/>
                      <w:marRight w:val="300"/>
                      <w:marTop w:val="300"/>
                      <w:marBottom w:val="0"/>
                      <w:divBdr>
                        <w:top w:val="none" w:sz="0" w:space="0" w:color="auto"/>
                        <w:left w:val="none" w:sz="0" w:space="0" w:color="auto"/>
                        <w:bottom w:val="none" w:sz="0" w:space="0" w:color="auto"/>
                        <w:right w:val="none" w:sz="0" w:space="0" w:color="auto"/>
                      </w:divBdr>
                      <w:divsChild>
                        <w:div w:id="651131690">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www.humanrights.gov.au/social_justice/nt_report/ntreport12/index.html" TargetMode="External"/><Relationship Id="rId2" Type="http://schemas.openxmlformats.org/officeDocument/2006/relationships/hyperlink" Target="http://www.aph.gov.au/Parliamentary_Business/Committees/House_of_Representatives_Committees?url=atsia/native%20title%20bill/index.htm" TargetMode="External"/><Relationship Id="rId1" Type="http://schemas.openxmlformats.org/officeDocument/2006/relationships/hyperlink" Target="http://www.humanrights.gov.au/social_justice/nt_report/ntreport09/index.html" TargetMode="External"/><Relationship Id="rId4" Type="http://schemas.openxmlformats.org/officeDocument/2006/relationships/hyperlink" Target="http://www.humanrights.gov.au/social_justice/nt_report/ntreport09/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F1E7-F87E-4B85-933B-F1D1E2E6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11</Pages>
  <Words>3003</Words>
  <Characters>17477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20440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Louise Bygrave</dc:creator>
  <cp:lastModifiedBy>Louise Bygrave</cp:lastModifiedBy>
  <cp:revision>74</cp:revision>
  <cp:lastPrinted>2013-01-29T23:04:00Z</cp:lastPrinted>
  <dcterms:created xsi:type="dcterms:W3CDTF">2012-12-11T00:15:00Z</dcterms:created>
  <dcterms:modified xsi:type="dcterms:W3CDTF">2013-01-29T23:04:00Z</dcterms:modified>
</cp:coreProperties>
</file>