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BB52" w14:textId="77777777" w:rsidR="00253AE6" w:rsidRPr="00253AE6" w:rsidRDefault="00253AE6" w:rsidP="00253AE6">
      <w:pPr>
        <w:pStyle w:val="Title"/>
      </w:pPr>
      <w:bookmarkStart w:id="0" w:name="_GoBack"/>
      <w:bookmarkEnd w:id="0"/>
      <w:r w:rsidRPr="00253AE6">
        <w:t>Sydney New Year’s Eve Unit 2014 - 2017 Inclusion (Disability) Action Plan</w:t>
      </w:r>
    </w:p>
    <w:p w14:paraId="7A66134D" w14:textId="77777777" w:rsidR="00253AE6" w:rsidRPr="00C11C2F" w:rsidRDefault="00253AE6" w:rsidP="00253AE6">
      <w:pPr>
        <w:pStyle w:val="Subtitle"/>
        <w:ind w:left="0"/>
        <w:rPr>
          <w:color w:val="005A84"/>
        </w:rPr>
      </w:pPr>
      <w:r w:rsidRPr="00C11C2F">
        <w:rPr>
          <w:color w:val="005A84"/>
        </w:rPr>
        <w:t>April 2014</w:t>
      </w:r>
    </w:p>
    <w:p w14:paraId="4F872DEF" w14:textId="77777777" w:rsidR="00253AE6" w:rsidRPr="00C11C2F" w:rsidRDefault="00253AE6" w:rsidP="00253AE6">
      <w:pPr>
        <w:pStyle w:val="Address"/>
        <w:rPr>
          <w:color w:val="005A84"/>
        </w:rPr>
      </w:pPr>
      <w:r w:rsidRPr="00C11C2F">
        <w:rPr>
          <w:color w:val="005A84"/>
        </w:rPr>
        <w:t>City of Sydney</w:t>
      </w:r>
    </w:p>
    <w:p w14:paraId="3752C360" w14:textId="0FF9FA27" w:rsidR="00253AE6" w:rsidRPr="002A47CB" w:rsidRDefault="00253AE6" w:rsidP="00253AE6">
      <w:pPr>
        <w:pStyle w:val="Address"/>
        <w:rPr>
          <w:color w:val="auto"/>
        </w:rPr>
      </w:pPr>
      <w:r w:rsidRPr="002A47CB">
        <w:rPr>
          <w:color w:val="auto"/>
        </w:rPr>
        <w:t>Town Hall House</w:t>
      </w:r>
    </w:p>
    <w:p w14:paraId="7D1E1270" w14:textId="77777777" w:rsidR="00253AE6" w:rsidRDefault="00253AE6" w:rsidP="00253AE6">
      <w:pPr>
        <w:pStyle w:val="Address"/>
      </w:pPr>
      <w:r>
        <w:t>456 Kent Street</w:t>
      </w:r>
    </w:p>
    <w:p w14:paraId="087D21C4" w14:textId="05B6475B" w:rsidR="00595909" w:rsidRDefault="00253AE6" w:rsidP="00253AE6">
      <w:pPr>
        <w:pStyle w:val="Address"/>
      </w:pPr>
      <w:r>
        <w:t>Sydney NSW 2000</w:t>
      </w:r>
    </w:p>
    <w:p w14:paraId="03FE52DC" w14:textId="77777777" w:rsidR="00253AE6" w:rsidRDefault="00253AE6" w:rsidP="00253AE6">
      <w:pPr>
        <w:pStyle w:val="Address"/>
      </w:pPr>
    </w:p>
    <w:p w14:paraId="4EBD673C" w14:textId="2E3E303C" w:rsidR="00253AE6" w:rsidRDefault="00253AE6" w:rsidP="00253AE6">
      <w:pPr>
        <w:pStyle w:val="Address"/>
        <w:ind w:left="-1814"/>
      </w:pPr>
      <w:r>
        <w:rPr>
          <w:noProof/>
          <w:lang w:eastAsia="en-AU"/>
        </w:rPr>
        <w:drawing>
          <wp:inline distT="0" distB="0" distL="0" distR="0" wp14:anchorId="22CD271E" wp14:editId="5C26958B">
            <wp:extent cx="7610475" cy="5064125"/>
            <wp:effectExtent l="0" t="0" r="9525" b="317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19942" cy="5070424"/>
                    </a:xfrm>
                    <a:prstGeom prst="rect">
                      <a:avLst/>
                    </a:prstGeom>
                    <a:noFill/>
                    <a:ln>
                      <a:noFill/>
                    </a:ln>
                  </pic:spPr>
                </pic:pic>
              </a:graphicData>
            </a:graphic>
          </wp:inline>
        </w:drawing>
      </w:r>
    </w:p>
    <w:p w14:paraId="6DA51724" w14:textId="77777777" w:rsidR="00253AE6" w:rsidRDefault="00253AE6" w:rsidP="00253AE6">
      <w:pPr>
        <w:pStyle w:val="Address"/>
      </w:pPr>
    </w:p>
    <w:p w14:paraId="7175A3A8" w14:textId="77777777" w:rsidR="00253AE6" w:rsidRDefault="00253AE6" w:rsidP="00253AE6">
      <w:pPr>
        <w:pStyle w:val="Address"/>
        <w:ind w:left="-1814"/>
        <w:sectPr w:rsidR="00253AE6" w:rsidSect="002320CE">
          <w:headerReference w:type="default" r:id="rId14"/>
          <w:footerReference w:type="default" r:id="rId15"/>
          <w:pgSz w:w="11906" w:h="16838" w:code="9"/>
          <w:pgMar w:top="567" w:right="1814" w:bottom="1021" w:left="1814" w:header="680" w:footer="567" w:gutter="0"/>
          <w:pgNumType w:start="0"/>
          <w:cols w:space="708"/>
          <w:docGrid w:linePitch="360"/>
        </w:sectPr>
      </w:pPr>
    </w:p>
    <w:p w14:paraId="087D21C5" w14:textId="0E5C16A6" w:rsidR="00595909" w:rsidRPr="001D0AFC" w:rsidRDefault="00C132E5" w:rsidP="001D0AFC">
      <w:pPr>
        <w:pStyle w:val="Heading1"/>
      </w:pPr>
      <w:bookmarkStart w:id="1" w:name="_Toc397589409"/>
      <w:r>
        <w:lastRenderedPageBreak/>
        <w:t>Contents</w:t>
      </w:r>
      <w:bookmarkEnd w:id="1"/>
    </w:p>
    <w:p w14:paraId="79016FC1" w14:textId="171E6C2E" w:rsidR="00B65389" w:rsidRDefault="00581751">
      <w:pPr>
        <w:pStyle w:val="TOC1"/>
        <w:tabs>
          <w:tab w:val="right" w:leader="dot" w:pos="8268"/>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397589410" w:history="1">
        <w:r w:rsidR="00B65389" w:rsidRPr="00E21204">
          <w:rPr>
            <w:rStyle w:val="Hyperlink"/>
            <w:noProof/>
          </w:rPr>
          <w:t>Executive Summary</w:t>
        </w:r>
        <w:r w:rsidR="00B65389">
          <w:rPr>
            <w:noProof/>
            <w:webHidden/>
          </w:rPr>
          <w:tab/>
        </w:r>
        <w:r w:rsidR="00B65389">
          <w:rPr>
            <w:noProof/>
            <w:webHidden/>
          </w:rPr>
          <w:fldChar w:fldCharType="begin"/>
        </w:r>
        <w:r w:rsidR="00B65389">
          <w:rPr>
            <w:noProof/>
            <w:webHidden/>
          </w:rPr>
          <w:instrText xml:space="preserve"> PAGEREF _Toc397589410 \h </w:instrText>
        </w:r>
        <w:r w:rsidR="00B65389">
          <w:rPr>
            <w:noProof/>
            <w:webHidden/>
          </w:rPr>
        </w:r>
        <w:r w:rsidR="00B65389">
          <w:rPr>
            <w:noProof/>
            <w:webHidden/>
          </w:rPr>
          <w:fldChar w:fldCharType="separate"/>
        </w:r>
        <w:r w:rsidR="00B65389">
          <w:rPr>
            <w:noProof/>
            <w:webHidden/>
          </w:rPr>
          <w:t>2</w:t>
        </w:r>
        <w:r w:rsidR="00B65389">
          <w:rPr>
            <w:noProof/>
            <w:webHidden/>
          </w:rPr>
          <w:fldChar w:fldCharType="end"/>
        </w:r>
      </w:hyperlink>
    </w:p>
    <w:p w14:paraId="47292D7C"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11" w:history="1">
        <w:r w:rsidR="00B65389" w:rsidRPr="00E21204">
          <w:rPr>
            <w:rStyle w:val="Hyperlink"/>
            <w:noProof/>
          </w:rPr>
          <w:t>Introduction</w:t>
        </w:r>
        <w:r w:rsidR="00B65389">
          <w:rPr>
            <w:noProof/>
            <w:webHidden/>
          </w:rPr>
          <w:tab/>
        </w:r>
        <w:r w:rsidR="00B65389">
          <w:rPr>
            <w:noProof/>
            <w:webHidden/>
          </w:rPr>
          <w:fldChar w:fldCharType="begin"/>
        </w:r>
        <w:r w:rsidR="00B65389">
          <w:rPr>
            <w:noProof/>
            <w:webHidden/>
          </w:rPr>
          <w:instrText xml:space="preserve"> PAGEREF _Toc397589411 \h </w:instrText>
        </w:r>
        <w:r w:rsidR="00B65389">
          <w:rPr>
            <w:noProof/>
            <w:webHidden/>
          </w:rPr>
        </w:r>
        <w:r w:rsidR="00B65389">
          <w:rPr>
            <w:noProof/>
            <w:webHidden/>
          </w:rPr>
          <w:fldChar w:fldCharType="separate"/>
        </w:r>
        <w:r w:rsidR="00B65389">
          <w:rPr>
            <w:noProof/>
            <w:webHidden/>
          </w:rPr>
          <w:t>2</w:t>
        </w:r>
        <w:r w:rsidR="00B65389">
          <w:rPr>
            <w:noProof/>
            <w:webHidden/>
          </w:rPr>
          <w:fldChar w:fldCharType="end"/>
        </w:r>
      </w:hyperlink>
    </w:p>
    <w:p w14:paraId="11C2B6F5" w14:textId="77777777" w:rsidR="00B65389" w:rsidRDefault="00FD23B1">
      <w:pPr>
        <w:pStyle w:val="TOC2"/>
        <w:tabs>
          <w:tab w:val="right" w:leader="dot" w:pos="8268"/>
        </w:tabs>
        <w:rPr>
          <w:rFonts w:asciiTheme="minorHAnsi" w:eastAsiaTheme="minorEastAsia" w:hAnsiTheme="minorHAnsi" w:cstheme="minorBidi"/>
          <w:noProof/>
          <w:sz w:val="22"/>
          <w:szCs w:val="22"/>
          <w:lang w:eastAsia="en-AU"/>
        </w:rPr>
      </w:pPr>
      <w:hyperlink w:anchor="_Toc397589412" w:history="1">
        <w:r w:rsidR="00B65389" w:rsidRPr="00E21204">
          <w:rPr>
            <w:rStyle w:val="Hyperlink"/>
            <w:noProof/>
          </w:rPr>
          <w:t>Sydney New Year’s Eve Unit</w:t>
        </w:r>
        <w:r w:rsidR="00B65389">
          <w:rPr>
            <w:noProof/>
            <w:webHidden/>
          </w:rPr>
          <w:tab/>
        </w:r>
        <w:r w:rsidR="00B65389">
          <w:rPr>
            <w:noProof/>
            <w:webHidden/>
          </w:rPr>
          <w:fldChar w:fldCharType="begin"/>
        </w:r>
        <w:r w:rsidR="00B65389">
          <w:rPr>
            <w:noProof/>
            <w:webHidden/>
          </w:rPr>
          <w:instrText xml:space="preserve"> PAGEREF _Toc397589412 \h </w:instrText>
        </w:r>
        <w:r w:rsidR="00B65389">
          <w:rPr>
            <w:noProof/>
            <w:webHidden/>
          </w:rPr>
        </w:r>
        <w:r w:rsidR="00B65389">
          <w:rPr>
            <w:noProof/>
            <w:webHidden/>
          </w:rPr>
          <w:fldChar w:fldCharType="separate"/>
        </w:r>
        <w:r w:rsidR="00B65389">
          <w:rPr>
            <w:noProof/>
            <w:webHidden/>
          </w:rPr>
          <w:t>2</w:t>
        </w:r>
        <w:r w:rsidR="00B65389">
          <w:rPr>
            <w:noProof/>
            <w:webHidden/>
          </w:rPr>
          <w:fldChar w:fldCharType="end"/>
        </w:r>
      </w:hyperlink>
    </w:p>
    <w:p w14:paraId="75F17E5D" w14:textId="77777777" w:rsidR="00B65389" w:rsidRDefault="00FD23B1">
      <w:pPr>
        <w:pStyle w:val="TOC2"/>
        <w:tabs>
          <w:tab w:val="right" w:leader="dot" w:pos="8268"/>
        </w:tabs>
        <w:rPr>
          <w:rFonts w:asciiTheme="minorHAnsi" w:eastAsiaTheme="minorEastAsia" w:hAnsiTheme="minorHAnsi" w:cstheme="minorBidi"/>
          <w:noProof/>
          <w:sz w:val="22"/>
          <w:szCs w:val="22"/>
          <w:lang w:eastAsia="en-AU"/>
        </w:rPr>
      </w:pPr>
      <w:hyperlink w:anchor="_Toc397589413" w:history="1">
        <w:r w:rsidR="00B65389" w:rsidRPr="00E21204">
          <w:rPr>
            <w:rStyle w:val="Hyperlink"/>
            <w:noProof/>
          </w:rPr>
          <w:t>Customers</w:t>
        </w:r>
        <w:r w:rsidR="00B65389">
          <w:rPr>
            <w:noProof/>
            <w:webHidden/>
          </w:rPr>
          <w:tab/>
        </w:r>
        <w:r w:rsidR="00B65389">
          <w:rPr>
            <w:noProof/>
            <w:webHidden/>
          </w:rPr>
          <w:fldChar w:fldCharType="begin"/>
        </w:r>
        <w:r w:rsidR="00B65389">
          <w:rPr>
            <w:noProof/>
            <w:webHidden/>
          </w:rPr>
          <w:instrText xml:space="preserve"> PAGEREF _Toc397589413 \h </w:instrText>
        </w:r>
        <w:r w:rsidR="00B65389">
          <w:rPr>
            <w:noProof/>
            <w:webHidden/>
          </w:rPr>
        </w:r>
        <w:r w:rsidR="00B65389">
          <w:rPr>
            <w:noProof/>
            <w:webHidden/>
          </w:rPr>
          <w:fldChar w:fldCharType="separate"/>
        </w:r>
        <w:r w:rsidR="00B65389">
          <w:rPr>
            <w:noProof/>
            <w:webHidden/>
          </w:rPr>
          <w:t>4</w:t>
        </w:r>
        <w:r w:rsidR="00B65389">
          <w:rPr>
            <w:noProof/>
            <w:webHidden/>
          </w:rPr>
          <w:fldChar w:fldCharType="end"/>
        </w:r>
      </w:hyperlink>
    </w:p>
    <w:p w14:paraId="4C8999D0" w14:textId="77777777" w:rsidR="00B65389" w:rsidRDefault="00FD23B1">
      <w:pPr>
        <w:pStyle w:val="TOC2"/>
        <w:tabs>
          <w:tab w:val="right" w:leader="dot" w:pos="8268"/>
        </w:tabs>
        <w:rPr>
          <w:rFonts w:asciiTheme="minorHAnsi" w:eastAsiaTheme="minorEastAsia" w:hAnsiTheme="minorHAnsi" w:cstheme="minorBidi"/>
          <w:noProof/>
          <w:sz w:val="22"/>
          <w:szCs w:val="22"/>
          <w:lang w:eastAsia="en-AU"/>
        </w:rPr>
      </w:pPr>
      <w:hyperlink w:anchor="_Toc397589414" w:history="1">
        <w:r w:rsidR="00B65389" w:rsidRPr="00E21204">
          <w:rPr>
            <w:rStyle w:val="Hyperlink"/>
            <w:noProof/>
            <w:lang w:eastAsia="en-AU"/>
          </w:rPr>
          <w:t>City of Sydney</w:t>
        </w:r>
        <w:r w:rsidR="00B65389">
          <w:rPr>
            <w:noProof/>
            <w:webHidden/>
          </w:rPr>
          <w:tab/>
        </w:r>
        <w:r w:rsidR="00B65389">
          <w:rPr>
            <w:noProof/>
            <w:webHidden/>
          </w:rPr>
          <w:fldChar w:fldCharType="begin"/>
        </w:r>
        <w:r w:rsidR="00B65389">
          <w:rPr>
            <w:noProof/>
            <w:webHidden/>
          </w:rPr>
          <w:instrText xml:space="preserve"> PAGEREF _Toc397589414 \h </w:instrText>
        </w:r>
        <w:r w:rsidR="00B65389">
          <w:rPr>
            <w:noProof/>
            <w:webHidden/>
          </w:rPr>
        </w:r>
        <w:r w:rsidR="00B65389">
          <w:rPr>
            <w:noProof/>
            <w:webHidden/>
          </w:rPr>
          <w:fldChar w:fldCharType="separate"/>
        </w:r>
        <w:r w:rsidR="00B65389">
          <w:rPr>
            <w:noProof/>
            <w:webHidden/>
          </w:rPr>
          <w:t>4</w:t>
        </w:r>
        <w:r w:rsidR="00B65389">
          <w:rPr>
            <w:noProof/>
            <w:webHidden/>
          </w:rPr>
          <w:fldChar w:fldCharType="end"/>
        </w:r>
      </w:hyperlink>
    </w:p>
    <w:p w14:paraId="55DEAD48" w14:textId="77777777" w:rsidR="00B65389" w:rsidRDefault="00FD23B1">
      <w:pPr>
        <w:pStyle w:val="TOC2"/>
        <w:tabs>
          <w:tab w:val="right" w:leader="dot" w:pos="8268"/>
        </w:tabs>
        <w:rPr>
          <w:rFonts w:asciiTheme="minorHAnsi" w:eastAsiaTheme="minorEastAsia" w:hAnsiTheme="minorHAnsi" w:cstheme="minorBidi"/>
          <w:noProof/>
          <w:sz w:val="22"/>
          <w:szCs w:val="22"/>
          <w:lang w:eastAsia="en-AU"/>
        </w:rPr>
      </w:pPr>
      <w:hyperlink w:anchor="_Toc397589415" w:history="1">
        <w:r w:rsidR="00B65389" w:rsidRPr="00E21204">
          <w:rPr>
            <w:rStyle w:val="Hyperlink"/>
            <w:noProof/>
          </w:rPr>
          <w:t>Accessible Tourism</w:t>
        </w:r>
        <w:r w:rsidR="00B65389">
          <w:rPr>
            <w:noProof/>
            <w:webHidden/>
          </w:rPr>
          <w:tab/>
        </w:r>
        <w:r w:rsidR="00B65389">
          <w:rPr>
            <w:noProof/>
            <w:webHidden/>
          </w:rPr>
          <w:fldChar w:fldCharType="begin"/>
        </w:r>
        <w:r w:rsidR="00B65389">
          <w:rPr>
            <w:noProof/>
            <w:webHidden/>
          </w:rPr>
          <w:instrText xml:space="preserve"> PAGEREF _Toc397589415 \h </w:instrText>
        </w:r>
        <w:r w:rsidR="00B65389">
          <w:rPr>
            <w:noProof/>
            <w:webHidden/>
          </w:rPr>
        </w:r>
        <w:r w:rsidR="00B65389">
          <w:rPr>
            <w:noProof/>
            <w:webHidden/>
          </w:rPr>
          <w:fldChar w:fldCharType="separate"/>
        </w:r>
        <w:r w:rsidR="00B65389">
          <w:rPr>
            <w:noProof/>
            <w:webHidden/>
          </w:rPr>
          <w:t>5</w:t>
        </w:r>
        <w:r w:rsidR="00B65389">
          <w:rPr>
            <w:noProof/>
            <w:webHidden/>
          </w:rPr>
          <w:fldChar w:fldCharType="end"/>
        </w:r>
      </w:hyperlink>
    </w:p>
    <w:p w14:paraId="5AAA9280"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16" w:history="1">
        <w:r w:rsidR="00B65389" w:rsidRPr="00E21204">
          <w:rPr>
            <w:rStyle w:val="Hyperlink"/>
            <w:noProof/>
          </w:rPr>
          <w:t>Stakeholders</w:t>
        </w:r>
        <w:r w:rsidR="00B65389">
          <w:rPr>
            <w:noProof/>
            <w:webHidden/>
          </w:rPr>
          <w:tab/>
        </w:r>
        <w:r w:rsidR="00B65389">
          <w:rPr>
            <w:noProof/>
            <w:webHidden/>
          </w:rPr>
          <w:fldChar w:fldCharType="begin"/>
        </w:r>
        <w:r w:rsidR="00B65389">
          <w:rPr>
            <w:noProof/>
            <w:webHidden/>
          </w:rPr>
          <w:instrText xml:space="preserve"> PAGEREF _Toc397589416 \h </w:instrText>
        </w:r>
        <w:r w:rsidR="00B65389">
          <w:rPr>
            <w:noProof/>
            <w:webHidden/>
          </w:rPr>
        </w:r>
        <w:r w:rsidR="00B65389">
          <w:rPr>
            <w:noProof/>
            <w:webHidden/>
          </w:rPr>
          <w:fldChar w:fldCharType="separate"/>
        </w:r>
        <w:r w:rsidR="00B65389">
          <w:rPr>
            <w:noProof/>
            <w:webHidden/>
          </w:rPr>
          <w:t>6</w:t>
        </w:r>
        <w:r w:rsidR="00B65389">
          <w:rPr>
            <w:noProof/>
            <w:webHidden/>
          </w:rPr>
          <w:fldChar w:fldCharType="end"/>
        </w:r>
      </w:hyperlink>
    </w:p>
    <w:p w14:paraId="5CC30F31" w14:textId="77777777" w:rsidR="00B65389" w:rsidRDefault="00FD23B1">
      <w:pPr>
        <w:pStyle w:val="TOC2"/>
        <w:tabs>
          <w:tab w:val="right" w:leader="dot" w:pos="8268"/>
        </w:tabs>
        <w:rPr>
          <w:rFonts w:asciiTheme="minorHAnsi" w:eastAsiaTheme="minorEastAsia" w:hAnsiTheme="minorHAnsi" w:cstheme="minorBidi"/>
          <w:noProof/>
          <w:sz w:val="22"/>
          <w:szCs w:val="22"/>
          <w:lang w:eastAsia="en-AU"/>
        </w:rPr>
      </w:pPr>
      <w:hyperlink w:anchor="_Toc397589417" w:history="1">
        <w:r w:rsidR="00B65389" w:rsidRPr="00E21204">
          <w:rPr>
            <w:rStyle w:val="Hyperlink"/>
            <w:noProof/>
          </w:rPr>
          <w:t>Relevant Legislation and Policy</w:t>
        </w:r>
        <w:r w:rsidR="00B65389">
          <w:rPr>
            <w:noProof/>
            <w:webHidden/>
          </w:rPr>
          <w:tab/>
        </w:r>
        <w:r w:rsidR="00B65389">
          <w:rPr>
            <w:noProof/>
            <w:webHidden/>
          </w:rPr>
          <w:fldChar w:fldCharType="begin"/>
        </w:r>
        <w:r w:rsidR="00B65389">
          <w:rPr>
            <w:noProof/>
            <w:webHidden/>
          </w:rPr>
          <w:instrText xml:space="preserve"> PAGEREF _Toc397589417 \h </w:instrText>
        </w:r>
        <w:r w:rsidR="00B65389">
          <w:rPr>
            <w:noProof/>
            <w:webHidden/>
          </w:rPr>
        </w:r>
        <w:r w:rsidR="00B65389">
          <w:rPr>
            <w:noProof/>
            <w:webHidden/>
          </w:rPr>
          <w:fldChar w:fldCharType="separate"/>
        </w:r>
        <w:r w:rsidR="00B65389">
          <w:rPr>
            <w:noProof/>
            <w:webHidden/>
          </w:rPr>
          <w:t>6</w:t>
        </w:r>
        <w:r w:rsidR="00B65389">
          <w:rPr>
            <w:noProof/>
            <w:webHidden/>
          </w:rPr>
          <w:fldChar w:fldCharType="end"/>
        </w:r>
      </w:hyperlink>
    </w:p>
    <w:p w14:paraId="422AAAB6" w14:textId="77777777" w:rsidR="00B65389" w:rsidRDefault="00FD23B1">
      <w:pPr>
        <w:pStyle w:val="TOC2"/>
        <w:tabs>
          <w:tab w:val="right" w:leader="dot" w:pos="8268"/>
        </w:tabs>
        <w:rPr>
          <w:rFonts w:asciiTheme="minorHAnsi" w:eastAsiaTheme="minorEastAsia" w:hAnsiTheme="minorHAnsi" w:cstheme="minorBidi"/>
          <w:noProof/>
          <w:sz w:val="22"/>
          <w:szCs w:val="22"/>
          <w:lang w:eastAsia="en-AU"/>
        </w:rPr>
      </w:pPr>
      <w:hyperlink w:anchor="_Toc397589418" w:history="1">
        <w:r w:rsidR="00B65389" w:rsidRPr="00E21204">
          <w:rPr>
            <w:rStyle w:val="Hyperlink"/>
            <w:noProof/>
          </w:rPr>
          <w:t>City of Sydney Statement of Commitment</w:t>
        </w:r>
        <w:r w:rsidR="00B65389">
          <w:rPr>
            <w:noProof/>
            <w:webHidden/>
          </w:rPr>
          <w:tab/>
        </w:r>
        <w:r w:rsidR="00B65389">
          <w:rPr>
            <w:noProof/>
            <w:webHidden/>
          </w:rPr>
          <w:fldChar w:fldCharType="begin"/>
        </w:r>
        <w:r w:rsidR="00B65389">
          <w:rPr>
            <w:noProof/>
            <w:webHidden/>
          </w:rPr>
          <w:instrText xml:space="preserve"> PAGEREF _Toc397589418 \h </w:instrText>
        </w:r>
        <w:r w:rsidR="00B65389">
          <w:rPr>
            <w:noProof/>
            <w:webHidden/>
          </w:rPr>
        </w:r>
        <w:r w:rsidR="00B65389">
          <w:rPr>
            <w:noProof/>
            <w:webHidden/>
          </w:rPr>
          <w:fldChar w:fldCharType="separate"/>
        </w:r>
        <w:r w:rsidR="00B65389">
          <w:rPr>
            <w:noProof/>
            <w:webHidden/>
          </w:rPr>
          <w:t>6</w:t>
        </w:r>
        <w:r w:rsidR="00B65389">
          <w:rPr>
            <w:noProof/>
            <w:webHidden/>
          </w:rPr>
          <w:fldChar w:fldCharType="end"/>
        </w:r>
      </w:hyperlink>
    </w:p>
    <w:p w14:paraId="79E3CEC5" w14:textId="77777777" w:rsidR="00B65389" w:rsidRDefault="00FD23B1">
      <w:pPr>
        <w:pStyle w:val="TOC2"/>
        <w:tabs>
          <w:tab w:val="right" w:leader="dot" w:pos="8268"/>
        </w:tabs>
        <w:rPr>
          <w:rFonts w:asciiTheme="minorHAnsi" w:eastAsiaTheme="minorEastAsia" w:hAnsiTheme="minorHAnsi" w:cstheme="minorBidi"/>
          <w:noProof/>
          <w:sz w:val="22"/>
          <w:szCs w:val="22"/>
          <w:lang w:eastAsia="en-AU"/>
        </w:rPr>
      </w:pPr>
      <w:hyperlink w:anchor="_Toc397589419" w:history="1">
        <w:r w:rsidR="00B65389" w:rsidRPr="00E21204">
          <w:rPr>
            <w:rStyle w:val="Hyperlink"/>
            <w:noProof/>
          </w:rPr>
          <w:t>Definition of Disability</w:t>
        </w:r>
        <w:r w:rsidR="00B65389">
          <w:rPr>
            <w:noProof/>
            <w:webHidden/>
          </w:rPr>
          <w:tab/>
        </w:r>
        <w:r w:rsidR="00B65389">
          <w:rPr>
            <w:noProof/>
            <w:webHidden/>
          </w:rPr>
          <w:fldChar w:fldCharType="begin"/>
        </w:r>
        <w:r w:rsidR="00B65389">
          <w:rPr>
            <w:noProof/>
            <w:webHidden/>
          </w:rPr>
          <w:instrText xml:space="preserve"> PAGEREF _Toc397589419 \h </w:instrText>
        </w:r>
        <w:r w:rsidR="00B65389">
          <w:rPr>
            <w:noProof/>
            <w:webHidden/>
          </w:rPr>
        </w:r>
        <w:r w:rsidR="00B65389">
          <w:rPr>
            <w:noProof/>
            <w:webHidden/>
          </w:rPr>
          <w:fldChar w:fldCharType="separate"/>
        </w:r>
        <w:r w:rsidR="00B65389">
          <w:rPr>
            <w:noProof/>
            <w:webHidden/>
          </w:rPr>
          <w:t>7</w:t>
        </w:r>
        <w:r w:rsidR="00B65389">
          <w:rPr>
            <w:noProof/>
            <w:webHidden/>
          </w:rPr>
          <w:fldChar w:fldCharType="end"/>
        </w:r>
      </w:hyperlink>
    </w:p>
    <w:p w14:paraId="338066C9"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20" w:history="1">
        <w:r w:rsidR="00B65389" w:rsidRPr="00E21204">
          <w:rPr>
            <w:rStyle w:val="Hyperlink"/>
            <w:noProof/>
          </w:rPr>
          <w:t>Consultation Process</w:t>
        </w:r>
        <w:r w:rsidR="00B65389">
          <w:rPr>
            <w:noProof/>
            <w:webHidden/>
          </w:rPr>
          <w:tab/>
        </w:r>
        <w:r w:rsidR="00B65389">
          <w:rPr>
            <w:noProof/>
            <w:webHidden/>
          </w:rPr>
          <w:fldChar w:fldCharType="begin"/>
        </w:r>
        <w:r w:rsidR="00B65389">
          <w:rPr>
            <w:noProof/>
            <w:webHidden/>
          </w:rPr>
          <w:instrText xml:space="preserve"> PAGEREF _Toc397589420 \h </w:instrText>
        </w:r>
        <w:r w:rsidR="00B65389">
          <w:rPr>
            <w:noProof/>
            <w:webHidden/>
          </w:rPr>
        </w:r>
        <w:r w:rsidR="00B65389">
          <w:rPr>
            <w:noProof/>
            <w:webHidden/>
          </w:rPr>
          <w:fldChar w:fldCharType="separate"/>
        </w:r>
        <w:r w:rsidR="00B65389">
          <w:rPr>
            <w:noProof/>
            <w:webHidden/>
          </w:rPr>
          <w:t>7</w:t>
        </w:r>
        <w:r w:rsidR="00B65389">
          <w:rPr>
            <w:noProof/>
            <w:webHidden/>
          </w:rPr>
          <w:fldChar w:fldCharType="end"/>
        </w:r>
      </w:hyperlink>
    </w:p>
    <w:p w14:paraId="5FF3F33A"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21" w:history="1">
        <w:r w:rsidR="00B65389" w:rsidRPr="00E21204">
          <w:rPr>
            <w:rStyle w:val="Hyperlink"/>
            <w:noProof/>
          </w:rPr>
          <w:t>Monitoring and Evaluation</w:t>
        </w:r>
        <w:r w:rsidR="00B65389">
          <w:rPr>
            <w:noProof/>
            <w:webHidden/>
          </w:rPr>
          <w:tab/>
        </w:r>
        <w:r w:rsidR="00B65389">
          <w:rPr>
            <w:noProof/>
            <w:webHidden/>
          </w:rPr>
          <w:fldChar w:fldCharType="begin"/>
        </w:r>
        <w:r w:rsidR="00B65389">
          <w:rPr>
            <w:noProof/>
            <w:webHidden/>
          </w:rPr>
          <w:instrText xml:space="preserve"> PAGEREF _Toc397589421 \h </w:instrText>
        </w:r>
        <w:r w:rsidR="00B65389">
          <w:rPr>
            <w:noProof/>
            <w:webHidden/>
          </w:rPr>
        </w:r>
        <w:r w:rsidR="00B65389">
          <w:rPr>
            <w:noProof/>
            <w:webHidden/>
          </w:rPr>
          <w:fldChar w:fldCharType="separate"/>
        </w:r>
        <w:r w:rsidR="00B65389">
          <w:rPr>
            <w:noProof/>
            <w:webHidden/>
          </w:rPr>
          <w:t>7</w:t>
        </w:r>
        <w:r w:rsidR="00B65389">
          <w:rPr>
            <w:noProof/>
            <w:webHidden/>
          </w:rPr>
          <w:fldChar w:fldCharType="end"/>
        </w:r>
      </w:hyperlink>
    </w:p>
    <w:p w14:paraId="2CC6D97B"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22" w:history="1">
        <w:r w:rsidR="00B65389" w:rsidRPr="00E21204">
          <w:rPr>
            <w:rStyle w:val="Hyperlink"/>
            <w:noProof/>
          </w:rPr>
          <w:t>Review</w:t>
        </w:r>
        <w:r w:rsidR="00B65389">
          <w:rPr>
            <w:noProof/>
            <w:webHidden/>
          </w:rPr>
          <w:tab/>
        </w:r>
        <w:r w:rsidR="00B65389">
          <w:rPr>
            <w:noProof/>
            <w:webHidden/>
          </w:rPr>
          <w:fldChar w:fldCharType="begin"/>
        </w:r>
        <w:r w:rsidR="00B65389">
          <w:rPr>
            <w:noProof/>
            <w:webHidden/>
          </w:rPr>
          <w:instrText xml:space="preserve"> PAGEREF _Toc397589422 \h </w:instrText>
        </w:r>
        <w:r w:rsidR="00B65389">
          <w:rPr>
            <w:noProof/>
            <w:webHidden/>
          </w:rPr>
        </w:r>
        <w:r w:rsidR="00B65389">
          <w:rPr>
            <w:noProof/>
            <w:webHidden/>
          </w:rPr>
          <w:fldChar w:fldCharType="separate"/>
        </w:r>
        <w:r w:rsidR="00B65389">
          <w:rPr>
            <w:noProof/>
            <w:webHidden/>
          </w:rPr>
          <w:t>7</w:t>
        </w:r>
        <w:r w:rsidR="00B65389">
          <w:rPr>
            <w:noProof/>
            <w:webHidden/>
          </w:rPr>
          <w:fldChar w:fldCharType="end"/>
        </w:r>
      </w:hyperlink>
    </w:p>
    <w:p w14:paraId="6391FC41"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23" w:history="1">
        <w:r w:rsidR="00B65389" w:rsidRPr="00E21204">
          <w:rPr>
            <w:rStyle w:val="Hyperlink"/>
            <w:noProof/>
          </w:rPr>
          <w:t>Sydney New Year’s Eve Business Objectives</w:t>
        </w:r>
        <w:r w:rsidR="00B65389">
          <w:rPr>
            <w:noProof/>
            <w:webHidden/>
          </w:rPr>
          <w:tab/>
        </w:r>
        <w:r w:rsidR="00B65389">
          <w:rPr>
            <w:noProof/>
            <w:webHidden/>
          </w:rPr>
          <w:fldChar w:fldCharType="begin"/>
        </w:r>
        <w:r w:rsidR="00B65389">
          <w:rPr>
            <w:noProof/>
            <w:webHidden/>
          </w:rPr>
          <w:instrText xml:space="preserve"> PAGEREF _Toc397589423 \h </w:instrText>
        </w:r>
        <w:r w:rsidR="00B65389">
          <w:rPr>
            <w:noProof/>
            <w:webHidden/>
          </w:rPr>
        </w:r>
        <w:r w:rsidR="00B65389">
          <w:rPr>
            <w:noProof/>
            <w:webHidden/>
          </w:rPr>
          <w:fldChar w:fldCharType="separate"/>
        </w:r>
        <w:r w:rsidR="00B65389">
          <w:rPr>
            <w:noProof/>
            <w:webHidden/>
          </w:rPr>
          <w:t>7</w:t>
        </w:r>
        <w:r w:rsidR="00B65389">
          <w:rPr>
            <w:noProof/>
            <w:webHidden/>
          </w:rPr>
          <w:fldChar w:fldCharType="end"/>
        </w:r>
      </w:hyperlink>
    </w:p>
    <w:p w14:paraId="728728C5"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24" w:history="1">
        <w:r w:rsidR="00B65389" w:rsidRPr="00E21204">
          <w:rPr>
            <w:rStyle w:val="Hyperlink"/>
            <w:noProof/>
          </w:rPr>
          <w:t>Challenges</w:t>
        </w:r>
        <w:r w:rsidR="00B65389">
          <w:rPr>
            <w:noProof/>
            <w:webHidden/>
          </w:rPr>
          <w:tab/>
        </w:r>
        <w:r w:rsidR="00B65389">
          <w:rPr>
            <w:noProof/>
            <w:webHidden/>
          </w:rPr>
          <w:fldChar w:fldCharType="begin"/>
        </w:r>
        <w:r w:rsidR="00B65389">
          <w:rPr>
            <w:noProof/>
            <w:webHidden/>
          </w:rPr>
          <w:instrText xml:space="preserve"> PAGEREF _Toc397589424 \h </w:instrText>
        </w:r>
        <w:r w:rsidR="00B65389">
          <w:rPr>
            <w:noProof/>
            <w:webHidden/>
          </w:rPr>
        </w:r>
        <w:r w:rsidR="00B65389">
          <w:rPr>
            <w:noProof/>
            <w:webHidden/>
          </w:rPr>
          <w:fldChar w:fldCharType="separate"/>
        </w:r>
        <w:r w:rsidR="00B65389">
          <w:rPr>
            <w:noProof/>
            <w:webHidden/>
          </w:rPr>
          <w:t>7</w:t>
        </w:r>
        <w:r w:rsidR="00B65389">
          <w:rPr>
            <w:noProof/>
            <w:webHidden/>
          </w:rPr>
          <w:fldChar w:fldCharType="end"/>
        </w:r>
      </w:hyperlink>
    </w:p>
    <w:p w14:paraId="463401A1"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25" w:history="1">
        <w:r w:rsidR="00B65389" w:rsidRPr="00E21204">
          <w:rPr>
            <w:rStyle w:val="Hyperlink"/>
            <w:noProof/>
          </w:rPr>
          <w:t>Mission Statement</w:t>
        </w:r>
        <w:r w:rsidR="00B65389">
          <w:rPr>
            <w:noProof/>
            <w:webHidden/>
          </w:rPr>
          <w:tab/>
        </w:r>
        <w:r w:rsidR="00B65389">
          <w:rPr>
            <w:noProof/>
            <w:webHidden/>
          </w:rPr>
          <w:fldChar w:fldCharType="begin"/>
        </w:r>
        <w:r w:rsidR="00B65389">
          <w:rPr>
            <w:noProof/>
            <w:webHidden/>
          </w:rPr>
          <w:instrText xml:space="preserve"> PAGEREF _Toc397589425 \h </w:instrText>
        </w:r>
        <w:r w:rsidR="00B65389">
          <w:rPr>
            <w:noProof/>
            <w:webHidden/>
          </w:rPr>
        </w:r>
        <w:r w:rsidR="00B65389">
          <w:rPr>
            <w:noProof/>
            <w:webHidden/>
          </w:rPr>
          <w:fldChar w:fldCharType="separate"/>
        </w:r>
        <w:r w:rsidR="00B65389">
          <w:rPr>
            <w:noProof/>
            <w:webHidden/>
          </w:rPr>
          <w:t>9</w:t>
        </w:r>
        <w:r w:rsidR="00B65389">
          <w:rPr>
            <w:noProof/>
            <w:webHidden/>
          </w:rPr>
          <w:fldChar w:fldCharType="end"/>
        </w:r>
      </w:hyperlink>
    </w:p>
    <w:p w14:paraId="542F6543"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26" w:history="1">
        <w:r w:rsidR="00B65389" w:rsidRPr="00E21204">
          <w:rPr>
            <w:rStyle w:val="Hyperlink"/>
            <w:noProof/>
          </w:rPr>
          <w:t>Objectives</w:t>
        </w:r>
        <w:r w:rsidR="00B65389">
          <w:rPr>
            <w:noProof/>
            <w:webHidden/>
          </w:rPr>
          <w:tab/>
        </w:r>
        <w:r w:rsidR="00B65389">
          <w:rPr>
            <w:noProof/>
            <w:webHidden/>
          </w:rPr>
          <w:fldChar w:fldCharType="begin"/>
        </w:r>
        <w:r w:rsidR="00B65389">
          <w:rPr>
            <w:noProof/>
            <w:webHidden/>
          </w:rPr>
          <w:instrText xml:space="preserve"> PAGEREF _Toc397589426 \h </w:instrText>
        </w:r>
        <w:r w:rsidR="00B65389">
          <w:rPr>
            <w:noProof/>
            <w:webHidden/>
          </w:rPr>
        </w:r>
        <w:r w:rsidR="00B65389">
          <w:rPr>
            <w:noProof/>
            <w:webHidden/>
          </w:rPr>
          <w:fldChar w:fldCharType="separate"/>
        </w:r>
        <w:r w:rsidR="00B65389">
          <w:rPr>
            <w:noProof/>
            <w:webHidden/>
          </w:rPr>
          <w:t>9</w:t>
        </w:r>
        <w:r w:rsidR="00B65389">
          <w:rPr>
            <w:noProof/>
            <w:webHidden/>
          </w:rPr>
          <w:fldChar w:fldCharType="end"/>
        </w:r>
      </w:hyperlink>
    </w:p>
    <w:p w14:paraId="394CAB22"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27" w:history="1">
        <w:r w:rsidR="00B65389" w:rsidRPr="00E21204">
          <w:rPr>
            <w:rStyle w:val="Hyperlink"/>
            <w:noProof/>
          </w:rPr>
          <w:t>Aims</w:t>
        </w:r>
        <w:r w:rsidR="00B65389">
          <w:rPr>
            <w:noProof/>
            <w:webHidden/>
          </w:rPr>
          <w:tab/>
        </w:r>
        <w:r w:rsidR="00B65389">
          <w:rPr>
            <w:noProof/>
            <w:webHidden/>
          </w:rPr>
          <w:fldChar w:fldCharType="begin"/>
        </w:r>
        <w:r w:rsidR="00B65389">
          <w:rPr>
            <w:noProof/>
            <w:webHidden/>
          </w:rPr>
          <w:instrText xml:space="preserve"> PAGEREF _Toc397589427 \h </w:instrText>
        </w:r>
        <w:r w:rsidR="00B65389">
          <w:rPr>
            <w:noProof/>
            <w:webHidden/>
          </w:rPr>
        </w:r>
        <w:r w:rsidR="00B65389">
          <w:rPr>
            <w:noProof/>
            <w:webHidden/>
          </w:rPr>
          <w:fldChar w:fldCharType="separate"/>
        </w:r>
        <w:r w:rsidR="00B65389">
          <w:rPr>
            <w:noProof/>
            <w:webHidden/>
          </w:rPr>
          <w:t>9</w:t>
        </w:r>
        <w:r w:rsidR="00B65389">
          <w:rPr>
            <w:noProof/>
            <w:webHidden/>
          </w:rPr>
          <w:fldChar w:fldCharType="end"/>
        </w:r>
      </w:hyperlink>
    </w:p>
    <w:p w14:paraId="4D4E117D" w14:textId="77777777" w:rsidR="00B65389" w:rsidRDefault="00FD23B1">
      <w:pPr>
        <w:pStyle w:val="TOC1"/>
        <w:tabs>
          <w:tab w:val="right" w:leader="dot" w:pos="8268"/>
        </w:tabs>
        <w:rPr>
          <w:rFonts w:asciiTheme="minorHAnsi" w:eastAsiaTheme="minorEastAsia" w:hAnsiTheme="minorHAnsi" w:cstheme="minorBidi"/>
          <w:noProof/>
          <w:sz w:val="22"/>
          <w:szCs w:val="22"/>
          <w:lang w:eastAsia="en-AU"/>
        </w:rPr>
      </w:pPr>
      <w:hyperlink w:anchor="_Toc397589428" w:history="1">
        <w:r w:rsidR="00B65389" w:rsidRPr="00E21204">
          <w:rPr>
            <w:rStyle w:val="Hyperlink"/>
            <w:noProof/>
          </w:rPr>
          <w:t>Action Plan:</w:t>
        </w:r>
        <w:r w:rsidR="00B65389">
          <w:rPr>
            <w:noProof/>
            <w:webHidden/>
          </w:rPr>
          <w:tab/>
        </w:r>
        <w:r w:rsidR="00B65389">
          <w:rPr>
            <w:noProof/>
            <w:webHidden/>
          </w:rPr>
          <w:fldChar w:fldCharType="begin"/>
        </w:r>
        <w:r w:rsidR="00B65389">
          <w:rPr>
            <w:noProof/>
            <w:webHidden/>
          </w:rPr>
          <w:instrText xml:space="preserve"> PAGEREF _Toc397589428 \h </w:instrText>
        </w:r>
        <w:r w:rsidR="00B65389">
          <w:rPr>
            <w:noProof/>
            <w:webHidden/>
          </w:rPr>
        </w:r>
        <w:r w:rsidR="00B65389">
          <w:rPr>
            <w:noProof/>
            <w:webHidden/>
          </w:rPr>
          <w:fldChar w:fldCharType="separate"/>
        </w:r>
        <w:r w:rsidR="00B65389">
          <w:rPr>
            <w:noProof/>
            <w:webHidden/>
          </w:rPr>
          <w:t>10</w:t>
        </w:r>
        <w:r w:rsidR="00B65389">
          <w:rPr>
            <w:noProof/>
            <w:webHidden/>
          </w:rPr>
          <w:fldChar w:fldCharType="end"/>
        </w:r>
      </w:hyperlink>
    </w:p>
    <w:p w14:paraId="4701D5F5" w14:textId="77777777" w:rsidR="00B65389" w:rsidRDefault="00FD23B1">
      <w:pPr>
        <w:pStyle w:val="TOC2"/>
        <w:tabs>
          <w:tab w:val="right" w:leader="dot" w:pos="8268"/>
        </w:tabs>
        <w:rPr>
          <w:rFonts w:asciiTheme="minorHAnsi" w:eastAsiaTheme="minorEastAsia" w:hAnsiTheme="minorHAnsi" w:cstheme="minorBidi"/>
          <w:noProof/>
          <w:sz w:val="22"/>
          <w:szCs w:val="22"/>
          <w:lang w:eastAsia="en-AU"/>
        </w:rPr>
      </w:pPr>
      <w:hyperlink w:anchor="_Toc397589429" w:history="1">
        <w:r w:rsidR="00B65389" w:rsidRPr="00E21204">
          <w:rPr>
            <w:rStyle w:val="Hyperlink"/>
            <w:noProof/>
          </w:rPr>
          <w:t>Objective 1: Increase participation of people with disability who experience Sydney New Year’s Eve</w:t>
        </w:r>
        <w:r w:rsidR="00B65389">
          <w:rPr>
            <w:noProof/>
            <w:webHidden/>
          </w:rPr>
          <w:tab/>
        </w:r>
        <w:r w:rsidR="00B65389">
          <w:rPr>
            <w:noProof/>
            <w:webHidden/>
          </w:rPr>
          <w:fldChar w:fldCharType="begin"/>
        </w:r>
        <w:r w:rsidR="00B65389">
          <w:rPr>
            <w:noProof/>
            <w:webHidden/>
          </w:rPr>
          <w:instrText xml:space="preserve"> PAGEREF _Toc397589429 \h </w:instrText>
        </w:r>
        <w:r w:rsidR="00B65389">
          <w:rPr>
            <w:noProof/>
            <w:webHidden/>
          </w:rPr>
        </w:r>
        <w:r w:rsidR="00B65389">
          <w:rPr>
            <w:noProof/>
            <w:webHidden/>
          </w:rPr>
          <w:fldChar w:fldCharType="separate"/>
        </w:r>
        <w:r w:rsidR="00B65389">
          <w:rPr>
            <w:noProof/>
            <w:webHidden/>
          </w:rPr>
          <w:t>10</w:t>
        </w:r>
        <w:r w:rsidR="00B65389">
          <w:rPr>
            <w:noProof/>
            <w:webHidden/>
          </w:rPr>
          <w:fldChar w:fldCharType="end"/>
        </w:r>
      </w:hyperlink>
    </w:p>
    <w:p w14:paraId="2C79E0E9" w14:textId="77777777" w:rsidR="00B65389" w:rsidRDefault="00FD23B1">
      <w:pPr>
        <w:pStyle w:val="TOC2"/>
        <w:tabs>
          <w:tab w:val="right" w:leader="dot" w:pos="8268"/>
        </w:tabs>
        <w:rPr>
          <w:rFonts w:asciiTheme="minorHAnsi" w:eastAsiaTheme="minorEastAsia" w:hAnsiTheme="minorHAnsi" w:cstheme="minorBidi"/>
          <w:noProof/>
          <w:sz w:val="22"/>
          <w:szCs w:val="22"/>
          <w:lang w:eastAsia="en-AU"/>
        </w:rPr>
      </w:pPr>
      <w:hyperlink w:anchor="_Toc397589430" w:history="1">
        <w:r w:rsidR="00B65389" w:rsidRPr="00E21204">
          <w:rPr>
            <w:rStyle w:val="Hyperlink"/>
            <w:noProof/>
          </w:rPr>
          <w:t>Objective 2: Lead the industry in best practice of event accessibility</w:t>
        </w:r>
        <w:r w:rsidR="00B65389">
          <w:rPr>
            <w:noProof/>
            <w:webHidden/>
          </w:rPr>
          <w:tab/>
        </w:r>
        <w:r w:rsidR="00B65389">
          <w:rPr>
            <w:noProof/>
            <w:webHidden/>
          </w:rPr>
          <w:fldChar w:fldCharType="begin"/>
        </w:r>
        <w:r w:rsidR="00B65389">
          <w:rPr>
            <w:noProof/>
            <w:webHidden/>
          </w:rPr>
          <w:instrText xml:space="preserve"> PAGEREF _Toc397589430 \h </w:instrText>
        </w:r>
        <w:r w:rsidR="00B65389">
          <w:rPr>
            <w:noProof/>
            <w:webHidden/>
          </w:rPr>
        </w:r>
        <w:r w:rsidR="00B65389">
          <w:rPr>
            <w:noProof/>
            <w:webHidden/>
          </w:rPr>
          <w:fldChar w:fldCharType="separate"/>
        </w:r>
        <w:r w:rsidR="00B65389">
          <w:rPr>
            <w:noProof/>
            <w:webHidden/>
          </w:rPr>
          <w:t>12</w:t>
        </w:r>
        <w:r w:rsidR="00B65389">
          <w:rPr>
            <w:noProof/>
            <w:webHidden/>
          </w:rPr>
          <w:fldChar w:fldCharType="end"/>
        </w:r>
      </w:hyperlink>
    </w:p>
    <w:p w14:paraId="087D21DF" w14:textId="651D099E" w:rsidR="00C132E5" w:rsidRDefault="00581751" w:rsidP="008603FF">
      <w:pPr>
        <w:pStyle w:val="BodyText"/>
      </w:pPr>
      <w:r>
        <w:fldChar w:fldCharType="end"/>
      </w:r>
      <w:r w:rsidR="00C132E5">
        <w:br w:type="page"/>
      </w:r>
    </w:p>
    <w:p w14:paraId="3371EBB3" w14:textId="77777777" w:rsidR="00FD57BA" w:rsidRDefault="00FD57BA" w:rsidP="00C132E5">
      <w:pPr>
        <w:pStyle w:val="Heading1"/>
      </w:pPr>
      <w:bookmarkStart w:id="2" w:name="_Toc397589410"/>
      <w:r>
        <w:lastRenderedPageBreak/>
        <w:t>Executive Summary</w:t>
      </w:r>
      <w:bookmarkEnd w:id="2"/>
    </w:p>
    <w:p w14:paraId="2AF88CC9" w14:textId="6F0B6A2B" w:rsidR="00561450" w:rsidRDefault="009C5670" w:rsidP="00810125">
      <w:pPr>
        <w:pStyle w:val="BodyText"/>
        <w:jc w:val="both"/>
      </w:pPr>
      <w:r>
        <w:t>The City of Sydney’s New Year’s</w:t>
      </w:r>
      <w:r w:rsidR="00E7200C">
        <w:t xml:space="preserve"> Eve Unit is committed to making</w:t>
      </w:r>
      <w:r>
        <w:t xml:space="preserve"> the Sydney New Year’s Eve experience </w:t>
      </w:r>
      <w:r w:rsidR="00E7200C">
        <w:rPr>
          <w:rFonts w:eastAsia="Times New Roman" w:cstheme="minorHAnsi"/>
          <w:bCs/>
          <w:lang w:eastAsia="en-AU"/>
        </w:rPr>
        <w:t>safe, inclusive, accessible and enjoyable for all</w:t>
      </w:r>
      <w:r w:rsidR="002B6F1A">
        <w:t xml:space="preserve"> and increasing the participation of people with disability.</w:t>
      </w:r>
      <w:r>
        <w:t xml:space="preserve"> </w:t>
      </w:r>
      <w:r w:rsidR="00561450">
        <w:t>The first Inclusion (Disability) Act</w:t>
      </w:r>
      <w:r w:rsidR="00810125">
        <w:t xml:space="preserve">ion Plan was implemented in 2011 </w:t>
      </w:r>
      <w:r w:rsidR="00561450">
        <w:t>to align with the City of Syd</w:t>
      </w:r>
      <w:r w:rsidR="00810125">
        <w:t>ney’s Sustainable 20</w:t>
      </w:r>
      <w:r w:rsidR="00E7200C">
        <w:t>30 Vision.</w:t>
      </w:r>
    </w:p>
    <w:p w14:paraId="1882F566" w14:textId="23F4F014" w:rsidR="009C5670" w:rsidRDefault="00561450" w:rsidP="00810125">
      <w:pPr>
        <w:pStyle w:val="BodyText"/>
        <w:jc w:val="both"/>
      </w:pPr>
      <w:r>
        <w:t xml:space="preserve">The uniqueness of the Sydney New Year’s Eve event, </w:t>
      </w:r>
      <w:r w:rsidR="00E7200C">
        <w:t>the physical landscape of the city</w:t>
      </w:r>
      <w:r w:rsidR="008619E0">
        <w:t>,</w:t>
      </w:r>
      <w:r>
        <w:t xml:space="preserve"> and the number of</w:t>
      </w:r>
      <w:r w:rsidR="00E7200C">
        <w:t xml:space="preserve"> agencies involved in the</w:t>
      </w:r>
      <w:r>
        <w:t xml:space="preserve"> execution </w:t>
      </w:r>
      <w:r w:rsidR="00E7200C">
        <w:t>of the event provide sign</w:t>
      </w:r>
      <w:r w:rsidR="00810125">
        <w:t>ificant challenges</w:t>
      </w:r>
      <w:r w:rsidR="00E7200C">
        <w:t xml:space="preserve">. </w:t>
      </w:r>
    </w:p>
    <w:p w14:paraId="1D9576E4" w14:textId="06AAFDDF" w:rsidR="009C5670" w:rsidRDefault="008619E0" w:rsidP="003F0303">
      <w:pPr>
        <w:pStyle w:val="BodyText"/>
        <w:jc w:val="both"/>
      </w:pPr>
      <w:r>
        <w:t>This</w:t>
      </w:r>
      <w:r w:rsidR="009C5670">
        <w:t xml:space="preserve"> plan determine</w:t>
      </w:r>
      <w:r>
        <w:t>s</w:t>
      </w:r>
      <w:r w:rsidR="009C5670">
        <w:t xml:space="preserve"> the strategic direction of the access</w:t>
      </w:r>
      <w:r w:rsidR="00E7200C">
        <w:t>ibility program for the unit over</w:t>
      </w:r>
      <w:r w:rsidR="009C5670">
        <w:t xml:space="preserve"> the next three years. The framework </w:t>
      </w:r>
      <w:r w:rsidR="00E7200C">
        <w:t>in this plan will allow the u</w:t>
      </w:r>
      <w:r w:rsidR="009C5670">
        <w:t xml:space="preserve">nit to consult better with the disability sector and stakeholders to </w:t>
      </w:r>
      <w:r w:rsidR="00E7200C">
        <w:t>ensure improvement and consistency of</w:t>
      </w:r>
      <w:r w:rsidR="00561450">
        <w:t xml:space="preserve"> accessibility services across the event.</w:t>
      </w:r>
    </w:p>
    <w:p w14:paraId="35F0C6EB" w14:textId="346C03A0" w:rsidR="00C132E5" w:rsidRPr="001D0AFC" w:rsidRDefault="004D2236" w:rsidP="00C132E5">
      <w:pPr>
        <w:pStyle w:val="Heading1"/>
      </w:pPr>
      <w:bookmarkStart w:id="3" w:name="_Toc397589411"/>
      <w:r>
        <w:t>Introduction</w:t>
      </w:r>
      <w:bookmarkEnd w:id="3"/>
    </w:p>
    <w:p w14:paraId="710BFB9C" w14:textId="7B9F7FCF" w:rsidR="00C132E5" w:rsidRPr="003F0303" w:rsidRDefault="00985A68" w:rsidP="003F0303">
      <w:pPr>
        <w:pStyle w:val="Heading2"/>
      </w:pPr>
      <w:bookmarkStart w:id="4" w:name="_Toc397589412"/>
      <w:r w:rsidRPr="003F0303">
        <w:t>Sydney New Year’s Eve Unit</w:t>
      </w:r>
      <w:bookmarkEnd w:id="4"/>
    </w:p>
    <w:p w14:paraId="0ABA2572" w14:textId="015E590D" w:rsidR="00985A68" w:rsidRPr="00B91E51" w:rsidRDefault="00985A68" w:rsidP="003F0303">
      <w:pPr>
        <w:pStyle w:val="BodyText"/>
        <w:rPr>
          <w:lang w:eastAsia="en-AU"/>
        </w:rPr>
      </w:pPr>
      <w:r w:rsidRPr="00B91E51">
        <w:rPr>
          <w:lang w:eastAsia="en-AU"/>
        </w:rPr>
        <w:t>Sydney New Year’s Eve</w:t>
      </w:r>
      <w:r w:rsidR="000B6E4A">
        <w:rPr>
          <w:lang w:eastAsia="en-AU"/>
        </w:rPr>
        <w:t xml:space="preserve"> (SNYE)</w:t>
      </w:r>
      <w:r w:rsidRPr="00B91E51">
        <w:rPr>
          <w:lang w:eastAsia="en-AU"/>
        </w:rPr>
        <w:t xml:space="preserve"> is the world’s ultimate fireworks event, reaching 1.6 million people by Sydney Harbour, 2.7 million across Australia and more than a billion worldwide. Research by Events NSW found that Sydney New Year’s Eve contributes $156 million to the local economy. The event draws larger crowds than Paris (100,000), London (700,000), Berlin (1 million) and New York City (1 million). It is the reason why Sydney is the New Year’s Eve Capital of the World.</w:t>
      </w:r>
    </w:p>
    <w:p w14:paraId="55AFCB6C" w14:textId="69846C4D" w:rsidR="00985A68" w:rsidRPr="00B91E51" w:rsidRDefault="00985A68" w:rsidP="003F0303">
      <w:pPr>
        <w:pStyle w:val="BodyText"/>
        <w:rPr>
          <w:lang w:eastAsia="en-AU"/>
        </w:rPr>
      </w:pPr>
      <w:r w:rsidRPr="00B91E51">
        <w:rPr>
          <w:lang w:eastAsia="en-AU"/>
        </w:rPr>
        <w:t xml:space="preserve">The event is produced by the City of Sydney. Fifteen months of hard work go into planning, designing and preparing Sydney New Year’s Eve each year by the City’s team of six dedicated full-time staff led by </w:t>
      </w:r>
      <w:r w:rsidR="00800823">
        <w:rPr>
          <w:lang w:eastAsia="en-AU"/>
        </w:rPr>
        <w:t xml:space="preserve">the </w:t>
      </w:r>
      <w:r w:rsidRPr="00B91E51">
        <w:rPr>
          <w:lang w:eastAsia="en-AU"/>
        </w:rPr>
        <w:t>Producer. Over 1,000 accredited personnel work on the night of the event to ensure everything runs smoothly, with 300 volunteers also pledging their time and support to help with Sydney New Year’s Eve.</w:t>
      </w:r>
    </w:p>
    <w:p w14:paraId="487E3695" w14:textId="183BB804" w:rsidR="00985A68" w:rsidRPr="00B91E51" w:rsidRDefault="00985A68" w:rsidP="003F0303">
      <w:pPr>
        <w:pStyle w:val="BodyText"/>
        <w:rPr>
          <w:lang w:eastAsia="en-AU"/>
        </w:rPr>
      </w:pPr>
      <w:r w:rsidRPr="00B91E51">
        <w:rPr>
          <w:lang w:eastAsia="en-AU"/>
        </w:rPr>
        <w:t xml:space="preserve">The City of Sydney’s New Year’s Eve fireworks displays are the world’s largest and most technologically advanced for New Year’s Eve. Each year the top-secret Sydney Harbour Bridge (Lighting) Effect is a highly anticipated part of the night and is revealed in part during the 9PM Family Fireworks display and in full during the Midnight Fireworks display. The fireworks displays are carefully designed by the City of Sydney’s pyrotechnics contractor, Foti International Fireworks, and require a pyrotechnical crew of 45. </w:t>
      </w:r>
    </w:p>
    <w:p w14:paraId="2D00D82F" w14:textId="77777777" w:rsidR="00985A68" w:rsidRPr="00B91E51" w:rsidRDefault="00985A68" w:rsidP="003F0303">
      <w:pPr>
        <w:pStyle w:val="BodyText"/>
        <w:rPr>
          <w:lang w:eastAsia="en-AU"/>
        </w:rPr>
      </w:pPr>
      <w:r w:rsidRPr="00B91E51">
        <w:rPr>
          <w:lang w:eastAsia="en-AU"/>
        </w:rPr>
        <w:t>Some of the main components of the Sydney New Year’s Eve event produced by the City of Sydney are:</w:t>
      </w:r>
    </w:p>
    <w:p w14:paraId="147245B0" w14:textId="77777777" w:rsidR="00985A68" w:rsidRPr="00C84AD3" w:rsidRDefault="00985A68" w:rsidP="00C84AD3">
      <w:pPr>
        <w:pStyle w:val="Heading3"/>
      </w:pPr>
      <w:r w:rsidRPr="00C84AD3">
        <w:t>Pre-Show Entertainment</w:t>
      </w:r>
    </w:p>
    <w:p w14:paraId="0532E094" w14:textId="4DF47088" w:rsidR="00810125" w:rsidRPr="00C84AD3" w:rsidRDefault="00985A68" w:rsidP="00C84AD3">
      <w:pPr>
        <w:pStyle w:val="BodyText"/>
        <w:rPr>
          <w:lang w:eastAsia="en-AU"/>
        </w:rPr>
      </w:pPr>
      <w:r w:rsidRPr="00B91E51">
        <w:rPr>
          <w:lang w:eastAsia="en-AU"/>
        </w:rPr>
        <w:t>A series of pre-show entertainment</w:t>
      </w:r>
      <w:r w:rsidR="00800823">
        <w:rPr>
          <w:lang w:eastAsia="en-AU"/>
        </w:rPr>
        <w:t xml:space="preserve"> components</w:t>
      </w:r>
      <w:r w:rsidRPr="00B91E51">
        <w:rPr>
          <w:lang w:eastAsia="en-AU"/>
        </w:rPr>
        <w:t xml:space="preserve"> entertain the crowd gathered around Sydney Harbour in advance of the Fireworks displays. Entertainment includes Harbour-focussed aerial flyers, the Sydney Port’s Fire Tug, and a traditional Aboriginal and Torres Strait Islander Smoking Ceremony to cleanse the Harbour of bad spirits.</w:t>
      </w:r>
    </w:p>
    <w:p w14:paraId="2D8A087F" w14:textId="77777777" w:rsidR="00985A68" w:rsidRPr="00B91E51" w:rsidRDefault="00985A68" w:rsidP="00C84AD3">
      <w:pPr>
        <w:pStyle w:val="Heading3"/>
        <w:rPr>
          <w:lang w:eastAsia="en-AU"/>
        </w:rPr>
      </w:pPr>
      <w:r w:rsidRPr="00B91E51">
        <w:rPr>
          <w:lang w:eastAsia="en-AU"/>
        </w:rPr>
        <w:t>Acknowledgement of Country</w:t>
      </w:r>
    </w:p>
    <w:p w14:paraId="50926338" w14:textId="5C6E265A" w:rsidR="00985A68" w:rsidRPr="003970CF" w:rsidRDefault="00985A68" w:rsidP="00C84AD3">
      <w:pPr>
        <w:pStyle w:val="BodyText"/>
        <w:rPr>
          <w:lang w:eastAsia="en-AU"/>
        </w:rPr>
      </w:pPr>
      <w:r w:rsidRPr="00B91E51">
        <w:rPr>
          <w:lang w:eastAsia="en-AU"/>
        </w:rPr>
        <w:t xml:space="preserve">The Acknowledgement of Country segment is a ceremony of respect for the </w:t>
      </w:r>
      <w:r w:rsidR="008619E0">
        <w:rPr>
          <w:lang w:eastAsia="en-AU"/>
        </w:rPr>
        <w:t xml:space="preserve">Aboriginal and Torres Strait Islanders </w:t>
      </w:r>
      <w:r w:rsidRPr="00B91E51">
        <w:rPr>
          <w:lang w:eastAsia="en-AU"/>
        </w:rPr>
        <w:t>people</w:t>
      </w:r>
      <w:r w:rsidR="008619E0">
        <w:rPr>
          <w:lang w:eastAsia="en-AU"/>
        </w:rPr>
        <w:t>s</w:t>
      </w:r>
      <w:r w:rsidRPr="00B91E51">
        <w:rPr>
          <w:lang w:eastAsia="en-AU"/>
        </w:rPr>
        <w:t xml:space="preserve"> as custodians of the land, acknowledging their culture and traditions. It is performed prior to the commencement of the Sydney New </w:t>
      </w:r>
      <w:r w:rsidRPr="00B91E51">
        <w:rPr>
          <w:lang w:eastAsia="en-AU"/>
        </w:rPr>
        <w:lastRenderedPageBreak/>
        <w:t>Year’s Eve celebratory programme both on Sydney Harbour and at the Lord Mayor’s Party.</w:t>
      </w:r>
    </w:p>
    <w:p w14:paraId="1AF53689" w14:textId="77777777" w:rsidR="00985A68" w:rsidRPr="00B91E51" w:rsidRDefault="00985A68" w:rsidP="00C84AD3">
      <w:pPr>
        <w:pStyle w:val="Heading3"/>
        <w:rPr>
          <w:lang w:eastAsia="en-AU"/>
        </w:rPr>
      </w:pPr>
      <w:r w:rsidRPr="00B91E51">
        <w:rPr>
          <w:lang w:eastAsia="en-AU"/>
        </w:rPr>
        <w:t>9pm Family Fireworks</w:t>
      </w:r>
    </w:p>
    <w:p w14:paraId="4C39DB6B" w14:textId="2F9BCCD3" w:rsidR="00985A68" w:rsidRPr="00B91E51" w:rsidRDefault="00985A68" w:rsidP="00C84AD3">
      <w:pPr>
        <w:pStyle w:val="BodyText"/>
        <w:rPr>
          <w:b/>
          <w:bCs/>
          <w:lang w:eastAsia="en-AU"/>
        </w:rPr>
      </w:pPr>
      <w:r w:rsidRPr="00B91E51">
        <w:rPr>
          <w:lang w:eastAsia="en-AU"/>
        </w:rPr>
        <w:t>Designed and choreographed specifically for children with a pop soundtrack to match, these fireworks delight and dazzle audiences as the night sky fills with colour. The 9PM Family Fireworks display is a prelude to the spectacular display that follows at midnight</w:t>
      </w:r>
      <w:r w:rsidR="00800823">
        <w:rPr>
          <w:lang w:eastAsia="en-AU"/>
        </w:rPr>
        <w:t>.</w:t>
      </w:r>
    </w:p>
    <w:p w14:paraId="62A373CE" w14:textId="78F8597B" w:rsidR="00985A68" w:rsidRPr="00B91E51" w:rsidRDefault="00985A68" w:rsidP="00C84AD3">
      <w:pPr>
        <w:pStyle w:val="Heading3"/>
        <w:rPr>
          <w:lang w:eastAsia="en-AU"/>
        </w:rPr>
      </w:pPr>
      <w:r w:rsidRPr="00B91E51">
        <w:rPr>
          <w:lang w:eastAsia="en-AU"/>
        </w:rPr>
        <w:t>Harbour of Light Parade</w:t>
      </w:r>
      <w:r w:rsidR="003F7011">
        <w:rPr>
          <w:rFonts w:cs="Arial"/>
          <w:lang w:eastAsia="en-AU"/>
        </w:rPr>
        <w:t>®</w:t>
      </w:r>
      <w:r w:rsidRPr="00B91E51">
        <w:rPr>
          <w:lang w:eastAsia="en-AU"/>
        </w:rPr>
        <w:t xml:space="preserve"> </w:t>
      </w:r>
    </w:p>
    <w:p w14:paraId="339EA12B" w14:textId="252A3B07" w:rsidR="00985A68" w:rsidRPr="00B91E51" w:rsidRDefault="00476A1B" w:rsidP="00C84AD3">
      <w:pPr>
        <w:pStyle w:val="BodyText"/>
        <w:rPr>
          <w:lang w:eastAsia="en-AU"/>
        </w:rPr>
      </w:pPr>
      <w:r>
        <w:rPr>
          <w:lang w:eastAsia="en-AU"/>
        </w:rPr>
        <w:t xml:space="preserve">The Harbour of Light Parade® </w:t>
      </w:r>
      <w:r w:rsidR="00985A68" w:rsidRPr="00B91E51">
        <w:rPr>
          <w:lang w:eastAsia="en-AU"/>
        </w:rPr>
        <w:t>features up to 60 illuminated boats, making a majestic passage within and around the Sydney Harbour Exclusion Zone after the 9PM Family Fireworks, building up excitement before the countdown to midnight. The boats carry over 8,000 people and join more than 3,000 other vessels celebrating NYE on Sydney Harbour.</w:t>
      </w:r>
    </w:p>
    <w:p w14:paraId="6799C7B5" w14:textId="77777777" w:rsidR="00985A68" w:rsidRPr="00B91E51" w:rsidRDefault="00985A68" w:rsidP="00C84AD3">
      <w:pPr>
        <w:pStyle w:val="Heading3"/>
        <w:rPr>
          <w:lang w:eastAsia="en-AU"/>
        </w:rPr>
      </w:pPr>
      <w:r w:rsidRPr="00B91E51">
        <w:rPr>
          <w:lang w:eastAsia="en-AU"/>
        </w:rPr>
        <w:t>Midnight Fireworks</w:t>
      </w:r>
    </w:p>
    <w:p w14:paraId="118F69D6" w14:textId="2AB6A91C" w:rsidR="00985A68" w:rsidRPr="00B91E51" w:rsidRDefault="00985A68" w:rsidP="00C84AD3">
      <w:pPr>
        <w:pStyle w:val="BodyText"/>
        <w:rPr>
          <w:lang w:eastAsia="en-AU"/>
        </w:rPr>
      </w:pPr>
      <w:r w:rsidRPr="00B91E51">
        <w:rPr>
          <w:lang w:eastAsia="en-AU"/>
        </w:rPr>
        <w:t>At the stroke of midnight, we celebrate the start of a New Year! Sydney does this in style by lighting up the night sky with a spectacular fireworks display</w:t>
      </w:r>
      <w:r w:rsidR="00800823">
        <w:rPr>
          <w:lang w:eastAsia="en-AU"/>
        </w:rPr>
        <w:t>,</w:t>
      </w:r>
      <w:r w:rsidRPr="00B91E51">
        <w:rPr>
          <w:lang w:eastAsia="en-AU"/>
        </w:rPr>
        <w:t xml:space="preserve"> launched from barges on the Harbour, and the Sydney Harbour Bridge.</w:t>
      </w:r>
    </w:p>
    <w:p w14:paraId="45DBEC9E" w14:textId="77777777" w:rsidR="00985A68" w:rsidRPr="00B91E51" w:rsidRDefault="00985A68" w:rsidP="00C84AD3">
      <w:pPr>
        <w:pStyle w:val="Heading3"/>
        <w:rPr>
          <w:lang w:eastAsia="en-AU"/>
        </w:rPr>
      </w:pPr>
      <w:r w:rsidRPr="00B91E51">
        <w:rPr>
          <w:lang w:eastAsia="en-AU"/>
        </w:rPr>
        <w:t>Lord Mayor’s Party</w:t>
      </w:r>
    </w:p>
    <w:p w14:paraId="211133E1" w14:textId="77777777" w:rsidR="00985A68" w:rsidRPr="00B91E51" w:rsidRDefault="00985A68" w:rsidP="00C84AD3">
      <w:pPr>
        <w:pStyle w:val="BodyText"/>
        <w:rPr>
          <w:lang w:eastAsia="en-AU"/>
        </w:rPr>
      </w:pPr>
      <w:r w:rsidRPr="00B91E51">
        <w:rPr>
          <w:lang w:eastAsia="en-AU"/>
        </w:rPr>
        <w:t xml:space="preserve">From 8pm until 2am, 1,200 invited guests of the Lord Mayor and the City of Sydney enjoy live music and entertainment at a premiere function on the Northern Broadwalk of the Sydney Opera House. In addition to providing guests with the greatest view of the Sydney Harbour celebrations, the site functions as the host location for the national television broadcast of the event. </w:t>
      </w:r>
    </w:p>
    <w:p w14:paraId="2C000758" w14:textId="77777777" w:rsidR="00985A68" w:rsidRPr="00B91E51" w:rsidRDefault="00985A68" w:rsidP="00C84AD3">
      <w:pPr>
        <w:pStyle w:val="Heading3"/>
        <w:rPr>
          <w:lang w:eastAsia="en-AU"/>
        </w:rPr>
      </w:pPr>
      <w:r w:rsidRPr="00B91E51">
        <w:rPr>
          <w:lang w:eastAsia="en-AU"/>
        </w:rPr>
        <w:t>Lord Mayor’s Picnic</w:t>
      </w:r>
    </w:p>
    <w:p w14:paraId="1826952F" w14:textId="77777777" w:rsidR="00985A68" w:rsidRPr="00B91E51" w:rsidRDefault="00985A68" w:rsidP="00C84AD3">
      <w:pPr>
        <w:pStyle w:val="BodyText"/>
        <w:rPr>
          <w:lang w:eastAsia="en-AU"/>
        </w:rPr>
      </w:pPr>
      <w:r w:rsidRPr="00B91E51">
        <w:rPr>
          <w:lang w:eastAsia="en-AU"/>
        </w:rPr>
        <w:t xml:space="preserve">Held at the Royal Botanic Gardens from 5pm until after the 9pm Family Fireworks, this invitation only event is for 1,000 children with specific needs and their carers. Tickets are distributed via registered charities, with the City providing activities, entertainment, catering and a first-class view of the 9pm Family Fireworks. </w:t>
      </w:r>
    </w:p>
    <w:p w14:paraId="1B35FA3A" w14:textId="77777777" w:rsidR="00985A68" w:rsidRPr="00B91E51" w:rsidRDefault="00985A68" w:rsidP="00C84AD3">
      <w:pPr>
        <w:pStyle w:val="Heading3"/>
        <w:rPr>
          <w:lang w:eastAsia="en-AU"/>
        </w:rPr>
      </w:pPr>
      <w:r w:rsidRPr="00B91E51">
        <w:rPr>
          <w:lang w:eastAsia="en-AU"/>
        </w:rPr>
        <w:t>Dawes Point Viewing Area</w:t>
      </w:r>
    </w:p>
    <w:p w14:paraId="08AA115E" w14:textId="7C509ED6" w:rsidR="001F1C29" w:rsidRDefault="00985A68" w:rsidP="00C84AD3">
      <w:pPr>
        <w:pStyle w:val="BodyText"/>
        <w:rPr>
          <w:lang w:eastAsia="en-AU"/>
        </w:rPr>
      </w:pPr>
      <w:r w:rsidRPr="00B91E51">
        <w:rPr>
          <w:lang w:eastAsia="en-AU"/>
        </w:rPr>
        <w:t>An invitation only event for 2,</w:t>
      </w:r>
      <w:r w:rsidR="00800823">
        <w:rPr>
          <w:lang w:eastAsia="en-AU"/>
        </w:rPr>
        <w:t>2</w:t>
      </w:r>
      <w:r w:rsidRPr="00B91E51">
        <w:rPr>
          <w:lang w:eastAsia="en-AU"/>
        </w:rPr>
        <w:t xml:space="preserve">00 guests of the City of Sydney, including families of sponsors and event partners held at Dawes Point Reserve in The Rocks. The function runs from 8pm until 1am, providing a casual environmental, entertainment, and a prime foreshore location to enjoy the Fireworks displays. </w:t>
      </w:r>
    </w:p>
    <w:p w14:paraId="7F690A2D" w14:textId="6C7C4609" w:rsidR="001F1C29" w:rsidRDefault="001F1C29" w:rsidP="00C84AD3">
      <w:pPr>
        <w:pStyle w:val="Heading3"/>
        <w:rPr>
          <w:lang w:eastAsia="en-AU"/>
        </w:rPr>
      </w:pPr>
      <w:r>
        <w:rPr>
          <w:lang w:eastAsia="en-AU"/>
        </w:rPr>
        <w:t>General Public Serviced Sites</w:t>
      </w:r>
    </w:p>
    <w:p w14:paraId="3339D22E" w14:textId="77777777" w:rsidR="001F1C29" w:rsidRDefault="001F1C29" w:rsidP="00C84AD3">
      <w:pPr>
        <w:pStyle w:val="BodyText"/>
        <w:rPr>
          <w:lang w:eastAsia="en-AU"/>
        </w:rPr>
      </w:pPr>
      <w:r w:rsidRPr="001F1C29">
        <w:rPr>
          <w:lang w:eastAsia="en-AU"/>
        </w:rPr>
        <w:t>In conjunction with agencies and</w:t>
      </w:r>
      <w:r>
        <w:rPr>
          <w:lang w:eastAsia="en-AU"/>
        </w:rPr>
        <w:t xml:space="preserve"> landowners, the City of Sydney </w:t>
      </w:r>
      <w:r w:rsidRPr="001F1C29">
        <w:rPr>
          <w:lang w:eastAsia="en-AU"/>
        </w:rPr>
        <w:t>will provide access to viewing loc</w:t>
      </w:r>
      <w:r>
        <w:rPr>
          <w:lang w:eastAsia="en-AU"/>
        </w:rPr>
        <w:t xml:space="preserve">ations and associated amenities </w:t>
      </w:r>
      <w:r w:rsidRPr="001F1C29">
        <w:rPr>
          <w:lang w:eastAsia="en-AU"/>
        </w:rPr>
        <w:t>for the general public to view</w:t>
      </w:r>
      <w:r>
        <w:rPr>
          <w:lang w:eastAsia="en-AU"/>
        </w:rPr>
        <w:t xml:space="preserve"> and access the 2013 Sydney New </w:t>
      </w:r>
      <w:r w:rsidRPr="001F1C29">
        <w:rPr>
          <w:lang w:eastAsia="en-AU"/>
        </w:rPr>
        <w:t>Year’</w:t>
      </w:r>
      <w:r>
        <w:rPr>
          <w:lang w:eastAsia="en-AU"/>
        </w:rPr>
        <w:t>s Eve celebrations.</w:t>
      </w:r>
    </w:p>
    <w:p w14:paraId="03E3A2D6" w14:textId="6ED54432" w:rsidR="001F1C29" w:rsidRPr="001F1C29" w:rsidRDefault="001F1C29" w:rsidP="00C84AD3">
      <w:pPr>
        <w:pStyle w:val="BodyText"/>
        <w:rPr>
          <w:lang w:eastAsia="en-AU"/>
        </w:rPr>
      </w:pPr>
      <w:r w:rsidRPr="001F1C29">
        <w:rPr>
          <w:lang w:eastAsia="en-AU"/>
        </w:rPr>
        <w:t>Within the Local Government Area, the City</w:t>
      </w:r>
      <w:r>
        <w:rPr>
          <w:lang w:eastAsia="en-AU"/>
        </w:rPr>
        <w:t xml:space="preserve"> of Sydney will provide </w:t>
      </w:r>
      <w:r w:rsidR="00800823">
        <w:rPr>
          <w:lang w:eastAsia="en-AU"/>
        </w:rPr>
        <w:t>six</w:t>
      </w:r>
      <w:r>
        <w:rPr>
          <w:lang w:eastAsia="en-AU"/>
        </w:rPr>
        <w:t xml:space="preserve"> serviced sites off</w:t>
      </w:r>
      <w:r w:rsidRPr="001F1C29">
        <w:rPr>
          <w:lang w:eastAsia="en-AU"/>
        </w:rPr>
        <w:t>ering view</w:t>
      </w:r>
      <w:r>
        <w:rPr>
          <w:lang w:eastAsia="en-AU"/>
        </w:rPr>
        <w:t xml:space="preserve">s of elements of Sydney Harbour </w:t>
      </w:r>
      <w:r w:rsidRPr="001F1C29">
        <w:rPr>
          <w:lang w:eastAsia="en-AU"/>
        </w:rPr>
        <w:t>celebrations, food and beverage vendors and general amenities:</w:t>
      </w:r>
    </w:p>
    <w:p w14:paraId="4EEA994C" w14:textId="6832E69A" w:rsidR="001F1C29" w:rsidRPr="00071DB3" w:rsidRDefault="001F1C29" w:rsidP="00D80283">
      <w:pPr>
        <w:pStyle w:val="BodyText"/>
        <w:numPr>
          <w:ilvl w:val="0"/>
          <w:numId w:val="1"/>
        </w:numPr>
        <w:spacing w:after="0"/>
        <w:ind w:left="714" w:hanging="357"/>
        <w:jc w:val="both"/>
      </w:pPr>
      <w:r w:rsidRPr="00071DB3">
        <w:t>Bicentennial Park – Glebe</w:t>
      </w:r>
    </w:p>
    <w:p w14:paraId="1907E33C" w14:textId="56D37CB7" w:rsidR="001F1C29" w:rsidRPr="00071DB3" w:rsidRDefault="001F1C29" w:rsidP="00D80283">
      <w:pPr>
        <w:pStyle w:val="BodyText"/>
        <w:numPr>
          <w:ilvl w:val="0"/>
          <w:numId w:val="1"/>
        </w:numPr>
        <w:spacing w:after="0"/>
        <w:ind w:left="714" w:hanging="357"/>
        <w:jc w:val="both"/>
      </w:pPr>
      <w:r w:rsidRPr="00071DB3">
        <w:t>Embarkation Park – Kings Cross</w:t>
      </w:r>
    </w:p>
    <w:p w14:paraId="5EA53A7B" w14:textId="06113780" w:rsidR="001F1C29" w:rsidRPr="00071DB3" w:rsidRDefault="001F1C29" w:rsidP="00D80283">
      <w:pPr>
        <w:pStyle w:val="BodyText"/>
        <w:numPr>
          <w:ilvl w:val="0"/>
          <w:numId w:val="1"/>
        </w:numPr>
        <w:spacing w:after="0"/>
        <w:ind w:left="714" w:hanging="357"/>
        <w:jc w:val="both"/>
      </w:pPr>
      <w:r w:rsidRPr="00071DB3">
        <w:lastRenderedPageBreak/>
        <w:t>Observatory Hill – Millers Point</w:t>
      </w:r>
    </w:p>
    <w:p w14:paraId="7BB8680A" w14:textId="33DD9461" w:rsidR="001F1C29" w:rsidRPr="00071DB3" w:rsidRDefault="001F1C29" w:rsidP="00D80283">
      <w:pPr>
        <w:pStyle w:val="BodyText"/>
        <w:numPr>
          <w:ilvl w:val="0"/>
          <w:numId w:val="1"/>
        </w:numPr>
        <w:spacing w:after="0"/>
        <w:ind w:left="714" w:hanging="357"/>
        <w:jc w:val="both"/>
      </w:pPr>
      <w:r w:rsidRPr="00071DB3">
        <w:t>Pirrama Park – Pyrmont</w:t>
      </w:r>
    </w:p>
    <w:p w14:paraId="7697B197" w14:textId="2D86C1E6" w:rsidR="001F1C29" w:rsidRDefault="001F1C29" w:rsidP="00D80283">
      <w:pPr>
        <w:pStyle w:val="BodyText"/>
        <w:numPr>
          <w:ilvl w:val="0"/>
          <w:numId w:val="1"/>
        </w:numPr>
        <w:spacing w:after="0"/>
        <w:ind w:left="714" w:hanging="357"/>
        <w:jc w:val="both"/>
        <w:rPr>
          <w:rFonts w:eastAsia="Times New Roman" w:cstheme="minorHAnsi"/>
          <w:lang w:eastAsia="en-AU"/>
        </w:rPr>
      </w:pPr>
      <w:r w:rsidRPr="00071DB3">
        <w:t>Giba Park</w:t>
      </w:r>
      <w:r w:rsidRPr="00071DB3">
        <w:rPr>
          <w:rFonts w:eastAsia="Times New Roman" w:cstheme="minorHAnsi"/>
          <w:lang w:eastAsia="en-AU"/>
        </w:rPr>
        <w:t xml:space="preserve"> – Pyrmont</w:t>
      </w:r>
    </w:p>
    <w:p w14:paraId="1BF8E628" w14:textId="51200E80" w:rsidR="001F1C29" w:rsidRPr="00C84AD3" w:rsidRDefault="00800823" w:rsidP="00D80283">
      <w:pPr>
        <w:pStyle w:val="BodyText"/>
        <w:numPr>
          <w:ilvl w:val="0"/>
          <w:numId w:val="1"/>
        </w:numPr>
        <w:spacing w:after="0"/>
        <w:ind w:left="714" w:hanging="357"/>
        <w:jc w:val="both"/>
        <w:rPr>
          <w:rFonts w:eastAsia="Times New Roman" w:cstheme="minorHAnsi"/>
          <w:lang w:eastAsia="en-AU"/>
        </w:rPr>
      </w:pPr>
      <w:r>
        <w:rPr>
          <w:rFonts w:eastAsia="Times New Roman" w:cstheme="minorHAnsi"/>
          <w:lang w:eastAsia="en-AU"/>
        </w:rPr>
        <w:t>Beare Park – Elizabeth Bay</w:t>
      </w:r>
    </w:p>
    <w:p w14:paraId="36A23BBD" w14:textId="06A62DE0" w:rsidR="001F1C29" w:rsidRDefault="00800823" w:rsidP="00C84AD3">
      <w:pPr>
        <w:pStyle w:val="Heading3"/>
        <w:rPr>
          <w:lang w:eastAsia="en-AU"/>
        </w:rPr>
      </w:pPr>
      <w:r>
        <w:rPr>
          <w:lang w:eastAsia="en-AU"/>
        </w:rPr>
        <w:t>Citywide Operations</w:t>
      </w:r>
    </w:p>
    <w:p w14:paraId="55D92ADA" w14:textId="074DCBAF" w:rsidR="00C84AD3" w:rsidRPr="001F1C29" w:rsidRDefault="001F1C29" w:rsidP="00C84AD3">
      <w:pPr>
        <w:pStyle w:val="BodyText"/>
        <w:rPr>
          <w:lang w:eastAsia="en-AU"/>
        </w:rPr>
      </w:pPr>
      <w:r w:rsidRPr="001F1C29">
        <w:rPr>
          <w:lang w:eastAsia="en-AU"/>
        </w:rPr>
        <w:t>Macquarie Street is a key precinct for Sydney New Year’</w:t>
      </w:r>
      <w:r w:rsidR="008619E0">
        <w:rPr>
          <w:lang w:eastAsia="en-AU"/>
        </w:rPr>
        <w:t>s Eve. It</w:t>
      </w:r>
      <w:r>
        <w:rPr>
          <w:lang w:eastAsia="en-AU"/>
        </w:rPr>
        <w:t xml:space="preserve"> </w:t>
      </w:r>
      <w:r w:rsidR="008619E0">
        <w:rPr>
          <w:lang w:eastAsia="en-AU"/>
        </w:rPr>
        <w:t>provides</w:t>
      </w:r>
      <w:r w:rsidRPr="001F1C29">
        <w:rPr>
          <w:lang w:eastAsia="en-AU"/>
        </w:rPr>
        <w:t xml:space="preserve"> the means of accessing ticketed events including th</w:t>
      </w:r>
      <w:r w:rsidR="00800823">
        <w:rPr>
          <w:lang w:eastAsia="en-AU"/>
        </w:rPr>
        <w:t>e</w:t>
      </w:r>
      <w:r w:rsidR="0031382A">
        <w:rPr>
          <w:lang w:eastAsia="en-AU"/>
        </w:rPr>
        <w:t xml:space="preserve"> </w:t>
      </w:r>
      <w:r w:rsidRPr="001F1C29">
        <w:rPr>
          <w:lang w:eastAsia="en-AU"/>
        </w:rPr>
        <w:t>Lord Mayor’s Party and Picnic an</w:t>
      </w:r>
      <w:r>
        <w:rPr>
          <w:lang w:eastAsia="en-AU"/>
        </w:rPr>
        <w:t xml:space="preserve">d events at Sydney Opera House, </w:t>
      </w:r>
      <w:r w:rsidRPr="001F1C29">
        <w:rPr>
          <w:lang w:eastAsia="en-AU"/>
        </w:rPr>
        <w:t>Royal</w:t>
      </w:r>
      <w:r w:rsidR="00DA6130">
        <w:rPr>
          <w:lang w:eastAsia="en-AU"/>
        </w:rPr>
        <w:t xml:space="preserve"> Botanic </w:t>
      </w:r>
      <w:r w:rsidRPr="001F1C29">
        <w:rPr>
          <w:lang w:eastAsia="en-AU"/>
        </w:rPr>
        <w:t>G</w:t>
      </w:r>
      <w:r w:rsidR="00DA6130">
        <w:rPr>
          <w:lang w:eastAsia="en-AU"/>
        </w:rPr>
        <w:t>arden</w:t>
      </w:r>
      <w:r w:rsidRPr="001F1C29">
        <w:rPr>
          <w:lang w:eastAsia="en-AU"/>
        </w:rPr>
        <w:t xml:space="preserve"> and RTA Cahill Expressway, produced by</w:t>
      </w:r>
      <w:r>
        <w:rPr>
          <w:lang w:eastAsia="en-AU"/>
        </w:rPr>
        <w:t xml:space="preserve"> </w:t>
      </w:r>
      <w:r w:rsidRPr="001F1C29">
        <w:rPr>
          <w:lang w:eastAsia="en-AU"/>
        </w:rPr>
        <w:t>landowners. The area will provide a main entry point for the general</w:t>
      </w:r>
      <w:r>
        <w:rPr>
          <w:lang w:eastAsia="en-AU"/>
        </w:rPr>
        <w:t xml:space="preserve"> </w:t>
      </w:r>
      <w:r w:rsidRPr="001F1C29">
        <w:rPr>
          <w:lang w:eastAsia="en-AU"/>
        </w:rPr>
        <w:t>public accessing prime foreshor</w:t>
      </w:r>
      <w:r>
        <w:rPr>
          <w:lang w:eastAsia="en-AU"/>
        </w:rPr>
        <w:t xml:space="preserve">e viewing locations, businesses </w:t>
      </w:r>
      <w:r w:rsidRPr="001F1C29">
        <w:rPr>
          <w:lang w:eastAsia="en-AU"/>
        </w:rPr>
        <w:t>and residents in East Circular Quay as well as standby for the City’</w:t>
      </w:r>
      <w:r>
        <w:rPr>
          <w:lang w:eastAsia="en-AU"/>
        </w:rPr>
        <w:t xml:space="preserve">s </w:t>
      </w:r>
      <w:r w:rsidRPr="001F1C29">
        <w:rPr>
          <w:lang w:eastAsia="en-AU"/>
        </w:rPr>
        <w:t>Official Party vehicles.</w:t>
      </w:r>
    </w:p>
    <w:p w14:paraId="25E5E52C" w14:textId="7EAFCC15" w:rsidR="00800823" w:rsidRDefault="001F1C29" w:rsidP="00C84AD3">
      <w:pPr>
        <w:pStyle w:val="BodyText"/>
        <w:rPr>
          <w:lang w:eastAsia="en-AU"/>
        </w:rPr>
      </w:pPr>
      <w:r w:rsidRPr="001F1C29">
        <w:rPr>
          <w:lang w:eastAsia="en-AU"/>
        </w:rPr>
        <w:t>To assist with crowd safety and</w:t>
      </w:r>
      <w:r>
        <w:rPr>
          <w:lang w:eastAsia="en-AU"/>
        </w:rPr>
        <w:t xml:space="preserve"> access management, the City of </w:t>
      </w:r>
      <w:r w:rsidRPr="001F1C29">
        <w:rPr>
          <w:lang w:eastAsia="en-AU"/>
        </w:rPr>
        <w:t>Sydney operates a managed access p</w:t>
      </w:r>
      <w:r>
        <w:rPr>
          <w:lang w:eastAsia="en-AU"/>
        </w:rPr>
        <w:t xml:space="preserve">oint at Macquarie Street, north </w:t>
      </w:r>
      <w:r w:rsidRPr="001F1C29">
        <w:rPr>
          <w:lang w:eastAsia="en-AU"/>
        </w:rPr>
        <w:t>of Bridge Street and a soft tick</w:t>
      </w:r>
      <w:r>
        <w:rPr>
          <w:lang w:eastAsia="en-AU"/>
        </w:rPr>
        <w:t xml:space="preserve">et checkpoint at Conservatorium </w:t>
      </w:r>
      <w:r w:rsidRPr="001F1C29">
        <w:rPr>
          <w:lang w:eastAsia="en-AU"/>
        </w:rPr>
        <w:t xml:space="preserve">Road. </w:t>
      </w:r>
    </w:p>
    <w:p w14:paraId="11F736AA" w14:textId="08A57A1B" w:rsidR="00071DB3" w:rsidRPr="001F1C29" w:rsidRDefault="00800823" w:rsidP="00C84AD3">
      <w:pPr>
        <w:pStyle w:val="BodyText"/>
        <w:rPr>
          <w:lang w:eastAsia="en-AU"/>
        </w:rPr>
      </w:pPr>
      <w:r>
        <w:rPr>
          <w:lang w:eastAsia="en-AU"/>
        </w:rPr>
        <w:t>T</w:t>
      </w:r>
      <w:r w:rsidR="001F1C29" w:rsidRPr="001F1C29">
        <w:rPr>
          <w:lang w:eastAsia="en-AU"/>
        </w:rPr>
        <w:t>he City of Sydney</w:t>
      </w:r>
      <w:r w:rsidR="001F1C29">
        <w:rPr>
          <w:lang w:eastAsia="en-AU"/>
        </w:rPr>
        <w:t xml:space="preserve"> provides spectator information </w:t>
      </w:r>
      <w:r w:rsidR="008619E0">
        <w:rPr>
          <w:lang w:eastAsia="en-AU"/>
        </w:rPr>
        <w:t>services via information b</w:t>
      </w:r>
      <w:r w:rsidR="001F1C29" w:rsidRPr="001F1C29">
        <w:rPr>
          <w:lang w:eastAsia="en-AU"/>
        </w:rPr>
        <w:t xml:space="preserve">ooths and </w:t>
      </w:r>
      <w:r>
        <w:rPr>
          <w:lang w:eastAsia="en-AU"/>
        </w:rPr>
        <w:t>way</w:t>
      </w:r>
      <w:r w:rsidR="003E13A9">
        <w:rPr>
          <w:lang w:eastAsia="en-AU"/>
        </w:rPr>
        <w:t xml:space="preserve"> </w:t>
      </w:r>
      <w:r>
        <w:rPr>
          <w:lang w:eastAsia="en-AU"/>
        </w:rPr>
        <w:t xml:space="preserve">finding </w:t>
      </w:r>
      <w:r w:rsidR="001F1C29" w:rsidRPr="001F1C29">
        <w:rPr>
          <w:lang w:eastAsia="en-AU"/>
        </w:rPr>
        <w:t>signage</w:t>
      </w:r>
      <w:r>
        <w:rPr>
          <w:lang w:eastAsia="en-AU"/>
        </w:rPr>
        <w:t xml:space="preserve"> throughout the city.</w:t>
      </w:r>
      <w:r w:rsidR="003E13A9">
        <w:rPr>
          <w:lang w:eastAsia="en-AU"/>
        </w:rPr>
        <w:t xml:space="preserve"> </w:t>
      </w:r>
      <w:r w:rsidR="00071DB3" w:rsidRPr="00071DB3">
        <w:rPr>
          <w:lang w:eastAsia="en-AU"/>
        </w:rPr>
        <w:t xml:space="preserve">Across the Sydney CBD area, in addition to the </w:t>
      </w:r>
      <w:r>
        <w:rPr>
          <w:lang w:eastAsia="en-AU"/>
        </w:rPr>
        <w:t>six</w:t>
      </w:r>
      <w:r w:rsidR="00071DB3" w:rsidRPr="00071DB3">
        <w:rPr>
          <w:lang w:eastAsia="en-AU"/>
        </w:rPr>
        <w:t xml:space="preserve"> serviced sites,</w:t>
      </w:r>
      <w:r w:rsidR="00071DB3">
        <w:rPr>
          <w:lang w:eastAsia="en-AU"/>
        </w:rPr>
        <w:t xml:space="preserve"> </w:t>
      </w:r>
      <w:r w:rsidR="00071DB3" w:rsidRPr="00071DB3">
        <w:rPr>
          <w:lang w:eastAsia="en-AU"/>
        </w:rPr>
        <w:t>the City of Sydney will coordinate the provision of general food and</w:t>
      </w:r>
      <w:r w:rsidR="00071DB3">
        <w:rPr>
          <w:lang w:eastAsia="en-AU"/>
        </w:rPr>
        <w:t xml:space="preserve"> </w:t>
      </w:r>
      <w:r w:rsidR="00071DB3" w:rsidRPr="00071DB3">
        <w:rPr>
          <w:lang w:eastAsia="en-AU"/>
        </w:rPr>
        <w:t>beverage vendors in a variety of high-traffic general public areas</w:t>
      </w:r>
      <w:r w:rsidR="00071DB3">
        <w:rPr>
          <w:lang w:eastAsia="en-AU"/>
        </w:rPr>
        <w:t xml:space="preserve"> </w:t>
      </w:r>
      <w:r w:rsidR="00071DB3" w:rsidRPr="00071DB3">
        <w:rPr>
          <w:lang w:eastAsia="en-AU"/>
        </w:rPr>
        <w:t xml:space="preserve">including </w:t>
      </w:r>
      <w:r w:rsidR="0031382A">
        <w:rPr>
          <w:lang w:eastAsia="en-AU"/>
        </w:rPr>
        <w:t>Circular Quay,</w:t>
      </w:r>
      <w:r w:rsidR="00071DB3" w:rsidRPr="00071DB3">
        <w:rPr>
          <w:lang w:eastAsia="en-AU"/>
        </w:rPr>
        <w:t xml:space="preserve"> George Street and Hyde Park</w:t>
      </w:r>
      <w:r w:rsidR="00071DB3">
        <w:rPr>
          <w:rFonts w:ascii="Archer-Light" w:eastAsiaTheme="minorHAnsi" w:hAnsi="Archer-Light" w:cs="Archer-Light"/>
          <w:sz w:val="22"/>
          <w:szCs w:val="22"/>
          <w:lang w:eastAsia="en-US"/>
        </w:rPr>
        <w:t>.</w:t>
      </w:r>
    </w:p>
    <w:p w14:paraId="01F5BA48" w14:textId="1FB656A6" w:rsidR="002A2AE9" w:rsidRDefault="002A2AE9" w:rsidP="00C84AD3">
      <w:pPr>
        <w:pStyle w:val="Heading2"/>
      </w:pPr>
      <w:bookmarkStart w:id="5" w:name="_Toc397589413"/>
      <w:r>
        <w:t>Customers</w:t>
      </w:r>
      <w:bookmarkEnd w:id="5"/>
    </w:p>
    <w:p w14:paraId="0FD18EA8" w14:textId="7E4BDF37" w:rsidR="004B73C4" w:rsidRPr="004B73C4" w:rsidRDefault="004B73C4" w:rsidP="00C84AD3">
      <w:pPr>
        <w:pStyle w:val="Heading3"/>
        <w:rPr>
          <w:lang w:eastAsia="en-AU"/>
        </w:rPr>
      </w:pPr>
      <w:r>
        <w:rPr>
          <w:lang w:eastAsia="en-AU"/>
        </w:rPr>
        <w:t>Sydney New Year’s Eve Event</w:t>
      </w:r>
    </w:p>
    <w:p w14:paraId="095E157D" w14:textId="66401D7F" w:rsidR="002A2AE9" w:rsidRPr="00BA52E7" w:rsidRDefault="002A2AE9" w:rsidP="00C84AD3">
      <w:pPr>
        <w:pStyle w:val="BodyText"/>
        <w:rPr>
          <w:lang w:eastAsia="en-AU"/>
        </w:rPr>
      </w:pPr>
      <w:r w:rsidRPr="00BA52E7">
        <w:rPr>
          <w:lang w:eastAsia="en-AU"/>
        </w:rPr>
        <w:t>SNYE attracts 1.6 million attendees on the night who watch the fireworks from vantage points around Sydney Harbour</w:t>
      </w:r>
      <w:r w:rsidR="004B73C4" w:rsidRPr="00BA52E7">
        <w:rPr>
          <w:lang w:eastAsia="en-AU"/>
        </w:rPr>
        <w:t xml:space="preserve"> these include residents, event goers, families with children, youth, domestic and international visitors</w:t>
      </w:r>
      <w:r w:rsidRPr="00BA52E7">
        <w:rPr>
          <w:lang w:eastAsia="en-AU"/>
        </w:rPr>
        <w:t xml:space="preserve">. </w:t>
      </w:r>
    </w:p>
    <w:p w14:paraId="2806504F" w14:textId="72BADAF1" w:rsidR="004B73C4" w:rsidRDefault="004B73C4" w:rsidP="00C84AD3">
      <w:pPr>
        <w:pStyle w:val="BodyText"/>
        <w:rPr>
          <w:lang w:eastAsia="en-AU"/>
        </w:rPr>
      </w:pPr>
      <w:r w:rsidRPr="00BA52E7">
        <w:rPr>
          <w:lang w:eastAsia="en-AU"/>
        </w:rPr>
        <w:t xml:space="preserve">A national television audience of </w:t>
      </w:r>
      <w:r w:rsidR="0031382A">
        <w:rPr>
          <w:lang w:eastAsia="en-AU"/>
        </w:rPr>
        <w:t>over two million</w:t>
      </w:r>
      <w:r w:rsidRPr="00BA52E7">
        <w:rPr>
          <w:lang w:eastAsia="en-AU"/>
        </w:rPr>
        <w:t xml:space="preserve"> and a global television audience of </w:t>
      </w:r>
      <w:r w:rsidR="002A2AE9" w:rsidRPr="00BA52E7">
        <w:rPr>
          <w:lang w:eastAsia="en-AU"/>
        </w:rPr>
        <w:t xml:space="preserve">more than one billion </w:t>
      </w:r>
      <w:r w:rsidRPr="00BA52E7">
        <w:rPr>
          <w:lang w:eastAsia="en-AU"/>
        </w:rPr>
        <w:t>from 160 countries worldwide watch the broadcast of the Fireworks Displays.</w:t>
      </w:r>
    </w:p>
    <w:p w14:paraId="5E561852" w14:textId="34CC611D" w:rsidR="004B73C4" w:rsidRPr="004B73C4" w:rsidRDefault="004B73C4" w:rsidP="00C84AD3">
      <w:pPr>
        <w:pStyle w:val="Heading2"/>
        <w:rPr>
          <w:lang w:eastAsia="en-AU"/>
        </w:rPr>
      </w:pPr>
      <w:bookmarkStart w:id="6" w:name="_Toc397589414"/>
      <w:r>
        <w:rPr>
          <w:lang w:eastAsia="en-AU"/>
        </w:rPr>
        <w:t>City of Sydney</w:t>
      </w:r>
      <w:bookmarkEnd w:id="6"/>
    </w:p>
    <w:p w14:paraId="78D52354" w14:textId="0317935A" w:rsidR="00800823" w:rsidRPr="0031382A" w:rsidRDefault="00800823" w:rsidP="003E13A9">
      <w:pPr>
        <w:pStyle w:val="BodyText"/>
        <w:rPr>
          <w:lang w:eastAsia="en-US"/>
        </w:rPr>
      </w:pPr>
      <w:r w:rsidRPr="0031382A">
        <w:rPr>
          <w:lang w:eastAsia="en-US"/>
        </w:rPr>
        <w:t>The City of Sydney is a vibrant Local Government Area, made up of diverse community groups spread across 2,672 hectares (27 km2). As one of Australia’s leading global cities, the City is unique and demands consideration of how we treat residents, workers and visitors. Over 395,000 people work in the City and 10.5 million people visit Metropolitan Sydney annually.</w:t>
      </w:r>
    </w:p>
    <w:p w14:paraId="168881C9" w14:textId="3A7C94ED" w:rsidR="00800823" w:rsidRPr="0031382A" w:rsidRDefault="00800823" w:rsidP="003E13A9">
      <w:pPr>
        <w:pStyle w:val="BodyText"/>
        <w:rPr>
          <w:lang w:eastAsia="en-US"/>
        </w:rPr>
      </w:pPr>
      <w:r w:rsidRPr="0031382A">
        <w:rPr>
          <w:lang w:eastAsia="en-US"/>
        </w:rPr>
        <w:t>Currently, there are more than 180,000 people living within the City’s boundaries, with the population predicted to increase by 1.5 per cent per annum to reach 243,000 people by 2030. In 2011, more than 4,000 residents of the City of Sydney reported needing help with day</w:t>
      </w:r>
      <w:r w:rsidRPr="0031382A">
        <w:rPr>
          <w:rFonts w:ascii="MS Gothic" w:eastAsia="MS Gothic" w:hAnsi="MS Gothic" w:cs="MS Gothic"/>
          <w:lang w:eastAsia="en-US"/>
        </w:rPr>
        <w:t>‑</w:t>
      </w:r>
      <w:r w:rsidRPr="0031382A">
        <w:rPr>
          <w:lang w:eastAsia="en-US"/>
        </w:rPr>
        <w:t>to</w:t>
      </w:r>
      <w:r w:rsidRPr="0031382A">
        <w:rPr>
          <w:rFonts w:ascii="MS Gothic" w:eastAsia="MS Gothic" w:hAnsi="MS Gothic" w:cs="MS Gothic"/>
          <w:lang w:eastAsia="en-US"/>
        </w:rPr>
        <w:t>‑</w:t>
      </w:r>
      <w:r w:rsidRPr="0031382A">
        <w:rPr>
          <w:lang w:eastAsia="en-US"/>
        </w:rPr>
        <w:t>day activities including self-care, body movement and communication due to disabilities.1 However, this number is not a true reflection of the extent of the City’s responsibilities; we know there are many more residents who identify with disability, and many people with a disability who visit and work in the City of Sydney.</w:t>
      </w:r>
    </w:p>
    <w:p w14:paraId="76D668B3" w14:textId="3B1434F1" w:rsidR="00C84AD3" w:rsidRPr="00F77EE7" w:rsidRDefault="00800823" w:rsidP="00F77EE7">
      <w:pPr>
        <w:pStyle w:val="BodyText"/>
        <w:rPr>
          <w:lang w:eastAsia="en-US"/>
        </w:rPr>
      </w:pPr>
      <w:r w:rsidRPr="0031382A">
        <w:rPr>
          <w:lang w:eastAsia="en-US"/>
        </w:rPr>
        <w:t xml:space="preserve">In Australia, we know that approximately 20 per cent of the Australian population, equivalent to more than 3 million people have one or more disabilities. There are “1.3 million people in NSW with disability, of which 420,000 have a severe or profound </w:t>
      </w:r>
      <w:r w:rsidRPr="0031382A">
        <w:rPr>
          <w:lang w:eastAsia="en-US"/>
        </w:rPr>
        <w:lastRenderedPageBreak/>
        <w:t>disability that affects their ability to communicate, get around and care for themselves”.2</w:t>
      </w:r>
      <w:r w:rsidR="008619E0">
        <w:rPr>
          <w:lang w:eastAsia="en-US"/>
        </w:rPr>
        <w:t xml:space="preserve"> Given that approximately one in five</w:t>
      </w:r>
      <w:r w:rsidRPr="0031382A">
        <w:rPr>
          <w:lang w:eastAsia="en-US"/>
        </w:rPr>
        <w:t xml:space="preserve"> people have some form of disability in Australia, inclusion and access is vital for City of Sydney as a global, inclusive and accessible city.</w:t>
      </w:r>
    </w:p>
    <w:p w14:paraId="512606BD" w14:textId="77777777" w:rsidR="00800823" w:rsidRDefault="00800823" w:rsidP="00810125">
      <w:pPr>
        <w:autoSpaceDE w:val="0"/>
        <w:autoSpaceDN w:val="0"/>
        <w:adjustRightInd w:val="0"/>
        <w:jc w:val="both"/>
        <w:rPr>
          <w:rFonts w:ascii="Swiss721BT-Light" w:eastAsiaTheme="minorHAnsi" w:hAnsi="Swiss721BT-Light" w:cs="Swiss721BT-Light"/>
          <w:sz w:val="14"/>
          <w:szCs w:val="14"/>
          <w:lang w:eastAsia="en-US"/>
        </w:rPr>
      </w:pPr>
      <w:r>
        <w:rPr>
          <w:rFonts w:ascii="Swiss721BT-Light" w:eastAsiaTheme="minorHAnsi" w:hAnsi="Swiss721BT-Light" w:cs="Swiss721BT-Light"/>
          <w:sz w:val="14"/>
          <w:szCs w:val="14"/>
          <w:lang w:eastAsia="en-US"/>
        </w:rPr>
        <w:t>1. Australian Bureau of Statistics, Census of Population and Housing 2011, compiled and presented by profile.id, available from: http://profile.id.com.au/sydney/assistance</w:t>
      </w:r>
    </w:p>
    <w:p w14:paraId="2E24C546" w14:textId="113FE3EF" w:rsidR="00BA52E7" w:rsidRPr="00F77EE7" w:rsidRDefault="00800823" w:rsidP="00F77EE7">
      <w:pPr>
        <w:autoSpaceDE w:val="0"/>
        <w:autoSpaceDN w:val="0"/>
        <w:adjustRightInd w:val="0"/>
        <w:jc w:val="both"/>
        <w:rPr>
          <w:rFonts w:ascii="Swiss721BT-Light" w:eastAsiaTheme="minorHAnsi" w:hAnsi="Swiss721BT-Light" w:cs="Swiss721BT-Light"/>
          <w:sz w:val="14"/>
          <w:szCs w:val="14"/>
          <w:lang w:eastAsia="en-US"/>
        </w:rPr>
      </w:pPr>
      <w:r>
        <w:rPr>
          <w:rFonts w:ascii="Swiss721BT-Light" w:eastAsiaTheme="minorHAnsi" w:hAnsi="Swiss721BT-Light" w:cs="Swiss721BT-Light"/>
          <w:sz w:val="14"/>
          <w:szCs w:val="14"/>
          <w:lang w:eastAsia="en-US"/>
        </w:rPr>
        <w:t>2. National Disability Strategy NSW Implementation Plan (2013) p.4, available from: http://www.adhc.nsw.gov.au/__data/assets/file/0003/262542/3002_ ADHC_NDS_NIP_A4_reprint_web.pdf</w:t>
      </w:r>
    </w:p>
    <w:p w14:paraId="3151A75E" w14:textId="77777777" w:rsidR="00BD0A67" w:rsidRDefault="00BD0A67" w:rsidP="00F77EE7">
      <w:pPr>
        <w:pStyle w:val="Heading2"/>
      </w:pPr>
      <w:bookmarkStart w:id="7" w:name="_Toc397589415"/>
      <w:r>
        <w:t>Accessible Tourism</w:t>
      </w:r>
      <w:bookmarkEnd w:id="7"/>
    </w:p>
    <w:p w14:paraId="53B0D589" w14:textId="62F43D11" w:rsidR="00BA52E7" w:rsidRPr="00F77EE7" w:rsidRDefault="00BD0A67" w:rsidP="00F77EE7">
      <w:pPr>
        <w:pStyle w:val="BodyText"/>
      </w:pPr>
      <w:r w:rsidRPr="00F77EE7">
        <w:t>Tourism New South Wales has identified that there are 730,000 people with a physical disability in New South Wa</w:t>
      </w:r>
      <w:r w:rsidR="008619E0" w:rsidRPr="00F77EE7">
        <w:t>les. Research indicates that 77 per cent</w:t>
      </w:r>
      <w:r w:rsidRPr="00F77EE7">
        <w:t xml:space="preserve"> of these people travelled within Austra</w:t>
      </w:r>
      <w:r w:rsidR="008619E0" w:rsidRPr="00F77EE7">
        <w:t>lia in the previous year and 11per cent</w:t>
      </w:r>
      <w:r w:rsidRPr="00F77EE7">
        <w:t xml:space="preserve"> travelled overseas. The average group size for domestic trips was 4.1 people, generally with only one person in having a disability in the group.</w:t>
      </w:r>
    </w:p>
    <w:p w14:paraId="76707320" w14:textId="77777777" w:rsidR="00620ADD" w:rsidRPr="00620ADD" w:rsidRDefault="00620ADD" w:rsidP="00810125">
      <w:pPr>
        <w:pStyle w:val="BodyText"/>
        <w:jc w:val="both"/>
      </w:pPr>
      <w:r w:rsidRPr="00620ADD">
        <w:t xml:space="preserve">The </w:t>
      </w:r>
      <w:r w:rsidRPr="00620ADD">
        <w:rPr>
          <w:i/>
        </w:rPr>
        <w:t>National Visitor Survey</w:t>
      </w:r>
      <w:r w:rsidRPr="00620ADD">
        <w:t xml:space="preserve"> estimated that:</w:t>
      </w:r>
    </w:p>
    <w:p w14:paraId="52FD8198" w14:textId="6298DDDE" w:rsidR="00620ADD" w:rsidRPr="00F77EE7" w:rsidRDefault="008619E0" w:rsidP="00D80283">
      <w:pPr>
        <w:pStyle w:val="BodyText"/>
        <w:numPr>
          <w:ilvl w:val="0"/>
          <w:numId w:val="3"/>
        </w:numPr>
      </w:pPr>
      <w:r w:rsidRPr="00F77EE7">
        <w:t>Some 88 per cent</w:t>
      </w:r>
      <w:r w:rsidR="00620ADD" w:rsidRPr="00F77EE7">
        <w:t xml:space="preserve"> of people with disability take a holiday each year that accounted for some 8.2 million overnight trips.</w:t>
      </w:r>
    </w:p>
    <w:p w14:paraId="62617E81" w14:textId="42CDD15A" w:rsidR="00620ADD" w:rsidRPr="00F77EE7" w:rsidRDefault="00620ADD" w:rsidP="00D80283">
      <w:pPr>
        <w:pStyle w:val="BodyText"/>
        <w:numPr>
          <w:ilvl w:val="0"/>
          <w:numId w:val="3"/>
        </w:numPr>
      </w:pPr>
      <w:r w:rsidRPr="00F77EE7">
        <w:t>The average travel group size for people with a disability is 2.8 people for a domestic overnight trip and 3.4 for a day trip.</w:t>
      </w:r>
    </w:p>
    <w:p w14:paraId="7C4914FE" w14:textId="73F5885E" w:rsidR="00620ADD" w:rsidRPr="00F77EE7" w:rsidRDefault="00620ADD" w:rsidP="00D80283">
      <w:pPr>
        <w:pStyle w:val="BodyText"/>
        <w:numPr>
          <w:ilvl w:val="0"/>
          <w:numId w:val="3"/>
        </w:numPr>
      </w:pPr>
      <w:r w:rsidRPr="00F77EE7">
        <w:t>There is a myth that the accessible tourism market does not spend because of economic circumstance and are a significant</w:t>
      </w:r>
      <w:r w:rsidR="0007439E" w:rsidRPr="00F77EE7">
        <w:t xml:space="preserve"> </w:t>
      </w:r>
      <w:r w:rsidRPr="00F77EE7">
        <w:t>proportion of each travel market segment.</w:t>
      </w:r>
    </w:p>
    <w:p w14:paraId="1AB74B1D" w14:textId="7BB4121C" w:rsidR="00620ADD" w:rsidRPr="00F77EE7" w:rsidRDefault="00620ADD" w:rsidP="00D80283">
      <w:pPr>
        <w:pStyle w:val="BodyText"/>
        <w:numPr>
          <w:ilvl w:val="0"/>
          <w:numId w:val="3"/>
        </w:numPr>
      </w:pPr>
      <w:r w:rsidRPr="00F77EE7">
        <w:t>They travel on a level comparable with the general population for domestic overnight and day trips.</w:t>
      </w:r>
    </w:p>
    <w:p w14:paraId="3AF2DBAE" w14:textId="449E25C1" w:rsidR="0007439E" w:rsidRPr="00F77EE7" w:rsidRDefault="00620ADD" w:rsidP="00D80283">
      <w:pPr>
        <w:pStyle w:val="BodyText"/>
        <w:numPr>
          <w:ilvl w:val="0"/>
          <w:numId w:val="3"/>
        </w:numPr>
      </w:pPr>
      <w:r w:rsidRPr="00F77EE7">
        <w:t>The total tourism expenditure attributable to the group is $8bn per year or 11% of overall tourism expenditure.</w:t>
      </w:r>
    </w:p>
    <w:p w14:paraId="38362CD2" w14:textId="021B4258" w:rsidR="00620ADD" w:rsidRPr="00F77EE7" w:rsidRDefault="00620ADD" w:rsidP="00F77EE7">
      <w:pPr>
        <w:pStyle w:val="BodyText"/>
        <w:spacing w:after="0"/>
        <w:jc w:val="both"/>
        <w:rPr>
          <w:sz w:val="16"/>
          <w:szCs w:val="16"/>
        </w:rPr>
      </w:pPr>
      <w:r w:rsidRPr="0007439E">
        <w:rPr>
          <w:sz w:val="16"/>
          <w:szCs w:val="16"/>
        </w:rPr>
        <w:t>National Visitor Survey 2003 as analysed by Darcy and Dwyer (2008)</w:t>
      </w:r>
    </w:p>
    <w:p w14:paraId="4606B184" w14:textId="77777777" w:rsidR="00620ADD" w:rsidRPr="00F77EE7" w:rsidRDefault="00620ADD" w:rsidP="00F77EE7">
      <w:pPr>
        <w:pStyle w:val="Heading3"/>
        <w:rPr>
          <w:b w:val="0"/>
          <w:i/>
        </w:rPr>
      </w:pPr>
      <w:r w:rsidRPr="00F77EE7">
        <w:rPr>
          <w:b w:val="0"/>
          <w:i/>
        </w:rPr>
        <w:t>Economic contribution</w:t>
      </w:r>
    </w:p>
    <w:p w14:paraId="09D4E102" w14:textId="77777777" w:rsidR="00620ADD" w:rsidRPr="00620ADD" w:rsidRDefault="00620ADD" w:rsidP="00810125">
      <w:pPr>
        <w:pStyle w:val="BodyText"/>
        <w:jc w:val="both"/>
      </w:pPr>
      <w:r w:rsidRPr="00620ADD">
        <w:t>In Australia in 2003-04, it is estimated those tourists with a disability:</w:t>
      </w:r>
    </w:p>
    <w:p w14:paraId="46C8CB37" w14:textId="7C6EAD79" w:rsidR="00620ADD" w:rsidRPr="00620ADD" w:rsidRDefault="00620ADD" w:rsidP="00D80283">
      <w:pPr>
        <w:pStyle w:val="BodyText"/>
        <w:numPr>
          <w:ilvl w:val="0"/>
          <w:numId w:val="4"/>
        </w:numPr>
        <w:spacing w:after="0"/>
        <w:ind w:left="709"/>
      </w:pPr>
      <w:r w:rsidRPr="00620ADD">
        <w:t>Spent between $8</w:t>
      </w:r>
      <w:r w:rsidR="008619E0">
        <w:t>,</w:t>
      </w:r>
      <w:r w:rsidRPr="00620ADD">
        <w:t>034.68 million and $11</w:t>
      </w:r>
      <w:r w:rsidR="008619E0">
        <w:t>,</w:t>
      </w:r>
      <w:r w:rsidRPr="00620ADD">
        <w:t>980.272 million;</w:t>
      </w:r>
    </w:p>
    <w:p w14:paraId="2028CD61" w14:textId="3B30DD4B" w:rsidR="00620ADD" w:rsidRPr="00620ADD" w:rsidRDefault="00620ADD" w:rsidP="00D80283">
      <w:pPr>
        <w:pStyle w:val="BodyText"/>
        <w:numPr>
          <w:ilvl w:val="0"/>
          <w:numId w:val="4"/>
        </w:numPr>
        <w:spacing w:after="0"/>
        <w:ind w:left="709"/>
      </w:pPr>
      <w:r w:rsidRPr="00620ADD">
        <w:t>Contributed between $ 3</w:t>
      </w:r>
      <w:r w:rsidR="008619E0">
        <w:t>,</w:t>
      </w:r>
      <w:r w:rsidRPr="00620ADD">
        <w:t>075.5243 million and $4</w:t>
      </w:r>
      <w:r w:rsidR="008619E0">
        <w:t>,</w:t>
      </w:r>
      <w:r w:rsidRPr="00620ADD">
        <w:t>580.219 million to T</w:t>
      </w:r>
      <w:r w:rsidR="008619E0">
        <w:t>ourism Gross Value Added (12.27 - 15.60 per cent</w:t>
      </w:r>
      <w:r w:rsidRPr="00620ADD">
        <w:t xml:space="preserve"> of total tourism GVA);</w:t>
      </w:r>
    </w:p>
    <w:p w14:paraId="15439FCC" w14:textId="4ED48AA9" w:rsidR="004B73C4" w:rsidRDefault="00620ADD" w:rsidP="00D80283">
      <w:pPr>
        <w:pStyle w:val="BodyText"/>
        <w:numPr>
          <w:ilvl w:val="0"/>
          <w:numId w:val="4"/>
        </w:numPr>
        <w:spacing w:after="0"/>
        <w:ind w:left="709"/>
      </w:pPr>
      <w:r w:rsidRPr="00620ADD">
        <w:t>Contributed between $ 3</w:t>
      </w:r>
      <w:r w:rsidR="008619E0">
        <w:t>,</w:t>
      </w:r>
      <w:r w:rsidRPr="00620ADD">
        <w:t>885.168 million and $5</w:t>
      </w:r>
      <w:r w:rsidR="008619E0">
        <w:t>,</w:t>
      </w:r>
      <w:r w:rsidRPr="00620ADD">
        <w:t>787.435 million to Touris</w:t>
      </w:r>
      <w:r w:rsidR="008619E0">
        <w:t>m Gross Domestic Product (11.02 - 16.41 per cent</w:t>
      </w:r>
      <w:r w:rsidRPr="00620ADD">
        <w:t xml:space="preserve"> of total);</w:t>
      </w:r>
      <w:r w:rsidR="0007439E">
        <w:t xml:space="preserve"> </w:t>
      </w:r>
      <w:r w:rsidRPr="00620ADD">
        <w:t>and sustained between 51,820 and 77,495 direct jobs in</w:t>
      </w:r>
      <w:r w:rsidR="008619E0">
        <w:t xml:space="preserve"> the tourism industry (11.6 - 17.3 per cent</w:t>
      </w:r>
      <w:r w:rsidRPr="00620ADD">
        <w:t xml:space="preserve"> of direct tourism employment).</w:t>
      </w:r>
    </w:p>
    <w:p w14:paraId="057DB2D4" w14:textId="155D9CD5" w:rsidR="00E16B5D" w:rsidRDefault="00E16B5D">
      <w:r>
        <w:br w:type="page"/>
      </w:r>
    </w:p>
    <w:p w14:paraId="4B166F00" w14:textId="7ABB7939" w:rsidR="007318F4" w:rsidRPr="00F77EE7" w:rsidRDefault="007318F4" w:rsidP="00F77EE7">
      <w:pPr>
        <w:pStyle w:val="Heading1"/>
      </w:pPr>
      <w:bookmarkStart w:id="8" w:name="_Toc397589416"/>
      <w:r w:rsidRPr="00F77EE7">
        <w:lastRenderedPageBreak/>
        <w:t>Stakeholders</w:t>
      </w:r>
      <w:bookmarkEnd w:id="8"/>
    </w:p>
    <w:p w14:paraId="60B30188" w14:textId="4A399ABD" w:rsidR="007318F4" w:rsidRPr="00E16B5D" w:rsidRDefault="007318F4" w:rsidP="00E16B5D">
      <w:pPr>
        <w:pStyle w:val="BodyText"/>
      </w:pPr>
      <w:r w:rsidRPr="00E16B5D">
        <w:t>The delivery of SNYE relies on continual dialogue and engagement of a complex network of stake</w:t>
      </w:r>
      <w:r w:rsidR="008619E0" w:rsidRPr="00E16B5D">
        <w:t>holders. - event partners, local, s</w:t>
      </w:r>
      <w:r w:rsidRPr="00E16B5D">
        <w:t xml:space="preserve">tate and Commonwealth Government Agencies, </w:t>
      </w:r>
      <w:r w:rsidR="008619E0" w:rsidRPr="00E16B5D">
        <w:t>City</w:t>
      </w:r>
      <w:r w:rsidRPr="00E16B5D">
        <w:t xml:space="preserve"> Busin</w:t>
      </w:r>
      <w:r w:rsidR="008619E0" w:rsidRPr="00E16B5D">
        <w:t>ess Units, service providers, landowners and v</w:t>
      </w:r>
      <w:r w:rsidRPr="00E16B5D">
        <w:t xml:space="preserve">enues. </w:t>
      </w:r>
    </w:p>
    <w:p w14:paraId="63103AF1" w14:textId="17E85D72" w:rsidR="007318F4" w:rsidRPr="00E16B5D" w:rsidRDefault="00A44CE2" w:rsidP="00E16B5D">
      <w:pPr>
        <w:pStyle w:val="BodyText"/>
      </w:pPr>
      <w:r w:rsidRPr="00E16B5D">
        <w:t>Regular meetings are</w:t>
      </w:r>
      <w:r w:rsidR="007318F4" w:rsidRPr="00E16B5D">
        <w:t xml:space="preserve"> held with these</w:t>
      </w:r>
      <w:r w:rsidR="00071DB3" w:rsidRPr="00E16B5D">
        <w:t xml:space="preserve"> key stakeholders:</w:t>
      </w:r>
    </w:p>
    <w:p w14:paraId="4AE24FF5" w14:textId="615EF9B0" w:rsidR="007318F4" w:rsidRPr="007318F4" w:rsidRDefault="007318F4" w:rsidP="00D80283">
      <w:pPr>
        <w:pStyle w:val="BodyText"/>
        <w:numPr>
          <w:ilvl w:val="0"/>
          <w:numId w:val="1"/>
        </w:numPr>
        <w:spacing w:after="0"/>
        <w:jc w:val="both"/>
      </w:pPr>
      <w:r w:rsidRPr="007318F4">
        <w:t xml:space="preserve">Broadcast (Television/Radio) </w:t>
      </w:r>
    </w:p>
    <w:p w14:paraId="2B716609" w14:textId="2D42FB2C" w:rsidR="007318F4" w:rsidRPr="007318F4" w:rsidRDefault="007318F4" w:rsidP="00D80283">
      <w:pPr>
        <w:pStyle w:val="BodyText"/>
        <w:numPr>
          <w:ilvl w:val="0"/>
          <w:numId w:val="1"/>
        </w:numPr>
        <w:spacing w:after="0"/>
        <w:jc w:val="both"/>
      </w:pPr>
      <w:r w:rsidRPr="007318F4">
        <w:t xml:space="preserve">Charity Partner </w:t>
      </w:r>
    </w:p>
    <w:p w14:paraId="763182B9" w14:textId="37745C71" w:rsidR="007318F4" w:rsidRPr="007318F4" w:rsidRDefault="008619E0" w:rsidP="00D80283">
      <w:pPr>
        <w:pStyle w:val="BodyText"/>
        <w:numPr>
          <w:ilvl w:val="0"/>
          <w:numId w:val="1"/>
        </w:numPr>
        <w:spacing w:after="0"/>
        <w:jc w:val="both"/>
      </w:pPr>
      <w:r>
        <w:t>Key s</w:t>
      </w:r>
      <w:r w:rsidR="007318F4" w:rsidRPr="007318F4">
        <w:t xml:space="preserve">takeholders: Sydney Harbour Foreshore Authority, Roads &amp; </w:t>
      </w:r>
      <w:r w:rsidR="00800823">
        <w:t>Maritime Services</w:t>
      </w:r>
      <w:r w:rsidR="007318F4" w:rsidRPr="007318F4">
        <w:t>, Royal Botanic Gardens, Sydney Opera House and NSW Maritime.</w:t>
      </w:r>
    </w:p>
    <w:p w14:paraId="5CFA4C18" w14:textId="0980659F" w:rsidR="007318F4" w:rsidRPr="007318F4" w:rsidRDefault="007318F4" w:rsidP="00D80283">
      <w:pPr>
        <w:pStyle w:val="BodyText"/>
        <w:numPr>
          <w:ilvl w:val="0"/>
          <w:numId w:val="1"/>
        </w:numPr>
        <w:spacing w:after="0"/>
        <w:jc w:val="both"/>
      </w:pPr>
      <w:r w:rsidRPr="007318F4">
        <w:t xml:space="preserve">NYE Maritime Operations </w:t>
      </w:r>
    </w:p>
    <w:p w14:paraId="64A2BC54" w14:textId="54DA5426" w:rsidR="007318F4" w:rsidRPr="007318F4" w:rsidRDefault="008619E0" w:rsidP="00D80283">
      <w:pPr>
        <w:pStyle w:val="BodyText"/>
        <w:numPr>
          <w:ilvl w:val="0"/>
          <w:numId w:val="1"/>
        </w:numPr>
        <w:spacing w:after="0"/>
        <w:jc w:val="both"/>
      </w:pPr>
      <w:r>
        <w:t>Premier’s Department m</w:t>
      </w:r>
      <w:r w:rsidR="007318F4" w:rsidRPr="007318F4">
        <w:t xml:space="preserve">eetings: whole-of-government planning, primarily in the areas of operations, safety and spectator services </w:t>
      </w:r>
    </w:p>
    <w:p w14:paraId="570A8ED5" w14:textId="14F240AB" w:rsidR="007318F4" w:rsidRPr="00071DB3" w:rsidRDefault="007318F4" w:rsidP="00D80283">
      <w:pPr>
        <w:pStyle w:val="BodyText"/>
        <w:numPr>
          <w:ilvl w:val="0"/>
          <w:numId w:val="1"/>
        </w:numPr>
        <w:spacing w:after="0"/>
        <w:jc w:val="both"/>
      </w:pPr>
      <w:r w:rsidRPr="007318F4">
        <w:t xml:space="preserve">Sydney Harbour Bridge </w:t>
      </w:r>
    </w:p>
    <w:p w14:paraId="4BA44228" w14:textId="471696CE" w:rsidR="000B6E4A" w:rsidRPr="002A2AE9" w:rsidRDefault="00BA362E" w:rsidP="003F0303">
      <w:pPr>
        <w:pStyle w:val="Heading2"/>
      </w:pPr>
      <w:bookmarkStart w:id="9" w:name="_Toc397589417"/>
      <w:r>
        <w:t xml:space="preserve">Relevant Legislation and </w:t>
      </w:r>
      <w:r w:rsidR="000B6E4A">
        <w:t>Policy</w:t>
      </w:r>
      <w:bookmarkEnd w:id="9"/>
      <w:r w:rsidR="000B6E4A">
        <w:t xml:space="preserve"> </w:t>
      </w:r>
    </w:p>
    <w:p w14:paraId="2DFE5E00" w14:textId="14ECB54B" w:rsidR="00C132E5" w:rsidRDefault="000B6E4A" w:rsidP="00810125">
      <w:pPr>
        <w:pStyle w:val="BodyText"/>
        <w:jc w:val="both"/>
      </w:pPr>
      <w:r>
        <w:t>The SNYE Unit Inclusion</w:t>
      </w:r>
      <w:r w:rsidR="009C5670">
        <w:t xml:space="preserve"> (Disability)</w:t>
      </w:r>
      <w:r>
        <w:t xml:space="preserve"> Action Plan complies with the following legislation</w:t>
      </w:r>
      <w:r w:rsidR="00BA362E">
        <w:t xml:space="preserve"> and policies</w:t>
      </w:r>
      <w:r w:rsidR="00041C9D">
        <w:t>:</w:t>
      </w:r>
    </w:p>
    <w:p w14:paraId="031DEE62" w14:textId="7DB73E98" w:rsidR="000B6E4A" w:rsidRPr="00E16B5D" w:rsidRDefault="000B6E4A" w:rsidP="00D80283">
      <w:pPr>
        <w:pStyle w:val="BodyText"/>
        <w:numPr>
          <w:ilvl w:val="0"/>
          <w:numId w:val="1"/>
        </w:numPr>
        <w:spacing w:after="0"/>
        <w:jc w:val="both"/>
        <w:rPr>
          <w:b/>
        </w:rPr>
      </w:pPr>
      <w:r w:rsidRPr="00E16B5D">
        <w:rPr>
          <w:b/>
        </w:rPr>
        <w:t>Australian Federal Disability Discrimination Act 1992</w:t>
      </w:r>
    </w:p>
    <w:p w14:paraId="0404742A" w14:textId="34D1342F" w:rsidR="000B6E4A" w:rsidRPr="00E16B5D" w:rsidRDefault="000B6E4A" w:rsidP="00D80283">
      <w:pPr>
        <w:pStyle w:val="BodyText"/>
        <w:numPr>
          <w:ilvl w:val="0"/>
          <w:numId w:val="1"/>
        </w:numPr>
        <w:spacing w:after="0"/>
        <w:jc w:val="both"/>
        <w:rPr>
          <w:b/>
        </w:rPr>
      </w:pPr>
      <w:r w:rsidRPr="00E16B5D">
        <w:rPr>
          <w:b/>
        </w:rPr>
        <w:t>NSW Disability Service Act 1993</w:t>
      </w:r>
    </w:p>
    <w:p w14:paraId="215250C5" w14:textId="21038A4D" w:rsidR="000B6E4A" w:rsidRPr="00E16B5D" w:rsidRDefault="000B6E4A" w:rsidP="00D80283">
      <w:pPr>
        <w:pStyle w:val="BodyText"/>
        <w:numPr>
          <w:ilvl w:val="0"/>
          <w:numId w:val="1"/>
        </w:numPr>
        <w:spacing w:after="0"/>
        <w:jc w:val="both"/>
        <w:rPr>
          <w:b/>
        </w:rPr>
      </w:pPr>
      <w:r w:rsidRPr="00E16B5D">
        <w:rPr>
          <w:b/>
        </w:rPr>
        <w:t>The Convention of the Rights of Persons with Disabilities</w:t>
      </w:r>
    </w:p>
    <w:p w14:paraId="58CBCFCE" w14:textId="2A2DF147" w:rsidR="00BA362E" w:rsidRPr="00E16B5D" w:rsidRDefault="00BA362E" w:rsidP="00D80283">
      <w:pPr>
        <w:pStyle w:val="BodyText"/>
        <w:numPr>
          <w:ilvl w:val="0"/>
          <w:numId w:val="1"/>
        </w:numPr>
        <w:spacing w:after="0"/>
        <w:jc w:val="both"/>
        <w:rPr>
          <w:b/>
        </w:rPr>
      </w:pPr>
      <w:r w:rsidRPr="00E16B5D">
        <w:rPr>
          <w:b/>
        </w:rPr>
        <w:t>National Disability Strategy 2010-2020</w:t>
      </w:r>
    </w:p>
    <w:p w14:paraId="3F8E03E4" w14:textId="4638062A" w:rsidR="00BA362E" w:rsidRPr="00E16B5D" w:rsidRDefault="00BA362E" w:rsidP="00D80283">
      <w:pPr>
        <w:pStyle w:val="BodyText"/>
        <w:numPr>
          <w:ilvl w:val="0"/>
          <w:numId w:val="1"/>
        </w:numPr>
        <w:spacing w:after="0"/>
        <w:jc w:val="both"/>
        <w:rPr>
          <w:b/>
        </w:rPr>
      </w:pPr>
      <w:r w:rsidRPr="00E16B5D">
        <w:rPr>
          <w:b/>
        </w:rPr>
        <w:t>National Disability Strategy NSW Implementation Plan 2012-2014</w:t>
      </w:r>
    </w:p>
    <w:p w14:paraId="70850AD0" w14:textId="0CBFA8CA" w:rsidR="007318F4" w:rsidRPr="00E16B5D" w:rsidRDefault="007318F4" w:rsidP="00D80283">
      <w:pPr>
        <w:pStyle w:val="BodyText"/>
        <w:numPr>
          <w:ilvl w:val="0"/>
          <w:numId w:val="1"/>
        </w:numPr>
        <w:spacing w:after="0"/>
        <w:jc w:val="both"/>
        <w:rPr>
          <w:b/>
        </w:rPr>
      </w:pPr>
      <w:r w:rsidRPr="00E16B5D">
        <w:rPr>
          <w:b/>
        </w:rPr>
        <w:t>Sustainable Sydney 2030 Community Strategic Plan</w:t>
      </w:r>
    </w:p>
    <w:p w14:paraId="48A4497B" w14:textId="3A64FFD6" w:rsidR="00BA362E" w:rsidRPr="00E16B5D" w:rsidRDefault="00BA362E" w:rsidP="00D80283">
      <w:pPr>
        <w:pStyle w:val="BodyText"/>
        <w:numPr>
          <w:ilvl w:val="0"/>
          <w:numId w:val="1"/>
        </w:numPr>
        <w:spacing w:after="0"/>
        <w:jc w:val="both"/>
        <w:rPr>
          <w:b/>
        </w:rPr>
      </w:pPr>
      <w:r w:rsidRPr="00E16B5D">
        <w:rPr>
          <w:b/>
        </w:rPr>
        <w:t>City of Sydney Inclusion (Disability) Action Plan 201</w:t>
      </w:r>
      <w:r w:rsidR="00800823" w:rsidRPr="00E16B5D">
        <w:rPr>
          <w:b/>
        </w:rPr>
        <w:t>4</w:t>
      </w:r>
      <w:r w:rsidRPr="00E16B5D">
        <w:rPr>
          <w:b/>
        </w:rPr>
        <w:t>-201</w:t>
      </w:r>
      <w:r w:rsidR="00800823" w:rsidRPr="00E16B5D">
        <w:rPr>
          <w:b/>
        </w:rPr>
        <w:t>7</w:t>
      </w:r>
    </w:p>
    <w:p w14:paraId="426ABC96" w14:textId="4FB7806B" w:rsidR="001F1C29" w:rsidRDefault="001F1C29" w:rsidP="003F0303">
      <w:pPr>
        <w:pStyle w:val="Heading2"/>
      </w:pPr>
      <w:bookmarkStart w:id="10" w:name="_Toc397589418"/>
      <w:r>
        <w:t>City of Sydney Statement</w:t>
      </w:r>
      <w:r w:rsidR="00800823">
        <w:t xml:space="preserve"> of Commitment</w:t>
      </w:r>
      <w:bookmarkEnd w:id="10"/>
    </w:p>
    <w:p w14:paraId="514A2AF0" w14:textId="617C4080" w:rsidR="00800823" w:rsidRPr="0031382A" w:rsidRDefault="00800823" w:rsidP="00E16B5D">
      <w:pPr>
        <w:pStyle w:val="BodyText"/>
        <w:rPr>
          <w:lang w:eastAsia="en-US"/>
        </w:rPr>
      </w:pPr>
      <w:r w:rsidRPr="0031382A">
        <w:rPr>
          <w:lang w:eastAsia="en-US"/>
        </w:rPr>
        <w:t>The City of Sydney is comm</w:t>
      </w:r>
      <w:r w:rsidRPr="00800823">
        <w:rPr>
          <w:lang w:eastAsia="en-US"/>
        </w:rPr>
        <w:t>itted to being an inclusive and</w:t>
      </w:r>
      <w:r>
        <w:rPr>
          <w:lang w:eastAsia="en-US"/>
        </w:rPr>
        <w:t xml:space="preserve"> </w:t>
      </w:r>
      <w:r w:rsidRPr="0031382A">
        <w:rPr>
          <w:lang w:eastAsia="en-US"/>
        </w:rPr>
        <w:t>accessible city for people wi</w:t>
      </w:r>
      <w:r w:rsidRPr="00800823">
        <w:rPr>
          <w:lang w:eastAsia="en-US"/>
        </w:rPr>
        <w:t>th a disability, now and in the</w:t>
      </w:r>
      <w:r>
        <w:rPr>
          <w:lang w:eastAsia="en-US"/>
        </w:rPr>
        <w:t xml:space="preserve"> </w:t>
      </w:r>
      <w:r w:rsidRPr="0031382A">
        <w:rPr>
          <w:lang w:eastAsia="en-US"/>
        </w:rPr>
        <w:t xml:space="preserve">future. The City seeks to </w:t>
      </w:r>
      <w:r w:rsidRPr="00800823">
        <w:rPr>
          <w:lang w:eastAsia="en-US"/>
        </w:rPr>
        <w:t>meet and exceed its legislative</w:t>
      </w:r>
      <w:r>
        <w:rPr>
          <w:lang w:eastAsia="en-US"/>
        </w:rPr>
        <w:t xml:space="preserve"> </w:t>
      </w:r>
      <w:r w:rsidRPr="0031382A">
        <w:rPr>
          <w:lang w:eastAsia="en-US"/>
        </w:rPr>
        <w:t xml:space="preserve">obligations under the </w:t>
      </w:r>
      <w:r w:rsidRPr="0031382A">
        <w:rPr>
          <w:i/>
          <w:iCs/>
          <w:lang w:eastAsia="en-US"/>
        </w:rPr>
        <w:t xml:space="preserve">Disability Discrimination Act 1992 </w:t>
      </w:r>
      <w:r w:rsidRPr="00800823">
        <w:rPr>
          <w:lang w:eastAsia="en-US"/>
        </w:rPr>
        <w:t>and</w:t>
      </w:r>
      <w:r>
        <w:rPr>
          <w:lang w:eastAsia="en-US"/>
        </w:rPr>
        <w:t xml:space="preserve"> </w:t>
      </w:r>
      <w:r w:rsidRPr="0031382A">
        <w:rPr>
          <w:lang w:eastAsia="en-US"/>
        </w:rPr>
        <w:t>become a lead</w:t>
      </w:r>
      <w:r w:rsidRPr="00800823">
        <w:rPr>
          <w:lang w:eastAsia="en-US"/>
        </w:rPr>
        <w:t>er in relation to these issues.</w:t>
      </w:r>
      <w:r>
        <w:rPr>
          <w:lang w:eastAsia="en-US"/>
        </w:rPr>
        <w:t xml:space="preserve"> </w:t>
      </w:r>
      <w:r w:rsidRPr="0031382A">
        <w:rPr>
          <w:lang w:eastAsia="en-US"/>
        </w:rPr>
        <w:t>The City of Sydney see</w:t>
      </w:r>
      <w:r w:rsidRPr="00800823">
        <w:rPr>
          <w:lang w:eastAsia="en-US"/>
        </w:rPr>
        <w:t>ks to achieve this by providing</w:t>
      </w:r>
      <w:r>
        <w:rPr>
          <w:lang w:eastAsia="en-US"/>
        </w:rPr>
        <w:t xml:space="preserve"> </w:t>
      </w:r>
      <w:r w:rsidRPr="0031382A">
        <w:rPr>
          <w:lang w:eastAsia="en-US"/>
        </w:rPr>
        <w:t>equitable opportunities for participat</w:t>
      </w:r>
      <w:r w:rsidRPr="00800823">
        <w:rPr>
          <w:lang w:eastAsia="en-US"/>
        </w:rPr>
        <w:t>ion for people</w:t>
      </w:r>
      <w:r>
        <w:rPr>
          <w:lang w:eastAsia="en-US"/>
        </w:rPr>
        <w:t xml:space="preserve"> </w:t>
      </w:r>
      <w:r w:rsidRPr="0031382A">
        <w:rPr>
          <w:lang w:eastAsia="en-US"/>
        </w:rPr>
        <w:t>who live, work and visit t</w:t>
      </w:r>
      <w:r w:rsidRPr="00800823">
        <w:rPr>
          <w:lang w:eastAsia="en-US"/>
        </w:rPr>
        <w:t>he City of Sydney. This will be</w:t>
      </w:r>
      <w:r>
        <w:rPr>
          <w:lang w:eastAsia="en-US"/>
        </w:rPr>
        <w:t xml:space="preserve"> </w:t>
      </w:r>
      <w:r w:rsidRPr="0031382A">
        <w:rPr>
          <w:lang w:eastAsia="en-US"/>
        </w:rPr>
        <w:t>achieved through:</w:t>
      </w:r>
    </w:p>
    <w:p w14:paraId="638306A9" w14:textId="0C24475B" w:rsidR="00800823" w:rsidRPr="00CA6D66" w:rsidRDefault="00800823" w:rsidP="00D80283">
      <w:pPr>
        <w:pStyle w:val="BodyText"/>
        <w:numPr>
          <w:ilvl w:val="0"/>
          <w:numId w:val="5"/>
        </w:numPr>
        <w:rPr>
          <w:lang w:eastAsia="en-US"/>
        </w:rPr>
      </w:pPr>
      <w:r w:rsidRPr="00CA6D66">
        <w:rPr>
          <w:lang w:eastAsia="en-US"/>
        </w:rPr>
        <w:t>Ongoing dialogue and genuine consultation with people with a disability, both as a community in its own right and as members of the public with broad issues and interests;</w:t>
      </w:r>
    </w:p>
    <w:p w14:paraId="7F004424" w14:textId="0E586EA1" w:rsidR="00800823" w:rsidRPr="00CA6D66" w:rsidRDefault="00800823" w:rsidP="00D80283">
      <w:pPr>
        <w:pStyle w:val="BodyText"/>
        <w:numPr>
          <w:ilvl w:val="0"/>
          <w:numId w:val="5"/>
        </w:numPr>
        <w:rPr>
          <w:lang w:eastAsia="en-US"/>
        </w:rPr>
      </w:pPr>
      <w:r w:rsidRPr="00CA6D66">
        <w:rPr>
          <w:lang w:eastAsia="en-US"/>
        </w:rPr>
        <w:t>Improved inclusion and access to the City’s services and facilities; and</w:t>
      </w:r>
    </w:p>
    <w:p w14:paraId="3C57676B" w14:textId="15E63D4D" w:rsidR="00CA6D66" w:rsidRDefault="00800823" w:rsidP="00D80283">
      <w:pPr>
        <w:pStyle w:val="BodyText"/>
        <w:numPr>
          <w:ilvl w:val="0"/>
          <w:numId w:val="5"/>
        </w:numPr>
        <w:rPr>
          <w:lang w:eastAsia="en-US"/>
        </w:rPr>
      </w:pPr>
      <w:r w:rsidRPr="0031382A">
        <w:rPr>
          <w:lang w:eastAsia="en-US"/>
        </w:rPr>
        <w:lastRenderedPageBreak/>
        <w:t xml:space="preserve">Increased awareness </w:t>
      </w:r>
      <w:r w:rsidRPr="00800823">
        <w:rPr>
          <w:lang w:eastAsia="en-US"/>
        </w:rPr>
        <w:t>and understanding of access and</w:t>
      </w:r>
      <w:r>
        <w:rPr>
          <w:lang w:eastAsia="en-US"/>
        </w:rPr>
        <w:t xml:space="preserve"> </w:t>
      </w:r>
      <w:r w:rsidRPr="0031382A">
        <w:rPr>
          <w:lang w:eastAsia="en-US"/>
        </w:rPr>
        <w:t>inclusion issues in the City’</w:t>
      </w:r>
      <w:r w:rsidRPr="00800823">
        <w:rPr>
          <w:lang w:eastAsia="en-US"/>
        </w:rPr>
        <w:t>s</w:t>
      </w:r>
      <w:r>
        <w:rPr>
          <w:lang w:eastAsia="en-US"/>
        </w:rPr>
        <w:t xml:space="preserve"> </w:t>
      </w:r>
      <w:r w:rsidRPr="00800823">
        <w:rPr>
          <w:lang w:eastAsia="en-US"/>
        </w:rPr>
        <w:t>internal workforce as well as</w:t>
      </w:r>
      <w:r>
        <w:rPr>
          <w:lang w:eastAsia="en-US"/>
        </w:rPr>
        <w:t xml:space="preserve"> </w:t>
      </w:r>
      <w:r w:rsidRPr="00800823">
        <w:rPr>
          <w:lang w:eastAsia="en-US"/>
        </w:rPr>
        <w:t>in the wider community.</w:t>
      </w:r>
      <w:r>
        <w:rPr>
          <w:lang w:eastAsia="en-US"/>
        </w:rPr>
        <w:t xml:space="preserve"> </w:t>
      </w:r>
      <w:r w:rsidRPr="0031382A">
        <w:rPr>
          <w:lang w:eastAsia="en-US"/>
        </w:rPr>
        <w:t>The Inclusion (Disability) Act</w:t>
      </w:r>
      <w:r w:rsidRPr="00800823">
        <w:rPr>
          <w:lang w:eastAsia="en-US"/>
        </w:rPr>
        <w:t>ion Plan will set the framework</w:t>
      </w:r>
      <w:r>
        <w:rPr>
          <w:lang w:eastAsia="en-US"/>
        </w:rPr>
        <w:t xml:space="preserve"> </w:t>
      </w:r>
      <w:r w:rsidRPr="0031382A">
        <w:rPr>
          <w:lang w:eastAsia="en-US"/>
        </w:rPr>
        <w:t>and priorities to impleme</w:t>
      </w:r>
      <w:r w:rsidRPr="00800823">
        <w:rPr>
          <w:lang w:eastAsia="en-US"/>
        </w:rPr>
        <w:t xml:space="preserve">nt best </w:t>
      </w:r>
      <w:r w:rsidRPr="00CA6D66">
        <w:rPr>
          <w:sz w:val="22"/>
          <w:lang w:eastAsia="en-US"/>
        </w:rPr>
        <w:t xml:space="preserve">practice in relation to access and inclusion for people with a disability. Diverse </w:t>
      </w:r>
      <w:r w:rsidRPr="0031382A">
        <w:rPr>
          <w:lang w:eastAsia="en-US"/>
        </w:rPr>
        <w:t xml:space="preserve">participation and </w:t>
      </w:r>
      <w:r w:rsidRPr="00800823">
        <w:rPr>
          <w:lang w:eastAsia="en-US"/>
        </w:rPr>
        <w:t>contributions made by the whole</w:t>
      </w:r>
      <w:r>
        <w:rPr>
          <w:lang w:eastAsia="en-US"/>
        </w:rPr>
        <w:t xml:space="preserve"> </w:t>
      </w:r>
      <w:r w:rsidRPr="0031382A">
        <w:rPr>
          <w:lang w:eastAsia="en-US"/>
        </w:rPr>
        <w:t>community will strengthen the City’</w:t>
      </w:r>
      <w:r w:rsidRPr="00800823">
        <w:rPr>
          <w:lang w:eastAsia="en-US"/>
        </w:rPr>
        <w:t>s vision of a vibrant</w:t>
      </w:r>
      <w:r>
        <w:rPr>
          <w:lang w:eastAsia="en-US"/>
        </w:rPr>
        <w:t xml:space="preserve"> </w:t>
      </w:r>
      <w:r w:rsidRPr="0031382A">
        <w:rPr>
          <w:lang w:eastAsia="en-US"/>
        </w:rPr>
        <w:t>global and connected Sydney.</w:t>
      </w:r>
    </w:p>
    <w:p w14:paraId="2B018F6C" w14:textId="77777777" w:rsidR="00CA6D66" w:rsidRPr="00E16B5D" w:rsidRDefault="007318F4" w:rsidP="00E16B5D">
      <w:pPr>
        <w:pStyle w:val="Heading2"/>
      </w:pPr>
      <w:bookmarkStart w:id="11" w:name="_Toc397589419"/>
      <w:r w:rsidRPr="00E16B5D">
        <w:t>Definition of Disability</w:t>
      </w:r>
      <w:bookmarkStart w:id="12" w:name="OLE_LINK11"/>
      <w:bookmarkEnd w:id="11"/>
    </w:p>
    <w:p w14:paraId="041618F6" w14:textId="75E7F2C8" w:rsidR="007318F4" w:rsidRPr="00CA6D66" w:rsidRDefault="007318F4" w:rsidP="00E16B5D">
      <w:pPr>
        <w:pStyle w:val="BodyText"/>
        <w:rPr>
          <w:lang w:val="en" w:eastAsia="en-AU"/>
        </w:rPr>
      </w:pPr>
      <w:r w:rsidRPr="001F1C29">
        <w:rPr>
          <w:lang w:val="en"/>
        </w:rPr>
        <w:t xml:space="preserve">The definition of disability contained within the Disability Discrimination Act 1992 (DDA) is particularly broad and includes physical, intellectual, psychiatric, sensory, and neurological or learning disabilities; physical disfigurement; or the presence of disease causing organisms. It also covers disabilities that people have now, have had in the past, might have in the future, or are believed to have; the need to use a palliative or therapeutic device; the need to be accompanied by a guide dog, hearing assistance dog or other trained animal; or the need for an interpreter, </w:t>
      </w:r>
      <w:r w:rsidR="001F1C29" w:rsidRPr="001F1C29">
        <w:rPr>
          <w:lang w:val="en"/>
        </w:rPr>
        <w:t>reader, assistant and/or carer.</w:t>
      </w:r>
    </w:p>
    <w:p w14:paraId="73DB31D9" w14:textId="08EA478B" w:rsidR="007318F4" w:rsidRPr="001F1C29" w:rsidRDefault="007318F4" w:rsidP="00E16B5D">
      <w:pPr>
        <w:pStyle w:val="BodyText"/>
        <w:rPr>
          <w:lang w:val="en"/>
        </w:rPr>
      </w:pPr>
      <w:r w:rsidRPr="001F1C29">
        <w:rPr>
          <w:lang w:val="en"/>
        </w:rPr>
        <w:t>The City acknowledges the right of a person with a disability to elect not to disclose or discuss their disability with the City according to the Privacy Act and commits nevertheless to assist in any way possible.</w:t>
      </w:r>
      <w:bookmarkEnd w:id="12"/>
    </w:p>
    <w:p w14:paraId="49D91686" w14:textId="69F347C1" w:rsidR="007318F4" w:rsidRPr="00E16B5D" w:rsidRDefault="007318F4" w:rsidP="00E16B5D">
      <w:pPr>
        <w:pStyle w:val="Heading1"/>
      </w:pPr>
      <w:bookmarkStart w:id="13" w:name="_Toc397589420"/>
      <w:r w:rsidRPr="00E16B5D">
        <w:t>Consultation Process</w:t>
      </w:r>
      <w:bookmarkEnd w:id="13"/>
    </w:p>
    <w:p w14:paraId="355C2737" w14:textId="1EC76495" w:rsidR="007318F4" w:rsidRPr="00E16B5D" w:rsidRDefault="007318F4" w:rsidP="00E16B5D">
      <w:pPr>
        <w:pStyle w:val="BodyText"/>
      </w:pPr>
      <w:r w:rsidRPr="00E16B5D">
        <w:t xml:space="preserve">The SNYE Unit Inclusion Action Plan was developed in 2011 by the Sydney New Year’s Eve </w:t>
      </w:r>
      <w:r w:rsidR="00800823" w:rsidRPr="00E16B5D">
        <w:t>c</w:t>
      </w:r>
      <w:r w:rsidRPr="00E16B5D">
        <w:t xml:space="preserve">ore </w:t>
      </w:r>
      <w:r w:rsidR="00800823" w:rsidRPr="00E16B5D">
        <w:t>t</w:t>
      </w:r>
      <w:r w:rsidRPr="00E16B5D">
        <w:t>eam in consultation with stakeholders.</w:t>
      </w:r>
    </w:p>
    <w:p w14:paraId="57E447FD" w14:textId="10671869" w:rsidR="008046FE" w:rsidRPr="00E16B5D" w:rsidRDefault="007318F4" w:rsidP="00E16B5D">
      <w:pPr>
        <w:pStyle w:val="BodyText"/>
      </w:pPr>
      <w:r w:rsidRPr="00E16B5D">
        <w:t xml:space="preserve">The City of Sydney appointed an Access Inclusion Advisory Panel in 2012. Consultation with </w:t>
      </w:r>
      <w:r w:rsidR="008619E0" w:rsidRPr="00E16B5D">
        <w:t>the panel</w:t>
      </w:r>
      <w:r w:rsidRPr="00E16B5D">
        <w:t xml:space="preserve"> and others from the disability sector will continue annual</w:t>
      </w:r>
      <w:r w:rsidR="008619E0" w:rsidRPr="00E16B5D">
        <w:t>ly.</w:t>
      </w:r>
      <w:r w:rsidRPr="00E16B5D">
        <w:t xml:space="preserve"> </w:t>
      </w:r>
      <w:r w:rsidR="008619E0" w:rsidRPr="00E16B5D">
        <w:t>T</w:t>
      </w:r>
      <w:r w:rsidRPr="00E16B5D">
        <w:t>argeted consultation for specific projects will be underta</w:t>
      </w:r>
      <w:r w:rsidR="00041C9D" w:rsidRPr="00E16B5D">
        <w:t>ken with relevant stakeholders.</w:t>
      </w:r>
    </w:p>
    <w:p w14:paraId="4E87C225" w14:textId="172305E4" w:rsidR="00581751" w:rsidRPr="00E16B5D" w:rsidRDefault="00581751" w:rsidP="00E16B5D">
      <w:pPr>
        <w:pStyle w:val="Heading1"/>
      </w:pPr>
      <w:bookmarkStart w:id="14" w:name="_Toc397589421"/>
      <w:r w:rsidRPr="00E16B5D">
        <w:t>Monitoring and Evaluation</w:t>
      </w:r>
      <w:bookmarkEnd w:id="14"/>
    </w:p>
    <w:p w14:paraId="2BF737FA" w14:textId="79A81506" w:rsidR="00CA6D66" w:rsidRPr="008619E0" w:rsidRDefault="008619E0" w:rsidP="00E16B5D">
      <w:pPr>
        <w:pStyle w:val="BodyText"/>
        <w:rPr>
          <w:lang w:eastAsia="en-AU"/>
        </w:rPr>
      </w:pPr>
      <w:r>
        <w:rPr>
          <w:lang w:eastAsia="en-AU"/>
        </w:rPr>
        <w:t xml:space="preserve">The city will measure and review key outcomes annually. </w:t>
      </w:r>
    </w:p>
    <w:p w14:paraId="730EFCC2" w14:textId="3C6CFC92" w:rsidR="000B6E4A" w:rsidRPr="00E16B5D" w:rsidRDefault="00581751" w:rsidP="00E16B5D">
      <w:pPr>
        <w:pStyle w:val="Heading1"/>
      </w:pPr>
      <w:bookmarkStart w:id="15" w:name="_Toc397589422"/>
      <w:r w:rsidRPr="00E16B5D">
        <w:t>Review</w:t>
      </w:r>
      <w:bookmarkEnd w:id="15"/>
    </w:p>
    <w:p w14:paraId="154C57EC" w14:textId="06804455" w:rsidR="000B6E4A" w:rsidRPr="00E16B5D" w:rsidRDefault="008046FE" w:rsidP="00E16B5D">
      <w:pPr>
        <w:pStyle w:val="BodyText"/>
      </w:pPr>
      <w:r w:rsidRPr="00E16B5D">
        <w:t>The plan is due for review in</w:t>
      </w:r>
      <w:r w:rsidR="00041C9D" w:rsidRPr="00E16B5D">
        <w:t xml:space="preserve"> </w:t>
      </w:r>
      <w:r w:rsidR="008619E0" w:rsidRPr="00E16B5D">
        <w:t>2017</w:t>
      </w:r>
      <w:r w:rsidR="00581751" w:rsidRPr="00E16B5D">
        <w:t xml:space="preserve"> following recommendations from the previous year’s event. This proce</w:t>
      </w:r>
      <w:r w:rsidR="00041C9D" w:rsidRPr="00E16B5D">
        <w:t>ss will include consultation with:</w:t>
      </w:r>
    </w:p>
    <w:p w14:paraId="58234079" w14:textId="0D468687" w:rsidR="008046FE" w:rsidRPr="00E16B5D" w:rsidRDefault="008046FE" w:rsidP="00D80283">
      <w:pPr>
        <w:pStyle w:val="BodyText"/>
        <w:numPr>
          <w:ilvl w:val="0"/>
          <w:numId w:val="6"/>
        </w:numPr>
      </w:pPr>
      <w:r w:rsidRPr="00E16B5D">
        <w:t xml:space="preserve">Sydney New Year’s Eve </w:t>
      </w:r>
      <w:r w:rsidR="00800823" w:rsidRPr="00E16B5D">
        <w:t>c</w:t>
      </w:r>
      <w:r w:rsidRPr="00E16B5D">
        <w:t xml:space="preserve">ore </w:t>
      </w:r>
      <w:r w:rsidR="00800823" w:rsidRPr="00E16B5D">
        <w:t>t</w:t>
      </w:r>
      <w:r w:rsidRPr="00E16B5D">
        <w:t>eam</w:t>
      </w:r>
    </w:p>
    <w:p w14:paraId="2648EE5B" w14:textId="305BF035" w:rsidR="00041C9D" w:rsidRPr="00E16B5D" w:rsidRDefault="00041C9D" w:rsidP="00D80283">
      <w:pPr>
        <w:pStyle w:val="BodyText"/>
        <w:numPr>
          <w:ilvl w:val="0"/>
          <w:numId w:val="6"/>
        </w:numPr>
      </w:pPr>
      <w:r w:rsidRPr="00E16B5D">
        <w:t>City of Sydney Access Inclusion Advisory Panel</w:t>
      </w:r>
    </w:p>
    <w:p w14:paraId="09FFAB51" w14:textId="7BF8113E" w:rsidR="00041C9D" w:rsidRPr="00E16B5D" w:rsidRDefault="00041C9D" w:rsidP="00D80283">
      <w:pPr>
        <w:pStyle w:val="BodyText"/>
        <w:numPr>
          <w:ilvl w:val="0"/>
          <w:numId w:val="6"/>
        </w:numPr>
      </w:pPr>
      <w:r w:rsidRPr="00E16B5D">
        <w:t>Department of Premier and Cabinet Manager, Event Access &amp; Inclusion</w:t>
      </w:r>
    </w:p>
    <w:p w14:paraId="254111A0" w14:textId="6A3D7F8E" w:rsidR="00B96772" w:rsidRPr="00E16B5D" w:rsidRDefault="00B96772" w:rsidP="00D80283">
      <w:pPr>
        <w:pStyle w:val="BodyText"/>
        <w:numPr>
          <w:ilvl w:val="0"/>
          <w:numId w:val="6"/>
        </w:numPr>
      </w:pPr>
      <w:r w:rsidRPr="00E16B5D">
        <w:t>Other interested organisations and individuals</w:t>
      </w:r>
      <w:r w:rsidR="008619E0" w:rsidRPr="00E16B5D">
        <w:t>.</w:t>
      </w:r>
    </w:p>
    <w:p w14:paraId="0749AA18" w14:textId="40F8EEB6" w:rsidR="00DA6130" w:rsidRPr="00E16B5D" w:rsidRDefault="00DA6130" w:rsidP="00E16B5D">
      <w:pPr>
        <w:pStyle w:val="Heading1"/>
      </w:pPr>
      <w:bookmarkStart w:id="16" w:name="_Toc397589423"/>
      <w:r w:rsidRPr="00E16B5D">
        <w:t>Sydney New Year’s Eve Business Objectives</w:t>
      </w:r>
      <w:bookmarkEnd w:id="16"/>
    </w:p>
    <w:p w14:paraId="7AA45204" w14:textId="273C9BCB" w:rsidR="00DA6130" w:rsidRPr="00E16B5D" w:rsidRDefault="00DA6130" w:rsidP="00D80283">
      <w:pPr>
        <w:pStyle w:val="BodyText"/>
        <w:numPr>
          <w:ilvl w:val="0"/>
          <w:numId w:val="7"/>
        </w:numPr>
      </w:pPr>
      <w:r w:rsidRPr="00E16B5D">
        <w:t>Showcase Sydney as a global city, highlighting cultural diversity and tourism</w:t>
      </w:r>
    </w:p>
    <w:p w14:paraId="6551AE88" w14:textId="5FD99D98" w:rsidR="00E8471B" w:rsidRPr="00E16B5D" w:rsidRDefault="00DA6130" w:rsidP="00D80283">
      <w:pPr>
        <w:pStyle w:val="BodyText"/>
        <w:numPr>
          <w:ilvl w:val="0"/>
          <w:numId w:val="7"/>
        </w:numPr>
      </w:pPr>
      <w:r w:rsidRPr="00E16B5D">
        <w:t>Deliver an innovative event, creating and experience that is safe, inclusive, accessible and enjoyable</w:t>
      </w:r>
    </w:p>
    <w:p w14:paraId="243E0674" w14:textId="54A43841" w:rsidR="00581751" w:rsidRPr="00E16B5D" w:rsidRDefault="00581751" w:rsidP="00E16B5D">
      <w:pPr>
        <w:pStyle w:val="Heading1"/>
      </w:pPr>
      <w:bookmarkStart w:id="17" w:name="_Toc397589424"/>
      <w:r w:rsidRPr="00E16B5D">
        <w:t>Challenges</w:t>
      </w:r>
      <w:bookmarkEnd w:id="17"/>
    </w:p>
    <w:p w14:paraId="09A191C5" w14:textId="67751488" w:rsidR="00E8471B" w:rsidRPr="00E16B5D" w:rsidRDefault="00614291" w:rsidP="00D80283">
      <w:pPr>
        <w:pStyle w:val="BodyText"/>
        <w:numPr>
          <w:ilvl w:val="0"/>
          <w:numId w:val="8"/>
        </w:numPr>
      </w:pPr>
      <w:r w:rsidRPr="00E16B5D">
        <w:lastRenderedPageBreak/>
        <w:t>The Sydney New Year’s Eve Unit relies on other units in the City of Sydney, external agencies and organisations to deliver the event</w:t>
      </w:r>
    </w:p>
    <w:p w14:paraId="648FD694" w14:textId="77777777" w:rsidR="00581751" w:rsidRPr="00E16B5D" w:rsidRDefault="00581751" w:rsidP="00D80283">
      <w:pPr>
        <w:pStyle w:val="BodyText"/>
        <w:numPr>
          <w:ilvl w:val="0"/>
          <w:numId w:val="8"/>
        </w:numPr>
      </w:pPr>
      <w:r w:rsidRPr="00E16B5D">
        <w:t>The event program and communication are currently substantially based on visual elements</w:t>
      </w:r>
    </w:p>
    <w:p w14:paraId="7D27D842" w14:textId="67331390" w:rsidR="00581751" w:rsidRPr="00E16B5D" w:rsidRDefault="00581751" w:rsidP="00D80283">
      <w:pPr>
        <w:pStyle w:val="BodyText"/>
        <w:numPr>
          <w:ilvl w:val="0"/>
          <w:numId w:val="8"/>
        </w:numPr>
      </w:pPr>
      <w:r w:rsidRPr="00E16B5D">
        <w:t>The event attracts a large number of spectators fr</w:t>
      </w:r>
      <w:r w:rsidR="008619E0" w:rsidRPr="00E16B5D">
        <w:t>om a wide demographic to the city centre</w:t>
      </w:r>
      <w:r w:rsidRPr="00E16B5D">
        <w:t xml:space="preserve"> and various vantage points</w:t>
      </w:r>
    </w:p>
    <w:p w14:paraId="7CA05CC6" w14:textId="65A3ABE1" w:rsidR="00581751" w:rsidRPr="00E16B5D" w:rsidRDefault="00581751" w:rsidP="00D80283">
      <w:pPr>
        <w:pStyle w:val="BodyText"/>
        <w:numPr>
          <w:ilvl w:val="0"/>
          <w:numId w:val="8"/>
        </w:numPr>
      </w:pPr>
      <w:r w:rsidRPr="00E16B5D">
        <w:t xml:space="preserve">Sydney city terrain is steep. Paths of travel and entry to some vantage points and event sites are </w:t>
      </w:r>
      <w:r w:rsidR="005B0978" w:rsidRPr="00E16B5D">
        <w:t xml:space="preserve">permanently </w:t>
      </w:r>
      <w:r w:rsidRPr="00E16B5D">
        <w:t xml:space="preserve">not accessible by people with a disability </w:t>
      </w:r>
    </w:p>
    <w:p w14:paraId="2F14216D" w14:textId="4A78AEF6" w:rsidR="00581751" w:rsidRPr="00E16B5D" w:rsidRDefault="00581751" w:rsidP="00D80283">
      <w:pPr>
        <w:pStyle w:val="BodyText"/>
        <w:numPr>
          <w:ilvl w:val="0"/>
          <w:numId w:val="8"/>
        </w:numPr>
      </w:pPr>
      <w:r w:rsidRPr="00E16B5D">
        <w:t>Operational difficulties in the provi</w:t>
      </w:r>
      <w:r w:rsidR="008619E0" w:rsidRPr="00E16B5D">
        <w:t>ding</w:t>
      </w:r>
      <w:r w:rsidRPr="00E16B5D">
        <w:t xml:space="preserve"> services due to crowd size, street closures and event timings</w:t>
      </w:r>
    </w:p>
    <w:p w14:paraId="32531210" w14:textId="77777777" w:rsidR="00581751" w:rsidRPr="00E16B5D" w:rsidRDefault="00581751" w:rsidP="00D80283">
      <w:pPr>
        <w:pStyle w:val="BodyText"/>
        <w:numPr>
          <w:ilvl w:val="0"/>
          <w:numId w:val="8"/>
        </w:numPr>
      </w:pPr>
      <w:r w:rsidRPr="00E16B5D">
        <w:t>Long wait times for spectators at vantage points and travelling to and from the event</w:t>
      </w:r>
    </w:p>
    <w:p w14:paraId="37E8C3E2" w14:textId="11456E97" w:rsidR="00581751" w:rsidRPr="00E16B5D" w:rsidRDefault="00581751" w:rsidP="00D80283">
      <w:pPr>
        <w:pStyle w:val="BodyText"/>
        <w:numPr>
          <w:ilvl w:val="0"/>
          <w:numId w:val="8"/>
        </w:numPr>
      </w:pPr>
      <w:r w:rsidRPr="00E16B5D">
        <w:t xml:space="preserve">Lack of current accessibility mapping data and resources for accessibility event </w:t>
      </w:r>
      <w:r w:rsidR="00B96772" w:rsidRPr="00E16B5D">
        <w:t>planning</w:t>
      </w:r>
    </w:p>
    <w:p w14:paraId="7FD4729C" w14:textId="29968177" w:rsidR="00581751" w:rsidRDefault="00581751" w:rsidP="00D80283">
      <w:pPr>
        <w:pStyle w:val="BodyText"/>
        <w:numPr>
          <w:ilvl w:val="0"/>
          <w:numId w:val="8"/>
        </w:numPr>
      </w:pPr>
      <w:r w:rsidRPr="00E16B5D">
        <w:t>Temporary infrastructure and irregular operations obstruct ability to successfully plan and accommodate accessibility needs</w:t>
      </w:r>
      <w:r w:rsidR="008619E0" w:rsidRPr="00E16B5D">
        <w:t>.</w:t>
      </w:r>
    </w:p>
    <w:p w14:paraId="29F31521" w14:textId="77777777" w:rsidR="00DD3E6B" w:rsidRDefault="00DD3E6B" w:rsidP="00810125">
      <w:pPr>
        <w:jc w:val="both"/>
        <w:rPr>
          <w:b/>
          <w:color w:val="152128" w:themeColor="accent1"/>
          <w:sz w:val="32"/>
          <w:szCs w:val="32"/>
        </w:rPr>
      </w:pPr>
      <w:r>
        <w:br w:type="page"/>
      </w:r>
    </w:p>
    <w:p w14:paraId="54B3C63D" w14:textId="4AC2B052" w:rsidR="00DA6130" w:rsidRDefault="00DA6130" w:rsidP="00810125">
      <w:pPr>
        <w:pStyle w:val="Heading1"/>
        <w:jc w:val="both"/>
      </w:pPr>
      <w:bookmarkStart w:id="18" w:name="_Toc397589425"/>
      <w:r>
        <w:lastRenderedPageBreak/>
        <w:t>Mission Statement</w:t>
      </w:r>
      <w:bookmarkEnd w:id="18"/>
    </w:p>
    <w:p w14:paraId="4B2139D0" w14:textId="5BA26900" w:rsidR="00DA6130" w:rsidRPr="00E16B5D" w:rsidRDefault="002D162F" w:rsidP="00E16B5D">
      <w:pPr>
        <w:pStyle w:val="BodyText"/>
      </w:pPr>
      <w:r w:rsidRPr="00E16B5D">
        <w:t>Produce</w:t>
      </w:r>
      <w:r w:rsidR="00C6067A" w:rsidRPr="00E16B5D">
        <w:t xml:space="preserve"> an experience of </w:t>
      </w:r>
      <w:r w:rsidR="00DA6130" w:rsidRPr="00E16B5D">
        <w:t>Sydney New Year’s Eve</w:t>
      </w:r>
      <w:r w:rsidRPr="00E16B5D">
        <w:t xml:space="preserve"> that</w:t>
      </w:r>
      <w:r w:rsidR="00C6067A" w:rsidRPr="00E16B5D">
        <w:t xml:space="preserve"> is safe, inclusive, accessible and enjoyable</w:t>
      </w:r>
      <w:r w:rsidR="00601FF2" w:rsidRPr="00E16B5D">
        <w:t xml:space="preserve"> for all</w:t>
      </w:r>
      <w:r w:rsidR="008619E0" w:rsidRPr="00E16B5D">
        <w:t>.</w:t>
      </w:r>
    </w:p>
    <w:p w14:paraId="0A0EAD6F" w14:textId="4030688E" w:rsidR="00A10005" w:rsidRPr="00E16B5D" w:rsidRDefault="00DA6130" w:rsidP="00E16B5D">
      <w:pPr>
        <w:pStyle w:val="Heading1"/>
      </w:pPr>
      <w:bookmarkStart w:id="19" w:name="_Toc397589426"/>
      <w:r w:rsidRPr="00E16B5D">
        <w:t>Objectives</w:t>
      </w:r>
      <w:bookmarkEnd w:id="19"/>
    </w:p>
    <w:p w14:paraId="7A37B295" w14:textId="5ABE3542" w:rsidR="00C6067A" w:rsidRPr="00E16B5D" w:rsidRDefault="00B34CC1" w:rsidP="00D80283">
      <w:pPr>
        <w:pStyle w:val="BodyText"/>
        <w:numPr>
          <w:ilvl w:val="0"/>
          <w:numId w:val="2"/>
        </w:numPr>
        <w:jc w:val="both"/>
        <w:rPr>
          <w:b/>
        </w:rPr>
      </w:pPr>
      <w:r>
        <w:t xml:space="preserve">Increase participation of people with disability who experience </w:t>
      </w:r>
      <w:r w:rsidR="00E16B5D">
        <w:t>Sydney New Year’s Eve</w:t>
      </w:r>
    </w:p>
    <w:p w14:paraId="3C9606E5" w14:textId="0A8B6FFB" w:rsidR="002D162F" w:rsidRPr="00E16B5D" w:rsidRDefault="002D162F" w:rsidP="00D80283">
      <w:pPr>
        <w:pStyle w:val="BodyText"/>
        <w:numPr>
          <w:ilvl w:val="0"/>
          <w:numId w:val="2"/>
        </w:numPr>
        <w:jc w:val="both"/>
        <w:rPr>
          <w:b/>
        </w:rPr>
      </w:pPr>
      <w:r>
        <w:t>Lead the industry in best practice of</w:t>
      </w:r>
      <w:r w:rsidR="001A1D52">
        <w:t xml:space="preserve"> event accessibility </w:t>
      </w:r>
    </w:p>
    <w:p w14:paraId="1F8899E2" w14:textId="15173347" w:rsidR="002D162F" w:rsidRDefault="002D162F" w:rsidP="00810125">
      <w:pPr>
        <w:pStyle w:val="Heading1"/>
        <w:jc w:val="both"/>
      </w:pPr>
      <w:bookmarkStart w:id="20" w:name="_Toc397589427"/>
      <w:r>
        <w:t>Aims</w:t>
      </w:r>
      <w:bookmarkEnd w:id="20"/>
    </w:p>
    <w:p w14:paraId="5850EDEC" w14:textId="77777777" w:rsidR="002D162F" w:rsidRPr="00E16B5D" w:rsidRDefault="002D162F" w:rsidP="00D80283">
      <w:pPr>
        <w:pStyle w:val="BodyText"/>
        <w:numPr>
          <w:ilvl w:val="0"/>
          <w:numId w:val="9"/>
        </w:numPr>
      </w:pPr>
      <w:r w:rsidRPr="00E16B5D">
        <w:t>Ensure barriers faced by people with disability are no greater than the average attendee</w:t>
      </w:r>
    </w:p>
    <w:p w14:paraId="13CB653D" w14:textId="77777777" w:rsidR="002D162F" w:rsidRPr="00E16B5D" w:rsidRDefault="002D162F" w:rsidP="00D80283">
      <w:pPr>
        <w:pStyle w:val="BodyText"/>
        <w:numPr>
          <w:ilvl w:val="0"/>
          <w:numId w:val="9"/>
        </w:numPr>
      </w:pPr>
      <w:r w:rsidRPr="00E16B5D">
        <w:t>Build our accessibility and disability knowledge base</w:t>
      </w:r>
    </w:p>
    <w:p w14:paraId="7CF77EE4" w14:textId="77777777" w:rsidR="002D162F" w:rsidRPr="00E16B5D" w:rsidRDefault="002D162F" w:rsidP="00D80283">
      <w:pPr>
        <w:pStyle w:val="BodyText"/>
        <w:numPr>
          <w:ilvl w:val="0"/>
          <w:numId w:val="9"/>
        </w:numPr>
      </w:pPr>
      <w:r w:rsidRPr="00E16B5D">
        <w:t xml:space="preserve">Develop accessibility initiatives </w:t>
      </w:r>
    </w:p>
    <w:p w14:paraId="6D05D50E" w14:textId="1ABFFE77" w:rsidR="002D162F" w:rsidRPr="00E16B5D" w:rsidRDefault="002D162F" w:rsidP="00D80283">
      <w:pPr>
        <w:pStyle w:val="BodyText"/>
        <w:numPr>
          <w:ilvl w:val="0"/>
          <w:numId w:val="9"/>
        </w:numPr>
      </w:pPr>
      <w:r w:rsidRPr="00E16B5D">
        <w:t>Comply with relevant legislation and policies</w:t>
      </w:r>
    </w:p>
    <w:p w14:paraId="3F7F8938" w14:textId="7C29D0D2" w:rsidR="002D162F" w:rsidRPr="00E16B5D" w:rsidRDefault="002D162F" w:rsidP="00D80283">
      <w:pPr>
        <w:pStyle w:val="BodyText"/>
        <w:numPr>
          <w:ilvl w:val="0"/>
          <w:numId w:val="9"/>
        </w:numPr>
      </w:pPr>
      <w:r w:rsidRPr="00E16B5D">
        <w:t xml:space="preserve">Use a Universal Access approach </w:t>
      </w:r>
    </w:p>
    <w:p w14:paraId="762A8583" w14:textId="77777777" w:rsidR="002D162F" w:rsidRPr="002D162F" w:rsidRDefault="002D162F" w:rsidP="00810125">
      <w:pPr>
        <w:pStyle w:val="BodyText"/>
        <w:jc w:val="both"/>
      </w:pPr>
    </w:p>
    <w:p w14:paraId="3616F9B2" w14:textId="77777777" w:rsidR="002D162F" w:rsidRPr="002D162F" w:rsidRDefault="002D162F" w:rsidP="002D162F">
      <w:pPr>
        <w:pStyle w:val="BodyText"/>
        <w:sectPr w:rsidR="002D162F" w:rsidRPr="002D162F" w:rsidSect="0070784B">
          <w:headerReference w:type="default" r:id="rId16"/>
          <w:footerReference w:type="default" r:id="rId17"/>
          <w:pgSz w:w="11906" w:h="16838" w:code="9"/>
          <w:pgMar w:top="1588" w:right="1814" w:bottom="1134" w:left="1814" w:header="680" w:footer="567" w:gutter="0"/>
          <w:cols w:space="708"/>
          <w:docGrid w:linePitch="360"/>
        </w:sectPr>
      </w:pPr>
    </w:p>
    <w:p w14:paraId="61986E19" w14:textId="0611C295" w:rsidR="00B34CC1" w:rsidRDefault="00FD4637" w:rsidP="00B34CC1">
      <w:pPr>
        <w:pStyle w:val="Heading1"/>
      </w:pPr>
      <w:bookmarkStart w:id="21" w:name="_Toc397589428"/>
      <w:r>
        <w:lastRenderedPageBreak/>
        <w:t>Action Plan:</w:t>
      </w:r>
      <w:bookmarkEnd w:id="21"/>
    </w:p>
    <w:p w14:paraId="49E9A077" w14:textId="33DB84D8" w:rsidR="00872EB1" w:rsidRPr="00872EB1" w:rsidRDefault="00E16B5D" w:rsidP="00872EB1">
      <w:pPr>
        <w:pStyle w:val="Heading2"/>
      </w:pPr>
      <w:bookmarkStart w:id="22" w:name="_Toc397589429"/>
      <w:r>
        <w:t>Objective 1: Increase participation of people with disability who experience Sydney New Year’s Eve</w:t>
      </w:r>
      <w:bookmarkEnd w:id="22"/>
    </w:p>
    <w:tbl>
      <w:tblPr>
        <w:tblStyle w:val="CoSTableDesign"/>
        <w:tblW w:w="0" w:type="auto"/>
        <w:tblLook w:val="04A0" w:firstRow="1" w:lastRow="0" w:firstColumn="1" w:lastColumn="0" w:noHBand="0" w:noVBand="1"/>
      </w:tblPr>
      <w:tblGrid>
        <w:gridCol w:w="8222"/>
        <w:gridCol w:w="5670"/>
      </w:tblGrid>
      <w:tr w:rsidR="00E16B5D" w:rsidRPr="00E16B5D" w14:paraId="43AD4B2E" w14:textId="0188845E" w:rsidTr="000A3BE1">
        <w:trPr>
          <w:cnfStyle w:val="100000000000" w:firstRow="1" w:lastRow="0" w:firstColumn="0" w:lastColumn="0" w:oddVBand="0" w:evenVBand="0" w:oddHBand="0" w:evenHBand="0" w:firstRowFirstColumn="0" w:firstRowLastColumn="0" w:lastRowFirstColumn="0" w:lastRowLastColumn="0"/>
          <w:trHeight w:val="349"/>
          <w:tblHeader/>
        </w:trPr>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32BA3" w14:textId="66A23C6A" w:rsidR="008046FE" w:rsidRPr="00E16B5D" w:rsidRDefault="008046FE" w:rsidP="008603FF">
            <w:pPr>
              <w:pStyle w:val="BodyText"/>
              <w:rPr>
                <w:b w:val="0"/>
                <w:color w:val="auto"/>
              </w:rPr>
            </w:pPr>
            <w:bookmarkStart w:id="23" w:name="ColumnTitle_1"/>
            <w:bookmarkEnd w:id="23"/>
            <w:r w:rsidRPr="00E16B5D">
              <w:rPr>
                <w:color w:val="auto"/>
              </w:rPr>
              <w:t>Strategy</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DEDEC" w14:textId="1764C431" w:rsidR="008046FE" w:rsidRPr="00E16B5D" w:rsidRDefault="008046FE" w:rsidP="008603FF">
            <w:pPr>
              <w:pStyle w:val="BodyText"/>
              <w:rPr>
                <w:b w:val="0"/>
                <w:color w:val="auto"/>
              </w:rPr>
            </w:pPr>
            <w:r w:rsidRPr="00E16B5D">
              <w:rPr>
                <w:color w:val="auto"/>
              </w:rPr>
              <w:t xml:space="preserve">Performance Measure </w:t>
            </w:r>
          </w:p>
        </w:tc>
      </w:tr>
      <w:tr w:rsidR="008046FE" w14:paraId="43217035" w14:textId="77777777" w:rsidTr="00E16B5D">
        <w:trPr>
          <w:trHeight w:val="1489"/>
        </w:trPr>
        <w:tc>
          <w:tcPr>
            <w:tcW w:w="8222" w:type="dxa"/>
            <w:tcBorders>
              <w:top w:val="single" w:sz="4" w:space="0" w:color="auto"/>
            </w:tcBorders>
          </w:tcPr>
          <w:p w14:paraId="5091F6E5" w14:textId="0FF9035C" w:rsidR="008046FE" w:rsidRDefault="008046FE" w:rsidP="00872EB1">
            <w:pPr>
              <w:pStyle w:val="TableText"/>
            </w:pPr>
            <w:r>
              <w:t>Annual cons</w:t>
            </w:r>
            <w:r w:rsidR="00E16B5D">
              <w:t>ultation with disability sector</w:t>
            </w:r>
          </w:p>
          <w:p w14:paraId="54526FFC" w14:textId="5C3CB42A" w:rsidR="008046FE" w:rsidRDefault="008046FE" w:rsidP="00D80283">
            <w:pPr>
              <w:pStyle w:val="TableText"/>
              <w:numPr>
                <w:ilvl w:val="0"/>
                <w:numId w:val="10"/>
              </w:numPr>
            </w:pPr>
            <w:r>
              <w:t>Develop a plan for targeted consultation to review current services and identify areas for enhancement year on year.</w:t>
            </w:r>
          </w:p>
          <w:p w14:paraId="5CA43DB7" w14:textId="0E6C573B" w:rsidR="008046FE" w:rsidRPr="00020E86" w:rsidRDefault="008046FE" w:rsidP="00D80283">
            <w:pPr>
              <w:pStyle w:val="TableText"/>
              <w:numPr>
                <w:ilvl w:val="0"/>
                <w:numId w:val="10"/>
              </w:numPr>
            </w:pPr>
            <w:r>
              <w:t>Review the Accessibility Services Matrix to ensure that services are provided across a broad range of abilities</w:t>
            </w:r>
          </w:p>
        </w:tc>
        <w:tc>
          <w:tcPr>
            <w:tcW w:w="5670" w:type="dxa"/>
            <w:tcBorders>
              <w:top w:val="single" w:sz="4" w:space="0" w:color="auto"/>
            </w:tcBorders>
          </w:tcPr>
          <w:p w14:paraId="35B945BE" w14:textId="208F64E2" w:rsidR="008046FE" w:rsidRPr="00872EB1" w:rsidRDefault="008046FE" w:rsidP="00D80283">
            <w:pPr>
              <w:pStyle w:val="TableText"/>
              <w:numPr>
                <w:ilvl w:val="0"/>
                <w:numId w:val="10"/>
              </w:numPr>
            </w:pPr>
            <w:r w:rsidRPr="00872EB1">
              <w:t>Annual Consultation Plan completed by November each year</w:t>
            </w:r>
          </w:p>
          <w:p w14:paraId="340EF1B3" w14:textId="0B6BC3B2" w:rsidR="008046FE" w:rsidRPr="00872EB1" w:rsidRDefault="008046FE" w:rsidP="00D80283">
            <w:pPr>
              <w:pStyle w:val="TableText"/>
              <w:numPr>
                <w:ilvl w:val="0"/>
                <w:numId w:val="10"/>
              </w:numPr>
            </w:pPr>
            <w:r w:rsidRPr="00872EB1">
              <w:t xml:space="preserve">Evidence of new and ongoing partnerships with disability sector representatives and organisations annually </w:t>
            </w:r>
          </w:p>
          <w:p w14:paraId="23E08966" w14:textId="7FC1C927" w:rsidR="008046FE" w:rsidRPr="004E0E08" w:rsidRDefault="008046FE" w:rsidP="00D80283">
            <w:pPr>
              <w:pStyle w:val="TableText"/>
              <w:numPr>
                <w:ilvl w:val="0"/>
                <w:numId w:val="10"/>
              </w:numPr>
            </w:pPr>
            <w:r w:rsidRPr="00872EB1">
              <w:t>Annual Accessibility Services Matrix review by November of each year</w:t>
            </w:r>
          </w:p>
        </w:tc>
      </w:tr>
      <w:tr w:rsidR="008046FE" w14:paraId="334D27B5" w14:textId="47DCDE34" w:rsidTr="008046FE">
        <w:tc>
          <w:tcPr>
            <w:tcW w:w="8222" w:type="dxa"/>
          </w:tcPr>
          <w:p w14:paraId="0AFC456E" w14:textId="3FEC7839" w:rsidR="008046FE" w:rsidRDefault="008619E0" w:rsidP="00872EB1">
            <w:pPr>
              <w:pStyle w:val="TableText"/>
            </w:pPr>
            <w:r>
              <w:t>Information p</w:t>
            </w:r>
            <w:r w:rsidR="008046FE">
              <w:t>rovision:</w:t>
            </w:r>
          </w:p>
          <w:p w14:paraId="07AE9E84" w14:textId="06626BC5" w:rsidR="008046FE" w:rsidRDefault="008046FE" w:rsidP="00D80283">
            <w:pPr>
              <w:pStyle w:val="TableText"/>
              <w:numPr>
                <w:ilvl w:val="0"/>
                <w:numId w:val="11"/>
              </w:numPr>
            </w:pPr>
            <w:r>
              <w:t>Pro</w:t>
            </w:r>
            <w:r w:rsidR="005B0978">
              <w:t>file</w:t>
            </w:r>
            <w:r>
              <w:t xml:space="preserve"> information to general public via the official SNYE website to promote accessibility services and assist in planning for the event </w:t>
            </w:r>
          </w:p>
          <w:p w14:paraId="7AB0BBD2" w14:textId="52FA0867" w:rsidR="008046FE" w:rsidRPr="002147B6" w:rsidRDefault="008046FE" w:rsidP="00D80283">
            <w:pPr>
              <w:pStyle w:val="TableText"/>
              <w:numPr>
                <w:ilvl w:val="0"/>
                <w:numId w:val="11"/>
              </w:numPr>
            </w:pPr>
            <w:r>
              <w:t xml:space="preserve">Provide dedicated </w:t>
            </w:r>
            <w:r w:rsidRPr="002B389B">
              <w:t xml:space="preserve">event </w:t>
            </w:r>
            <w:r>
              <w:t>information webpage for guests of SNYE private ticketed events.</w:t>
            </w:r>
          </w:p>
          <w:p w14:paraId="4A5C78CC" w14:textId="541F135F" w:rsidR="008046FE" w:rsidRDefault="008046FE" w:rsidP="00D80283">
            <w:pPr>
              <w:pStyle w:val="TableText"/>
              <w:numPr>
                <w:ilvl w:val="0"/>
                <w:numId w:val="11"/>
              </w:numPr>
            </w:pPr>
            <w:r>
              <w:t xml:space="preserve">Provide information in alternative formats on needs basis. </w:t>
            </w:r>
          </w:p>
          <w:p w14:paraId="52551808" w14:textId="7339AE73" w:rsidR="008046FE" w:rsidRDefault="008046FE" w:rsidP="00D80283">
            <w:pPr>
              <w:pStyle w:val="TableText"/>
              <w:numPr>
                <w:ilvl w:val="0"/>
                <w:numId w:val="11"/>
              </w:numPr>
            </w:pPr>
            <w:r>
              <w:t>Provide a designated accessibility contact and enquiry service to manage individual access options and solutions.</w:t>
            </w:r>
          </w:p>
          <w:p w14:paraId="7BC32B59" w14:textId="046EF3A3" w:rsidR="008046FE" w:rsidRPr="00C46542" w:rsidRDefault="008619E0" w:rsidP="00D80283">
            <w:pPr>
              <w:pStyle w:val="TableText"/>
              <w:numPr>
                <w:ilvl w:val="0"/>
                <w:numId w:val="11"/>
              </w:numPr>
            </w:pPr>
            <w:r>
              <w:t>Provide e</w:t>
            </w:r>
            <w:r w:rsidR="008046FE">
              <w:t>vent on- ground services including signage and spectator services.</w:t>
            </w:r>
          </w:p>
        </w:tc>
        <w:tc>
          <w:tcPr>
            <w:tcW w:w="5670" w:type="dxa"/>
          </w:tcPr>
          <w:p w14:paraId="068B0DC9" w14:textId="43A9A009" w:rsidR="008046FE" w:rsidRDefault="008046FE" w:rsidP="00D80283">
            <w:pPr>
              <w:pStyle w:val="TableText"/>
              <w:numPr>
                <w:ilvl w:val="0"/>
                <w:numId w:val="11"/>
              </w:numPr>
            </w:pPr>
            <w:r>
              <w:t>Number of visits to A</w:t>
            </w:r>
            <w:r w:rsidRPr="00A87D91">
              <w:t>ccess</w:t>
            </w:r>
            <w:r>
              <w:t>ibility</w:t>
            </w:r>
            <w:r w:rsidRPr="00A87D91">
              <w:t xml:space="preserve"> </w:t>
            </w:r>
            <w:r>
              <w:t>web</w:t>
            </w:r>
            <w:r w:rsidRPr="00A87D91">
              <w:t xml:space="preserve">page </w:t>
            </w:r>
            <w:r>
              <w:t>1 November – 31 January</w:t>
            </w:r>
          </w:p>
          <w:p w14:paraId="3FCABBE0" w14:textId="21471DCC" w:rsidR="008046FE" w:rsidRPr="00A87D91" w:rsidRDefault="008046FE" w:rsidP="00D80283">
            <w:pPr>
              <w:pStyle w:val="TableText"/>
              <w:numPr>
                <w:ilvl w:val="0"/>
                <w:numId w:val="11"/>
              </w:numPr>
            </w:pPr>
            <w:r>
              <w:t>Number of visits to SNYE private tickets event webpages 1 December – 1 January</w:t>
            </w:r>
          </w:p>
          <w:p w14:paraId="278290F9" w14:textId="7CDECAA6" w:rsidR="008046FE" w:rsidRDefault="008046FE" w:rsidP="00D80283">
            <w:pPr>
              <w:pStyle w:val="TableText"/>
              <w:numPr>
                <w:ilvl w:val="0"/>
                <w:numId w:val="11"/>
              </w:numPr>
            </w:pPr>
            <w:r>
              <w:t>Number or customised</w:t>
            </w:r>
            <w:r w:rsidRPr="00A87D91">
              <w:t xml:space="preserve"> access plans developed</w:t>
            </w:r>
          </w:p>
          <w:p w14:paraId="7F444F92" w14:textId="51FE5D4D" w:rsidR="008046FE" w:rsidRDefault="008046FE" w:rsidP="00D80283">
            <w:pPr>
              <w:pStyle w:val="TableText"/>
              <w:numPr>
                <w:ilvl w:val="0"/>
                <w:numId w:val="11"/>
              </w:numPr>
            </w:pPr>
            <w:r>
              <w:t xml:space="preserve">Number spectator service volunteers provided at event  </w:t>
            </w:r>
          </w:p>
          <w:p w14:paraId="383A7153" w14:textId="46DD9A14" w:rsidR="008046FE" w:rsidRPr="00A4255D" w:rsidRDefault="008046FE" w:rsidP="00D80283">
            <w:pPr>
              <w:pStyle w:val="TableText"/>
              <w:numPr>
                <w:ilvl w:val="0"/>
                <w:numId w:val="11"/>
              </w:numPr>
            </w:pPr>
            <w:r>
              <w:t>Quantity and coverage of</w:t>
            </w:r>
            <w:r w:rsidRPr="00453550">
              <w:t xml:space="preserve"> wayfinding signag</w:t>
            </w:r>
            <w:r>
              <w:t>e</w:t>
            </w:r>
          </w:p>
          <w:p w14:paraId="0962EDE5" w14:textId="6BCF7907" w:rsidR="008046FE" w:rsidRDefault="008254DB" w:rsidP="00D80283">
            <w:pPr>
              <w:pStyle w:val="TableText"/>
              <w:numPr>
                <w:ilvl w:val="0"/>
                <w:numId w:val="11"/>
              </w:numPr>
            </w:pPr>
            <w:r>
              <w:t>Timely response to alternative formal requests</w:t>
            </w:r>
          </w:p>
        </w:tc>
      </w:tr>
      <w:tr w:rsidR="008046FE" w14:paraId="686381F7" w14:textId="77777777" w:rsidTr="008046FE">
        <w:tc>
          <w:tcPr>
            <w:tcW w:w="8222" w:type="dxa"/>
          </w:tcPr>
          <w:p w14:paraId="2E4BFCC5" w14:textId="5F480007" w:rsidR="008046FE" w:rsidRDefault="009C5670" w:rsidP="00872EB1">
            <w:pPr>
              <w:pStyle w:val="TableText"/>
            </w:pPr>
            <w:r>
              <w:t>Develop a Marketing &amp; Communications</w:t>
            </w:r>
            <w:r w:rsidR="008046FE">
              <w:t xml:space="preserve"> plan which includes strategies to selectively target the disability sector and raise aware</w:t>
            </w:r>
            <w:r w:rsidR="00872EB1">
              <w:t>ness of accessibility services.</w:t>
            </w:r>
          </w:p>
        </w:tc>
        <w:tc>
          <w:tcPr>
            <w:tcW w:w="5670" w:type="dxa"/>
          </w:tcPr>
          <w:p w14:paraId="72679648" w14:textId="6260F75A" w:rsidR="008046FE" w:rsidRDefault="008046FE" w:rsidP="00D80283">
            <w:pPr>
              <w:pStyle w:val="TableText"/>
              <w:numPr>
                <w:ilvl w:val="0"/>
                <w:numId w:val="12"/>
              </w:numPr>
            </w:pPr>
            <w:r>
              <w:t>Reach through distribution channels</w:t>
            </w:r>
          </w:p>
          <w:p w14:paraId="342CEB1B" w14:textId="53635078" w:rsidR="008046FE" w:rsidRDefault="008046FE" w:rsidP="00D80283">
            <w:pPr>
              <w:pStyle w:val="TableText"/>
              <w:numPr>
                <w:ilvl w:val="0"/>
                <w:numId w:val="12"/>
              </w:numPr>
            </w:pPr>
            <w:r>
              <w:t xml:space="preserve">Referrals to website from disability sector sources </w:t>
            </w:r>
          </w:p>
        </w:tc>
      </w:tr>
      <w:tr w:rsidR="008046FE" w14:paraId="571CF48C" w14:textId="77777777" w:rsidTr="008046FE">
        <w:tc>
          <w:tcPr>
            <w:tcW w:w="8222" w:type="dxa"/>
          </w:tcPr>
          <w:p w14:paraId="137E87A8" w14:textId="594747EC" w:rsidR="008046FE" w:rsidRPr="004E0E08" w:rsidRDefault="008046FE" w:rsidP="00872EB1">
            <w:pPr>
              <w:pStyle w:val="TableText"/>
            </w:pPr>
            <w:r>
              <w:lastRenderedPageBreak/>
              <w:t>Enhance accessibility services city wide for the event.</w:t>
            </w:r>
          </w:p>
        </w:tc>
        <w:tc>
          <w:tcPr>
            <w:tcW w:w="5670" w:type="dxa"/>
          </w:tcPr>
          <w:p w14:paraId="00B6DFAE" w14:textId="3D6CDAA1" w:rsidR="008046FE" w:rsidRPr="009C5670" w:rsidRDefault="008046FE" w:rsidP="00D80283">
            <w:pPr>
              <w:pStyle w:val="TableText"/>
              <w:numPr>
                <w:ilvl w:val="0"/>
                <w:numId w:val="13"/>
              </w:numPr>
            </w:pPr>
            <w:r w:rsidRPr="009C5670">
              <w:t>Evidence of City of Sydney services enhanced each year</w:t>
            </w:r>
          </w:p>
          <w:p w14:paraId="7826FB8A" w14:textId="6CC45D51" w:rsidR="008046FE" w:rsidRPr="006869D6" w:rsidRDefault="008046FE" w:rsidP="00D80283">
            <w:pPr>
              <w:pStyle w:val="TableText"/>
              <w:numPr>
                <w:ilvl w:val="0"/>
                <w:numId w:val="13"/>
              </w:numPr>
            </w:pPr>
            <w:r>
              <w:t>Evidence of other agenc</w:t>
            </w:r>
            <w:r w:rsidR="00872EB1">
              <w:t>ies services enhanced each year</w:t>
            </w:r>
          </w:p>
        </w:tc>
      </w:tr>
    </w:tbl>
    <w:p w14:paraId="62E9720A" w14:textId="3727998C" w:rsidR="00872EB1" w:rsidRDefault="00872EB1"/>
    <w:p w14:paraId="0F26A067" w14:textId="2626B289" w:rsidR="00872EB1" w:rsidRDefault="00872EB1">
      <w:r>
        <w:br w:type="page"/>
      </w:r>
    </w:p>
    <w:p w14:paraId="0C54A410" w14:textId="7F2C5C3C" w:rsidR="00872EB1" w:rsidRDefault="00872EB1" w:rsidP="00872EB1">
      <w:pPr>
        <w:pStyle w:val="Heading2"/>
      </w:pPr>
      <w:bookmarkStart w:id="24" w:name="_Toc397589430"/>
      <w:r>
        <w:lastRenderedPageBreak/>
        <w:t>Objective 2: Lead the industry in best practice of event accessibility</w:t>
      </w:r>
      <w:bookmarkEnd w:id="24"/>
    </w:p>
    <w:tbl>
      <w:tblPr>
        <w:tblStyle w:val="CoSTableDesign"/>
        <w:tblW w:w="0" w:type="auto"/>
        <w:tblLook w:val="04A0" w:firstRow="1" w:lastRow="0" w:firstColumn="1" w:lastColumn="0" w:noHBand="0" w:noVBand="1"/>
      </w:tblPr>
      <w:tblGrid>
        <w:gridCol w:w="8222"/>
        <w:gridCol w:w="5670"/>
      </w:tblGrid>
      <w:tr w:rsidR="00872EB1" w:rsidRPr="00872EB1" w14:paraId="2A15B7B1" w14:textId="77777777" w:rsidTr="000A3BE1">
        <w:trPr>
          <w:cnfStyle w:val="100000000000" w:firstRow="1" w:lastRow="0" w:firstColumn="0" w:lastColumn="0" w:oddVBand="0" w:evenVBand="0" w:oddHBand="0" w:evenHBand="0" w:firstRowFirstColumn="0" w:firstRowLastColumn="0" w:lastRowFirstColumn="0" w:lastRowLastColumn="0"/>
          <w:tblHeader/>
        </w:trPr>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90C65" w14:textId="77777777" w:rsidR="008046FE" w:rsidRPr="00872EB1" w:rsidRDefault="008046FE" w:rsidP="00BD6A6B">
            <w:pPr>
              <w:pStyle w:val="BodyText"/>
              <w:rPr>
                <w:b w:val="0"/>
                <w:color w:val="auto"/>
              </w:rPr>
            </w:pPr>
            <w:bookmarkStart w:id="25" w:name="ColumnTitle_2"/>
            <w:bookmarkEnd w:id="25"/>
            <w:r w:rsidRPr="00872EB1">
              <w:rPr>
                <w:color w:val="auto"/>
              </w:rPr>
              <w:t>Strategy</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D64E4" w14:textId="5D7FEFEC" w:rsidR="008046FE" w:rsidRPr="00872EB1" w:rsidRDefault="008046FE" w:rsidP="00BD6A6B">
            <w:pPr>
              <w:pStyle w:val="BodyText"/>
              <w:rPr>
                <w:b w:val="0"/>
                <w:color w:val="auto"/>
              </w:rPr>
            </w:pPr>
            <w:r w:rsidRPr="00872EB1">
              <w:rPr>
                <w:color w:val="auto"/>
              </w:rPr>
              <w:t>Performance Measure</w:t>
            </w:r>
          </w:p>
        </w:tc>
      </w:tr>
      <w:tr w:rsidR="008046FE" w14:paraId="3DF43D4C" w14:textId="77777777" w:rsidTr="00872EB1">
        <w:tc>
          <w:tcPr>
            <w:tcW w:w="8222" w:type="dxa"/>
            <w:tcBorders>
              <w:top w:val="single" w:sz="4" w:space="0" w:color="auto"/>
            </w:tcBorders>
          </w:tcPr>
          <w:p w14:paraId="0547DAD8" w14:textId="0011E7F7" w:rsidR="008046FE" w:rsidRPr="004E0E08" w:rsidRDefault="008046FE" w:rsidP="0054796E">
            <w:pPr>
              <w:pStyle w:val="TableText"/>
            </w:pPr>
            <w:r>
              <w:t xml:space="preserve">Implementation of an established SNYE Access &amp; Inclusion Plan </w:t>
            </w:r>
          </w:p>
        </w:tc>
        <w:tc>
          <w:tcPr>
            <w:tcW w:w="5670" w:type="dxa"/>
            <w:tcBorders>
              <w:top w:val="single" w:sz="4" w:space="0" w:color="auto"/>
            </w:tcBorders>
          </w:tcPr>
          <w:p w14:paraId="44868B1D" w14:textId="656A7713" w:rsidR="008046FE" w:rsidRDefault="008046FE" w:rsidP="00D80283">
            <w:pPr>
              <w:pStyle w:val="TableText"/>
              <w:numPr>
                <w:ilvl w:val="0"/>
                <w:numId w:val="14"/>
              </w:numPr>
            </w:pPr>
            <w:r>
              <w:t xml:space="preserve">Plan </w:t>
            </w:r>
            <w:r w:rsidR="008254DB">
              <w:t>reviewed every three years</w:t>
            </w:r>
          </w:p>
          <w:p w14:paraId="30A33962" w14:textId="37B50D6C" w:rsidR="008046FE" w:rsidRPr="004E0E08" w:rsidRDefault="008046FE" w:rsidP="00D80283">
            <w:pPr>
              <w:pStyle w:val="TableText"/>
              <w:numPr>
                <w:ilvl w:val="0"/>
                <w:numId w:val="14"/>
              </w:numPr>
            </w:pPr>
            <w:r>
              <w:t>Plan registered with Human Rights Commission</w:t>
            </w:r>
          </w:p>
        </w:tc>
      </w:tr>
      <w:tr w:rsidR="008046FE" w14:paraId="7AB61B2D" w14:textId="77777777" w:rsidTr="008046FE">
        <w:tc>
          <w:tcPr>
            <w:tcW w:w="8222" w:type="dxa"/>
          </w:tcPr>
          <w:p w14:paraId="3BBE7206" w14:textId="78B3A4B7" w:rsidR="008046FE" w:rsidRPr="004E0E08" w:rsidRDefault="008046FE" w:rsidP="0054796E">
            <w:pPr>
              <w:pStyle w:val="TableText"/>
            </w:pPr>
            <w:r>
              <w:t>Collaborate with disability sector partners and organisations to identify opportunities for future research and initiatives.</w:t>
            </w:r>
          </w:p>
        </w:tc>
        <w:tc>
          <w:tcPr>
            <w:tcW w:w="5670" w:type="dxa"/>
          </w:tcPr>
          <w:p w14:paraId="14293569" w14:textId="665E536B" w:rsidR="008046FE" w:rsidRPr="004E0E08" w:rsidRDefault="008046FE" w:rsidP="00D80283">
            <w:pPr>
              <w:pStyle w:val="TableText"/>
              <w:numPr>
                <w:ilvl w:val="0"/>
                <w:numId w:val="14"/>
              </w:numPr>
            </w:pPr>
            <w:r>
              <w:t>Evidence of initiatives or participation in research projects</w:t>
            </w:r>
          </w:p>
        </w:tc>
      </w:tr>
      <w:tr w:rsidR="008046FE" w14:paraId="01958442" w14:textId="77777777" w:rsidTr="008046FE">
        <w:tc>
          <w:tcPr>
            <w:tcW w:w="8222" w:type="dxa"/>
          </w:tcPr>
          <w:p w14:paraId="2BC56767" w14:textId="1978DA1F" w:rsidR="008046FE" w:rsidRPr="004E0E08" w:rsidRDefault="008046FE" w:rsidP="0054796E">
            <w:pPr>
              <w:pStyle w:val="TableText"/>
            </w:pPr>
            <w:r>
              <w:t>Showcase SNYE accessibility initiatives to promote awareness and best practice.</w:t>
            </w:r>
          </w:p>
        </w:tc>
        <w:tc>
          <w:tcPr>
            <w:tcW w:w="5670" w:type="dxa"/>
          </w:tcPr>
          <w:p w14:paraId="4F1CAAF7" w14:textId="6DB965CF" w:rsidR="008046FE" w:rsidRPr="006C6DEE" w:rsidRDefault="008046FE" w:rsidP="00D80283">
            <w:pPr>
              <w:pStyle w:val="TableText"/>
              <w:numPr>
                <w:ilvl w:val="0"/>
                <w:numId w:val="14"/>
              </w:numPr>
            </w:pPr>
            <w:r w:rsidRPr="006C6DEE">
              <w:t xml:space="preserve">Evidence of case studies developed and shared </w:t>
            </w:r>
          </w:p>
        </w:tc>
      </w:tr>
      <w:tr w:rsidR="008046FE" w14:paraId="3D51B169" w14:textId="77777777" w:rsidTr="008046FE">
        <w:tc>
          <w:tcPr>
            <w:tcW w:w="8222" w:type="dxa"/>
          </w:tcPr>
          <w:p w14:paraId="509BE519" w14:textId="406702B9" w:rsidR="008046FE" w:rsidRPr="004E0E08" w:rsidRDefault="008046FE" w:rsidP="0054796E">
            <w:pPr>
              <w:pStyle w:val="TableText"/>
            </w:pPr>
            <w:r>
              <w:t xml:space="preserve">Develop a global network for collaboration </w:t>
            </w:r>
            <w:r w:rsidR="008254DB">
              <w:t>strategy</w:t>
            </w:r>
            <w:r>
              <w:t>.</w:t>
            </w:r>
          </w:p>
        </w:tc>
        <w:tc>
          <w:tcPr>
            <w:tcW w:w="5670" w:type="dxa"/>
          </w:tcPr>
          <w:p w14:paraId="07B0CF3F" w14:textId="4AE03F7C" w:rsidR="008046FE" w:rsidRPr="006C6DEE" w:rsidRDefault="008254DB" w:rsidP="00D80283">
            <w:pPr>
              <w:pStyle w:val="TableText"/>
              <w:numPr>
                <w:ilvl w:val="0"/>
                <w:numId w:val="14"/>
              </w:numPr>
            </w:pPr>
            <w:r>
              <w:t>Evidence of strategy established</w:t>
            </w:r>
          </w:p>
        </w:tc>
      </w:tr>
      <w:tr w:rsidR="008046FE" w14:paraId="42854F49" w14:textId="77777777" w:rsidTr="008046FE">
        <w:tc>
          <w:tcPr>
            <w:tcW w:w="8222" w:type="dxa"/>
          </w:tcPr>
          <w:p w14:paraId="02DB3DB9" w14:textId="0BD5C0AC" w:rsidR="008046FE" w:rsidRPr="004E0E08" w:rsidRDefault="008046FE" w:rsidP="0054796E">
            <w:pPr>
              <w:pStyle w:val="TableText"/>
            </w:pPr>
            <w:r>
              <w:t xml:space="preserve">Collaborate with relevant event stakeholders to coordinate consistency across accessibility services. </w:t>
            </w:r>
          </w:p>
        </w:tc>
        <w:tc>
          <w:tcPr>
            <w:tcW w:w="5670" w:type="dxa"/>
          </w:tcPr>
          <w:p w14:paraId="2FDB9F46" w14:textId="3C7FBF2C" w:rsidR="008046FE" w:rsidRPr="004E0E08" w:rsidRDefault="008046FE" w:rsidP="00D80283">
            <w:pPr>
              <w:pStyle w:val="TableText"/>
              <w:numPr>
                <w:ilvl w:val="0"/>
                <w:numId w:val="14"/>
              </w:numPr>
            </w:pPr>
            <w:r>
              <w:t>Evidence of positive outcomes from collaborative initiatives with other agencies</w:t>
            </w:r>
          </w:p>
        </w:tc>
      </w:tr>
      <w:tr w:rsidR="008046FE" w14:paraId="25090FCC" w14:textId="77777777" w:rsidTr="008046FE">
        <w:tc>
          <w:tcPr>
            <w:tcW w:w="8222" w:type="dxa"/>
          </w:tcPr>
          <w:p w14:paraId="033AD29C" w14:textId="17F04E71" w:rsidR="008046FE" w:rsidRDefault="008046FE" w:rsidP="0054796E">
            <w:pPr>
              <w:pStyle w:val="TableText"/>
            </w:pPr>
            <w:r>
              <w:t>Collaborate with relevant stakeholders t</w:t>
            </w:r>
            <w:r w:rsidR="008254DB">
              <w:t>hat</w:t>
            </w:r>
            <w:r>
              <w:t xml:space="preserve"> develop accessible tourism</w:t>
            </w:r>
          </w:p>
        </w:tc>
        <w:tc>
          <w:tcPr>
            <w:tcW w:w="5670" w:type="dxa"/>
          </w:tcPr>
          <w:p w14:paraId="02AE4F04" w14:textId="78FE0915" w:rsidR="008046FE" w:rsidRDefault="008046FE" w:rsidP="00D80283">
            <w:pPr>
              <w:pStyle w:val="TableText"/>
              <w:numPr>
                <w:ilvl w:val="0"/>
                <w:numId w:val="14"/>
              </w:numPr>
            </w:pPr>
            <w:r>
              <w:t>Evidence of collaborative initiatives with tourism organisations</w:t>
            </w:r>
          </w:p>
        </w:tc>
      </w:tr>
      <w:tr w:rsidR="008046FE" w14:paraId="70A1DCDA" w14:textId="77777777" w:rsidTr="008046FE">
        <w:tc>
          <w:tcPr>
            <w:tcW w:w="8222" w:type="dxa"/>
          </w:tcPr>
          <w:p w14:paraId="535D52F7" w14:textId="183AC3C9" w:rsidR="008046FE" w:rsidRPr="004E0E08" w:rsidRDefault="008254DB" w:rsidP="0054796E">
            <w:pPr>
              <w:pStyle w:val="TableText"/>
            </w:pPr>
            <w:r>
              <w:t>Promote and increase awareness of the rights and needs of people with disability</w:t>
            </w:r>
            <w:r w:rsidR="008046FE">
              <w:t xml:space="preserve"> </w:t>
            </w:r>
          </w:p>
        </w:tc>
        <w:tc>
          <w:tcPr>
            <w:tcW w:w="5670" w:type="dxa"/>
          </w:tcPr>
          <w:p w14:paraId="195A3771" w14:textId="77777777" w:rsidR="00A56356" w:rsidRDefault="008254DB" w:rsidP="00D80283">
            <w:pPr>
              <w:pStyle w:val="TableText"/>
              <w:numPr>
                <w:ilvl w:val="0"/>
                <w:numId w:val="14"/>
              </w:numPr>
            </w:pPr>
            <w:r>
              <w:t>Evidence of briefings that include SNYE Disability Awareness</w:t>
            </w:r>
          </w:p>
          <w:p w14:paraId="3E44ACD1" w14:textId="350DB38E" w:rsidR="008046FE" w:rsidRPr="004E0E08" w:rsidRDefault="008046FE" w:rsidP="00D80283">
            <w:pPr>
              <w:pStyle w:val="TableText"/>
              <w:numPr>
                <w:ilvl w:val="0"/>
                <w:numId w:val="14"/>
              </w:numPr>
            </w:pPr>
            <w:r>
              <w:t xml:space="preserve">100% of SNYE staff </w:t>
            </w:r>
            <w:r w:rsidR="00561450">
              <w:t>receives</w:t>
            </w:r>
            <w:r>
              <w:t xml:space="preserve"> disability awareness </w:t>
            </w:r>
            <w:r w:rsidR="008254DB">
              <w:t xml:space="preserve">development. . </w:t>
            </w:r>
          </w:p>
        </w:tc>
      </w:tr>
      <w:tr w:rsidR="008046FE" w14:paraId="0867350B" w14:textId="77777777" w:rsidTr="008046FE">
        <w:tc>
          <w:tcPr>
            <w:tcW w:w="8222" w:type="dxa"/>
          </w:tcPr>
          <w:p w14:paraId="13A1EA02" w14:textId="7127F125" w:rsidR="008046FE" w:rsidRPr="00687089" w:rsidRDefault="008046FE" w:rsidP="0054796E">
            <w:pPr>
              <w:pStyle w:val="TableText"/>
            </w:pPr>
            <w:r w:rsidRPr="004E0E08">
              <w:t>Consider inclusion of artists with a disability  in creative content</w:t>
            </w:r>
          </w:p>
        </w:tc>
        <w:tc>
          <w:tcPr>
            <w:tcW w:w="5670" w:type="dxa"/>
          </w:tcPr>
          <w:p w14:paraId="459AF910" w14:textId="1DE5C465" w:rsidR="008046FE" w:rsidRPr="006339C3" w:rsidRDefault="008254DB" w:rsidP="00D80283">
            <w:pPr>
              <w:pStyle w:val="TableText"/>
              <w:numPr>
                <w:ilvl w:val="0"/>
                <w:numId w:val="14"/>
              </w:numPr>
            </w:pPr>
            <w:r>
              <w:t>Evidence that research has been conducted and placement of artists where appropriate</w:t>
            </w:r>
          </w:p>
        </w:tc>
      </w:tr>
      <w:tr w:rsidR="008046FE" w14:paraId="7C2368F1" w14:textId="77777777" w:rsidTr="008046FE">
        <w:tc>
          <w:tcPr>
            <w:tcW w:w="8222" w:type="dxa"/>
          </w:tcPr>
          <w:p w14:paraId="699D6422" w14:textId="70D959AF" w:rsidR="008046FE" w:rsidRPr="00687089" w:rsidRDefault="008046FE" w:rsidP="0054796E">
            <w:pPr>
              <w:pStyle w:val="TableText"/>
            </w:pPr>
            <w:r>
              <w:t xml:space="preserve">Consider opportunities for promotion of disability awareness across the event programming. </w:t>
            </w:r>
          </w:p>
        </w:tc>
        <w:tc>
          <w:tcPr>
            <w:tcW w:w="5670" w:type="dxa"/>
          </w:tcPr>
          <w:p w14:paraId="56174CA2" w14:textId="624E26CC" w:rsidR="008046FE" w:rsidRPr="0006362E" w:rsidRDefault="008046FE" w:rsidP="00D80283">
            <w:pPr>
              <w:pStyle w:val="TableText"/>
              <w:numPr>
                <w:ilvl w:val="0"/>
                <w:numId w:val="14"/>
              </w:numPr>
            </w:pPr>
            <w:r>
              <w:t xml:space="preserve">Evidence of elements in creative program which integration disability awareness </w:t>
            </w:r>
          </w:p>
        </w:tc>
      </w:tr>
      <w:tr w:rsidR="008046FE" w14:paraId="5960505D" w14:textId="77777777" w:rsidTr="008046FE">
        <w:trPr>
          <w:trHeight w:val="347"/>
        </w:trPr>
        <w:tc>
          <w:tcPr>
            <w:tcW w:w="8222" w:type="dxa"/>
          </w:tcPr>
          <w:p w14:paraId="5BB01CC6" w14:textId="12AC1ACE" w:rsidR="008046FE" w:rsidRPr="00B54A3A" w:rsidRDefault="008046FE" w:rsidP="0054796E">
            <w:pPr>
              <w:pStyle w:val="TableText"/>
            </w:pPr>
            <w:r>
              <w:lastRenderedPageBreak/>
              <w:t>Advocate for accessibility</w:t>
            </w:r>
            <w:r w:rsidR="008254DB">
              <w:t xml:space="preserve"> </w:t>
            </w:r>
            <w:r>
              <w:t xml:space="preserve">services on major events. </w:t>
            </w:r>
          </w:p>
        </w:tc>
        <w:tc>
          <w:tcPr>
            <w:tcW w:w="5670" w:type="dxa"/>
          </w:tcPr>
          <w:p w14:paraId="0E4CB811" w14:textId="14BAD0FF" w:rsidR="008046FE" w:rsidRPr="00171741" w:rsidRDefault="008046FE" w:rsidP="00D80283">
            <w:pPr>
              <w:pStyle w:val="TableText"/>
              <w:numPr>
                <w:ilvl w:val="0"/>
                <w:numId w:val="14"/>
              </w:numPr>
            </w:pPr>
            <w:r>
              <w:t>Evidence of advocacy</w:t>
            </w:r>
          </w:p>
        </w:tc>
      </w:tr>
    </w:tbl>
    <w:p w14:paraId="3B5E9116" w14:textId="18CD1FB9" w:rsidR="00C132E5" w:rsidRDefault="00C132E5" w:rsidP="00750C29">
      <w:pPr>
        <w:pStyle w:val="BodyText"/>
        <w:rPr>
          <w:rFonts w:ascii="Arial Narrow" w:hAnsi="Arial Narrow" w:cs="Arial"/>
          <w:sz w:val="20"/>
          <w:szCs w:val="20"/>
        </w:rPr>
      </w:pPr>
    </w:p>
    <w:sectPr w:rsidR="00C132E5" w:rsidSect="001904CF">
      <w:pgSz w:w="16838" w:h="11906" w:orient="landscape" w:code="9"/>
      <w:pgMar w:top="1134" w:right="1588" w:bottom="181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4A3D" w14:textId="77777777" w:rsidR="008B4FC4" w:rsidRDefault="008B4FC4" w:rsidP="001D0AFC">
      <w:r>
        <w:separator/>
      </w:r>
    </w:p>
  </w:endnote>
  <w:endnote w:type="continuationSeparator" w:id="0">
    <w:p w14:paraId="5770A2DB" w14:textId="77777777" w:rsidR="008B4FC4" w:rsidRDefault="008B4FC4" w:rsidP="001D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cher-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wiss721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21E6" w14:textId="77777777" w:rsidR="008619E0" w:rsidRDefault="008619E0">
    <w:pPr>
      <w:pStyle w:val="Footer"/>
    </w:pPr>
    <w:r>
      <w:rPr>
        <w:noProof/>
        <w:lang w:eastAsia="en-AU"/>
      </w:rPr>
      <w:drawing>
        <wp:anchor distT="0" distB="0" distL="114300" distR="114300" simplePos="0" relativeHeight="251657216" behindDoc="0" locked="0" layoutInCell="0" allowOverlap="1" wp14:anchorId="087D21E9" wp14:editId="087D21EA">
          <wp:simplePos x="0" y="0"/>
          <wp:positionH relativeFrom="page">
            <wp:align>left</wp:align>
          </wp:positionH>
          <wp:positionV relativeFrom="page">
            <wp:align>bottom</wp:align>
          </wp:positionV>
          <wp:extent cx="7560000" cy="1004400"/>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0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21E8" w14:textId="49C21B7B" w:rsidR="008619E0" w:rsidRDefault="008619E0" w:rsidP="0070784B">
    <w:pPr>
      <w:pStyle w:val="Footer"/>
      <w:pBdr>
        <w:top w:val="single" w:sz="4" w:space="8" w:color="auto"/>
      </w:pBdr>
    </w:pPr>
    <w:r w:rsidRPr="0070784B">
      <w:rPr>
        <w:b/>
      </w:rPr>
      <w:fldChar w:fldCharType="begin"/>
    </w:r>
    <w:r w:rsidRPr="0070784B">
      <w:rPr>
        <w:b/>
      </w:rPr>
      <w:instrText xml:space="preserve"> PAGE   \* MERGEFORMAT </w:instrText>
    </w:r>
    <w:r w:rsidRPr="0070784B">
      <w:rPr>
        <w:b/>
      </w:rPr>
      <w:fldChar w:fldCharType="separate"/>
    </w:r>
    <w:r w:rsidR="00FD23B1">
      <w:rPr>
        <w:b/>
        <w:noProof/>
      </w:rPr>
      <w:t>1</w:t>
    </w:r>
    <w:r w:rsidRPr="0070784B">
      <w:rPr>
        <w:b/>
        <w:noProof/>
      </w:rPr>
      <w:fldChar w:fldCharType="end"/>
    </w:r>
    <w:r w:rsidRPr="00E753E2">
      <w:t xml:space="preserve"> / </w:t>
    </w:r>
    <w:r>
      <w:t>Sydney New Year’s Eve Unit 2014 – 2017 Inclusion (Disability) Action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3E885" w14:textId="77777777" w:rsidR="008B4FC4" w:rsidRDefault="008B4FC4" w:rsidP="001D0AFC">
      <w:r>
        <w:separator/>
      </w:r>
    </w:p>
  </w:footnote>
  <w:footnote w:type="continuationSeparator" w:id="0">
    <w:p w14:paraId="039AF749" w14:textId="77777777" w:rsidR="008B4FC4" w:rsidRDefault="008B4FC4" w:rsidP="001D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D217" w14:textId="55FC46C5" w:rsidR="00253AE6" w:rsidRDefault="00253AE6" w:rsidP="00253AE6">
    <w:pPr>
      <w:pStyle w:val="Header"/>
      <w:ind w:left="-1814"/>
    </w:pPr>
    <w:r>
      <w:rPr>
        <w:noProof/>
        <w:lang w:eastAsia="en-AU"/>
      </w:rPr>
      <w:drawing>
        <wp:inline distT="0" distB="0" distL="0" distR="0" wp14:anchorId="4A33CD8E" wp14:editId="031CCEA2">
          <wp:extent cx="7610475" cy="2822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87334" cy="2887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09400"/>
      <w:docPartObj>
        <w:docPartGallery w:val="Watermarks"/>
        <w:docPartUnique/>
      </w:docPartObj>
    </w:sdtPr>
    <w:sdtEndPr/>
    <w:sdtContent>
      <w:p w14:paraId="087D21E7" w14:textId="2E7FF879" w:rsidR="008619E0" w:rsidRDefault="00FD23B1" w:rsidP="001D0AFC">
        <w:pPr>
          <w:pStyle w:val="Header"/>
        </w:pPr>
        <w:r>
          <w:rPr>
            <w:noProof/>
            <w:lang w:val="en-US" w:eastAsia="zh-TW"/>
          </w:rPr>
          <w:pict w14:anchorId="0A08F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7E49"/>
    <w:multiLevelType w:val="hybridMultilevel"/>
    <w:tmpl w:val="38A0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02448B"/>
    <w:multiLevelType w:val="hybridMultilevel"/>
    <w:tmpl w:val="9AFEA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225BF3"/>
    <w:multiLevelType w:val="hybridMultilevel"/>
    <w:tmpl w:val="8258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7F52C2"/>
    <w:multiLevelType w:val="hybridMultilevel"/>
    <w:tmpl w:val="68227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054C61"/>
    <w:multiLevelType w:val="hybridMultilevel"/>
    <w:tmpl w:val="BB5C7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7B3540F"/>
    <w:multiLevelType w:val="hybridMultilevel"/>
    <w:tmpl w:val="FB0A4F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D720DB"/>
    <w:multiLevelType w:val="hybridMultilevel"/>
    <w:tmpl w:val="04826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614C5B"/>
    <w:multiLevelType w:val="hybridMultilevel"/>
    <w:tmpl w:val="E9B2F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0E7719"/>
    <w:multiLevelType w:val="hybridMultilevel"/>
    <w:tmpl w:val="ABD205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4521A38"/>
    <w:multiLevelType w:val="hybridMultilevel"/>
    <w:tmpl w:val="FB7ED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1744E7"/>
    <w:multiLevelType w:val="hybridMultilevel"/>
    <w:tmpl w:val="1674B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F62219"/>
    <w:multiLevelType w:val="hybridMultilevel"/>
    <w:tmpl w:val="993E5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83579AD"/>
    <w:multiLevelType w:val="hybridMultilevel"/>
    <w:tmpl w:val="49BE5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D5A5DEE"/>
    <w:multiLevelType w:val="hybridMultilevel"/>
    <w:tmpl w:val="8368A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2"/>
  </w:num>
  <w:num w:numId="6">
    <w:abstractNumId w:val="9"/>
  </w:num>
  <w:num w:numId="7">
    <w:abstractNumId w:val="3"/>
  </w:num>
  <w:num w:numId="8">
    <w:abstractNumId w:val="1"/>
  </w:num>
  <w:num w:numId="9">
    <w:abstractNumId w:val="0"/>
  </w:num>
  <w:num w:numId="10">
    <w:abstractNumId w:val="13"/>
  </w:num>
  <w:num w:numId="11">
    <w:abstractNumId w:val="6"/>
  </w:num>
  <w:num w:numId="12">
    <w:abstractNumId w:val="12"/>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efaultTableStyle w:val="CoSTableDesig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8E"/>
    <w:rsid w:val="00015D6A"/>
    <w:rsid w:val="00020E86"/>
    <w:rsid w:val="000259D9"/>
    <w:rsid w:val="000272C4"/>
    <w:rsid w:val="000369EA"/>
    <w:rsid w:val="00036FE5"/>
    <w:rsid w:val="00041C9D"/>
    <w:rsid w:val="0004785C"/>
    <w:rsid w:val="0006362E"/>
    <w:rsid w:val="00071DB3"/>
    <w:rsid w:val="0007439E"/>
    <w:rsid w:val="0007573E"/>
    <w:rsid w:val="000A3BE1"/>
    <w:rsid w:val="000A3EA3"/>
    <w:rsid w:val="000A4123"/>
    <w:rsid w:val="000B5729"/>
    <w:rsid w:val="000B6164"/>
    <w:rsid w:val="000B6E4A"/>
    <w:rsid w:val="000D36F8"/>
    <w:rsid w:val="000E182F"/>
    <w:rsid w:val="000E27FF"/>
    <w:rsid w:val="000E3B5B"/>
    <w:rsid w:val="000F4AD7"/>
    <w:rsid w:val="000F6579"/>
    <w:rsid w:val="001146ED"/>
    <w:rsid w:val="001425A7"/>
    <w:rsid w:val="001526DF"/>
    <w:rsid w:val="00156042"/>
    <w:rsid w:val="00171741"/>
    <w:rsid w:val="00173C18"/>
    <w:rsid w:val="00185802"/>
    <w:rsid w:val="001904CF"/>
    <w:rsid w:val="00192329"/>
    <w:rsid w:val="00193699"/>
    <w:rsid w:val="00193ACA"/>
    <w:rsid w:val="0019744E"/>
    <w:rsid w:val="001A127B"/>
    <w:rsid w:val="001A1D52"/>
    <w:rsid w:val="001B03D9"/>
    <w:rsid w:val="001C1AEB"/>
    <w:rsid w:val="001C5149"/>
    <w:rsid w:val="001D0AFC"/>
    <w:rsid w:val="001E3A54"/>
    <w:rsid w:val="001E5F8E"/>
    <w:rsid w:val="001E686C"/>
    <w:rsid w:val="001F1C29"/>
    <w:rsid w:val="001F5780"/>
    <w:rsid w:val="00210409"/>
    <w:rsid w:val="002147B6"/>
    <w:rsid w:val="00216868"/>
    <w:rsid w:val="00216E94"/>
    <w:rsid w:val="00227808"/>
    <w:rsid w:val="002320CE"/>
    <w:rsid w:val="00242034"/>
    <w:rsid w:val="00247A3D"/>
    <w:rsid w:val="00253AE6"/>
    <w:rsid w:val="002632B7"/>
    <w:rsid w:val="0027656D"/>
    <w:rsid w:val="00292077"/>
    <w:rsid w:val="002A12DA"/>
    <w:rsid w:val="002A2AE9"/>
    <w:rsid w:val="002A2B07"/>
    <w:rsid w:val="002A47CB"/>
    <w:rsid w:val="002A5A72"/>
    <w:rsid w:val="002A6A5F"/>
    <w:rsid w:val="002B01E0"/>
    <w:rsid w:val="002B389B"/>
    <w:rsid w:val="002B6F1A"/>
    <w:rsid w:val="002D0F84"/>
    <w:rsid w:val="002D162F"/>
    <w:rsid w:val="002D297F"/>
    <w:rsid w:val="002E7867"/>
    <w:rsid w:val="002F6F32"/>
    <w:rsid w:val="0031382A"/>
    <w:rsid w:val="003143F5"/>
    <w:rsid w:val="00317CB0"/>
    <w:rsid w:val="00337DE1"/>
    <w:rsid w:val="003450AC"/>
    <w:rsid w:val="00362D48"/>
    <w:rsid w:val="0037706E"/>
    <w:rsid w:val="00387708"/>
    <w:rsid w:val="00394141"/>
    <w:rsid w:val="003970CF"/>
    <w:rsid w:val="003C0D4D"/>
    <w:rsid w:val="003C1654"/>
    <w:rsid w:val="003C1EE1"/>
    <w:rsid w:val="003C2D6B"/>
    <w:rsid w:val="003C42EA"/>
    <w:rsid w:val="003E0DFD"/>
    <w:rsid w:val="003E13A9"/>
    <w:rsid w:val="003E5C29"/>
    <w:rsid w:val="003F0303"/>
    <w:rsid w:val="003F7011"/>
    <w:rsid w:val="00405BFD"/>
    <w:rsid w:val="00411636"/>
    <w:rsid w:val="0044217F"/>
    <w:rsid w:val="00453550"/>
    <w:rsid w:val="00455B49"/>
    <w:rsid w:val="004642D9"/>
    <w:rsid w:val="00465291"/>
    <w:rsid w:val="004739EF"/>
    <w:rsid w:val="00476A1B"/>
    <w:rsid w:val="004A2473"/>
    <w:rsid w:val="004B73C4"/>
    <w:rsid w:val="004D2236"/>
    <w:rsid w:val="004D6EE6"/>
    <w:rsid w:val="004D7144"/>
    <w:rsid w:val="004E28F5"/>
    <w:rsid w:val="004F16FA"/>
    <w:rsid w:val="004F5E48"/>
    <w:rsid w:val="00507DED"/>
    <w:rsid w:val="005138A5"/>
    <w:rsid w:val="0053639B"/>
    <w:rsid w:val="005405F0"/>
    <w:rsid w:val="00544E5A"/>
    <w:rsid w:val="0054796E"/>
    <w:rsid w:val="005559C1"/>
    <w:rsid w:val="00561450"/>
    <w:rsid w:val="00567CCA"/>
    <w:rsid w:val="00576A4D"/>
    <w:rsid w:val="005773C7"/>
    <w:rsid w:val="00581751"/>
    <w:rsid w:val="00593C4E"/>
    <w:rsid w:val="00594996"/>
    <w:rsid w:val="00595909"/>
    <w:rsid w:val="00596F49"/>
    <w:rsid w:val="005A647D"/>
    <w:rsid w:val="005B0978"/>
    <w:rsid w:val="005B1BD1"/>
    <w:rsid w:val="005B3A1A"/>
    <w:rsid w:val="005B5231"/>
    <w:rsid w:val="005C3D26"/>
    <w:rsid w:val="005D24DC"/>
    <w:rsid w:val="005E050D"/>
    <w:rsid w:val="005E10E5"/>
    <w:rsid w:val="005E7A6E"/>
    <w:rsid w:val="005F3550"/>
    <w:rsid w:val="005F59AA"/>
    <w:rsid w:val="00600170"/>
    <w:rsid w:val="00601FF2"/>
    <w:rsid w:val="0060657E"/>
    <w:rsid w:val="006129D4"/>
    <w:rsid w:val="00614291"/>
    <w:rsid w:val="00620ADD"/>
    <w:rsid w:val="0062348C"/>
    <w:rsid w:val="006339C3"/>
    <w:rsid w:val="00634720"/>
    <w:rsid w:val="006367D6"/>
    <w:rsid w:val="0064337E"/>
    <w:rsid w:val="0064638E"/>
    <w:rsid w:val="006527E1"/>
    <w:rsid w:val="00656B19"/>
    <w:rsid w:val="00656E24"/>
    <w:rsid w:val="006818CB"/>
    <w:rsid w:val="006869D6"/>
    <w:rsid w:val="00687089"/>
    <w:rsid w:val="00691B1E"/>
    <w:rsid w:val="006C4497"/>
    <w:rsid w:val="006C6DEE"/>
    <w:rsid w:val="006D0B01"/>
    <w:rsid w:val="006D2526"/>
    <w:rsid w:val="006E5981"/>
    <w:rsid w:val="00700371"/>
    <w:rsid w:val="0070784B"/>
    <w:rsid w:val="007318F4"/>
    <w:rsid w:val="00732A5F"/>
    <w:rsid w:val="007426A6"/>
    <w:rsid w:val="00747ECD"/>
    <w:rsid w:val="00750C29"/>
    <w:rsid w:val="00750CED"/>
    <w:rsid w:val="00751136"/>
    <w:rsid w:val="00760E66"/>
    <w:rsid w:val="00771F6D"/>
    <w:rsid w:val="007776CE"/>
    <w:rsid w:val="007806DF"/>
    <w:rsid w:val="007819DD"/>
    <w:rsid w:val="007A33BA"/>
    <w:rsid w:val="007A7220"/>
    <w:rsid w:val="007B4377"/>
    <w:rsid w:val="007B730B"/>
    <w:rsid w:val="007C2766"/>
    <w:rsid w:val="007C4642"/>
    <w:rsid w:val="007C68A4"/>
    <w:rsid w:val="007C6DC7"/>
    <w:rsid w:val="007E55C1"/>
    <w:rsid w:val="00800823"/>
    <w:rsid w:val="008046FE"/>
    <w:rsid w:val="00810125"/>
    <w:rsid w:val="00823B41"/>
    <w:rsid w:val="008254DB"/>
    <w:rsid w:val="00827C2D"/>
    <w:rsid w:val="0083095B"/>
    <w:rsid w:val="0083114B"/>
    <w:rsid w:val="00832039"/>
    <w:rsid w:val="008339EA"/>
    <w:rsid w:val="008520E2"/>
    <w:rsid w:val="00853537"/>
    <w:rsid w:val="00856BAE"/>
    <w:rsid w:val="008603FF"/>
    <w:rsid w:val="008619E0"/>
    <w:rsid w:val="00862D9B"/>
    <w:rsid w:val="00872EB1"/>
    <w:rsid w:val="00885651"/>
    <w:rsid w:val="0088797B"/>
    <w:rsid w:val="00893F04"/>
    <w:rsid w:val="008B4FC4"/>
    <w:rsid w:val="008D1C45"/>
    <w:rsid w:val="008D7966"/>
    <w:rsid w:val="008E0BDC"/>
    <w:rsid w:val="008E0CB2"/>
    <w:rsid w:val="008F4274"/>
    <w:rsid w:val="008F6087"/>
    <w:rsid w:val="009042B2"/>
    <w:rsid w:val="00904EE7"/>
    <w:rsid w:val="0096390C"/>
    <w:rsid w:val="00977D45"/>
    <w:rsid w:val="00985A68"/>
    <w:rsid w:val="009A7E7C"/>
    <w:rsid w:val="009C5670"/>
    <w:rsid w:val="009D27F9"/>
    <w:rsid w:val="009E0D5D"/>
    <w:rsid w:val="009E3ABE"/>
    <w:rsid w:val="009F4403"/>
    <w:rsid w:val="009F518E"/>
    <w:rsid w:val="00A002B2"/>
    <w:rsid w:val="00A05537"/>
    <w:rsid w:val="00A064D3"/>
    <w:rsid w:val="00A06E6E"/>
    <w:rsid w:val="00A10005"/>
    <w:rsid w:val="00A11010"/>
    <w:rsid w:val="00A124BD"/>
    <w:rsid w:val="00A2024F"/>
    <w:rsid w:val="00A26BB0"/>
    <w:rsid w:val="00A3636F"/>
    <w:rsid w:val="00A379D0"/>
    <w:rsid w:val="00A37DA5"/>
    <w:rsid w:val="00A4255D"/>
    <w:rsid w:val="00A44CE2"/>
    <w:rsid w:val="00A45CA9"/>
    <w:rsid w:val="00A461D2"/>
    <w:rsid w:val="00A5546B"/>
    <w:rsid w:val="00A56356"/>
    <w:rsid w:val="00A56A22"/>
    <w:rsid w:val="00A628E5"/>
    <w:rsid w:val="00A837A7"/>
    <w:rsid w:val="00A87D91"/>
    <w:rsid w:val="00AA2C5A"/>
    <w:rsid w:val="00AA48CA"/>
    <w:rsid w:val="00AB3E03"/>
    <w:rsid w:val="00AE4B61"/>
    <w:rsid w:val="00AF4814"/>
    <w:rsid w:val="00AF4870"/>
    <w:rsid w:val="00AF5030"/>
    <w:rsid w:val="00AF74B0"/>
    <w:rsid w:val="00B01CA8"/>
    <w:rsid w:val="00B126FA"/>
    <w:rsid w:val="00B23442"/>
    <w:rsid w:val="00B239F2"/>
    <w:rsid w:val="00B34CC1"/>
    <w:rsid w:val="00B54A3A"/>
    <w:rsid w:val="00B65389"/>
    <w:rsid w:val="00B7293A"/>
    <w:rsid w:val="00B74D5A"/>
    <w:rsid w:val="00B76697"/>
    <w:rsid w:val="00B77199"/>
    <w:rsid w:val="00B82085"/>
    <w:rsid w:val="00B82A38"/>
    <w:rsid w:val="00B94AAD"/>
    <w:rsid w:val="00B96772"/>
    <w:rsid w:val="00BA362E"/>
    <w:rsid w:val="00BA52E7"/>
    <w:rsid w:val="00BB7373"/>
    <w:rsid w:val="00BC488E"/>
    <w:rsid w:val="00BD0479"/>
    <w:rsid w:val="00BD0A67"/>
    <w:rsid w:val="00BD1ED5"/>
    <w:rsid w:val="00BD6A6B"/>
    <w:rsid w:val="00BD7B2B"/>
    <w:rsid w:val="00BE2DF2"/>
    <w:rsid w:val="00BE3229"/>
    <w:rsid w:val="00BE4799"/>
    <w:rsid w:val="00C015FD"/>
    <w:rsid w:val="00C11C2F"/>
    <w:rsid w:val="00C132E5"/>
    <w:rsid w:val="00C229A3"/>
    <w:rsid w:val="00C409A5"/>
    <w:rsid w:val="00C46542"/>
    <w:rsid w:val="00C46F97"/>
    <w:rsid w:val="00C56A46"/>
    <w:rsid w:val="00C6067A"/>
    <w:rsid w:val="00C6547C"/>
    <w:rsid w:val="00C84AD3"/>
    <w:rsid w:val="00C90528"/>
    <w:rsid w:val="00C922C1"/>
    <w:rsid w:val="00CA6D66"/>
    <w:rsid w:val="00CA7572"/>
    <w:rsid w:val="00CB6246"/>
    <w:rsid w:val="00CC3160"/>
    <w:rsid w:val="00CC6F89"/>
    <w:rsid w:val="00CD7B9B"/>
    <w:rsid w:val="00CE39B8"/>
    <w:rsid w:val="00CF09D8"/>
    <w:rsid w:val="00CF4344"/>
    <w:rsid w:val="00CF79F2"/>
    <w:rsid w:val="00D00D41"/>
    <w:rsid w:val="00D0435A"/>
    <w:rsid w:val="00D0548B"/>
    <w:rsid w:val="00D1423F"/>
    <w:rsid w:val="00D22E65"/>
    <w:rsid w:val="00D3118E"/>
    <w:rsid w:val="00D34BC5"/>
    <w:rsid w:val="00D45DC9"/>
    <w:rsid w:val="00D55482"/>
    <w:rsid w:val="00D600FB"/>
    <w:rsid w:val="00D654D0"/>
    <w:rsid w:val="00D67892"/>
    <w:rsid w:val="00D74E43"/>
    <w:rsid w:val="00D80283"/>
    <w:rsid w:val="00D97242"/>
    <w:rsid w:val="00DA0378"/>
    <w:rsid w:val="00DA31BE"/>
    <w:rsid w:val="00DA6130"/>
    <w:rsid w:val="00DB65A3"/>
    <w:rsid w:val="00DD3E6B"/>
    <w:rsid w:val="00DD3EA6"/>
    <w:rsid w:val="00DD4140"/>
    <w:rsid w:val="00DE1D8B"/>
    <w:rsid w:val="00DE49E1"/>
    <w:rsid w:val="00DE71F0"/>
    <w:rsid w:val="00DF172C"/>
    <w:rsid w:val="00E06A9D"/>
    <w:rsid w:val="00E0783E"/>
    <w:rsid w:val="00E079AC"/>
    <w:rsid w:val="00E111D8"/>
    <w:rsid w:val="00E15B75"/>
    <w:rsid w:val="00E15F80"/>
    <w:rsid w:val="00E16B5D"/>
    <w:rsid w:val="00E25ADA"/>
    <w:rsid w:val="00E334C3"/>
    <w:rsid w:val="00E339CE"/>
    <w:rsid w:val="00E37C54"/>
    <w:rsid w:val="00E410F8"/>
    <w:rsid w:val="00E447B2"/>
    <w:rsid w:val="00E571CD"/>
    <w:rsid w:val="00E63566"/>
    <w:rsid w:val="00E65AC2"/>
    <w:rsid w:val="00E65C92"/>
    <w:rsid w:val="00E7200C"/>
    <w:rsid w:val="00E753E2"/>
    <w:rsid w:val="00E8471B"/>
    <w:rsid w:val="00E85C0B"/>
    <w:rsid w:val="00EA0565"/>
    <w:rsid w:val="00EA2B0E"/>
    <w:rsid w:val="00EB2849"/>
    <w:rsid w:val="00EC37FA"/>
    <w:rsid w:val="00ED2122"/>
    <w:rsid w:val="00EE0806"/>
    <w:rsid w:val="00EF6DD8"/>
    <w:rsid w:val="00F03238"/>
    <w:rsid w:val="00F12AE4"/>
    <w:rsid w:val="00F12B0C"/>
    <w:rsid w:val="00F1525F"/>
    <w:rsid w:val="00F16393"/>
    <w:rsid w:val="00F3054A"/>
    <w:rsid w:val="00F36094"/>
    <w:rsid w:val="00F36201"/>
    <w:rsid w:val="00F41EF2"/>
    <w:rsid w:val="00F5098F"/>
    <w:rsid w:val="00F52BFF"/>
    <w:rsid w:val="00F53E64"/>
    <w:rsid w:val="00F56615"/>
    <w:rsid w:val="00F74521"/>
    <w:rsid w:val="00F74529"/>
    <w:rsid w:val="00F75BF4"/>
    <w:rsid w:val="00F76366"/>
    <w:rsid w:val="00F76569"/>
    <w:rsid w:val="00F77EE7"/>
    <w:rsid w:val="00F8750A"/>
    <w:rsid w:val="00F97DBC"/>
    <w:rsid w:val="00FB67B6"/>
    <w:rsid w:val="00FC3704"/>
    <w:rsid w:val="00FC6061"/>
    <w:rsid w:val="00FD23B1"/>
    <w:rsid w:val="00FD4637"/>
    <w:rsid w:val="00FD57BA"/>
    <w:rsid w:val="00FE1E79"/>
    <w:rsid w:val="00FE3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D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D0AFC"/>
    <w:rPr>
      <w:rFonts w:ascii="Arial" w:eastAsia="MS Mincho" w:hAnsi="Arial"/>
      <w:sz w:val="21"/>
      <w:szCs w:val="24"/>
      <w:lang w:eastAsia="ja-JP"/>
    </w:rPr>
  </w:style>
  <w:style w:type="paragraph" w:styleId="Heading1">
    <w:name w:val="heading 1"/>
    <w:basedOn w:val="Normal"/>
    <w:next w:val="BodyText"/>
    <w:link w:val="Heading1Char"/>
    <w:uiPriority w:val="9"/>
    <w:qFormat/>
    <w:rsid w:val="00F77EE7"/>
    <w:pPr>
      <w:spacing w:before="240" w:after="240"/>
      <w:outlineLvl w:val="0"/>
    </w:pPr>
    <w:rPr>
      <w:b/>
      <w:color w:val="152128" w:themeColor="accent1"/>
      <w:sz w:val="32"/>
      <w:szCs w:val="32"/>
    </w:rPr>
  </w:style>
  <w:style w:type="paragraph" w:styleId="Heading2">
    <w:name w:val="heading 2"/>
    <w:basedOn w:val="Normal"/>
    <w:next w:val="BodyText"/>
    <w:link w:val="Heading2Char"/>
    <w:uiPriority w:val="9"/>
    <w:unhideWhenUsed/>
    <w:qFormat/>
    <w:rsid w:val="00C11C2F"/>
    <w:pPr>
      <w:spacing w:before="240" w:after="240"/>
      <w:outlineLvl w:val="1"/>
    </w:pPr>
    <w:rPr>
      <w:b/>
      <w:color w:val="005A84"/>
    </w:rPr>
  </w:style>
  <w:style w:type="paragraph" w:styleId="Heading3">
    <w:name w:val="heading 3"/>
    <w:basedOn w:val="Normal"/>
    <w:next w:val="BodyText"/>
    <w:link w:val="Heading3Char"/>
    <w:uiPriority w:val="9"/>
    <w:unhideWhenUsed/>
    <w:qFormat/>
    <w:rsid w:val="00C84AD3"/>
    <w:pPr>
      <w:spacing w:before="240" w:after="24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PP Table Grid"/>
    <w:basedOn w:val="TableNormal"/>
    <w:rsid w:val="00DD3EA6"/>
    <w:rPr>
      <w:rFonts w:ascii="Arial" w:eastAsia="Times New Roman" w:hAnsi="Arial"/>
      <w:lang w:eastAsia="en-AU"/>
    </w:rPr>
    <w:tblPr>
      <w:tblInd w:w="0" w:type="dxa"/>
      <w:tblBorders>
        <w:bottom w:val="single" w:sz="4" w:space="0" w:color="auto"/>
        <w:insideH w:val="single" w:sz="4" w:space="0" w:color="auto"/>
      </w:tblBorders>
      <w:tblCellMar>
        <w:top w:w="85" w:type="dxa"/>
        <w:left w:w="0" w:type="dxa"/>
        <w:bottom w:w="85" w:type="dxa"/>
        <w:right w:w="85" w:type="dxa"/>
      </w:tblCellMar>
    </w:tblPr>
    <w:tblStylePr w:type="firstRow">
      <w:rPr>
        <w:b/>
      </w:rPr>
    </w:tblStylePr>
  </w:style>
  <w:style w:type="paragraph" w:styleId="Subtitle">
    <w:name w:val="Subtitle"/>
    <w:basedOn w:val="Normal"/>
    <w:link w:val="SubtitleChar"/>
    <w:uiPriority w:val="11"/>
    <w:qFormat/>
    <w:rsid w:val="003F0303"/>
    <w:pPr>
      <w:spacing w:before="120" w:after="240"/>
      <w:ind w:left="1814"/>
    </w:pPr>
    <w:rPr>
      <w:b/>
      <w:color w:val="152128" w:themeColor="accent1"/>
      <w:sz w:val="24"/>
    </w:rPr>
  </w:style>
  <w:style w:type="character" w:customStyle="1" w:styleId="SubtitleChar">
    <w:name w:val="Subtitle Char"/>
    <w:basedOn w:val="DefaultParagraphFont"/>
    <w:link w:val="Subtitle"/>
    <w:uiPriority w:val="11"/>
    <w:rsid w:val="003F0303"/>
    <w:rPr>
      <w:rFonts w:ascii="Arial" w:eastAsia="MS Mincho" w:hAnsi="Arial"/>
      <w:b/>
      <w:color w:val="152128" w:themeColor="accent1"/>
      <w:sz w:val="24"/>
      <w:szCs w:val="24"/>
      <w:lang w:eastAsia="ja-JP"/>
    </w:rPr>
  </w:style>
  <w:style w:type="paragraph" w:styleId="BalloonText">
    <w:name w:val="Balloon Text"/>
    <w:basedOn w:val="Normal"/>
    <w:link w:val="BalloonTextChar"/>
    <w:uiPriority w:val="99"/>
    <w:semiHidden/>
    <w:unhideWhenUsed/>
    <w:rsid w:val="00DD3EA6"/>
    <w:rPr>
      <w:rFonts w:ascii="Tahoma" w:hAnsi="Tahoma" w:cs="Tahoma"/>
      <w:sz w:val="16"/>
      <w:szCs w:val="16"/>
    </w:rPr>
  </w:style>
  <w:style w:type="character" w:customStyle="1" w:styleId="BalloonTextChar">
    <w:name w:val="Balloon Text Char"/>
    <w:basedOn w:val="DefaultParagraphFont"/>
    <w:link w:val="BalloonText"/>
    <w:uiPriority w:val="99"/>
    <w:semiHidden/>
    <w:rsid w:val="00DD3EA6"/>
    <w:rPr>
      <w:rFonts w:ascii="Tahoma" w:eastAsia="MS Mincho" w:hAnsi="Tahoma" w:cs="Tahoma"/>
      <w:sz w:val="16"/>
      <w:szCs w:val="16"/>
      <w:lang w:eastAsia="ja-JP"/>
    </w:rPr>
  </w:style>
  <w:style w:type="paragraph" w:styleId="Header">
    <w:name w:val="header"/>
    <w:basedOn w:val="Normal"/>
    <w:link w:val="HeaderChar"/>
    <w:uiPriority w:val="99"/>
    <w:unhideWhenUsed/>
    <w:rsid w:val="00AB3E03"/>
    <w:pPr>
      <w:tabs>
        <w:tab w:val="center" w:pos="4513"/>
        <w:tab w:val="right" w:pos="9026"/>
      </w:tabs>
    </w:pPr>
  </w:style>
  <w:style w:type="character" w:customStyle="1" w:styleId="HeaderChar">
    <w:name w:val="Header Char"/>
    <w:basedOn w:val="DefaultParagraphFont"/>
    <w:link w:val="Header"/>
    <w:uiPriority w:val="99"/>
    <w:rsid w:val="00AB3E03"/>
    <w:rPr>
      <w:rFonts w:ascii="Arial" w:eastAsia="MS Mincho" w:hAnsi="Arial"/>
      <w:szCs w:val="24"/>
      <w:lang w:eastAsia="ja-JP"/>
    </w:rPr>
  </w:style>
  <w:style w:type="paragraph" w:styleId="Footer">
    <w:name w:val="footer"/>
    <w:basedOn w:val="Normal"/>
    <w:link w:val="FooterChar"/>
    <w:uiPriority w:val="99"/>
    <w:unhideWhenUsed/>
    <w:rsid w:val="00E753E2"/>
    <w:pPr>
      <w:tabs>
        <w:tab w:val="center" w:pos="4513"/>
        <w:tab w:val="right" w:pos="9026"/>
      </w:tabs>
    </w:pPr>
    <w:rPr>
      <w:sz w:val="16"/>
    </w:rPr>
  </w:style>
  <w:style w:type="character" w:customStyle="1" w:styleId="FooterChar">
    <w:name w:val="Footer Char"/>
    <w:basedOn w:val="DefaultParagraphFont"/>
    <w:link w:val="Footer"/>
    <w:uiPriority w:val="99"/>
    <w:rsid w:val="00E753E2"/>
    <w:rPr>
      <w:rFonts w:ascii="Arial" w:eastAsia="MS Mincho" w:hAnsi="Arial"/>
      <w:sz w:val="16"/>
      <w:szCs w:val="24"/>
      <w:lang w:eastAsia="ja-JP"/>
    </w:rPr>
  </w:style>
  <w:style w:type="paragraph" w:styleId="Title">
    <w:name w:val="Title"/>
    <w:basedOn w:val="Normal"/>
    <w:link w:val="TitleChar"/>
    <w:uiPriority w:val="10"/>
    <w:qFormat/>
    <w:rsid w:val="00253AE6"/>
    <w:pPr>
      <w:spacing w:before="240" w:after="240"/>
      <w:ind w:right="919"/>
    </w:pPr>
    <w:rPr>
      <w:b/>
      <w:color w:val="152128" w:themeColor="accent1"/>
      <w:sz w:val="44"/>
      <w:szCs w:val="82"/>
    </w:rPr>
  </w:style>
  <w:style w:type="character" w:customStyle="1" w:styleId="TitleChar">
    <w:name w:val="Title Char"/>
    <w:basedOn w:val="DefaultParagraphFont"/>
    <w:link w:val="Title"/>
    <w:uiPriority w:val="10"/>
    <w:rsid w:val="00253AE6"/>
    <w:rPr>
      <w:rFonts w:ascii="Arial" w:eastAsia="MS Mincho" w:hAnsi="Arial"/>
      <w:b/>
      <w:color w:val="152128" w:themeColor="accent1"/>
      <w:sz w:val="44"/>
      <w:szCs w:val="82"/>
      <w:lang w:eastAsia="ja-JP"/>
    </w:rPr>
  </w:style>
  <w:style w:type="paragraph" w:customStyle="1" w:styleId="Address">
    <w:name w:val="Address"/>
    <w:basedOn w:val="Normal"/>
    <w:rsid w:val="00D3118E"/>
    <w:rPr>
      <w:b/>
      <w:color w:val="152128" w:themeColor="accent1"/>
      <w:sz w:val="18"/>
      <w:szCs w:val="18"/>
    </w:rPr>
  </w:style>
  <w:style w:type="character" w:customStyle="1" w:styleId="Heading1Char">
    <w:name w:val="Heading 1 Char"/>
    <w:basedOn w:val="DefaultParagraphFont"/>
    <w:link w:val="Heading1"/>
    <w:uiPriority w:val="9"/>
    <w:rsid w:val="00F77EE7"/>
    <w:rPr>
      <w:rFonts w:ascii="Arial" w:eastAsia="MS Mincho" w:hAnsi="Arial"/>
      <w:b/>
      <w:color w:val="152128" w:themeColor="accent1"/>
      <w:sz w:val="32"/>
      <w:szCs w:val="32"/>
      <w:lang w:eastAsia="ja-JP"/>
    </w:rPr>
  </w:style>
  <w:style w:type="character" w:customStyle="1" w:styleId="Heading2Char">
    <w:name w:val="Heading 2 Char"/>
    <w:basedOn w:val="DefaultParagraphFont"/>
    <w:link w:val="Heading2"/>
    <w:uiPriority w:val="9"/>
    <w:rsid w:val="00C11C2F"/>
    <w:rPr>
      <w:rFonts w:ascii="Arial" w:eastAsia="MS Mincho" w:hAnsi="Arial"/>
      <w:b/>
      <w:color w:val="005A84"/>
      <w:sz w:val="21"/>
      <w:szCs w:val="24"/>
      <w:lang w:eastAsia="ja-JP"/>
    </w:rPr>
  </w:style>
  <w:style w:type="character" w:customStyle="1" w:styleId="Heading3Char">
    <w:name w:val="Heading 3 Char"/>
    <w:basedOn w:val="DefaultParagraphFont"/>
    <w:link w:val="Heading3"/>
    <w:uiPriority w:val="9"/>
    <w:rsid w:val="00C84AD3"/>
    <w:rPr>
      <w:rFonts w:ascii="Arial" w:eastAsia="MS Mincho" w:hAnsi="Arial"/>
      <w:b/>
      <w:color w:val="000000" w:themeColor="text1"/>
      <w:sz w:val="21"/>
      <w:szCs w:val="24"/>
      <w:lang w:eastAsia="ja-JP"/>
    </w:rPr>
  </w:style>
  <w:style w:type="paragraph" w:styleId="BodyText">
    <w:name w:val="Body Text"/>
    <w:basedOn w:val="Normal"/>
    <w:link w:val="BodyTextChar"/>
    <w:uiPriority w:val="99"/>
    <w:qFormat/>
    <w:rsid w:val="003F0303"/>
    <w:pPr>
      <w:spacing w:before="240" w:after="240"/>
    </w:pPr>
  </w:style>
  <w:style w:type="character" w:customStyle="1" w:styleId="BodyTextChar">
    <w:name w:val="Body Text Char"/>
    <w:basedOn w:val="DefaultParagraphFont"/>
    <w:link w:val="BodyText"/>
    <w:uiPriority w:val="99"/>
    <w:rsid w:val="003F0303"/>
    <w:rPr>
      <w:rFonts w:ascii="Arial" w:eastAsia="MS Mincho" w:hAnsi="Arial"/>
      <w:sz w:val="21"/>
      <w:szCs w:val="24"/>
      <w:lang w:eastAsia="ja-JP"/>
    </w:rPr>
  </w:style>
  <w:style w:type="paragraph" w:customStyle="1" w:styleId="TableText">
    <w:name w:val="Table Text"/>
    <w:basedOn w:val="BodyText"/>
    <w:qFormat/>
    <w:rsid w:val="00872EB1"/>
    <w:pPr>
      <w:spacing w:after="0"/>
    </w:pPr>
    <w:rPr>
      <w:sz w:val="20"/>
    </w:rPr>
  </w:style>
  <w:style w:type="table" w:customStyle="1" w:styleId="CoSTableDesign">
    <w:name w:val="CoS Table Design"/>
    <w:basedOn w:val="TableNormal"/>
    <w:uiPriority w:val="99"/>
    <w:rsid w:val="00036FE5"/>
    <w:rPr>
      <w:rFonts w:ascii="Arial" w:hAnsi="Arial"/>
    </w:rPr>
    <w:tblPr>
      <w:tblInd w:w="85" w:type="dxa"/>
      <w:tblBorders>
        <w:top w:val="single" w:sz="4" w:space="0" w:color="152128" w:themeColor="accent1"/>
        <w:left w:val="single" w:sz="4" w:space="0" w:color="152128" w:themeColor="accent1"/>
        <w:bottom w:val="single" w:sz="4" w:space="0" w:color="152128" w:themeColor="accent1"/>
        <w:right w:val="single" w:sz="4" w:space="0" w:color="152128" w:themeColor="accent1"/>
        <w:insideH w:val="single" w:sz="4" w:space="0" w:color="152128" w:themeColor="accent1"/>
        <w:insideV w:val="single" w:sz="4" w:space="0" w:color="152128" w:themeColor="accent1"/>
      </w:tblBorders>
      <w:tblCellMar>
        <w:top w:w="28" w:type="dxa"/>
        <w:left w:w="85" w:type="dxa"/>
        <w:bottom w:w="28" w:type="dxa"/>
        <w:right w:w="85" w:type="dxa"/>
      </w:tblCellMar>
    </w:tblPr>
    <w:tblStylePr w:type="firstRow">
      <w:rPr>
        <w:rFonts w:ascii="Arial" w:hAnsi="Arial"/>
        <w:b/>
        <w:i w:val="0"/>
        <w:color w:val="FFFFFF" w:themeColor="background1"/>
        <w:sz w:val="21"/>
      </w:rPr>
      <w:tblPr/>
      <w:tcPr>
        <w:tcBorders>
          <w:top w:val="single" w:sz="4" w:space="0" w:color="152128" w:themeColor="accent1"/>
          <w:left w:val="single" w:sz="4" w:space="0" w:color="152128" w:themeColor="accent1"/>
          <w:bottom w:val="single" w:sz="4" w:space="0" w:color="152128" w:themeColor="accent1"/>
          <w:right w:val="single" w:sz="4" w:space="0" w:color="152128" w:themeColor="accent1"/>
          <w:insideH w:val="single" w:sz="4" w:space="0" w:color="FFFFFF" w:themeColor="background1"/>
          <w:insideV w:val="single" w:sz="4" w:space="0" w:color="FFFFFF" w:themeColor="background1"/>
          <w:tl2br w:val="nil"/>
          <w:tr2bl w:val="nil"/>
        </w:tcBorders>
        <w:shd w:val="clear" w:color="auto" w:fill="152128" w:themeFill="accent1"/>
      </w:tcPr>
    </w:tblStylePr>
  </w:style>
  <w:style w:type="paragraph" w:customStyle="1" w:styleId="Pa1">
    <w:name w:val="Pa1"/>
    <w:basedOn w:val="Normal"/>
    <w:next w:val="Normal"/>
    <w:uiPriority w:val="99"/>
    <w:rsid w:val="002A2AE9"/>
    <w:pPr>
      <w:autoSpaceDE w:val="0"/>
      <w:autoSpaceDN w:val="0"/>
      <w:adjustRightInd w:val="0"/>
      <w:spacing w:line="241" w:lineRule="atLeast"/>
    </w:pPr>
    <w:rPr>
      <w:rFonts w:eastAsiaTheme="minorHAnsi" w:cs="Arial"/>
      <w:sz w:val="24"/>
      <w:lang w:eastAsia="en-US"/>
    </w:rPr>
  </w:style>
  <w:style w:type="character" w:customStyle="1" w:styleId="A2">
    <w:name w:val="A2"/>
    <w:uiPriority w:val="99"/>
    <w:rsid w:val="002A2AE9"/>
    <w:rPr>
      <w:color w:val="000000"/>
      <w:sz w:val="48"/>
      <w:szCs w:val="48"/>
    </w:rPr>
  </w:style>
  <w:style w:type="paragraph" w:styleId="FootnoteText">
    <w:name w:val="footnote text"/>
    <w:basedOn w:val="Normal"/>
    <w:link w:val="FootnoteTextChar"/>
    <w:semiHidden/>
    <w:rsid w:val="004B73C4"/>
    <w:rPr>
      <w:rFonts w:ascii="Arial Narrow" w:eastAsia="Times New Roman" w:hAnsi="Arial Narrow"/>
      <w:i/>
      <w:sz w:val="20"/>
      <w:szCs w:val="20"/>
      <w:lang w:eastAsia="en-US"/>
    </w:rPr>
  </w:style>
  <w:style w:type="character" w:customStyle="1" w:styleId="FootnoteTextChar">
    <w:name w:val="Footnote Text Char"/>
    <w:basedOn w:val="DefaultParagraphFont"/>
    <w:link w:val="FootnoteText"/>
    <w:semiHidden/>
    <w:rsid w:val="004B73C4"/>
    <w:rPr>
      <w:rFonts w:ascii="Arial Narrow" w:eastAsia="Times New Roman" w:hAnsi="Arial Narrow"/>
      <w:i/>
    </w:rPr>
  </w:style>
  <w:style w:type="character" w:styleId="FootnoteReference">
    <w:name w:val="footnote reference"/>
    <w:basedOn w:val="DefaultParagraphFont"/>
    <w:semiHidden/>
    <w:rsid w:val="004B73C4"/>
    <w:rPr>
      <w:i/>
      <w:sz w:val="18"/>
      <w:vertAlign w:val="superscript"/>
    </w:rPr>
  </w:style>
  <w:style w:type="paragraph" w:customStyle="1" w:styleId="Default">
    <w:name w:val="Default"/>
    <w:rsid w:val="007318F4"/>
    <w:pPr>
      <w:widowControl w:val="0"/>
      <w:autoSpaceDE w:val="0"/>
      <w:autoSpaceDN w:val="0"/>
      <w:adjustRightInd w:val="0"/>
    </w:pPr>
    <w:rPr>
      <w:rFonts w:ascii="Tahoma" w:eastAsia="Times New Roman" w:hAnsi="Tahoma" w:cs="Tahoma"/>
      <w:color w:val="000000"/>
      <w:sz w:val="24"/>
      <w:szCs w:val="24"/>
      <w:lang w:eastAsia="en-AU"/>
    </w:rPr>
  </w:style>
  <w:style w:type="paragraph" w:styleId="TOCHeading">
    <w:name w:val="TOC Heading"/>
    <w:basedOn w:val="Heading1"/>
    <w:next w:val="Normal"/>
    <w:uiPriority w:val="39"/>
    <w:semiHidden/>
    <w:unhideWhenUsed/>
    <w:qFormat/>
    <w:rsid w:val="00581751"/>
    <w:pPr>
      <w:keepNext/>
      <w:keepLines/>
      <w:spacing w:before="480" w:after="0" w:line="276" w:lineRule="auto"/>
      <w:outlineLvl w:val="9"/>
    </w:pPr>
    <w:rPr>
      <w:rFonts w:asciiTheme="majorHAnsi" w:eastAsiaTheme="majorEastAsia" w:hAnsiTheme="majorHAnsi" w:cstheme="majorBidi"/>
      <w:bCs/>
      <w:color w:val="0F181D" w:themeColor="accent1" w:themeShade="BF"/>
      <w:sz w:val="28"/>
      <w:szCs w:val="28"/>
      <w:lang w:val="en-US"/>
    </w:rPr>
  </w:style>
  <w:style w:type="paragraph" w:styleId="TOC1">
    <w:name w:val="toc 1"/>
    <w:basedOn w:val="Normal"/>
    <w:next w:val="Normal"/>
    <w:autoRedefine/>
    <w:uiPriority w:val="39"/>
    <w:unhideWhenUsed/>
    <w:rsid w:val="00581751"/>
    <w:pPr>
      <w:spacing w:after="100"/>
    </w:pPr>
  </w:style>
  <w:style w:type="paragraph" w:styleId="TOC2">
    <w:name w:val="toc 2"/>
    <w:basedOn w:val="Normal"/>
    <w:next w:val="Normal"/>
    <w:autoRedefine/>
    <w:uiPriority w:val="39"/>
    <w:unhideWhenUsed/>
    <w:rsid w:val="00581751"/>
    <w:pPr>
      <w:spacing w:after="100"/>
      <w:ind w:left="210"/>
    </w:pPr>
  </w:style>
  <w:style w:type="paragraph" w:styleId="TOC3">
    <w:name w:val="toc 3"/>
    <w:basedOn w:val="Normal"/>
    <w:next w:val="Normal"/>
    <w:autoRedefine/>
    <w:uiPriority w:val="39"/>
    <w:unhideWhenUsed/>
    <w:rsid w:val="00581751"/>
    <w:pPr>
      <w:spacing w:after="100"/>
      <w:ind w:left="420"/>
    </w:pPr>
  </w:style>
  <w:style w:type="character" w:styleId="Hyperlink">
    <w:name w:val="Hyperlink"/>
    <w:basedOn w:val="DefaultParagraphFont"/>
    <w:uiPriority w:val="99"/>
    <w:unhideWhenUsed/>
    <w:rsid w:val="00581751"/>
    <w:rPr>
      <w:color w:val="152128" w:themeColor="hyperlink"/>
      <w:u w:val="single"/>
    </w:rPr>
  </w:style>
  <w:style w:type="paragraph" w:styleId="NormalWeb">
    <w:name w:val="Normal (Web)"/>
    <w:basedOn w:val="Normal"/>
    <w:uiPriority w:val="99"/>
    <w:unhideWhenUsed/>
    <w:rsid w:val="00041C9D"/>
    <w:pPr>
      <w:spacing w:before="100" w:beforeAutospacing="1" w:after="100" w:afterAutospacing="1"/>
    </w:pPr>
    <w:rPr>
      <w:rFonts w:ascii="Times New Roman" w:eastAsia="Times New Roman" w:hAnsi="Times New Roman"/>
      <w:sz w:val="24"/>
      <w:lang w:eastAsia="en-AU"/>
    </w:rPr>
  </w:style>
  <w:style w:type="paragraph" w:styleId="ListParagraph">
    <w:name w:val="List Paragraph"/>
    <w:basedOn w:val="Normal"/>
    <w:uiPriority w:val="34"/>
    <w:rsid w:val="00071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D0AFC"/>
    <w:rPr>
      <w:rFonts w:ascii="Arial" w:eastAsia="MS Mincho" w:hAnsi="Arial"/>
      <w:sz w:val="21"/>
      <w:szCs w:val="24"/>
      <w:lang w:eastAsia="ja-JP"/>
    </w:rPr>
  </w:style>
  <w:style w:type="paragraph" w:styleId="Heading1">
    <w:name w:val="heading 1"/>
    <w:basedOn w:val="Normal"/>
    <w:next w:val="BodyText"/>
    <w:link w:val="Heading1Char"/>
    <w:uiPriority w:val="9"/>
    <w:qFormat/>
    <w:rsid w:val="00F77EE7"/>
    <w:pPr>
      <w:spacing w:before="240" w:after="240"/>
      <w:outlineLvl w:val="0"/>
    </w:pPr>
    <w:rPr>
      <w:b/>
      <w:color w:val="152128" w:themeColor="accent1"/>
      <w:sz w:val="32"/>
      <w:szCs w:val="32"/>
    </w:rPr>
  </w:style>
  <w:style w:type="paragraph" w:styleId="Heading2">
    <w:name w:val="heading 2"/>
    <w:basedOn w:val="Normal"/>
    <w:next w:val="BodyText"/>
    <w:link w:val="Heading2Char"/>
    <w:uiPriority w:val="9"/>
    <w:unhideWhenUsed/>
    <w:qFormat/>
    <w:rsid w:val="00C11C2F"/>
    <w:pPr>
      <w:spacing w:before="240" w:after="240"/>
      <w:outlineLvl w:val="1"/>
    </w:pPr>
    <w:rPr>
      <w:b/>
      <w:color w:val="005A84"/>
    </w:rPr>
  </w:style>
  <w:style w:type="paragraph" w:styleId="Heading3">
    <w:name w:val="heading 3"/>
    <w:basedOn w:val="Normal"/>
    <w:next w:val="BodyText"/>
    <w:link w:val="Heading3Char"/>
    <w:uiPriority w:val="9"/>
    <w:unhideWhenUsed/>
    <w:qFormat/>
    <w:rsid w:val="00C84AD3"/>
    <w:pPr>
      <w:spacing w:before="240" w:after="24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PP Table Grid"/>
    <w:basedOn w:val="TableNormal"/>
    <w:rsid w:val="00DD3EA6"/>
    <w:rPr>
      <w:rFonts w:ascii="Arial" w:eastAsia="Times New Roman" w:hAnsi="Arial"/>
      <w:lang w:eastAsia="en-AU"/>
    </w:rPr>
    <w:tblPr>
      <w:tblInd w:w="0" w:type="dxa"/>
      <w:tblBorders>
        <w:bottom w:val="single" w:sz="4" w:space="0" w:color="auto"/>
        <w:insideH w:val="single" w:sz="4" w:space="0" w:color="auto"/>
      </w:tblBorders>
      <w:tblCellMar>
        <w:top w:w="85" w:type="dxa"/>
        <w:left w:w="0" w:type="dxa"/>
        <w:bottom w:w="85" w:type="dxa"/>
        <w:right w:w="85" w:type="dxa"/>
      </w:tblCellMar>
    </w:tblPr>
    <w:tblStylePr w:type="firstRow">
      <w:rPr>
        <w:b/>
      </w:rPr>
    </w:tblStylePr>
  </w:style>
  <w:style w:type="paragraph" w:styleId="Subtitle">
    <w:name w:val="Subtitle"/>
    <w:basedOn w:val="Normal"/>
    <w:link w:val="SubtitleChar"/>
    <w:uiPriority w:val="11"/>
    <w:qFormat/>
    <w:rsid w:val="003F0303"/>
    <w:pPr>
      <w:spacing w:before="120" w:after="240"/>
      <w:ind w:left="1814"/>
    </w:pPr>
    <w:rPr>
      <w:b/>
      <w:color w:val="152128" w:themeColor="accent1"/>
      <w:sz w:val="24"/>
    </w:rPr>
  </w:style>
  <w:style w:type="character" w:customStyle="1" w:styleId="SubtitleChar">
    <w:name w:val="Subtitle Char"/>
    <w:basedOn w:val="DefaultParagraphFont"/>
    <w:link w:val="Subtitle"/>
    <w:uiPriority w:val="11"/>
    <w:rsid w:val="003F0303"/>
    <w:rPr>
      <w:rFonts w:ascii="Arial" w:eastAsia="MS Mincho" w:hAnsi="Arial"/>
      <w:b/>
      <w:color w:val="152128" w:themeColor="accent1"/>
      <w:sz w:val="24"/>
      <w:szCs w:val="24"/>
      <w:lang w:eastAsia="ja-JP"/>
    </w:rPr>
  </w:style>
  <w:style w:type="paragraph" w:styleId="BalloonText">
    <w:name w:val="Balloon Text"/>
    <w:basedOn w:val="Normal"/>
    <w:link w:val="BalloonTextChar"/>
    <w:uiPriority w:val="99"/>
    <w:semiHidden/>
    <w:unhideWhenUsed/>
    <w:rsid w:val="00DD3EA6"/>
    <w:rPr>
      <w:rFonts w:ascii="Tahoma" w:hAnsi="Tahoma" w:cs="Tahoma"/>
      <w:sz w:val="16"/>
      <w:szCs w:val="16"/>
    </w:rPr>
  </w:style>
  <w:style w:type="character" w:customStyle="1" w:styleId="BalloonTextChar">
    <w:name w:val="Balloon Text Char"/>
    <w:basedOn w:val="DefaultParagraphFont"/>
    <w:link w:val="BalloonText"/>
    <w:uiPriority w:val="99"/>
    <w:semiHidden/>
    <w:rsid w:val="00DD3EA6"/>
    <w:rPr>
      <w:rFonts w:ascii="Tahoma" w:eastAsia="MS Mincho" w:hAnsi="Tahoma" w:cs="Tahoma"/>
      <w:sz w:val="16"/>
      <w:szCs w:val="16"/>
      <w:lang w:eastAsia="ja-JP"/>
    </w:rPr>
  </w:style>
  <w:style w:type="paragraph" w:styleId="Header">
    <w:name w:val="header"/>
    <w:basedOn w:val="Normal"/>
    <w:link w:val="HeaderChar"/>
    <w:uiPriority w:val="99"/>
    <w:unhideWhenUsed/>
    <w:rsid w:val="00AB3E03"/>
    <w:pPr>
      <w:tabs>
        <w:tab w:val="center" w:pos="4513"/>
        <w:tab w:val="right" w:pos="9026"/>
      </w:tabs>
    </w:pPr>
  </w:style>
  <w:style w:type="character" w:customStyle="1" w:styleId="HeaderChar">
    <w:name w:val="Header Char"/>
    <w:basedOn w:val="DefaultParagraphFont"/>
    <w:link w:val="Header"/>
    <w:uiPriority w:val="99"/>
    <w:rsid w:val="00AB3E03"/>
    <w:rPr>
      <w:rFonts w:ascii="Arial" w:eastAsia="MS Mincho" w:hAnsi="Arial"/>
      <w:szCs w:val="24"/>
      <w:lang w:eastAsia="ja-JP"/>
    </w:rPr>
  </w:style>
  <w:style w:type="paragraph" w:styleId="Footer">
    <w:name w:val="footer"/>
    <w:basedOn w:val="Normal"/>
    <w:link w:val="FooterChar"/>
    <w:uiPriority w:val="99"/>
    <w:unhideWhenUsed/>
    <w:rsid w:val="00E753E2"/>
    <w:pPr>
      <w:tabs>
        <w:tab w:val="center" w:pos="4513"/>
        <w:tab w:val="right" w:pos="9026"/>
      </w:tabs>
    </w:pPr>
    <w:rPr>
      <w:sz w:val="16"/>
    </w:rPr>
  </w:style>
  <w:style w:type="character" w:customStyle="1" w:styleId="FooterChar">
    <w:name w:val="Footer Char"/>
    <w:basedOn w:val="DefaultParagraphFont"/>
    <w:link w:val="Footer"/>
    <w:uiPriority w:val="99"/>
    <w:rsid w:val="00E753E2"/>
    <w:rPr>
      <w:rFonts w:ascii="Arial" w:eastAsia="MS Mincho" w:hAnsi="Arial"/>
      <w:sz w:val="16"/>
      <w:szCs w:val="24"/>
      <w:lang w:eastAsia="ja-JP"/>
    </w:rPr>
  </w:style>
  <w:style w:type="paragraph" w:styleId="Title">
    <w:name w:val="Title"/>
    <w:basedOn w:val="Normal"/>
    <w:link w:val="TitleChar"/>
    <w:uiPriority w:val="10"/>
    <w:qFormat/>
    <w:rsid w:val="00253AE6"/>
    <w:pPr>
      <w:spacing w:before="240" w:after="240"/>
      <w:ind w:right="919"/>
    </w:pPr>
    <w:rPr>
      <w:b/>
      <w:color w:val="152128" w:themeColor="accent1"/>
      <w:sz w:val="44"/>
      <w:szCs w:val="82"/>
    </w:rPr>
  </w:style>
  <w:style w:type="character" w:customStyle="1" w:styleId="TitleChar">
    <w:name w:val="Title Char"/>
    <w:basedOn w:val="DefaultParagraphFont"/>
    <w:link w:val="Title"/>
    <w:uiPriority w:val="10"/>
    <w:rsid w:val="00253AE6"/>
    <w:rPr>
      <w:rFonts w:ascii="Arial" w:eastAsia="MS Mincho" w:hAnsi="Arial"/>
      <w:b/>
      <w:color w:val="152128" w:themeColor="accent1"/>
      <w:sz w:val="44"/>
      <w:szCs w:val="82"/>
      <w:lang w:eastAsia="ja-JP"/>
    </w:rPr>
  </w:style>
  <w:style w:type="paragraph" w:customStyle="1" w:styleId="Address">
    <w:name w:val="Address"/>
    <w:basedOn w:val="Normal"/>
    <w:rsid w:val="00D3118E"/>
    <w:rPr>
      <w:b/>
      <w:color w:val="152128" w:themeColor="accent1"/>
      <w:sz w:val="18"/>
      <w:szCs w:val="18"/>
    </w:rPr>
  </w:style>
  <w:style w:type="character" w:customStyle="1" w:styleId="Heading1Char">
    <w:name w:val="Heading 1 Char"/>
    <w:basedOn w:val="DefaultParagraphFont"/>
    <w:link w:val="Heading1"/>
    <w:uiPriority w:val="9"/>
    <w:rsid w:val="00F77EE7"/>
    <w:rPr>
      <w:rFonts w:ascii="Arial" w:eastAsia="MS Mincho" w:hAnsi="Arial"/>
      <w:b/>
      <w:color w:val="152128" w:themeColor="accent1"/>
      <w:sz w:val="32"/>
      <w:szCs w:val="32"/>
      <w:lang w:eastAsia="ja-JP"/>
    </w:rPr>
  </w:style>
  <w:style w:type="character" w:customStyle="1" w:styleId="Heading2Char">
    <w:name w:val="Heading 2 Char"/>
    <w:basedOn w:val="DefaultParagraphFont"/>
    <w:link w:val="Heading2"/>
    <w:uiPriority w:val="9"/>
    <w:rsid w:val="00C11C2F"/>
    <w:rPr>
      <w:rFonts w:ascii="Arial" w:eastAsia="MS Mincho" w:hAnsi="Arial"/>
      <w:b/>
      <w:color w:val="005A84"/>
      <w:sz w:val="21"/>
      <w:szCs w:val="24"/>
      <w:lang w:eastAsia="ja-JP"/>
    </w:rPr>
  </w:style>
  <w:style w:type="character" w:customStyle="1" w:styleId="Heading3Char">
    <w:name w:val="Heading 3 Char"/>
    <w:basedOn w:val="DefaultParagraphFont"/>
    <w:link w:val="Heading3"/>
    <w:uiPriority w:val="9"/>
    <w:rsid w:val="00C84AD3"/>
    <w:rPr>
      <w:rFonts w:ascii="Arial" w:eastAsia="MS Mincho" w:hAnsi="Arial"/>
      <w:b/>
      <w:color w:val="000000" w:themeColor="text1"/>
      <w:sz w:val="21"/>
      <w:szCs w:val="24"/>
      <w:lang w:eastAsia="ja-JP"/>
    </w:rPr>
  </w:style>
  <w:style w:type="paragraph" w:styleId="BodyText">
    <w:name w:val="Body Text"/>
    <w:basedOn w:val="Normal"/>
    <w:link w:val="BodyTextChar"/>
    <w:uiPriority w:val="99"/>
    <w:qFormat/>
    <w:rsid w:val="003F0303"/>
    <w:pPr>
      <w:spacing w:before="240" w:after="240"/>
    </w:pPr>
  </w:style>
  <w:style w:type="character" w:customStyle="1" w:styleId="BodyTextChar">
    <w:name w:val="Body Text Char"/>
    <w:basedOn w:val="DefaultParagraphFont"/>
    <w:link w:val="BodyText"/>
    <w:uiPriority w:val="99"/>
    <w:rsid w:val="003F0303"/>
    <w:rPr>
      <w:rFonts w:ascii="Arial" w:eastAsia="MS Mincho" w:hAnsi="Arial"/>
      <w:sz w:val="21"/>
      <w:szCs w:val="24"/>
      <w:lang w:eastAsia="ja-JP"/>
    </w:rPr>
  </w:style>
  <w:style w:type="paragraph" w:customStyle="1" w:styleId="TableText">
    <w:name w:val="Table Text"/>
    <w:basedOn w:val="BodyText"/>
    <w:qFormat/>
    <w:rsid w:val="00872EB1"/>
    <w:pPr>
      <w:spacing w:after="0"/>
    </w:pPr>
    <w:rPr>
      <w:sz w:val="20"/>
    </w:rPr>
  </w:style>
  <w:style w:type="table" w:customStyle="1" w:styleId="CoSTableDesign">
    <w:name w:val="CoS Table Design"/>
    <w:basedOn w:val="TableNormal"/>
    <w:uiPriority w:val="99"/>
    <w:rsid w:val="00036FE5"/>
    <w:rPr>
      <w:rFonts w:ascii="Arial" w:hAnsi="Arial"/>
    </w:rPr>
    <w:tblPr>
      <w:tblInd w:w="85" w:type="dxa"/>
      <w:tblBorders>
        <w:top w:val="single" w:sz="4" w:space="0" w:color="152128" w:themeColor="accent1"/>
        <w:left w:val="single" w:sz="4" w:space="0" w:color="152128" w:themeColor="accent1"/>
        <w:bottom w:val="single" w:sz="4" w:space="0" w:color="152128" w:themeColor="accent1"/>
        <w:right w:val="single" w:sz="4" w:space="0" w:color="152128" w:themeColor="accent1"/>
        <w:insideH w:val="single" w:sz="4" w:space="0" w:color="152128" w:themeColor="accent1"/>
        <w:insideV w:val="single" w:sz="4" w:space="0" w:color="152128" w:themeColor="accent1"/>
      </w:tblBorders>
      <w:tblCellMar>
        <w:top w:w="28" w:type="dxa"/>
        <w:left w:w="85" w:type="dxa"/>
        <w:bottom w:w="28" w:type="dxa"/>
        <w:right w:w="85" w:type="dxa"/>
      </w:tblCellMar>
    </w:tblPr>
    <w:tblStylePr w:type="firstRow">
      <w:rPr>
        <w:rFonts w:ascii="Arial" w:hAnsi="Arial"/>
        <w:b/>
        <w:i w:val="0"/>
        <w:color w:val="FFFFFF" w:themeColor="background1"/>
        <w:sz w:val="21"/>
      </w:rPr>
      <w:tblPr/>
      <w:tcPr>
        <w:tcBorders>
          <w:top w:val="single" w:sz="4" w:space="0" w:color="152128" w:themeColor="accent1"/>
          <w:left w:val="single" w:sz="4" w:space="0" w:color="152128" w:themeColor="accent1"/>
          <w:bottom w:val="single" w:sz="4" w:space="0" w:color="152128" w:themeColor="accent1"/>
          <w:right w:val="single" w:sz="4" w:space="0" w:color="152128" w:themeColor="accent1"/>
          <w:insideH w:val="single" w:sz="4" w:space="0" w:color="FFFFFF" w:themeColor="background1"/>
          <w:insideV w:val="single" w:sz="4" w:space="0" w:color="FFFFFF" w:themeColor="background1"/>
          <w:tl2br w:val="nil"/>
          <w:tr2bl w:val="nil"/>
        </w:tcBorders>
        <w:shd w:val="clear" w:color="auto" w:fill="152128" w:themeFill="accent1"/>
      </w:tcPr>
    </w:tblStylePr>
  </w:style>
  <w:style w:type="paragraph" w:customStyle="1" w:styleId="Pa1">
    <w:name w:val="Pa1"/>
    <w:basedOn w:val="Normal"/>
    <w:next w:val="Normal"/>
    <w:uiPriority w:val="99"/>
    <w:rsid w:val="002A2AE9"/>
    <w:pPr>
      <w:autoSpaceDE w:val="0"/>
      <w:autoSpaceDN w:val="0"/>
      <w:adjustRightInd w:val="0"/>
      <w:spacing w:line="241" w:lineRule="atLeast"/>
    </w:pPr>
    <w:rPr>
      <w:rFonts w:eastAsiaTheme="minorHAnsi" w:cs="Arial"/>
      <w:sz w:val="24"/>
      <w:lang w:eastAsia="en-US"/>
    </w:rPr>
  </w:style>
  <w:style w:type="character" w:customStyle="1" w:styleId="A2">
    <w:name w:val="A2"/>
    <w:uiPriority w:val="99"/>
    <w:rsid w:val="002A2AE9"/>
    <w:rPr>
      <w:color w:val="000000"/>
      <w:sz w:val="48"/>
      <w:szCs w:val="48"/>
    </w:rPr>
  </w:style>
  <w:style w:type="paragraph" w:styleId="FootnoteText">
    <w:name w:val="footnote text"/>
    <w:basedOn w:val="Normal"/>
    <w:link w:val="FootnoteTextChar"/>
    <w:semiHidden/>
    <w:rsid w:val="004B73C4"/>
    <w:rPr>
      <w:rFonts w:ascii="Arial Narrow" w:eastAsia="Times New Roman" w:hAnsi="Arial Narrow"/>
      <w:i/>
      <w:sz w:val="20"/>
      <w:szCs w:val="20"/>
      <w:lang w:eastAsia="en-US"/>
    </w:rPr>
  </w:style>
  <w:style w:type="character" w:customStyle="1" w:styleId="FootnoteTextChar">
    <w:name w:val="Footnote Text Char"/>
    <w:basedOn w:val="DefaultParagraphFont"/>
    <w:link w:val="FootnoteText"/>
    <w:semiHidden/>
    <w:rsid w:val="004B73C4"/>
    <w:rPr>
      <w:rFonts w:ascii="Arial Narrow" w:eastAsia="Times New Roman" w:hAnsi="Arial Narrow"/>
      <w:i/>
    </w:rPr>
  </w:style>
  <w:style w:type="character" w:styleId="FootnoteReference">
    <w:name w:val="footnote reference"/>
    <w:basedOn w:val="DefaultParagraphFont"/>
    <w:semiHidden/>
    <w:rsid w:val="004B73C4"/>
    <w:rPr>
      <w:i/>
      <w:sz w:val="18"/>
      <w:vertAlign w:val="superscript"/>
    </w:rPr>
  </w:style>
  <w:style w:type="paragraph" w:customStyle="1" w:styleId="Default">
    <w:name w:val="Default"/>
    <w:rsid w:val="007318F4"/>
    <w:pPr>
      <w:widowControl w:val="0"/>
      <w:autoSpaceDE w:val="0"/>
      <w:autoSpaceDN w:val="0"/>
      <w:adjustRightInd w:val="0"/>
    </w:pPr>
    <w:rPr>
      <w:rFonts w:ascii="Tahoma" w:eastAsia="Times New Roman" w:hAnsi="Tahoma" w:cs="Tahoma"/>
      <w:color w:val="000000"/>
      <w:sz w:val="24"/>
      <w:szCs w:val="24"/>
      <w:lang w:eastAsia="en-AU"/>
    </w:rPr>
  </w:style>
  <w:style w:type="paragraph" w:styleId="TOCHeading">
    <w:name w:val="TOC Heading"/>
    <w:basedOn w:val="Heading1"/>
    <w:next w:val="Normal"/>
    <w:uiPriority w:val="39"/>
    <w:semiHidden/>
    <w:unhideWhenUsed/>
    <w:qFormat/>
    <w:rsid w:val="00581751"/>
    <w:pPr>
      <w:keepNext/>
      <w:keepLines/>
      <w:spacing w:before="480" w:after="0" w:line="276" w:lineRule="auto"/>
      <w:outlineLvl w:val="9"/>
    </w:pPr>
    <w:rPr>
      <w:rFonts w:asciiTheme="majorHAnsi" w:eastAsiaTheme="majorEastAsia" w:hAnsiTheme="majorHAnsi" w:cstheme="majorBidi"/>
      <w:bCs/>
      <w:color w:val="0F181D" w:themeColor="accent1" w:themeShade="BF"/>
      <w:sz w:val="28"/>
      <w:szCs w:val="28"/>
      <w:lang w:val="en-US"/>
    </w:rPr>
  </w:style>
  <w:style w:type="paragraph" w:styleId="TOC1">
    <w:name w:val="toc 1"/>
    <w:basedOn w:val="Normal"/>
    <w:next w:val="Normal"/>
    <w:autoRedefine/>
    <w:uiPriority w:val="39"/>
    <w:unhideWhenUsed/>
    <w:rsid w:val="00581751"/>
    <w:pPr>
      <w:spacing w:after="100"/>
    </w:pPr>
  </w:style>
  <w:style w:type="paragraph" w:styleId="TOC2">
    <w:name w:val="toc 2"/>
    <w:basedOn w:val="Normal"/>
    <w:next w:val="Normal"/>
    <w:autoRedefine/>
    <w:uiPriority w:val="39"/>
    <w:unhideWhenUsed/>
    <w:rsid w:val="00581751"/>
    <w:pPr>
      <w:spacing w:after="100"/>
      <w:ind w:left="210"/>
    </w:pPr>
  </w:style>
  <w:style w:type="paragraph" w:styleId="TOC3">
    <w:name w:val="toc 3"/>
    <w:basedOn w:val="Normal"/>
    <w:next w:val="Normal"/>
    <w:autoRedefine/>
    <w:uiPriority w:val="39"/>
    <w:unhideWhenUsed/>
    <w:rsid w:val="00581751"/>
    <w:pPr>
      <w:spacing w:after="100"/>
      <w:ind w:left="420"/>
    </w:pPr>
  </w:style>
  <w:style w:type="character" w:styleId="Hyperlink">
    <w:name w:val="Hyperlink"/>
    <w:basedOn w:val="DefaultParagraphFont"/>
    <w:uiPriority w:val="99"/>
    <w:unhideWhenUsed/>
    <w:rsid w:val="00581751"/>
    <w:rPr>
      <w:color w:val="152128" w:themeColor="hyperlink"/>
      <w:u w:val="single"/>
    </w:rPr>
  </w:style>
  <w:style w:type="paragraph" w:styleId="NormalWeb">
    <w:name w:val="Normal (Web)"/>
    <w:basedOn w:val="Normal"/>
    <w:uiPriority w:val="99"/>
    <w:unhideWhenUsed/>
    <w:rsid w:val="00041C9D"/>
    <w:pPr>
      <w:spacing w:before="100" w:beforeAutospacing="1" w:after="100" w:afterAutospacing="1"/>
    </w:pPr>
    <w:rPr>
      <w:rFonts w:ascii="Times New Roman" w:eastAsia="Times New Roman" w:hAnsi="Times New Roman"/>
      <w:sz w:val="24"/>
      <w:lang w:eastAsia="en-AU"/>
    </w:rPr>
  </w:style>
  <w:style w:type="paragraph" w:styleId="ListParagraph">
    <w:name w:val="List Paragraph"/>
    <w:basedOn w:val="Normal"/>
    <w:uiPriority w:val="34"/>
    <w:rsid w:val="0007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62738">
      <w:bodyDiv w:val="1"/>
      <w:marLeft w:val="0"/>
      <w:marRight w:val="0"/>
      <w:marTop w:val="0"/>
      <w:marBottom w:val="0"/>
      <w:divBdr>
        <w:top w:val="none" w:sz="0" w:space="0" w:color="auto"/>
        <w:left w:val="none" w:sz="0" w:space="0" w:color="auto"/>
        <w:bottom w:val="none" w:sz="0" w:space="0" w:color="auto"/>
        <w:right w:val="none" w:sz="0" w:space="0" w:color="auto"/>
      </w:divBdr>
      <w:divsChild>
        <w:div w:id="2077510160">
          <w:marLeft w:val="0"/>
          <w:marRight w:val="0"/>
          <w:marTop w:val="0"/>
          <w:marBottom w:val="0"/>
          <w:divBdr>
            <w:top w:val="none" w:sz="0" w:space="0" w:color="auto"/>
            <w:left w:val="none" w:sz="0" w:space="0" w:color="auto"/>
            <w:bottom w:val="none" w:sz="0" w:space="0" w:color="auto"/>
            <w:right w:val="none" w:sz="0" w:space="0" w:color="auto"/>
          </w:divBdr>
          <w:divsChild>
            <w:div w:id="181365187">
              <w:marLeft w:val="0"/>
              <w:marRight w:val="0"/>
              <w:marTop w:val="0"/>
              <w:marBottom w:val="0"/>
              <w:divBdr>
                <w:top w:val="none" w:sz="0" w:space="0" w:color="auto"/>
                <w:left w:val="none" w:sz="0" w:space="0" w:color="auto"/>
                <w:bottom w:val="none" w:sz="0" w:space="0" w:color="auto"/>
                <w:right w:val="none" w:sz="0" w:space="0" w:color="auto"/>
              </w:divBdr>
              <w:divsChild>
                <w:div w:id="3720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2661">
      <w:bodyDiv w:val="1"/>
      <w:marLeft w:val="0"/>
      <w:marRight w:val="0"/>
      <w:marTop w:val="0"/>
      <w:marBottom w:val="0"/>
      <w:divBdr>
        <w:top w:val="none" w:sz="0" w:space="0" w:color="auto"/>
        <w:left w:val="none" w:sz="0" w:space="0" w:color="auto"/>
        <w:bottom w:val="none" w:sz="0" w:space="0" w:color="auto"/>
        <w:right w:val="none" w:sz="0" w:space="0" w:color="auto"/>
      </w:divBdr>
      <w:divsChild>
        <w:div w:id="838887237">
          <w:marLeft w:val="0"/>
          <w:marRight w:val="0"/>
          <w:marTop w:val="0"/>
          <w:marBottom w:val="0"/>
          <w:divBdr>
            <w:top w:val="none" w:sz="0" w:space="0" w:color="auto"/>
            <w:left w:val="none" w:sz="0" w:space="0" w:color="auto"/>
            <w:bottom w:val="none" w:sz="0" w:space="0" w:color="auto"/>
            <w:right w:val="none" w:sz="0" w:space="0" w:color="auto"/>
          </w:divBdr>
          <w:divsChild>
            <w:div w:id="1623922998">
              <w:marLeft w:val="0"/>
              <w:marRight w:val="0"/>
              <w:marTop w:val="0"/>
              <w:marBottom w:val="0"/>
              <w:divBdr>
                <w:top w:val="none" w:sz="0" w:space="0" w:color="auto"/>
                <w:left w:val="none" w:sz="0" w:space="0" w:color="auto"/>
                <w:bottom w:val="none" w:sz="0" w:space="0" w:color="auto"/>
                <w:right w:val="none" w:sz="0" w:space="0" w:color="auto"/>
              </w:divBdr>
              <w:divsChild>
                <w:div w:id="15342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S Report">
      <a:dk1>
        <a:srgbClr val="000000"/>
      </a:dk1>
      <a:lt1>
        <a:srgbClr val="FFFFFF"/>
      </a:lt1>
      <a:dk2>
        <a:srgbClr val="887E6E"/>
      </a:dk2>
      <a:lt2>
        <a:srgbClr val="005A84"/>
      </a:lt2>
      <a:accent1>
        <a:srgbClr val="152128"/>
      </a:accent1>
      <a:accent2>
        <a:srgbClr val="7AC143"/>
      </a:accent2>
      <a:accent3>
        <a:srgbClr val="C60C46"/>
      </a:accent3>
      <a:accent4>
        <a:srgbClr val="FDBB30"/>
      </a:accent4>
      <a:accent5>
        <a:srgbClr val="F58025"/>
      </a:accent5>
      <a:accent6>
        <a:srgbClr val="54BCE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Owner xmlns="017bb23a-92d8-4913-98ca-e9462d3a25a3">
      <UserInfo>
        <DisplayName>Laurel Betts</DisplayName>
        <AccountId>2028</AccountId>
        <AccountType/>
      </UserInfo>
    </ContentOwner>
    <TaxKeywordTaxHTField xmlns="017bb23a-92d8-4913-98ca-e9462d3a25a3">
      <Terms xmlns="http://schemas.microsoft.com/office/infopath/2007/PartnerControls">
        <TermInfo xmlns="http://schemas.microsoft.com/office/infopath/2007/PartnerControls">
          <TermName xmlns="http://schemas.microsoft.com/office/infopath/2007/PartnerControls">Word Document</TermName>
          <TermId xmlns="http://schemas.microsoft.com/office/infopath/2007/PartnerControls">81572ac7-0a98-4236-b91e-291fb7f30486</TermId>
        </TermInfo>
        <TermInfo xmlns="http://schemas.microsoft.com/office/infopath/2007/PartnerControls">
          <TermName xmlns="http://schemas.microsoft.com/office/infopath/2007/PartnerControls">Templates</TermName>
          <TermId xmlns="http://schemas.microsoft.com/office/infopath/2007/PartnerControls">05b52539-f731-4441-bc26-12c7cfc53227</TermId>
        </TermInfo>
        <TermInfo xmlns="http://schemas.microsoft.com/office/infopath/2007/PartnerControls">
          <TermName xmlns="http://schemas.microsoft.com/office/infopath/2007/PartnerControls">Report cover template</TermName>
          <TermId xmlns="http://schemas.microsoft.com/office/infopath/2007/PartnerControls">76185162-2d4c-4fea-99a9-80dfa4e08bd8</TermId>
        </TermInfo>
      </Terms>
    </TaxKeywordTaxHTField>
    <Review_x0020_Date xmlns="017bb23a-92d8-4913-98ca-e9462d3a25a3">2013-03-05T13:00:00+00:00</Review_x0020_Date>
    <RoutingRuleDescription xmlns="http://schemas.microsoft.com/sharepoint/v3"/>
    <TaxCatchAll xmlns="017bb23a-92d8-4913-98ca-e9462d3a25a3">
      <Value>778</Value>
      <Value>442</Value>
      <Value>83</Value>
      <Value>148</Value>
      <Value>2</Value>
      <Value>441</Value>
    </TaxCatchAll>
    <od5831de49ab4939b149a7f425d63f53 xmlns="017bb23a-92d8-4913-98ca-e9462d3a25a3">
      <Terms xmlns="http://schemas.microsoft.com/office/infopath/2007/PartnerControls">
        <TermInfo xmlns="http://schemas.microsoft.com/office/infopath/2007/PartnerControls">
          <TermName xmlns="http://schemas.microsoft.com/office/infopath/2007/PartnerControls">City Engagement</TermName>
          <TermId xmlns="http://schemas.microsoft.com/office/infopath/2007/PartnerControls">59edcdc6-c587-4a77-aa69-86d12be3739e</TermId>
        </TermInfo>
      </Terms>
    </od5831de49ab4939b149a7f425d63f53>
    <dcaf448ae01546c8bf881a0da6148e43 xmlns="017bb23a-92d8-4913-98ca-e9462d3a25a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66bdb8c5-173b-44a1-8244-256d572ec9c4</TermId>
        </TermInfo>
      </Terms>
    </dcaf448ae01546c8bf881a0da6148e43>
    <ndfff2c9a3264c3396fef4a2e22e8b24 xmlns="017bb23a-92d8-4913-98ca-e9462d3a25a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05b52539-f731-4441-bc26-12c7cfc53227</TermId>
        </TermInfo>
      </Terms>
    </ndfff2c9a3264c3396fef4a2e22e8b24>
    <Test xmlns="017bb23a-92d8-4913-98ca-e9462d3a25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CoS Document" ma:contentTypeID="0x01010020F905A7C59B3141992DE5F9246EC82A00ECAE95083A2EAB4BAE8F48C1C5CE7E26" ma:contentTypeVersion="25" ma:contentTypeDescription="" ma:contentTypeScope="" ma:versionID="1785137bfb94d8792e6f67f0b2c1dc8a">
  <xsd:schema xmlns:xsd="http://www.w3.org/2001/XMLSchema" xmlns:xs="http://www.w3.org/2001/XMLSchema" xmlns:p="http://schemas.microsoft.com/office/2006/metadata/properties" xmlns:ns1="http://schemas.microsoft.com/sharepoint/v3" xmlns:ns2="017bb23a-92d8-4913-98ca-e9462d3a25a3" targetNamespace="http://schemas.microsoft.com/office/2006/metadata/properties" ma:root="true" ma:fieldsID="c87f80b3d3845ccede1476797503f296" ns1:_="" ns2:_="">
    <xsd:import namespace="http://schemas.microsoft.com/sharepoint/v3"/>
    <xsd:import namespace="017bb23a-92d8-4913-98ca-e9462d3a25a3"/>
    <xsd:element name="properties">
      <xsd:complexType>
        <xsd:sequence>
          <xsd:element name="documentManagement">
            <xsd:complexType>
              <xsd:all>
                <xsd:element ref="ns2:ContentOwner"/>
                <xsd:element ref="ns2:Review_x0020_Date"/>
                <xsd:element ref="ns2:_dlc_DocIdUrl" minOccurs="0"/>
                <xsd:element ref="ns2:_dlc_DocIdPersistId" minOccurs="0"/>
                <xsd:element ref="ns1:RoutingRuleDescription"/>
                <xsd:element ref="ns2:od5831de49ab4939b149a7f425d63f53" minOccurs="0"/>
                <xsd:element ref="ns2:TaxCatchAll" minOccurs="0"/>
                <xsd:element ref="ns2:TaxCatchAllLabel" minOccurs="0"/>
                <xsd:element ref="ns2:ndfff2c9a3264c3396fef4a2e22e8b24" minOccurs="0"/>
                <xsd:element ref="ns2:_dlc_DocId" minOccurs="0"/>
                <xsd:element ref="ns2:dcaf448ae01546c8bf881a0da6148e43" minOccurs="0"/>
                <xsd:element ref="ns2:TaxKeywordTaxHTField"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bb23a-92d8-4913-98ca-e9462d3a25a3" elementFormDefault="qualified">
    <xsd:import namespace="http://schemas.microsoft.com/office/2006/documentManagement/types"/>
    <xsd:import namespace="http://schemas.microsoft.com/office/infopath/2007/PartnerControls"/>
    <xsd:element name="ContentOwner" ma:index="4" ma:displayName="Content Owner" ma:list="UserInfo" ma:SharePointGroup="0" ma:internalName="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5" ma:displayName="Review Date" ma:format="DateOnly" ma:internalName="Review_x0020_Date">
      <xsd:simpleType>
        <xsd:restriction base="dms:DateTime"/>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od5831de49ab4939b149a7f425d63f53" ma:index="12" ma:taxonomy="true" ma:internalName="od5831de49ab4939b149a7f425d63f53" ma:taxonomyFieldName="Unit" ma:displayName="Unit" ma:readOnly="false" ma:default="" ma:fieldId="{8d5831de-49ab-4939-b149-a7f425d63f53}" ma:sspId="d4276359-a4aa-4ade-80fc-18956b1434d5" ma:termSetId="84a1275e-8de5-4a67-ab77-9bf029830a4e"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91dd8fd4-1b72-4b80-89f3-d603d64c3165}" ma:internalName="TaxCatchAll" ma:showField="CatchAllData"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91dd8fd4-1b72-4b80-89f3-d603d64c3165}" ma:internalName="TaxCatchAllLabel" ma:readOnly="true" ma:showField="CatchAllDataLabel"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ndfff2c9a3264c3396fef4a2e22e8b24" ma:index="16" ma:taxonomy="true" ma:internalName="ndfff2c9a3264c3396fef4a2e22e8b24" ma:taxonomyFieldName="Primary_x0020_Category" ma:displayName="Primary Category" ma:readOnly="false" ma:default="" ma:fieldId="{7dfff2c9-a326-4c33-96fe-f4a2e22e8b24}" ma:sspId="d4276359-a4aa-4ade-80fc-18956b1434d5" ma:termSetId="f482481c-7e62-46b6-8edb-7fabbf18259e"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dcaf448ae01546c8bf881a0da6148e43" ma:index="20" ma:taxonomy="true" ma:internalName="dcaf448ae01546c8bf881a0da6148e43" ma:taxonomyFieldName="Document_x0020_Category0" ma:displayName="Document Category" ma:default="" ma:fieldId="{dcaf448a-e015-46c8-bf88-1a0da6148e43}" ma:sspId="d4276359-a4aa-4ade-80fc-18956b1434d5" ma:termSetId="f482481c-7e62-46b6-8edb-7fabbf18259e" ma:anchorId="cccfe753-f701-478c-9271-fb62925b1b17"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est" ma:index="24" nillable="true" ma:displayName="Optional Note"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66EB-15A3-4FA9-B745-C60167EFCC8C}">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017bb23a-92d8-4913-98ca-e9462d3a25a3"/>
    <ds:schemaRef ds:uri="http://schemas.microsoft.com/sharepoint/v3"/>
  </ds:schemaRefs>
</ds:datastoreItem>
</file>

<file path=customXml/itemProps2.xml><?xml version="1.0" encoding="utf-8"?>
<ds:datastoreItem xmlns:ds="http://schemas.openxmlformats.org/officeDocument/2006/customXml" ds:itemID="{E9DDA4D1-C416-439F-855C-BB8405E60313}">
  <ds:schemaRefs>
    <ds:schemaRef ds:uri="http://schemas.microsoft.com/sharepoint/v3/contenttype/forms"/>
  </ds:schemaRefs>
</ds:datastoreItem>
</file>

<file path=customXml/itemProps3.xml><?xml version="1.0" encoding="utf-8"?>
<ds:datastoreItem xmlns:ds="http://schemas.openxmlformats.org/officeDocument/2006/customXml" ds:itemID="{5E498EAC-1947-4F8E-A09D-731811547E10}">
  <ds:schemaRefs>
    <ds:schemaRef ds:uri="http://schemas.microsoft.com/sharepoint/events"/>
  </ds:schemaRefs>
</ds:datastoreItem>
</file>

<file path=customXml/itemProps4.xml><?xml version="1.0" encoding="utf-8"?>
<ds:datastoreItem xmlns:ds="http://schemas.openxmlformats.org/officeDocument/2006/customXml" ds:itemID="{11A6433A-0923-47A6-8BDC-500016852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bb23a-92d8-4913-98ca-e9462d3a2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4CE5B0-CC86-4B8A-9404-84055DAA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3294</Words>
  <Characters>18779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Word Template - Report Document (Office 2010)</vt:lpstr>
    </vt:vector>
  </TitlesOfParts>
  <Company>Document &amp; Design Solutions</Company>
  <LinksUpToDate>false</LinksUpToDate>
  <CharactersWithSpaces>22029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Report Document (Office 2010)</dc:title>
  <dc:creator>Kim Reeves</dc:creator>
  <cp:keywords>Word Document; Report cover template; Templates</cp:keywords>
  <cp:lastModifiedBy>Helen Potts</cp:lastModifiedBy>
  <cp:revision>2</cp:revision>
  <cp:lastPrinted>2014-01-09T22:05:00Z</cp:lastPrinted>
  <dcterms:created xsi:type="dcterms:W3CDTF">2014-09-11T02:58:00Z</dcterms:created>
  <dcterms:modified xsi:type="dcterms:W3CDTF">2014-09-11T02:58:00Z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0x01010020F905A7C59B3141992DE5F9246EC82A00ECAE95083A2EAB4BAE8F48C1C5CE7E26</vt:lpwstr>
  </property>
  <property fmtid="{D5CDD505-2E9C-101B-9397-08002B2CF9AE}" pid="3" name="TaxKeyword">
    <vt:lpwstr>441;#Word Document|81572ac7-0a98-4236-b91e-291fb7f30486;#148;#Templates|05b52539-f731-4441-bc26-12c7cfc53227;#442;#Report cover template|76185162-2d4c-4fea-99a9-80dfa4e08bd8</vt:lpwstr>
  </property>
  <property fmtid="{D5CDD505-2E9C-101B-9397-08002B2CF9AE}" pid="4" name="Document Category0">
    <vt:lpwstr>778;#Communications|66bdb8c5-173b-44a1-8244-256d572ec9c4</vt:lpwstr>
  </property>
  <property fmtid="{D5CDD505-2E9C-101B-9397-08002B2CF9AE}" pid="5" name="Primary Category">
    <vt:lpwstr>83;#Templates|05b52539-f731-4441-bc26-12c7cfc53227</vt:lpwstr>
  </property>
  <property fmtid="{D5CDD505-2E9C-101B-9397-08002B2CF9AE}" pid="6" name="Unit">
    <vt:lpwstr>2;#City Engagement|59edcdc6-c587-4a77-aa69-86d12be3739e</vt:lpwstr>
  </property>
</Properties>
</file>