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AA1" w:rsidRPr="000A40FB" w:rsidRDefault="00F35E91" w:rsidP="00F35E91">
      <w:pPr>
        <w:pStyle w:val="Title"/>
      </w:pPr>
      <w:r>
        <w:tab/>
      </w:r>
      <w:r w:rsidR="00661270" w:rsidRPr="000A40FB">
        <w:t>[</w:t>
      </w:r>
      <w:r w:rsidR="00626F5F">
        <w:t>2015</w:t>
      </w:r>
      <w:r w:rsidR="00661270" w:rsidRPr="000A40FB">
        <w:t xml:space="preserve">] </w:t>
      </w:r>
      <w:r w:rsidR="00531AA1" w:rsidRPr="000A40FB">
        <w:t>AATA</w:t>
      </w:r>
      <w:r w:rsidR="00754E0B">
        <w:t xml:space="preserve"> 416</w:t>
      </w:r>
      <w:r w:rsidR="00531AA1" w:rsidRPr="000A40FB">
        <w:t xml:space="preserve"> </w:t>
      </w:r>
      <w:fldSimple w:instr=" DOCPROPERTY  DecisionNumber ">
        <w:r w:rsidR="00B40915">
          <w:t xml:space="preserve"> </w:t>
        </w:r>
      </w:fldSimple>
    </w:p>
    <w:p w:rsidR="00DD17FC" w:rsidRPr="00531AA1" w:rsidRDefault="00DD17FC" w:rsidP="00DD17FC">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951"/>
        <w:gridCol w:w="6838"/>
      </w:tblGrid>
      <w:tr w:rsidR="00531AA1" w:rsidRPr="00FA73B2" w:rsidTr="00AA34CF">
        <w:trPr>
          <w:trHeight w:val="284"/>
        </w:trPr>
        <w:tc>
          <w:tcPr>
            <w:tcW w:w="1951" w:type="dxa"/>
          </w:tcPr>
          <w:p w:rsidR="00531AA1" w:rsidRPr="004B6924" w:rsidRDefault="00531AA1" w:rsidP="004B6924">
            <w:pPr>
              <w:spacing w:before="0"/>
            </w:pPr>
            <w:bookmarkStart w:id="0" w:name="SingleFile" w:colFirst="0" w:colLast="2"/>
            <w:r w:rsidRPr="004B6924">
              <w:t>Division</w:t>
            </w:r>
          </w:p>
        </w:tc>
        <w:tc>
          <w:tcPr>
            <w:tcW w:w="6838" w:type="dxa"/>
          </w:tcPr>
          <w:p w:rsidR="00531AA1" w:rsidRPr="00BB4097" w:rsidRDefault="00B05942" w:rsidP="00D750F5">
            <w:pPr>
              <w:spacing w:before="0"/>
              <w:rPr>
                <w:b/>
              </w:rPr>
            </w:pPr>
            <w:r>
              <w:rPr>
                <w:b/>
              </w:rPr>
              <w:fldChar w:fldCharType="begin"/>
            </w:r>
            <w:r>
              <w:rPr>
                <w:b/>
              </w:rPr>
              <w:instrText xml:space="preserve"> DOCPROPERTY  Division </w:instrText>
            </w:r>
            <w:r>
              <w:rPr>
                <w:b/>
              </w:rPr>
              <w:fldChar w:fldCharType="separate"/>
            </w:r>
            <w:r w:rsidR="00B40915">
              <w:rPr>
                <w:b/>
              </w:rPr>
              <w:t>GENERAL ADMINISTRATIVE DIVISION</w:t>
            </w:r>
            <w:r>
              <w:rPr>
                <w:b/>
              </w:rPr>
              <w:fldChar w:fldCharType="end"/>
            </w:r>
          </w:p>
        </w:tc>
      </w:tr>
      <w:tr w:rsidR="00531AA1" w:rsidRPr="00FA73B2" w:rsidTr="00AA34CF">
        <w:trPr>
          <w:trHeight w:val="284"/>
        </w:trPr>
        <w:tc>
          <w:tcPr>
            <w:tcW w:w="1951" w:type="dxa"/>
          </w:tcPr>
          <w:p w:rsidR="00531AA1" w:rsidRPr="002260F4" w:rsidRDefault="00531AA1" w:rsidP="007D1803">
            <w:r w:rsidRPr="002260F4">
              <w:t>File Number(s)</w:t>
            </w:r>
          </w:p>
        </w:tc>
        <w:tc>
          <w:tcPr>
            <w:tcW w:w="6838" w:type="dxa"/>
          </w:tcPr>
          <w:p w:rsidR="00531AA1" w:rsidRPr="00A9538E" w:rsidRDefault="00BB4D2F" w:rsidP="00A9538E">
            <w:pPr>
              <w:pStyle w:val="Details"/>
            </w:pPr>
            <w:r w:rsidRPr="00A9538E">
              <w:fldChar w:fldCharType="begin"/>
            </w:r>
            <w:r w:rsidRPr="00A9538E">
              <w:instrText xml:space="preserve"> DOCPROPERTY  File</w:instrText>
            </w:r>
            <w:r w:rsidR="0005765E" w:rsidRPr="00A9538E">
              <w:instrText xml:space="preserve">Number </w:instrText>
            </w:r>
            <w:r w:rsidRPr="00A9538E">
              <w:fldChar w:fldCharType="separate"/>
            </w:r>
            <w:r w:rsidR="00B40915">
              <w:t>2015/2158</w:t>
            </w:r>
            <w:r w:rsidRPr="00A9538E">
              <w:fldChar w:fldCharType="end"/>
            </w:r>
          </w:p>
        </w:tc>
      </w:tr>
      <w:tr w:rsidR="00531AA1" w:rsidRPr="00FA73B2" w:rsidTr="00AA34CF">
        <w:trPr>
          <w:trHeight w:val="284"/>
        </w:trPr>
        <w:tc>
          <w:tcPr>
            <w:tcW w:w="1951" w:type="dxa"/>
          </w:tcPr>
          <w:p w:rsidR="00531AA1" w:rsidRPr="002260F4" w:rsidRDefault="00531AA1" w:rsidP="007D1803">
            <w:r w:rsidRPr="002260F4">
              <w:t>Re</w:t>
            </w:r>
          </w:p>
        </w:tc>
        <w:tc>
          <w:tcPr>
            <w:tcW w:w="6838" w:type="dxa"/>
          </w:tcPr>
          <w:p w:rsidR="00531AA1" w:rsidRPr="006D20BD" w:rsidRDefault="00E56395" w:rsidP="00036C03">
            <w:pPr>
              <w:pStyle w:val="Details"/>
            </w:pPr>
            <w:fldSimple w:instr=" DOCPROPERTY  Applicant ">
              <w:r w:rsidR="00B40915">
                <w:t>People with Disability Australia</w:t>
              </w:r>
            </w:fldSimple>
          </w:p>
        </w:tc>
      </w:tr>
      <w:tr w:rsidR="00531AA1" w:rsidRPr="00FA73B2" w:rsidTr="00AA34CF">
        <w:trPr>
          <w:trHeight w:val="284"/>
        </w:trPr>
        <w:tc>
          <w:tcPr>
            <w:tcW w:w="1951" w:type="dxa"/>
          </w:tcPr>
          <w:p w:rsidR="00531AA1" w:rsidRPr="00173896" w:rsidRDefault="00531AA1" w:rsidP="007D1803"/>
        </w:tc>
        <w:tc>
          <w:tcPr>
            <w:tcW w:w="6838" w:type="dxa"/>
          </w:tcPr>
          <w:p w:rsidR="00531AA1" w:rsidRPr="0099661B" w:rsidRDefault="00531AA1" w:rsidP="00024EF9">
            <w:pPr>
              <w:pStyle w:val="Label"/>
            </w:pPr>
            <w:r w:rsidRPr="0099661B">
              <w:t>APPLICANT</w:t>
            </w:r>
          </w:p>
        </w:tc>
      </w:tr>
      <w:tr w:rsidR="00531AA1" w:rsidRPr="00FA73B2" w:rsidTr="00AA34CF">
        <w:trPr>
          <w:trHeight w:val="284"/>
        </w:trPr>
        <w:tc>
          <w:tcPr>
            <w:tcW w:w="1951" w:type="dxa"/>
          </w:tcPr>
          <w:p w:rsidR="00531AA1" w:rsidRPr="00110C0F" w:rsidRDefault="00531AA1" w:rsidP="007D1803">
            <w:pPr>
              <w:rPr>
                <w:bCs/>
              </w:rPr>
            </w:pPr>
            <w:r w:rsidRPr="00110C0F">
              <w:rPr>
                <w:bCs/>
              </w:rPr>
              <w:t>And</w:t>
            </w:r>
          </w:p>
        </w:tc>
        <w:tc>
          <w:tcPr>
            <w:tcW w:w="6838" w:type="dxa"/>
          </w:tcPr>
          <w:p w:rsidR="00531AA1" w:rsidRPr="006D20BD" w:rsidRDefault="00E56395" w:rsidP="00036C03">
            <w:pPr>
              <w:pStyle w:val="Details"/>
            </w:pPr>
            <w:fldSimple w:instr=" DOCPROPERTY  Respondent ">
              <w:r w:rsidR="00B40915">
                <w:t>Australian Human Rights Commission</w:t>
              </w:r>
            </w:fldSimple>
          </w:p>
        </w:tc>
      </w:tr>
      <w:tr w:rsidR="00531AA1" w:rsidRPr="00FA73B2" w:rsidTr="00AA34CF">
        <w:trPr>
          <w:trHeight w:val="284"/>
        </w:trPr>
        <w:tc>
          <w:tcPr>
            <w:tcW w:w="1951" w:type="dxa"/>
          </w:tcPr>
          <w:p w:rsidR="00531AA1" w:rsidRPr="00173896" w:rsidRDefault="00531AA1" w:rsidP="007D1803"/>
        </w:tc>
        <w:tc>
          <w:tcPr>
            <w:tcW w:w="6838" w:type="dxa"/>
          </w:tcPr>
          <w:p w:rsidR="00531AA1" w:rsidRPr="00771CAC" w:rsidRDefault="00531AA1" w:rsidP="00771CAC">
            <w:pPr>
              <w:pStyle w:val="Label"/>
            </w:pPr>
            <w:r w:rsidRPr="0099661B">
              <w:t>RESPONDENT</w:t>
            </w:r>
          </w:p>
        </w:tc>
      </w:tr>
      <w:tr w:rsidR="00B144A6" w:rsidRPr="00FA73B2" w:rsidTr="00E53225">
        <w:trPr>
          <w:trHeight w:val="284"/>
        </w:trPr>
        <w:tc>
          <w:tcPr>
            <w:tcW w:w="1951" w:type="dxa"/>
          </w:tcPr>
          <w:p w:rsidR="00B144A6" w:rsidRPr="00110C0F" w:rsidRDefault="00B144A6" w:rsidP="00E53225">
            <w:pPr>
              <w:rPr>
                <w:bCs/>
              </w:rPr>
            </w:pPr>
            <w:bookmarkStart w:id="1" w:name="JoinedParty"/>
            <w:bookmarkEnd w:id="0"/>
            <w:r w:rsidRPr="00110C0F">
              <w:rPr>
                <w:bCs/>
              </w:rPr>
              <w:t>And</w:t>
            </w:r>
          </w:p>
        </w:tc>
        <w:tc>
          <w:tcPr>
            <w:tcW w:w="6838" w:type="dxa"/>
          </w:tcPr>
          <w:p w:rsidR="00B40915" w:rsidRDefault="00B144A6" w:rsidP="00036C03">
            <w:pPr>
              <w:pStyle w:val="Details"/>
            </w:pPr>
            <w:r>
              <w:fldChar w:fldCharType="begin"/>
            </w:r>
            <w:r>
              <w:instrText xml:space="preserve"> DOCPROPERTY  JoinedParty</w:instrText>
            </w:r>
            <w:r w:rsidRPr="006D20BD">
              <w:instrText xml:space="preserve"> </w:instrText>
            </w:r>
            <w:r>
              <w:fldChar w:fldCharType="separate"/>
            </w:r>
            <w:r w:rsidR="00B40915">
              <w:t>AED Legal Centre</w:t>
            </w:r>
          </w:p>
          <w:p w:rsidR="00B40915" w:rsidRDefault="00B40915" w:rsidP="00036C03">
            <w:pPr>
              <w:pStyle w:val="Details"/>
            </w:pPr>
            <w:r>
              <w:t>National Disability Services</w:t>
            </w:r>
          </w:p>
          <w:p w:rsidR="00B144A6" w:rsidRPr="006D20BD" w:rsidRDefault="00B40915" w:rsidP="00036C03">
            <w:pPr>
              <w:pStyle w:val="Details"/>
            </w:pPr>
            <w:r>
              <w:t>Secretary, Department of Social Services</w:t>
            </w:r>
            <w:r w:rsidR="00B144A6">
              <w:fldChar w:fldCharType="end"/>
            </w:r>
          </w:p>
        </w:tc>
      </w:tr>
      <w:tr w:rsidR="00B144A6" w:rsidRPr="00FA73B2" w:rsidTr="00E53225">
        <w:trPr>
          <w:trHeight w:val="284"/>
        </w:trPr>
        <w:tc>
          <w:tcPr>
            <w:tcW w:w="1951" w:type="dxa"/>
          </w:tcPr>
          <w:p w:rsidR="00B144A6" w:rsidRPr="00173896" w:rsidRDefault="00B144A6" w:rsidP="00E53225"/>
        </w:tc>
        <w:tc>
          <w:tcPr>
            <w:tcW w:w="6838" w:type="dxa"/>
          </w:tcPr>
          <w:p w:rsidR="00B144A6" w:rsidRPr="00771CAC" w:rsidRDefault="00B144A6" w:rsidP="00656A4D">
            <w:pPr>
              <w:pStyle w:val="Label"/>
            </w:pPr>
            <w:r>
              <w:t xml:space="preserve">JOINED </w:t>
            </w:r>
            <w:r w:rsidR="00656A4D">
              <w:t>PARTIES</w:t>
            </w:r>
          </w:p>
        </w:tc>
      </w:tr>
    </w:tbl>
    <w:bookmarkEnd w:id="1"/>
    <w:p w:rsidR="00B336D0" w:rsidRPr="00B336D0" w:rsidRDefault="00626F5F" w:rsidP="00B336D0">
      <w:pPr>
        <w:pStyle w:val="Heading1"/>
        <w:rPr>
          <w:lang w:eastAsia="en-US"/>
        </w:rPr>
      </w:pPr>
      <w:r>
        <w:rPr>
          <w:lang w:eastAsia="en-US"/>
        </w:rPr>
        <w:t xml:space="preserve">INTERLOCUTORY </w:t>
      </w:r>
      <w:r w:rsidR="00BC2D09" w:rsidRPr="00BC2D09">
        <w:rPr>
          <w:lang w:eastAsia="en-US"/>
        </w:rPr>
        <w:t>Decision</w:t>
      </w:r>
    </w:p>
    <w:p w:rsidR="00D750F5" w:rsidRPr="00D750F5" w:rsidRDefault="00D750F5" w:rsidP="00D750F5">
      <w:pPr>
        <w:pStyle w:val="NoSpacing"/>
        <w:rPr>
          <w:lang w:eastAsia="en-US"/>
        </w:rPr>
      </w:pPr>
    </w:p>
    <w:tbl>
      <w:tblPr>
        <w:tblW w:w="0" w:type="auto"/>
        <w:tblLayout w:type="fixed"/>
        <w:tblLook w:val="00A0" w:firstRow="1" w:lastRow="0" w:firstColumn="1" w:lastColumn="0" w:noHBand="0" w:noVBand="0"/>
      </w:tblPr>
      <w:tblGrid>
        <w:gridCol w:w="1956"/>
        <w:gridCol w:w="6833"/>
      </w:tblGrid>
      <w:tr w:rsidR="00B40915" w:rsidRPr="00BC2D09" w:rsidTr="00E92DDB">
        <w:trPr>
          <w:trHeight w:val="567"/>
        </w:trPr>
        <w:tc>
          <w:tcPr>
            <w:tcW w:w="1956" w:type="dxa"/>
          </w:tcPr>
          <w:p w:rsidR="00B40915" w:rsidRPr="00BC2D09" w:rsidRDefault="00B40915" w:rsidP="00A96474">
            <w:pPr>
              <w:pStyle w:val="NoSpacing"/>
              <w:rPr>
                <w:lang w:eastAsia="en-US"/>
              </w:rPr>
            </w:pPr>
            <w:bookmarkStart w:id="2" w:name="Decision"/>
            <w:bookmarkStart w:id="3" w:name="DecisionSummary"/>
            <w:r w:rsidRPr="00BC2D09">
              <w:rPr>
                <w:lang w:eastAsia="en-US"/>
              </w:rPr>
              <w:t>Tribunal</w:t>
            </w:r>
          </w:p>
        </w:tc>
        <w:tc>
          <w:tcPr>
            <w:tcW w:w="6833" w:type="dxa"/>
          </w:tcPr>
          <w:p w:rsidR="00B40915" w:rsidRDefault="00B40915" w:rsidP="00A96474">
            <w:pPr>
              <w:pStyle w:val="NoSpacing"/>
              <w:rPr>
                <w:b/>
                <w:bCs/>
                <w:lang w:eastAsia="en-US"/>
              </w:rPr>
            </w:pPr>
            <w:r>
              <w:rPr>
                <w:b/>
                <w:bCs/>
                <w:lang w:eastAsia="en-US"/>
              </w:rPr>
              <w:fldChar w:fldCharType="begin"/>
            </w:r>
            <w:r>
              <w:rPr>
                <w:b/>
                <w:bCs/>
                <w:lang w:eastAsia="en-US"/>
              </w:rPr>
              <w:instrText xml:space="preserve"> DOCPROPERTY  TribunalSignee </w:instrText>
            </w:r>
            <w:r>
              <w:rPr>
                <w:b/>
                <w:bCs/>
                <w:lang w:eastAsia="en-US"/>
              </w:rPr>
              <w:fldChar w:fldCharType="separate"/>
            </w:r>
            <w:r>
              <w:rPr>
                <w:b/>
                <w:bCs/>
                <w:lang w:eastAsia="en-US"/>
              </w:rPr>
              <w:t>Deputy President J W Constance</w:t>
            </w:r>
            <w:r>
              <w:rPr>
                <w:b/>
                <w:bCs/>
                <w:lang w:eastAsia="en-US"/>
              </w:rPr>
              <w:fldChar w:fldCharType="end"/>
            </w:r>
          </w:p>
          <w:p w:rsidR="00B40915" w:rsidRDefault="00B40915" w:rsidP="00A96474">
            <w:pPr>
              <w:pStyle w:val="NoSpacing"/>
              <w:rPr>
                <w:b/>
                <w:bCs/>
                <w:lang w:eastAsia="en-US"/>
              </w:rPr>
            </w:pPr>
            <w:r>
              <w:rPr>
                <w:b/>
                <w:bCs/>
                <w:lang w:eastAsia="en-US"/>
              </w:rPr>
              <w:fldChar w:fldCharType="begin"/>
            </w:r>
            <w:r>
              <w:rPr>
                <w:b/>
                <w:bCs/>
                <w:lang w:eastAsia="en-US"/>
              </w:rPr>
              <w:instrText xml:space="preserve"> DOCPROPERTY  TribunalText </w:instrText>
            </w:r>
            <w:r>
              <w:rPr>
                <w:b/>
                <w:bCs/>
                <w:lang w:eastAsia="en-US"/>
              </w:rPr>
              <w:fldChar w:fldCharType="end"/>
            </w:r>
          </w:p>
          <w:p w:rsidR="00B40915" w:rsidRPr="00771CAC" w:rsidRDefault="00B40915" w:rsidP="00A96474">
            <w:pPr>
              <w:pStyle w:val="NoSpacing"/>
              <w:rPr>
                <w:b/>
                <w:bCs/>
                <w:lang w:eastAsia="en-US"/>
              </w:rPr>
            </w:pPr>
          </w:p>
        </w:tc>
      </w:tr>
      <w:tr w:rsidR="00B40915" w:rsidRPr="00BC2D09" w:rsidTr="00E92DDB">
        <w:trPr>
          <w:trHeight w:val="567"/>
        </w:trPr>
        <w:tc>
          <w:tcPr>
            <w:tcW w:w="1956" w:type="dxa"/>
          </w:tcPr>
          <w:p w:rsidR="00B40915" w:rsidRPr="00BC2D09" w:rsidRDefault="00B40915" w:rsidP="00A96474">
            <w:pPr>
              <w:pStyle w:val="NoSpacing"/>
              <w:rPr>
                <w:lang w:eastAsia="en-US"/>
              </w:rPr>
            </w:pPr>
            <w:r w:rsidRPr="00BC2D09">
              <w:rPr>
                <w:lang w:eastAsia="en-US"/>
              </w:rPr>
              <w:t>Date</w:t>
            </w:r>
          </w:p>
        </w:tc>
        <w:tc>
          <w:tcPr>
            <w:tcW w:w="6833" w:type="dxa"/>
          </w:tcPr>
          <w:p w:rsidR="00B40915" w:rsidRPr="00771CAC" w:rsidRDefault="00B40915" w:rsidP="00A96474">
            <w:pPr>
              <w:pStyle w:val="NoSpacing"/>
              <w:rPr>
                <w:b/>
                <w:bCs/>
                <w:lang w:eastAsia="en-US"/>
              </w:rPr>
            </w:pPr>
            <w:r>
              <w:rPr>
                <w:b/>
                <w:bCs/>
                <w:lang w:eastAsia="en-US"/>
              </w:rPr>
              <w:fldChar w:fldCharType="begin"/>
            </w:r>
            <w:r>
              <w:rPr>
                <w:b/>
                <w:bCs/>
                <w:lang w:eastAsia="en-US"/>
              </w:rPr>
              <w:instrText xml:space="preserve"> DOCPROPERTY  DecisionDate </w:instrText>
            </w:r>
            <w:r>
              <w:rPr>
                <w:b/>
                <w:bCs/>
                <w:lang w:eastAsia="en-US"/>
              </w:rPr>
              <w:fldChar w:fldCharType="separate"/>
            </w:r>
            <w:r>
              <w:rPr>
                <w:b/>
                <w:bCs/>
                <w:lang w:eastAsia="en-US"/>
              </w:rPr>
              <w:t>5 June 2015</w:t>
            </w:r>
            <w:r>
              <w:rPr>
                <w:b/>
                <w:bCs/>
                <w:lang w:eastAsia="en-US"/>
              </w:rPr>
              <w:fldChar w:fldCharType="end"/>
            </w:r>
          </w:p>
        </w:tc>
      </w:tr>
      <w:tr w:rsidR="00B40915" w:rsidRPr="00BC2D09" w:rsidTr="00E92DDB">
        <w:trPr>
          <w:trHeight w:val="567"/>
        </w:trPr>
        <w:tc>
          <w:tcPr>
            <w:tcW w:w="1956" w:type="dxa"/>
          </w:tcPr>
          <w:p w:rsidR="00B40915" w:rsidRPr="00BC2D09" w:rsidRDefault="00B40915" w:rsidP="00A96474">
            <w:pPr>
              <w:pStyle w:val="NoSpacing"/>
              <w:rPr>
                <w:lang w:eastAsia="en-US"/>
              </w:rPr>
            </w:pPr>
            <w:r w:rsidRPr="00BC2D09">
              <w:rPr>
                <w:lang w:eastAsia="en-US"/>
              </w:rPr>
              <w:t>Place</w:t>
            </w:r>
          </w:p>
        </w:tc>
        <w:tc>
          <w:tcPr>
            <w:tcW w:w="6833" w:type="dxa"/>
          </w:tcPr>
          <w:p w:rsidR="00B40915" w:rsidRPr="00771CAC" w:rsidRDefault="00B40915" w:rsidP="00A96474">
            <w:pPr>
              <w:pStyle w:val="NoSpacing"/>
              <w:rPr>
                <w:b/>
                <w:bCs/>
                <w:lang w:eastAsia="en-US"/>
              </w:rPr>
            </w:pPr>
            <w:r>
              <w:rPr>
                <w:b/>
                <w:bCs/>
                <w:lang w:eastAsia="en-US"/>
              </w:rPr>
              <w:fldChar w:fldCharType="begin"/>
            </w:r>
            <w:r>
              <w:rPr>
                <w:b/>
                <w:bCs/>
                <w:lang w:eastAsia="en-US"/>
              </w:rPr>
              <w:instrText xml:space="preserve"> DOCPROPERTY  Place </w:instrText>
            </w:r>
            <w:r>
              <w:rPr>
                <w:b/>
                <w:bCs/>
                <w:lang w:eastAsia="en-US"/>
              </w:rPr>
              <w:fldChar w:fldCharType="separate"/>
            </w:r>
            <w:r>
              <w:rPr>
                <w:b/>
                <w:bCs/>
                <w:lang w:eastAsia="en-US"/>
              </w:rPr>
              <w:t>Sydney</w:t>
            </w:r>
            <w:r>
              <w:rPr>
                <w:b/>
                <w:bCs/>
                <w:lang w:eastAsia="en-US"/>
              </w:rPr>
              <w:fldChar w:fldCharType="end"/>
            </w:r>
          </w:p>
        </w:tc>
      </w:tr>
    </w:tbl>
    <w:bookmarkEnd w:id="2"/>
    <w:p w:rsidR="00BC2D09" w:rsidRPr="00BC2D09" w:rsidRDefault="00B336D0" w:rsidP="00BC2D09">
      <w:pPr>
        <w:rPr>
          <w:lang w:eastAsia="en-US"/>
        </w:rPr>
      </w:pPr>
      <w:r>
        <w:rPr>
          <w:lang w:eastAsia="en-US"/>
        </w:rPr>
        <w:t>The application for an order staying the</w:t>
      </w:r>
      <w:r w:rsidR="00BC270E">
        <w:rPr>
          <w:lang w:eastAsia="en-US"/>
        </w:rPr>
        <w:t xml:space="preserve"> operation of the</w:t>
      </w:r>
      <w:r>
        <w:rPr>
          <w:lang w:eastAsia="en-US"/>
        </w:rPr>
        <w:t xml:space="preserve"> decision of the Australian Human Rights Commission is refused.</w:t>
      </w:r>
    </w:p>
    <w:bookmarkEnd w:id="3"/>
    <w:p w:rsidR="00BC2D09" w:rsidRPr="00BC2D09" w:rsidRDefault="00BC2D09" w:rsidP="001E4799">
      <w:pPr>
        <w:keepNext/>
        <w:spacing w:before="960"/>
        <w:rPr>
          <w:lang w:eastAsia="en-US"/>
        </w:rPr>
      </w:pPr>
      <w:r w:rsidRPr="00BC2D09">
        <w:rPr>
          <w:lang w:eastAsia="en-US"/>
        </w:rPr>
        <w:t>..............................</w:t>
      </w:r>
      <w:r w:rsidR="00F92966">
        <w:rPr>
          <w:b/>
          <w:lang w:eastAsia="en-US"/>
        </w:rPr>
        <w:t>[sgd]</w:t>
      </w:r>
      <w:r w:rsidRPr="00BC2D09">
        <w:rPr>
          <w:lang w:eastAsia="en-US"/>
        </w:rPr>
        <w:t>..........................................</w:t>
      </w:r>
    </w:p>
    <w:p w:rsidR="00BC2D09" w:rsidRPr="00B40915" w:rsidRDefault="00DC0CB0" w:rsidP="00B40915">
      <w:pPr>
        <w:spacing w:before="0"/>
        <w:rPr>
          <w:b/>
          <w:lang w:eastAsia="en-US"/>
        </w:rPr>
      </w:pPr>
      <w:r>
        <w:rPr>
          <w:b/>
          <w:lang w:eastAsia="en-US"/>
        </w:rPr>
        <w:fldChar w:fldCharType="begin"/>
      </w:r>
      <w:r>
        <w:rPr>
          <w:b/>
          <w:lang w:eastAsia="en-US"/>
        </w:rPr>
        <w:instrText xml:space="preserve"> DOCPROPERTY  TribunalSignee </w:instrText>
      </w:r>
      <w:r>
        <w:rPr>
          <w:b/>
          <w:lang w:eastAsia="en-US"/>
        </w:rPr>
        <w:fldChar w:fldCharType="separate"/>
      </w:r>
      <w:r w:rsidR="00B40915">
        <w:rPr>
          <w:b/>
          <w:lang w:eastAsia="en-US"/>
        </w:rPr>
        <w:t>Deputy President J W Constance</w:t>
      </w:r>
      <w:r>
        <w:rPr>
          <w:b/>
          <w:lang w:eastAsia="en-US"/>
        </w:rPr>
        <w:fldChar w:fldCharType="end"/>
      </w:r>
    </w:p>
    <w:p w:rsidR="00554CA0" w:rsidRPr="00554CA0" w:rsidRDefault="00FF511E" w:rsidP="004A55A2">
      <w:pPr>
        <w:pStyle w:val="CatchWords"/>
        <w:rPr>
          <w:u w:val="single"/>
          <w:lang w:eastAsia="en-US"/>
        </w:rPr>
      </w:pPr>
      <w:bookmarkStart w:id="4" w:name="CatchwordsTitle"/>
      <w:bookmarkEnd w:id="4"/>
      <w:r w:rsidRPr="00554CA0">
        <w:rPr>
          <w:u w:val="single"/>
          <w:lang w:eastAsia="en-US"/>
        </w:rPr>
        <w:lastRenderedPageBreak/>
        <w:t>Catchwords</w:t>
      </w:r>
    </w:p>
    <w:p w:rsidR="004152C5" w:rsidRDefault="00554CA0" w:rsidP="004A55A2">
      <w:pPr>
        <w:pStyle w:val="CatchWords"/>
        <w:rPr>
          <w:lang w:eastAsia="en-US"/>
        </w:rPr>
      </w:pPr>
      <w:r>
        <w:rPr>
          <w:lang w:eastAsia="en-US"/>
        </w:rPr>
        <w:t>PRACTICE AND PROCEDURE – application for stay of a decision – factors relevant to stay order – question of status quo – stay likely</w:t>
      </w:r>
      <w:r w:rsidR="00276CFC">
        <w:rPr>
          <w:lang w:eastAsia="en-US"/>
        </w:rPr>
        <w:t xml:space="preserve"> to</w:t>
      </w:r>
      <w:r>
        <w:rPr>
          <w:lang w:eastAsia="en-US"/>
        </w:rPr>
        <w:t xml:space="preserve"> cause uncertainty – application for stay order refused</w:t>
      </w:r>
    </w:p>
    <w:p w:rsidR="00CF5E0E" w:rsidRPr="00BC2D09" w:rsidRDefault="00CF5E0E" w:rsidP="00CF5E0E">
      <w:pPr>
        <w:pStyle w:val="NoSpacing"/>
        <w:rPr>
          <w:lang w:eastAsia="en-US"/>
        </w:rPr>
      </w:pPr>
    </w:p>
    <w:p w:rsidR="00554CA0" w:rsidRPr="00554CA0" w:rsidRDefault="00FF511E" w:rsidP="00E616B9">
      <w:pPr>
        <w:pStyle w:val="CatchWords"/>
        <w:rPr>
          <w:u w:val="single"/>
          <w:lang w:eastAsia="en-US"/>
        </w:rPr>
      </w:pPr>
      <w:bookmarkStart w:id="5" w:name="LegislationTitle"/>
      <w:bookmarkEnd w:id="5"/>
      <w:r w:rsidRPr="00554CA0">
        <w:rPr>
          <w:u w:val="single"/>
          <w:lang w:eastAsia="en-US"/>
        </w:rPr>
        <w:t>Legislation</w:t>
      </w:r>
    </w:p>
    <w:p w:rsidR="00554CA0" w:rsidRDefault="00554CA0" w:rsidP="00E616B9">
      <w:pPr>
        <w:pStyle w:val="CatchWords"/>
        <w:rPr>
          <w:i w:val="0"/>
          <w:lang w:eastAsia="en-US"/>
        </w:rPr>
      </w:pPr>
      <w:r>
        <w:rPr>
          <w:lang w:eastAsia="en-US"/>
        </w:rPr>
        <w:t xml:space="preserve">Administrative Appeals Tribunal Act 1975 </w:t>
      </w:r>
      <w:r>
        <w:rPr>
          <w:i w:val="0"/>
          <w:lang w:eastAsia="en-US"/>
        </w:rPr>
        <w:t>(Cth) s 42A(1)</w:t>
      </w:r>
    </w:p>
    <w:p w:rsidR="004152C5" w:rsidRDefault="00554CA0" w:rsidP="00E616B9">
      <w:pPr>
        <w:pStyle w:val="CatchWords"/>
        <w:rPr>
          <w:lang w:eastAsia="en-US"/>
        </w:rPr>
      </w:pPr>
      <w:r>
        <w:rPr>
          <w:lang w:eastAsia="en-US"/>
        </w:rPr>
        <w:t xml:space="preserve">Disability Discrimination Act 1992 </w:t>
      </w:r>
      <w:r>
        <w:rPr>
          <w:i w:val="0"/>
          <w:lang w:eastAsia="en-US"/>
        </w:rPr>
        <w:t>(Cth)</w:t>
      </w:r>
      <w:r w:rsidR="007A17FD">
        <w:rPr>
          <w:i w:val="0"/>
          <w:lang w:eastAsia="en-US"/>
        </w:rPr>
        <w:t xml:space="preserve"> ss 3, 15, 24, 29</w:t>
      </w:r>
    </w:p>
    <w:p w:rsidR="00E616B9" w:rsidRPr="00BC2D09" w:rsidRDefault="00E616B9" w:rsidP="00E7349B">
      <w:pPr>
        <w:pStyle w:val="NoSpacing"/>
        <w:rPr>
          <w:lang w:eastAsia="en-US"/>
        </w:rPr>
      </w:pPr>
    </w:p>
    <w:p w:rsidR="004152C5" w:rsidRDefault="00FF511E" w:rsidP="005F2E99">
      <w:pPr>
        <w:pStyle w:val="CatchWords"/>
        <w:rPr>
          <w:lang w:eastAsia="en-US"/>
        </w:rPr>
      </w:pPr>
      <w:bookmarkStart w:id="6" w:name="CasesTitle"/>
      <w:bookmarkEnd w:id="6"/>
      <w:r w:rsidRPr="00554CA0">
        <w:rPr>
          <w:u w:val="single"/>
          <w:lang w:eastAsia="en-US"/>
        </w:rPr>
        <w:t>Cases</w:t>
      </w:r>
    </w:p>
    <w:p w:rsidR="005F2E99" w:rsidRDefault="00373709" w:rsidP="00373709">
      <w:pPr>
        <w:pStyle w:val="CatchWords"/>
      </w:pPr>
      <w:bookmarkStart w:id="7" w:name="SecondaryMaterialsTitle"/>
      <w:bookmarkEnd w:id="7"/>
      <w:r w:rsidRPr="00FC6FD8">
        <w:t>Australian Securities and Investments Commission and PTLZ</w:t>
      </w:r>
      <w:r w:rsidRPr="00FF4A57">
        <w:t xml:space="preserve"> </w:t>
      </w:r>
      <w:r>
        <w:t>(</w:t>
      </w:r>
      <w:r w:rsidRPr="00FF4A57">
        <w:t>2008</w:t>
      </w:r>
      <w:r>
        <w:t>)</w:t>
      </w:r>
      <w:r w:rsidRPr="00FF4A57">
        <w:t xml:space="preserve"> 48 AAR 559</w:t>
      </w:r>
      <w:r>
        <w:t>.</w:t>
      </w:r>
    </w:p>
    <w:p w:rsidR="00373709" w:rsidRDefault="00373709" w:rsidP="00373709">
      <w:pPr>
        <w:pStyle w:val="CatchWords"/>
      </w:pPr>
    </w:p>
    <w:p w:rsidR="009E2C76" w:rsidRDefault="009E2C76" w:rsidP="00CA099E">
      <w:pPr>
        <w:pStyle w:val="Heading1"/>
        <w:rPr>
          <w:lang w:eastAsia="en-US"/>
        </w:rPr>
      </w:pPr>
      <w:r w:rsidRPr="009E2C76">
        <w:rPr>
          <w:lang w:eastAsia="en-US"/>
        </w:rPr>
        <w:t xml:space="preserve">REASONS FOR </w:t>
      </w:r>
      <w:r w:rsidR="00626F5F">
        <w:rPr>
          <w:lang w:eastAsia="en-US"/>
        </w:rPr>
        <w:t xml:space="preserve">ORAL </w:t>
      </w:r>
      <w:r w:rsidRPr="009E2C76">
        <w:rPr>
          <w:lang w:eastAsia="en-US"/>
        </w:rPr>
        <w:t>DECISION</w:t>
      </w:r>
    </w:p>
    <w:p w:rsidR="00CA099E" w:rsidRDefault="00CA099E" w:rsidP="00D750F5">
      <w:pPr>
        <w:pStyle w:val="NoSpacing"/>
        <w:rPr>
          <w:lang w:eastAsia="en-US"/>
        </w:rPr>
      </w:pPr>
    </w:p>
    <w:p w:rsidR="00D50614" w:rsidRDefault="00D50614" w:rsidP="00D750F5">
      <w:pPr>
        <w:pStyle w:val="NoSpacing"/>
        <w:rPr>
          <w:b/>
          <w:lang w:eastAsia="en-US"/>
        </w:rPr>
      </w:pPr>
      <w:r>
        <w:rPr>
          <w:b/>
          <w:lang w:eastAsia="en-US"/>
        </w:rPr>
        <w:fldChar w:fldCharType="begin"/>
      </w:r>
      <w:r>
        <w:rPr>
          <w:b/>
          <w:lang w:eastAsia="en-US"/>
        </w:rPr>
        <w:instrText xml:space="preserve"> DOCPROPERTY  TribunalSignee </w:instrText>
      </w:r>
      <w:r>
        <w:rPr>
          <w:b/>
          <w:lang w:eastAsia="en-US"/>
        </w:rPr>
        <w:fldChar w:fldCharType="separate"/>
      </w:r>
      <w:r w:rsidR="00B40915">
        <w:rPr>
          <w:b/>
          <w:lang w:eastAsia="en-US"/>
        </w:rPr>
        <w:t>Deputy President J W Constance</w:t>
      </w:r>
      <w:r>
        <w:rPr>
          <w:b/>
          <w:lang w:eastAsia="en-US"/>
        </w:rPr>
        <w:fldChar w:fldCharType="end"/>
      </w:r>
    </w:p>
    <w:p w:rsidR="00626F5F" w:rsidRDefault="00626F5F" w:rsidP="00D750F5">
      <w:pPr>
        <w:pStyle w:val="NoSpacing"/>
        <w:rPr>
          <w:b/>
          <w:lang w:eastAsia="en-US"/>
        </w:rPr>
      </w:pPr>
    </w:p>
    <w:p w:rsidR="00626F5F" w:rsidRDefault="00626F5F" w:rsidP="00D750F5">
      <w:pPr>
        <w:pStyle w:val="NoSpacing"/>
        <w:rPr>
          <w:b/>
          <w:lang w:eastAsia="en-US"/>
        </w:rPr>
      </w:pPr>
    </w:p>
    <w:p w:rsidR="00554CA0" w:rsidRDefault="00554CA0" w:rsidP="00DE3045">
      <w:pPr>
        <w:pStyle w:val="ListNumber"/>
        <w:numPr>
          <w:ilvl w:val="0"/>
          <w:numId w:val="9"/>
        </w:numPr>
        <w:ind w:left="0"/>
      </w:pPr>
      <w:r>
        <w:t>On 5 June 2015</w:t>
      </w:r>
      <w:r w:rsidR="0001671B">
        <w:t>,</w:t>
      </w:r>
      <w:r>
        <w:t xml:space="preserve"> I delivered a</w:t>
      </w:r>
      <w:r w:rsidR="0001671B">
        <w:t>n oral</w:t>
      </w:r>
      <w:r>
        <w:t xml:space="preserve"> decision refusing an application filed by People with Disability Australia </w:t>
      </w:r>
      <w:r w:rsidR="0001671B">
        <w:t>for</w:t>
      </w:r>
      <w:r>
        <w:t xml:space="preserve"> an order staying</w:t>
      </w:r>
      <w:r w:rsidR="00807A4F">
        <w:t xml:space="preserve"> the operation of</w:t>
      </w:r>
      <w:r>
        <w:t xml:space="preserve"> a decision of the Australian Human Rights Commission. </w:t>
      </w:r>
    </w:p>
    <w:p w:rsidR="00554CA0" w:rsidRDefault="00554CA0" w:rsidP="00DE3045">
      <w:pPr>
        <w:pStyle w:val="ListNumber"/>
        <w:numPr>
          <w:ilvl w:val="0"/>
          <w:numId w:val="9"/>
        </w:numPr>
        <w:ind w:left="0"/>
      </w:pPr>
      <w:r>
        <w:t xml:space="preserve">What follows is an edited excerpt of the transcript of the proceedings containing my </w:t>
      </w:r>
      <w:r w:rsidR="00B40915">
        <w:t xml:space="preserve">oral </w:t>
      </w:r>
      <w:r>
        <w:t xml:space="preserve">reasons for the refusal of the application </w:t>
      </w:r>
    </w:p>
    <w:p w:rsidR="00554CA0" w:rsidRDefault="00554CA0" w:rsidP="00D750F5">
      <w:pPr>
        <w:pStyle w:val="NoSpacing"/>
        <w:rPr>
          <w:b/>
          <w:lang w:eastAsia="en-US"/>
        </w:rPr>
      </w:pPr>
      <w:bookmarkStart w:id="8" w:name="_GoBack"/>
      <w:bookmarkEnd w:id="8"/>
    </w:p>
    <w:p w:rsidR="00A74195" w:rsidRDefault="00554CA0" w:rsidP="00554CA0">
      <w:pPr>
        <w:pStyle w:val="Heading1"/>
        <w:rPr>
          <w:lang w:eastAsia="en-US"/>
        </w:rPr>
      </w:pPr>
      <w:r>
        <w:rPr>
          <w:lang w:eastAsia="en-US"/>
        </w:rPr>
        <w:t>introduction</w:t>
      </w:r>
    </w:p>
    <w:p w:rsidR="00626F5F" w:rsidRDefault="00626F5F" w:rsidP="00DE3045">
      <w:pPr>
        <w:pStyle w:val="ListNumber"/>
        <w:numPr>
          <w:ilvl w:val="0"/>
          <w:numId w:val="9"/>
        </w:numPr>
        <w:ind w:left="0"/>
      </w:pPr>
      <w:bookmarkStart w:id="9" w:name="Start"/>
      <w:bookmarkEnd w:id="9"/>
      <w:r w:rsidRPr="00FF4A57">
        <w:t xml:space="preserve">This is an application for a stay of a decision of the Australian Human Rights Commission made under the provisions of the </w:t>
      </w:r>
      <w:r w:rsidRPr="00626F5F">
        <w:rPr>
          <w:i/>
        </w:rPr>
        <w:t>Disability Discrimination Act 1992</w:t>
      </w:r>
      <w:r w:rsidRPr="00FF4A57">
        <w:t xml:space="preserve"> </w:t>
      </w:r>
      <w:r>
        <w:t xml:space="preserve">(Cth). </w:t>
      </w:r>
    </w:p>
    <w:p w:rsidR="00922A6D" w:rsidRPr="00922A6D" w:rsidRDefault="00922A6D" w:rsidP="00DE3045">
      <w:pPr>
        <w:pStyle w:val="ListParagraph"/>
        <w:numPr>
          <w:ilvl w:val="0"/>
          <w:numId w:val="6"/>
        </w:numPr>
        <w:tabs>
          <w:tab w:val="right" w:pos="7088"/>
        </w:tabs>
        <w:spacing w:before="360"/>
        <w:ind w:left="0"/>
        <w:contextualSpacing w:val="0"/>
        <w:rPr>
          <w:rFonts w:eastAsia="MS Mincho"/>
          <w:vanish/>
          <w:szCs w:val="24"/>
          <w:lang w:eastAsia="ja-JP"/>
        </w:rPr>
      </w:pPr>
    </w:p>
    <w:p w:rsidR="00922A6D" w:rsidRPr="00922A6D" w:rsidRDefault="00922A6D" w:rsidP="00DE3045">
      <w:pPr>
        <w:pStyle w:val="ListParagraph"/>
        <w:numPr>
          <w:ilvl w:val="0"/>
          <w:numId w:val="6"/>
        </w:numPr>
        <w:tabs>
          <w:tab w:val="right" w:pos="7088"/>
        </w:tabs>
        <w:spacing w:before="360"/>
        <w:ind w:left="0"/>
        <w:contextualSpacing w:val="0"/>
        <w:rPr>
          <w:rFonts w:eastAsia="MS Mincho"/>
          <w:vanish/>
          <w:szCs w:val="24"/>
          <w:lang w:eastAsia="ja-JP"/>
        </w:rPr>
      </w:pPr>
    </w:p>
    <w:p w:rsidR="00922A6D" w:rsidRPr="00922A6D" w:rsidRDefault="00922A6D" w:rsidP="00DE3045">
      <w:pPr>
        <w:pStyle w:val="ListParagraph"/>
        <w:numPr>
          <w:ilvl w:val="0"/>
          <w:numId w:val="6"/>
        </w:numPr>
        <w:tabs>
          <w:tab w:val="right" w:pos="7088"/>
        </w:tabs>
        <w:spacing w:before="360"/>
        <w:ind w:left="0"/>
        <w:contextualSpacing w:val="0"/>
        <w:rPr>
          <w:rFonts w:eastAsia="MS Mincho"/>
          <w:vanish/>
          <w:szCs w:val="24"/>
          <w:lang w:eastAsia="ja-JP"/>
        </w:rPr>
      </w:pPr>
    </w:p>
    <w:p w:rsidR="00626F5F" w:rsidRPr="00FF4A57" w:rsidRDefault="00626F5F" w:rsidP="00DE3045">
      <w:pPr>
        <w:pStyle w:val="ListNumber"/>
        <w:numPr>
          <w:ilvl w:val="0"/>
          <w:numId w:val="6"/>
        </w:numPr>
        <w:tabs>
          <w:tab w:val="right" w:pos="7088"/>
        </w:tabs>
        <w:ind w:left="0"/>
      </w:pPr>
      <w:r w:rsidRPr="00FF4A57">
        <w:t>The object</w:t>
      </w:r>
      <w:r>
        <w:t>s</w:t>
      </w:r>
      <w:r w:rsidRPr="00FF4A57">
        <w:t xml:space="preserve"> of the </w:t>
      </w:r>
      <w:r w:rsidRPr="0001671B">
        <w:rPr>
          <w:i/>
        </w:rPr>
        <w:t>Disability Discrimination Act</w:t>
      </w:r>
      <w:r w:rsidRPr="00FF4A57">
        <w:t xml:space="preserve"> are set out in section 3</w:t>
      </w:r>
      <w:r w:rsidR="0001671B">
        <w:t xml:space="preserve">. </w:t>
      </w:r>
      <w:r w:rsidR="00656A4D">
        <w:t>It</w:t>
      </w:r>
      <w:r w:rsidR="0001671B">
        <w:t xml:space="preserve"> states in part that</w:t>
      </w:r>
      <w:r w:rsidRPr="00FF4A57">
        <w:t xml:space="preserve"> that the objects of the Act are to eliminate</w:t>
      </w:r>
      <w:r w:rsidR="0001671B">
        <w:t>,</w:t>
      </w:r>
      <w:r w:rsidRPr="00FF4A57">
        <w:t xml:space="preserve"> as far as possible, discrimination against </w:t>
      </w:r>
      <w:r w:rsidRPr="00FF4A57">
        <w:lastRenderedPageBreak/>
        <w:t>persons on the ground of disability in the areas of work, the provision of goods, facilities and services and the administration of Commonwealth laws and programs.</w:t>
      </w:r>
    </w:p>
    <w:p w:rsidR="00626F5F" w:rsidRPr="00FF4A57" w:rsidRDefault="00626F5F" w:rsidP="00DE3045">
      <w:pPr>
        <w:pStyle w:val="ListNumber"/>
        <w:numPr>
          <w:ilvl w:val="0"/>
          <w:numId w:val="6"/>
        </w:numPr>
        <w:tabs>
          <w:tab w:val="right" w:pos="7088"/>
        </w:tabs>
        <w:ind w:left="0"/>
      </w:pPr>
      <w:r w:rsidRPr="00FF4A57">
        <w:t>Section 15 of the Act deals specifically with employment issues.  Section 24 deals with goods, serv</w:t>
      </w:r>
      <w:r w:rsidR="002B0DC2">
        <w:t>ic</w:t>
      </w:r>
      <w:r w:rsidRPr="00FF4A57">
        <w:t>es and facilities</w:t>
      </w:r>
      <w:r w:rsidR="0001671B">
        <w:t>,</w:t>
      </w:r>
      <w:r w:rsidRPr="00FF4A57">
        <w:t xml:space="preserve"> and section 29 deals with the administration of Commonwealth laws and programs.  Th</w:t>
      </w:r>
      <w:r w:rsidR="00656A4D">
        <w:t>e</w:t>
      </w:r>
      <w:r w:rsidRPr="00FF4A57">
        <w:t>se three secti</w:t>
      </w:r>
      <w:r w:rsidR="002B0DC2">
        <w:t xml:space="preserve">ons </w:t>
      </w:r>
      <w:r w:rsidRPr="00FF4A57">
        <w:t>provide</w:t>
      </w:r>
      <w:r w:rsidR="002B0DC2">
        <w:t>, in general terms,</w:t>
      </w:r>
      <w:r w:rsidRPr="00FF4A57">
        <w:t xml:space="preserve"> that it</w:t>
      </w:r>
      <w:r>
        <w:t xml:space="preserve"> i</w:t>
      </w:r>
      <w:r w:rsidRPr="00FF4A57">
        <w:t>s unlawful to discriminate</w:t>
      </w:r>
      <w:r w:rsidR="002B0DC2">
        <w:t xml:space="preserve"> on the ground of another person’s disability</w:t>
      </w:r>
      <w:r w:rsidRPr="00FF4A57">
        <w:t xml:space="preserve"> in </w:t>
      </w:r>
      <w:r w:rsidR="002B0DC2">
        <w:t>each area specified</w:t>
      </w:r>
      <w:r w:rsidRPr="00FF4A57">
        <w:t xml:space="preserve">. </w:t>
      </w:r>
    </w:p>
    <w:p w:rsidR="00626F5F" w:rsidRPr="00FF4A57" w:rsidRDefault="00626F5F" w:rsidP="00DE3045">
      <w:pPr>
        <w:pStyle w:val="ListNumber"/>
        <w:numPr>
          <w:ilvl w:val="0"/>
          <w:numId w:val="6"/>
        </w:numPr>
        <w:tabs>
          <w:tab w:val="right" w:pos="7088"/>
        </w:tabs>
        <w:ind w:left="0"/>
      </w:pPr>
      <w:r w:rsidRPr="00FF4A57">
        <w:t>However</w:t>
      </w:r>
      <w:r w:rsidR="002B0DC2">
        <w:t>,</w:t>
      </w:r>
      <w:r w:rsidRPr="00FF4A57">
        <w:t xml:space="preserve"> section 55 of the Act provides that the </w:t>
      </w:r>
      <w:r w:rsidR="002B0DC2">
        <w:t>C</w:t>
      </w:r>
      <w:r w:rsidRPr="00FF4A57">
        <w:t xml:space="preserve">ommission may grant exemptions.  </w:t>
      </w:r>
      <w:r w:rsidR="002B0DC2">
        <w:t>After receiving an application for an exemption, the Commission may, by instrument:</w:t>
      </w:r>
    </w:p>
    <w:p w:rsidR="00626F5F" w:rsidRPr="00FF4A57" w:rsidRDefault="00626F5F" w:rsidP="00626F5F">
      <w:pPr>
        <w:pStyle w:val="Quote"/>
      </w:pPr>
      <w:r w:rsidRPr="00626F5F">
        <w:tab/>
      </w:r>
      <w:r w:rsidR="002B0DC2">
        <w:t>...</w:t>
      </w:r>
      <w:r w:rsidR="002B0DC2" w:rsidRPr="00626F5F">
        <w:t xml:space="preserve"> </w:t>
      </w:r>
      <w:r w:rsidRPr="00626F5F">
        <w:t>grant to the person or persons to whom the application relates... an exemption from the operation of a provision of Division 1 or 2.</w:t>
      </w:r>
    </w:p>
    <w:p w:rsidR="00626F5F" w:rsidRPr="00FF4A57" w:rsidRDefault="00626F5F" w:rsidP="00DE3045">
      <w:pPr>
        <w:pStyle w:val="ListNumber"/>
        <w:numPr>
          <w:ilvl w:val="0"/>
          <w:numId w:val="6"/>
        </w:numPr>
        <w:tabs>
          <w:tab w:val="right" w:pos="7088"/>
        </w:tabs>
        <w:ind w:left="0"/>
      </w:pPr>
      <w:r w:rsidRPr="00FF4A57">
        <w:t>Divisions 1 and 2 include section</w:t>
      </w:r>
      <w:r w:rsidR="00656A4D">
        <w:t>s</w:t>
      </w:r>
      <w:r w:rsidRPr="00FF4A57">
        <w:t xml:space="preserve"> 15, 24 and 29.  Section 55 also gives power to the Commission to grant a further exemption</w:t>
      </w:r>
      <w:r w:rsidR="002B0DC2">
        <w:t xml:space="preserve">. It </w:t>
      </w:r>
      <w:r w:rsidRPr="00FF4A57">
        <w:t>provides also that an exemption may be granted subject to terms and conditions and can be granted for a specified period not exceeding five years.</w:t>
      </w:r>
    </w:p>
    <w:p w:rsidR="00626F5F" w:rsidRPr="00FF4A57" w:rsidRDefault="00626F5F" w:rsidP="00DE3045">
      <w:pPr>
        <w:pStyle w:val="ListNumber"/>
        <w:numPr>
          <w:ilvl w:val="0"/>
          <w:numId w:val="6"/>
        </w:numPr>
        <w:tabs>
          <w:tab w:val="right" w:pos="7088"/>
        </w:tabs>
        <w:ind w:left="0"/>
      </w:pPr>
      <w:r w:rsidRPr="00FF4A57">
        <w:t>Section 56 provides that:</w:t>
      </w:r>
    </w:p>
    <w:p w:rsidR="00626F5F" w:rsidRPr="00FF4A57" w:rsidRDefault="00626F5F" w:rsidP="00626F5F">
      <w:pPr>
        <w:pStyle w:val="Quote"/>
      </w:pPr>
      <w:r w:rsidRPr="00626F5F">
        <w:tab/>
        <w:t>Applications may be made to the Administrative Appeals Tribunal for a review of decisions made by the Commission under section 55.</w:t>
      </w:r>
    </w:p>
    <w:p w:rsidR="00626F5F" w:rsidRDefault="002B0DC2" w:rsidP="00DE3045">
      <w:pPr>
        <w:pStyle w:val="ListNumber"/>
        <w:numPr>
          <w:ilvl w:val="0"/>
          <w:numId w:val="6"/>
        </w:numPr>
        <w:tabs>
          <w:tab w:val="left" w:pos="993"/>
          <w:tab w:val="right" w:pos="7088"/>
        </w:tabs>
        <w:ind w:left="0"/>
      </w:pPr>
      <w:r>
        <w:t>I</w:t>
      </w:r>
      <w:r w:rsidR="00626F5F" w:rsidRPr="00FF4A57">
        <w:t xml:space="preserve">t is that power which brings the matter before this </w:t>
      </w:r>
      <w:r>
        <w:t>T</w:t>
      </w:r>
      <w:r w:rsidR="00626F5F" w:rsidRPr="00FF4A57">
        <w:t>ribunal.</w:t>
      </w:r>
    </w:p>
    <w:p w:rsidR="00626F5F" w:rsidRPr="00FF4A57" w:rsidRDefault="00626F5F" w:rsidP="00626F5F">
      <w:pPr>
        <w:pStyle w:val="Heading1"/>
      </w:pPr>
      <w:r>
        <w:t>background</w:t>
      </w:r>
    </w:p>
    <w:p w:rsidR="00626F5F" w:rsidRPr="00FF4A57" w:rsidRDefault="005C7500" w:rsidP="00DE3045">
      <w:pPr>
        <w:pStyle w:val="ListNumber"/>
        <w:numPr>
          <w:ilvl w:val="0"/>
          <w:numId w:val="6"/>
        </w:numPr>
        <w:tabs>
          <w:tab w:val="left" w:pos="993"/>
          <w:tab w:val="right" w:pos="7088"/>
        </w:tabs>
        <w:ind w:left="0"/>
      </w:pPr>
      <w:r>
        <w:t>On 29 April 2014, t</w:t>
      </w:r>
      <w:r w:rsidR="00626F5F" w:rsidRPr="00FF4A57">
        <w:t>he Commission</w:t>
      </w:r>
      <w:r w:rsidR="002B0DC2">
        <w:t>,</w:t>
      </w:r>
      <w:r w:rsidR="00626F5F" w:rsidRPr="00FF4A57">
        <w:t xml:space="preserve"> exercised </w:t>
      </w:r>
      <w:r w:rsidR="002B0DC2">
        <w:t>its</w:t>
      </w:r>
      <w:r w:rsidR="002B0DC2" w:rsidRPr="00FF4A57">
        <w:t xml:space="preserve"> </w:t>
      </w:r>
      <w:r w:rsidR="00626F5F" w:rsidRPr="00FF4A57">
        <w:t>power under section 55 and granted an exemption</w:t>
      </w:r>
      <w:r w:rsidR="002B0DC2">
        <w:t>. The Commission stated:</w:t>
      </w:r>
    </w:p>
    <w:p w:rsidR="00626F5F" w:rsidRPr="00FF4A57" w:rsidRDefault="00626F5F" w:rsidP="00626F5F">
      <w:pPr>
        <w:pStyle w:val="Quote"/>
      </w:pPr>
      <w:r w:rsidRPr="00626F5F">
        <w:tab/>
        <w:t xml:space="preserve">By this instrument under section 55(1) of the Disability Discrimination Act 1992 </w:t>
      </w:r>
      <w:r w:rsidR="002B0DC2">
        <w:t>(Cth)</w:t>
      </w:r>
      <w:r w:rsidRPr="00626F5F">
        <w:t xml:space="preserve"> (Disability Discrimination Act), the Australian Human Rights Commission grants to the Commonwealth and all Australian Disability Enterprises (ADEs) using or proposing to use the </w:t>
      </w:r>
      <w:r w:rsidR="00864D71">
        <w:t>Business S</w:t>
      </w:r>
      <w:r w:rsidRPr="00626F5F">
        <w:t>erv</w:t>
      </w:r>
      <w:r w:rsidR="00864D71">
        <w:t>ices Wage Assessment T</w:t>
      </w:r>
      <w:r w:rsidR="002B0DC2">
        <w:t>ool (the A</w:t>
      </w:r>
      <w:r w:rsidRPr="00626F5F">
        <w:t>pplicant</w:t>
      </w:r>
      <w:r w:rsidR="002B0DC2">
        <w:t>s</w:t>
      </w:r>
      <w:r w:rsidRPr="00626F5F">
        <w:t>) an exemption from the operation of sections 15, 24 and 29 of the Disability Discrimination Act.</w:t>
      </w:r>
    </w:p>
    <w:p w:rsidR="00626F5F" w:rsidRPr="00FF4A57" w:rsidRDefault="00626F5F" w:rsidP="00626F5F">
      <w:pPr>
        <w:pStyle w:val="Quote"/>
      </w:pPr>
      <w:r w:rsidRPr="00626F5F">
        <w:tab/>
        <w:t>The exemption is granted for a 12 m</w:t>
      </w:r>
      <w:r w:rsidR="002B0DC2">
        <w:t>onth period from the date of this</w:t>
      </w:r>
      <w:r w:rsidRPr="00626F5F">
        <w:t xml:space="preserve"> instrument and is granted subject to the conditions outlined below.</w:t>
      </w:r>
    </w:p>
    <w:p w:rsidR="00864D71" w:rsidRDefault="00864D71" w:rsidP="00656A4D">
      <w:pPr>
        <w:pStyle w:val="ListNumber"/>
        <w:numPr>
          <w:ilvl w:val="0"/>
          <w:numId w:val="0"/>
        </w:numPr>
        <w:tabs>
          <w:tab w:val="left" w:pos="993"/>
          <w:tab w:val="right" w:pos="7088"/>
        </w:tabs>
      </w:pPr>
    </w:p>
    <w:p w:rsidR="00626F5F" w:rsidRPr="00FF4A57" w:rsidRDefault="00656A4D" w:rsidP="00DE3045">
      <w:pPr>
        <w:pStyle w:val="ListNumber"/>
        <w:numPr>
          <w:ilvl w:val="0"/>
          <w:numId w:val="6"/>
        </w:numPr>
        <w:tabs>
          <w:tab w:val="left" w:pos="993"/>
          <w:tab w:val="right" w:pos="7088"/>
        </w:tabs>
        <w:ind w:left="0"/>
      </w:pPr>
      <w:r>
        <w:t>In considering this</w:t>
      </w:r>
      <w:r w:rsidR="00626F5F" w:rsidRPr="00FF4A57">
        <w:t xml:space="preserve"> matter</w:t>
      </w:r>
      <w:r w:rsidR="00864D71">
        <w:t>,</w:t>
      </w:r>
      <w:r w:rsidR="00626F5F" w:rsidRPr="00FF4A57">
        <w:t xml:space="preserve"> it is necessary to understand the role of the </w:t>
      </w:r>
      <w:r w:rsidR="00864D71">
        <w:t>Business Services Wage Assessment T</w:t>
      </w:r>
      <w:r w:rsidR="00626F5F" w:rsidRPr="00FF4A57">
        <w:t>ool</w:t>
      </w:r>
      <w:r w:rsidR="00864D71">
        <w:t>.</w:t>
      </w:r>
      <w:r w:rsidR="00626F5F" w:rsidRPr="00FF4A57">
        <w:t xml:space="preserve"> I quote from the submissions made on behalf of the Secretary which precisely set out the nature of that tool</w:t>
      </w:r>
      <w:r w:rsidR="00864D71">
        <w:t>:</w:t>
      </w:r>
      <w:r w:rsidR="00864D71">
        <w:rPr>
          <w:rStyle w:val="FootnoteReference"/>
        </w:rPr>
        <w:footnoteReference w:id="1"/>
      </w:r>
      <w:r w:rsidR="00626F5F" w:rsidRPr="00FF4A57">
        <w:t xml:space="preserve"> :</w:t>
      </w:r>
    </w:p>
    <w:p w:rsidR="00626F5F" w:rsidRDefault="00864D71" w:rsidP="00626F5F">
      <w:pPr>
        <w:pStyle w:val="Quote"/>
      </w:pPr>
      <w:r>
        <w:t>The B</w:t>
      </w:r>
      <w:r w:rsidR="00626F5F" w:rsidRPr="00626F5F">
        <w:t>u</w:t>
      </w:r>
      <w:r>
        <w:t>siness Services Wage Assessment T</w:t>
      </w:r>
      <w:r w:rsidR="00626F5F" w:rsidRPr="00626F5F">
        <w:t>ool (BSWAT) is a tool that was developed by the Commonwealth in consultation with numerous stakeholders (including unions, disability advocate groups and employers) to be used to assess wages for support</w:t>
      </w:r>
      <w:r>
        <w:t>ed</w:t>
      </w:r>
      <w:r w:rsidR="00626F5F" w:rsidRPr="00626F5F">
        <w:t xml:space="preserve"> employee</w:t>
      </w:r>
      <w:r>
        <w:t>s</w:t>
      </w:r>
      <w:r w:rsidR="00626F5F" w:rsidRPr="00626F5F">
        <w:t xml:space="preserve"> with a disability working in Australian Disability Ent</w:t>
      </w:r>
      <w:r>
        <w:t>erprises (ADEs).  The BSWAT is</w:t>
      </w:r>
      <w:r w:rsidR="00626F5F" w:rsidRPr="00626F5F">
        <w:t xml:space="preserve"> current</w:t>
      </w:r>
      <w:r>
        <w:t>ly an</w:t>
      </w:r>
      <w:r w:rsidR="00626F5F" w:rsidRPr="00626F5F">
        <w:t xml:space="preserve"> approv</w:t>
      </w:r>
      <w:r>
        <w:t>ed wage assessment tool in the Supported Employment S</w:t>
      </w:r>
      <w:r w:rsidR="00626F5F" w:rsidRPr="00626F5F">
        <w:t>ervice</w:t>
      </w:r>
      <w:r>
        <w:t>s A</w:t>
      </w:r>
      <w:r w:rsidR="00626F5F" w:rsidRPr="00626F5F">
        <w:t>ward 2010 (and was an approved wage assessment tool in the predecessor award).</w:t>
      </w:r>
    </w:p>
    <w:p w:rsidR="00626F5F" w:rsidRPr="00FF4A57" w:rsidRDefault="00626F5F" w:rsidP="00626F5F">
      <w:pPr>
        <w:pStyle w:val="Quote"/>
      </w:pPr>
      <w:r w:rsidRPr="00626F5F">
        <w:t>The BSWAT has two components that assess the productivity and competency of supported employees.  The competency component and a productivity component are scored separately with the results combined to determine an overall pro</w:t>
      </w:r>
      <w:r w:rsidR="00864D71">
        <w:t>-rata</w:t>
      </w:r>
      <w:r w:rsidRPr="00626F5F">
        <w:t xml:space="preserve"> wage rate.  Concerns were raised about the competency</w:t>
      </w:r>
      <w:r w:rsidR="00864D71">
        <w:t xml:space="preserve"> component</w:t>
      </w:r>
      <w:r w:rsidRPr="00626F5F">
        <w:t xml:space="preserve"> of the</w:t>
      </w:r>
      <w:r w:rsidR="00864D71">
        <w:t xml:space="preserve"> BSWAT after a decision of the F</w:t>
      </w:r>
      <w:r w:rsidRPr="00626F5F">
        <w:t>ull Federal Court in Nojin and the Commonwealth of Australia (2012) 280 FCR</w:t>
      </w:r>
      <w:r w:rsidR="00864D71">
        <w:t xml:space="preserve"> </w:t>
      </w:r>
      <w:r w:rsidRPr="00626F5F">
        <w:t>1.  The Department of Social Services and other interested parties have been engaging in the process in the Fair Work Commission (FWC) to develop a new productivity only wage assessment tool.  That process is continuing.</w:t>
      </w:r>
    </w:p>
    <w:p w:rsidR="00626F5F" w:rsidRPr="00FF4A57" w:rsidRDefault="00626F5F" w:rsidP="00DE3045">
      <w:pPr>
        <w:pStyle w:val="ListNumber"/>
        <w:numPr>
          <w:ilvl w:val="0"/>
          <w:numId w:val="6"/>
        </w:numPr>
        <w:tabs>
          <w:tab w:val="left" w:pos="993"/>
          <w:tab w:val="right" w:pos="7088"/>
        </w:tabs>
        <w:ind w:left="0"/>
      </w:pPr>
      <w:r w:rsidRPr="00FF4A57">
        <w:t>The assessment tool was developed in 2003</w:t>
      </w:r>
      <w:r w:rsidR="00864D71">
        <w:t>.</w:t>
      </w:r>
      <w:r w:rsidRPr="00FF4A57">
        <w:t xml:space="preserve"> </w:t>
      </w:r>
      <w:r w:rsidR="00864D71">
        <w:t>I</w:t>
      </w:r>
      <w:r w:rsidRPr="00FF4A57">
        <w:t>n the notice issued by the Commission on 29 April 2014</w:t>
      </w:r>
      <w:r w:rsidR="00864D71">
        <w:t>,</w:t>
      </w:r>
      <w:r w:rsidRPr="00FF4A57">
        <w:t xml:space="preserve"> the Commission noted that there </w:t>
      </w:r>
      <w:r w:rsidR="00864D71">
        <w:t>were</w:t>
      </w:r>
      <w:r w:rsidR="00864D71" w:rsidRPr="00FF4A57">
        <w:t xml:space="preserve"> </w:t>
      </w:r>
      <w:r w:rsidRPr="00FF4A57">
        <w:t xml:space="preserve">194 </w:t>
      </w:r>
      <w:r w:rsidR="00656A4D">
        <w:t>Commonwealth-</w:t>
      </w:r>
      <w:r w:rsidR="00864D71">
        <w:t xml:space="preserve">funded </w:t>
      </w:r>
      <w:r w:rsidRPr="00FF4A57">
        <w:t>Australia Disability Enterprises and that they employed approximately 20,000 people with disability.  At the time that</w:t>
      </w:r>
      <w:r w:rsidR="00864D71">
        <w:t xml:space="preserve"> the</w:t>
      </w:r>
      <w:r w:rsidRPr="00FF4A57">
        <w:t xml:space="preserve"> notice was issued</w:t>
      </w:r>
      <w:r w:rsidR="00864D71">
        <w:t>,</w:t>
      </w:r>
      <w:r w:rsidRPr="00FF4A57">
        <w:t xml:space="preserve"> approximately half of those employees were assessed using the </w:t>
      </w:r>
      <w:r w:rsidR="00864D71">
        <w:t>Business Services Wage Assessment Tool</w:t>
      </w:r>
      <w:r w:rsidRPr="00FF4A57">
        <w:t>.</w:t>
      </w:r>
    </w:p>
    <w:p w:rsidR="00626F5F" w:rsidRPr="00FF4A57" w:rsidRDefault="00626F5F" w:rsidP="00DE3045">
      <w:pPr>
        <w:pStyle w:val="ListNumber"/>
        <w:numPr>
          <w:ilvl w:val="0"/>
          <w:numId w:val="6"/>
        </w:numPr>
        <w:tabs>
          <w:tab w:val="left" w:pos="993"/>
          <w:tab w:val="right" w:pos="7088"/>
        </w:tabs>
        <w:ind w:left="0"/>
      </w:pPr>
      <w:r w:rsidRPr="00FF4A57">
        <w:t xml:space="preserve">The Commission outlined the considerations that had been taken into account in reaching the decision </w:t>
      </w:r>
      <w:r w:rsidR="00864D71">
        <w:t>dated</w:t>
      </w:r>
      <w:r w:rsidRPr="00FF4A57">
        <w:t xml:space="preserve"> 29 April 2014</w:t>
      </w:r>
      <w:r w:rsidR="00864D71">
        <w:t>. These considerations</w:t>
      </w:r>
      <w:r w:rsidRPr="00FF4A57">
        <w:t xml:space="preserve"> were dealt with in some detail under the heading “Reasons for decision”.  The </w:t>
      </w:r>
      <w:r w:rsidR="00864D71">
        <w:t>C</w:t>
      </w:r>
      <w:r w:rsidRPr="00FF4A57">
        <w:t>ommission considered necessity</w:t>
      </w:r>
      <w:r w:rsidR="00864D71">
        <w:t xml:space="preserve"> and</w:t>
      </w:r>
      <w:r w:rsidRPr="00FF4A57">
        <w:t xml:space="preserve"> the reasonableness of the exemption</w:t>
      </w:r>
      <w:r w:rsidR="00864D71">
        <w:t xml:space="preserve">. Under the heading </w:t>
      </w:r>
      <w:r w:rsidR="00864D71" w:rsidRPr="00656A4D">
        <w:rPr>
          <w:i/>
        </w:rPr>
        <w:t>“Reasonableness of the exemption”</w:t>
      </w:r>
      <w:r w:rsidR="00656A4D">
        <w:t>,</w:t>
      </w:r>
      <w:r w:rsidRPr="00FF4A57">
        <w:t xml:space="preserve"> </w:t>
      </w:r>
      <w:r w:rsidR="00864D71">
        <w:t xml:space="preserve">the Commission considered </w:t>
      </w:r>
      <w:r w:rsidRPr="00FF4A57">
        <w:t>both the arguments for and against the exemption</w:t>
      </w:r>
      <w:r w:rsidR="00864D71">
        <w:t>,</w:t>
      </w:r>
      <w:r w:rsidRPr="00FF4A57">
        <w:t xml:space="preserve"> </w:t>
      </w:r>
      <w:r w:rsidR="00864D71">
        <w:t xml:space="preserve">including </w:t>
      </w:r>
      <w:r w:rsidRPr="00FF4A57">
        <w:t>the possible effects</w:t>
      </w:r>
      <w:r w:rsidR="00864D71">
        <w:t xml:space="preserve"> of any changes</w:t>
      </w:r>
      <w:r w:rsidRPr="00FF4A57">
        <w:t xml:space="preserve"> on the financial viability of A</w:t>
      </w:r>
      <w:r w:rsidR="005C7500">
        <w:t xml:space="preserve">ustralian </w:t>
      </w:r>
      <w:r w:rsidRPr="00FF4A57">
        <w:t>D</w:t>
      </w:r>
      <w:r w:rsidR="005C7500">
        <w:t xml:space="preserve">isability </w:t>
      </w:r>
      <w:r w:rsidRPr="00FF4A57">
        <w:t>E</w:t>
      </w:r>
      <w:r w:rsidR="005C7500">
        <w:t>nterprise</w:t>
      </w:r>
      <w:r w:rsidRPr="00FF4A57">
        <w:t>s.</w:t>
      </w:r>
    </w:p>
    <w:p w:rsidR="00626F5F" w:rsidRPr="00FF4A57" w:rsidRDefault="00626F5F" w:rsidP="00DE3045">
      <w:pPr>
        <w:pStyle w:val="ListNumber"/>
        <w:numPr>
          <w:ilvl w:val="0"/>
          <w:numId w:val="6"/>
        </w:numPr>
        <w:tabs>
          <w:tab w:val="left" w:pos="993"/>
          <w:tab w:val="right" w:pos="7088"/>
        </w:tabs>
        <w:ind w:left="0"/>
      </w:pPr>
      <w:r w:rsidRPr="00FF4A57">
        <w:lastRenderedPageBreak/>
        <w:t xml:space="preserve">The Commission also considered the alternatives that were immediately available and referred to the </w:t>
      </w:r>
      <w:r w:rsidR="005C7500">
        <w:t>Supported Wage S</w:t>
      </w:r>
      <w:r w:rsidRPr="00FF4A57">
        <w:t>ystem.  There are arguments raised against using that system.  The Commission then concluded:</w:t>
      </w:r>
      <w:r w:rsidR="005C7500">
        <w:rPr>
          <w:rStyle w:val="FootnoteReference"/>
        </w:rPr>
        <w:footnoteReference w:id="2"/>
      </w:r>
    </w:p>
    <w:p w:rsidR="005C7500" w:rsidRDefault="00626F5F" w:rsidP="00626F5F">
      <w:pPr>
        <w:pStyle w:val="Quote"/>
      </w:pPr>
      <w:r w:rsidRPr="00626F5F">
        <w:tab/>
        <w:t>Having considered all of the above arguments, the Commission considers that while either tool could be used, on balance the SWS should be preferred</w:t>
      </w:r>
      <w:r w:rsidR="005C7500">
        <w:t>,</w:t>
      </w:r>
      <w:r w:rsidRPr="00626F5F">
        <w:t xml:space="preserve"> at least as an interim measure</w:t>
      </w:r>
      <w:r w:rsidR="005C7500">
        <w:t>,</w:t>
      </w:r>
      <w:r w:rsidRPr="00626F5F">
        <w:t xml:space="preserve"> as</w:t>
      </w:r>
      <w:r w:rsidR="005C7500">
        <w:t>:</w:t>
      </w:r>
    </w:p>
    <w:p w:rsidR="005C7500" w:rsidRDefault="005C7500" w:rsidP="00DE3045">
      <w:pPr>
        <w:pStyle w:val="Quote"/>
        <w:numPr>
          <w:ilvl w:val="0"/>
          <w:numId w:val="10"/>
        </w:numPr>
      </w:pPr>
      <w:r>
        <w:t>I</w:t>
      </w:r>
      <w:r w:rsidR="00626F5F" w:rsidRPr="00626F5F">
        <w:t xml:space="preserve">ts use would </w:t>
      </w:r>
      <w:r>
        <w:t>be in compliance with both the Award and the Disability Services S</w:t>
      </w:r>
      <w:r w:rsidR="00626F5F" w:rsidRPr="00626F5F">
        <w:t>tandards</w:t>
      </w:r>
      <w:r>
        <w:t>,</w:t>
      </w:r>
      <w:r w:rsidR="00626F5F" w:rsidRPr="00626F5F">
        <w:t xml:space="preserve"> whereas the productivity component of the BSWAT would not.</w:t>
      </w:r>
    </w:p>
    <w:p w:rsidR="00626F5F" w:rsidRPr="00626F5F" w:rsidRDefault="00626F5F" w:rsidP="00DE3045">
      <w:pPr>
        <w:pStyle w:val="Quote"/>
        <w:numPr>
          <w:ilvl w:val="0"/>
          <w:numId w:val="10"/>
        </w:numPr>
      </w:pPr>
      <w:r w:rsidRPr="00626F5F">
        <w:t>It is already used in both open and supported employment and the BSWAT productivity component is not.</w:t>
      </w:r>
    </w:p>
    <w:p w:rsidR="00626F5F" w:rsidRPr="005C7500" w:rsidRDefault="00626F5F" w:rsidP="00DE3045">
      <w:pPr>
        <w:pStyle w:val="ListNumber"/>
        <w:numPr>
          <w:ilvl w:val="0"/>
          <w:numId w:val="6"/>
        </w:numPr>
        <w:tabs>
          <w:tab w:val="left" w:pos="993"/>
          <w:tab w:val="right" w:pos="7088"/>
        </w:tabs>
        <w:ind w:left="0"/>
      </w:pPr>
      <w:r w:rsidRPr="00FF4A57">
        <w:t>In conclusion the Commission stated:</w:t>
      </w:r>
      <w:r w:rsidR="005C7500">
        <w:rPr>
          <w:rStyle w:val="FootnoteReference"/>
        </w:rPr>
        <w:footnoteReference w:id="3"/>
      </w:r>
    </w:p>
    <w:p w:rsidR="00626F5F" w:rsidRDefault="00626F5F" w:rsidP="00626F5F">
      <w:pPr>
        <w:pStyle w:val="Quote"/>
      </w:pPr>
      <w:r w:rsidRPr="00626F5F">
        <w:tab/>
        <w:t>On balance</w:t>
      </w:r>
      <w:r w:rsidR="005C7500">
        <w:t>,</w:t>
      </w:r>
      <w:r w:rsidRPr="00626F5F">
        <w:t xml:space="preserve"> the Commission considers that it is not reasonable to grant an exemption for three years given the ongoing discrimination and the existence of an alternative tool that is able to be used immediately.  However, having considered the submissions, </w:t>
      </w:r>
      <w:r w:rsidR="005C7500">
        <w:t xml:space="preserve">the </w:t>
      </w:r>
      <w:r w:rsidRPr="00626F5F">
        <w:t>complexity of the financial circumstances of the ADEs, the nature of the services provided by the ADEs and the number of assessments that need to be conducted, the Commission considers that an exemption for a 12 month period is reasonable.  Limiting the exemption</w:t>
      </w:r>
      <w:r w:rsidR="005C7500">
        <w:t xml:space="preserve"> period to 12 months will allow the A</w:t>
      </w:r>
      <w:r w:rsidRPr="00626F5F">
        <w:t>pplicants time to transition to a new tool whilst ensuring the discriminatory impacts on ADE employees is minimised.</w:t>
      </w:r>
    </w:p>
    <w:p w:rsidR="00626F5F" w:rsidRPr="00FF4A57" w:rsidRDefault="00626F5F" w:rsidP="00626F5F">
      <w:pPr>
        <w:pStyle w:val="Quote"/>
      </w:pPr>
      <w:r w:rsidRPr="00626F5F">
        <w:t>The Commission also considers that it is not appropriate to conduct new assessments with the BSWAT (as it has been found to be discriminatory) and has therefore concluded that the exemption should be granted in part only.  That is, the Commission has decided to grant the exemption only to allow the payment of wages to ADE employees who have already had an assessment conducted with the BSWAT and where that assessment is current.</w:t>
      </w:r>
    </w:p>
    <w:p w:rsidR="005C7500" w:rsidRDefault="00626F5F" w:rsidP="00656A4D">
      <w:pPr>
        <w:pStyle w:val="ListNumber"/>
        <w:numPr>
          <w:ilvl w:val="0"/>
          <w:numId w:val="0"/>
        </w:numPr>
        <w:tabs>
          <w:tab w:val="left" w:pos="993"/>
          <w:tab w:val="right" w:pos="7088"/>
        </w:tabs>
      </w:pPr>
      <w:r w:rsidRPr="00FF4A57">
        <w:t xml:space="preserve">The Commission then proceeded to set out conditions </w:t>
      </w:r>
      <w:r w:rsidR="005C7500">
        <w:t xml:space="preserve">on which the grant of an exemption was made subject. </w:t>
      </w:r>
    </w:p>
    <w:p w:rsidR="00626F5F" w:rsidRPr="00FF4A57" w:rsidRDefault="00626F5F" w:rsidP="00DE3045">
      <w:pPr>
        <w:pStyle w:val="ListNumber"/>
        <w:numPr>
          <w:ilvl w:val="0"/>
          <w:numId w:val="6"/>
        </w:numPr>
        <w:tabs>
          <w:tab w:val="left" w:pos="993"/>
          <w:tab w:val="right" w:pos="7088"/>
        </w:tabs>
        <w:ind w:left="0"/>
      </w:pPr>
      <w:r w:rsidRPr="00FF4A57">
        <w:t>On 30 April 2015</w:t>
      </w:r>
      <w:r w:rsidR="005C7500">
        <w:t>,</w:t>
      </w:r>
      <w:r w:rsidRPr="00FF4A57">
        <w:t xml:space="preserve"> the Commission </w:t>
      </w:r>
      <w:r w:rsidR="005C7500">
        <w:t>issued a Notice of Grant of a Temporary E</w:t>
      </w:r>
      <w:r w:rsidRPr="00FF4A57">
        <w:t>xemption</w:t>
      </w:r>
      <w:r w:rsidR="005C7500">
        <w:t>. It stated:</w:t>
      </w:r>
      <w:r w:rsidR="005C7500">
        <w:rPr>
          <w:rStyle w:val="FootnoteReference"/>
        </w:rPr>
        <w:footnoteReference w:id="4"/>
      </w:r>
    </w:p>
    <w:p w:rsidR="00626F5F" w:rsidRPr="00FF4A57" w:rsidRDefault="00626F5F" w:rsidP="00626F5F">
      <w:pPr>
        <w:pStyle w:val="Quote"/>
      </w:pPr>
      <w:r w:rsidRPr="00626F5F">
        <w:tab/>
        <w:t>By this instrument under section 55(1) of the Disability Discrimination Act 1992 (</w:t>
      </w:r>
      <w:r w:rsidR="005C7500">
        <w:t>Cth</w:t>
      </w:r>
      <w:r w:rsidRPr="00626F5F">
        <w:t>) (Disability Discrimination Act), the Australian Human Rights Commission grants the Commonwealth and all Australian Disability Enterprises (ADEs) using or proposing to use the Business Services Wag</w:t>
      </w:r>
      <w:r w:rsidR="00F877BF">
        <w:t>e Assessment Tool (BSWAT) (the A</w:t>
      </w:r>
      <w:r w:rsidRPr="00626F5F">
        <w:t>pplicants)</w:t>
      </w:r>
      <w:r w:rsidR="00F877BF">
        <w:t>,</w:t>
      </w:r>
      <w:r w:rsidRPr="00626F5F">
        <w:t xml:space="preserve"> an </w:t>
      </w:r>
      <w:r w:rsidRPr="00626F5F">
        <w:lastRenderedPageBreak/>
        <w:t>exemption from the operation of sections 15, 24 and 29 of the Disability Discrimination Act.</w:t>
      </w:r>
    </w:p>
    <w:p w:rsidR="00626F5F" w:rsidRPr="00FF4A57" w:rsidRDefault="00626F5F" w:rsidP="00DE3045">
      <w:pPr>
        <w:pStyle w:val="ListNumber"/>
        <w:numPr>
          <w:ilvl w:val="0"/>
          <w:numId w:val="6"/>
        </w:numPr>
        <w:tabs>
          <w:tab w:val="left" w:pos="993"/>
          <w:tab w:val="right" w:pos="7088"/>
        </w:tabs>
        <w:ind w:left="0"/>
      </w:pPr>
      <w:r w:rsidRPr="00FF4A57">
        <w:t>Although that was referred to as what the instrument granted, in fact</w:t>
      </w:r>
      <w:r w:rsidR="00F877BF">
        <w:t>, when</w:t>
      </w:r>
      <w:r w:rsidRPr="00FF4A57">
        <w:t xml:space="preserve"> read as a whole</w:t>
      </w:r>
      <w:r w:rsidR="00F877BF">
        <w:t>, the decision</w:t>
      </w:r>
      <w:r w:rsidRPr="00FF4A57">
        <w:t xml:space="preserve"> clearly</w:t>
      </w:r>
      <w:r w:rsidR="00F877BF">
        <w:t xml:space="preserve"> imposed</w:t>
      </w:r>
      <w:r w:rsidRPr="00FF4A57">
        <w:t xml:space="preserve"> conditions</w:t>
      </w:r>
      <w:r w:rsidR="00F877BF">
        <w:t xml:space="preserve">. </w:t>
      </w:r>
      <w:r w:rsidRPr="00FF4A57">
        <w:t xml:space="preserve"> </w:t>
      </w:r>
      <w:r w:rsidR="00F877BF">
        <w:t>U</w:t>
      </w:r>
      <w:r w:rsidRPr="00FF4A57">
        <w:t>nder the heading “Decision of the Commission”</w:t>
      </w:r>
      <w:r w:rsidR="00F877BF">
        <w:t>,</w:t>
      </w:r>
      <w:r w:rsidRPr="00FF4A57">
        <w:t xml:space="preserve"> it</w:t>
      </w:r>
      <w:r>
        <w:t xml:space="preserve"> i</w:t>
      </w:r>
      <w:r w:rsidRPr="00FF4A57">
        <w:t>s stated that:</w:t>
      </w:r>
      <w:r w:rsidR="00F877BF">
        <w:rPr>
          <w:rStyle w:val="FootnoteReference"/>
        </w:rPr>
        <w:footnoteReference w:id="5"/>
      </w:r>
    </w:p>
    <w:p w:rsidR="00626F5F" w:rsidRPr="00FF4A57" w:rsidRDefault="00626F5F" w:rsidP="00626F5F">
      <w:pPr>
        <w:pStyle w:val="Quote"/>
      </w:pPr>
      <w:r w:rsidRPr="00626F5F">
        <w:tab/>
      </w:r>
      <w:r w:rsidR="00F877BF">
        <w:t>... t</w:t>
      </w:r>
      <w:r w:rsidRPr="00626F5F">
        <w:t xml:space="preserve">he Commission has decided to grant a further exemption for a period of four months, or until such time as a decision is made with respect to the </w:t>
      </w:r>
      <w:r w:rsidR="00F877BF">
        <w:t>P</w:t>
      </w:r>
      <w:r w:rsidRPr="00626F5F">
        <w:t xml:space="preserve">rimary </w:t>
      </w:r>
      <w:r w:rsidR="00F877BF">
        <w:t>A</w:t>
      </w:r>
      <w:r w:rsidRPr="00626F5F">
        <w:t>pplication, whichever is sooner.</w:t>
      </w:r>
    </w:p>
    <w:p w:rsidR="00626F5F" w:rsidRPr="00FF4A57" w:rsidRDefault="00626F5F" w:rsidP="00DE3045">
      <w:pPr>
        <w:pStyle w:val="ListNumber"/>
        <w:numPr>
          <w:ilvl w:val="0"/>
          <w:numId w:val="6"/>
        </w:numPr>
        <w:tabs>
          <w:tab w:val="left" w:pos="993"/>
          <w:tab w:val="right" w:pos="7088"/>
        </w:tabs>
        <w:ind w:left="0"/>
      </w:pPr>
      <w:r w:rsidRPr="00FF4A57">
        <w:t xml:space="preserve">In paragraph 24 of the notice, the Commission again imposed the conditions that had been imposed 12 months earlier.  </w:t>
      </w:r>
      <w:r w:rsidR="00F877BF">
        <w:t>T</w:t>
      </w:r>
      <w:r w:rsidRPr="00FF4A57">
        <w:t xml:space="preserve">he circumstances that brought about the issue of </w:t>
      </w:r>
      <w:r w:rsidR="00F877BF" w:rsidRPr="00FF4A57">
        <w:t>th</w:t>
      </w:r>
      <w:r w:rsidR="00F877BF">
        <w:t>is further</w:t>
      </w:r>
      <w:r w:rsidR="00F877BF" w:rsidRPr="00FF4A57">
        <w:t xml:space="preserve"> </w:t>
      </w:r>
      <w:r w:rsidR="00F877BF">
        <w:t>exemption</w:t>
      </w:r>
      <w:r w:rsidR="00F877BF" w:rsidRPr="00FF4A57">
        <w:t xml:space="preserve"> </w:t>
      </w:r>
      <w:r w:rsidRPr="00FF4A57">
        <w:t>are set out in the notice</w:t>
      </w:r>
      <w:r w:rsidR="00F877BF">
        <w:t>, which states</w:t>
      </w:r>
      <w:r w:rsidR="0001671B">
        <w:t xml:space="preserve"> relevantly</w:t>
      </w:r>
      <w:r w:rsidRPr="00FF4A57">
        <w:t>:</w:t>
      </w:r>
      <w:r w:rsidR="00F877BF">
        <w:rPr>
          <w:rStyle w:val="FootnoteReference"/>
        </w:rPr>
        <w:footnoteReference w:id="6"/>
      </w:r>
    </w:p>
    <w:p w:rsidR="00626F5F" w:rsidRDefault="00626F5F" w:rsidP="00626F5F">
      <w:pPr>
        <w:pStyle w:val="Quote"/>
      </w:pPr>
      <w:r w:rsidRPr="00FF4A57">
        <w:tab/>
      </w:r>
      <w:r w:rsidRPr="00626F5F">
        <w:t>On 21 April 2015 the Commonwealth applied for a temporary exemption for 12 months to ensure the transition from the use of the BSWAT to an alternative tool approved by the Fair Work Commission is able to continue in an orderly manner and to provide reassurance to people with disability working in ADEs and their families and carers (</w:t>
      </w:r>
      <w:r w:rsidR="00F877BF">
        <w:t>P</w:t>
      </w:r>
      <w:r w:rsidRPr="00626F5F">
        <w:t xml:space="preserve">rimary </w:t>
      </w:r>
      <w:r w:rsidR="00F877BF">
        <w:t>A</w:t>
      </w:r>
      <w:r w:rsidRPr="00626F5F">
        <w:t>pplication).</w:t>
      </w:r>
    </w:p>
    <w:p w:rsidR="00626F5F" w:rsidRDefault="00626F5F" w:rsidP="00626F5F">
      <w:pPr>
        <w:pStyle w:val="Quote"/>
      </w:pPr>
      <w:r w:rsidRPr="00626F5F">
        <w:t>On 21 April 2015 the Commission advised the Commonwealth that it would not be possible to make a decision on the primary application by 29 April 2015 and that once the current exemption expired, there would be no exemption in place.</w:t>
      </w:r>
    </w:p>
    <w:p w:rsidR="00626F5F" w:rsidRPr="00626F5F" w:rsidRDefault="00626F5F" w:rsidP="00626F5F">
      <w:pPr>
        <w:pStyle w:val="Quote"/>
      </w:pPr>
      <w:r w:rsidRPr="00626F5F">
        <w:t xml:space="preserve">On 22 April 2015 the Commonwealth made an application for an interim exemption from the period between the expiry of the original exemption on 29 April 2015 and </w:t>
      </w:r>
      <w:r w:rsidR="00F877BF">
        <w:t>‘</w:t>
      </w:r>
      <w:r w:rsidRPr="00626F5F">
        <w:t>the date on which the Commission publishes its determination in relation to the application of 21 April 2015</w:t>
      </w:r>
      <w:r w:rsidR="00F877BF">
        <w:t>’ (Interim A</w:t>
      </w:r>
      <w:r w:rsidRPr="00626F5F">
        <w:t>pplication).</w:t>
      </w:r>
    </w:p>
    <w:p w:rsidR="00626F5F" w:rsidRDefault="00626F5F" w:rsidP="00DE3045">
      <w:pPr>
        <w:pStyle w:val="ListNumber"/>
        <w:numPr>
          <w:ilvl w:val="0"/>
          <w:numId w:val="6"/>
        </w:numPr>
        <w:tabs>
          <w:tab w:val="left" w:pos="993"/>
          <w:tab w:val="right" w:pos="7088"/>
        </w:tabs>
        <w:ind w:left="0"/>
      </w:pPr>
      <w:r w:rsidRPr="00FF4A57">
        <w:t>On 5 May 2015</w:t>
      </w:r>
      <w:r w:rsidR="00F877BF">
        <w:t>,</w:t>
      </w:r>
      <w:r w:rsidRPr="00FF4A57">
        <w:t xml:space="preserve"> the </w:t>
      </w:r>
      <w:r w:rsidR="00F877BF">
        <w:t>T</w:t>
      </w:r>
      <w:r w:rsidRPr="00FF4A57">
        <w:t xml:space="preserve">ribunal received an application from the </w:t>
      </w:r>
      <w:r w:rsidR="00F877BF">
        <w:t>A</w:t>
      </w:r>
      <w:r w:rsidRPr="00FF4A57">
        <w:t>pplicant, People with Disability Australia</w:t>
      </w:r>
      <w:r w:rsidR="00F877BF">
        <w:t>,</w:t>
      </w:r>
      <w:r w:rsidRPr="00FF4A57">
        <w:t xml:space="preserve"> for a review of the decision </w:t>
      </w:r>
      <w:r w:rsidR="00F877BF">
        <w:t xml:space="preserve">which </w:t>
      </w:r>
      <w:r w:rsidR="00F877BF" w:rsidRPr="00FF4A57">
        <w:t>grant</w:t>
      </w:r>
      <w:r w:rsidR="00F877BF">
        <w:t>ed</w:t>
      </w:r>
      <w:r w:rsidR="00F877BF" w:rsidRPr="00FF4A57">
        <w:t xml:space="preserve"> </w:t>
      </w:r>
      <w:r w:rsidRPr="00FF4A57">
        <w:t>the exemption for four months or until a decision on the application for the further exemption.  At the same time</w:t>
      </w:r>
      <w:r w:rsidR="00F877BF">
        <w:t>,</w:t>
      </w:r>
      <w:r w:rsidRPr="00FF4A57">
        <w:t xml:space="preserve"> the </w:t>
      </w:r>
      <w:r w:rsidR="00F877BF">
        <w:t>A</w:t>
      </w:r>
      <w:r w:rsidRPr="00FF4A57">
        <w:t>pplicant applied for a stay of the decision of the Commission.  That is the decision of 30 April 2015.</w:t>
      </w:r>
    </w:p>
    <w:p w:rsidR="00626F5F" w:rsidRPr="00626F5F" w:rsidRDefault="00626F5F" w:rsidP="00626F5F">
      <w:pPr>
        <w:pStyle w:val="Heading1"/>
      </w:pPr>
      <w:r>
        <w:t>legislation</w:t>
      </w:r>
    </w:p>
    <w:p w:rsidR="00626F5F" w:rsidRPr="00FF4A57" w:rsidRDefault="00F877BF" w:rsidP="00DE3045">
      <w:pPr>
        <w:pStyle w:val="ListNumber"/>
        <w:numPr>
          <w:ilvl w:val="0"/>
          <w:numId w:val="6"/>
        </w:numPr>
        <w:tabs>
          <w:tab w:val="left" w:pos="993"/>
          <w:tab w:val="right" w:pos="7088"/>
        </w:tabs>
        <w:ind w:left="0"/>
      </w:pPr>
      <w:r>
        <w:t>The power of the T</w:t>
      </w:r>
      <w:r w:rsidR="00626F5F" w:rsidRPr="00FF4A57">
        <w:t xml:space="preserve">ribunal to stay a decision which is under review is set out in section 41 of the </w:t>
      </w:r>
      <w:r w:rsidR="00626F5F" w:rsidRPr="00F877BF">
        <w:rPr>
          <w:i/>
        </w:rPr>
        <w:t>Administrative Appeals Tribunal Act</w:t>
      </w:r>
      <w:r>
        <w:rPr>
          <w:i/>
        </w:rPr>
        <w:t xml:space="preserve"> 1975 </w:t>
      </w:r>
      <w:r>
        <w:t>(Cth)</w:t>
      </w:r>
      <w:r w:rsidR="00626F5F" w:rsidRPr="00FF4A57">
        <w:t xml:space="preserve">.  </w:t>
      </w:r>
      <w:r>
        <w:t>S</w:t>
      </w:r>
      <w:r w:rsidR="00626F5F" w:rsidRPr="00FF4A57">
        <w:t>ection 41(2) provides:</w:t>
      </w:r>
    </w:p>
    <w:p w:rsidR="00626F5F" w:rsidRDefault="00F877BF" w:rsidP="00626F5F">
      <w:pPr>
        <w:pStyle w:val="Quote2"/>
      </w:pPr>
      <w:r>
        <w:lastRenderedPageBreak/>
        <w:t>The T</w:t>
      </w:r>
      <w:r w:rsidR="00626F5F" w:rsidRPr="00626F5F">
        <w:t xml:space="preserve">ribunal may, on request being made, as prescribed, by a party to a proceeding before the tribunal (in this section referred to as the </w:t>
      </w:r>
      <w:r w:rsidR="00626F5F" w:rsidRPr="00FC6FD8">
        <w:rPr>
          <w:b/>
        </w:rPr>
        <w:t>relevant proceeding</w:t>
      </w:r>
      <w:r w:rsidR="00FC6FD8">
        <w:t>), if the T</w:t>
      </w:r>
      <w:r w:rsidR="00626F5F" w:rsidRPr="00626F5F">
        <w:t>ribunal is of the opinion that it is desirable to do so after taking into account the interest</w:t>
      </w:r>
      <w:r w:rsidR="00FC6FD8">
        <w:t>s of any persons who may be a</w:t>
      </w:r>
      <w:r w:rsidR="00626F5F" w:rsidRPr="00626F5F">
        <w:t>ffected by the review</w:t>
      </w:r>
      <w:r w:rsidR="00FC6FD8">
        <w:t>,</w:t>
      </w:r>
      <w:r w:rsidR="00626F5F" w:rsidRPr="00626F5F">
        <w:t xml:space="preserve"> make such order or orders staying or otherwise </w:t>
      </w:r>
      <w:r w:rsidR="00FC6FD8">
        <w:t>a</w:t>
      </w:r>
      <w:r w:rsidR="00626F5F" w:rsidRPr="00626F5F">
        <w:t xml:space="preserve">ffecting the operation or implementation of the decision to which the relevant proceeding relates or </w:t>
      </w:r>
      <w:r w:rsidR="00FC6FD8">
        <w:t>a part of that decision as the T</w:t>
      </w:r>
      <w:r w:rsidR="00626F5F" w:rsidRPr="00626F5F">
        <w:t>ribunal considers appropriate for the purpose of securing the effectiveness of the hearing and determination of the application for review.</w:t>
      </w:r>
    </w:p>
    <w:p w:rsidR="00FC6FD8" w:rsidRPr="00656A4D" w:rsidRDefault="00FC6FD8" w:rsidP="00626F5F">
      <w:pPr>
        <w:pStyle w:val="Quote2"/>
        <w:rPr>
          <w:i w:val="0"/>
        </w:rPr>
      </w:pPr>
      <w:r>
        <w:rPr>
          <w:i w:val="0"/>
        </w:rPr>
        <w:t>[emphasis in the original]</w:t>
      </w:r>
    </w:p>
    <w:p w:rsidR="00626F5F" w:rsidRPr="00FF4A57" w:rsidRDefault="00626F5F" w:rsidP="00626F5F">
      <w:pPr>
        <w:pStyle w:val="Heading1"/>
      </w:pPr>
      <w:r>
        <w:t>Submissions of the Applicant</w:t>
      </w:r>
    </w:p>
    <w:p w:rsidR="00626F5F" w:rsidRPr="00FF4A57" w:rsidRDefault="00FC6FD8" w:rsidP="00DE3045">
      <w:pPr>
        <w:pStyle w:val="ListNumber"/>
        <w:numPr>
          <w:ilvl w:val="0"/>
          <w:numId w:val="6"/>
        </w:numPr>
        <w:tabs>
          <w:tab w:val="left" w:pos="993"/>
          <w:tab w:val="right" w:pos="7088"/>
        </w:tabs>
        <w:ind w:left="0"/>
      </w:pPr>
      <w:r>
        <w:t>The A</w:t>
      </w:r>
      <w:r w:rsidR="00626F5F" w:rsidRPr="00FF4A57">
        <w:t>pplicant set out in detail its arguments in support of the application in both a statement of grounds and detailed submissions in support of those grounds.  Those submissions were supported by one of the other parties, the AED Legal Centre.</w:t>
      </w:r>
    </w:p>
    <w:p w:rsidR="00FC6FD8" w:rsidRDefault="00626F5F" w:rsidP="00DE3045">
      <w:pPr>
        <w:pStyle w:val="ListNumber"/>
        <w:numPr>
          <w:ilvl w:val="0"/>
          <w:numId w:val="6"/>
        </w:numPr>
        <w:tabs>
          <w:tab w:val="left" w:pos="993"/>
          <w:tab w:val="right" w:pos="7088"/>
        </w:tabs>
        <w:ind w:left="0"/>
      </w:pPr>
      <w:r w:rsidRPr="00FF4A57">
        <w:t xml:space="preserve">In summary those grounds </w:t>
      </w:r>
      <w:r w:rsidR="00656A4D">
        <w:t>are</w:t>
      </w:r>
      <w:r w:rsidRPr="00FF4A57">
        <w:t xml:space="preserve">:  </w:t>
      </w:r>
    </w:p>
    <w:p w:rsidR="00FC6FD8" w:rsidRDefault="00626F5F" w:rsidP="00DE3045">
      <w:pPr>
        <w:pStyle w:val="ListNumber"/>
        <w:numPr>
          <w:ilvl w:val="0"/>
          <w:numId w:val="11"/>
        </w:numPr>
        <w:tabs>
          <w:tab w:val="left" w:pos="993"/>
          <w:tab w:val="right" w:pos="7088"/>
        </w:tabs>
        <w:spacing w:before="120"/>
        <w:ind w:left="714" w:hanging="357"/>
      </w:pPr>
      <w:r w:rsidRPr="00FF4A57">
        <w:t xml:space="preserve">that the Commission exceeded its power in making the decision it did as it argued that it has no power to entertain or determine applications for “interim temporary exemptions”;  </w:t>
      </w:r>
    </w:p>
    <w:p w:rsidR="00FC6FD8" w:rsidRDefault="00626F5F" w:rsidP="00DE3045">
      <w:pPr>
        <w:pStyle w:val="ListNumber"/>
        <w:numPr>
          <w:ilvl w:val="0"/>
          <w:numId w:val="11"/>
        </w:numPr>
        <w:tabs>
          <w:tab w:val="left" w:pos="993"/>
          <w:tab w:val="right" w:pos="7088"/>
        </w:tabs>
        <w:spacing w:before="120"/>
        <w:ind w:left="714" w:hanging="357"/>
      </w:pPr>
      <w:r w:rsidRPr="00FF4A57">
        <w:t xml:space="preserve">that the decision results in a contravention of a modern award being the Supported Employment Services Award 2010;  </w:t>
      </w:r>
    </w:p>
    <w:p w:rsidR="00626F5F" w:rsidRPr="00FF4A57" w:rsidRDefault="00626F5F" w:rsidP="00DE3045">
      <w:pPr>
        <w:pStyle w:val="ListNumber"/>
        <w:numPr>
          <w:ilvl w:val="0"/>
          <w:numId w:val="11"/>
        </w:numPr>
        <w:tabs>
          <w:tab w:val="left" w:pos="993"/>
          <w:tab w:val="right" w:pos="7088"/>
        </w:tabs>
        <w:spacing w:before="120"/>
        <w:ind w:left="714" w:hanging="357"/>
      </w:pPr>
      <w:r w:rsidRPr="00FF4A57">
        <w:t>that the decision is not correct in law as it operates contrary to the obligation of the President of the Commission</w:t>
      </w:r>
      <w:r w:rsidR="0001671B">
        <w:t>,</w:t>
      </w:r>
      <w:r w:rsidRPr="00FF4A57">
        <w:t xml:space="preserve"> in accordance with section 46PW(3) of the </w:t>
      </w:r>
      <w:r w:rsidRPr="00FC6FD8">
        <w:rPr>
          <w:i/>
        </w:rPr>
        <w:t>Australian Human Rights Commission</w:t>
      </w:r>
      <w:r w:rsidR="00FC6FD8">
        <w:t xml:space="preserve"> </w:t>
      </w:r>
      <w:r w:rsidR="00FC6FD8">
        <w:rPr>
          <w:i/>
        </w:rPr>
        <w:t>Act</w:t>
      </w:r>
      <w:r w:rsidRPr="00FC6FD8">
        <w:rPr>
          <w:i/>
        </w:rPr>
        <w:t xml:space="preserve"> 1986</w:t>
      </w:r>
      <w:r w:rsidRPr="00FF4A57">
        <w:t xml:space="preserve"> </w:t>
      </w:r>
      <w:r w:rsidR="00FC6FD8">
        <w:t>(Cth)</w:t>
      </w:r>
      <w:r w:rsidR="0001671B">
        <w:t>,</w:t>
      </w:r>
      <w:r w:rsidR="00FC6FD8">
        <w:t xml:space="preserve"> </w:t>
      </w:r>
      <w:r w:rsidRPr="00FF4A57">
        <w:t xml:space="preserve">to refer complaints of alleged discriminatory acts under an industrial instrument </w:t>
      </w:r>
      <w:r w:rsidR="00FC6FD8">
        <w:t>to</w:t>
      </w:r>
      <w:r w:rsidRPr="00FF4A57">
        <w:t xml:space="preserve"> the Fair Work Commission to be dealt with.</w:t>
      </w:r>
    </w:p>
    <w:p w:rsidR="00FC6FD8" w:rsidRDefault="00626F5F" w:rsidP="00DE3045">
      <w:pPr>
        <w:pStyle w:val="ListNumber"/>
        <w:numPr>
          <w:ilvl w:val="0"/>
          <w:numId w:val="6"/>
        </w:numPr>
        <w:tabs>
          <w:tab w:val="left" w:pos="993"/>
          <w:tab w:val="right" w:pos="7088"/>
        </w:tabs>
        <w:ind w:left="0"/>
      </w:pPr>
      <w:r w:rsidRPr="00FF4A57">
        <w:t xml:space="preserve">It was also argued that the Commission </w:t>
      </w:r>
      <w:r w:rsidR="00FC6FD8">
        <w:t>had denied the A</w:t>
      </w:r>
      <w:r w:rsidRPr="00FF4A57">
        <w:t>pplicant procedural fairn</w:t>
      </w:r>
      <w:r w:rsidR="00FC6FD8">
        <w:t>ess as it had not provided the A</w:t>
      </w:r>
      <w:r w:rsidRPr="00FF4A57">
        <w:t>pplicant with any opportunity to be heard prior to the decision being made, that it demonstrated bias</w:t>
      </w:r>
      <w:r w:rsidR="0001671B">
        <w:t>,</w:t>
      </w:r>
      <w:r w:rsidRPr="00FF4A57">
        <w:t xml:space="preserve"> and </w:t>
      </w:r>
      <w:r w:rsidR="00FC6FD8">
        <w:t xml:space="preserve">that </w:t>
      </w:r>
      <w:r w:rsidRPr="00FF4A57">
        <w:t xml:space="preserve">the decision was not based on logically probative evidence.  </w:t>
      </w:r>
    </w:p>
    <w:p w:rsidR="00626F5F" w:rsidRDefault="00626F5F" w:rsidP="00DE3045">
      <w:pPr>
        <w:pStyle w:val="ListNumber"/>
        <w:numPr>
          <w:ilvl w:val="0"/>
          <w:numId w:val="6"/>
        </w:numPr>
        <w:tabs>
          <w:tab w:val="left" w:pos="993"/>
          <w:tab w:val="right" w:pos="7088"/>
        </w:tabs>
        <w:ind w:left="0"/>
      </w:pPr>
      <w:r w:rsidRPr="00FF4A57">
        <w:t xml:space="preserve">It was further argued that the decision was prima facie not preferable in that it was not in accordance with the objects of the </w:t>
      </w:r>
      <w:r w:rsidRPr="00FC6FD8">
        <w:rPr>
          <w:i/>
        </w:rPr>
        <w:t>Disability Discrimination Act</w:t>
      </w:r>
      <w:r w:rsidRPr="00FF4A57">
        <w:t xml:space="preserve">.  </w:t>
      </w:r>
      <w:r w:rsidR="00FC6FD8">
        <w:t xml:space="preserve">In addition, it was </w:t>
      </w:r>
      <w:r w:rsidR="00FC6FD8">
        <w:lastRenderedPageBreak/>
        <w:t xml:space="preserve">argued </w:t>
      </w:r>
      <w:r w:rsidRPr="00FF4A57">
        <w:t xml:space="preserve">that it was not preferable in that the Commission had basically followed an inappropriate procedure and inappropriate tests in coming to that decision and in failing to give sufficient consideration to </w:t>
      </w:r>
      <w:r w:rsidR="00FC6FD8">
        <w:t>a number of</w:t>
      </w:r>
      <w:r w:rsidR="00FC6FD8" w:rsidRPr="00FF4A57">
        <w:t xml:space="preserve"> </w:t>
      </w:r>
      <w:r w:rsidRPr="00FF4A57">
        <w:t>factors.</w:t>
      </w:r>
    </w:p>
    <w:p w:rsidR="00554CA0" w:rsidRPr="00FF4A57" w:rsidRDefault="00554CA0" w:rsidP="00554CA0">
      <w:pPr>
        <w:pStyle w:val="Heading1"/>
      </w:pPr>
      <w:r>
        <w:t>consideration</w:t>
      </w:r>
    </w:p>
    <w:p w:rsidR="00FC6FD8" w:rsidRDefault="00626F5F" w:rsidP="00DE3045">
      <w:pPr>
        <w:pStyle w:val="ListNumber"/>
        <w:numPr>
          <w:ilvl w:val="0"/>
          <w:numId w:val="6"/>
        </w:numPr>
        <w:tabs>
          <w:tab w:val="left" w:pos="993"/>
          <w:tab w:val="right" w:pos="7088"/>
        </w:tabs>
        <w:ind w:left="0"/>
      </w:pPr>
      <w:r w:rsidRPr="00FF4A57">
        <w:t>When I turn to consider the application</w:t>
      </w:r>
      <w:r w:rsidR="00FC6FD8">
        <w:t xml:space="preserve"> for an order staying the decision under review</w:t>
      </w:r>
      <w:r w:rsidRPr="00FF4A57">
        <w:t>, it</w:t>
      </w:r>
      <w:r>
        <w:t xml:space="preserve"> i</w:t>
      </w:r>
      <w:r w:rsidR="00FC6FD8">
        <w:t>s to be noted that the T</w:t>
      </w:r>
      <w:r w:rsidRPr="00FF4A57">
        <w:t>ribunal has adopted a broad approach in interpreting the provisions of section 41 and</w:t>
      </w:r>
      <w:r w:rsidR="00FC6FD8">
        <w:t>,</w:t>
      </w:r>
      <w:r w:rsidRPr="00FF4A57">
        <w:t xml:space="preserve"> in particular</w:t>
      </w:r>
      <w:r w:rsidR="00FC6FD8">
        <w:t>,</w:t>
      </w:r>
      <w:r w:rsidRPr="00FF4A57">
        <w:t xml:space="preserve"> in exercising the power given to it by section 41(2).  This broad</w:t>
      </w:r>
      <w:r w:rsidR="00FC6FD8">
        <w:t xml:space="preserve"> approach was confirmed by the F</w:t>
      </w:r>
      <w:r w:rsidRPr="00FF4A57">
        <w:t xml:space="preserve">ull Federal Court in </w:t>
      </w:r>
      <w:r w:rsidRPr="00FC6FD8">
        <w:rPr>
          <w:i/>
        </w:rPr>
        <w:t>Australian Securities and Investments Commission and PTLZ</w:t>
      </w:r>
      <w:r w:rsidRPr="00FF4A57">
        <w:t xml:space="preserve"> </w:t>
      </w:r>
      <w:r w:rsidR="00FC6FD8">
        <w:t>(</w:t>
      </w:r>
      <w:r w:rsidRPr="00FF4A57">
        <w:t>2008</w:t>
      </w:r>
      <w:r w:rsidR="00FC6FD8">
        <w:t>)</w:t>
      </w:r>
      <w:r w:rsidRPr="00FF4A57">
        <w:t xml:space="preserve"> 48 AAR 559.  </w:t>
      </w:r>
    </w:p>
    <w:p w:rsidR="00626F5F" w:rsidRPr="00FF4A57" w:rsidRDefault="00FC6FD8" w:rsidP="00DE3045">
      <w:pPr>
        <w:pStyle w:val="ListNumber"/>
        <w:numPr>
          <w:ilvl w:val="0"/>
          <w:numId w:val="6"/>
        </w:numPr>
        <w:tabs>
          <w:tab w:val="left" w:pos="993"/>
          <w:tab w:val="right" w:pos="7088"/>
        </w:tabs>
        <w:ind w:left="0"/>
      </w:pPr>
      <w:r>
        <w:t>W</w:t>
      </w:r>
      <w:r w:rsidR="00626F5F" w:rsidRPr="00FF4A57">
        <w:t>hilst it is clear that a broad approach is</w:t>
      </w:r>
      <w:r>
        <w:t xml:space="preserve"> to be</w:t>
      </w:r>
      <w:r w:rsidR="00626F5F" w:rsidRPr="00FF4A57">
        <w:t xml:space="preserve"> adopted and is appropriate, it is also to be noted that the section 41(2) mak</w:t>
      </w:r>
      <w:r>
        <w:t>es particular reference to the T</w:t>
      </w:r>
      <w:r w:rsidR="00626F5F" w:rsidRPr="00FF4A57">
        <w:t>ribunal considering what is appropriate:</w:t>
      </w:r>
    </w:p>
    <w:p w:rsidR="00626F5F" w:rsidRPr="00FF4A57" w:rsidRDefault="00626F5F" w:rsidP="00554CA0">
      <w:pPr>
        <w:pStyle w:val="Quote"/>
      </w:pPr>
      <w:r w:rsidRPr="00626F5F">
        <w:tab/>
      </w:r>
      <w:r w:rsidR="00FC6FD8">
        <w:t>... f</w:t>
      </w:r>
      <w:r w:rsidRPr="00626F5F">
        <w:t>or the purpose of securing the effectiveness of the hearing and determination of the application for review.</w:t>
      </w:r>
    </w:p>
    <w:p w:rsidR="00FC6FD8" w:rsidRDefault="00FC6FD8" w:rsidP="00DE3045">
      <w:pPr>
        <w:pStyle w:val="ListNumber"/>
        <w:numPr>
          <w:ilvl w:val="0"/>
          <w:numId w:val="6"/>
        </w:numPr>
        <w:tabs>
          <w:tab w:val="left" w:pos="993"/>
          <w:tab w:val="right" w:pos="7088"/>
        </w:tabs>
        <w:ind w:left="0"/>
      </w:pPr>
      <w:r>
        <w:t>I</w:t>
      </w:r>
      <w:r w:rsidR="00626F5F" w:rsidRPr="00FF4A57">
        <w:t>n many decisions exercising this power</w:t>
      </w:r>
      <w:r>
        <w:t>,</w:t>
      </w:r>
      <w:r w:rsidR="00626F5F" w:rsidRPr="00FF4A57">
        <w:t xml:space="preserve"> the </w:t>
      </w:r>
      <w:r>
        <w:t>T</w:t>
      </w:r>
      <w:r w:rsidR="00626F5F" w:rsidRPr="00FF4A57">
        <w:t>ribunal</w:t>
      </w:r>
      <w:r>
        <w:t xml:space="preserve"> generally</w:t>
      </w:r>
      <w:r w:rsidR="00626F5F" w:rsidRPr="00FF4A57">
        <w:t xml:space="preserve"> has considered the merits of the application, </w:t>
      </w:r>
      <w:r>
        <w:t>any</w:t>
      </w:r>
      <w:r w:rsidRPr="00FF4A57">
        <w:t xml:space="preserve"> </w:t>
      </w:r>
      <w:r w:rsidR="00626F5F" w:rsidRPr="00FF4A57">
        <w:t xml:space="preserve">prejudice to </w:t>
      </w:r>
      <w:r>
        <w:t xml:space="preserve">the </w:t>
      </w:r>
      <w:r w:rsidR="00626F5F" w:rsidRPr="00FF4A57">
        <w:t>parties and/or others, the public interest in the grant</w:t>
      </w:r>
      <w:r>
        <w:t xml:space="preserve"> of</w:t>
      </w:r>
      <w:r w:rsidR="00626F5F" w:rsidRPr="00FF4A57">
        <w:t xml:space="preserve"> or refusal to grant a stay, the question of whether or not the review application will be rendered nugatory if a stay </w:t>
      </w:r>
      <w:r>
        <w:t>i</w:t>
      </w:r>
      <w:r w:rsidR="00626F5F" w:rsidRPr="00FF4A57">
        <w:t xml:space="preserve">s not granted and also </w:t>
      </w:r>
      <w:r>
        <w:t xml:space="preserve">whether it </w:t>
      </w:r>
      <w:r w:rsidR="00626F5F" w:rsidRPr="00FF4A57">
        <w:t>is appropriate to preserve the status quo.</w:t>
      </w:r>
      <w:r>
        <w:t xml:space="preserve">  </w:t>
      </w:r>
    </w:p>
    <w:p w:rsidR="00626F5F" w:rsidRPr="00FF4A57" w:rsidRDefault="00FC6FD8" w:rsidP="00DE3045">
      <w:pPr>
        <w:pStyle w:val="ListNumber"/>
        <w:numPr>
          <w:ilvl w:val="0"/>
          <w:numId w:val="6"/>
        </w:numPr>
        <w:tabs>
          <w:tab w:val="left" w:pos="993"/>
          <w:tab w:val="right" w:pos="7088"/>
        </w:tabs>
        <w:ind w:left="0"/>
      </w:pPr>
      <w:r>
        <w:t>The A</w:t>
      </w:r>
      <w:r w:rsidR="00626F5F" w:rsidRPr="00FF4A57">
        <w:t xml:space="preserve">pplicant has strongly </w:t>
      </w:r>
      <w:r>
        <w:t xml:space="preserve">argued </w:t>
      </w:r>
      <w:r w:rsidR="00626F5F" w:rsidRPr="00FF4A57">
        <w:t xml:space="preserve">that the application prima facie </w:t>
      </w:r>
      <w:r>
        <w:t>has</w:t>
      </w:r>
      <w:r w:rsidR="00626F5F" w:rsidRPr="00FF4A57">
        <w:t xml:space="preserve"> merit</w:t>
      </w:r>
      <w:r w:rsidR="0071111E">
        <w:t xml:space="preserve">. </w:t>
      </w:r>
      <w:r w:rsidR="00626F5F" w:rsidRPr="00FF4A57">
        <w:t xml:space="preserve">I accept that there are arguments </w:t>
      </w:r>
      <w:r w:rsidR="0071111E">
        <w:t>which need to be</w:t>
      </w:r>
      <w:r w:rsidR="00626F5F" w:rsidRPr="00FF4A57">
        <w:t xml:space="preserve"> considered as to why there should not have been a further exemption of four months.</w:t>
      </w:r>
    </w:p>
    <w:p w:rsidR="00626F5F" w:rsidRPr="00FF4A57" w:rsidRDefault="00626F5F" w:rsidP="00DE3045">
      <w:pPr>
        <w:pStyle w:val="ListNumber"/>
        <w:numPr>
          <w:ilvl w:val="0"/>
          <w:numId w:val="6"/>
        </w:numPr>
        <w:tabs>
          <w:tab w:val="left" w:pos="993"/>
          <w:tab w:val="right" w:pos="7088"/>
        </w:tabs>
        <w:ind w:left="0"/>
      </w:pPr>
      <w:r w:rsidRPr="00FF4A57">
        <w:t xml:space="preserve">This includes arguments put on behalf of the AED Legal Centre that the Commonwealth </w:t>
      </w:r>
      <w:r w:rsidR="0071111E">
        <w:t xml:space="preserve">appears </w:t>
      </w:r>
      <w:r w:rsidRPr="00FF4A57">
        <w:t>to have not exercised control of Australian Disability Enterprises</w:t>
      </w:r>
      <w:r w:rsidR="00656A4D">
        <w:t xml:space="preserve"> and that it</w:t>
      </w:r>
      <w:r w:rsidRPr="00FF4A57">
        <w:t xml:space="preserve"> </w:t>
      </w:r>
      <w:r w:rsidR="00656A4D">
        <w:t>should have been aware from the quarterly reports that action was required to ensure that the enterprises complied with the timetable set by the Commission in April 2014. Further, it was put</w:t>
      </w:r>
      <w:r w:rsidRPr="00FF4A57">
        <w:t xml:space="preserve"> that there is a lack of evidence as to the claimed financial effects on the enterprises.</w:t>
      </w:r>
    </w:p>
    <w:p w:rsidR="00626F5F" w:rsidRPr="00FF4A57" w:rsidRDefault="00626F5F" w:rsidP="00DE3045">
      <w:pPr>
        <w:pStyle w:val="ListNumber"/>
        <w:numPr>
          <w:ilvl w:val="0"/>
          <w:numId w:val="6"/>
        </w:numPr>
        <w:tabs>
          <w:tab w:val="left" w:pos="993"/>
          <w:tab w:val="right" w:pos="7088"/>
        </w:tabs>
        <w:ind w:left="0"/>
      </w:pPr>
      <w:r w:rsidRPr="00FF4A57">
        <w:lastRenderedPageBreak/>
        <w:t>However</w:t>
      </w:r>
      <w:r w:rsidR="0071111E">
        <w:t>,</w:t>
      </w:r>
      <w:r w:rsidRPr="00FF4A57">
        <w:t xml:space="preserve"> these arguments are for resolution by the </w:t>
      </w:r>
      <w:r w:rsidR="0071111E">
        <w:t>T</w:t>
      </w:r>
      <w:r w:rsidRPr="00FF4A57">
        <w:t xml:space="preserve">ribunal on the basis of the material before it at the time of the final hearing.  It is not a matter for me to decide at this stage on what is clearly not all of the material that the parties wish to put before the </w:t>
      </w:r>
      <w:r w:rsidR="0071111E">
        <w:t>T</w:t>
      </w:r>
      <w:r w:rsidRPr="00FF4A57">
        <w:t>ribunal.  Other arguments that have been put as to procedural issues</w:t>
      </w:r>
      <w:r w:rsidR="003D0D65">
        <w:t>,</w:t>
      </w:r>
      <w:r w:rsidRPr="00FF4A57">
        <w:t xml:space="preserve"> such as the lateness of the application for a further exemption and the lack of consultation</w:t>
      </w:r>
      <w:r w:rsidR="003D0D65">
        <w:t>,</w:t>
      </w:r>
      <w:r w:rsidRPr="00FF4A57">
        <w:t xml:space="preserve"> go to the procedures adopted by the Commission.</w:t>
      </w:r>
    </w:p>
    <w:p w:rsidR="00626F5F" w:rsidRPr="00FF4A57" w:rsidRDefault="003D0D65" w:rsidP="00DE3045">
      <w:pPr>
        <w:pStyle w:val="ListNumber"/>
        <w:numPr>
          <w:ilvl w:val="0"/>
          <w:numId w:val="6"/>
        </w:numPr>
        <w:tabs>
          <w:tab w:val="left" w:pos="993"/>
          <w:tab w:val="right" w:pos="7088"/>
        </w:tabs>
        <w:ind w:left="0"/>
      </w:pPr>
      <w:r>
        <w:t>A</w:t>
      </w:r>
      <w:r w:rsidR="00626F5F" w:rsidRPr="00FF4A57">
        <w:t>s I pointed out during the hearing of this application</w:t>
      </w:r>
      <w:r>
        <w:t>,</w:t>
      </w:r>
      <w:r w:rsidR="00626F5F" w:rsidRPr="00FF4A57">
        <w:t xml:space="preserve"> it</w:t>
      </w:r>
      <w:r w:rsidR="00626F5F">
        <w:t xml:space="preserve"> i</w:t>
      </w:r>
      <w:r w:rsidR="00626F5F" w:rsidRPr="00FF4A57">
        <w:t xml:space="preserve">s </w:t>
      </w:r>
      <w:r>
        <w:t>important to remember that the T</w:t>
      </w:r>
      <w:r w:rsidR="00626F5F" w:rsidRPr="00FF4A57">
        <w:t xml:space="preserve">ribunal stands in the shoes of the original decision maker and makes a fresh decision.  </w:t>
      </w:r>
      <w:r w:rsidR="00FD3269">
        <w:t>M</w:t>
      </w:r>
      <w:r w:rsidR="00626F5F" w:rsidRPr="00FF4A57">
        <w:t>any of the alleged shortcomings in the procedures which gave rise to the reviewable decision may not be relevant to the mak</w:t>
      </w:r>
      <w:r>
        <w:t>ing of a fresh decision by the T</w:t>
      </w:r>
      <w:r w:rsidR="00626F5F" w:rsidRPr="00FF4A57">
        <w:t>ribunal.</w:t>
      </w:r>
    </w:p>
    <w:p w:rsidR="00626F5F" w:rsidRPr="00FF4A57" w:rsidRDefault="00626F5F" w:rsidP="00DE3045">
      <w:pPr>
        <w:pStyle w:val="ListNumber"/>
        <w:numPr>
          <w:ilvl w:val="0"/>
          <w:numId w:val="6"/>
        </w:numPr>
        <w:tabs>
          <w:tab w:val="left" w:pos="993"/>
          <w:tab w:val="right" w:pos="7088"/>
        </w:tabs>
        <w:ind w:left="0"/>
      </w:pPr>
      <w:r w:rsidRPr="00FF4A57">
        <w:t>A further argument was advanced that it was beyond the power of the Commission to make “an interim exemption”.  There is reference to such an interim procedure in the reviewable decision where the Commission said:</w:t>
      </w:r>
      <w:r w:rsidR="003D0D65">
        <w:rPr>
          <w:rStyle w:val="FootnoteReference"/>
        </w:rPr>
        <w:footnoteReference w:id="7"/>
      </w:r>
    </w:p>
    <w:p w:rsidR="00626F5F" w:rsidRPr="00FF4A57" w:rsidRDefault="00626F5F" w:rsidP="00554CA0">
      <w:pPr>
        <w:pStyle w:val="Quote"/>
      </w:pPr>
      <w:r w:rsidRPr="00626F5F">
        <w:tab/>
        <w:t>The Commission considers that the grant of an interim exemption is necessary to maintain the status quo and provide certainty of obligations for the applicants and employees pending the Commission'</w:t>
      </w:r>
      <w:r w:rsidR="00FD3269">
        <w:t>s decision with respect to the Primary A</w:t>
      </w:r>
      <w:r w:rsidRPr="00626F5F">
        <w:t>pplication.</w:t>
      </w:r>
    </w:p>
    <w:p w:rsidR="00FD3269" w:rsidRDefault="00FD3269" w:rsidP="00DE3045">
      <w:pPr>
        <w:pStyle w:val="ListNumber"/>
        <w:numPr>
          <w:ilvl w:val="0"/>
          <w:numId w:val="6"/>
        </w:numPr>
        <w:tabs>
          <w:tab w:val="left" w:pos="993"/>
          <w:tab w:val="right" w:pos="7088"/>
        </w:tabs>
        <w:ind w:left="0"/>
      </w:pPr>
      <w:r>
        <w:t xml:space="preserve">In my view, </w:t>
      </w:r>
      <w:r w:rsidR="00626F5F" w:rsidRPr="00FF4A57">
        <w:t xml:space="preserve">a fair reading of the decision under review makes it perfectly clear that the power that was exercised was the power given by section 55 to grant a further exemption.  </w:t>
      </w:r>
    </w:p>
    <w:p w:rsidR="00626F5F" w:rsidRPr="00FF4A57" w:rsidRDefault="00626F5F" w:rsidP="00DE3045">
      <w:pPr>
        <w:pStyle w:val="ListNumber"/>
        <w:numPr>
          <w:ilvl w:val="0"/>
          <w:numId w:val="6"/>
        </w:numPr>
        <w:tabs>
          <w:tab w:val="left" w:pos="993"/>
          <w:tab w:val="right" w:pos="7088"/>
        </w:tabs>
        <w:ind w:left="0"/>
      </w:pPr>
      <w:r w:rsidRPr="00FF4A57">
        <w:t xml:space="preserve">An argument </w:t>
      </w:r>
      <w:r w:rsidR="00FD3269">
        <w:t>was</w:t>
      </w:r>
      <w:r w:rsidR="00FD3269" w:rsidRPr="00FF4A57">
        <w:t xml:space="preserve"> </w:t>
      </w:r>
      <w:r w:rsidRPr="00FF4A57">
        <w:t>very strongly put that there is a need</w:t>
      </w:r>
      <w:r w:rsidR="00FD3269">
        <w:t>,</w:t>
      </w:r>
      <w:r w:rsidRPr="00FF4A57">
        <w:t xml:space="preserve"> as</w:t>
      </w:r>
      <w:r w:rsidR="00FD3269">
        <w:t xml:space="preserve"> is</w:t>
      </w:r>
      <w:r w:rsidRPr="00FF4A57">
        <w:t xml:space="preserve"> clearly the case</w:t>
      </w:r>
      <w:r w:rsidR="00FD3269">
        <w:t>,</w:t>
      </w:r>
      <w:r w:rsidRPr="00FF4A57">
        <w:t xml:space="preserve"> to balance the interests of the supported employees and those of the various enterprises.  It was put that the employees have been subject to discrimination and that the effect of the decision under review is to extend the period in which that discrimination continues.</w:t>
      </w:r>
    </w:p>
    <w:p w:rsidR="00FD3269" w:rsidRDefault="00626F5F" w:rsidP="00DE3045">
      <w:pPr>
        <w:pStyle w:val="ListNumber"/>
        <w:numPr>
          <w:ilvl w:val="0"/>
          <w:numId w:val="6"/>
        </w:numPr>
        <w:tabs>
          <w:tab w:val="left" w:pos="993"/>
          <w:tab w:val="right" w:pos="7088"/>
        </w:tabs>
        <w:ind w:left="0"/>
      </w:pPr>
      <w:r w:rsidRPr="00FF4A57">
        <w:t xml:space="preserve">It was put that there has been an expectation that the discrimination would end at the expiration of the 12 month </w:t>
      </w:r>
      <w:r w:rsidR="00B40915" w:rsidRPr="00FF4A57">
        <w:t>exemption</w:t>
      </w:r>
      <w:r w:rsidR="00B40915">
        <w:t>; that</w:t>
      </w:r>
      <w:r w:rsidRPr="00FF4A57">
        <w:t xml:space="preserve"> is on 29 April 2015.  However</w:t>
      </w:r>
      <w:r w:rsidR="00FD3269">
        <w:t>,</w:t>
      </w:r>
      <w:r w:rsidRPr="00FF4A57">
        <w:t xml:space="preserve"> that </w:t>
      </w:r>
      <w:r w:rsidRPr="00FF4A57">
        <w:lastRenderedPageBreak/>
        <w:t xml:space="preserve">expectation must always have been qualified by the knowledge that the provisions of the Act do allow for a further exemption.  </w:t>
      </w:r>
    </w:p>
    <w:p w:rsidR="0001671B" w:rsidRDefault="00626F5F" w:rsidP="00DE3045">
      <w:pPr>
        <w:pStyle w:val="ListNumber"/>
        <w:numPr>
          <w:ilvl w:val="0"/>
          <w:numId w:val="6"/>
        </w:numPr>
        <w:tabs>
          <w:tab w:val="left" w:pos="993"/>
          <w:tab w:val="right" w:pos="7088"/>
        </w:tabs>
        <w:ind w:left="0"/>
      </w:pPr>
      <w:r w:rsidRPr="00FF4A57">
        <w:t>I have considered the status quo</w:t>
      </w:r>
      <w:r w:rsidR="00FD3269">
        <w:t>. I</w:t>
      </w:r>
      <w:r w:rsidRPr="00FF4A57">
        <w:t xml:space="preserve">t was argued on behalf of the </w:t>
      </w:r>
      <w:r w:rsidR="00FD3269">
        <w:t>A</w:t>
      </w:r>
      <w:r w:rsidRPr="00FF4A57">
        <w:t>pplicant that the normal situation or the status quo is that the employees are entitled not to be subject to discrimination.</w:t>
      </w:r>
      <w:r w:rsidR="00FD3269">
        <w:t xml:space="preserve"> Nevertheless,</w:t>
      </w:r>
      <w:r w:rsidR="0001671B">
        <w:t xml:space="preserve"> </w:t>
      </w:r>
      <w:r w:rsidRPr="00FF4A57">
        <w:t>when I consider the status quo at the time the decision was made, I</w:t>
      </w:r>
      <w:r>
        <w:t xml:space="preserve"> a</w:t>
      </w:r>
      <w:r w:rsidRPr="00FF4A57">
        <w:t xml:space="preserve">m satisfied that the status quo is that the Australian Disability Enterprises were subject to an exemption.  </w:t>
      </w:r>
    </w:p>
    <w:p w:rsidR="00626F5F" w:rsidRPr="00FF4A57" w:rsidRDefault="00626F5F" w:rsidP="00DE3045">
      <w:pPr>
        <w:pStyle w:val="ListNumber"/>
        <w:numPr>
          <w:ilvl w:val="0"/>
          <w:numId w:val="6"/>
        </w:numPr>
        <w:tabs>
          <w:tab w:val="left" w:pos="993"/>
          <w:tab w:val="right" w:pos="7088"/>
        </w:tabs>
        <w:ind w:left="0"/>
      </w:pPr>
      <w:r w:rsidRPr="00FF4A57">
        <w:t xml:space="preserve">To decide otherwise in my view would create a great deal of uncertainty for all concerned. If I was to grant the stay requested there would be </w:t>
      </w:r>
      <w:r w:rsidR="00656A4D">
        <w:t>the</w:t>
      </w:r>
      <w:r w:rsidRPr="00FF4A57">
        <w:t xml:space="preserve"> prospect that the enterprises were exempt until 29 April 2015.  There may have been a very short period in which they were not exempt until the decision under review was made on 30 April 2015.  They then would remain exempt until my decision today</w:t>
      </w:r>
      <w:r w:rsidR="00FD3269">
        <w:t>,</w:t>
      </w:r>
      <w:r w:rsidRPr="00FF4A57">
        <w:t xml:space="preserve"> if I was to grant the stay</w:t>
      </w:r>
      <w:r w:rsidR="00FD3269">
        <w:t>,</w:t>
      </w:r>
      <w:r w:rsidRPr="00FF4A57">
        <w:t xml:space="preserve"> and they would then not be exempt from the time the stay </w:t>
      </w:r>
      <w:r w:rsidR="00656A4D">
        <w:t>came</w:t>
      </w:r>
      <w:r w:rsidRPr="00FF4A57">
        <w:t xml:space="preserve"> into effect.</w:t>
      </w:r>
    </w:p>
    <w:p w:rsidR="00814151" w:rsidRDefault="00626F5F" w:rsidP="00DE3045">
      <w:pPr>
        <w:pStyle w:val="ListNumber"/>
        <w:numPr>
          <w:ilvl w:val="0"/>
          <w:numId w:val="9"/>
        </w:numPr>
        <w:ind w:left="0"/>
      </w:pPr>
      <w:r w:rsidRPr="00FF4A57">
        <w:t>That may change at any time, depending on the Commissioner</w:t>
      </w:r>
      <w:r>
        <w:t>'</w:t>
      </w:r>
      <w:r w:rsidRPr="00FF4A57">
        <w:t>s decision on the application for a further exemption.  It may</w:t>
      </w:r>
      <w:r w:rsidR="0001671B">
        <w:t xml:space="preserve"> also</w:t>
      </w:r>
      <w:r w:rsidRPr="00FF4A57">
        <w:t xml:space="preserve"> change at the tim</w:t>
      </w:r>
      <w:r w:rsidR="00FD3269">
        <w:t>e of the final decision of the T</w:t>
      </w:r>
      <w:r w:rsidRPr="00FF4A57">
        <w:t>ribunal which I propose to be deal</w:t>
      </w:r>
      <w:r w:rsidR="00FD3269">
        <w:t xml:space="preserve">t with as quickly as possible. </w:t>
      </w:r>
      <w:r w:rsidR="00814151">
        <w:t xml:space="preserve">In my view, the uncertainties for both the employees and for </w:t>
      </w:r>
      <w:r w:rsidR="00814151" w:rsidRPr="00FF4A57">
        <w:t>Australian Disability Enterprises</w:t>
      </w:r>
      <w:r w:rsidR="00814151">
        <w:t xml:space="preserve"> that such a situation would create should not be entertained.</w:t>
      </w:r>
    </w:p>
    <w:p w:rsidR="00626F5F" w:rsidRPr="00FF4A57" w:rsidRDefault="00626F5F" w:rsidP="00DE3045">
      <w:pPr>
        <w:pStyle w:val="ListNumber"/>
        <w:numPr>
          <w:ilvl w:val="0"/>
          <w:numId w:val="6"/>
        </w:numPr>
        <w:tabs>
          <w:tab w:val="left" w:pos="993"/>
          <w:tab w:val="right" w:pos="7088"/>
        </w:tabs>
        <w:ind w:left="0"/>
      </w:pPr>
      <w:r w:rsidRPr="00FF4A57">
        <w:t>I also take into account that</w:t>
      </w:r>
      <w:r w:rsidR="00FD3269">
        <w:t>,</w:t>
      </w:r>
      <w:r w:rsidRPr="00FF4A57">
        <w:t xml:space="preserve"> if I was to decide today to grant a stay</w:t>
      </w:r>
      <w:r w:rsidR="00FD3269">
        <w:t>,</w:t>
      </w:r>
      <w:r w:rsidRPr="00FF4A57">
        <w:t xml:space="preserve"> it would in effect </w:t>
      </w:r>
      <w:r w:rsidR="00FD3269">
        <w:t>render a final decision of the T</w:t>
      </w:r>
      <w:r w:rsidRPr="00FF4A57">
        <w:t>ribunal of very little</w:t>
      </w:r>
      <w:r w:rsidR="0001671B">
        <w:t>,</w:t>
      </w:r>
      <w:r w:rsidRPr="00FF4A57">
        <w:t xml:space="preserve"> if any</w:t>
      </w:r>
      <w:r w:rsidR="0001671B">
        <w:t>,</w:t>
      </w:r>
      <w:r w:rsidRPr="00FF4A57">
        <w:t xml:space="preserve"> effect.  </w:t>
      </w:r>
      <w:r w:rsidR="00FD3269">
        <w:t>A</w:t>
      </w:r>
      <w:r w:rsidRPr="00FF4A57">
        <w:t>llowing for reasonable time for the parties</w:t>
      </w:r>
      <w:r w:rsidR="00FD3269">
        <w:t xml:space="preserve"> to prepare for a final hearing,</w:t>
      </w:r>
      <w:r w:rsidRPr="00FF4A57">
        <w:t xml:space="preserve"> it is</w:t>
      </w:r>
      <w:r w:rsidR="00FD3269">
        <w:t xml:space="preserve"> virtually impossible that the h</w:t>
      </w:r>
      <w:r w:rsidRPr="00FF4A57">
        <w:t>earing could be held before July</w:t>
      </w:r>
      <w:r w:rsidR="00B336D0">
        <w:t>.</w:t>
      </w:r>
      <w:r w:rsidRPr="00FF4A57">
        <w:t xml:space="preserve"> </w:t>
      </w:r>
      <w:r w:rsidR="00B336D0">
        <w:t>A</w:t>
      </w:r>
      <w:r w:rsidRPr="00FF4A57">
        <w:t>llowing for time for the decision to be considered and published</w:t>
      </w:r>
      <w:r w:rsidR="00B336D0">
        <w:t>,</w:t>
      </w:r>
      <w:r w:rsidRPr="00FF4A57">
        <w:t xml:space="preserve"> </w:t>
      </w:r>
      <w:r w:rsidR="00B336D0">
        <w:t>i</w:t>
      </w:r>
      <w:r w:rsidRPr="00FF4A57">
        <w:t>t would only be a matter of weeks before the decision under review would cease to have effect in any event</w:t>
      </w:r>
      <w:r w:rsidR="00B336D0">
        <w:t>;</w:t>
      </w:r>
      <w:r w:rsidR="00656A4D">
        <w:t xml:space="preserve"> </w:t>
      </w:r>
      <w:r w:rsidR="00B336D0">
        <w:t>t</w:t>
      </w:r>
      <w:r w:rsidRPr="00FF4A57">
        <w:t>hat is</w:t>
      </w:r>
      <w:r w:rsidR="00B336D0">
        <w:t>,</w:t>
      </w:r>
      <w:r w:rsidRPr="00FF4A57">
        <w:t xml:space="preserve"> at the end of August 2015.</w:t>
      </w:r>
    </w:p>
    <w:p w:rsidR="00554CA0" w:rsidRDefault="00626F5F" w:rsidP="00DE3045">
      <w:pPr>
        <w:pStyle w:val="ListNumber"/>
        <w:numPr>
          <w:ilvl w:val="0"/>
          <w:numId w:val="6"/>
        </w:numPr>
        <w:tabs>
          <w:tab w:val="left" w:pos="993"/>
          <w:tab w:val="right" w:pos="7088"/>
        </w:tabs>
        <w:ind w:left="0"/>
      </w:pPr>
      <w:r w:rsidRPr="00FF4A57">
        <w:t xml:space="preserve">Of course in the meantime, the Commission may have made its decision </w:t>
      </w:r>
      <w:r w:rsidR="00B336D0">
        <w:t xml:space="preserve">which may </w:t>
      </w:r>
      <w:r w:rsidRPr="00FF4A57">
        <w:t>bring to an end the present exemption in any event.  I have therefore concluded that it is not in the best interests of the parties</w:t>
      </w:r>
      <w:r w:rsidR="00B336D0">
        <w:t>,</w:t>
      </w:r>
      <w:r w:rsidRPr="00FF4A57">
        <w:t xml:space="preserve"> of the employees</w:t>
      </w:r>
      <w:r w:rsidR="00B336D0">
        <w:t>,</w:t>
      </w:r>
      <w:r w:rsidRPr="00FF4A57">
        <w:t xml:space="preserve"> or of the enterprises that the stay be granted.  I </w:t>
      </w:r>
      <w:r w:rsidR="00B336D0">
        <w:t xml:space="preserve">have </w:t>
      </w:r>
      <w:r w:rsidRPr="00FF4A57">
        <w:t xml:space="preserve">also taken into account that there is a public interest in certainty of </w:t>
      </w:r>
      <w:r w:rsidRPr="00FF4A57">
        <w:lastRenderedPageBreak/>
        <w:t>public administration and the scenario that I</w:t>
      </w:r>
      <w:r>
        <w:t xml:space="preserve"> ha</w:t>
      </w:r>
      <w:r w:rsidRPr="00FF4A57">
        <w:t xml:space="preserve">ve outlined would certainly not give that certainty.  </w:t>
      </w:r>
    </w:p>
    <w:p w:rsidR="00554CA0" w:rsidRDefault="00554CA0" w:rsidP="00554CA0">
      <w:pPr>
        <w:pStyle w:val="Heading1"/>
      </w:pPr>
      <w:r>
        <w:t>interlocutory decision</w:t>
      </w:r>
    </w:p>
    <w:p w:rsidR="000176A5" w:rsidRDefault="00B336D0" w:rsidP="00DE3045">
      <w:pPr>
        <w:pStyle w:val="ListNumber"/>
        <w:numPr>
          <w:ilvl w:val="0"/>
          <w:numId w:val="6"/>
        </w:numPr>
        <w:tabs>
          <w:tab w:val="left" w:pos="993"/>
          <w:tab w:val="right" w:pos="7088"/>
        </w:tabs>
        <w:ind w:left="0"/>
      </w:pPr>
      <w:r>
        <w:t>T</w:t>
      </w:r>
      <w:r w:rsidR="00626F5F" w:rsidRPr="00FF4A57">
        <w:t>he application</w:t>
      </w:r>
      <w:r>
        <w:t>, lodged on 5 May 2015,</w:t>
      </w:r>
      <w:r w:rsidR="00626F5F" w:rsidRPr="00FF4A57">
        <w:t xml:space="preserve"> for a stay of the decision under review is refused.</w:t>
      </w:r>
    </w:p>
    <w:p w:rsidR="00B40915" w:rsidRDefault="00B40915" w:rsidP="00B40915">
      <w:pPr>
        <w:pStyle w:val="ListNumber"/>
        <w:numPr>
          <w:ilvl w:val="0"/>
          <w:numId w:val="0"/>
        </w:numPr>
        <w:tabs>
          <w:tab w:val="left" w:pos="993"/>
          <w:tab w:val="right" w:pos="7088"/>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51"/>
      </w:tblGrid>
      <w:tr w:rsidR="00656A4D" w:rsidTr="00591EF1">
        <w:tc>
          <w:tcPr>
            <w:tcW w:w="3651" w:type="dxa"/>
          </w:tcPr>
          <w:p w:rsidR="00656A4D" w:rsidRDefault="00656A4D" w:rsidP="002561FC">
            <w:pPr>
              <w:pStyle w:val="NoSpacing"/>
            </w:pPr>
            <w:r>
              <w:t xml:space="preserve">I </w:t>
            </w:r>
            <w:bookmarkStart w:id="10" w:name="StartStamp"/>
            <w:bookmarkEnd w:id="10"/>
            <w:r>
              <w:t xml:space="preserve">certify that the </w:t>
            </w:r>
            <w:r w:rsidRPr="000A3D70">
              <w:t>preceding</w:t>
            </w:r>
            <w:r>
              <w:t xml:space="preserve"> </w:t>
            </w:r>
            <w:bookmarkStart w:id="11" w:name="NumParas"/>
            <w:bookmarkEnd w:id="11"/>
            <w:r>
              <w:t>4</w:t>
            </w:r>
            <w:r w:rsidR="002561FC">
              <w:t>1</w:t>
            </w:r>
            <w:r>
              <w:t xml:space="preserve"> (forty -</w:t>
            </w:r>
            <w:r w:rsidR="002561FC">
              <w:t>one</w:t>
            </w:r>
            <w:r>
              <w:t xml:space="preserve">) </w:t>
            </w:r>
            <w:r w:rsidRPr="000A3D70">
              <w:t xml:space="preserve">paragraphs are a true copy of the </w:t>
            </w:r>
            <w:r w:rsidR="00B40915">
              <w:t xml:space="preserve">edited oral </w:t>
            </w:r>
            <w:r w:rsidRPr="000A3D70">
              <w:t>reasons for the decision herein of</w:t>
            </w:r>
            <w:r>
              <w:t xml:space="preserve"> </w:t>
            </w:r>
            <w:r w:rsidRPr="00483D56">
              <w:fldChar w:fldCharType="begin"/>
            </w:r>
            <w:r w:rsidRPr="00483D56">
              <w:instrText xml:space="preserve"> DOCPROPERTY  Tribunal</w:instrText>
            </w:r>
            <w:r>
              <w:instrText>LastPgForm</w:instrText>
            </w:r>
            <w:r w:rsidRPr="00483D56">
              <w:fldChar w:fldCharType="separate"/>
            </w:r>
            <w:r w:rsidR="00B40915">
              <w:t>Deputy President J W Constance</w:t>
            </w:r>
            <w:r w:rsidRPr="00483D56">
              <w:fldChar w:fldCharType="end"/>
            </w:r>
          </w:p>
        </w:tc>
      </w:tr>
    </w:tbl>
    <w:p w:rsidR="00656A4D" w:rsidRPr="00BC2D09" w:rsidRDefault="00656A4D" w:rsidP="004365B2">
      <w:pPr>
        <w:keepNext/>
        <w:spacing w:before="960"/>
        <w:rPr>
          <w:lang w:eastAsia="en-US"/>
        </w:rPr>
      </w:pPr>
      <w:r w:rsidRPr="00BC2D09">
        <w:rPr>
          <w:lang w:eastAsia="en-US"/>
        </w:rPr>
        <w:t>..........................</w:t>
      </w:r>
      <w:r w:rsidR="00F92966">
        <w:rPr>
          <w:b/>
          <w:lang w:eastAsia="en-US"/>
        </w:rPr>
        <w:t>[sgd]</w:t>
      </w:r>
      <w:r w:rsidRPr="00BC2D09">
        <w:rPr>
          <w:lang w:eastAsia="en-US"/>
        </w:rPr>
        <w:t>..............................................</w:t>
      </w:r>
    </w:p>
    <w:p w:rsidR="00656A4D" w:rsidRPr="00D8769A" w:rsidRDefault="00E56395" w:rsidP="00814E7C">
      <w:pPr>
        <w:pStyle w:val="NoSpacing"/>
      </w:pPr>
      <w:fldSimple w:instr=" DOCPROPERTY  SigneeDesignation ">
        <w:r w:rsidR="00B40915">
          <w:t>Associate</w:t>
        </w:r>
      </w:fldSimple>
    </w:p>
    <w:p w:rsidR="00656A4D" w:rsidRDefault="00656A4D" w:rsidP="004365B2">
      <w:r>
        <w:t xml:space="preserve">Dated </w:t>
      </w:r>
      <w:fldSimple w:instr=" DOCPROPERTY  StampDate ">
        <w:r w:rsidR="009A190B">
          <w:t>12</w:t>
        </w:r>
        <w:r w:rsidR="00B40915">
          <w:t xml:space="preserve"> June 2015</w:t>
        </w:r>
      </w:fldSimple>
    </w:p>
    <w:p w:rsidR="00656A4D" w:rsidRDefault="00656A4D" w:rsidP="004365B2"/>
    <w:tbl>
      <w:tblPr>
        <w:tblW w:w="0" w:type="auto"/>
        <w:tblLayout w:type="fixed"/>
        <w:tblLook w:val="00A0" w:firstRow="1" w:lastRow="0" w:firstColumn="1" w:lastColumn="0" w:noHBand="0" w:noVBand="0"/>
      </w:tblPr>
      <w:tblGrid>
        <w:gridCol w:w="3510"/>
        <w:gridCol w:w="5279"/>
      </w:tblGrid>
      <w:tr w:rsidR="00656A4D" w:rsidRPr="00BC2D09" w:rsidTr="004365B2">
        <w:trPr>
          <w:trHeight w:val="567"/>
        </w:trPr>
        <w:tc>
          <w:tcPr>
            <w:tcW w:w="3510" w:type="dxa"/>
          </w:tcPr>
          <w:p w:rsidR="00656A4D" w:rsidRPr="00BC2D09" w:rsidRDefault="00656A4D" w:rsidP="004365B2">
            <w:pPr>
              <w:pStyle w:val="NoSpacing"/>
              <w:rPr>
                <w:lang w:eastAsia="en-US"/>
              </w:rPr>
            </w:pPr>
            <w:r>
              <w:rPr>
                <w:lang w:eastAsia="en-US"/>
              </w:rPr>
              <w:t>Date(s) of hearing</w:t>
            </w:r>
          </w:p>
        </w:tc>
        <w:tc>
          <w:tcPr>
            <w:tcW w:w="5279" w:type="dxa"/>
          </w:tcPr>
          <w:p w:rsidR="00656A4D" w:rsidRPr="00771CAC" w:rsidRDefault="00B40915" w:rsidP="004365B2">
            <w:pPr>
              <w:pStyle w:val="NoSpacing"/>
              <w:rPr>
                <w:b/>
                <w:bCs/>
                <w:lang w:eastAsia="en-US"/>
              </w:rPr>
            </w:pPr>
            <w:r>
              <w:rPr>
                <w:b/>
                <w:bCs/>
                <w:lang w:eastAsia="en-US"/>
              </w:rPr>
              <w:t>4 June 2015</w:t>
            </w:r>
          </w:p>
        </w:tc>
      </w:tr>
      <w:tr w:rsidR="00656A4D" w:rsidRPr="00BC2D09" w:rsidTr="004365B2">
        <w:trPr>
          <w:trHeight w:val="567"/>
        </w:trPr>
        <w:tc>
          <w:tcPr>
            <w:tcW w:w="3510" w:type="dxa"/>
          </w:tcPr>
          <w:p w:rsidR="00656A4D" w:rsidRPr="00BC2D09" w:rsidRDefault="00656A4D" w:rsidP="004365B2">
            <w:pPr>
              <w:pStyle w:val="NoSpacing"/>
              <w:rPr>
                <w:lang w:eastAsia="en-US"/>
              </w:rPr>
            </w:pPr>
            <w:bookmarkStart w:id="12" w:name="DateFinalSubmission"/>
            <w:bookmarkEnd w:id="12"/>
            <w:r>
              <w:rPr>
                <w:lang w:eastAsia="en-US"/>
              </w:rPr>
              <w:t>Date final submissions received</w:t>
            </w:r>
          </w:p>
        </w:tc>
        <w:tc>
          <w:tcPr>
            <w:tcW w:w="5279" w:type="dxa"/>
          </w:tcPr>
          <w:p w:rsidR="00656A4D" w:rsidRPr="00771CAC" w:rsidRDefault="00B40915" w:rsidP="004365B2">
            <w:pPr>
              <w:pStyle w:val="NoSpacing"/>
              <w:rPr>
                <w:b/>
                <w:bCs/>
                <w:lang w:eastAsia="en-US"/>
              </w:rPr>
            </w:pPr>
            <w:r>
              <w:rPr>
                <w:b/>
                <w:bCs/>
                <w:lang w:eastAsia="en-US"/>
              </w:rPr>
              <w:t>4 June 2015</w:t>
            </w:r>
          </w:p>
        </w:tc>
      </w:tr>
      <w:tr w:rsidR="00656A4D" w:rsidRPr="00BC2D09" w:rsidTr="004365B2">
        <w:trPr>
          <w:trHeight w:val="567"/>
        </w:trPr>
        <w:tc>
          <w:tcPr>
            <w:tcW w:w="3510" w:type="dxa"/>
          </w:tcPr>
          <w:p w:rsidR="00656A4D" w:rsidRPr="00BC2D09" w:rsidRDefault="00656A4D" w:rsidP="004365B2">
            <w:pPr>
              <w:pStyle w:val="NoSpacing"/>
              <w:rPr>
                <w:lang w:eastAsia="en-US"/>
              </w:rPr>
            </w:pPr>
            <w:bookmarkStart w:id="13" w:name="AppSelfRepresented"/>
            <w:bookmarkEnd w:id="13"/>
            <w:r>
              <w:rPr>
                <w:lang w:eastAsia="en-US"/>
              </w:rPr>
              <w:t>Applicant</w:t>
            </w:r>
          </w:p>
        </w:tc>
        <w:tc>
          <w:tcPr>
            <w:tcW w:w="5279" w:type="dxa"/>
          </w:tcPr>
          <w:p w:rsidR="00656A4D" w:rsidRPr="00771CAC" w:rsidRDefault="00656A4D" w:rsidP="00B40915">
            <w:pPr>
              <w:pStyle w:val="NoSpacing"/>
              <w:rPr>
                <w:b/>
                <w:bCs/>
                <w:lang w:eastAsia="en-US"/>
              </w:rPr>
            </w:pPr>
            <w:r>
              <w:rPr>
                <w:b/>
                <w:bCs/>
                <w:lang w:eastAsia="en-US"/>
              </w:rPr>
              <w:t>P French</w:t>
            </w:r>
          </w:p>
        </w:tc>
      </w:tr>
      <w:tr w:rsidR="00656A4D" w:rsidRPr="00BC2D09" w:rsidTr="004365B2">
        <w:trPr>
          <w:trHeight w:val="567"/>
        </w:trPr>
        <w:tc>
          <w:tcPr>
            <w:tcW w:w="3510" w:type="dxa"/>
          </w:tcPr>
          <w:p w:rsidR="00656A4D" w:rsidRDefault="00656A4D" w:rsidP="004365B2">
            <w:pPr>
              <w:pStyle w:val="NoSpacing"/>
              <w:rPr>
                <w:lang w:eastAsia="en-US"/>
              </w:rPr>
            </w:pPr>
            <w:bookmarkStart w:id="14" w:name="Respondent_SelfRepresented"/>
            <w:bookmarkEnd w:id="14"/>
            <w:r>
              <w:rPr>
                <w:lang w:eastAsia="en-US"/>
              </w:rPr>
              <w:t>Respondent</w:t>
            </w:r>
          </w:p>
        </w:tc>
        <w:tc>
          <w:tcPr>
            <w:tcW w:w="5279" w:type="dxa"/>
          </w:tcPr>
          <w:p w:rsidR="00656A4D" w:rsidRDefault="00B40915" w:rsidP="004365B2">
            <w:pPr>
              <w:pStyle w:val="NoSpacing"/>
              <w:rPr>
                <w:b/>
                <w:bCs/>
                <w:lang w:eastAsia="en-US"/>
              </w:rPr>
            </w:pPr>
            <w:r>
              <w:rPr>
                <w:b/>
                <w:bCs/>
                <w:lang w:eastAsia="en-US"/>
              </w:rPr>
              <w:t>M Lindley</w:t>
            </w:r>
          </w:p>
          <w:p w:rsidR="00B40915" w:rsidRPr="00771CAC" w:rsidRDefault="00B40915" w:rsidP="004365B2">
            <w:pPr>
              <w:pStyle w:val="NoSpacing"/>
              <w:rPr>
                <w:b/>
                <w:bCs/>
                <w:lang w:eastAsia="en-US"/>
              </w:rPr>
            </w:pPr>
          </w:p>
        </w:tc>
      </w:tr>
      <w:tr w:rsidR="009A190B" w:rsidRPr="00BC2D09" w:rsidTr="004365B2">
        <w:trPr>
          <w:trHeight w:val="567"/>
        </w:trPr>
        <w:tc>
          <w:tcPr>
            <w:tcW w:w="3510" w:type="dxa"/>
          </w:tcPr>
          <w:p w:rsidR="009A190B" w:rsidRDefault="009A190B" w:rsidP="004E0E9B">
            <w:pPr>
              <w:pStyle w:val="NoSpacing"/>
              <w:rPr>
                <w:lang w:eastAsia="en-US"/>
              </w:rPr>
            </w:pPr>
            <w:bookmarkStart w:id="15" w:name="Joined_Solicitors"/>
            <w:bookmarkEnd w:id="15"/>
            <w:r>
              <w:rPr>
                <w:lang w:eastAsia="en-US"/>
              </w:rPr>
              <w:t>Solicitors for the Secretary</w:t>
            </w:r>
          </w:p>
        </w:tc>
        <w:tc>
          <w:tcPr>
            <w:tcW w:w="5279" w:type="dxa"/>
          </w:tcPr>
          <w:p w:rsidR="009A190B" w:rsidRPr="00771CAC" w:rsidRDefault="009A190B" w:rsidP="004E0E9B">
            <w:pPr>
              <w:pStyle w:val="NoSpacing"/>
              <w:rPr>
                <w:b/>
                <w:bCs/>
                <w:lang w:eastAsia="en-US"/>
              </w:rPr>
            </w:pPr>
            <w:r>
              <w:rPr>
                <w:b/>
                <w:bCs/>
                <w:lang w:eastAsia="en-US"/>
              </w:rPr>
              <w:t>H Dejean; Australian Government Solicitor</w:t>
            </w:r>
          </w:p>
        </w:tc>
      </w:tr>
      <w:tr w:rsidR="009A190B" w:rsidRPr="00BC2D09" w:rsidTr="004365B2">
        <w:trPr>
          <w:trHeight w:val="567"/>
        </w:trPr>
        <w:tc>
          <w:tcPr>
            <w:tcW w:w="3510" w:type="dxa"/>
          </w:tcPr>
          <w:p w:rsidR="009A190B" w:rsidRDefault="009A190B" w:rsidP="004365B2">
            <w:pPr>
              <w:pStyle w:val="NoSpacing"/>
              <w:rPr>
                <w:lang w:eastAsia="en-US"/>
              </w:rPr>
            </w:pPr>
            <w:bookmarkStart w:id="16" w:name="Third_SelfRepresented"/>
            <w:bookmarkEnd w:id="16"/>
            <w:r>
              <w:rPr>
                <w:lang w:eastAsia="en-US"/>
              </w:rPr>
              <w:t>AED Legal Centre</w:t>
            </w:r>
          </w:p>
        </w:tc>
        <w:tc>
          <w:tcPr>
            <w:tcW w:w="5279" w:type="dxa"/>
          </w:tcPr>
          <w:p w:rsidR="009A190B" w:rsidRPr="00771CAC" w:rsidRDefault="009A190B" w:rsidP="004365B2">
            <w:pPr>
              <w:pStyle w:val="NoSpacing"/>
              <w:rPr>
                <w:b/>
                <w:bCs/>
                <w:lang w:eastAsia="en-US"/>
              </w:rPr>
            </w:pPr>
            <w:r>
              <w:rPr>
                <w:b/>
                <w:bCs/>
                <w:lang w:eastAsia="en-US"/>
              </w:rPr>
              <w:t>K Wilson</w:t>
            </w:r>
          </w:p>
        </w:tc>
      </w:tr>
      <w:tr w:rsidR="009A190B" w:rsidRPr="00BC2D09" w:rsidTr="004365B2">
        <w:trPr>
          <w:trHeight w:val="567"/>
        </w:trPr>
        <w:tc>
          <w:tcPr>
            <w:tcW w:w="3510" w:type="dxa"/>
          </w:tcPr>
          <w:p w:rsidR="009A190B" w:rsidRDefault="009A190B" w:rsidP="004365B2">
            <w:pPr>
              <w:pStyle w:val="NoSpacing"/>
              <w:rPr>
                <w:lang w:eastAsia="en-US"/>
              </w:rPr>
            </w:pPr>
            <w:bookmarkStart w:id="17" w:name="Other_SelfRepresented"/>
            <w:bookmarkEnd w:id="17"/>
            <w:r>
              <w:rPr>
                <w:lang w:eastAsia="en-US"/>
              </w:rPr>
              <w:t>National Disability Services</w:t>
            </w:r>
          </w:p>
        </w:tc>
        <w:tc>
          <w:tcPr>
            <w:tcW w:w="5279" w:type="dxa"/>
          </w:tcPr>
          <w:p w:rsidR="009A190B" w:rsidRPr="00771CAC" w:rsidRDefault="009A190B" w:rsidP="004365B2">
            <w:pPr>
              <w:pStyle w:val="NoSpacing"/>
              <w:rPr>
                <w:b/>
                <w:bCs/>
                <w:lang w:eastAsia="en-US"/>
              </w:rPr>
            </w:pPr>
            <w:r>
              <w:rPr>
                <w:b/>
                <w:bCs/>
                <w:lang w:eastAsia="en-US"/>
              </w:rPr>
              <w:t>K Langford</w:t>
            </w:r>
          </w:p>
        </w:tc>
      </w:tr>
    </w:tbl>
    <w:p w:rsidR="00391759" w:rsidRDefault="00391759" w:rsidP="00656A4D"/>
    <w:sectPr w:rsidR="00391759" w:rsidSect="00531AA1">
      <w:headerReference w:type="even" r:id="rId8"/>
      <w:footerReference w:type="default" r:id="rId9"/>
      <w:headerReference w:type="first" r:id="rId10"/>
      <w:footerReference w:type="first" r:id="rId11"/>
      <w:type w:val="continuous"/>
      <w:pgSz w:w="11907" w:h="16834" w:code="9"/>
      <w:pgMar w:top="1758" w:right="1134" w:bottom="1758" w:left="2155" w:header="567" w:footer="17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6395" w:rsidRDefault="00E56395">
      <w:r>
        <w:separator/>
      </w:r>
    </w:p>
    <w:p w:rsidR="00E56395" w:rsidRDefault="00E56395"/>
  </w:endnote>
  <w:endnote w:type="continuationSeparator" w:id="0">
    <w:p w:rsidR="00E56395" w:rsidRDefault="00E56395">
      <w:r>
        <w:continuationSeparator/>
      </w:r>
    </w:p>
    <w:p w:rsidR="00E56395" w:rsidRDefault="00E563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l‚r –¾’©"/>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210" w:type="dxa"/>
      <w:tblInd w:w="-15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47"/>
      <w:gridCol w:w="8763"/>
    </w:tblGrid>
    <w:tr w:rsidR="00FC6FD8" w:rsidRPr="006F16E0" w:rsidTr="00E53225">
      <w:tc>
        <w:tcPr>
          <w:tcW w:w="1447" w:type="dxa"/>
          <w:tcBorders>
            <w:right w:val="single" w:sz="4" w:space="0" w:color="auto"/>
          </w:tcBorders>
          <w:vAlign w:val="center"/>
        </w:tcPr>
        <w:p w:rsidR="00FC6FD8" w:rsidRPr="006F16E0" w:rsidRDefault="00FC6FD8" w:rsidP="006F16E0">
          <w:pPr>
            <w:pStyle w:val="Footer"/>
          </w:pPr>
          <w:r>
            <w:t xml:space="preserve">Page </w:t>
          </w:r>
          <w:r>
            <w:fldChar w:fldCharType="begin"/>
          </w:r>
          <w:r>
            <w:instrText xml:space="preserve"> PAGE  \* Arabic </w:instrText>
          </w:r>
          <w:r>
            <w:fldChar w:fldCharType="separate"/>
          </w:r>
          <w:r w:rsidR="00DE3045">
            <w:rPr>
              <w:noProof/>
            </w:rPr>
            <w:t>3</w:t>
          </w:r>
          <w:r>
            <w:fldChar w:fldCharType="end"/>
          </w:r>
          <w:r>
            <w:t xml:space="preserve"> of </w:t>
          </w:r>
          <w:fldSimple w:instr=" NUMPAGES  \* Arabic ">
            <w:r w:rsidR="00DE3045">
              <w:rPr>
                <w:noProof/>
              </w:rPr>
              <w:t>11</w:t>
            </w:r>
          </w:fldSimple>
        </w:p>
      </w:tc>
      <w:tc>
        <w:tcPr>
          <w:tcW w:w="8763" w:type="dxa"/>
          <w:tcBorders>
            <w:left w:val="single" w:sz="4" w:space="0" w:color="auto"/>
          </w:tcBorders>
          <w:vAlign w:val="center"/>
        </w:tcPr>
        <w:p w:rsidR="00FC6FD8" w:rsidRPr="006F16E0" w:rsidRDefault="00FC6FD8" w:rsidP="006F16E0">
          <w:pPr>
            <w:pStyle w:val="Footer"/>
          </w:pPr>
        </w:p>
      </w:tc>
    </w:tr>
  </w:tbl>
  <w:p w:rsidR="00FC6FD8" w:rsidRDefault="00FC6F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210" w:type="dxa"/>
      <w:tblInd w:w="-15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47"/>
      <w:gridCol w:w="8763"/>
    </w:tblGrid>
    <w:tr w:rsidR="00FC6FD8" w:rsidTr="00C756F8">
      <w:tc>
        <w:tcPr>
          <w:tcW w:w="1447" w:type="dxa"/>
          <w:tcBorders>
            <w:right w:val="single" w:sz="4" w:space="0" w:color="auto"/>
          </w:tcBorders>
          <w:vAlign w:val="center"/>
        </w:tcPr>
        <w:p w:rsidR="00FC6FD8" w:rsidRDefault="00FC6FD8" w:rsidP="005D5DF5">
          <w:pPr>
            <w:pStyle w:val="FooterPage1"/>
          </w:pPr>
        </w:p>
      </w:tc>
      <w:tc>
        <w:tcPr>
          <w:tcW w:w="8763" w:type="dxa"/>
          <w:tcBorders>
            <w:left w:val="single" w:sz="4" w:space="0" w:color="auto"/>
          </w:tcBorders>
          <w:tcMar>
            <w:left w:w="85" w:type="dxa"/>
          </w:tcMar>
          <w:vAlign w:val="center"/>
        </w:tcPr>
        <w:p w:rsidR="00FC6FD8" w:rsidRDefault="00FC6FD8" w:rsidP="001A0C3C">
          <w:pPr>
            <w:pStyle w:val="FooterPage1"/>
          </w:pPr>
          <w:r>
            <w:t xml:space="preserve">© Commonwealth of Australia </w:t>
          </w:r>
          <w:r>
            <w:fldChar w:fldCharType="begin"/>
          </w:r>
          <w:r>
            <w:instrText xml:space="preserve"> DATE  \@ "yyyy" \* MERGEFORMAT </w:instrText>
          </w:r>
          <w:r>
            <w:fldChar w:fldCharType="separate"/>
          </w:r>
          <w:r w:rsidR="005D6386">
            <w:rPr>
              <w:noProof/>
            </w:rPr>
            <w:t>2015</w:t>
          </w:r>
          <w:r>
            <w:fldChar w:fldCharType="end"/>
          </w:r>
        </w:p>
      </w:tc>
    </w:tr>
  </w:tbl>
  <w:p w:rsidR="00FC6FD8" w:rsidRDefault="00FC6FD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6395" w:rsidRDefault="00E56395">
      <w:r>
        <w:separator/>
      </w:r>
    </w:p>
  </w:footnote>
  <w:footnote w:type="continuationSeparator" w:id="0">
    <w:p w:rsidR="00E56395" w:rsidRDefault="00E56395">
      <w:r>
        <w:continuationSeparator/>
      </w:r>
    </w:p>
    <w:p w:rsidR="00E56395" w:rsidRDefault="00E56395"/>
  </w:footnote>
  <w:footnote w:id="1">
    <w:p w:rsidR="00000000" w:rsidRDefault="00FC6FD8">
      <w:pPr>
        <w:pStyle w:val="FootnoteText"/>
      </w:pPr>
      <w:r>
        <w:rPr>
          <w:rStyle w:val="FootnoteReference"/>
        </w:rPr>
        <w:footnoteRef/>
      </w:r>
      <w:r>
        <w:t xml:space="preserve"> Submissions filed on behalf of the Secretary, Department of Human Services</w:t>
      </w:r>
      <w:r w:rsidRPr="00FF4A57">
        <w:t xml:space="preserve"> </w:t>
      </w:r>
      <w:r>
        <w:t>(</w:t>
      </w:r>
      <w:r w:rsidRPr="00FF4A57">
        <w:t>3 June 2015</w:t>
      </w:r>
      <w:r>
        <w:t>)</w:t>
      </w:r>
      <w:r w:rsidRPr="00FF4A57">
        <w:t xml:space="preserve">, paragraph </w:t>
      </w:r>
      <w:r>
        <w:t>1.</w:t>
      </w:r>
    </w:p>
  </w:footnote>
  <w:footnote w:id="2">
    <w:p w:rsidR="00000000" w:rsidRDefault="00FC6FD8">
      <w:pPr>
        <w:pStyle w:val="FootnoteText"/>
      </w:pPr>
      <w:r>
        <w:rPr>
          <w:rStyle w:val="FootnoteReference"/>
        </w:rPr>
        <w:footnoteRef/>
      </w:r>
      <w:r>
        <w:t xml:space="preserve"> Paragraph 37.</w:t>
      </w:r>
    </w:p>
  </w:footnote>
  <w:footnote w:id="3">
    <w:p w:rsidR="00000000" w:rsidRDefault="00FC6FD8">
      <w:pPr>
        <w:pStyle w:val="FootnoteText"/>
      </w:pPr>
      <w:r>
        <w:rPr>
          <w:rStyle w:val="FootnoteReference"/>
        </w:rPr>
        <w:footnoteRef/>
      </w:r>
      <w:r>
        <w:t xml:space="preserve"> Paragraph 38.</w:t>
      </w:r>
    </w:p>
  </w:footnote>
  <w:footnote w:id="4">
    <w:p w:rsidR="00000000" w:rsidRDefault="00FC6FD8">
      <w:pPr>
        <w:pStyle w:val="FootnoteText"/>
      </w:pPr>
      <w:r>
        <w:rPr>
          <w:rStyle w:val="FootnoteReference"/>
        </w:rPr>
        <w:footnoteRef/>
      </w:r>
      <w:r>
        <w:t xml:space="preserve"> Paragraph 1.</w:t>
      </w:r>
    </w:p>
  </w:footnote>
  <w:footnote w:id="5">
    <w:p w:rsidR="00000000" w:rsidRDefault="00FC6FD8">
      <w:pPr>
        <w:pStyle w:val="FootnoteText"/>
      </w:pPr>
      <w:r>
        <w:rPr>
          <w:rStyle w:val="FootnoteReference"/>
        </w:rPr>
        <w:footnoteRef/>
      </w:r>
      <w:r>
        <w:t xml:space="preserve"> Paragraph 7.</w:t>
      </w:r>
    </w:p>
  </w:footnote>
  <w:footnote w:id="6">
    <w:p w:rsidR="00000000" w:rsidRDefault="00FC6FD8">
      <w:pPr>
        <w:pStyle w:val="FootnoteText"/>
      </w:pPr>
      <w:r>
        <w:rPr>
          <w:rStyle w:val="FootnoteReference"/>
        </w:rPr>
        <w:footnoteRef/>
      </w:r>
      <w:r>
        <w:t xml:space="preserve"> Paragraphs 4-6.</w:t>
      </w:r>
    </w:p>
  </w:footnote>
  <w:footnote w:id="7">
    <w:p w:rsidR="00000000" w:rsidRDefault="003D0D65">
      <w:pPr>
        <w:pStyle w:val="FootnoteText"/>
      </w:pPr>
      <w:r>
        <w:rPr>
          <w:rStyle w:val="FootnoteReference"/>
        </w:rPr>
        <w:footnoteRef/>
      </w:r>
      <w:r>
        <w:t xml:space="preserve"> Para</w:t>
      </w:r>
      <w:r w:rsidR="00EB3181">
        <w:t>graph</w:t>
      </w:r>
      <w:r>
        <w:t xml:space="preserve"> 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FD8" w:rsidRDefault="00FC6FD8">
    <w:pPr>
      <w:framePr w:wrap="around" w:vAnchor="text" w:hAnchor="margin" w:xAlign="center" w:y="1"/>
      <w:numPr>
        <w:ilvl w:val="12"/>
        <w:numId w:val="0"/>
      </w:numPr>
      <w:ind w:hanging="851"/>
    </w:pPr>
    <w:r>
      <w:fldChar w:fldCharType="begin"/>
    </w:r>
    <w:r>
      <w:instrText xml:space="preserve">PAGE  </w:instrText>
    </w:r>
    <w:r>
      <w:fldChar w:fldCharType="end"/>
    </w:r>
  </w:p>
  <w:p w:rsidR="00FC6FD8" w:rsidRDefault="00FC6FD8">
    <w:pPr>
      <w:numPr>
        <w:ilvl w:val="12"/>
        <w:numId w:val="0"/>
      </w:numPr>
      <w:ind w:hanging="851"/>
    </w:pPr>
  </w:p>
  <w:p w:rsidR="00FC6FD8" w:rsidRDefault="00FC6FD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Ind w:w="-15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634"/>
      <w:gridCol w:w="3969"/>
    </w:tblGrid>
    <w:tr w:rsidR="00FC6FD8" w:rsidTr="00DD17FC">
      <w:trPr>
        <w:trHeight w:hRule="exact" w:val="1361"/>
      </w:trPr>
      <w:tc>
        <w:tcPr>
          <w:tcW w:w="6634" w:type="dxa"/>
          <w:vAlign w:val="bottom"/>
        </w:tcPr>
        <w:p w:rsidR="00FC6FD8" w:rsidRDefault="00E56395">
          <w:pPr>
            <w:numPr>
              <w:ilvl w:val="12"/>
              <w:numId w:val="0"/>
            </w:numPr>
          </w:pPr>
          <w:r w:rsidRPr="007D1145">
            <w:rPr>
              <w:noProof/>
            </w:rPr>
            <w:drawing>
              <wp:inline distT="0" distB="0" distL="0" distR="0">
                <wp:extent cx="2377440" cy="564515"/>
                <wp:effectExtent l="0" t="0" r="0" b="0"/>
                <wp:docPr id="3" name="Picture 1" descr="AAT-Presidents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T-Presidents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7440" cy="564515"/>
                        </a:xfrm>
                        <a:prstGeom prst="rect">
                          <a:avLst/>
                        </a:prstGeom>
                        <a:noFill/>
                        <a:ln>
                          <a:noFill/>
                        </a:ln>
                      </pic:spPr>
                    </pic:pic>
                  </a:graphicData>
                </a:graphic>
              </wp:inline>
            </w:drawing>
          </w:r>
        </w:p>
      </w:tc>
      <w:tc>
        <w:tcPr>
          <w:tcW w:w="3969" w:type="dxa"/>
          <w:vAlign w:val="bottom"/>
        </w:tcPr>
        <w:p w:rsidR="00FC6FD8" w:rsidRDefault="00E56395" w:rsidP="005976AB">
          <w:pPr>
            <w:numPr>
              <w:ilvl w:val="12"/>
              <w:numId w:val="0"/>
            </w:numPr>
            <w:jc w:val="right"/>
          </w:pPr>
          <w:r w:rsidRPr="007D1145">
            <w:rPr>
              <w:noProof/>
            </w:rPr>
            <w:drawing>
              <wp:inline distT="0" distB="0" distL="0" distR="0">
                <wp:extent cx="2146935" cy="309880"/>
                <wp:effectExtent l="0" t="0" r="0" b="0"/>
                <wp:docPr id="4" name="Picture 5" descr="Decisions&amp;Reas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cisions&amp;Reason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46935" cy="309880"/>
                        </a:xfrm>
                        <a:prstGeom prst="rect">
                          <a:avLst/>
                        </a:prstGeom>
                        <a:noFill/>
                        <a:ln>
                          <a:noFill/>
                        </a:ln>
                      </pic:spPr>
                    </pic:pic>
                  </a:graphicData>
                </a:graphic>
              </wp:inline>
            </w:drawing>
          </w:r>
        </w:p>
      </w:tc>
    </w:tr>
  </w:tbl>
  <w:p w:rsidR="00FC6FD8" w:rsidRDefault="00FC6FD8" w:rsidP="00DD17FC">
    <w:pPr>
      <w:pStyle w:val="No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64084"/>
    <w:multiLevelType w:val="multilevel"/>
    <w:tmpl w:val="41AE35B0"/>
    <w:styleLink w:val="ListNumbers"/>
    <w:lvl w:ilvl="0">
      <w:start w:val="1"/>
      <w:numFmt w:val="decimal"/>
      <w:lvlText w:val="%1."/>
      <w:lvlJc w:val="left"/>
      <w:pPr>
        <w:tabs>
          <w:tab w:val="num" w:pos="0"/>
        </w:tabs>
        <w:ind w:hanging="709"/>
      </w:pPr>
      <w:rPr>
        <w:rFonts w:cs="Times New Roman" w:hint="default"/>
      </w:rPr>
    </w:lvl>
    <w:lvl w:ilvl="1">
      <w:start w:val="1"/>
      <w:numFmt w:val="lowerLetter"/>
      <w:lvlRestart w:val="0"/>
      <w:lvlText w:val="(%2)"/>
      <w:lvlJc w:val="left"/>
      <w:pPr>
        <w:tabs>
          <w:tab w:val="num" w:pos="709"/>
        </w:tabs>
        <w:ind w:left="709" w:hanging="709"/>
      </w:pPr>
      <w:rPr>
        <w:rFonts w:cs="Times New Roman" w:hint="default"/>
      </w:rPr>
    </w:lvl>
    <w:lvl w:ilvl="2">
      <w:start w:val="1"/>
      <w:numFmt w:val="lowerRoman"/>
      <w:lvlRestart w:val="0"/>
      <w:lvlText w:val="(%3)"/>
      <w:lvlJc w:val="left"/>
      <w:pPr>
        <w:tabs>
          <w:tab w:val="num" w:pos="1418"/>
        </w:tabs>
        <w:ind w:left="1418" w:hanging="709"/>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 w15:restartNumberingAfterBreak="0">
    <w:nsid w:val="13707127"/>
    <w:multiLevelType w:val="hybridMultilevel"/>
    <w:tmpl w:val="81C84052"/>
    <w:lvl w:ilvl="0" w:tplc="0C090019">
      <w:start w:val="1"/>
      <w:numFmt w:val="lowerLetter"/>
      <w:lvlText w:val="%1."/>
      <w:lvlJc w:val="left"/>
      <w:pPr>
        <w:ind w:left="1485" w:hanging="360"/>
      </w:pPr>
      <w:rPr>
        <w:rFonts w:cs="Times New Roman"/>
      </w:rPr>
    </w:lvl>
    <w:lvl w:ilvl="1" w:tplc="0C090019" w:tentative="1">
      <w:start w:val="1"/>
      <w:numFmt w:val="lowerLetter"/>
      <w:lvlText w:val="%2."/>
      <w:lvlJc w:val="left"/>
      <w:pPr>
        <w:ind w:left="2205" w:hanging="360"/>
      </w:pPr>
      <w:rPr>
        <w:rFonts w:cs="Times New Roman"/>
      </w:rPr>
    </w:lvl>
    <w:lvl w:ilvl="2" w:tplc="0C09001B" w:tentative="1">
      <w:start w:val="1"/>
      <w:numFmt w:val="lowerRoman"/>
      <w:lvlText w:val="%3."/>
      <w:lvlJc w:val="right"/>
      <w:pPr>
        <w:ind w:left="2925" w:hanging="180"/>
      </w:pPr>
      <w:rPr>
        <w:rFonts w:cs="Times New Roman"/>
      </w:rPr>
    </w:lvl>
    <w:lvl w:ilvl="3" w:tplc="0C09000F" w:tentative="1">
      <w:start w:val="1"/>
      <w:numFmt w:val="decimal"/>
      <w:lvlText w:val="%4."/>
      <w:lvlJc w:val="left"/>
      <w:pPr>
        <w:ind w:left="3645" w:hanging="360"/>
      </w:pPr>
      <w:rPr>
        <w:rFonts w:cs="Times New Roman"/>
      </w:rPr>
    </w:lvl>
    <w:lvl w:ilvl="4" w:tplc="0C090019" w:tentative="1">
      <w:start w:val="1"/>
      <w:numFmt w:val="lowerLetter"/>
      <w:lvlText w:val="%5."/>
      <w:lvlJc w:val="left"/>
      <w:pPr>
        <w:ind w:left="4365" w:hanging="360"/>
      </w:pPr>
      <w:rPr>
        <w:rFonts w:cs="Times New Roman"/>
      </w:rPr>
    </w:lvl>
    <w:lvl w:ilvl="5" w:tplc="0C09001B" w:tentative="1">
      <w:start w:val="1"/>
      <w:numFmt w:val="lowerRoman"/>
      <w:lvlText w:val="%6."/>
      <w:lvlJc w:val="right"/>
      <w:pPr>
        <w:ind w:left="5085" w:hanging="180"/>
      </w:pPr>
      <w:rPr>
        <w:rFonts w:cs="Times New Roman"/>
      </w:rPr>
    </w:lvl>
    <w:lvl w:ilvl="6" w:tplc="0C09000F" w:tentative="1">
      <w:start w:val="1"/>
      <w:numFmt w:val="decimal"/>
      <w:lvlText w:val="%7."/>
      <w:lvlJc w:val="left"/>
      <w:pPr>
        <w:ind w:left="5805" w:hanging="360"/>
      </w:pPr>
      <w:rPr>
        <w:rFonts w:cs="Times New Roman"/>
      </w:rPr>
    </w:lvl>
    <w:lvl w:ilvl="7" w:tplc="0C090019" w:tentative="1">
      <w:start w:val="1"/>
      <w:numFmt w:val="lowerLetter"/>
      <w:lvlText w:val="%8."/>
      <w:lvlJc w:val="left"/>
      <w:pPr>
        <w:ind w:left="6525" w:hanging="360"/>
      </w:pPr>
      <w:rPr>
        <w:rFonts w:cs="Times New Roman"/>
      </w:rPr>
    </w:lvl>
    <w:lvl w:ilvl="8" w:tplc="0C09001B" w:tentative="1">
      <w:start w:val="1"/>
      <w:numFmt w:val="lowerRoman"/>
      <w:lvlText w:val="%9."/>
      <w:lvlJc w:val="right"/>
      <w:pPr>
        <w:ind w:left="7245" w:hanging="180"/>
      </w:pPr>
      <w:rPr>
        <w:rFonts w:cs="Times New Roman"/>
      </w:rPr>
    </w:lvl>
  </w:abstractNum>
  <w:abstractNum w:abstractNumId="2" w15:restartNumberingAfterBreak="0">
    <w:nsid w:val="141511BA"/>
    <w:multiLevelType w:val="multilevel"/>
    <w:tmpl w:val="0C09001D"/>
    <w:styleLink w:val="Style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15:restartNumberingAfterBreak="0">
    <w:nsid w:val="1D6B378B"/>
    <w:multiLevelType w:val="multilevel"/>
    <w:tmpl w:val="C38441E4"/>
    <w:numStyleLink w:val="Quotes"/>
  </w:abstractNum>
  <w:abstractNum w:abstractNumId="4" w15:restartNumberingAfterBreak="0">
    <w:nsid w:val="2B947B54"/>
    <w:multiLevelType w:val="hybridMultilevel"/>
    <w:tmpl w:val="B58C64D0"/>
    <w:lvl w:ilvl="0" w:tplc="0C09000F">
      <w:start w:val="1"/>
      <w:numFmt w:val="decimal"/>
      <w:lvlText w:val="%1."/>
      <w:lvlJc w:val="left"/>
      <w:pPr>
        <w:ind w:left="720" w:hanging="360"/>
      </w:pPr>
      <w:rPr>
        <w:rFonts w:cs="Times New Roman"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D8E4DEF"/>
    <w:multiLevelType w:val="multilevel"/>
    <w:tmpl w:val="C38441E4"/>
    <w:styleLink w:val="Quotes"/>
    <w:lvl w:ilvl="0">
      <w:start w:val="1"/>
      <w:numFmt w:val="decimal"/>
      <w:lvlText w:val="%1"/>
      <w:lvlJc w:val="left"/>
      <w:pPr>
        <w:tabs>
          <w:tab w:val="num" w:pos="1276"/>
        </w:tabs>
        <w:ind w:left="1276" w:hanging="567"/>
      </w:pPr>
      <w:rPr>
        <w:rFonts w:cs="Times New Roman" w:hint="default"/>
      </w:rPr>
    </w:lvl>
    <w:lvl w:ilvl="1">
      <w:start w:val="1"/>
      <w:numFmt w:val="lowerLetter"/>
      <w:lvlText w:val="(%2)"/>
      <w:lvlJc w:val="left"/>
      <w:pPr>
        <w:tabs>
          <w:tab w:val="num" w:pos="1843"/>
        </w:tabs>
        <w:ind w:left="1843" w:hanging="567"/>
      </w:pPr>
      <w:rPr>
        <w:rFonts w:cs="Times New Roman" w:hint="default"/>
      </w:rPr>
    </w:lvl>
    <w:lvl w:ilvl="2">
      <w:start w:val="1"/>
      <w:numFmt w:val="lowerRoman"/>
      <w:lvlText w:val="(%3)"/>
      <w:lvlJc w:val="left"/>
      <w:pPr>
        <w:tabs>
          <w:tab w:val="num" w:pos="2410"/>
        </w:tabs>
        <w:ind w:left="2410" w:hanging="567"/>
      </w:pPr>
      <w:rPr>
        <w:rFonts w:cs="Times New Roman" w:hint="default"/>
      </w:rPr>
    </w:lvl>
    <w:lvl w:ilvl="3">
      <w:start w:val="1"/>
      <w:numFmt w:val="none"/>
      <w:lvlText w:val=""/>
      <w:lvlJc w:val="left"/>
      <w:pPr>
        <w:tabs>
          <w:tab w:val="num" w:pos="2410"/>
        </w:tabs>
        <w:ind w:left="2410" w:hanging="567"/>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6" w15:restartNumberingAfterBreak="0">
    <w:nsid w:val="387A585C"/>
    <w:multiLevelType w:val="multilevel"/>
    <w:tmpl w:val="0C09001D"/>
    <w:styleLink w:val="Style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3C95644A"/>
    <w:multiLevelType w:val="multilevel"/>
    <w:tmpl w:val="2160D004"/>
    <w:styleLink w:val="Bullets"/>
    <w:lvl w:ilvl="0">
      <w:start w:val="1"/>
      <w:numFmt w:val="bullet"/>
      <w:lvlText w:val=""/>
      <w:lvlJc w:val="left"/>
      <w:pPr>
        <w:tabs>
          <w:tab w:val="num" w:pos="1276"/>
        </w:tabs>
        <w:ind w:left="709" w:hanging="709"/>
      </w:pPr>
      <w:rPr>
        <w:rFonts w:ascii="Symbol" w:hAnsi="Symbol" w:hint="default"/>
        <w:b w:val="0"/>
        <w:i w:val="0"/>
        <w:color w:val="auto"/>
        <w:sz w:val="24"/>
      </w:rPr>
    </w:lvl>
    <w:lvl w:ilvl="1">
      <w:start w:val="1"/>
      <w:numFmt w:val="bullet"/>
      <w:lvlRestart w:val="0"/>
      <w:lvlText w:val="o"/>
      <w:lvlJc w:val="left"/>
      <w:pPr>
        <w:tabs>
          <w:tab w:val="num" w:pos="1843"/>
        </w:tabs>
        <w:ind w:left="1418" w:hanging="709"/>
      </w:pPr>
      <w:rPr>
        <w:rFonts w:ascii="Courier New" w:hAnsi="Courier New" w:hint="default"/>
        <w:color w:val="auto"/>
      </w:rPr>
    </w:lvl>
    <w:lvl w:ilvl="2">
      <w:start w:val="1"/>
      <w:numFmt w:val="bullet"/>
      <w:lvlRestart w:val="0"/>
      <w:lvlText w:val=""/>
      <w:lvlJc w:val="left"/>
      <w:pPr>
        <w:tabs>
          <w:tab w:val="num" w:pos="2410"/>
        </w:tabs>
        <w:ind w:left="2410" w:hanging="567"/>
      </w:pPr>
      <w:rPr>
        <w:rFonts w:ascii="Symbol" w:hAnsi="Symbol" w:hint="default"/>
        <w:color w:val="auto"/>
      </w:rPr>
    </w:lvl>
    <w:lvl w:ilvl="3">
      <w:start w:val="1"/>
      <w:numFmt w:val="bullet"/>
      <w:lvlRestart w:val="0"/>
      <w:lvlText w:val=""/>
      <w:lvlJc w:val="left"/>
      <w:pPr>
        <w:tabs>
          <w:tab w:val="num" w:pos="2977"/>
        </w:tabs>
        <w:ind w:left="2977" w:hanging="567"/>
      </w:pPr>
      <w:rPr>
        <w:rFonts w:ascii="Symbol" w:hAnsi="Symbol" w:hint="default"/>
        <w:color w:val="auto"/>
      </w:rPr>
    </w:lvl>
    <w:lvl w:ilvl="4">
      <w:start w:val="1"/>
      <w:numFmt w:val="bullet"/>
      <w:lvlRestart w:val="0"/>
      <w:lvlText w:val=""/>
      <w:lvlJc w:val="left"/>
      <w:pPr>
        <w:tabs>
          <w:tab w:val="num" w:pos="3544"/>
        </w:tabs>
        <w:ind w:left="3544" w:hanging="567"/>
      </w:pPr>
      <w:rPr>
        <w:rFonts w:ascii="Symbol" w:hAnsi="Symbol" w:hint="default"/>
        <w:color w:val="auto"/>
      </w:rPr>
    </w:lvl>
    <w:lvl w:ilvl="5">
      <w:start w:val="1"/>
      <w:numFmt w:val="bullet"/>
      <w:lvlRestart w:val="0"/>
      <w:lvlText w:val=""/>
      <w:lvlJc w:val="left"/>
      <w:pPr>
        <w:tabs>
          <w:tab w:val="num" w:pos="4111"/>
        </w:tabs>
        <w:ind w:left="4111" w:hanging="567"/>
      </w:pPr>
      <w:rPr>
        <w:rFonts w:ascii="Symbol" w:hAnsi="Symbol" w:hint="default"/>
        <w:color w:val="auto"/>
      </w:rPr>
    </w:lvl>
    <w:lvl w:ilvl="6">
      <w:start w:val="1"/>
      <w:numFmt w:val="bullet"/>
      <w:lvlRestart w:val="0"/>
      <w:lvlText w:val=""/>
      <w:lvlJc w:val="left"/>
      <w:pPr>
        <w:tabs>
          <w:tab w:val="num" w:pos="4678"/>
        </w:tabs>
        <w:ind w:left="4678" w:hanging="567"/>
      </w:pPr>
      <w:rPr>
        <w:rFonts w:ascii="Symbol" w:hAnsi="Symbol" w:hint="default"/>
        <w:color w:val="auto"/>
      </w:rPr>
    </w:lvl>
    <w:lvl w:ilvl="7">
      <w:start w:val="1"/>
      <w:numFmt w:val="bullet"/>
      <w:lvlRestart w:val="0"/>
      <w:lvlText w:val=""/>
      <w:lvlJc w:val="left"/>
      <w:pPr>
        <w:tabs>
          <w:tab w:val="num" w:pos="5245"/>
        </w:tabs>
        <w:ind w:left="5245" w:hanging="567"/>
      </w:pPr>
      <w:rPr>
        <w:rFonts w:ascii="Symbol" w:hAnsi="Symbol" w:hint="default"/>
        <w:color w:val="auto"/>
      </w:rPr>
    </w:lvl>
    <w:lvl w:ilvl="8">
      <w:start w:val="1"/>
      <w:numFmt w:val="bullet"/>
      <w:lvlRestart w:val="0"/>
      <w:lvlText w:val=""/>
      <w:lvlJc w:val="left"/>
      <w:pPr>
        <w:tabs>
          <w:tab w:val="num" w:pos="5812"/>
        </w:tabs>
        <w:ind w:left="5812" w:hanging="567"/>
      </w:pPr>
      <w:rPr>
        <w:rFonts w:ascii="Symbol" w:hAnsi="Symbol" w:hint="default"/>
        <w:color w:val="auto"/>
      </w:rPr>
    </w:lvl>
  </w:abstractNum>
  <w:abstractNum w:abstractNumId="8" w15:restartNumberingAfterBreak="0">
    <w:nsid w:val="641E12EB"/>
    <w:multiLevelType w:val="multilevel"/>
    <w:tmpl w:val="2160D004"/>
    <w:numStyleLink w:val="Bullets"/>
  </w:abstractNum>
  <w:num w:numId="1">
    <w:abstractNumId w:val="2"/>
  </w:num>
  <w:num w:numId="2">
    <w:abstractNumId w:val="6"/>
  </w:num>
  <w:num w:numId="3">
    <w:abstractNumId w:val="7"/>
  </w:num>
  <w:num w:numId="4">
    <w:abstractNumId w:val="8"/>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3"/>
  </w:num>
  <w:num w:numId="9">
    <w:abstractNumId w:val="0"/>
  </w:num>
  <w:num w:numId="10">
    <w:abstractNumId w:val="1"/>
  </w:num>
  <w:num w:numId="11">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irstRun" w:val="False"/>
    <w:docVar w:name="RunAlready" w:val="False"/>
  </w:docVars>
  <w:rsids>
    <w:rsidRoot w:val="00626F5F"/>
    <w:rsid w:val="00000438"/>
    <w:rsid w:val="00000788"/>
    <w:rsid w:val="00004028"/>
    <w:rsid w:val="00004916"/>
    <w:rsid w:val="00005D43"/>
    <w:rsid w:val="00010D8F"/>
    <w:rsid w:val="0001309B"/>
    <w:rsid w:val="0001671B"/>
    <w:rsid w:val="00016E32"/>
    <w:rsid w:val="000176A5"/>
    <w:rsid w:val="00020FCA"/>
    <w:rsid w:val="00022CF0"/>
    <w:rsid w:val="00024EF9"/>
    <w:rsid w:val="00025EC9"/>
    <w:rsid w:val="00026072"/>
    <w:rsid w:val="00026A57"/>
    <w:rsid w:val="00030E12"/>
    <w:rsid w:val="00031D09"/>
    <w:rsid w:val="00034645"/>
    <w:rsid w:val="0003647F"/>
    <w:rsid w:val="00036C03"/>
    <w:rsid w:val="00037306"/>
    <w:rsid w:val="00040997"/>
    <w:rsid w:val="00041993"/>
    <w:rsid w:val="00041DE0"/>
    <w:rsid w:val="00051969"/>
    <w:rsid w:val="000533BE"/>
    <w:rsid w:val="00054765"/>
    <w:rsid w:val="0005765E"/>
    <w:rsid w:val="00066A89"/>
    <w:rsid w:val="00072703"/>
    <w:rsid w:val="00074057"/>
    <w:rsid w:val="00076AE1"/>
    <w:rsid w:val="00077D8F"/>
    <w:rsid w:val="00077E34"/>
    <w:rsid w:val="0008091F"/>
    <w:rsid w:val="00082425"/>
    <w:rsid w:val="000852E6"/>
    <w:rsid w:val="0008639E"/>
    <w:rsid w:val="00086AFC"/>
    <w:rsid w:val="000903C8"/>
    <w:rsid w:val="0009045E"/>
    <w:rsid w:val="0009097C"/>
    <w:rsid w:val="00096477"/>
    <w:rsid w:val="000A058C"/>
    <w:rsid w:val="000A2C43"/>
    <w:rsid w:val="000A3B7B"/>
    <w:rsid w:val="000A3D70"/>
    <w:rsid w:val="000A40FB"/>
    <w:rsid w:val="000A6277"/>
    <w:rsid w:val="000B05AB"/>
    <w:rsid w:val="000B41C7"/>
    <w:rsid w:val="000B799C"/>
    <w:rsid w:val="000B7E7F"/>
    <w:rsid w:val="000C0421"/>
    <w:rsid w:val="000C200E"/>
    <w:rsid w:val="000C716A"/>
    <w:rsid w:val="000D1F26"/>
    <w:rsid w:val="000E14C4"/>
    <w:rsid w:val="000E35BC"/>
    <w:rsid w:val="000E3B5A"/>
    <w:rsid w:val="000E4089"/>
    <w:rsid w:val="000E5FB6"/>
    <w:rsid w:val="000F18F4"/>
    <w:rsid w:val="000F6FDF"/>
    <w:rsid w:val="001064ED"/>
    <w:rsid w:val="00110450"/>
    <w:rsid w:val="00110C0F"/>
    <w:rsid w:val="00111F84"/>
    <w:rsid w:val="001131C2"/>
    <w:rsid w:val="00114BD8"/>
    <w:rsid w:val="0011681C"/>
    <w:rsid w:val="00117552"/>
    <w:rsid w:val="0012021D"/>
    <w:rsid w:val="001209DA"/>
    <w:rsid w:val="00122092"/>
    <w:rsid w:val="001220FF"/>
    <w:rsid w:val="00122EFA"/>
    <w:rsid w:val="0013307E"/>
    <w:rsid w:val="00143874"/>
    <w:rsid w:val="0014665F"/>
    <w:rsid w:val="001466C7"/>
    <w:rsid w:val="00152EB0"/>
    <w:rsid w:val="00155013"/>
    <w:rsid w:val="00156035"/>
    <w:rsid w:val="00161B81"/>
    <w:rsid w:val="001623BA"/>
    <w:rsid w:val="001625D8"/>
    <w:rsid w:val="0016425D"/>
    <w:rsid w:val="0016773D"/>
    <w:rsid w:val="00170921"/>
    <w:rsid w:val="00170BEE"/>
    <w:rsid w:val="00173896"/>
    <w:rsid w:val="00174965"/>
    <w:rsid w:val="001761FE"/>
    <w:rsid w:val="00177ECF"/>
    <w:rsid w:val="001803FE"/>
    <w:rsid w:val="00183666"/>
    <w:rsid w:val="001851A9"/>
    <w:rsid w:val="00185304"/>
    <w:rsid w:val="0018598D"/>
    <w:rsid w:val="00187636"/>
    <w:rsid w:val="00194DBB"/>
    <w:rsid w:val="00197BFF"/>
    <w:rsid w:val="001A0C3C"/>
    <w:rsid w:val="001A2C68"/>
    <w:rsid w:val="001A3530"/>
    <w:rsid w:val="001A364D"/>
    <w:rsid w:val="001A364E"/>
    <w:rsid w:val="001A37DD"/>
    <w:rsid w:val="001A4085"/>
    <w:rsid w:val="001A4617"/>
    <w:rsid w:val="001B7953"/>
    <w:rsid w:val="001C1058"/>
    <w:rsid w:val="001C59B1"/>
    <w:rsid w:val="001D0804"/>
    <w:rsid w:val="001D5528"/>
    <w:rsid w:val="001D5B26"/>
    <w:rsid w:val="001D661E"/>
    <w:rsid w:val="001D734A"/>
    <w:rsid w:val="001E0794"/>
    <w:rsid w:val="001E1E9E"/>
    <w:rsid w:val="001E237C"/>
    <w:rsid w:val="001E4799"/>
    <w:rsid w:val="001F058C"/>
    <w:rsid w:val="001F2404"/>
    <w:rsid w:val="001F2C5D"/>
    <w:rsid w:val="001F3698"/>
    <w:rsid w:val="001F5B29"/>
    <w:rsid w:val="001F708A"/>
    <w:rsid w:val="001F711F"/>
    <w:rsid w:val="00200058"/>
    <w:rsid w:val="00200390"/>
    <w:rsid w:val="00201023"/>
    <w:rsid w:val="00201958"/>
    <w:rsid w:val="00202BDD"/>
    <w:rsid w:val="002037D9"/>
    <w:rsid w:val="00203F58"/>
    <w:rsid w:val="002044E0"/>
    <w:rsid w:val="002101C7"/>
    <w:rsid w:val="0021136A"/>
    <w:rsid w:val="00211543"/>
    <w:rsid w:val="002135E8"/>
    <w:rsid w:val="002137DF"/>
    <w:rsid w:val="00213896"/>
    <w:rsid w:val="00215BDF"/>
    <w:rsid w:val="00215E98"/>
    <w:rsid w:val="00217DAA"/>
    <w:rsid w:val="002216BD"/>
    <w:rsid w:val="002257FA"/>
    <w:rsid w:val="002260F4"/>
    <w:rsid w:val="002276C4"/>
    <w:rsid w:val="00230141"/>
    <w:rsid w:val="00237992"/>
    <w:rsid w:val="00242AEC"/>
    <w:rsid w:val="0024473D"/>
    <w:rsid w:val="0024549E"/>
    <w:rsid w:val="00253104"/>
    <w:rsid w:val="002561FC"/>
    <w:rsid w:val="00256FC5"/>
    <w:rsid w:val="002607D3"/>
    <w:rsid w:val="00264A1D"/>
    <w:rsid w:val="00271135"/>
    <w:rsid w:val="002735B9"/>
    <w:rsid w:val="00273B5A"/>
    <w:rsid w:val="0027496E"/>
    <w:rsid w:val="002754F8"/>
    <w:rsid w:val="00275E2F"/>
    <w:rsid w:val="00276CFC"/>
    <w:rsid w:val="002801D9"/>
    <w:rsid w:val="00280F2B"/>
    <w:rsid w:val="002839BF"/>
    <w:rsid w:val="00287811"/>
    <w:rsid w:val="00287FE0"/>
    <w:rsid w:val="002944AA"/>
    <w:rsid w:val="0029482B"/>
    <w:rsid w:val="002954D6"/>
    <w:rsid w:val="00295ACC"/>
    <w:rsid w:val="00297BAC"/>
    <w:rsid w:val="00297EA1"/>
    <w:rsid w:val="002A40EA"/>
    <w:rsid w:val="002A5BD8"/>
    <w:rsid w:val="002A6D3A"/>
    <w:rsid w:val="002B0DC2"/>
    <w:rsid w:val="002B1002"/>
    <w:rsid w:val="002B4F02"/>
    <w:rsid w:val="002B52FA"/>
    <w:rsid w:val="002C009A"/>
    <w:rsid w:val="002C1516"/>
    <w:rsid w:val="002C1D28"/>
    <w:rsid w:val="002C2118"/>
    <w:rsid w:val="002C7E16"/>
    <w:rsid w:val="002D3429"/>
    <w:rsid w:val="002D7F26"/>
    <w:rsid w:val="002E599F"/>
    <w:rsid w:val="002E6962"/>
    <w:rsid w:val="002E7FBA"/>
    <w:rsid w:val="002F0D19"/>
    <w:rsid w:val="002F0F50"/>
    <w:rsid w:val="002F3DDF"/>
    <w:rsid w:val="002F6956"/>
    <w:rsid w:val="002F7E7B"/>
    <w:rsid w:val="00301154"/>
    <w:rsid w:val="0030226A"/>
    <w:rsid w:val="00305792"/>
    <w:rsid w:val="003058C9"/>
    <w:rsid w:val="003070FA"/>
    <w:rsid w:val="00307689"/>
    <w:rsid w:val="003152B2"/>
    <w:rsid w:val="00323B7B"/>
    <w:rsid w:val="00325D17"/>
    <w:rsid w:val="00325EC3"/>
    <w:rsid w:val="0032657E"/>
    <w:rsid w:val="00331390"/>
    <w:rsid w:val="003345C3"/>
    <w:rsid w:val="00336C16"/>
    <w:rsid w:val="0034191E"/>
    <w:rsid w:val="00342BEC"/>
    <w:rsid w:val="00343163"/>
    <w:rsid w:val="003436FA"/>
    <w:rsid w:val="00350976"/>
    <w:rsid w:val="00352348"/>
    <w:rsid w:val="00352381"/>
    <w:rsid w:val="003530AA"/>
    <w:rsid w:val="003579F7"/>
    <w:rsid w:val="00357F88"/>
    <w:rsid w:val="00373709"/>
    <w:rsid w:val="003739F4"/>
    <w:rsid w:val="00380425"/>
    <w:rsid w:val="00382E91"/>
    <w:rsid w:val="003868D3"/>
    <w:rsid w:val="00391759"/>
    <w:rsid w:val="00391A9B"/>
    <w:rsid w:val="00394A18"/>
    <w:rsid w:val="00395365"/>
    <w:rsid w:val="00395B38"/>
    <w:rsid w:val="00397AC3"/>
    <w:rsid w:val="003A5522"/>
    <w:rsid w:val="003B6DAC"/>
    <w:rsid w:val="003C12DE"/>
    <w:rsid w:val="003C3A2F"/>
    <w:rsid w:val="003C6C6D"/>
    <w:rsid w:val="003D0D65"/>
    <w:rsid w:val="003D2450"/>
    <w:rsid w:val="003D4BB1"/>
    <w:rsid w:val="003E1FE6"/>
    <w:rsid w:val="003E261A"/>
    <w:rsid w:val="003E45BA"/>
    <w:rsid w:val="003E5E87"/>
    <w:rsid w:val="003E64EB"/>
    <w:rsid w:val="003F2BEB"/>
    <w:rsid w:val="003F3503"/>
    <w:rsid w:val="003F5488"/>
    <w:rsid w:val="00401581"/>
    <w:rsid w:val="004050E6"/>
    <w:rsid w:val="00406B68"/>
    <w:rsid w:val="00411738"/>
    <w:rsid w:val="004152C5"/>
    <w:rsid w:val="00416CE8"/>
    <w:rsid w:val="00417658"/>
    <w:rsid w:val="00426A4B"/>
    <w:rsid w:val="00434C15"/>
    <w:rsid w:val="00434C43"/>
    <w:rsid w:val="004365B2"/>
    <w:rsid w:val="0044330A"/>
    <w:rsid w:val="0045440C"/>
    <w:rsid w:val="00454437"/>
    <w:rsid w:val="00463C53"/>
    <w:rsid w:val="00466655"/>
    <w:rsid w:val="0047066D"/>
    <w:rsid w:val="00472670"/>
    <w:rsid w:val="004727B7"/>
    <w:rsid w:val="00473144"/>
    <w:rsid w:val="00473AB1"/>
    <w:rsid w:val="00480DF4"/>
    <w:rsid w:val="00483D56"/>
    <w:rsid w:val="004856B3"/>
    <w:rsid w:val="00485A89"/>
    <w:rsid w:val="004905BD"/>
    <w:rsid w:val="00490C0A"/>
    <w:rsid w:val="004A0002"/>
    <w:rsid w:val="004A4F2C"/>
    <w:rsid w:val="004A55A2"/>
    <w:rsid w:val="004A75CC"/>
    <w:rsid w:val="004B6924"/>
    <w:rsid w:val="004C4132"/>
    <w:rsid w:val="004C7483"/>
    <w:rsid w:val="004C74C6"/>
    <w:rsid w:val="004D0176"/>
    <w:rsid w:val="004D3365"/>
    <w:rsid w:val="004E0E9B"/>
    <w:rsid w:val="004E5063"/>
    <w:rsid w:val="004E720A"/>
    <w:rsid w:val="004E7541"/>
    <w:rsid w:val="004F13F5"/>
    <w:rsid w:val="004F5034"/>
    <w:rsid w:val="004F62A5"/>
    <w:rsid w:val="004F63A1"/>
    <w:rsid w:val="0050054F"/>
    <w:rsid w:val="0050166A"/>
    <w:rsid w:val="00502ACA"/>
    <w:rsid w:val="00505CF1"/>
    <w:rsid w:val="0050670F"/>
    <w:rsid w:val="00513A55"/>
    <w:rsid w:val="0051593B"/>
    <w:rsid w:val="00520D65"/>
    <w:rsid w:val="00522817"/>
    <w:rsid w:val="00522908"/>
    <w:rsid w:val="00526022"/>
    <w:rsid w:val="0052665E"/>
    <w:rsid w:val="00531AA1"/>
    <w:rsid w:val="00531B56"/>
    <w:rsid w:val="0053335B"/>
    <w:rsid w:val="00552511"/>
    <w:rsid w:val="0055292B"/>
    <w:rsid w:val="0055307E"/>
    <w:rsid w:val="00554246"/>
    <w:rsid w:val="00554CA0"/>
    <w:rsid w:val="00556B39"/>
    <w:rsid w:val="00561B98"/>
    <w:rsid w:val="005632FA"/>
    <w:rsid w:val="005706B0"/>
    <w:rsid w:val="0057112B"/>
    <w:rsid w:val="00576A65"/>
    <w:rsid w:val="00581AFC"/>
    <w:rsid w:val="005833E8"/>
    <w:rsid w:val="00585C0F"/>
    <w:rsid w:val="0058690A"/>
    <w:rsid w:val="00591EF1"/>
    <w:rsid w:val="005921CA"/>
    <w:rsid w:val="00592DF7"/>
    <w:rsid w:val="00594020"/>
    <w:rsid w:val="005940BF"/>
    <w:rsid w:val="005964BE"/>
    <w:rsid w:val="005976AB"/>
    <w:rsid w:val="005A3DE1"/>
    <w:rsid w:val="005A4682"/>
    <w:rsid w:val="005A5149"/>
    <w:rsid w:val="005A51FD"/>
    <w:rsid w:val="005A5A37"/>
    <w:rsid w:val="005B23D4"/>
    <w:rsid w:val="005B3289"/>
    <w:rsid w:val="005B4862"/>
    <w:rsid w:val="005B5C21"/>
    <w:rsid w:val="005C01A0"/>
    <w:rsid w:val="005C2BEF"/>
    <w:rsid w:val="005C5785"/>
    <w:rsid w:val="005C6B79"/>
    <w:rsid w:val="005C7500"/>
    <w:rsid w:val="005D01F0"/>
    <w:rsid w:val="005D5DF5"/>
    <w:rsid w:val="005D6386"/>
    <w:rsid w:val="005D6394"/>
    <w:rsid w:val="005E0F42"/>
    <w:rsid w:val="005E1A25"/>
    <w:rsid w:val="005E4260"/>
    <w:rsid w:val="005E7261"/>
    <w:rsid w:val="005F21C4"/>
    <w:rsid w:val="005F2E99"/>
    <w:rsid w:val="005F4A5B"/>
    <w:rsid w:val="005F7680"/>
    <w:rsid w:val="00600553"/>
    <w:rsid w:val="00602F9D"/>
    <w:rsid w:val="00605BAB"/>
    <w:rsid w:val="00607F3F"/>
    <w:rsid w:val="0061014E"/>
    <w:rsid w:val="00615503"/>
    <w:rsid w:val="00617636"/>
    <w:rsid w:val="00621408"/>
    <w:rsid w:val="00622FE3"/>
    <w:rsid w:val="0062609A"/>
    <w:rsid w:val="00626F5F"/>
    <w:rsid w:val="00635CEE"/>
    <w:rsid w:val="00635E9D"/>
    <w:rsid w:val="00645512"/>
    <w:rsid w:val="00647330"/>
    <w:rsid w:val="00653401"/>
    <w:rsid w:val="00656A4D"/>
    <w:rsid w:val="0066062A"/>
    <w:rsid w:val="00661217"/>
    <w:rsid w:val="00661270"/>
    <w:rsid w:val="00662B1E"/>
    <w:rsid w:val="00663243"/>
    <w:rsid w:val="00664295"/>
    <w:rsid w:val="00671D54"/>
    <w:rsid w:val="00681AA2"/>
    <w:rsid w:val="00682631"/>
    <w:rsid w:val="00690288"/>
    <w:rsid w:val="0069197D"/>
    <w:rsid w:val="006945BD"/>
    <w:rsid w:val="00696443"/>
    <w:rsid w:val="006970A2"/>
    <w:rsid w:val="006A5846"/>
    <w:rsid w:val="006A586C"/>
    <w:rsid w:val="006A6494"/>
    <w:rsid w:val="006A7826"/>
    <w:rsid w:val="006B3EE8"/>
    <w:rsid w:val="006B5946"/>
    <w:rsid w:val="006B624A"/>
    <w:rsid w:val="006B7D30"/>
    <w:rsid w:val="006C2314"/>
    <w:rsid w:val="006C4F5E"/>
    <w:rsid w:val="006C77A1"/>
    <w:rsid w:val="006D0EE2"/>
    <w:rsid w:val="006D2055"/>
    <w:rsid w:val="006D20BD"/>
    <w:rsid w:val="006D3300"/>
    <w:rsid w:val="006D3A70"/>
    <w:rsid w:val="006D4055"/>
    <w:rsid w:val="006D748E"/>
    <w:rsid w:val="006D7A2C"/>
    <w:rsid w:val="006D7A7B"/>
    <w:rsid w:val="006D7F83"/>
    <w:rsid w:val="006E183F"/>
    <w:rsid w:val="006E1CB3"/>
    <w:rsid w:val="006E467D"/>
    <w:rsid w:val="006E5759"/>
    <w:rsid w:val="006E5CA8"/>
    <w:rsid w:val="006F0A2D"/>
    <w:rsid w:val="006F0CED"/>
    <w:rsid w:val="006F16E0"/>
    <w:rsid w:val="006F4185"/>
    <w:rsid w:val="0070444D"/>
    <w:rsid w:val="00705F57"/>
    <w:rsid w:val="0070693C"/>
    <w:rsid w:val="0070746A"/>
    <w:rsid w:val="00707C6C"/>
    <w:rsid w:val="0071111E"/>
    <w:rsid w:val="00713462"/>
    <w:rsid w:val="00713ADF"/>
    <w:rsid w:val="0072102D"/>
    <w:rsid w:val="00721D66"/>
    <w:rsid w:val="00724C6E"/>
    <w:rsid w:val="00726B2F"/>
    <w:rsid w:val="00726DEA"/>
    <w:rsid w:val="00727FBE"/>
    <w:rsid w:val="00731113"/>
    <w:rsid w:val="007339E9"/>
    <w:rsid w:val="00737A0D"/>
    <w:rsid w:val="007435BC"/>
    <w:rsid w:val="00746F7A"/>
    <w:rsid w:val="007511FE"/>
    <w:rsid w:val="00751737"/>
    <w:rsid w:val="00754290"/>
    <w:rsid w:val="00754E0B"/>
    <w:rsid w:val="00755234"/>
    <w:rsid w:val="007559DB"/>
    <w:rsid w:val="0075763B"/>
    <w:rsid w:val="00760AB6"/>
    <w:rsid w:val="007651A6"/>
    <w:rsid w:val="00771CAC"/>
    <w:rsid w:val="0077250E"/>
    <w:rsid w:val="00773CCF"/>
    <w:rsid w:val="00776FD2"/>
    <w:rsid w:val="007800EC"/>
    <w:rsid w:val="0078314E"/>
    <w:rsid w:val="007840EF"/>
    <w:rsid w:val="00785FFA"/>
    <w:rsid w:val="00797D4B"/>
    <w:rsid w:val="007A17FD"/>
    <w:rsid w:val="007B585F"/>
    <w:rsid w:val="007B6AC8"/>
    <w:rsid w:val="007B71FC"/>
    <w:rsid w:val="007B7412"/>
    <w:rsid w:val="007C276C"/>
    <w:rsid w:val="007C2DF2"/>
    <w:rsid w:val="007C326A"/>
    <w:rsid w:val="007C7239"/>
    <w:rsid w:val="007C7784"/>
    <w:rsid w:val="007C7CFC"/>
    <w:rsid w:val="007D1145"/>
    <w:rsid w:val="007D1803"/>
    <w:rsid w:val="007D5ED6"/>
    <w:rsid w:val="007D7592"/>
    <w:rsid w:val="007E173D"/>
    <w:rsid w:val="007F41A6"/>
    <w:rsid w:val="007F50A2"/>
    <w:rsid w:val="0080210D"/>
    <w:rsid w:val="00803D8A"/>
    <w:rsid w:val="00807A4F"/>
    <w:rsid w:val="0081024C"/>
    <w:rsid w:val="00814151"/>
    <w:rsid w:val="00814E7C"/>
    <w:rsid w:val="00821074"/>
    <w:rsid w:val="008233C4"/>
    <w:rsid w:val="0082393D"/>
    <w:rsid w:val="0082514B"/>
    <w:rsid w:val="00827793"/>
    <w:rsid w:val="0082795E"/>
    <w:rsid w:val="00830233"/>
    <w:rsid w:val="008337D5"/>
    <w:rsid w:val="008408EA"/>
    <w:rsid w:val="00840AB7"/>
    <w:rsid w:val="0084118E"/>
    <w:rsid w:val="00842ACE"/>
    <w:rsid w:val="0084301B"/>
    <w:rsid w:val="008526D9"/>
    <w:rsid w:val="008535EE"/>
    <w:rsid w:val="00855BBF"/>
    <w:rsid w:val="00856D59"/>
    <w:rsid w:val="00857375"/>
    <w:rsid w:val="008579F6"/>
    <w:rsid w:val="00857DD6"/>
    <w:rsid w:val="00860F03"/>
    <w:rsid w:val="00860FEC"/>
    <w:rsid w:val="008625B1"/>
    <w:rsid w:val="008629EB"/>
    <w:rsid w:val="00862CFE"/>
    <w:rsid w:val="00864777"/>
    <w:rsid w:val="00864D71"/>
    <w:rsid w:val="008720E5"/>
    <w:rsid w:val="008728CF"/>
    <w:rsid w:val="008764FB"/>
    <w:rsid w:val="00876A16"/>
    <w:rsid w:val="00880CF9"/>
    <w:rsid w:val="008812E5"/>
    <w:rsid w:val="008816AE"/>
    <w:rsid w:val="00881B39"/>
    <w:rsid w:val="00887918"/>
    <w:rsid w:val="00890614"/>
    <w:rsid w:val="0089622D"/>
    <w:rsid w:val="008A238D"/>
    <w:rsid w:val="008A6374"/>
    <w:rsid w:val="008B0201"/>
    <w:rsid w:val="008B51F3"/>
    <w:rsid w:val="008B7170"/>
    <w:rsid w:val="008C1ACF"/>
    <w:rsid w:val="008C2C0A"/>
    <w:rsid w:val="008C4D87"/>
    <w:rsid w:val="008D0B03"/>
    <w:rsid w:val="008D1E16"/>
    <w:rsid w:val="008D75FE"/>
    <w:rsid w:val="008E7591"/>
    <w:rsid w:val="008F0E23"/>
    <w:rsid w:val="008F49AD"/>
    <w:rsid w:val="008F4CE4"/>
    <w:rsid w:val="009003F4"/>
    <w:rsid w:val="00900A96"/>
    <w:rsid w:val="009030DC"/>
    <w:rsid w:val="0091202C"/>
    <w:rsid w:val="009151B2"/>
    <w:rsid w:val="00916850"/>
    <w:rsid w:val="009201DC"/>
    <w:rsid w:val="00921243"/>
    <w:rsid w:val="00922A6D"/>
    <w:rsid w:val="00926EDE"/>
    <w:rsid w:val="00934AD0"/>
    <w:rsid w:val="00935401"/>
    <w:rsid w:val="009356EB"/>
    <w:rsid w:val="00943F4B"/>
    <w:rsid w:val="00947603"/>
    <w:rsid w:val="00950B47"/>
    <w:rsid w:val="00952EBD"/>
    <w:rsid w:val="00954082"/>
    <w:rsid w:val="009602B5"/>
    <w:rsid w:val="0096159B"/>
    <w:rsid w:val="00963197"/>
    <w:rsid w:val="00963ABB"/>
    <w:rsid w:val="00964E99"/>
    <w:rsid w:val="00975559"/>
    <w:rsid w:val="00985BC9"/>
    <w:rsid w:val="00985FF8"/>
    <w:rsid w:val="00987A78"/>
    <w:rsid w:val="00990F29"/>
    <w:rsid w:val="00994A78"/>
    <w:rsid w:val="00994F17"/>
    <w:rsid w:val="0099661B"/>
    <w:rsid w:val="009A190B"/>
    <w:rsid w:val="009A42E4"/>
    <w:rsid w:val="009B583E"/>
    <w:rsid w:val="009C22DF"/>
    <w:rsid w:val="009C3C5A"/>
    <w:rsid w:val="009C6540"/>
    <w:rsid w:val="009D05A1"/>
    <w:rsid w:val="009D1AEA"/>
    <w:rsid w:val="009D2B4D"/>
    <w:rsid w:val="009D2CC4"/>
    <w:rsid w:val="009D3CAC"/>
    <w:rsid w:val="009D7BFB"/>
    <w:rsid w:val="009E2C76"/>
    <w:rsid w:val="009E3C22"/>
    <w:rsid w:val="009E3EBA"/>
    <w:rsid w:val="009E4374"/>
    <w:rsid w:val="009F0642"/>
    <w:rsid w:val="009F1E36"/>
    <w:rsid w:val="009F2340"/>
    <w:rsid w:val="009F2F8F"/>
    <w:rsid w:val="009F3159"/>
    <w:rsid w:val="009F4415"/>
    <w:rsid w:val="009F547C"/>
    <w:rsid w:val="009F767D"/>
    <w:rsid w:val="00A026D9"/>
    <w:rsid w:val="00A063DF"/>
    <w:rsid w:val="00A06ACA"/>
    <w:rsid w:val="00A1128D"/>
    <w:rsid w:val="00A11BDF"/>
    <w:rsid w:val="00A122F6"/>
    <w:rsid w:val="00A161A7"/>
    <w:rsid w:val="00A2060C"/>
    <w:rsid w:val="00A20674"/>
    <w:rsid w:val="00A237DD"/>
    <w:rsid w:val="00A240E9"/>
    <w:rsid w:val="00A27932"/>
    <w:rsid w:val="00A32543"/>
    <w:rsid w:val="00A336C1"/>
    <w:rsid w:val="00A421E8"/>
    <w:rsid w:val="00A42C48"/>
    <w:rsid w:val="00A47435"/>
    <w:rsid w:val="00A51A9C"/>
    <w:rsid w:val="00A55F5C"/>
    <w:rsid w:val="00A57111"/>
    <w:rsid w:val="00A66C12"/>
    <w:rsid w:val="00A67E92"/>
    <w:rsid w:val="00A71ACA"/>
    <w:rsid w:val="00A73971"/>
    <w:rsid w:val="00A74195"/>
    <w:rsid w:val="00A745B2"/>
    <w:rsid w:val="00A80A02"/>
    <w:rsid w:val="00A82FFF"/>
    <w:rsid w:val="00A872CD"/>
    <w:rsid w:val="00A90658"/>
    <w:rsid w:val="00A93D28"/>
    <w:rsid w:val="00A9538E"/>
    <w:rsid w:val="00A95766"/>
    <w:rsid w:val="00A95F05"/>
    <w:rsid w:val="00A96474"/>
    <w:rsid w:val="00AA0FB6"/>
    <w:rsid w:val="00AA1597"/>
    <w:rsid w:val="00AA1E42"/>
    <w:rsid w:val="00AA299A"/>
    <w:rsid w:val="00AA34CF"/>
    <w:rsid w:val="00AA7310"/>
    <w:rsid w:val="00AB3C6B"/>
    <w:rsid w:val="00AC7595"/>
    <w:rsid w:val="00AC7DC0"/>
    <w:rsid w:val="00AD32FC"/>
    <w:rsid w:val="00AD35F4"/>
    <w:rsid w:val="00AD51F7"/>
    <w:rsid w:val="00AE3896"/>
    <w:rsid w:val="00AE398A"/>
    <w:rsid w:val="00AE3CE3"/>
    <w:rsid w:val="00AE53C8"/>
    <w:rsid w:val="00AE5B4E"/>
    <w:rsid w:val="00AE7746"/>
    <w:rsid w:val="00AF5606"/>
    <w:rsid w:val="00B005D3"/>
    <w:rsid w:val="00B022ED"/>
    <w:rsid w:val="00B0420B"/>
    <w:rsid w:val="00B05153"/>
    <w:rsid w:val="00B05845"/>
    <w:rsid w:val="00B05942"/>
    <w:rsid w:val="00B05D80"/>
    <w:rsid w:val="00B06810"/>
    <w:rsid w:val="00B1158D"/>
    <w:rsid w:val="00B11896"/>
    <w:rsid w:val="00B123AA"/>
    <w:rsid w:val="00B13055"/>
    <w:rsid w:val="00B1367F"/>
    <w:rsid w:val="00B14334"/>
    <w:rsid w:val="00B144A6"/>
    <w:rsid w:val="00B16F37"/>
    <w:rsid w:val="00B172F1"/>
    <w:rsid w:val="00B17623"/>
    <w:rsid w:val="00B21697"/>
    <w:rsid w:val="00B27588"/>
    <w:rsid w:val="00B276BA"/>
    <w:rsid w:val="00B336D0"/>
    <w:rsid w:val="00B33786"/>
    <w:rsid w:val="00B35EA7"/>
    <w:rsid w:val="00B36572"/>
    <w:rsid w:val="00B36E06"/>
    <w:rsid w:val="00B40915"/>
    <w:rsid w:val="00B40E6C"/>
    <w:rsid w:val="00B43038"/>
    <w:rsid w:val="00B44205"/>
    <w:rsid w:val="00B46BDC"/>
    <w:rsid w:val="00B52E8C"/>
    <w:rsid w:val="00B53159"/>
    <w:rsid w:val="00B54990"/>
    <w:rsid w:val="00B64F68"/>
    <w:rsid w:val="00B71D27"/>
    <w:rsid w:val="00B7231F"/>
    <w:rsid w:val="00B72A14"/>
    <w:rsid w:val="00B74FD0"/>
    <w:rsid w:val="00B761F4"/>
    <w:rsid w:val="00B8069B"/>
    <w:rsid w:val="00B816C9"/>
    <w:rsid w:val="00B819B4"/>
    <w:rsid w:val="00B825B3"/>
    <w:rsid w:val="00B907AB"/>
    <w:rsid w:val="00B91000"/>
    <w:rsid w:val="00B9254B"/>
    <w:rsid w:val="00B925DE"/>
    <w:rsid w:val="00B953C5"/>
    <w:rsid w:val="00B967BC"/>
    <w:rsid w:val="00B96D9A"/>
    <w:rsid w:val="00BA0884"/>
    <w:rsid w:val="00BA0CEC"/>
    <w:rsid w:val="00BA0EE6"/>
    <w:rsid w:val="00BA1726"/>
    <w:rsid w:val="00BA1CFE"/>
    <w:rsid w:val="00BA1D11"/>
    <w:rsid w:val="00BA4651"/>
    <w:rsid w:val="00BA6247"/>
    <w:rsid w:val="00BB4097"/>
    <w:rsid w:val="00BB4D2F"/>
    <w:rsid w:val="00BB4DDC"/>
    <w:rsid w:val="00BB7405"/>
    <w:rsid w:val="00BB74E6"/>
    <w:rsid w:val="00BC1CC8"/>
    <w:rsid w:val="00BC270E"/>
    <w:rsid w:val="00BC2D09"/>
    <w:rsid w:val="00BC3D36"/>
    <w:rsid w:val="00BC53EB"/>
    <w:rsid w:val="00BC75C3"/>
    <w:rsid w:val="00BD007E"/>
    <w:rsid w:val="00BD0F9A"/>
    <w:rsid w:val="00BD1CE4"/>
    <w:rsid w:val="00BD33AF"/>
    <w:rsid w:val="00BD40FE"/>
    <w:rsid w:val="00BE1AAE"/>
    <w:rsid w:val="00BE4DCE"/>
    <w:rsid w:val="00BF0304"/>
    <w:rsid w:val="00BF1A7B"/>
    <w:rsid w:val="00BF2524"/>
    <w:rsid w:val="00BF384D"/>
    <w:rsid w:val="00BF5513"/>
    <w:rsid w:val="00BF654D"/>
    <w:rsid w:val="00C00EAE"/>
    <w:rsid w:val="00C03EAA"/>
    <w:rsid w:val="00C05300"/>
    <w:rsid w:val="00C116C1"/>
    <w:rsid w:val="00C1753D"/>
    <w:rsid w:val="00C2072D"/>
    <w:rsid w:val="00C33D54"/>
    <w:rsid w:val="00C34FCC"/>
    <w:rsid w:val="00C36FD6"/>
    <w:rsid w:val="00C40AD0"/>
    <w:rsid w:val="00C41CEB"/>
    <w:rsid w:val="00C4309C"/>
    <w:rsid w:val="00C435F7"/>
    <w:rsid w:val="00C45890"/>
    <w:rsid w:val="00C46F19"/>
    <w:rsid w:val="00C519F0"/>
    <w:rsid w:val="00C52E97"/>
    <w:rsid w:val="00C5401C"/>
    <w:rsid w:val="00C54247"/>
    <w:rsid w:val="00C56C6C"/>
    <w:rsid w:val="00C57261"/>
    <w:rsid w:val="00C5781A"/>
    <w:rsid w:val="00C57B09"/>
    <w:rsid w:val="00C638C3"/>
    <w:rsid w:val="00C66CB9"/>
    <w:rsid w:val="00C70812"/>
    <w:rsid w:val="00C72F83"/>
    <w:rsid w:val="00C756F8"/>
    <w:rsid w:val="00C7661D"/>
    <w:rsid w:val="00C77C64"/>
    <w:rsid w:val="00C83CA0"/>
    <w:rsid w:val="00C83E00"/>
    <w:rsid w:val="00C845EA"/>
    <w:rsid w:val="00C93672"/>
    <w:rsid w:val="00C94EDA"/>
    <w:rsid w:val="00C95193"/>
    <w:rsid w:val="00CA099E"/>
    <w:rsid w:val="00CA211B"/>
    <w:rsid w:val="00CA2EC5"/>
    <w:rsid w:val="00CA469B"/>
    <w:rsid w:val="00CA69DA"/>
    <w:rsid w:val="00CB18AE"/>
    <w:rsid w:val="00CB4124"/>
    <w:rsid w:val="00CB4DCF"/>
    <w:rsid w:val="00CC1A6B"/>
    <w:rsid w:val="00CC2329"/>
    <w:rsid w:val="00CC370F"/>
    <w:rsid w:val="00CC7478"/>
    <w:rsid w:val="00CC7598"/>
    <w:rsid w:val="00CD03C5"/>
    <w:rsid w:val="00CD0A16"/>
    <w:rsid w:val="00CD2AD9"/>
    <w:rsid w:val="00CD497A"/>
    <w:rsid w:val="00CD4BDE"/>
    <w:rsid w:val="00CD6D47"/>
    <w:rsid w:val="00CE004E"/>
    <w:rsid w:val="00CE01F2"/>
    <w:rsid w:val="00CE08F6"/>
    <w:rsid w:val="00CE0B8E"/>
    <w:rsid w:val="00CE1622"/>
    <w:rsid w:val="00CE20EC"/>
    <w:rsid w:val="00CE5FF6"/>
    <w:rsid w:val="00CE68E5"/>
    <w:rsid w:val="00CF25D6"/>
    <w:rsid w:val="00CF3697"/>
    <w:rsid w:val="00CF5E0E"/>
    <w:rsid w:val="00CF7872"/>
    <w:rsid w:val="00D02DA5"/>
    <w:rsid w:val="00D03E1D"/>
    <w:rsid w:val="00D05215"/>
    <w:rsid w:val="00D0526C"/>
    <w:rsid w:val="00D05659"/>
    <w:rsid w:val="00D11646"/>
    <w:rsid w:val="00D11CBE"/>
    <w:rsid w:val="00D1397A"/>
    <w:rsid w:val="00D15C72"/>
    <w:rsid w:val="00D160CA"/>
    <w:rsid w:val="00D20486"/>
    <w:rsid w:val="00D20507"/>
    <w:rsid w:val="00D23357"/>
    <w:rsid w:val="00D23EFB"/>
    <w:rsid w:val="00D25909"/>
    <w:rsid w:val="00D27B06"/>
    <w:rsid w:val="00D31091"/>
    <w:rsid w:val="00D32489"/>
    <w:rsid w:val="00D329F6"/>
    <w:rsid w:val="00D331AA"/>
    <w:rsid w:val="00D33F15"/>
    <w:rsid w:val="00D347D1"/>
    <w:rsid w:val="00D36E94"/>
    <w:rsid w:val="00D370FD"/>
    <w:rsid w:val="00D41258"/>
    <w:rsid w:val="00D42207"/>
    <w:rsid w:val="00D430D1"/>
    <w:rsid w:val="00D474C1"/>
    <w:rsid w:val="00D50614"/>
    <w:rsid w:val="00D51FAF"/>
    <w:rsid w:val="00D60E86"/>
    <w:rsid w:val="00D62F20"/>
    <w:rsid w:val="00D729CB"/>
    <w:rsid w:val="00D73168"/>
    <w:rsid w:val="00D750F5"/>
    <w:rsid w:val="00D753E7"/>
    <w:rsid w:val="00D7573B"/>
    <w:rsid w:val="00D76EE5"/>
    <w:rsid w:val="00D832F6"/>
    <w:rsid w:val="00D83F73"/>
    <w:rsid w:val="00D86AF2"/>
    <w:rsid w:val="00D8769A"/>
    <w:rsid w:val="00D90A26"/>
    <w:rsid w:val="00D90A28"/>
    <w:rsid w:val="00D94FCE"/>
    <w:rsid w:val="00DA14A0"/>
    <w:rsid w:val="00DA5AA0"/>
    <w:rsid w:val="00DA5C23"/>
    <w:rsid w:val="00DA687F"/>
    <w:rsid w:val="00DA7DD9"/>
    <w:rsid w:val="00DB10BD"/>
    <w:rsid w:val="00DB36C6"/>
    <w:rsid w:val="00DB708A"/>
    <w:rsid w:val="00DC0CB0"/>
    <w:rsid w:val="00DC479C"/>
    <w:rsid w:val="00DC53C8"/>
    <w:rsid w:val="00DD17FC"/>
    <w:rsid w:val="00DD2834"/>
    <w:rsid w:val="00DD2DE4"/>
    <w:rsid w:val="00DD5FC5"/>
    <w:rsid w:val="00DD7AEB"/>
    <w:rsid w:val="00DE0DFC"/>
    <w:rsid w:val="00DE3045"/>
    <w:rsid w:val="00DE3378"/>
    <w:rsid w:val="00DE35A0"/>
    <w:rsid w:val="00DE4F13"/>
    <w:rsid w:val="00DE6020"/>
    <w:rsid w:val="00DE67BB"/>
    <w:rsid w:val="00DE6F75"/>
    <w:rsid w:val="00DF1A18"/>
    <w:rsid w:val="00E01B62"/>
    <w:rsid w:val="00E02C96"/>
    <w:rsid w:val="00E05562"/>
    <w:rsid w:val="00E069C4"/>
    <w:rsid w:val="00E14A70"/>
    <w:rsid w:val="00E1533A"/>
    <w:rsid w:val="00E15377"/>
    <w:rsid w:val="00E20D75"/>
    <w:rsid w:val="00E219DF"/>
    <w:rsid w:val="00E21BB2"/>
    <w:rsid w:val="00E21F00"/>
    <w:rsid w:val="00E22DC4"/>
    <w:rsid w:val="00E22FD9"/>
    <w:rsid w:val="00E26F98"/>
    <w:rsid w:val="00E31B49"/>
    <w:rsid w:val="00E31B91"/>
    <w:rsid w:val="00E35425"/>
    <w:rsid w:val="00E41546"/>
    <w:rsid w:val="00E419D2"/>
    <w:rsid w:val="00E43144"/>
    <w:rsid w:val="00E53225"/>
    <w:rsid w:val="00E537F4"/>
    <w:rsid w:val="00E53E11"/>
    <w:rsid w:val="00E56395"/>
    <w:rsid w:val="00E56B7F"/>
    <w:rsid w:val="00E60680"/>
    <w:rsid w:val="00E616B9"/>
    <w:rsid w:val="00E657FE"/>
    <w:rsid w:val="00E67697"/>
    <w:rsid w:val="00E7349B"/>
    <w:rsid w:val="00E753BB"/>
    <w:rsid w:val="00E75F68"/>
    <w:rsid w:val="00E8215F"/>
    <w:rsid w:val="00E90C6F"/>
    <w:rsid w:val="00E92DDB"/>
    <w:rsid w:val="00E944CF"/>
    <w:rsid w:val="00E951D7"/>
    <w:rsid w:val="00E95A17"/>
    <w:rsid w:val="00E96669"/>
    <w:rsid w:val="00EA0DB3"/>
    <w:rsid w:val="00EA0E51"/>
    <w:rsid w:val="00EA6C19"/>
    <w:rsid w:val="00EB1367"/>
    <w:rsid w:val="00EB3181"/>
    <w:rsid w:val="00EB53E3"/>
    <w:rsid w:val="00EB659E"/>
    <w:rsid w:val="00EC5C80"/>
    <w:rsid w:val="00ED04F9"/>
    <w:rsid w:val="00EE0F4C"/>
    <w:rsid w:val="00EE19C3"/>
    <w:rsid w:val="00EE24D8"/>
    <w:rsid w:val="00EE6F06"/>
    <w:rsid w:val="00EE7912"/>
    <w:rsid w:val="00EF123D"/>
    <w:rsid w:val="00EF1799"/>
    <w:rsid w:val="00EF31CA"/>
    <w:rsid w:val="00EF54FD"/>
    <w:rsid w:val="00EF7890"/>
    <w:rsid w:val="00F01667"/>
    <w:rsid w:val="00F0287F"/>
    <w:rsid w:val="00F061FA"/>
    <w:rsid w:val="00F067BB"/>
    <w:rsid w:val="00F06915"/>
    <w:rsid w:val="00F3279E"/>
    <w:rsid w:val="00F3428A"/>
    <w:rsid w:val="00F35E91"/>
    <w:rsid w:val="00F410ED"/>
    <w:rsid w:val="00F4176E"/>
    <w:rsid w:val="00F469C0"/>
    <w:rsid w:val="00F46B14"/>
    <w:rsid w:val="00F53D14"/>
    <w:rsid w:val="00F55943"/>
    <w:rsid w:val="00F55C20"/>
    <w:rsid w:val="00F562A1"/>
    <w:rsid w:val="00F56362"/>
    <w:rsid w:val="00F57817"/>
    <w:rsid w:val="00F57C3D"/>
    <w:rsid w:val="00F610DE"/>
    <w:rsid w:val="00F613D4"/>
    <w:rsid w:val="00F63CE5"/>
    <w:rsid w:val="00F66A79"/>
    <w:rsid w:val="00F72777"/>
    <w:rsid w:val="00F75AAB"/>
    <w:rsid w:val="00F77901"/>
    <w:rsid w:val="00F83E86"/>
    <w:rsid w:val="00F877BF"/>
    <w:rsid w:val="00F92966"/>
    <w:rsid w:val="00FA041A"/>
    <w:rsid w:val="00FA1573"/>
    <w:rsid w:val="00FA73B2"/>
    <w:rsid w:val="00FC1630"/>
    <w:rsid w:val="00FC1949"/>
    <w:rsid w:val="00FC2148"/>
    <w:rsid w:val="00FC43A5"/>
    <w:rsid w:val="00FC6FD8"/>
    <w:rsid w:val="00FD3269"/>
    <w:rsid w:val="00FD391D"/>
    <w:rsid w:val="00FD3DB2"/>
    <w:rsid w:val="00FD72BB"/>
    <w:rsid w:val="00FE036A"/>
    <w:rsid w:val="00FE3C23"/>
    <w:rsid w:val="00FE435A"/>
    <w:rsid w:val="00FE72AC"/>
    <w:rsid w:val="00FF0105"/>
    <w:rsid w:val="00FF0F13"/>
    <w:rsid w:val="00FF1892"/>
    <w:rsid w:val="00FF2873"/>
    <w:rsid w:val="00FF2B2F"/>
    <w:rsid w:val="00FF3321"/>
    <w:rsid w:val="00FF4A57"/>
    <w:rsid w:val="00FF511E"/>
    <w:rsid w:val="00FF74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9E25B3C-8EE5-40D6-BAFF-6B50C3E33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footnote text" w:qFormat="1"/>
    <w:lsdException w:name="List Bullet" w:qFormat="1"/>
    <w:lsdException w:name="List Number" w:qFormat="1"/>
    <w:lsdException w:name="List Bullet 2" w:qFormat="1"/>
    <w:lsdException w:name="List Number 2" w:qFormat="1"/>
    <w:lsdException w:name="List Number 3"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40FB"/>
    <w:pPr>
      <w:spacing w:before="240" w:line="360" w:lineRule="auto"/>
      <w:jc w:val="both"/>
    </w:pPr>
    <w:rPr>
      <w:sz w:val="24"/>
    </w:rPr>
  </w:style>
  <w:style w:type="paragraph" w:styleId="Heading1">
    <w:name w:val="heading 1"/>
    <w:basedOn w:val="Normal"/>
    <w:next w:val="ListNumber"/>
    <w:link w:val="Heading1Char"/>
    <w:uiPriority w:val="9"/>
    <w:qFormat/>
    <w:rsid w:val="009003F4"/>
    <w:pPr>
      <w:keepNext/>
      <w:spacing w:before="360" w:line="240" w:lineRule="auto"/>
      <w:jc w:val="left"/>
      <w:outlineLvl w:val="0"/>
    </w:pPr>
    <w:rPr>
      <w:b/>
      <w:caps/>
    </w:rPr>
  </w:style>
  <w:style w:type="paragraph" w:styleId="Heading2">
    <w:name w:val="heading 2"/>
    <w:basedOn w:val="Normal"/>
    <w:next w:val="ListNumber"/>
    <w:link w:val="Heading2Char"/>
    <w:uiPriority w:val="9"/>
    <w:qFormat/>
    <w:rsid w:val="009003F4"/>
    <w:pPr>
      <w:keepNext/>
      <w:spacing w:before="360" w:line="240" w:lineRule="auto"/>
      <w:jc w:val="left"/>
      <w:outlineLvl w:val="1"/>
    </w:pPr>
    <w:rPr>
      <w:b/>
    </w:rPr>
  </w:style>
  <w:style w:type="paragraph" w:styleId="Heading3">
    <w:name w:val="heading 3"/>
    <w:basedOn w:val="Normal"/>
    <w:next w:val="ListNumber"/>
    <w:link w:val="Heading3Char"/>
    <w:uiPriority w:val="9"/>
    <w:qFormat/>
    <w:rsid w:val="00773CCF"/>
    <w:pPr>
      <w:keepNext/>
      <w:spacing w:before="360" w:line="240" w:lineRule="auto"/>
      <w:jc w:val="left"/>
      <w:outlineLvl w:val="2"/>
    </w:pPr>
    <w:rPr>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locked/>
    <w:rsid w:val="00773CCF"/>
    <w:rPr>
      <w:rFonts w:cs="Times New Roman"/>
      <w:b/>
      <w:i/>
      <w:sz w:val="22"/>
    </w:rPr>
  </w:style>
  <w:style w:type="paragraph" w:customStyle="1" w:styleId="NormalContinue">
    <w:name w:val="Normal Continue"/>
    <w:basedOn w:val="Normal"/>
    <w:next w:val="Normal"/>
  </w:style>
  <w:style w:type="paragraph" w:customStyle="1" w:styleId="CatchWords">
    <w:name w:val="CatchWords"/>
    <w:basedOn w:val="Normal"/>
    <w:qFormat/>
    <w:rsid w:val="00FF2873"/>
    <w:pPr>
      <w:spacing w:after="120"/>
      <w:contextualSpacing/>
    </w:pPr>
    <w:rPr>
      <w:i/>
      <w:sz w:val="22"/>
    </w:rPr>
  </w:style>
  <w:style w:type="paragraph" w:customStyle="1" w:styleId="FooterPage1">
    <w:name w:val="Footer Page1"/>
    <w:basedOn w:val="Footer"/>
    <w:rsid w:val="005D5DF5"/>
    <w:pPr>
      <w:jc w:val="left"/>
    </w:pPr>
    <w:rPr>
      <w:b w:val="0"/>
      <w:caps w:val="0"/>
      <w:sz w:val="13"/>
    </w:rPr>
  </w:style>
  <w:style w:type="paragraph" w:customStyle="1" w:styleId="NumberedQuote2">
    <w:name w:val="Numbered Quote 2"/>
    <w:basedOn w:val="Quote"/>
    <w:qFormat/>
    <w:rsid w:val="00BF384D"/>
    <w:pPr>
      <w:numPr>
        <w:numId w:val="8"/>
      </w:numPr>
    </w:pPr>
  </w:style>
  <w:style w:type="paragraph" w:styleId="Quote">
    <w:name w:val="Quote"/>
    <w:basedOn w:val="Normal"/>
    <w:link w:val="QuoteChar"/>
    <w:uiPriority w:val="29"/>
    <w:qFormat/>
    <w:rsid w:val="009F2340"/>
    <w:pPr>
      <w:spacing w:before="120" w:line="240" w:lineRule="auto"/>
      <w:ind w:left="709"/>
    </w:pPr>
    <w:rPr>
      <w:i/>
      <w:sz w:val="22"/>
    </w:rPr>
  </w:style>
  <w:style w:type="character" w:customStyle="1" w:styleId="QuoteChar">
    <w:name w:val="Quote Char"/>
    <w:basedOn w:val="DefaultParagraphFont"/>
    <w:link w:val="Quote"/>
    <w:uiPriority w:val="29"/>
    <w:rPr>
      <w:i/>
      <w:iCs/>
      <w:color w:val="404040" w:themeColor="text1" w:themeTint="BF"/>
      <w:sz w:val="24"/>
    </w:rPr>
  </w:style>
  <w:style w:type="paragraph" w:styleId="Footer">
    <w:name w:val="footer"/>
    <w:basedOn w:val="Normal"/>
    <w:link w:val="FooterChar"/>
    <w:uiPriority w:val="99"/>
    <w:rsid w:val="009D1AEA"/>
    <w:rPr>
      <w:rFonts w:ascii="Arial" w:hAnsi="Arial"/>
      <w:b/>
      <w:caps/>
      <w:sz w:val="16"/>
    </w:rPr>
  </w:style>
  <w:style w:type="character" w:customStyle="1" w:styleId="FooterChar">
    <w:name w:val="Footer Char"/>
    <w:basedOn w:val="DefaultParagraphFont"/>
    <w:link w:val="Footer"/>
    <w:uiPriority w:val="99"/>
    <w:semiHidden/>
    <w:rPr>
      <w:sz w:val="24"/>
    </w:rPr>
  </w:style>
  <w:style w:type="table" w:styleId="TableGrid">
    <w:name w:val="Table Grid"/>
    <w:basedOn w:val="TableNormal"/>
    <w:uiPriority w:val="39"/>
    <w:rsid w:val="003E4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pacer">
    <w:name w:val="Table Spacer"/>
    <w:basedOn w:val="Normal"/>
    <w:qFormat/>
    <w:rsid w:val="003A5522"/>
    <w:pPr>
      <w:spacing w:after="240"/>
    </w:pPr>
  </w:style>
  <w:style w:type="paragraph" w:styleId="NormalIndent">
    <w:name w:val="Normal Indent"/>
    <w:basedOn w:val="Normal"/>
    <w:uiPriority w:val="99"/>
    <w:qFormat/>
    <w:rsid w:val="0066062A"/>
    <w:pPr>
      <w:ind w:left="709"/>
    </w:pPr>
  </w:style>
  <w:style w:type="paragraph" w:customStyle="1" w:styleId="NumberedQuote3">
    <w:name w:val="Numbered Quote 3"/>
    <w:basedOn w:val="Quote"/>
    <w:qFormat/>
    <w:rsid w:val="00BF384D"/>
    <w:pPr>
      <w:numPr>
        <w:ilvl w:val="1"/>
        <w:numId w:val="8"/>
      </w:numPr>
    </w:pPr>
  </w:style>
  <w:style w:type="paragraph" w:customStyle="1" w:styleId="NumberedQuote4">
    <w:name w:val="Numbered Quote 4"/>
    <w:basedOn w:val="Quote"/>
    <w:qFormat/>
    <w:rsid w:val="00BF384D"/>
    <w:pPr>
      <w:numPr>
        <w:ilvl w:val="2"/>
        <w:numId w:val="8"/>
      </w:numPr>
    </w:pPr>
  </w:style>
  <w:style w:type="paragraph" w:styleId="ListBullet">
    <w:name w:val="List Bullet"/>
    <w:basedOn w:val="Normal"/>
    <w:uiPriority w:val="99"/>
    <w:qFormat/>
    <w:rsid w:val="000903C8"/>
    <w:pPr>
      <w:numPr>
        <w:numId w:val="4"/>
      </w:numPr>
      <w:spacing w:before="120"/>
      <w:jc w:val="left"/>
    </w:pPr>
    <w:rPr>
      <w:rFonts w:eastAsia="MS Mincho"/>
      <w:szCs w:val="24"/>
      <w:lang w:eastAsia="ja-JP"/>
    </w:rPr>
  </w:style>
  <w:style w:type="paragraph" w:styleId="ListBullet2">
    <w:name w:val="List Bullet 2"/>
    <w:basedOn w:val="Normal"/>
    <w:uiPriority w:val="99"/>
    <w:qFormat/>
    <w:rsid w:val="000903C8"/>
    <w:pPr>
      <w:numPr>
        <w:ilvl w:val="1"/>
        <w:numId w:val="4"/>
      </w:numPr>
      <w:spacing w:before="120"/>
      <w:jc w:val="left"/>
    </w:pPr>
    <w:rPr>
      <w:rFonts w:eastAsia="MS Mincho"/>
      <w:szCs w:val="24"/>
      <w:lang w:eastAsia="ja-JP"/>
    </w:rPr>
  </w:style>
  <w:style w:type="paragraph" w:styleId="ListNumber">
    <w:name w:val="List Number"/>
    <w:basedOn w:val="Normal"/>
    <w:uiPriority w:val="99"/>
    <w:qFormat/>
    <w:rsid w:val="007B585F"/>
    <w:pPr>
      <w:numPr>
        <w:numId w:val="7"/>
      </w:numPr>
      <w:tabs>
        <w:tab w:val="num" w:pos="0"/>
      </w:tabs>
      <w:spacing w:before="360"/>
      <w:ind w:hanging="709"/>
    </w:pPr>
    <w:rPr>
      <w:rFonts w:eastAsia="MS Mincho"/>
      <w:szCs w:val="24"/>
      <w:lang w:eastAsia="ja-JP"/>
    </w:rPr>
  </w:style>
  <w:style w:type="paragraph" w:styleId="ListNumber2">
    <w:name w:val="List Number 2"/>
    <w:basedOn w:val="Normal"/>
    <w:uiPriority w:val="99"/>
    <w:qFormat/>
    <w:rsid w:val="007B585F"/>
    <w:pPr>
      <w:numPr>
        <w:ilvl w:val="1"/>
        <w:numId w:val="7"/>
      </w:numPr>
      <w:tabs>
        <w:tab w:val="num" w:pos="709"/>
      </w:tabs>
      <w:ind w:left="709" w:hanging="709"/>
    </w:pPr>
    <w:rPr>
      <w:rFonts w:eastAsia="MS Mincho"/>
      <w:szCs w:val="24"/>
      <w:lang w:eastAsia="ja-JP"/>
    </w:rPr>
  </w:style>
  <w:style w:type="paragraph" w:styleId="ListNumber3">
    <w:name w:val="List Number 3"/>
    <w:basedOn w:val="Normal"/>
    <w:uiPriority w:val="99"/>
    <w:qFormat/>
    <w:rsid w:val="007B585F"/>
    <w:pPr>
      <w:numPr>
        <w:ilvl w:val="2"/>
        <w:numId w:val="7"/>
      </w:numPr>
      <w:tabs>
        <w:tab w:val="num" w:pos="1418"/>
      </w:tabs>
      <w:ind w:left="1418" w:hanging="709"/>
    </w:pPr>
    <w:rPr>
      <w:rFonts w:eastAsia="MS Mincho"/>
      <w:szCs w:val="24"/>
      <w:lang w:eastAsia="ja-JP"/>
    </w:rPr>
  </w:style>
  <w:style w:type="table" w:customStyle="1" w:styleId="TableAAT">
    <w:name w:val="Table AAT"/>
    <w:basedOn w:val="TableNormal"/>
    <w:qFormat/>
    <w:rsid w:val="003E261A"/>
    <w:pPr>
      <w:spacing w:before="60" w:after="60"/>
      <w:jc w:val="center"/>
    </w:pPr>
    <w:rPr>
      <w:rFonts w:eastAsia="MS Mincho"/>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blStylePr w:type="firstRow">
      <w:pPr>
        <w:jc w:val="center"/>
      </w:pPr>
      <w:rPr>
        <w:rFonts w:ascii="Times New Roman" w:hAnsi="Times New Roman" w:cs="Times New Roman"/>
        <w:b/>
        <w:i w:val="0"/>
        <w:color w:val="auto"/>
        <w:kern w:val="0"/>
        <w:sz w:val="24"/>
      </w:rPr>
      <w:tblPr/>
      <w:tcPr>
        <w:tcBorders>
          <w:top w:val="single" w:sz="4" w:space="0" w:color="auto"/>
          <w:left w:val="single" w:sz="4" w:space="0" w:color="auto"/>
          <w:bottom w:val="nil"/>
          <w:right w:val="single" w:sz="4" w:space="0" w:color="auto"/>
          <w:insideH w:val="nil"/>
          <w:insideV w:val="single" w:sz="4" w:space="0" w:color="auto"/>
          <w:tl2br w:val="nil"/>
          <w:tr2bl w:val="nil"/>
        </w:tcBorders>
      </w:tcPr>
    </w:tblStylePr>
    <w:tblStylePr w:type="firstCol">
      <w:pPr>
        <w:jc w:val="left"/>
      </w:pPr>
      <w:rPr>
        <w:rFonts w:cs="Times New Roman"/>
      </w:rPr>
    </w:tblStylePr>
  </w:style>
  <w:style w:type="paragraph" w:styleId="NoSpacing">
    <w:name w:val="No Spacing"/>
    <w:uiPriority w:val="1"/>
    <w:qFormat/>
    <w:rsid w:val="00D331AA"/>
    <w:pPr>
      <w:jc w:val="both"/>
    </w:pPr>
    <w:rPr>
      <w:sz w:val="24"/>
    </w:rPr>
  </w:style>
  <w:style w:type="paragraph" w:customStyle="1" w:styleId="Label">
    <w:name w:val="Label"/>
    <w:basedOn w:val="Normal"/>
    <w:rsid w:val="00AA34CF"/>
    <w:pPr>
      <w:spacing w:before="180" w:after="180" w:line="240" w:lineRule="auto"/>
    </w:pPr>
    <w:rPr>
      <w:sz w:val="20"/>
    </w:rPr>
  </w:style>
  <w:style w:type="paragraph" w:styleId="BalloonText">
    <w:name w:val="Balloon Text"/>
    <w:basedOn w:val="Normal"/>
    <w:link w:val="BalloonTextChar"/>
    <w:uiPriority w:val="99"/>
    <w:semiHidden/>
    <w:rsid w:val="00DD17FC"/>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C3D36"/>
    <w:rPr>
      <w:rFonts w:ascii="Tahoma" w:hAnsi="Tahoma" w:cs="Tahoma"/>
      <w:sz w:val="16"/>
      <w:szCs w:val="16"/>
    </w:rPr>
  </w:style>
  <w:style w:type="paragraph" w:styleId="Header">
    <w:name w:val="header"/>
    <w:basedOn w:val="Normal"/>
    <w:link w:val="HeaderChar"/>
    <w:uiPriority w:val="99"/>
    <w:rsid w:val="00DD17FC"/>
    <w:pPr>
      <w:tabs>
        <w:tab w:val="center" w:pos="4513"/>
        <w:tab w:val="right" w:pos="9026"/>
      </w:tabs>
      <w:spacing w:before="0" w:line="240" w:lineRule="auto"/>
    </w:pPr>
  </w:style>
  <w:style w:type="character" w:customStyle="1" w:styleId="HeaderChar">
    <w:name w:val="Header Char"/>
    <w:basedOn w:val="DefaultParagraphFont"/>
    <w:link w:val="Header"/>
    <w:uiPriority w:val="99"/>
    <w:locked/>
    <w:rsid w:val="00DD17FC"/>
    <w:rPr>
      <w:rFonts w:cs="Times New Roman"/>
      <w:sz w:val="24"/>
    </w:rPr>
  </w:style>
  <w:style w:type="paragraph" w:customStyle="1" w:styleId="Details">
    <w:name w:val="Details"/>
    <w:basedOn w:val="Normal"/>
    <w:qFormat/>
    <w:rsid w:val="00A9538E"/>
    <w:pPr>
      <w:contextualSpacing/>
    </w:pPr>
    <w:rPr>
      <w:b/>
      <w:bCs/>
    </w:rPr>
  </w:style>
  <w:style w:type="paragraph" w:styleId="FootnoteText">
    <w:name w:val="footnote text"/>
    <w:basedOn w:val="Normal"/>
    <w:link w:val="FootnoteTextChar"/>
    <w:uiPriority w:val="99"/>
    <w:qFormat/>
    <w:rsid w:val="003E5E87"/>
    <w:pPr>
      <w:spacing w:before="60" w:line="240" w:lineRule="auto"/>
    </w:pPr>
    <w:rPr>
      <w:i/>
      <w:sz w:val="18"/>
    </w:rPr>
  </w:style>
  <w:style w:type="character" w:customStyle="1" w:styleId="FootnoteTextChar">
    <w:name w:val="Footnote Text Char"/>
    <w:basedOn w:val="DefaultParagraphFont"/>
    <w:link w:val="FootnoteText"/>
    <w:uiPriority w:val="99"/>
    <w:locked/>
    <w:rsid w:val="003E5E87"/>
    <w:rPr>
      <w:rFonts w:cs="Times New Roman"/>
      <w:i/>
      <w:sz w:val="18"/>
    </w:rPr>
  </w:style>
  <w:style w:type="character" w:styleId="FootnoteReference">
    <w:name w:val="footnote reference"/>
    <w:basedOn w:val="DefaultParagraphFont"/>
    <w:uiPriority w:val="99"/>
    <w:rsid w:val="0012021D"/>
    <w:rPr>
      <w:rFonts w:cs="Times New Roman"/>
      <w:vertAlign w:val="superscript"/>
    </w:rPr>
  </w:style>
  <w:style w:type="character" w:styleId="PlaceholderText">
    <w:name w:val="Placeholder Text"/>
    <w:basedOn w:val="DefaultParagraphFont"/>
    <w:uiPriority w:val="99"/>
    <w:semiHidden/>
    <w:rsid w:val="004A55A2"/>
    <w:rPr>
      <w:rFonts w:cs="Times New Roman"/>
      <w:color w:val="808080"/>
    </w:rPr>
  </w:style>
  <w:style w:type="paragraph" w:styleId="Title">
    <w:name w:val="Title"/>
    <w:basedOn w:val="Normal"/>
    <w:next w:val="Normal"/>
    <w:link w:val="TitleChar"/>
    <w:uiPriority w:val="10"/>
    <w:rsid w:val="000D1F26"/>
    <w:pPr>
      <w:tabs>
        <w:tab w:val="left" w:pos="5681"/>
      </w:tabs>
    </w:pPr>
    <w:rPr>
      <w:rFonts w:eastAsiaTheme="majorEastAsia"/>
      <w:b/>
      <w:szCs w:val="52"/>
    </w:rPr>
  </w:style>
  <w:style w:type="character" w:customStyle="1" w:styleId="TitleChar">
    <w:name w:val="Title Char"/>
    <w:basedOn w:val="DefaultParagraphFont"/>
    <w:link w:val="Title"/>
    <w:uiPriority w:val="10"/>
    <w:locked/>
    <w:rsid w:val="000D1F26"/>
    <w:rPr>
      <w:rFonts w:eastAsiaTheme="majorEastAsia" w:cs="Times New Roman"/>
      <w:b/>
      <w:sz w:val="52"/>
      <w:szCs w:val="52"/>
    </w:rPr>
  </w:style>
  <w:style w:type="paragraph" w:customStyle="1" w:styleId="Quote2">
    <w:name w:val="Quote 2"/>
    <w:basedOn w:val="Quote"/>
    <w:qFormat/>
    <w:rsid w:val="009F2340"/>
    <w:pPr>
      <w:ind w:left="1276"/>
    </w:pPr>
  </w:style>
  <w:style w:type="paragraph" w:customStyle="1" w:styleId="Quote3">
    <w:name w:val="Quote 3"/>
    <w:basedOn w:val="Quote"/>
    <w:qFormat/>
    <w:rsid w:val="009F2340"/>
    <w:pPr>
      <w:ind w:left="1843"/>
    </w:pPr>
  </w:style>
  <w:style w:type="paragraph" w:customStyle="1" w:styleId="Quote4">
    <w:name w:val="Quote 4"/>
    <w:basedOn w:val="Quote"/>
    <w:qFormat/>
    <w:rsid w:val="009F2340"/>
    <w:pPr>
      <w:ind w:left="2410"/>
    </w:pPr>
  </w:style>
  <w:style w:type="paragraph" w:customStyle="1" w:styleId="FollowingPara">
    <w:name w:val="FollowingPara"/>
    <w:basedOn w:val="Normal"/>
    <w:qFormat/>
    <w:rsid w:val="00417658"/>
  </w:style>
  <w:style w:type="paragraph" w:customStyle="1" w:styleId="TableText">
    <w:name w:val="Table Text"/>
    <w:basedOn w:val="Normal"/>
    <w:qFormat/>
    <w:rsid w:val="00921243"/>
    <w:rPr>
      <w:sz w:val="22"/>
    </w:rPr>
  </w:style>
  <w:style w:type="paragraph" w:styleId="ListParagraph">
    <w:name w:val="List Paragraph"/>
    <w:basedOn w:val="Normal"/>
    <w:uiPriority w:val="34"/>
    <w:qFormat/>
    <w:rsid w:val="00554CA0"/>
    <w:pPr>
      <w:ind w:left="720"/>
      <w:contextualSpacing/>
    </w:pPr>
  </w:style>
  <w:style w:type="character" w:styleId="CommentReference">
    <w:name w:val="annotation reference"/>
    <w:basedOn w:val="DefaultParagraphFont"/>
    <w:uiPriority w:val="99"/>
    <w:rsid w:val="00F877BF"/>
    <w:rPr>
      <w:rFonts w:cs="Times New Roman"/>
      <w:sz w:val="16"/>
      <w:szCs w:val="16"/>
    </w:rPr>
  </w:style>
  <w:style w:type="paragraph" w:styleId="CommentText">
    <w:name w:val="annotation text"/>
    <w:basedOn w:val="Normal"/>
    <w:link w:val="CommentTextChar"/>
    <w:uiPriority w:val="99"/>
    <w:rsid w:val="00F877BF"/>
    <w:pPr>
      <w:spacing w:line="240" w:lineRule="auto"/>
    </w:pPr>
    <w:rPr>
      <w:sz w:val="20"/>
    </w:rPr>
  </w:style>
  <w:style w:type="character" w:customStyle="1" w:styleId="CommentTextChar">
    <w:name w:val="Comment Text Char"/>
    <w:basedOn w:val="DefaultParagraphFont"/>
    <w:link w:val="CommentText"/>
    <w:uiPriority w:val="99"/>
    <w:locked/>
    <w:rsid w:val="00F877BF"/>
    <w:rPr>
      <w:rFonts w:cs="Times New Roman"/>
    </w:rPr>
  </w:style>
  <w:style w:type="paragraph" w:styleId="CommentSubject">
    <w:name w:val="annotation subject"/>
    <w:basedOn w:val="CommentText"/>
    <w:next w:val="CommentText"/>
    <w:link w:val="CommentSubjectChar"/>
    <w:uiPriority w:val="99"/>
    <w:rsid w:val="00F877BF"/>
    <w:rPr>
      <w:b/>
      <w:bCs/>
    </w:rPr>
  </w:style>
  <w:style w:type="character" w:customStyle="1" w:styleId="CommentSubjectChar">
    <w:name w:val="Comment Subject Char"/>
    <w:basedOn w:val="CommentTextChar"/>
    <w:link w:val="CommentSubject"/>
    <w:uiPriority w:val="99"/>
    <w:locked/>
    <w:rsid w:val="00F877BF"/>
    <w:rPr>
      <w:rFonts w:cs="Times New Roman"/>
      <w:b/>
      <w:bCs/>
    </w:rPr>
  </w:style>
  <w:style w:type="numbering" w:customStyle="1" w:styleId="ListNumbers">
    <w:name w:val="ListNumbers"/>
    <w:pPr>
      <w:numPr>
        <w:numId w:val="5"/>
      </w:numPr>
    </w:pPr>
  </w:style>
  <w:style w:type="numbering" w:customStyle="1" w:styleId="Style1">
    <w:name w:val="Style1"/>
    <w:pPr>
      <w:numPr>
        <w:numId w:val="1"/>
      </w:numPr>
    </w:pPr>
  </w:style>
  <w:style w:type="numbering" w:customStyle="1" w:styleId="Quotes">
    <w:name w:val="Quotes"/>
    <w:pPr>
      <w:numPr>
        <w:numId w:val="7"/>
      </w:numPr>
    </w:pPr>
  </w:style>
  <w:style w:type="numbering" w:customStyle="1" w:styleId="Style2">
    <w:name w:val="Style2"/>
    <w:pPr>
      <w:numPr>
        <w:numId w:val="2"/>
      </w:numPr>
    </w:pPr>
  </w:style>
  <w:style w:type="numbering" w:customStyle="1" w:styleId="Bullets">
    <w:name w:val="Bullets"/>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T:\template\Decisions\DecisionAndReasons_A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CCF6E-898A-40B3-8B5B-1254DB910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DecisionAndReasons_AAT.dotm</Template>
  <TotalTime>0</TotalTime>
  <Pages>11</Pages>
  <Words>3013</Words>
  <Characters>17177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Administrative Appeals Tribunal</Company>
  <LinksUpToDate>false</LinksUpToDate>
  <CharactersWithSpaces>20150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Harker, Matthew</dc:creator>
  <cp:keywords/>
  <dc:description/>
  <cp:lastModifiedBy>Michelle Lindley</cp:lastModifiedBy>
  <cp:revision>2</cp:revision>
  <cp:lastPrinted>2015-06-11T23:55:00Z</cp:lastPrinted>
  <dcterms:created xsi:type="dcterms:W3CDTF">2015-09-07T04:51:00Z</dcterms:created>
  <dcterms:modified xsi:type="dcterms:W3CDTF">2015-09-07T04:51:00Z</dcterms:modified>
  <cp:category>Decision and Reasons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cisionNumber">
    <vt:lpwstr> </vt:lpwstr>
  </property>
  <property fmtid="{D5CDD505-2E9C-101B-9397-08002B2CF9AE}" pid="3" name="TribunalText">
    <vt:lpwstr/>
  </property>
  <property fmtid="{D5CDD505-2E9C-101B-9397-08002B2CF9AE}" pid="4" name="ThirdParty5">
    <vt:lpwstr> </vt:lpwstr>
  </property>
  <property fmtid="{D5CDD505-2E9C-101B-9397-08002B2CF9AE}" pid="5" name="ThirdParty4">
    <vt:lpwstr> </vt:lpwstr>
  </property>
  <property fmtid="{D5CDD505-2E9C-101B-9397-08002B2CF9AE}" pid="6" name="ThirdParty3">
    <vt:lpwstr> </vt:lpwstr>
  </property>
  <property fmtid="{D5CDD505-2E9C-101B-9397-08002B2CF9AE}" pid="7" name="ThirdParty2">
    <vt:lpwstr> </vt:lpwstr>
  </property>
  <property fmtid="{D5CDD505-2E9C-101B-9397-08002B2CF9AE}" pid="8" name="OtherParty5">
    <vt:lpwstr> </vt:lpwstr>
  </property>
  <property fmtid="{D5CDD505-2E9C-101B-9397-08002B2CF9AE}" pid="9" name="OtherParty4">
    <vt:lpwstr> </vt:lpwstr>
  </property>
  <property fmtid="{D5CDD505-2E9C-101B-9397-08002B2CF9AE}" pid="10" name="OtherParty3">
    <vt:lpwstr> </vt:lpwstr>
  </property>
  <property fmtid="{D5CDD505-2E9C-101B-9397-08002B2CF9AE}" pid="11" name="OtherParty2">
    <vt:lpwstr> </vt:lpwstr>
  </property>
  <property fmtid="{D5CDD505-2E9C-101B-9397-08002B2CF9AE}" pid="12" name="Respondent5">
    <vt:lpwstr> </vt:lpwstr>
  </property>
  <property fmtid="{D5CDD505-2E9C-101B-9397-08002B2CF9AE}" pid="13" name="Respondent4">
    <vt:lpwstr> </vt:lpwstr>
  </property>
  <property fmtid="{D5CDD505-2E9C-101B-9397-08002B2CF9AE}" pid="14" name="Respondent3">
    <vt:lpwstr> </vt:lpwstr>
  </property>
  <property fmtid="{D5CDD505-2E9C-101B-9397-08002B2CF9AE}" pid="15" name="Respondent2">
    <vt:lpwstr> </vt:lpwstr>
  </property>
  <property fmtid="{D5CDD505-2E9C-101B-9397-08002B2CF9AE}" pid="16" name="Respondent">
    <vt:lpwstr>Australian Human Rights Commission</vt:lpwstr>
  </property>
  <property fmtid="{D5CDD505-2E9C-101B-9397-08002B2CF9AE}" pid="17" name="JoinedParty5">
    <vt:lpwstr> </vt:lpwstr>
  </property>
  <property fmtid="{D5CDD505-2E9C-101B-9397-08002B2CF9AE}" pid="18" name="JoinedParty4">
    <vt:lpwstr> </vt:lpwstr>
  </property>
  <property fmtid="{D5CDD505-2E9C-101B-9397-08002B2CF9AE}" pid="19" name="JoinedParty3">
    <vt:lpwstr> </vt:lpwstr>
  </property>
  <property fmtid="{D5CDD505-2E9C-101B-9397-08002B2CF9AE}" pid="20" name="JoinedParty2">
    <vt:lpwstr> </vt:lpwstr>
  </property>
  <property fmtid="{D5CDD505-2E9C-101B-9397-08002B2CF9AE}" pid="21" name="Applicant5">
    <vt:lpwstr> </vt:lpwstr>
  </property>
  <property fmtid="{D5CDD505-2E9C-101B-9397-08002B2CF9AE}" pid="22" name="Applicant4">
    <vt:lpwstr> </vt:lpwstr>
  </property>
  <property fmtid="{D5CDD505-2E9C-101B-9397-08002B2CF9AE}" pid="23" name="Applicant3">
    <vt:lpwstr> </vt:lpwstr>
  </property>
  <property fmtid="{D5CDD505-2E9C-101B-9397-08002B2CF9AE}" pid="24" name="Applicant2">
    <vt:lpwstr> </vt:lpwstr>
  </property>
  <property fmtid="{D5CDD505-2E9C-101B-9397-08002B2CF9AE}" pid="25" name="Applicant">
    <vt:lpwstr>People with Disability Australia</vt:lpwstr>
  </property>
  <property fmtid="{D5CDD505-2E9C-101B-9397-08002B2CF9AE}" pid="26" name="FileNumber">
    <vt:lpwstr>2015/2158</vt:lpwstr>
  </property>
  <property fmtid="{D5CDD505-2E9C-101B-9397-08002B2CF9AE}" pid="27" name="FileNumber2">
    <vt:lpwstr> </vt:lpwstr>
  </property>
  <property fmtid="{D5CDD505-2E9C-101B-9397-08002B2CF9AE}" pid="28" name="FileNumber3">
    <vt:lpwstr> </vt:lpwstr>
  </property>
  <property fmtid="{D5CDD505-2E9C-101B-9397-08002B2CF9AE}" pid="29" name="FileNumber4">
    <vt:lpwstr> </vt:lpwstr>
  </property>
  <property fmtid="{D5CDD505-2E9C-101B-9397-08002B2CF9AE}" pid="30" name="FileNumber5">
    <vt:lpwstr> </vt:lpwstr>
  </property>
  <property fmtid="{D5CDD505-2E9C-101B-9397-08002B2CF9AE}" pid="31" name="FileNumber6">
    <vt:lpwstr> </vt:lpwstr>
  </property>
  <property fmtid="{D5CDD505-2E9C-101B-9397-08002B2CF9AE}" pid="32" name="FileNumber7">
    <vt:lpwstr> </vt:lpwstr>
  </property>
  <property fmtid="{D5CDD505-2E9C-101B-9397-08002B2CF9AE}" pid="33" name="FileNumber8">
    <vt:lpwstr> </vt:lpwstr>
  </property>
  <property fmtid="{D5CDD505-2E9C-101B-9397-08002B2CF9AE}" pid="34" name="FileNumber9">
    <vt:lpwstr> </vt:lpwstr>
  </property>
  <property fmtid="{D5CDD505-2E9C-101B-9397-08002B2CF9AE}" pid="35" name="FileNumber10">
    <vt:lpwstr> </vt:lpwstr>
  </property>
  <property fmtid="{D5CDD505-2E9C-101B-9397-08002B2CF9AE}" pid="36" name="FileNumber11">
    <vt:lpwstr> </vt:lpwstr>
  </property>
  <property fmtid="{D5CDD505-2E9C-101B-9397-08002B2CF9AE}" pid="37" name="Applicant6">
    <vt:lpwstr> </vt:lpwstr>
  </property>
  <property fmtid="{D5CDD505-2E9C-101B-9397-08002B2CF9AE}" pid="38" name="Applicant7">
    <vt:lpwstr> </vt:lpwstr>
  </property>
  <property fmtid="{D5CDD505-2E9C-101B-9397-08002B2CF9AE}" pid="39" name="Applicant8">
    <vt:lpwstr> </vt:lpwstr>
  </property>
  <property fmtid="{D5CDD505-2E9C-101B-9397-08002B2CF9AE}" pid="40" name="Applicant9">
    <vt:lpwstr> </vt:lpwstr>
  </property>
  <property fmtid="{D5CDD505-2E9C-101B-9397-08002B2CF9AE}" pid="41" name="Applicant10">
    <vt:lpwstr> </vt:lpwstr>
  </property>
  <property fmtid="{D5CDD505-2E9C-101B-9397-08002B2CF9AE}" pid="42" name="Applicant11">
    <vt:lpwstr> </vt:lpwstr>
  </property>
  <property fmtid="{D5CDD505-2E9C-101B-9397-08002B2CF9AE}" pid="43" name="Respondent6">
    <vt:lpwstr> </vt:lpwstr>
  </property>
  <property fmtid="{D5CDD505-2E9C-101B-9397-08002B2CF9AE}" pid="44" name="Respondent7">
    <vt:lpwstr> </vt:lpwstr>
  </property>
  <property fmtid="{D5CDD505-2E9C-101B-9397-08002B2CF9AE}" pid="45" name="Respondent8">
    <vt:lpwstr> </vt:lpwstr>
  </property>
  <property fmtid="{D5CDD505-2E9C-101B-9397-08002B2CF9AE}" pid="46" name="Respondent9">
    <vt:lpwstr> </vt:lpwstr>
  </property>
  <property fmtid="{D5CDD505-2E9C-101B-9397-08002B2CF9AE}" pid="47" name="Respondent10">
    <vt:lpwstr> </vt:lpwstr>
  </property>
  <property fmtid="{D5CDD505-2E9C-101B-9397-08002B2CF9AE}" pid="48" name="Respondent11">
    <vt:lpwstr> </vt:lpwstr>
  </property>
  <property fmtid="{D5CDD505-2E9C-101B-9397-08002B2CF9AE}" pid="49" name="JoinedParty6">
    <vt:lpwstr> </vt:lpwstr>
  </property>
  <property fmtid="{D5CDD505-2E9C-101B-9397-08002B2CF9AE}" pid="50" name="JoinedParty7">
    <vt:lpwstr> </vt:lpwstr>
  </property>
  <property fmtid="{D5CDD505-2E9C-101B-9397-08002B2CF9AE}" pid="51" name="JoinedParty8">
    <vt:lpwstr> </vt:lpwstr>
  </property>
  <property fmtid="{D5CDD505-2E9C-101B-9397-08002B2CF9AE}" pid="52" name="JoinedParty9">
    <vt:lpwstr> </vt:lpwstr>
  </property>
  <property fmtid="{D5CDD505-2E9C-101B-9397-08002B2CF9AE}" pid="53" name="JoinedParty10">
    <vt:lpwstr> </vt:lpwstr>
  </property>
  <property fmtid="{D5CDD505-2E9C-101B-9397-08002B2CF9AE}" pid="54" name="JoinedParty11">
    <vt:lpwstr> </vt:lpwstr>
  </property>
  <property fmtid="{D5CDD505-2E9C-101B-9397-08002B2CF9AE}" pid="55" name="OtherParty6">
    <vt:lpwstr> </vt:lpwstr>
  </property>
  <property fmtid="{D5CDD505-2E9C-101B-9397-08002B2CF9AE}" pid="56" name="OtherParty7">
    <vt:lpwstr> </vt:lpwstr>
  </property>
  <property fmtid="{D5CDD505-2E9C-101B-9397-08002B2CF9AE}" pid="57" name="OtherParty8">
    <vt:lpwstr> </vt:lpwstr>
  </property>
  <property fmtid="{D5CDD505-2E9C-101B-9397-08002B2CF9AE}" pid="58" name="OtherParty9">
    <vt:lpwstr> </vt:lpwstr>
  </property>
  <property fmtid="{D5CDD505-2E9C-101B-9397-08002B2CF9AE}" pid="59" name="OtherParty10">
    <vt:lpwstr> </vt:lpwstr>
  </property>
  <property fmtid="{D5CDD505-2E9C-101B-9397-08002B2CF9AE}" pid="60" name="OtherParty11">
    <vt:lpwstr> </vt:lpwstr>
  </property>
  <property fmtid="{D5CDD505-2E9C-101B-9397-08002B2CF9AE}" pid="61" name="ThirdParty6">
    <vt:lpwstr> </vt:lpwstr>
  </property>
  <property fmtid="{D5CDD505-2E9C-101B-9397-08002B2CF9AE}" pid="62" name="ThirdParty7">
    <vt:lpwstr> </vt:lpwstr>
  </property>
  <property fmtid="{D5CDD505-2E9C-101B-9397-08002B2CF9AE}" pid="63" name="ThirdParty8">
    <vt:lpwstr> </vt:lpwstr>
  </property>
  <property fmtid="{D5CDD505-2E9C-101B-9397-08002B2CF9AE}" pid="64" name="ThirdParty9">
    <vt:lpwstr> </vt:lpwstr>
  </property>
  <property fmtid="{D5CDD505-2E9C-101B-9397-08002B2CF9AE}" pid="65" name="ThirdParty10">
    <vt:lpwstr> </vt:lpwstr>
  </property>
  <property fmtid="{D5CDD505-2E9C-101B-9397-08002B2CF9AE}" pid="66" name="ThirdParty11">
    <vt:lpwstr> </vt:lpwstr>
  </property>
  <property fmtid="{D5CDD505-2E9C-101B-9397-08002B2CF9AE}" pid="67" name="ThirdParty">
    <vt:lpwstr> </vt:lpwstr>
  </property>
  <property fmtid="{D5CDD505-2E9C-101B-9397-08002B2CF9AE}" pid="68" name="OtherParty">
    <vt:lpwstr> </vt:lpwstr>
  </property>
  <property fmtid="{D5CDD505-2E9C-101B-9397-08002B2CF9AE}" pid="69" name="JoinedParty">
    <vt:lpwstr>AED Legal Centre_x000d__x000d_National Disability Services_x000d__x000d_Secretary, Department of Social Services</vt:lpwstr>
  </property>
  <property fmtid="{D5CDD505-2E9C-101B-9397-08002B2CF9AE}" pid="70" name="Division">
    <vt:lpwstr>GENERAL ADMINISTRATIVE DIVISION</vt:lpwstr>
  </property>
  <property fmtid="{D5CDD505-2E9C-101B-9397-08002B2CF9AE}" pid="71" name="TribunalSignee">
    <vt:lpwstr>Deputy President J W Constance</vt:lpwstr>
  </property>
  <property fmtid="{D5CDD505-2E9C-101B-9397-08002B2CF9AE}" pid="72" name="Catchwords">
    <vt:lpwstr> </vt:lpwstr>
  </property>
  <property fmtid="{D5CDD505-2E9C-101B-9397-08002B2CF9AE}" pid="73" name="Legislation">
    <vt:lpwstr> </vt:lpwstr>
  </property>
  <property fmtid="{D5CDD505-2E9C-101B-9397-08002B2CF9AE}" pid="74" name="Cases">
    <vt:lpwstr> </vt:lpwstr>
  </property>
  <property fmtid="{D5CDD505-2E9C-101B-9397-08002B2CF9AE}" pid="75" name="SecondaryMaterials">
    <vt:lpwstr> </vt:lpwstr>
  </property>
  <property fmtid="{D5CDD505-2E9C-101B-9397-08002B2CF9AE}" pid="76" name="DateOfHearing">
    <vt:lpwstr>4 June 2015</vt:lpwstr>
  </property>
  <property fmtid="{D5CDD505-2E9C-101B-9397-08002B2CF9AE}" pid="77" name="DateFinalSubmission">
    <vt:lpwstr>4 June 2015</vt:lpwstr>
  </property>
  <property fmtid="{D5CDD505-2E9C-101B-9397-08002B2CF9AE}" pid="78" name="Applicant_Counsel">
    <vt:lpwstr> </vt:lpwstr>
  </property>
  <property fmtid="{D5CDD505-2E9C-101B-9397-08002B2CF9AE}" pid="79" name="Applicant_Advocate">
    <vt:lpwstr> </vt:lpwstr>
  </property>
  <property fmtid="{D5CDD505-2E9C-101B-9397-08002B2CF9AE}" pid="80" name="Applicant_Solicitors">
    <vt:lpwstr> </vt:lpwstr>
  </property>
  <property fmtid="{D5CDD505-2E9C-101B-9397-08002B2CF9AE}" pid="81" name="Respondent_Counsel">
    <vt:lpwstr> </vt:lpwstr>
  </property>
  <property fmtid="{D5CDD505-2E9C-101B-9397-08002B2CF9AE}" pid="82" name="Respondent_Advocate">
    <vt:lpwstr> </vt:lpwstr>
  </property>
  <property fmtid="{D5CDD505-2E9C-101B-9397-08002B2CF9AE}" pid="83" name="Respondent_Solicitors">
    <vt:lpwstr> </vt:lpwstr>
  </property>
  <property fmtid="{D5CDD505-2E9C-101B-9397-08002B2CF9AE}" pid="84" name="Joined_Counsel">
    <vt:lpwstr> </vt:lpwstr>
  </property>
  <property fmtid="{D5CDD505-2E9C-101B-9397-08002B2CF9AE}" pid="85" name="Joined_Advocate">
    <vt:lpwstr> </vt:lpwstr>
  </property>
  <property fmtid="{D5CDD505-2E9C-101B-9397-08002B2CF9AE}" pid="86" name="OtherParty_Counsel">
    <vt:lpwstr> </vt:lpwstr>
  </property>
  <property fmtid="{D5CDD505-2E9C-101B-9397-08002B2CF9AE}" pid="87" name="OtherParty_Advocate">
    <vt:lpwstr> </vt:lpwstr>
  </property>
  <property fmtid="{D5CDD505-2E9C-101B-9397-08002B2CF9AE}" pid="88" name="OtherParty_Solicitors">
    <vt:lpwstr> </vt:lpwstr>
  </property>
  <property fmtid="{D5CDD505-2E9C-101B-9397-08002B2CF9AE}" pid="89" name="DecisionSummary">
    <vt:lpwstr> </vt:lpwstr>
  </property>
  <property fmtid="{D5CDD505-2E9C-101B-9397-08002B2CF9AE}" pid="90" name="Joined_Solicitors">
    <vt:lpwstr>H Dejean; Australian Government Solciitor</vt:lpwstr>
  </property>
  <property fmtid="{D5CDD505-2E9C-101B-9397-08002B2CF9AE}" pid="91" name="ThirdParty_Counsel">
    <vt:lpwstr> </vt:lpwstr>
  </property>
  <property fmtid="{D5CDD505-2E9C-101B-9397-08002B2CF9AE}" pid="92" name="ThirdParty_Solicitors">
    <vt:lpwstr> </vt:lpwstr>
  </property>
  <property fmtid="{D5CDD505-2E9C-101B-9397-08002B2CF9AE}" pid="93" name="ThirdParty_Advocate">
    <vt:lpwstr> </vt:lpwstr>
  </property>
  <property fmtid="{D5CDD505-2E9C-101B-9397-08002B2CF9AE}" pid="94" name="SigneeDesignation">
    <vt:lpwstr>Associate</vt:lpwstr>
  </property>
  <property fmtid="{D5CDD505-2E9C-101B-9397-08002B2CF9AE}" pid="95" name="DateWrittenReason">
    <vt:lpwstr/>
  </property>
  <property fmtid="{D5CDD505-2E9C-101B-9397-08002B2CF9AE}" pid="96" name="DecisionDate">
    <vt:lpwstr>5 June 2015</vt:lpwstr>
  </property>
  <property fmtid="{D5CDD505-2E9C-101B-9397-08002B2CF9AE}" pid="97" name="ReasonsforDecisionDate">
    <vt:lpwstr>5 June 2015</vt:lpwstr>
  </property>
  <property fmtid="{D5CDD505-2E9C-101B-9397-08002B2CF9AE}" pid="98" name="StampDate">
    <vt:lpwstr>5 June 2015</vt:lpwstr>
  </property>
  <property fmtid="{D5CDD505-2E9C-101B-9397-08002B2CF9AE}" pid="99" name="TribunalLastPgForm">
    <vt:lpwstr>Deputy President J W Constance</vt:lpwstr>
  </property>
  <property fmtid="{D5CDD505-2E9C-101B-9397-08002B2CF9AE}" pid="100" name="InfoCDC">
    <vt:lpwstr> </vt:lpwstr>
  </property>
  <property fmtid="{D5CDD505-2E9C-101B-9397-08002B2CF9AE}" pid="101" name="Place">
    <vt:lpwstr>Sydney</vt:lpwstr>
  </property>
</Properties>
</file>