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E4" w:rsidRDefault="002B5F5C">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1034" type="#_x0000_t202" style="position:absolute;margin-left:71.6pt;margin-top:725.85pt;width:509.55pt;height:70pt;z-index:-251660800;mso-wrap-distance-left:0;mso-wrap-distance-right:0;mso-position-horizontal-relative:page;mso-position-vertical-relative:page" filled="f" stroked="f">
            <v:textbox inset="0,0,0,0">
              <w:txbxContent>
                <w:p w:rsidR="001C03E4" w:rsidRDefault="002B5F5C" w:rsidP="002B5F5C">
                  <w:pPr>
                    <w:spacing w:after="852" w:line="543" w:lineRule="exact"/>
                    <w:jc w:val="center"/>
                    <w:textAlignment w:val="baseline"/>
                    <w:rPr>
                      <w:rFonts w:ascii="Arial" w:eastAsia="Arial" w:hAnsi="Arial"/>
                      <w:color w:val="000000"/>
                      <w:spacing w:val="63"/>
                      <w:sz w:val="11"/>
                    </w:rPr>
                  </w:pPr>
                  <w:r>
                    <w:rPr>
                      <w:rFonts w:ascii="Arial" w:eastAsia="Arial" w:hAnsi="Arial"/>
                      <w:color w:val="000000"/>
                      <w:spacing w:val="63"/>
                      <w:w w:val="85"/>
                      <w:sz w:val="46"/>
                    </w:rPr>
                    <w:t>Im</w:t>
                  </w:r>
                  <w:r w:rsidR="00D2224D">
                    <w:rPr>
                      <w:rFonts w:ascii="Arial" w:eastAsia="Arial" w:hAnsi="Arial"/>
                      <w:color w:val="000000"/>
                      <w:spacing w:val="63"/>
                      <w:w w:val="85"/>
                      <w:sz w:val="46"/>
                    </w:rPr>
                    <w:t>p</w:t>
                  </w:r>
                  <w:r>
                    <w:rPr>
                      <w:rFonts w:ascii="Arial" w:eastAsia="Arial" w:hAnsi="Arial"/>
                      <w:color w:val="000000"/>
                      <w:spacing w:val="63"/>
                      <w:w w:val="85"/>
                      <w:sz w:val="46"/>
                    </w:rPr>
                    <w:t>roving life for people with disabilities</w:t>
                  </w:r>
                </w:p>
              </w:txbxContent>
            </v:textbox>
            <w10:wrap type="square" anchorx="page" anchory="page"/>
          </v:shape>
        </w:pict>
      </w:r>
      <w:r w:rsidR="00D2224D">
        <w:pict>
          <v:shape id="_x0000_s0" o:spid="_x0000_s1038" type="#_x0000_t202" style="position:absolute;margin-left:32.9pt;margin-top:121.9pt;width:522pt;height:524.25pt;z-index:-251664896;mso-wrap-distance-left:0;mso-wrap-distance-right:0;mso-position-horizontal-relative:page;mso-position-vertical-relative:page" filled="f" stroked="f">
            <v:textbox inset="0,0,0,0">
              <w:txbxContent>
                <w:p w:rsidR="001C03E4" w:rsidRDefault="00D2224D">
                  <w:pPr>
                    <w:spacing w:before="1622" w:line="240" w:lineRule="exact"/>
                    <w:ind w:left="288" w:right="6552"/>
                    <w:textAlignment w:val="baseline"/>
                    <w:rPr>
                      <w:rFonts w:ascii="Arial" w:eastAsia="Arial" w:hAnsi="Arial"/>
                      <w:color w:val="000000"/>
                      <w:sz w:val="21"/>
                    </w:rPr>
                  </w:pPr>
                  <w:r>
                    <w:rPr>
                      <w:rFonts w:ascii="Arial" w:eastAsia="Arial" w:hAnsi="Arial"/>
                      <w:color w:val="000000"/>
                      <w:sz w:val="21"/>
                    </w:rPr>
                    <w:t>Australian Human Rights Commission GPO Box 5218</w:t>
                  </w:r>
                </w:p>
                <w:p w:rsidR="001C03E4" w:rsidRDefault="00D2224D">
                  <w:pPr>
                    <w:spacing w:line="241" w:lineRule="exact"/>
                    <w:ind w:left="288"/>
                    <w:textAlignment w:val="baseline"/>
                    <w:rPr>
                      <w:rFonts w:ascii="Arial" w:eastAsia="Arial" w:hAnsi="Arial"/>
                      <w:color w:val="000000"/>
                      <w:spacing w:val="-1"/>
                      <w:sz w:val="21"/>
                    </w:rPr>
                  </w:pPr>
                  <w:r>
                    <w:rPr>
                      <w:rFonts w:ascii="Arial" w:eastAsia="Arial" w:hAnsi="Arial"/>
                      <w:color w:val="000000"/>
                      <w:spacing w:val="-1"/>
                      <w:sz w:val="21"/>
                    </w:rPr>
                    <w:t>Sydney NSW 2001</w:t>
                  </w:r>
                </w:p>
                <w:p w:rsidR="001C03E4" w:rsidRDefault="00D2224D">
                  <w:pPr>
                    <w:spacing w:before="252" w:line="238" w:lineRule="exact"/>
                    <w:ind w:left="288" w:right="360"/>
                    <w:textAlignment w:val="baseline"/>
                    <w:rPr>
                      <w:rFonts w:ascii="Arial" w:eastAsia="Arial" w:hAnsi="Arial"/>
                      <w:b/>
                      <w:color w:val="000000"/>
                      <w:sz w:val="21"/>
                    </w:rPr>
                  </w:pPr>
                  <w:r>
                    <w:rPr>
                      <w:rFonts w:ascii="Arial" w:eastAsia="Arial" w:hAnsi="Arial"/>
                      <w:b/>
                      <w:color w:val="000000"/>
                      <w:sz w:val="21"/>
                    </w:rPr>
                    <w:t xml:space="preserve">RE: </w:t>
                  </w:r>
                  <w:proofErr w:type="spellStart"/>
                  <w:r>
                    <w:rPr>
                      <w:rFonts w:ascii="Arial" w:eastAsia="Arial" w:hAnsi="Arial"/>
                      <w:b/>
                      <w:color w:val="000000"/>
                      <w:sz w:val="21"/>
                    </w:rPr>
                    <w:t>FaHCSIA's</w:t>
                  </w:r>
                  <w:proofErr w:type="spellEnd"/>
                  <w:r>
                    <w:rPr>
                      <w:rFonts w:ascii="Arial" w:eastAsia="Arial" w:hAnsi="Arial"/>
                      <w:b/>
                      <w:color w:val="000000"/>
                      <w:sz w:val="21"/>
                    </w:rPr>
                    <w:t xml:space="preserve"> Application for an exemption under the Disability Discrimination Act 1992 (</w:t>
                  </w:r>
                  <w:proofErr w:type="spellStart"/>
                  <w:r>
                    <w:rPr>
                      <w:rFonts w:ascii="Arial" w:eastAsia="Arial" w:hAnsi="Arial"/>
                      <w:b/>
                      <w:color w:val="000000"/>
                      <w:sz w:val="21"/>
                    </w:rPr>
                    <w:t>Cth</w:t>
                  </w:r>
                  <w:proofErr w:type="spellEnd"/>
                  <w:r>
                    <w:rPr>
                      <w:rFonts w:ascii="Arial" w:eastAsia="Arial" w:hAnsi="Arial"/>
                      <w:b/>
                      <w:color w:val="000000"/>
                      <w:sz w:val="21"/>
                    </w:rPr>
                    <w:t>) to use the BSWAT.</w:t>
                  </w:r>
                </w:p>
                <w:p w:rsidR="001C03E4" w:rsidRDefault="00D2224D" w:rsidP="002B5F5C">
                  <w:pPr>
                    <w:spacing w:before="342" w:line="241" w:lineRule="exact"/>
                    <w:ind w:left="288" w:right="1008"/>
                    <w:textAlignment w:val="baseline"/>
                    <w:rPr>
                      <w:rFonts w:ascii="Arial" w:eastAsia="Arial" w:hAnsi="Arial"/>
                      <w:color w:val="000000"/>
                      <w:sz w:val="21"/>
                    </w:rPr>
                  </w:pPr>
                  <w:r>
                    <w:rPr>
                      <w:rFonts w:ascii="Arial" w:eastAsia="Arial" w:hAnsi="Arial"/>
                      <w:color w:val="000000"/>
                      <w:sz w:val="21"/>
                    </w:rPr>
                    <w:t xml:space="preserve">Advocacy for Inclusion opposes </w:t>
                  </w:r>
                  <w:proofErr w:type="spellStart"/>
                  <w:r>
                    <w:rPr>
                      <w:rFonts w:ascii="Arial" w:eastAsia="Arial" w:hAnsi="Arial"/>
                      <w:color w:val="000000"/>
                      <w:sz w:val="21"/>
                    </w:rPr>
                    <w:t>FaHCSIA's</w:t>
                  </w:r>
                  <w:proofErr w:type="spellEnd"/>
                  <w:r>
                    <w:rPr>
                      <w:rFonts w:ascii="Arial" w:eastAsia="Arial" w:hAnsi="Arial"/>
                      <w:color w:val="000000"/>
                      <w:sz w:val="21"/>
                    </w:rPr>
                    <w:t xml:space="preserve"> application for an exemption under the DDA to permit </w:t>
                  </w:r>
                  <w:r w:rsidR="002B5F5C">
                    <w:rPr>
                      <w:rFonts w:ascii="Arial" w:eastAsia="Arial" w:hAnsi="Arial"/>
                      <w:color w:val="000000"/>
                      <w:sz w:val="21"/>
                    </w:rPr>
                    <w:t>A</w:t>
                  </w:r>
                  <w:r>
                    <w:rPr>
                      <w:rFonts w:ascii="Arial" w:eastAsia="Arial" w:hAnsi="Arial"/>
                      <w:color w:val="000000"/>
                      <w:sz w:val="21"/>
                    </w:rPr>
                    <w:t>ustralian Disability Enterprises (ADEs) to continue to assess and pay wages using the BSWAT.</w:t>
                  </w:r>
                </w:p>
                <w:p w:rsidR="001C03E4" w:rsidRDefault="00D2224D">
                  <w:pPr>
                    <w:spacing w:before="162" w:line="241" w:lineRule="exact"/>
                    <w:ind w:left="288" w:right="72"/>
                    <w:textAlignment w:val="baseline"/>
                    <w:rPr>
                      <w:rFonts w:ascii="Arial" w:eastAsia="Arial" w:hAnsi="Arial"/>
                      <w:color w:val="000000"/>
                      <w:sz w:val="21"/>
                    </w:rPr>
                  </w:pPr>
                  <w:r>
                    <w:rPr>
                      <w:rFonts w:ascii="Arial" w:eastAsia="Arial" w:hAnsi="Arial"/>
                      <w:color w:val="000000"/>
                      <w:sz w:val="21"/>
                    </w:rPr>
                    <w:t>The Federal Court was clear in its ruling that the competency compo</w:t>
                  </w:r>
                  <w:r>
                    <w:rPr>
                      <w:rFonts w:ascii="Arial" w:eastAsia="Arial" w:hAnsi="Arial"/>
                      <w:color w:val="000000"/>
                      <w:sz w:val="21"/>
                    </w:rPr>
                    <w:t xml:space="preserve">nent of the BSWAT is discriminatory because it assesses competencies irrelevant to the worker's actual job. This discrimination has occurred since the introduction of BSWAT 10 years ago and it is unacceptable to allow this discrimination to continue for a </w:t>
                  </w:r>
                  <w:r>
                    <w:rPr>
                      <w:rFonts w:ascii="Arial" w:eastAsia="Arial" w:hAnsi="Arial"/>
                      <w:color w:val="000000"/>
                      <w:sz w:val="21"/>
                    </w:rPr>
                    <w:t>further 3 years. The High Court has subsequently confirmed this view.</w:t>
                  </w:r>
                </w:p>
                <w:p w:rsidR="001C03E4" w:rsidRDefault="00D2224D">
                  <w:pPr>
                    <w:spacing w:before="248" w:line="240" w:lineRule="exact"/>
                    <w:ind w:left="288" w:right="576"/>
                    <w:textAlignment w:val="baseline"/>
                    <w:rPr>
                      <w:rFonts w:ascii="Arial" w:eastAsia="Arial" w:hAnsi="Arial"/>
                      <w:color w:val="000000"/>
                      <w:sz w:val="21"/>
                    </w:rPr>
                  </w:pPr>
                  <w:r>
                    <w:rPr>
                      <w:rFonts w:ascii="Arial" w:eastAsia="Arial" w:hAnsi="Arial"/>
                      <w:color w:val="000000"/>
                      <w:sz w:val="21"/>
                    </w:rPr>
                    <w:t>In addition, the United Nations Committee on the Rights of Persons with Disabilities has now made an unambiguous recommendation that Australia immediately cease to use the BSWAT</w:t>
                  </w:r>
                  <w:r>
                    <w:rPr>
                      <w:rFonts w:ascii="Arial" w:eastAsia="Arial" w:hAnsi="Arial"/>
                      <w:color w:val="000000"/>
                      <w:sz w:val="21"/>
                      <w:vertAlign w:val="superscript"/>
                    </w:rPr>
                    <w:t>1</w:t>
                  </w:r>
                  <w:r>
                    <w:rPr>
                      <w:rFonts w:ascii="Arial" w:eastAsia="Arial" w:hAnsi="Arial"/>
                      <w:color w:val="000000"/>
                      <w:sz w:val="21"/>
                    </w:rPr>
                    <w:t>.</w:t>
                  </w:r>
                </w:p>
                <w:p w:rsidR="001C03E4" w:rsidRDefault="00D2224D">
                  <w:pPr>
                    <w:spacing w:before="245" w:line="242" w:lineRule="exact"/>
                    <w:ind w:left="288" w:right="216"/>
                    <w:textAlignment w:val="baseline"/>
                    <w:rPr>
                      <w:rFonts w:ascii="Arial" w:eastAsia="Arial" w:hAnsi="Arial"/>
                      <w:color w:val="000000"/>
                      <w:sz w:val="21"/>
                    </w:rPr>
                  </w:pPr>
                  <w:proofErr w:type="spellStart"/>
                  <w:r>
                    <w:rPr>
                      <w:rFonts w:ascii="Arial" w:eastAsia="Arial" w:hAnsi="Arial"/>
                      <w:color w:val="000000"/>
                      <w:sz w:val="21"/>
                    </w:rPr>
                    <w:t>FaHCSI</w:t>
                  </w:r>
                  <w:r>
                    <w:rPr>
                      <w:rFonts w:ascii="Arial" w:eastAsia="Arial" w:hAnsi="Arial"/>
                      <w:color w:val="000000"/>
                      <w:sz w:val="21"/>
                    </w:rPr>
                    <w:t>A</w:t>
                  </w:r>
                  <w:proofErr w:type="spellEnd"/>
                  <w:r>
                    <w:rPr>
                      <w:rFonts w:ascii="Arial" w:eastAsia="Arial" w:hAnsi="Arial"/>
                      <w:color w:val="000000"/>
                      <w:sz w:val="21"/>
                    </w:rPr>
                    <w:t xml:space="preserve"> has requested a 3 year exemption to undertake further consultation, sector development, assessments, capacity building among people with disabilities and families, and to establish a new wage assessment tool. These tasks are clearly targeted at achieving</w:t>
                  </w:r>
                  <w:r>
                    <w:rPr>
                      <w:rFonts w:ascii="Arial" w:eastAsia="Arial" w:hAnsi="Arial"/>
                      <w:color w:val="000000"/>
                      <w:sz w:val="21"/>
                    </w:rPr>
                    <w:t xml:space="preserve"> a long-term solution. Knowingly subjecting people with disabilities to continuing discrimination while a long-term solution is developed is unacceptable and unfair. </w:t>
                  </w:r>
                  <w:proofErr w:type="spellStart"/>
                  <w:r>
                    <w:rPr>
                      <w:rFonts w:ascii="Arial" w:eastAsia="Arial" w:hAnsi="Arial"/>
                      <w:color w:val="000000"/>
                      <w:sz w:val="21"/>
                    </w:rPr>
                    <w:t>FaHCSIA</w:t>
                  </w:r>
                  <w:proofErr w:type="spellEnd"/>
                  <w:r>
                    <w:rPr>
                      <w:rFonts w:ascii="Arial" w:eastAsia="Arial" w:hAnsi="Arial"/>
                      <w:color w:val="000000"/>
                      <w:sz w:val="21"/>
                    </w:rPr>
                    <w:t xml:space="preserve"> must commit to an interim solution while it transitions the entire system to becom</w:t>
                  </w:r>
                  <w:r>
                    <w:rPr>
                      <w:rFonts w:ascii="Arial" w:eastAsia="Arial" w:hAnsi="Arial"/>
                      <w:color w:val="000000"/>
                      <w:sz w:val="21"/>
                    </w:rPr>
                    <w:t>e more human rights compliant.</w:t>
                  </w:r>
                </w:p>
                <w:p w:rsidR="001C03E4" w:rsidRDefault="00D2224D">
                  <w:pPr>
                    <w:spacing w:before="249" w:line="245" w:lineRule="exact"/>
                    <w:ind w:left="288"/>
                    <w:textAlignment w:val="baseline"/>
                    <w:rPr>
                      <w:rFonts w:ascii="Arial" w:eastAsia="Arial" w:hAnsi="Arial"/>
                      <w:color w:val="000000"/>
                      <w:sz w:val="21"/>
                    </w:rPr>
                  </w:pPr>
                  <w:proofErr w:type="spellStart"/>
                  <w:r>
                    <w:rPr>
                      <w:rFonts w:ascii="Arial" w:eastAsia="Arial" w:hAnsi="Arial"/>
                      <w:color w:val="000000"/>
                      <w:sz w:val="21"/>
                    </w:rPr>
                    <w:t>FaHCSIA</w:t>
                  </w:r>
                  <w:proofErr w:type="spellEnd"/>
                  <w:r>
                    <w:rPr>
                      <w:rFonts w:ascii="Arial" w:eastAsia="Arial" w:hAnsi="Arial"/>
                      <w:color w:val="000000"/>
                      <w:sz w:val="21"/>
                    </w:rPr>
                    <w:t xml:space="preserve"> has already undertaken initial consultations resulting in wide agreement that the Supported Wage</w:t>
                  </w:r>
                </w:p>
                <w:p w:rsidR="001C03E4" w:rsidRDefault="00D2224D" w:rsidP="002B5F5C">
                  <w:pPr>
                    <w:spacing w:before="3" w:line="240" w:lineRule="exact"/>
                    <w:ind w:left="288" w:right="72"/>
                    <w:textAlignment w:val="baseline"/>
                    <w:rPr>
                      <w:rFonts w:ascii="Arial" w:eastAsia="Arial" w:hAnsi="Arial"/>
                      <w:color w:val="000000"/>
                      <w:sz w:val="21"/>
                    </w:rPr>
                  </w:pPr>
                  <w:r>
                    <w:rPr>
                      <w:rFonts w:ascii="Arial" w:eastAsia="Arial" w:hAnsi="Arial"/>
                      <w:color w:val="000000"/>
                      <w:sz w:val="21"/>
                    </w:rPr>
                    <w:t>System (SWS) should be introduced as the alternative to BSWAT. Some believed that the minimum wage c</w:t>
                  </w:r>
                  <w:r>
                    <w:rPr>
                      <w:rFonts w:ascii="Arial" w:eastAsia="Arial" w:hAnsi="Arial"/>
                      <w:color w:val="000000"/>
                      <w:sz w:val="21"/>
                    </w:rPr>
                    <w:t xml:space="preserve">omponent should be modified prior to introduction. The SWS already exists and is </w:t>
                  </w:r>
                  <w:proofErr w:type="spellStart"/>
                  <w:r>
                    <w:rPr>
                      <w:rFonts w:ascii="Arial" w:eastAsia="Arial" w:hAnsi="Arial"/>
                      <w:color w:val="000000"/>
                      <w:sz w:val="21"/>
                    </w:rPr>
                    <w:t>recognised</w:t>
                  </w:r>
                  <w:proofErr w:type="spellEnd"/>
                  <w:r>
                    <w:rPr>
                      <w:rFonts w:ascii="Arial" w:eastAsia="Arial" w:hAnsi="Arial"/>
                      <w:color w:val="000000"/>
                      <w:sz w:val="21"/>
                    </w:rPr>
                    <w:t xml:space="preserve"> as valid and non-discriminatory</w:t>
                  </w:r>
                  <w:r>
                    <w:rPr>
                      <w:rFonts w:ascii="Arial" w:eastAsia="Arial" w:hAnsi="Arial"/>
                      <w:color w:val="000000"/>
                      <w:sz w:val="21"/>
                      <w:vertAlign w:val="superscript"/>
                    </w:rPr>
                    <w:t>2</w:t>
                  </w:r>
                  <w:r>
                    <w:rPr>
                      <w:rFonts w:ascii="Arial" w:eastAsia="Arial" w:hAnsi="Arial"/>
                      <w:color w:val="000000"/>
                      <w:sz w:val="21"/>
                    </w:rPr>
                    <w:t>. Advocacy for Inclusion reco</w:t>
                  </w:r>
                  <w:r>
                    <w:rPr>
                      <w:rFonts w:ascii="Arial" w:eastAsia="Arial" w:hAnsi="Arial"/>
                      <w:color w:val="000000"/>
                      <w:sz w:val="21"/>
                    </w:rPr>
                    <w:t xml:space="preserve">mmends that </w:t>
                  </w:r>
                  <w:proofErr w:type="spellStart"/>
                  <w:r>
                    <w:rPr>
                      <w:rFonts w:ascii="Arial" w:eastAsia="Arial" w:hAnsi="Arial"/>
                      <w:color w:val="000000"/>
                      <w:sz w:val="21"/>
                    </w:rPr>
                    <w:t>FaHCSIA</w:t>
                  </w:r>
                  <w:proofErr w:type="spellEnd"/>
                  <w:r>
                    <w:rPr>
                      <w:rFonts w:ascii="Arial" w:eastAsia="Arial" w:hAnsi="Arial"/>
                      <w:color w:val="000000"/>
                      <w:sz w:val="21"/>
                    </w:rPr>
                    <w:t xml:space="preserve"> introduce this system immediately, with the necessary modifications, as an </w:t>
                  </w:r>
                  <w:r>
                    <w:rPr>
                      <w:rFonts w:ascii="Arial" w:eastAsia="Arial" w:hAnsi="Arial"/>
                      <w:b/>
                      <w:color w:val="000000"/>
                      <w:sz w:val="21"/>
                    </w:rPr>
                    <w:t xml:space="preserve">interim </w:t>
                  </w:r>
                  <w:r>
                    <w:rPr>
                      <w:rFonts w:ascii="Arial" w:eastAsia="Arial" w:hAnsi="Arial"/>
                      <w:color w:val="000000"/>
                      <w:sz w:val="21"/>
                    </w:rPr>
                    <w:t>solution while the 3 year transition towards a long-term solution is developed.</w:t>
                  </w:r>
                </w:p>
                <w:p w:rsidR="001C03E4" w:rsidRDefault="00D2224D">
                  <w:pPr>
                    <w:spacing w:before="255" w:after="594" w:line="243" w:lineRule="exact"/>
                    <w:ind w:left="288" w:right="216"/>
                    <w:textAlignment w:val="baseline"/>
                    <w:rPr>
                      <w:rFonts w:ascii="Arial" w:eastAsia="Arial" w:hAnsi="Arial"/>
                      <w:color w:val="000000"/>
                      <w:sz w:val="21"/>
                    </w:rPr>
                  </w:pPr>
                  <w:proofErr w:type="spellStart"/>
                  <w:r>
                    <w:rPr>
                      <w:rFonts w:ascii="Arial" w:eastAsia="Arial" w:hAnsi="Arial"/>
                      <w:color w:val="000000"/>
                      <w:sz w:val="21"/>
                    </w:rPr>
                    <w:t>FaHCSIA</w:t>
                  </w:r>
                  <w:proofErr w:type="spellEnd"/>
                  <w:r>
                    <w:rPr>
                      <w:rFonts w:ascii="Arial" w:eastAsia="Arial" w:hAnsi="Arial"/>
                      <w:color w:val="000000"/>
                      <w:sz w:val="21"/>
                    </w:rPr>
                    <w:t xml:space="preserve"> states that if a 3 year transition period, using the BSWAT, is no</w:t>
                  </w:r>
                  <w:r>
                    <w:rPr>
                      <w:rFonts w:ascii="Arial" w:eastAsia="Arial" w:hAnsi="Arial"/>
                      <w:color w:val="000000"/>
                      <w:sz w:val="21"/>
                    </w:rPr>
                    <w:t>t allowed ADEs may be unable to comply with legislated quality assurance requirements and through this lose certification and funding.</w:t>
                  </w:r>
                </w:p>
              </w:txbxContent>
            </v:textbox>
            <w10:wrap type="square" anchorx="page" anchory="page"/>
          </v:shape>
        </w:pict>
      </w:r>
      <w:r w:rsidR="00D2224D">
        <w:pict>
          <v:shape id="_x0000_s1037" type="#_x0000_t202" style="position:absolute;margin-left:32.9pt;margin-top:646.15pt;width:522pt;height:79.7pt;z-index:-251663872;mso-wrap-distance-left:0;mso-wrap-distance-right:0;mso-position-horizontal-relative:page;mso-position-vertical-relative:page" filled="f" stroked="f">
            <v:textbox inset="0,0,0,0">
              <w:txbxContent>
                <w:p w:rsidR="001C03E4" w:rsidRDefault="00D2224D">
                  <w:pPr>
                    <w:spacing w:before="131" w:line="199" w:lineRule="exact"/>
                    <w:ind w:left="288" w:right="144"/>
                    <w:textAlignment w:val="baseline"/>
                    <w:rPr>
                      <w:rFonts w:ascii="Arial" w:eastAsia="Arial" w:hAnsi="Arial"/>
                      <w:color w:val="000000"/>
                      <w:sz w:val="11"/>
                      <w:vertAlign w:val="superscript"/>
                    </w:rPr>
                  </w:pPr>
                  <w:proofErr w:type="gramStart"/>
                  <w:r>
                    <w:rPr>
                      <w:rFonts w:ascii="Arial" w:eastAsia="Arial" w:hAnsi="Arial"/>
                      <w:color w:val="000000"/>
                      <w:sz w:val="11"/>
                      <w:vertAlign w:val="superscript"/>
                    </w:rPr>
                    <w:t>1</w:t>
                  </w:r>
                  <w:r>
                    <w:rPr>
                      <w:rFonts w:ascii="Arial" w:eastAsia="Arial" w:hAnsi="Arial"/>
                      <w:color w:val="000000"/>
                      <w:sz w:val="17"/>
                    </w:rPr>
                    <w:t xml:space="preserve"> Committee on the Rights of Persons with Disabilities.</w:t>
                  </w:r>
                  <w:proofErr w:type="gramEnd"/>
                  <w:r>
                    <w:rPr>
                      <w:rFonts w:ascii="Arial" w:eastAsia="Arial" w:hAnsi="Arial"/>
                      <w:color w:val="000000"/>
                      <w:sz w:val="17"/>
                    </w:rPr>
                    <w:t xml:space="preserve"> (4 October 2013). </w:t>
                  </w:r>
                  <w:r>
                    <w:rPr>
                      <w:rFonts w:ascii="Arial" w:eastAsia="Arial" w:hAnsi="Arial"/>
                      <w:i/>
                      <w:color w:val="000000"/>
                      <w:sz w:val="17"/>
                    </w:rPr>
                    <w:t>Concluding observations on the initial repor</w:t>
                  </w:r>
                  <w:r>
                    <w:rPr>
                      <w:rFonts w:ascii="Arial" w:eastAsia="Arial" w:hAnsi="Arial"/>
                      <w:i/>
                      <w:color w:val="000000"/>
                      <w:sz w:val="17"/>
                    </w:rPr>
                    <w:t xml:space="preserve">t of Australia, adopted by the Committee at its tenth session (2-13 September 2013) </w:t>
                  </w:r>
                  <w:r>
                    <w:rPr>
                      <w:rFonts w:ascii="Arial" w:eastAsia="Arial" w:hAnsi="Arial"/>
                      <w:color w:val="000000"/>
                      <w:sz w:val="17"/>
                    </w:rPr>
                    <w:t>(Para. 50). http://tbinternet.ohchrorgi_layouts/treatybodyexternal/Download.aspx?symbolno=CRPD%2fCc/o2fAUS%2fC0%2f1&amp;Lang=en</w:t>
                  </w:r>
                </w:p>
                <w:p w:rsidR="001C03E4" w:rsidRDefault="00D2224D">
                  <w:pPr>
                    <w:spacing w:before="3" w:after="282" w:line="193" w:lineRule="exact"/>
                    <w:ind w:left="288" w:right="432"/>
                    <w:textAlignment w:val="baseline"/>
                    <w:rPr>
                      <w:rFonts w:ascii="Arial" w:eastAsia="Arial" w:hAnsi="Arial"/>
                      <w:color w:val="000000"/>
                      <w:sz w:val="11"/>
                      <w:vertAlign w:val="superscript"/>
                    </w:rPr>
                  </w:pPr>
                  <w:r>
                    <w:rPr>
                      <w:rFonts w:ascii="Arial" w:eastAsia="Arial" w:hAnsi="Arial"/>
                      <w:color w:val="000000"/>
                      <w:sz w:val="11"/>
                      <w:vertAlign w:val="superscript"/>
                    </w:rPr>
                    <w:t>2</w:t>
                  </w:r>
                  <w:r>
                    <w:rPr>
                      <w:rFonts w:ascii="Arial" w:eastAsia="Arial" w:hAnsi="Arial"/>
                      <w:color w:val="000000"/>
                      <w:sz w:val="17"/>
                    </w:rPr>
                    <w:t xml:space="preserve"> NCI D. (10 May 2013). </w:t>
                  </w:r>
                  <w:r>
                    <w:rPr>
                      <w:rFonts w:ascii="Arial" w:eastAsia="Arial" w:hAnsi="Arial"/>
                      <w:i/>
                      <w:color w:val="000000"/>
                      <w:sz w:val="17"/>
                    </w:rPr>
                    <w:t>Commonwealth discriminat</w:t>
                  </w:r>
                  <w:r>
                    <w:rPr>
                      <w:rFonts w:ascii="Arial" w:eastAsia="Arial" w:hAnsi="Arial"/>
                      <w:i/>
                      <w:color w:val="000000"/>
                      <w:sz w:val="17"/>
                    </w:rPr>
                    <w:t xml:space="preserve">es against people with intellectual disability, High Court rules. </w:t>
                  </w:r>
                  <w:hyperlink r:id="rId5">
                    <w:r>
                      <w:rPr>
                        <w:rFonts w:ascii="Arial" w:eastAsia="Arial" w:hAnsi="Arial"/>
                        <w:color w:val="0000FF"/>
                        <w:sz w:val="17"/>
                        <w:u w:val="single"/>
                      </w:rPr>
                      <w:t>http://www.ncid.org.au/index.php/employment-first/108-commonwealth-discriminates-against-people-with-intellectual-disability-high-court-rules</w:t>
                    </w:r>
                  </w:hyperlink>
                </w:p>
              </w:txbxContent>
            </v:textbox>
            <w10:wrap type="square" anchorx="page" anchory="page"/>
          </v:shape>
        </w:pict>
      </w:r>
      <w:r w:rsidR="00D2224D">
        <w:pict>
          <v:shape id="_x0000_s1035" type="#_x0000_t202" style="position:absolute;margin-left:287.3pt;margin-top:762.5pt;width:277.9pt;height:33.35pt;z-index:-251661824;mso-wrap-distance-left:0;mso-wrap-distance-right:0;mso-position-horizontal-relative:page;mso-position-vertical-relative:page" filled="f" stroked="f">
            <v:textbox inset="0,0,0,0">
              <w:txbxContent>
                <w:p w:rsidR="001C03E4" w:rsidRDefault="00D2224D">
                  <w:pPr>
                    <w:textAlignment w:val="baseline"/>
                  </w:pPr>
                  <w:r>
                    <w:rPr>
                      <w:noProof/>
                      <w:lang w:val="en-AU" w:eastAsia="en-AU"/>
                    </w:rPr>
                    <w:drawing>
                      <wp:inline distT="0" distB="0" distL="0" distR="0" wp14:anchorId="3982A7F0" wp14:editId="647169BE">
                        <wp:extent cx="3529330" cy="4235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3529330" cy="423545"/>
                                </a:xfrm>
                                <a:prstGeom prst="rect">
                                  <a:avLst/>
                                </a:prstGeom>
                              </pic:spPr>
                            </pic:pic>
                          </a:graphicData>
                        </a:graphic>
                      </wp:inline>
                    </w:drawing>
                  </w:r>
                </w:p>
              </w:txbxContent>
            </v:textbox>
            <w10:wrap type="square" anchorx="page" anchory="page"/>
          </v:shape>
        </w:pict>
      </w:r>
      <w:r w:rsidR="00D2224D">
        <w:pict>
          <v:line id="_x0000_s1029" style="position:absolute;z-index:251663872;mso-position-horizontal-relative:page;mso-position-vertical-relative:page" from="45.35pt,646.55pt" to="185.8pt,646.55pt" strokeweight=".7pt">
            <w10:wrap anchorx="page" anchory="page"/>
          </v:line>
        </w:pict>
      </w:r>
    </w:p>
    <w:p w:rsidR="001C03E4" w:rsidRDefault="001C03E4">
      <w:pPr>
        <w:sectPr w:rsidR="001C03E4">
          <w:pgSz w:w="11914" w:h="16848"/>
          <w:pgMar w:top="1152" w:right="610" w:bottom="517" w:left="658" w:header="720" w:footer="720" w:gutter="0"/>
          <w:cols w:space="720"/>
        </w:sectPr>
      </w:pPr>
    </w:p>
    <w:p w:rsidR="001C03E4" w:rsidRDefault="00D2224D">
      <w:pPr>
        <w:textAlignment w:val="baseline"/>
        <w:rPr>
          <w:rFonts w:eastAsia="Times New Roman"/>
          <w:color w:val="000000"/>
          <w:sz w:val="24"/>
        </w:rPr>
      </w:pPr>
      <w:bookmarkStart w:id="0" w:name="_GoBack"/>
      <w:bookmarkEnd w:id="0"/>
      <w:r>
        <w:lastRenderedPageBreak/>
        <w:pict>
          <v:shape id="_x0000_s1028" type="#_x0000_t202" style="position:absolute;margin-left:0;margin-top:53pt;width:547pt;height:197.8pt;z-index:-251656704;mso-wrap-distance-left:0;mso-wrap-distance-right:0;mso-position-horizontal-relative:page;mso-position-vertical-relative:page" filled="f" stroked="f">
            <v:textbox inset="0,0,0,0">
              <w:txbxContent>
                <w:p w:rsidR="001C03E4" w:rsidRDefault="00D2224D">
                  <w:pPr>
                    <w:spacing w:before="10" w:line="239" w:lineRule="exact"/>
                    <w:ind w:left="936" w:right="288"/>
                    <w:textAlignment w:val="baseline"/>
                    <w:rPr>
                      <w:rFonts w:ascii="Arial" w:eastAsia="Arial" w:hAnsi="Arial"/>
                      <w:color w:val="000000"/>
                      <w:sz w:val="21"/>
                    </w:rPr>
                  </w:pPr>
                  <w:r>
                    <w:rPr>
                      <w:rFonts w:ascii="Arial" w:eastAsia="Arial" w:hAnsi="Arial"/>
                      <w:color w:val="000000"/>
                      <w:sz w:val="21"/>
                    </w:rPr>
                    <w:t xml:space="preserve">FAHCSIA should accept responsibility for managing this by </w:t>
                  </w:r>
                  <w:proofErr w:type="spellStart"/>
                  <w:r>
                    <w:rPr>
                      <w:rFonts w:ascii="Arial" w:eastAsia="Arial" w:hAnsi="Arial"/>
                      <w:color w:val="000000"/>
                      <w:sz w:val="21"/>
                    </w:rPr>
                    <w:t>focussing</w:t>
                  </w:r>
                  <w:proofErr w:type="spellEnd"/>
                  <w:r>
                    <w:rPr>
                      <w:rFonts w:ascii="Arial" w:eastAsia="Arial" w:hAnsi="Arial"/>
                      <w:color w:val="000000"/>
                      <w:sz w:val="21"/>
                    </w:rPr>
                    <w:t xml:space="preserve"> immediate attention on facilitating transition for those ADEs that use the BSWAT to move to SWS.</w:t>
                  </w:r>
                </w:p>
                <w:p w:rsidR="001C03E4" w:rsidRDefault="00D2224D">
                  <w:pPr>
                    <w:spacing w:before="242" w:line="241" w:lineRule="exact"/>
                    <w:ind w:left="936"/>
                    <w:textAlignment w:val="baseline"/>
                    <w:rPr>
                      <w:rFonts w:ascii="Arial" w:eastAsia="Arial" w:hAnsi="Arial"/>
                      <w:color w:val="000000"/>
                      <w:sz w:val="21"/>
                    </w:rPr>
                  </w:pPr>
                  <w:r>
                    <w:rPr>
                      <w:rFonts w:ascii="Arial" w:eastAsia="Arial" w:hAnsi="Arial"/>
                      <w:color w:val="000000"/>
                      <w:sz w:val="21"/>
                    </w:rPr>
                    <w:t>The BSWAT issue sits in a much broader issue of a discriminatory employment system, which s</w:t>
                  </w:r>
                  <w:r>
                    <w:rPr>
                      <w:rFonts w:ascii="Arial" w:eastAsia="Arial" w:hAnsi="Arial"/>
                      <w:color w:val="000000"/>
                      <w:sz w:val="21"/>
                    </w:rPr>
                    <w:t xml:space="preserve">egregates people with disabilities in workplaces separate from the open </w:t>
                  </w:r>
                  <w:proofErr w:type="spellStart"/>
                  <w:r>
                    <w:rPr>
                      <w:rFonts w:ascii="Arial" w:eastAsia="Arial" w:hAnsi="Arial"/>
                      <w:color w:val="000000"/>
                      <w:sz w:val="21"/>
                    </w:rPr>
                    <w:t>labour</w:t>
                  </w:r>
                  <w:proofErr w:type="spellEnd"/>
                  <w:r>
                    <w:rPr>
                      <w:rFonts w:ascii="Arial" w:eastAsia="Arial" w:hAnsi="Arial"/>
                      <w:color w:val="000000"/>
                      <w:sz w:val="21"/>
                    </w:rPr>
                    <w:t xml:space="preserve"> market, and which fails to provide meaningful work for fair pay. The Court rulings provide a much needed point for dramatic, whole of system change aimed at supporting people wi</w:t>
                  </w:r>
                  <w:r>
                    <w:rPr>
                      <w:rFonts w:ascii="Arial" w:eastAsia="Arial" w:hAnsi="Arial"/>
                      <w:color w:val="000000"/>
                      <w:sz w:val="21"/>
                    </w:rPr>
                    <w:t>th disabilities in open employment for fair pay. Delaying the change to BSWAT only enables this discriminatory system to become further embedded, and condones deliberate discrimination.</w:t>
                  </w:r>
                </w:p>
                <w:p w:rsidR="001C03E4" w:rsidRDefault="00D2224D">
                  <w:pPr>
                    <w:spacing w:before="246" w:line="242" w:lineRule="exact"/>
                    <w:ind w:left="936"/>
                    <w:textAlignment w:val="baseline"/>
                    <w:rPr>
                      <w:rFonts w:ascii="Arial" w:eastAsia="Arial" w:hAnsi="Arial"/>
                      <w:color w:val="000000"/>
                      <w:sz w:val="21"/>
                    </w:rPr>
                  </w:pPr>
                  <w:r>
                    <w:rPr>
                      <w:rFonts w:ascii="Arial" w:eastAsia="Arial" w:hAnsi="Arial"/>
                      <w:color w:val="000000"/>
                      <w:sz w:val="21"/>
                    </w:rPr>
                    <w:t xml:space="preserve">Advocacy for Inclusion opposes this exemption, in accordance with the </w:t>
                  </w:r>
                  <w:r>
                    <w:rPr>
                      <w:rFonts w:ascii="Arial" w:eastAsia="Arial" w:hAnsi="Arial"/>
                      <w:color w:val="000000"/>
                      <w:sz w:val="21"/>
                    </w:rPr>
                    <w:t>CRPD Concluding Observations, and insists on an immediate move to the Supported Wages System as part of a 3 year transition towards a more inclusive employment system for people with disabilities.</w:t>
                  </w:r>
                </w:p>
                <w:p w:rsidR="001C03E4" w:rsidRDefault="00D2224D">
                  <w:pPr>
                    <w:spacing w:before="247" w:after="319" w:line="237" w:lineRule="exact"/>
                    <w:ind w:left="936"/>
                    <w:textAlignment w:val="baseline"/>
                    <w:rPr>
                      <w:rFonts w:ascii="Arial" w:eastAsia="Arial" w:hAnsi="Arial"/>
                      <w:color w:val="000000"/>
                      <w:sz w:val="21"/>
                    </w:rPr>
                  </w:pPr>
                  <w:r>
                    <w:rPr>
                      <w:rFonts w:ascii="Arial" w:eastAsia="Arial" w:hAnsi="Arial"/>
                      <w:color w:val="000000"/>
                      <w:sz w:val="21"/>
                    </w:rPr>
                    <w:t>Yours sincerely</w:t>
                  </w:r>
                </w:p>
              </w:txbxContent>
            </v:textbox>
            <w10:wrap type="square" anchorx="page" anchory="page"/>
          </v:shape>
        </w:pict>
      </w:r>
      <w:r>
        <w:pict>
          <v:shape id="_x0000_s1027" type="#_x0000_t202" style="position:absolute;margin-left:0;margin-top:250.8pt;width:547pt;height:55.45pt;z-index:-251655680;mso-wrap-distance-left:0;mso-wrap-distance-right:0;mso-position-horizontal-relative:page;mso-position-vertical-relative:page" filled="f" stroked="f">
            <v:textbox inset="0,0,0,0">
              <w:txbxContent>
                <w:p w:rsidR="001C03E4" w:rsidRDefault="00D2224D">
                  <w:pPr>
                    <w:spacing w:after="82"/>
                    <w:ind w:left="1046" w:right="7945"/>
                    <w:textAlignment w:val="baseline"/>
                  </w:pPr>
                  <w:r>
                    <w:rPr>
                      <w:noProof/>
                      <w:lang w:val="en-AU" w:eastAsia="en-AU"/>
                    </w:rPr>
                    <w:drawing>
                      <wp:inline distT="0" distB="0" distL="0" distR="0">
                        <wp:extent cx="1237615" cy="65214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1237615" cy="652145"/>
                                </a:xfrm>
                                <a:prstGeom prst="rect">
                                  <a:avLst/>
                                </a:prstGeom>
                              </pic:spPr>
                            </pic:pic>
                          </a:graphicData>
                        </a:graphic>
                      </wp:inline>
                    </w:drawing>
                  </w:r>
                </w:p>
              </w:txbxContent>
            </v:textbox>
            <w10:wrap type="square" anchorx="page" anchory="page"/>
          </v:shape>
        </w:pict>
      </w:r>
      <w:r>
        <w:pict>
          <v:shape id="_x0000_s1026" type="#_x0000_t202" style="position:absolute;margin-left:0;margin-top:305.95pt;width:547pt;height:37.05pt;z-index:-251654656;mso-wrap-distance-left:0;mso-wrap-distance-right:0;mso-position-horizontal-relative:page;mso-position-vertical-relative:page" filled="f" stroked="f">
            <v:textbox inset="0,0,0,0">
              <w:txbxContent>
                <w:p w:rsidR="001C03E4" w:rsidRDefault="00D2224D">
                  <w:pPr>
                    <w:spacing w:after="6" w:line="243" w:lineRule="exact"/>
                    <w:ind w:left="936" w:right="8280"/>
                    <w:textAlignment w:val="baseline"/>
                    <w:rPr>
                      <w:rFonts w:ascii="Arial" w:eastAsia="Arial" w:hAnsi="Arial"/>
                      <w:color w:val="000000"/>
                      <w:sz w:val="21"/>
                    </w:rPr>
                  </w:pPr>
                  <w:r>
                    <w:rPr>
                      <w:rFonts w:ascii="Arial" w:eastAsia="Arial" w:hAnsi="Arial"/>
                      <w:color w:val="000000"/>
                      <w:sz w:val="21"/>
                    </w:rPr>
                    <w:t>Christina Ryan General Manager 8 October 2013</w:t>
                  </w:r>
                </w:p>
              </w:txbxContent>
            </v:textbox>
            <w10:wrap type="square" anchorx="page" anchory="page"/>
          </v:shape>
        </w:pict>
      </w:r>
    </w:p>
    <w:sectPr w:rsidR="001C03E4">
      <w:pgSz w:w="11914" w:h="16848"/>
      <w:pgMar w:top="772" w:right="974" w:bottom="104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1C03E4"/>
    <w:rsid w:val="001C03E4"/>
    <w:rsid w:val="002B5F5C"/>
    <w:rsid w:val="00D22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F5C"/>
    <w:rPr>
      <w:rFonts w:ascii="Tahoma" w:hAnsi="Tahoma" w:cs="Tahoma"/>
      <w:sz w:val="16"/>
      <w:szCs w:val="16"/>
    </w:rPr>
  </w:style>
  <w:style w:type="character" w:customStyle="1" w:styleId="BalloonTextChar">
    <w:name w:val="Balloon Text Char"/>
    <w:basedOn w:val="DefaultParagraphFont"/>
    <w:link w:val="BalloonText"/>
    <w:uiPriority w:val="99"/>
    <w:semiHidden/>
    <w:rsid w:val="002B5F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F5C"/>
    <w:rPr>
      <w:rFonts w:ascii="Tahoma" w:hAnsi="Tahoma" w:cs="Tahoma"/>
      <w:sz w:val="16"/>
      <w:szCs w:val="16"/>
    </w:rPr>
  </w:style>
  <w:style w:type="character" w:customStyle="1" w:styleId="BalloonTextChar">
    <w:name w:val="Balloon Text Char"/>
    <w:basedOn w:val="DefaultParagraphFont"/>
    <w:link w:val="BalloonText"/>
    <w:uiPriority w:val="99"/>
    <w:semiHidden/>
    <w:rsid w:val="002B5F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ncid.org.au/index.php/employment-first/108-commonwealth-discriminates-against-people-with-intellectual-disability-high-court-ru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dcterms:created xsi:type="dcterms:W3CDTF">2013-12-01T23:48:00Z</dcterms:created>
  <dcterms:modified xsi:type="dcterms:W3CDTF">2013-12-01T23:48:00Z</dcterms:modified>
</cp:coreProperties>
</file>