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80ADB" w14:textId="77777777" w:rsidR="001B1F95" w:rsidRPr="00505DB6" w:rsidRDefault="001B1F95" w:rsidP="00817C73">
      <w:pPr>
        <w:pStyle w:val="Subtitle"/>
        <w:rPr>
          <w:rFonts w:eastAsia="Times New Roman" w:cs="Open Sans"/>
          <w:bCs/>
          <w:kern w:val="32"/>
          <w:sz w:val="52"/>
          <w:szCs w:val="52"/>
        </w:rPr>
      </w:pPr>
      <w:bookmarkStart w:id="0" w:name="_Toc532997311"/>
      <w:bookmarkStart w:id="1" w:name="_Toc533088565"/>
      <w:bookmarkStart w:id="2" w:name="_Toc533158357"/>
      <w:bookmarkStart w:id="3" w:name="_Toc533174343"/>
      <w:bookmarkStart w:id="4" w:name="_Toc534383709"/>
      <w:bookmarkStart w:id="5" w:name="_Toc534631501"/>
      <w:bookmarkStart w:id="6" w:name="_Toc534817613"/>
      <w:bookmarkStart w:id="7" w:name="_Toc534878457"/>
      <w:bookmarkStart w:id="8" w:name="_Toc515873204"/>
      <w:r w:rsidRPr="00505DB6">
        <w:rPr>
          <w:rFonts w:eastAsia="Times New Roman" w:cs="Open Sans"/>
          <w:bCs/>
          <w:kern w:val="32"/>
          <w:sz w:val="52"/>
          <w:szCs w:val="52"/>
        </w:rPr>
        <w:t>Australian Citizenship Amendment (Strengthening the Citizenship Loss Provisions) Bill 2018</w:t>
      </w:r>
      <w:bookmarkEnd w:id="0"/>
      <w:bookmarkEnd w:id="1"/>
      <w:bookmarkEnd w:id="2"/>
      <w:bookmarkEnd w:id="3"/>
      <w:bookmarkEnd w:id="4"/>
      <w:bookmarkEnd w:id="5"/>
      <w:bookmarkEnd w:id="6"/>
      <w:bookmarkEnd w:id="7"/>
    </w:p>
    <w:p w14:paraId="26254E13" w14:textId="77777777" w:rsidR="00817C73" w:rsidRPr="00505DB6" w:rsidRDefault="00817C73" w:rsidP="00817C73">
      <w:pPr>
        <w:pStyle w:val="Subtitle"/>
        <w:rPr>
          <w:rFonts w:cs="Open Sans"/>
        </w:rPr>
      </w:pPr>
      <w:bookmarkStart w:id="9" w:name="_Toc532997312"/>
      <w:bookmarkStart w:id="10" w:name="_Toc533088566"/>
      <w:bookmarkStart w:id="11" w:name="_Toc533158358"/>
      <w:bookmarkStart w:id="12" w:name="_Toc533174344"/>
      <w:bookmarkStart w:id="13" w:name="_Toc534383710"/>
      <w:bookmarkStart w:id="14" w:name="_Toc534631502"/>
      <w:bookmarkStart w:id="15" w:name="_Toc534817614"/>
      <w:bookmarkStart w:id="16" w:name="_Toc534878458"/>
      <w:r w:rsidRPr="00505DB6">
        <w:rPr>
          <w:rFonts w:cs="Open Sans"/>
        </w:rPr>
        <w:t>Australian Human Rights Commission</w:t>
      </w:r>
      <w:bookmarkEnd w:id="8"/>
      <w:bookmarkEnd w:id="9"/>
      <w:bookmarkEnd w:id="10"/>
      <w:bookmarkEnd w:id="11"/>
      <w:bookmarkEnd w:id="12"/>
      <w:bookmarkEnd w:id="13"/>
      <w:bookmarkEnd w:id="14"/>
      <w:bookmarkEnd w:id="15"/>
      <w:bookmarkEnd w:id="16"/>
    </w:p>
    <w:p w14:paraId="0030F291" w14:textId="77777777" w:rsidR="00817C73" w:rsidRPr="00505DB6" w:rsidRDefault="00817C73" w:rsidP="00817C73">
      <w:pPr>
        <w:pStyle w:val="Subtitle"/>
        <w:rPr>
          <w:rFonts w:cs="Open Sans"/>
        </w:rPr>
      </w:pPr>
      <w:bookmarkStart w:id="17" w:name="_Toc515873205"/>
      <w:bookmarkStart w:id="18" w:name="_Toc532997313"/>
      <w:bookmarkStart w:id="19" w:name="_Toc533088567"/>
      <w:bookmarkStart w:id="20" w:name="_Toc533158359"/>
      <w:bookmarkStart w:id="21" w:name="_Toc533174345"/>
      <w:bookmarkStart w:id="22" w:name="_Toc534383711"/>
      <w:bookmarkStart w:id="23" w:name="_Toc534631503"/>
      <w:bookmarkStart w:id="24" w:name="_Toc534817615"/>
      <w:bookmarkStart w:id="25" w:name="_Toc534878459"/>
      <w:r w:rsidRPr="00505DB6">
        <w:rPr>
          <w:rFonts w:cs="Open Sans"/>
        </w:rPr>
        <w:t xml:space="preserve">Submission to the </w:t>
      </w:r>
      <w:bookmarkEnd w:id="17"/>
      <w:r w:rsidR="001B1F95" w:rsidRPr="00505DB6">
        <w:rPr>
          <w:rFonts w:cs="Open Sans"/>
        </w:rPr>
        <w:t xml:space="preserve">Parliamentary Joint </w:t>
      </w:r>
      <w:r w:rsidR="001B1F95" w:rsidRPr="00505DB6">
        <w:rPr>
          <w:rFonts w:cs="Open Sans"/>
        </w:rPr>
        <w:br/>
        <w:t>Committee on Intelligence and Security</w:t>
      </w:r>
      <w:bookmarkEnd w:id="18"/>
      <w:bookmarkEnd w:id="19"/>
      <w:bookmarkEnd w:id="20"/>
      <w:bookmarkEnd w:id="21"/>
      <w:bookmarkEnd w:id="22"/>
      <w:bookmarkEnd w:id="23"/>
      <w:bookmarkEnd w:id="24"/>
      <w:bookmarkEnd w:id="25"/>
    </w:p>
    <w:p w14:paraId="70D658F9" w14:textId="40AFCBF4" w:rsidR="00F220A5" w:rsidRPr="00505DB6" w:rsidRDefault="0060279E" w:rsidP="00F220A5">
      <w:pPr>
        <w:pStyle w:val="Date"/>
        <w:rPr>
          <w:rFonts w:cs="Open Sans"/>
        </w:rPr>
      </w:pPr>
      <w:r>
        <w:rPr>
          <w:rFonts w:cs="Open Sans"/>
        </w:rPr>
        <w:t>10</w:t>
      </w:r>
      <w:r w:rsidR="001E5D49">
        <w:rPr>
          <w:rFonts w:cs="Open Sans"/>
        </w:rPr>
        <w:t xml:space="preserve"> January 2019</w:t>
      </w:r>
    </w:p>
    <w:p w14:paraId="6A20406B" w14:textId="77777777" w:rsidR="00AC636D" w:rsidRPr="00505DB6" w:rsidRDefault="00AC636D" w:rsidP="00AC636D">
      <w:pPr>
        <w:rPr>
          <w:rFonts w:cs="Open Sans"/>
        </w:rPr>
      </w:pPr>
    </w:p>
    <w:p w14:paraId="725429C0" w14:textId="77777777" w:rsidR="009E4BD0" w:rsidRPr="00505DB6" w:rsidRDefault="009E4BD0" w:rsidP="00AC636D">
      <w:pPr>
        <w:rPr>
          <w:rFonts w:cs="Open Sans"/>
        </w:rPr>
        <w:sectPr w:rsidR="009E4BD0" w:rsidRPr="00505DB6" w:rsidSect="00AC636D">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p>
    <w:p w14:paraId="38171EEA" w14:textId="77777777" w:rsidR="00497912" w:rsidRDefault="000B5B68" w:rsidP="00442861">
      <w:pPr>
        <w:pStyle w:val="TOC1"/>
      </w:pPr>
      <w:bookmarkStart w:id="26" w:name="_Toc209316062"/>
      <w:bookmarkEnd w:id="26"/>
      <w:r w:rsidRPr="00505DB6">
        <w:rPr>
          <w:rFonts w:cs="Open Sans"/>
        </w:rPr>
        <w:lastRenderedPageBreak/>
        <w:t>Contents</w:t>
      </w:r>
      <w:r w:rsidRPr="00505DB6">
        <w:rPr>
          <w:rFonts w:cs="Open Sans"/>
        </w:rPr>
        <w:fldChar w:fldCharType="begin"/>
      </w:r>
      <w:r w:rsidRPr="00505DB6">
        <w:rPr>
          <w:rFonts w:cs="Open Sans"/>
        </w:rPr>
        <w:instrText xml:space="preserve"> TOC \o "1-3" \h \z \u </w:instrText>
      </w:r>
      <w:r w:rsidRPr="00505DB6">
        <w:rPr>
          <w:rFonts w:cs="Open Sans"/>
        </w:rPr>
        <w:fldChar w:fldCharType="separate"/>
      </w:r>
    </w:p>
    <w:p w14:paraId="7AE4B1BC" w14:textId="2975AACA" w:rsidR="00497912" w:rsidRDefault="008C7406">
      <w:pPr>
        <w:pStyle w:val="TOC1"/>
        <w:rPr>
          <w:rFonts w:asciiTheme="minorHAnsi" w:eastAsiaTheme="minorEastAsia" w:hAnsiTheme="minorHAnsi" w:cstheme="minorBidi"/>
          <w:b w:val="0"/>
          <w:sz w:val="22"/>
          <w:szCs w:val="22"/>
        </w:rPr>
      </w:pPr>
      <w:hyperlink w:anchor="_Toc534878460" w:history="1">
        <w:r w:rsidR="00497912" w:rsidRPr="00571BDC">
          <w:rPr>
            <w:rStyle w:val="Hyperlink"/>
            <w:rFonts w:cs="Open Sans"/>
          </w:rPr>
          <w:t>1</w:t>
        </w:r>
        <w:r w:rsidR="00497912">
          <w:rPr>
            <w:rFonts w:asciiTheme="minorHAnsi" w:eastAsiaTheme="minorEastAsia" w:hAnsiTheme="minorHAnsi" w:cstheme="minorBidi"/>
            <w:b w:val="0"/>
            <w:sz w:val="22"/>
            <w:szCs w:val="22"/>
          </w:rPr>
          <w:tab/>
        </w:r>
        <w:r w:rsidR="00497912" w:rsidRPr="00571BDC">
          <w:rPr>
            <w:rStyle w:val="Hyperlink"/>
            <w:rFonts w:cs="Open Sans"/>
          </w:rPr>
          <w:t>Introduction</w:t>
        </w:r>
        <w:r w:rsidR="00497912">
          <w:rPr>
            <w:webHidden/>
          </w:rPr>
          <w:tab/>
        </w:r>
        <w:r w:rsidR="00497912">
          <w:rPr>
            <w:webHidden/>
          </w:rPr>
          <w:fldChar w:fldCharType="begin"/>
        </w:r>
        <w:r w:rsidR="00497912">
          <w:rPr>
            <w:webHidden/>
          </w:rPr>
          <w:instrText xml:space="preserve"> PAGEREF _Toc534878460 \h </w:instrText>
        </w:r>
        <w:r w:rsidR="00497912">
          <w:rPr>
            <w:webHidden/>
          </w:rPr>
        </w:r>
        <w:r w:rsidR="00497912">
          <w:rPr>
            <w:webHidden/>
          </w:rPr>
          <w:fldChar w:fldCharType="separate"/>
        </w:r>
        <w:r w:rsidR="00497912">
          <w:rPr>
            <w:webHidden/>
          </w:rPr>
          <w:t>2</w:t>
        </w:r>
        <w:r w:rsidR="00497912">
          <w:rPr>
            <w:webHidden/>
          </w:rPr>
          <w:fldChar w:fldCharType="end"/>
        </w:r>
      </w:hyperlink>
    </w:p>
    <w:p w14:paraId="32836BB7" w14:textId="2D47A6D6" w:rsidR="00497912" w:rsidRDefault="008C7406">
      <w:pPr>
        <w:pStyle w:val="TOC1"/>
        <w:rPr>
          <w:rFonts w:asciiTheme="minorHAnsi" w:eastAsiaTheme="minorEastAsia" w:hAnsiTheme="minorHAnsi" w:cstheme="minorBidi"/>
          <w:b w:val="0"/>
          <w:sz w:val="22"/>
          <w:szCs w:val="22"/>
        </w:rPr>
      </w:pPr>
      <w:hyperlink w:anchor="_Toc534878461" w:history="1">
        <w:r w:rsidR="00497912" w:rsidRPr="00571BDC">
          <w:rPr>
            <w:rStyle w:val="Hyperlink"/>
            <w:rFonts w:cs="Open Sans"/>
          </w:rPr>
          <w:t>2</w:t>
        </w:r>
        <w:r w:rsidR="00497912">
          <w:rPr>
            <w:rFonts w:asciiTheme="minorHAnsi" w:eastAsiaTheme="minorEastAsia" w:hAnsiTheme="minorHAnsi" w:cstheme="minorBidi"/>
            <w:b w:val="0"/>
            <w:sz w:val="22"/>
            <w:szCs w:val="22"/>
          </w:rPr>
          <w:tab/>
        </w:r>
        <w:r w:rsidR="00497912" w:rsidRPr="00571BDC">
          <w:rPr>
            <w:rStyle w:val="Hyperlink"/>
            <w:rFonts w:cs="Open Sans"/>
          </w:rPr>
          <w:t>Background</w:t>
        </w:r>
        <w:r w:rsidR="00497912">
          <w:rPr>
            <w:webHidden/>
          </w:rPr>
          <w:tab/>
        </w:r>
        <w:r w:rsidR="00497912">
          <w:rPr>
            <w:webHidden/>
          </w:rPr>
          <w:fldChar w:fldCharType="begin"/>
        </w:r>
        <w:r w:rsidR="00497912">
          <w:rPr>
            <w:webHidden/>
          </w:rPr>
          <w:instrText xml:space="preserve"> PAGEREF _Toc534878461 \h </w:instrText>
        </w:r>
        <w:r w:rsidR="00497912">
          <w:rPr>
            <w:webHidden/>
          </w:rPr>
        </w:r>
        <w:r w:rsidR="00497912">
          <w:rPr>
            <w:webHidden/>
          </w:rPr>
          <w:fldChar w:fldCharType="separate"/>
        </w:r>
        <w:r w:rsidR="00497912">
          <w:rPr>
            <w:webHidden/>
          </w:rPr>
          <w:t>3</w:t>
        </w:r>
        <w:r w:rsidR="00497912">
          <w:rPr>
            <w:webHidden/>
          </w:rPr>
          <w:fldChar w:fldCharType="end"/>
        </w:r>
      </w:hyperlink>
    </w:p>
    <w:p w14:paraId="76C80D0A" w14:textId="3DA479D1" w:rsidR="00497912" w:rsidRDefault="008C7406">
      <w:pPr>
        <w:pStyle w:val="TOC2"/>
        <w:rPr>
          <w:rFonts w:asciiTheme="minorHAnsi" w:eastAsiaTheme="minorEastAsia" w:hAnsiTheme="minorHAnsi" w:cstheme="minorBidi"/>
          <w:b w:val="0"/>
          <w:i w:val="0"/>
          <w:sz w:val="22"/>
          <w:szCs w:val="22"/>
        </w:rPr>
      </w:pPr>
      <w:hyperlink w:anchor="_Toc534878462" w:history="1">
        <w:r w:rsidR="00497912" w:rsidRPr="00571BDC">
          <w:rPr>
            <w:rStyle w:val="Hyperlink"/>
            <w:rFonts w:cs="Open Sans"/>
          </w:rPr>
          <w:t>2.1</w:t>
        </w:r>
        <w:r w:rsidR="00497912">
          <w:rPr>
            <w:rFonts w:asciiTheme="minorHAnsi" w:eastAsiaTheme="minorEastAsia" w:hAnsiTheme="minorHAnsi" w:cstheme="minorBidi"/>
            <w:b w:val="0"/>
            <w:i w:val="0"/>
            <w:sz w:val="22"/>
            <w:szCs w:val="22"/>
          </w:rPr>
          <w:tab/>
        </w:r>
        <w:r w:rsidR="00497912" w:rsidRPr="00571BDC">
          <w:rPr>
            <w:rStyle w:val="Hyperlink"/>
            <w:rFonts w:cs="Open Sans"/>
          </w:rPr>
          <w:t>Current citizenship removal powers for convictions</w:t>
        </w:r>
        <w:r w:rsidR="00497912">
          <w:rPr>
            <w:webHidden/>
          </w:rPr>
          <w:tab/>
        </w:r>
        <w:r w:rsidR="00497912">
          <w:rPr>
            <w:webHidden/>
          </w:rPr>
          <w:fldChar w:fldCharType="begin"/>
        </w:r>
        <w:r w:rsidR="00497912">
          <w:rPr>
            <w:webHidden/>
          </w:rPr>
          <w:instrText xml:space="preserve"> PAGEREF _Toc534878462 \h </w:instrText>
        </w:r>
        <w:r w:rsidR="00497912">
          <w:rPr>
            <w:webHidden/>
          </w:rPr>
        </w:r>
        <w:r w:rsidR="00497912">
          <w:rPr>
            <w:webHidden/>
          </w:rPr>
          <w:fldChar w:fldCharType="separate"/>
        </w:r>
        <w:r w:rsidR="00497912">
          <w:rPr>
            <w:webHidden/>
          </w:rPr>
          <w:t>3</w:t>
        </w:r>
        <w:r w:rsidR="00497912">
          <w:rPr>
            <w:webHidden/>
          </w:rPr>
          <w:fldChar w:fldCharType="end"/>
        </w:r>
      </w:hyperlink>
    </w:p>
    <w:p w14:paraId="73A9365C" w14:textId="693F234C" w:rsidR="00497912" w:rsidRDefault="008C7406">
      <w:pPr>
        <w:pStyle w:val="TOC2"/>
        <w:rPr>
          <w:rFonts w:asciiTheme="minorHAnsi" w:eastAsiaTheme="minorEastAsia" w:hAnsiTheme="minorHAnsi" w:cstheme="minorBidi"/>
          <w:b w:val="0"/>
          <w:i w:val="0"/>
          <w:sz w:val="22"/>
          <w:szCs w:val="22"/>
        </w:rPr>
      </w:pPr>
      <w:hyperlink w:anchor="_Toc534878463" w:history="1">
        <w:r w:rsidR="00497912" w:rsidRPr="00571BDC">
          <w:rPr>
            <w:rStyle w:val="Hyperlink"/>
            <w:rFonts w:cs="Open Sans"/>
          </w:rPr>
          <w:t>2.2</w:t>
        </w:r>
        <w:r w:rsidR="00497912">
          <w:rPr>
            <w:rFonts w:asciiTheme="minorHAnsi" w:eastAsiaTheme="minorEastAsia" w:hAnsiTheme="minorHAnsi" w:cstheme="minorBidi"/>
            <w:b w:val="0"/>
            <w:i w:val="0"/>
            <w:sz w:val="22"/>
            <w:szCs w:val="22"/>
          </w:rPr>
          <w:tab/>
        </w:r>
        <w:r w:rsidR="00497912" w:rsidRPr="00571BDC">
          <w:rPr>
            <w:rStyle w:val="Hyperlink"/>
            <w:rFonts w:cs="Open Sans"/>
          </w:rPr>
          <w:t>The Bill</w:t>
        </w:r>
        <w:r w:rsidR="00497912">
          <w:rPr>
            <w:webHidden/>
          </w:rPr>
          <w:tab/>
        </w:r>
        <w:r w:rsidR="00497912">
          <w:rPr>
            <w:webHidden/>
          </w:rPr>
          <w:fldChar w:fldCharType="begin"/>
        </w:r>
        <w:r w:rsidR="00497912">
          <w:rPr>
            <w:webHidden/>
          </w:rPr>
          <w:instrText xml:space="preserve"> PAGEREF _Toc534878463 \h </w:instrText>
        </w:r>
        <w:r w:rsidR="00497912">
          <w:rPr>
            <w:webHidden/>
          </w:rPr>
        </w:r>
        <w:r w:rsidR="00497912">
          <w:rPr>
            <w:webHidden/>
          </w:rPr>
          <w:fldChar w:fldCharType="separate"/>
        </w:r>
        <w:r w:rsidR="00497912">
          <w:rPr>
            <w:webHidden/>
          </w:rPr>
          <w:t>5</w:t>
        </w:r>
        <w:r w:rsidR="00497912">
          <w:rPr>
            <w:webHidden/>
          </w:rPr>
          <w:fldChar w:fldCharType="end"/>
        </w:r>
      </w:hyperlink>
    </w:p>
    <w:p w14:paraId="3D975FD5" w14:textId="7B4F13A4" w:rsidR="00497912" w:rsidRDefault="008C7406">
      <w:pPr>
        <w:pStyle w:val="TOC2"/>
        <w:rPr>
          <w:rFonts w:asciiTheme="minorHAnsi" w:eastAsiaTheme="minorEastAsia" w:hAnsiTheme="minorHAnsi" w:cstheme="minorBidi"/>
          <w:b w:val="0"/>
          <w:i w:val="0"/>
          <w:sz w:val="22"/>
          <w:szCs w:val="22"/>
        </w:rPr>
      </w:pPr>
      <w:hyperlink w:anchor="_Toc534878464" w:history="1">
        <w:r w:rsidR="00497912" w:rsidRPr="00571BDC">
          <w:rPr>
            <w:rStyle w:val="Hyperlink"/>
            <w:rFonts w:cs="Open Sans"/>
          </w:rPr>
          <w:t>2.3</w:t>
        </w:r>
        <w:r w:rsidR="00497912">
          <w:rPr>
            <w:rFonts w:asciiTheme="minorHAnsi" w:eastAsiaTheme="minorEastAsia" w:hAnsiTheme="minorHAnsi" w:cstheme="minorBidi"/>
            <w:b w:val="0"/>
            <w:i w:val="0"/>
            <w:sz w:val="22"/>
            <w:szCs w:val="22"/>
          </w:rPr>
          <w:tab/>
        </w:r>
        <w:r w:rsidR="00497912" w:rsidRPr="00571BDC">
          <w:rPr>
            <w:rStyle w:val="Hyperlink"/>
            <w:rFonts w:cs="Open Sans"/>
          </w:rPr>
          <w:t>Summary of key concerns</w:t>
        </w:r>
        <w:r w:rsidR="00497912">
          <w:rPr>
            <w:webHidden/>
          </w:rPr>
          <w:tab/>
        </w:r>
        <w:r w:rsidR="00497912">
          <w:rPr>
            <w:webHidden/>
          </w:rPr>
          <w:fldChar w:fldCharType="begin"/>
        </w:r>
        <w:r w:rsidR="00497912">
          <w:rPr>
            <w:webHidden/>
          </w:rPr>
          <w:instrText xml:space="preserve"> PAGEREF _Toc534878464 \h </w:instrText>
        </w:r>
        <w:r w:rsidR="00497912">
          <w:rPr>
            <w:webHidden/>
          </w:rPr>
        </w:r>
        <w:r w:rsidR="00497912">
          <w:rPr>
            <w:webHidden/>
          </w:rPr>
          <w:fldChar w:fldCharType="separate"/>
        </w:r>
        <w:r w:rsidR="00497912">
          <w:rPr>
            <w:webHidden/>
          </w:rPr>
          <w:t>7</w:t>
        </w:r>
        <w:r w:rsidR="00497912">
          <w:rPr>
            <w:webHidden/>
          </w:rPr>
          <w:fldChar w:fldCharType="end"/>
        </w:r>
      </w:hyperlink>
    </w:p>
    <w:p w14:paraId="73444452" w14:textId="720263A4" w:rsidR="00497912" w:rsidRDefault="008C7406">
      <w:pPr>
        <w:pStyle w:val="TOC1"/>
        <w:rPr>
          <w:rFonts w:asciiTheme="minorHAnsi" w:eastAsiaTheme="minorEastAsia" w:hAnsiTheme="minorHAnsi" w:cstheme="minorBidi"/>
          <w:b w:val="0"/>
          <w:sz w:val="22"/>
          <w:szCs w:val="22"/>
        </w:rPr>
      </w:pPr>
      <w:hyperlink w:anchor="_Toc534878465" w:history="1">
        <w:r w:rsidR="00497912" w:rsidRPr="00571BDC">
          <w:rPr>
            <w:rStyle w:val="Hyperlink"/>
            <w:rFonts w:cs="Open Sans"/>
          </w:rPr>
          <w:t>3</w:t>
        </w:r>
        <w:r w:rsidR="00497912">
          <w:rPr>
            <w:rFonts w:asciiTheme="minorHAnsi" w:eastAsiaTheme="minorEastAsia" w:hAnsiTheme="minorHAnsi" w:cstheme="minorBidi"/>
            <w:b w:val="0"/>
            <w:sz w:val="22"/>
            <w:szCs w:val="22"/>
          </w:rPr>
          <w:tab/>
        </w:r>
        <w:r w:rsidR="00497912" w:rsidRPr="00571BDC">
          <w:rPr>
            <w:rStyle w:val="Hyperlink"/>
            <w:rFonts w:cs="Open Sans"/>
          </w:rPr>
          <w:t>Human rights and citizenship removal</w:t>
        </w:r>
        <w:r w:rsidR="00497912">
          <w:rPr>
            <w:webHidden/>
          </w:rPr>
          <w:tab/>
        </w:r>
        <w:r w:rsidR="00497912">
          <w:rPr>
            <w:webHidden/>
          </w:rPr>
          <w:fldChar w:fldCharType="begin"/>
        </w:r>
        <w:r w:rsidR="00497912">
          <w:rPr>
            <w:webHidden/>
          </w:rPr>
          <w:instrText xml:space="preserve"> PAGEREF _Toc534878465 \h </w:instrText>
        </w:r>
        <w:r w:rsidR="00497912">
          <w:rPr>
            <w:webHidden/>
          </w:rPr>
        </w:r>
        <w:r w:rsidR="00497912">
          <w:rPr>
            <w:webHidden/>
          </w:rPr>
          <w:fldChar w:fldCharType="separate"/>
        </w:r>
        <w:r w:rsidR="00497912">
          <w:rPr>
            <w:webHidden/>
          </w:rPr>
          <w:t>8</w:t>
        </w:r>
        <w:r w:rsidR="00497912">
          <w:rPr>
            <w:webHidden/>
          </w:rPr>
          <w:fldChar w:fldCharType="end"/>
        </w:r>
      </w:hyperlink>
    </w:p>
    <w:p w14:paraId="1CFDE4BE" w14:textId="317FE64D" w:rsidR="00497912" w:rsidRDefault="008C7406">
      <w:pPr>
        <w:pStyle w:val="TOC2"/>
        <w:rPr>
          <w:rFonts w:asciiTheme="minorHAnsi" w:eastAsiaTheme="minorEastAsia" w:hAnsiTheme="minorHAnsi" w:cstheme="minorBidi"/>
          <w:b w:val="0"/>
          <w:i w:val="0"/>
          <w:sz w:val="22"/>
          <w:szCs w:val="22"/>
        </w:rPr>
      </w:pPr>
      <w:hyperlink w:anchor="_Toc534878466" w:history="1">
        <w:r w:rsidR="00497912" w:rsidRPr="00571BDC">
          <w:rPr>
            <w:rStyle w:val="Hyperlink"/>
            <w:rFonts w:cs="Open Sans"/>
          </w:rPr>
          <w:t>3.1</w:t>
        </w:r>
        <w:r w:rsidR="00497912">
          <w:rPr>
            <w:rFonts w:asciiTheme="minorHAnsi" w:eastAsiaTheme="minorEastAsia" w:hAnsiTheme="minorHAnsi" w:cstheme="minorBidi"/>
            <w:b w:val="0"/>
            <w:i w:val="0"/>
            <w:sz w:val="22"/>
            <w:szCs w:val="22"/>
          </w:rPr>
          <w:tab/>
        </w:r>
        <w:r w:rsidR="00497912" w:rsidRPr="00571BDC">
          <w:rPr>
            <w:rStyle w:val="Hyperlink"/>
            <w:rFonts w:cs="Open Sans"/>
          </w:rPr>
          <w:t>The right to enter and remain in one’s own country</w:t>
        </w:r>
        <w:r w:rsidR="00497912">
          <w:rPr>
            <w:webHidden/>
          </w:rPr>
          <w:tab/>
        </w:r>
        <w:r w:rsidR="00497912">
          <w:rPr>
            <w:webHidden/>
          </w:rPr>
          <w:fldChar w:fldCharType="begin"/>
        </w:r>
        <w:r w:rsidR="00497912">
          <w:rPr>
            <w:webHidden/>
          </w:rPr>
          <w:instrText xml:space="preserve"> PAGEREF _Toc534878466 \h </w:instrText>
        </w:r>
        <w:r w:rsidR="00497912">
          <w:rPr>
            <w:webHidden/>
          </w:rPr>
        </w:r>
        <w:r w:rsidR="00497912">
          <w:rPr>
            <w:webHidden/>
          </w:rPr>
          <w:fldChar w:fldCharType="separate"/>
        </w:r>
        <w:r w:rsidR="00497912">
          <w:rPr>
            <w:webHidden/>
          </w:rPr>
          <w:t>8</w:t>
        </w:r>
        <w:r w:rsidR="00497912">
          <w:rPr>
            <w:webHidden/>
          </w:rPr>
          <w:fldChar w:fldCharType="end"/>
        </w:r>
      </w:hyperlink>
    </w:p>
    <w:p w14:paraId="533D16AD" w14:textId="73053075" w:rsidR="00497912" w:rsidRDefault="008C7406">
      <w:pPr>
        <w:pStyle w:val="TOC2"/>
        <w:rPr>
          <w:rFonts w:asciiTheme="minorHAnsi" w:eastAsiaTheme="minorEastAsia" w:hAnsiTheme="minorHAnsi" w:cstheme="minorBidi"/>
          <w:b w:val="0"/>
          <w:i w:val="0"/>
          <w:sz w:val="22"/>
          <w:szCs w:val="22"/>
        </w:rPr>
      </w:pPr>
      <w:hyperlink w:anchor="_Toc534878467" w:history="1">
        <w:r w:rsidR="00497912" w:rsidRPr="00571BDC">
          <w:rPr>
            <w:rStyle w:val="Hyperlink"/>
            <w:rFonts w:cs="Open Sans"/>
          </w:rPr>
          <w:t>3.2</w:t>
        </w:r>
        <w:r w:rsidR="00497912">
          <w:rPr>
            <w:rFonts w:asciiTheme="minorHAnsi" w:eastAsiaTheme="minorEastAsia" w:hAnsiTheme="minorHAnsi" w:cstheme="minorBidi"/>
            <w:b w:val="0"/>
            <w:i w:val="0"/>
            <w:sz w:val="22"/>
            <w:szCs w:val="22"/>
          </w:rPr>
          <w:tab/>
        </w:r>
        <w:r w:rsidR="00497912" w:rsidRPr="00571BDC">
          <w:rPr>
            <w:rStyle w:val="Hyperlink"/>
            <w:rFonts w:cs="Open Sans"/>
          </w:rPr>
          <w:t>Other human rights protections</w:t>
        </w:r>
        <w:r w:rsidR="00497912">
          <w:rPr>
            <w:webHidden/>
          </w:rPr>
          <w:tab/>
        </w:r>
        <w:r w:rsidR="00497912">
          <w:rPr>
            <w:webHidden/>
          </w:rPr>
          <w:fldChar w:fldCharType="begin"/>
        </w:r>
        <w:r w:rsidR="00497912">
          <w:rPr>
            <w:webHidden/>
          </w:rPr>
          <w:instrText xml:space="preserve"> PAGEREF _Toc534878467 \h </w:instrText>
        </w:r>
        <w:r w:rsidR="00497912">
          <w:rPr>
            <w:webHidden/>
          </w:rPr>
        </w:r>
        <w:r w:rsidR="00497912">
          <w:rPr>
            <w:webHidden/>
          </w:rPr>
          <w:fldChar w:fldCharType="separate"/>
        </w:r>
        <w:r w:rsidR="00497912">
          <w:rPr>
            <w:webHidden/>
          </w:rPr>
          <w:t>9</w:t>
        </w:r>
        <w:r w:rsidR="00497912">
          <w:rPr>
            <w:webHidden/>
          </w:rPr>
          <w:fldChar w:fldCharType="end"/>
        </w:r>
      </w:hyperlink>
    </w:p>
    <w:p w14:paraId="699BD9E4" w14:textId="48E6BDFD" w:rsidR="00497912" w:rsidRDefault="008C7406">
      <w:pPr>
        <w:pStyle w:val="TOC1"/>
        <w:rPr>
          <w:rFonts w:asciiTheme="minorHAnsi" w:eastAsiaTheme="minorEastAsia" w:hAnsiTheme="minorHAnsi" w:cstheme="minorBidi"/>
          <w:b w:val="0"/>
          <w:sz w:val="22"/>
          <w:szCs w:val="22"/>
        </w:rPr>
      </w:pPr>
      <w:hyperlink w:anchor="_Toc534878468" w:history="1">
        <w:r w:rsidR="00497912" w:rsidRPr="00571BDC">
          <w:rPr>
            <w:rStyle w:val="Hyperlink"/>
            <w:rFonts w:cs="Open Sans"/>
          </w:rPr>
          <w:t>4</w:t>
        </w:r>
        <w:r w:rsidR="00497912">
          <w:rPr>
            <w:rFonts w:asciiTheme="minorHAnsi" w:eastAsiaTheme="minorEastAsia" w:hAnsiTheme="minorHAnsi" w:cstheme="minorBidi"/>
            <w:b w:val="0"/>
            <w:sz w:val="22"/>
            <w:szCs w:val="22"/>
          </w:rPr>
          <w:tab/>
        </w:r>
        <w:r w:rsidR="00497912" w:rsidRPr="00571BDC">
          <w:rPr>
            <w:rStyle w:val="Hyperlink"/>
            <w:rFonts w:cs="Open Sans"/>
          </w:rPr>
          <w:t>Key human rights impacts</w:t>
        </w:r>
        <w:r w:rsidR="00497912">
          <w:rPr>
            <w:webHidden/>
          </w:rPr>
          <w:tab/>
        </w:r>
        <w:r w:rsidR="00497912">
          <w:rPr>
            <w:webHidden/>
          </w:rPr>
          <w:fldChar w:fldCharType="begin"/>
        </w:r>
        <w:r w:rsidR="00497912">
          <w:rPr>
            <w:webHidden/>
          </w:rPr>
          <w:instrText xml:space="preserve"> PAGEREF _Toc534878468 \h </w:instrText>
        </w:r>
        <w:r w:rsidR="00497912">
          <w:rPr>
            <w:webHidden/>
          </w:rPr>
        </w:r>
        <w:r w:rsidR="00497912">
          <w:rPr>
            <w:webHidden/>
          </w:rPr>
          <w:fldChar w:fldCharType="separate"/>
        </w:r>
        <w:r w:rsidR="00497912">
          <w:rPr>
            <w:webHidden/>
          </w:rPr>
          <w:t>10</w:t>
        </w:r>
        <w:r w:rsidR="00497912">
          <w:rPr>
            <w:webHidden/>
          </w:rPr>
          <w:fldChar w:fldCharType="end"/>
        </w:r>
      </w:hyperlink>
    </w:p>
    <w:p w14:paraId="1B02E103" w14:textId="7977247A" w:rsidR="00497912" w:rsidRDefault="008C7406">
      <w:pPr>
        <w:pStyle w:val="TOC2"/>
        <w:rPr>
          <w:rFonts w:asciiTheme="minorHAnsi" w:eastAsiaTheme="minorEastAsia" w:hAnsiTheme="minorHAnsi" w:cstheme="minorBidi"/>
          <w:b w:val="0"/>
          <w:i w:val="0"/>
          <w:sz w:val="22"/>
          <w:szCs w:val="22"/>
        </w:rPr>
      </w:pPr>
      <w:hyperlink w:anchor="_Toc534878469" w:history="1">
        <w:r w:rsidR="00497912" w:rsidRPr="00571BDC">
          <w:rPr>
            <w:rStyle w:val="Hyperlink"/>
            <w:rFonts w:cs="Open Sans"/>
          </w:rPr>
          <w:t>4.1</w:t>
        </w:r>
        <w:r w:rsidR="00497912">
          <w:rPr>
            <w:rFonts w:asciiTheme="minorHAnsi" w:eastAsiaTheme="minorEastAsia" w:hAnsiTheme="minorHAnsi" w:cstheme="minorBidi"/>
            <w:b w:val="0"/>
            <w:i w:val="0"/>
            <w:sz w:val="22"/>
            <w:szCs w:val="22"/>
          </w:rPr>
          <w:tab/>
        </w:r>
        <w:r w:rsidR="00497912" w:rsidRPr="00571BDC">
          <w:rPr>
            <w:rStyle w:val="Hyperlink"/>
            <w:rFonts w:cs="Open Sans"/>
          </w:rPr>
          <w:t>Lowering of threshold for determining dual citizenship</w:t>
        </w:r>
        <w:r w:rsidR="00497912">
          <w:rPr>
            <w:webHidden/>
          </w:rPr>
          <w:tab/>
        </w:r>
        <w:r w:rsidR="00497912">
          <w:rPr>
            <w:webHidden/>
          </w:rPr>
          <w:fldChar w:fldCharType="begin"/>
        </w:r>
        <w:r w:rsidR="00497912">
          <w:rPr>
            <w:webHidden/>
          </w:rPr>
          <w:instrText xml:space="preserve"> PAGEREF _Toc534878469 \h </w:instrText>
        </w:r>
        <w:r w:rsidR="00497912">
          <w:rPr>
            <w:webHidden/>
          </w:rPr>
        </w:r>
        <w:r w:rsidR="00497912">
          <w:rPr>
            <w:webHidden/>
          </w:rPr>
          <w:fldChar w:fldCharType="separate"/>
        </w:r>
        <w:r w:rsidR="00497912">
          <w:rPr>
            <w:webHidden/>
          </w:rPr>
          <w:t>10</w:t>
        </w:r>
        <w:r w:rsidR="00497912">
          <w:rPr>
            <w:webHidden/>
          </w:rPr>
          <w:fldChar w:fldCharType="end"/>
        </w:r>
      </w:hyperlink>
    </w:p>
    <w:p w14:paraId="587EFA1E" w14:textId="5F189FA4" w:rsidR="00497912" w:rsidRDefault="008C7406">
      <w:pPr>
        <w:pStyle w:val="TOC2"/>
        <w:rPr>
          <w:rFonts w:asciiTheme="minorHAnsi" w:eastAsiaTheme="minorEastAsia" w:hAnsiTheme="minorHAnsi" w:cstheme="minorBidi"/>
          <w:b w:val="0"/>
          <w:i w:val="0"/>
          <w:sz w:val="22"/>
          <w:szCs w:val="22"/>
        </w:rPr>
      </w:pPr>
      <w:hyperlink w:anchor="_Toc534878470" w:history="1">
        <w:r w:rsidR="00497912" w:rsidRPr="00571BDC">
          <w:rPr>
            <w:rStyle w:val="Hyperlink"/>
            <w:rFonts w:cs="Open Sans"/>
          </w:rPr>
          <w:t>4.2</w:t>
        </w:r>
        <w:r w:rsidR="00497912">
          <w:rPr>
            <w:rFonts w:asciiTheme="minorHAnsi" w:eastAsiaTheme="minorEastAsia" w:hAnsiTheme="minorHAnsi" w:cstheme="minorBidi"/>
            <w:b w:val="0"/>
            <w:i w:val="0"/>
            <w:sz w:val="22"/>
            <w:szCs w:val="22"/>
          </w:rPr>
          <w:tab/>
        </w:r>
        <w:r w:rsidR="00497912" w:rsidRPr="00571BDC">
          <w:rPr>
            <w:rStyle w:val="Hyperlink"/>
            <w:rFonts w:cs="Open Sans"/>
          </w:rPr>
          <w:t>Removal of requirement for sentence of six years for terrorism convictions</w:t>
        </w:r>
        <w:r w:rsidR="00497912">
          <w:rPr>
            <w:webHidden/>
          </w:rPr>
          <w:tab/>
        </w:r>
        <w:r w:rsidR="00497912">
          <w:rPr>
            <w:webHidden/>
          </w:rPr>
          <w:fldChar w:fldCharType="begin"/>
        </w:r>
        <w:r w:rsidR="00497912">
          <w:rPr>
            <w:webHidden/>
          </w:rPr>
          <w:instrText xml:space="preserve"> PAGEREF _Toc534878470 \h </w:instrText>
        </w:r>
        <w:r w:rsidR="00497912">
          <w:rPr>
            <w:webHidden/>
          </w:rPr>
        </w:r>
        <w:r w:rsidR="00497912">
          <w:rPr>
            <w:webHidden/>
          </w:rPr>
          <w:fldChar w:fldCharType="separate"/>
        </w:r>
        <w:r w:rsidR="00497912">
          <w:rPr>
            <w:webHidden/>
          </w:rPr>
          <w:t>12</w:t>
        </w:r>
        <w:r w:rsidR="00497912">
          <w:rPr>
            <w:webHidden/>
          </w:rPr>
          <w:fldChar w:fldCharType="end"/>
        </w:r>
      </w:hyperlink>
    </w:p>
    <w:p w14:paraId="1A4E3C6C" w14:textId="4D4E3BA9" w:rsidR="00497912" w:rsidRDefault="008C7406">
      <w:pPr>
        <w:pStyle w:val="TOC2"/>
        <w:rPr>
          <w:rFonts w:asciiTheme="minorHAnsi" w:eastAsiaTheme="minorEastAsia" w:hAnsiTheme="minorHAnsi" w:cstheme="minorBidi"/>
          <w:b w:val="0"/>
          <w:i w:val="0"/>
          <w:sz w:val="22"/>
          <w:szCs w:val="22"/>
        </w:rPr>
      </w:pPr>
      <w:hyperlink w:anchor="_Toc534878471" w:history="1">
        <w:r w:rsidR="00497912" w:rsidRPr="00571BDC">
          <w:rPr>
            <w:rStyle w:val="Hyperlink"/>
            <w:rFonts w:cs="Open Sans"/>
          </w:rPr>
          <w:t>4.3</w:t>
        </w:r>
        <w:r w:rsidR="00497912">
          <w:rPr>
            <w:rFonts w:asciiTheme="minorHAnsi" w:eastAsiaTheme="minorEastAsia" w:hAnsiTheme="minorHAnsi" w:cstheme="minorBidi"/>
            <w:b w:val="0"/>
            <w:i w:val="0"/>
            <w:sz w:val="22"/>
            <w:szCs w:val="22"/>
          </w:rPr>
          <w:tab/>
        </w:r>
        <w:r w:rsidR="00497912" w:rsidRPr="00571BDC">
          <w:rPr>
            <w:rStyle w:val="Hyperlink"/>
            <w:rFonts w:cs="Open Sans"/>
          </w:rPr>
          <w:t>Retrospectivity</w:t>
        </w:r>
        <w:r w:rsidR="00497912">
          <w:rPr>
            <w:webHidden/>
          </w:rPr>
          <w:tab/>
        </w:r>
        <w:r w:rsidR="00497912">
          <w:rPr>
            <w:webHidden/>
          </w:rPr>
          <w:fldChar w:fldCharType="begin"/>
        </w:r>
        <w:r w:rsidR="00497912">
          <w:rPr>
            <w:webHidden/>
          </w:rPr>
          <w:instrText xml:space="preserve"> PAGEREF _Toc534878471 \h </w:instrText>
        </w:r>
        <w:r w:rsidR="00497912">
          <w:rPr>
            <w:webHidden/>
          </w:rPr>
        </w:r>
        <w:r w:rsidR="00497912">
          <w:rPr>
            <w:webHidden/>
          </w:rPr>
          <w:fldChar w:fldCharType="separate"/>
        </w:r>
        <w:r w:rsidR="00497912">
          <w:rPr>
            <w:webHidden/>
          </w:rPr>
          <w:t>19</w:t>
        </w:r>
        <w:r w:rsidR="00497912">
          <w:rPr>
            <w:webHidden/>
          </w:rPr>
          <w:fldChar w:fldCharType="end"/>
        </w:r>
      </w:hyperlink>
    </w:p>
    <w:p w14:paraId="4670C7D0" w14:textId="35A85C97" w:rsidR="00497912" w:rsidRDefault="008C7406">
      <w:pPr>
        <w:pStyle w:val="TOC1"/>
        <w:rPr>
          <w:rStyle w:val="Hyperlink"/>
        </w:rPr>
      </w:pPr>
      <w:hyperlink w:anchor="_Toc534878472" w:history="1">
        <w:r w:rsidR="00497912" w:rsidRPr="00571BDC">
          <w:rPr>
            <w:rStyle w:val="Hyperlink"/>
            <w:rFonts w:cs="Open Sans"/>
          </w:rPr>
          <w:t>5</w:t>
        </w:r>
        <w:r w:rsidR="00497912">
          <w:rPr>
            <w:rFonts w:asciiTheme="minorHAnsi" w:eastAsiaTheme="minorEastAsia" w:hAnsiTheme="minorHAnsi" w:cstheme="minorBidi"/>
            <w:b w:val="0"/>
            <w:sz w:val="22"/>
            <w:szCs w:val="22"/>
          </w:rPr>
          <w:tab/>
        </w:r>
        <w:r w:rsidR="00497912" w:rsidRPr="00571BDC">
          <w:rPr>
            <w:rStyle w:val="Hyperlink"/>
            <w:rFonts w:cs="Open Sans"/>
          </w:rPr>
          <w:t>Other human rights issues</w:t>
        </w:r>
        <w:r w:rsidR="00497912">
          <w:rPr>
            <w:webHidden/>
          </w:rPr>
          <w:tab/>
        </w:r>
        <w:r w:rsidR="00497912">
          <w:rPr>
            <w:webHidden/>
          </w:rPr>
          <w:fldChar w:fldCharType="begin"/>
        </w:r>
        <w:r w:rsidR="00497912">
          <w:rPr>
            <w:webHidden/>
          </w:rPr>
          <w:instrText xml:space="preserve"> PAGEREF _Toc534878472 \h </w:instrText>
        </w:r>
        <w:r w:rsidR="00497912">
          <w:rPr>
            <w:webHidden/>
          </w:rPr>
        </w:r>
        <w:r w:rsidR="00497912">
          <w:rPr>
            <w:webHidden/>
          </w:rPr>
          <w:fldChar w:fldCharType="separate"/>
        </w:r>
        <w:r w:rsidR="00497912">
          <w:rPr>
            <w:webHidden/>
          </w:rPr>
          <w:t>22</w:t>
        </w:r>
        <w:r w:rsidR="00497912">
          <w:rPr>
            <w:webHidden/>
          </w:rPr>
          <w:fldChar w:fldCharType="end"/>
        </w:r>
      </w:hyperlink>
    </w:p>
    <w:p w14:paraId="16F4E38D" w14:textId="77777777" w:rsidR="00497912" w:rsidRDefault="00497912">
      <w:pPr>
        <w:spacing w:before="0" w:after="0"/>
        <w:rPr>
          <w:rStyle w:val="Hyperlink"/>
          <w:b/>
          <w:noProof/>
        </w:rPr>
      </w:pPr>
      <w:r>
        <w:rPr>
          <w:rStyle w:val="Hyperlink"/>
        </w:rPr>
        <w:br w:type="page"/>
      </w:r>
    </w:p>
    <w:p w14:paraId="4848890E" w14:textId="26CEB30E" w:rsidR="00510390" w:rsidRPr="00505DB6" w:rsidRDefault="000B5B68" w:rsidP="00A27ABE">
      <w:pPr>
        <w:pStyle w:val="Heading1"/>
        <w:rPr>
          <w:rFonts w:cs="Open Sans"/>
        </w:rPr>
      </w:pPr>
      <w:r w:rsidRPr="00505DB6">
        <w:rPr>
          <w:rFonts w:cs="Open Sans"/>
        </w:rPr>
        <w:lastRenderedPageBreak/>
        <w:fldChar w:fldCharType="end"/>
      </w:r>
      <w:bookmarkStart w:id="27" w:name="_Toc207761830"/>
      <w:bookmarkStart w:id="28" w:name="_Toc209578266"/>
      <w:bookmarkStart w:id="29" w:name="_Toc209941766"/>
      <w:bookmarkStart w:id="30" w:name="_Toc534878460"/>
      <w:r w:rsidR="009F2764" w:rsidRPr="00505DB6">
        <w:rPr>
          <w:rFonts w:cs="Open Sans"/>
        </w:rPr>
        <w:t>Introduction</w:t>
      </w:r>
      <w:bookmarkEnd w:id="27"/>
      <w:bookmarkEnd w:id="28"/>
      <w:bookmarkEnd w:id="29"/>
      <w:bookmarkEnd w:id="30"/>
    </w:p>
    <w:p w14:paraId="21BEAC77" w14:textId="77777777" w:rsidR="001B1F95" w:rsidRPr="00505DB6" w:rsidRDefault="001B1F95" w:rsidP="0046153D">
      <w:pPr>
        <w:pStyle w:val="ListNumber"/>
        <w:numPr>
          <w:ilvl w:val="0"/>
          <w:numId w:val="15"/>
        </w:numPr>
        <w:tabs>
          <w:tab w:val="num" w:pos="993"/>
          <w:tab w:val="left" w:pos="1418"/>
        </w:tabs>
        <w:ind w:left="709" w:hanging="567"/>
        <w:rPr>
          <w:rFonts w:cs="Open Sans"/>
        </w:rPr>
      </w:pPr>
      <w:r w:rsidRPr="00505DB6">
        <w:rPr>
          <w:rFonts w:cs="Open Sans"/>
        </w:rPr>
        <w:t xml:space="preserve">The Australian Human Rights Commission makes this submission to the Parliamentary Joint Committee on Intelligence and Security </w:t>
      </w:r>
      <w:r w:rsidR="0068533F" w:rsidRPr="00505DB6">
        <w:rPr>
          <w:rFonts w:cs="Open Sans"/>
        </w:rPr>
        <w:t xml:space="preserve">(PJCIS) </w:t>
      </w:r>
      <w:r w:rsidRPr="00505DB6">
        <w:rPr>
          <w:rFonts w:cs="Open Sans"/>
        </w:rPr>
        <w:t xml:space="preserve">with respect to its Inquiry into </w:t>
      </w:r>
      <w:r w:rsidR="003E7A55" w:rsidRPr="00505DB6">
        <w:rPr>
          <w:rFonts w:cs="Open Sans"/>
        </w:rPr>
        <w:t xml:space="preserve">the </w:t>
      </w:r>
      <w:r w:rsidRPr="00505DB6">
        <w:rPr>
          <w:rFonts w:cs="Open Sans"/>
        </w:rPr>
        <w:t>Australian Citizenship Amendment (Strengthening the Citizenship Loss Provisions) Bill 2018</w:t>
      </w:r>
      <w:r w:rsidR="006C7C01" w:rsidRPr="00505DB6">
        <w:rPr>
          <w:rFonts w:cs="Open Sans"/>
        </w:rPr>
        <w:t xml:space="preserve"> (Cth)</w:t>
      </w:r>
      <w:r w:rsidRPr="00505DB6">
        <w:rPr>
          <w:rFonts w:cs="Open Sans"/>
        </w:rPr>
        <w:t xml:space="preserve"> (the Bill).</w:t>
      </w:r>
    </w:p>
    <w:p w14:paraId="2AEB048F" w14:textId="77777777" w:rsidR="001B1F95" w:rsidRPr="00505DB6" w:rsidRDefault="001B1F95" w:rsidP="0046153D">
      <w:pPr>
        <w:pStyle w:val="ListNumber"/>
        <w:numPr>
          <w:ilvl w:val="0"/>
          <w:numId w:val="15"/>
        </w:numPr>
        <w:tabs>
          <w:tab w:val="num" w:pos="993"/>
          <w:tab w:val="left" w:pos="1418"/>
        </w:tabs>
        <w:ind w:left="709" w:hanging="567"/>
        <w:rPr>
          <w:rFonts w:cs="Open Sans"/>
        </w:rPr>
      </w:pPr>
      <w:r w:rsidRPr="00505DB6">
        <w:rPr>
          <w:rFonts w:cs="Open Sans"/>
        </w:rPr>
        <w:t>The Bill would amend</w:t>
      </w:r>
      <w:r w:rsidR="00BE6D66" w:rsidRPr="00505DB6">
        <w:rPr>
          <w:rFonts w:cs="Open Sans"/>
        </w:rPr>
        <w:t xml:space="preserve"> s 35A </w:t>
      </w:r>
      <w:r w:rsidR="00A2358D" w:rsidRPr="00505DB6">
        <w:rPr>
          <w:rFonts w:cs="Open Sans"/>
        </w:rPr>
        <w:t>of</w:t>
      </w:r>
      <w:r w:rsidRPr="00505DB6">
        <w:rPr>
          <w:rFonts w:cs="Open Sans"/>
        </w:rPr>
        <w:t xml:space="preserve"> the </w:t>
      </w:r>
      <w:r w:rsidRPr="00505DB6">
        <w:rPr>
          <w:rFonts w:cs="Open Sans"/>
          <w:i/>
        </w:rPr>
        <w:t>Australian Citizenship Act 2007</w:t>
      </w:r>
      <w:r w:rsidRPr="00505DB6">
        <w:rPr>
          <w:rFonts w:cs="Open Sans"/>
        </w:rPr>
        <w:t xml:space="preserve"> (Cth) (the Act), to </w:t>
      </w:r>
      <w:r w:rsidR="0083045C" w:rsidRPr="00505DB6">
        <w:rPr>
          <w:rFonts w:cs="Open Sans"/>
        </w:rPr>
        <w:t>broaden the circumstances in which a dual citizen or national could have their</w:t>
      </w:r>
      <w:r w:rsidR="005305C1" w:rsidRPr="00505DB6">
        <w:rPr>
          <w:rFonts w:cs="Open Sans"/>
        </w:rPr>
        <w:t xml:space="preserve"> Australian citizenship removed</w:t>
      </w:r>
      <w:r w:rsidRPr="00505DB6">
        <w:rPr>
          <w:rFonts w:cs="Open Sans"/>
        </w:rPr>
        <w:t>.</w:t>
      </w:r>
      <w:r w:rsidR="00862CD8" w:rsidRPr="00505DB6">
        <w:rPr>
          <w:rFonts w:cs="Open Sans"/>
        </w:rPr>
        <w:t xml:space="preserve"> </w:t>
      </w:r>
    </w:p>
    <w:p w14:paraId="151AA5B0" w14:textId="77777777" w:rsidR="00A15629" w:rsidRPr="00505DB6" w:rsidRDefault="00A2358D" w:rsidP="0046153D">
      <w:pPr>
        <w:pStyle w:val="ListNumber"/>
        <w:numPr>
          <w:ilvl w:val="0"/>
          <w:numId w:val="15"/>
        </w:numPr>
        <w:tabs>
          <w:tab w:val="num" w:pos="993"/>
          <w:tab w:val="left" w:pos="1418"/>
        </w:tabs>
        <w:ind w:left="709" w:hanging="567"/>
        <w:rPr>
          <w:rFonts w:cs="Open Sans"/>
        </w:rPr>
      </w:pPr>
      <w:r w:rsidRPr="00505DB6">
        <w:rPr>
          <w:rFonts w:cs="Open Sans"/>
        </w:rPr>
        <w:t xml:space="preserve">The </w:t>
      </w:r>
      <w:r w:rsidR="0083045C" w:rsidRPr="00505DB6">
        <w:rPr>
          <w:rFonts w:cs="Open Sans"/>
        </w:rPr>
        <w:t>stated</w:t>
      </w:r>
      <w:r w:rsidR="002070DE" w:rsidRPr="00505DB6">
        <w:rPr>
          <w:rFonts w:cs="Open Sans"/>
        </w:rPr>
        <w:t xml:space="preserve"> </w:t>
      </w:r>
      <w:r w:rsidR="00862CD8" w:rsidRPr="00505DB6">
        <w:rPr>
          <w:rFonts w:cs="Open Sans"/>
        </w:rPr>
        <w:t xml:space="preserve">purpose of the Bill is to </w:t>
      </w:r>
      <w:r w:rsidRPr="00505DB6">
        <w:rPr>
          <w:rFonts w:cs="Open Sans"/>
        </w:rPr>
        <w:t xml:space="preserve">keep Australians safe from </w:t>
      </w:r>
      <w:r w:rsidR="00862CD8" w:rsidRPr="00505DB6">
        <w:rPr>
          <w:rFonts w:cs="Open Sans"/>
        </w:rPr>
        <w:t>terrorist threats</w:t>
      </w:r>
      <w:r w:rsidRPr="00505DB6">
        <w:rPr>
          <w:rFonts w:cs="Open Sans"/>
        </w:rPr>
        <w:t xml:space="preserve"> and to uphold the integrity of Australian citizenship.</w:t>
      </w:r>
      <w:r w:rsidR="00A15629" w:rsidRPr="00505DB6">
        <w:rPr>
          <w:rStyle w:val="EndnoteReference"/>
          <w:rFonts w:cs="Open Sans"/>
        </w:rPr>
        <w:endnoteReference w:id="1"/>
      </w:r>
    </w:p>
    <w:p w14:paraId="3A530C35" w14:textId="77777777" w:rsidR="0083045C"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Commission acknowledges the critical importance of protecting Australia’s national security</w:t>
      </w:r>
      <w:r w:rsidR="0083045C" w:rsidRPr="00505DB6">
        <w:rPr>
          <w:rFonts w:cs="Open Sans"/>
        </w:rPr>
        <w:t>,</w:t>
      </w:r>
      <w:r w:rsidRPr="00505DB6">
        <w:rPr>
          <w:rFonts w:cs="Open Sans"/>
        </w:rPr>
        <w:t xml:space="preserve"> and the Australian community from terrorism. Enacting measures that achieve these goals </w:t>
      </w:r>
      <w:r w:rsidR="0017473C">
        <w:rPr>
          <w:rFonts w:cs="Open Sans"/>
        </w:rPr>
        <w:t>can</w:t>
      </w:r>
      <w:r w:rsidR="0017473C" w:rsidRPr="00505DB6">
        <w:rPr>
          <w:rFonts w:cs="Open Sans"/>
        </w:rPr>
        <w:t xml:space="preserve"> </w:t>
      </w:r>
      <w:r w:rsidRPr="00505DB6">
        <w:rPr>
          <w:rFonts w:cs="Open Sans"/>
        </w:rPr>
        <w:t>protect human rights, including the right to life,</w:t>
      </w:r>
      <w:r w:rsidRPr="00505DB6">
        <w:rPr>
          <w:rStyle w:val="EndnoteReference"/>
          <w:rFonts w:cs="Open Sans"/>
        </w:rPr>
        <w:endnoteReference w:id="2"/>
      </w:r>
      <w:r w:rsidRPr="00505DB6">
        <w:rPr>
          <w:rFonts w:cs="Open Sans"/>
        </w:rPr>
        <w:t xml:space="preserve"> and help fulfil Australia’s international law obligations.</w:t>
      </w:r>
      <w:r w:rsidRPr="00505DB6">
        <w:rPr>
          <w:rStyle w:val="EndnoteReference"/>
          <w:rFonts w:cs="Open Sans"/>
        </w:rPr>
        <w:endnoteReference w:id="3"/>
      </w:r>
      <w:r w:rsidRPr="00505DB6">
        <w:rPr>
          <w:rFonts w:cs="Open Sans"/>
        </w:rPr>
        <w:t xml:space="preserve"> </w:t>
      </w:r>
    </w:p>
    <w:p w14:paraId="1F081ABB" w14:textId="77777777" w:rsidR="0083045C" w:rsidRPr="00505DB6" w:rsidRDefault="00A15629" w:rsidP="0046153D">
      <w:pPr>
        <w:pStyle w:val="ListNumber"/>
        <w:numPr>
          <w:ilvl w:val="0"/>
          <w:numId w:val="15"/>
        </w:numPr>
        <w:tabs>
          <w:tab w:val="num" w:pos="993"/>
          <w:tab w:val="left" w:pos="1418"/>
        </w:tabs>
        <w:ind w:left="709" w:hanging="567"/>
        <w:rPr>
          <w:rFonts w:cs="Open Sans"/>
          <w:color w:val="00B0F0"/>
        </w:rPr>
      </w:pPr>
      <w:r w:rsidRPr="00505DB6">
        <w:rPr>
          <w:rFonts w:cs="Open Sans"/>
        </w:rPr>
        <w:t xml:space="preserve">However, </w:t>
      </w:r>
      <w:r w:rsidR="0083045C" w:rsidRPr="00505DB6">
        <w:rPr>
          <w:rFonts w:cs="Open Sans"/>
        </w:rPr>
        <w:t xml:space="preserve">to comply with international human rights law, </w:t>
      </w:r>
      <w:r w:rsidRPr="00505DB6">
        <w:rPr>
          <w:rFonts w:cs="Open Sans"/>
        </w:rPr>
        <w:t xml:space="preserve">any </w:t>
      </w:r>
      <w:r w:rsidR="005305C1" w:rsidRPr="00505DB6">
        <w:rPr>
          <w:rFonts w:cs="Open Sans"/>
        </w:rPr>
        <w:t xml:space="preserve">resulting </w:t>
      </w:r>
      <w:r w:rsidRPr="00505DB6">
        <w:rPr>
          <w:rFonts w:cs="Open Sans"/>
        </w:rPr>
        <w:t xml:space="preserve">limitations on human rights must be reasonable, necessary and proportionate. </w:t>
      </w:r>
      <w:r w:rsidR="0083045C" w:rsidRPr="00505DB6">
        <w:rPr>
          <w:rFonts w:cs="Open Sans"/>
        </w:rPr>
        <w:t>The Commission considers that the Bill does n</w:t>
      </w:r>
      <w:r w:rsidR="00CF0F0A">
        <w:rPr>
          <w:rFonts w:cs="Open Sans"/>
        </w:rPr>
        <w:t xml:space="preserve">ot satisfy these requirements. </w:t>
      </w:r>
    </w:p>
    <w:p w14:paraId="14F64ABB" w14:textId="77777777" w:rsidR="0083045C" w:rsidRPr="00505DB6" w:rsidRDefault="0083045C" w:rsidP="0046153D">
      <w:pPr>
        <w:pStyle w:val="ListNumber"/>
        <w:numPr>
          <w:ilvl w:val="0"/>
          <w:numId w:val="15"/>
        </w:numPr>
        <w:tabs>
          <w:tab w:val="num" w:pos="993"/>
          <w:tab w:val="left" w:pos="1418"/>
        </w:tabs>
        <w:ind w:left="709" w:hanging="567"/>
        <w:rPr>
          <w:rFonts w:cs="Open Sans"/>
          <w:color w:val="00B0F0"/>
        </w:rPr>
      </w:pPr>
      <w:r w:rsidRPr="00505DB6">
        <w:rPr>
          <w:rFonts w:cs="Open Sans"/>
        </w:rPr>
        <w:t>Involuntary r</w:t>
      </w:r>
      <w:r w:rsidR="00551ED1" w:rsidRPr="00505DB6">
        <w:rPr>
          <w:rFonts w:cs="Open Sans"/>
        </w:rPr>
        <w:t>emoval</w:t>
      </w:r>
      <w:r w:rsidR="00A15629" w:rsidRPr="00505DB6">
        <w:rPr>
          <w:rFonts w:cs="Open Sans"/>
        </w:rPr>
        <w:t xml:space="preserve"> of </w:t>
      </w:r>
      <w:r w:rsidRPr="00505DB6">
        <w:rPr>
          <w:rFonts w:cs="Open Sans"/>
        </w:rPr>
        <w:t xml:space="preserve">Australian </w:t>
      </w:r>
      <w:r w:rsidR="00A15629" w:rsidRPr="00505DB6">
        <w:rPr>
          <w:rFonts w:cs="Open Sans"/>
        </w:rPr>
        <w:t>citizenship is an extremely serious matter</w:t>
      </w:r>
      <w:r w:rsidRPr="00505DB6">
        <w:rPr>
          <w:rFonts w:cs="Open Sans"/>
        </w:rPr>
        <w:t>, and imposes significant limitations on human rights</w:t>
      </w:r>
      <w:r w:rsidR="0017473C">
        <w:rPr>
          <w:rFonts w:cs="Open Sans"/>
        </w:rPr>
        <w:t xml:space="preserve"> for the individual whose Australian citizenship </w:t>
      </w:r>
      <w:proofErr w:type="gramStart"/>
      <w:r w:rsidR="0017473C">
        <w:rPr>
          <w:rFonts w:cs="Open Sans"/>
        </w:rPr>
        <w:t>is removed</w:t>
      </w:r>
      <w:proofErr w:type="gramEnd"/>
      <w:r w:rsidR="0017473C">
        <w:rPr>
          <w:rFonts w:cs="Open Sans"/>
        </w:rPr>
        <w:t>. It can also have significant consequences for others in the Australian community who may rely on that individual, such as any dependants of the individual</w:t>
      </w:r>
      <w:r w:rsidR="00A15629" w:rsidRPr="00505DB6">
        <w:rPr>
          <w:rFonts w:cs="Open Sans"/>
        </w:rPr>
        <w:t xml:space="preserve">. </w:t>
      </w:r>
    </w:p>
    <w:p w14:paraId="479DB6C2" w14:textId="77777777" w:rsidR="00E92432" w:rsidRPr="003A3A9E" w:rsidRDefault="0017473C" w:rsidP="0046153D">
      <w:pPr>
        <w:pStyle w:val="ListNumber"/>
        <w:numPr>
          <w:ilvl w:val="0"/>
          <w:numId w:val="15"/>
        </w:numPr>
        <w:tabs>
          <w:tab w:val="num" w:pos="993"/>
          <w:tab w:val="left" w:pos="1418"/>
        </w:tabs>
        <w:ind w:left="709" w:hanging="567"/>
        <w:rPr>
          <w:rFonts w:cs="Open Sans"/>
          <w:iCs/>
        </w:rPr>
      </w:pPr>
      <w:r>
        <w:rPr>
          <w:rFonts w:cs="Open Sans"/>
        </w:rPr>
        <w:t>By enabling an individual’s Australian citizenship to be removed following much less serious conduct than is currently provided for, t</w:t>
      </w:r>
      <w:r w:rsidR="005305C1" w:rsidRPr="00505DB6">
        <w:rPr>
          <w:rFonts w:cs="Open Sans"/>
        </w:rPr>
        <w:t xml:space="preserve">he </w:t>
      </w:r>
      <w:r>
        <w:rPr>
          <w:rFonts w:cs="Open Sans"/>
        </w:rPr>
        <w:t xml:space="preserve">Bill </w:t>
      </w:r>
      <w:r w:rsidR="005305C1" w:rsidRPr="00505DB6">
        <w:rPr>
          <w:rFonts w:cs="Open Sans"/>
        </w:rPr>
        <w:t>risk</w:t>
      </w:r>
      <w:r>
        <w:rPr>
          <w:rFonts w:cs="Open Sans"/>
        </w:rPr>
        <w:t>s</w:t>
      </w:r>
      <w:r w:rsidR="00A15629" w:rsidRPr="00505DB6">
        <w:rPr>
          <w:rFonts w:cs="Open Sans"/>
        </w:rPr>
        <w:t xml:space="preserve"> arbitrar</w:t>
      </w:r>
      <w:r w:rsidR="005305C1" w:rsidRPr="00505DB6">
        <w:rPr>
          <w:rFonts w:cs="Open Sans"/>
        </w:rPr>
        <w:t>ily interfering</w:t>
      </w:r>
      <w:r w:rsidR="00A15629" w:rsidRPr="00505DB6">
        <w:rPr>
          <w:rFonts w:cs="Open Sans"/>
        </w:rPr>
        <w:t xml:space="preserve"> with the right to enter and remain in one’s own country, protected under </w:t>
      </w:r>
      <w:r w:rsidR="003E7A55" w:rsidRPr="00505DB6">
        <w:rPr>
          <w:rFonts w:cs="Open Sans"/>
        </w:rPr>
        <w:t xml:space="preserve">article </w:t>
      </w:r>
      <w:r w:rsidR="00A15629" w:rsidRPr="00505DB6">
        <w:rPr>
          <w:rFonts w:cs="Open Sans"/>
        </w:rPr>
        <w:t>12(4) of the</w:t>
      </w:r>
      <w:r w:rsidR="00A15629" w:rsidRPr="00505DB6">
        <w:rPr>
          <w:rFonts w:cs="Open Sans"/>
          <w:caps/>
          <w:color w:val="00B0F0"/>
        </w:rPr>
        <w:t xml:space="preserve"> </w:t>
      </w:r>
      <w:r w:rsidR="00A15629" w:rsidRPr="00505DB6">
        <w:rPr>
          <w:rFonts w:cs="Open Sans"/>
          <w:i/>
        </w:rPr>
        <w:t>International Covenant on Civil and Political Rights</w:t>
      </w:r>
      <w:r w:rsidR="00A15629" w:rsidRPr="00505DB6">
        <w:rPr>
          <w:rFonts w:cs="Open Sans"/>
        </w:rPr>
        <w:t xml:space="preserve"> (ICCPR).</w:t>
      </w:r>
      <w:r w:rsidR="00A15629" w:rsidRPr="00505DB6">
        <w:rPr>
          <w:rFonts w:cs="Open Sans"/>
          <w:sz w:val="22"/>
          <w:szCs w:val="22"/>
          <w:vertAlign w:val="superscript"/>
          <w:lang w:val="en"/>
        </w:rPr>
        <w:endnoteReference w:id="4"/>
      </w:r>
      <w:r w:rsidR="00A15629" w:rsidRPr="00505DB6">
        <w:rPr>
          <w:rFonts w:cs="Open Sans"/>
        </w:rPr>
        <w:t xml:space="preserve"> </w:t>
      </w:r>
      <w:r w:rsidR="005305C1" w:rsidRPr="00505DB6">
        <w:rPr>
          <w:rFonts w:cs="Open Sans"/>
        </w:rPr>
        <w:t xml:space="preserve"> </w:t>
      </w:r>
    </w:p>
    <w:p w14:paraId="08790D9E" w14:textId="2E35940F" w:rsidR="00A15629" w:rsidRPr="003A3A9E" w:rsidRDefault="0017473C" w:rsidP="0046153D">
      <w:pPr>
        <w:pStyle w:val="ListNumber"/>
        <w:numPr>
          <w:ilvl w:val="0"/>
          <w:numId w:val="15"/>
        </w:numPr>
        <w:tabs>
          <w:tab w:val="num" w:pos="993"/>
          <w:tab w:val="left" w:pos="1418"/>
        </w:tabs>
        <w:ind w:left="709" w:hanging="567"/>
        <w:rPr>
          <w:rFonts w:cs="Open Sans"/>
          <w:iCs/>
        </w:rPr>
      </w:pPr>
      <w:r>
        <w:rPr>
          <w:rFonts w:cs="Open Sans"/>
        </w:rPr>
        <w:t>If passed, the Bill would</w:t>
      </w:r>
      <w:r w:rsidR="005305C1" w:rsidRPr="00505DB6">
        <w:rPr>
          <w:rFonts w:cs="Open Sans"/>
        </w:rPr>
        <w:t xml:space="preserve"> also increase the risk that a person, including a child, </w:t>
      </w:r>
      <w:proofErr w:type="gramStart"/>
      <w:r w:rsidR="005305C1" w:rsidRPr="00505DB6">
        <w:rPr>
          <w:rFonts w:cs="Open Sans"/>
        </w:rPr>
        <w:t>will be rendered</w:t>
      </w:r>
      <w:proofErr w:type="gramEnd"/>
      <w:r w:rsidR="005305C1" w:rsidRPr="00505DB6">
        <w:rPr>
          <w:rFonts w:cs="Open Sans"/>
        </w:rPr>
        <w:t xml:space="preserve"> stateless. Such an outcome could breach Australia’s obligations under the </w:t>
      </w:r>
      <w:r w:rsidR="005305C1" w:rsidRPr="00505DB6">
        <w:rPr>
          <w:rFonts w:cs="Open Sans"/>
          <w:i/>
          <w:iCs/>
        </w:rPr>
        <w:t xml:space="preserve">Universal Declaration of Human Rights </w:t>
      </w:r>
      <w:r w:rsidR="005305C1" w:rsidRPr="00505DB6">
        <w:rPr>
          <w:rFonts w:cs="Open Sans"/>
          <w:iCs/>
        </w:rPr>
        <w:t>(UDHR)</w:t>
      </w:r>
      <w:r w:rsidR="005305C1" w:rsidRPr="00505DB6">
        <w:rPr>
          <w:rFonts w:cs="Open Sans"/>
        </w:rPr>
        <w:t>,</w:t>
      </w:r>
      <w:r w:rsidR="005305C1" w:rsidRPr="00505DB6">
        <w:rPr>
          <w:rStyle w:val="EndnoteReference"/>
          <w:rFonts w:cs="Open Sans"/>
          <w:iCs/>
        </w:rPr>
        <w:endnoteReference w:id="5"/>
      </w:r>
      <w:r w:rsidR="005305C1" w:rsidRPr="00505DB6">
        <w:rPr>
          <w:rFonts w:cs="Open Sans"/>
        </w:rPr>
        <w:t xml:space="preserve"> </w:t>
      </w:r>
      <w:r w:rsidR="005305C1" w:rsidRPr="00505DB6">
        <w:rPr>
          <w:rFonts w:cs="Open Sans"/>
          <w:i/>
        </w:rPr>
        <w:t xml:space="preserve">Convention on the Reduction of Statelessness </w:t>
      </w:r>
      <w:r w:rsidR="005305C1" w:rsidRPr="00505DB6">
        <w:rPr>
          <w:rFonts w:cs="Open Sans"/>
        </w:rPr>
        <w:t>(S</w:t>
      </w:r>
      <w:r w:rsidR="00146ECF">
        <w:rPr>
          <w:rFonts w:cs="Open Sans"/>
        </w:rPr>
        <w:t>tatelessness Convention</w:t>
      </w:r>
      <w:r w:rsidR="005305C1" w:rsidRPr="00505DB6">
        <w:rPr>
          <w:rFonts w:cs="Open Sans"/>
        </w:rPr>
        <w:t>)</w:t>
      </w:r>
      <w:r w:rsidR="005305C1" w:rsidRPr="00505DB6">
        <w:rPr>
          <w:rStyle w:val="EndnoteReference"/>
          <w:rFonts w:cs="Open Sans"/>
        </w:rPr>
        <w:endnoteReference w:id="6"/>
      </w:r>
      <w:r w:rsidR="005305C1" w:rsidRPr="00505DB6">
        <w:rPr>
          <w:rFonts w:cs="Open Sans"/>
        </w:rPr>
        <w:t xml:space="preserve"> </w:t>
      </w:r>
      <w:r w:rsidR="00E92432" w:rsidRPr="00505DB6">
        <w:rPr>
          <w:rFonts w:cs="Open Sans"/>
        </w:rPr>
        <w:t>or</w:t>
      </w:r>
      <w:r w:rsidR="005305C1" w:rsidRPr="00505DB6">
        <w:rPr>
          <w:rFonts w:cs="Open Sans"/>
        </w:rPr>
        <w:t xml:space="preserve"> </w:t>
      </w:r>
      <w:r w:rsidR="005305C1" w:rsidRPr="00505DB6">
        <w:rPr>
          <w:rFonts w:cs="Open Sans"/>
          <w:i/>
          <w:iCs/>
        </w:rPr>
        <w:t xml:space="preserve">Convention on the Rights of the Child </w:t>
      </w:r>
      <w:r w:rsidR="005305C1" w:rsidRPr="00505DB6">
        <w:rPr>
          <w:rFonts w:cs="Open Sans"/>
        </w:rPr>
        <w:t>(CRC).</w:t>
      </w:r>
      <w:r w:rsidR="005305C1" w:rsidRPr="00505DB6">
        <w:rPr>
          <w:rStyle w:val="EndnoteReference"/>
          <w:rFonts w:cs="Open Sans"/>
        </w:rPr>
        <w:endnoteReference w:id="7"/>
      </w:r>
      <w:r w:rsidR="005305C1" w:rsidRPr="00505DB6">
        <w:rPr>
          <w:rFonts w:cs="Open Sans"/>
        </w:rPr>
        <w:t xml:space="preserve"> </w:t>
      </w:r>
    </w:p>
    <w:p w14:paraId="270C1169" w14:textId="77777777" w:rsidR="00A15629" w:rsidRPr="00505DB6" w:rsidRDefault="00A15629" w:rsidP="0046153D">
      <w:pPr>
        <w:pStyle w:val="ListNumber"/>
        <w:numPr>
          <w:ilvl w:val="0"/>
          <w:numId w:val="15"/>
        </w:numPr>
        <w:tabs>
          <w:tab w:val="num" w:pos="993"/>
          <w:tab w:val="left" w:pos="1418"/>
        </w:tabs>
        <w:ind w:left="709" w:hanging="567"/>
        <w:rPr>
          <w:rFonts w:cs="Open Sans"/>
          <w:lang w:val="en"/>
        </w:rPr>
      </w:pPr>
      <w:r w:rsidRPr="00505DB6">
        <w:rPr>
          <w:rFonts w:cs="Open Sans"/>
        </w:rPr>
        <w:lastRenderedPageBreak/>
        <w:t xml:space="preserve">The proposed retrospective application of the reforms also risks offending the prohibition against retrospective penalties </w:t>
      </w:r>
      <w:r w:rsidR="005305C1" w:rsidRPr="00505DB6">
        <w:rPr>
          <w:rFonts w:cs="Open Sans"/>
        </w:rPr>
        <w:t xml:space="preserve">in </w:t>
      </w:r>
      <w:r w:rsidR="003E7A55" w:rsidRPr="00505DB6">
        <w:rPr>
          <w:rFonts w:cs="Open Sans"/>
        </w:rPr>
        <w:t xml:space="preserve">article </w:t>
      </w:r>
      <w:r w:rsidR="005305C1" w:rsidRPr="00505DB6">
        <w:rPr>
          <w:rFonts w:cs="Open Sans"/>
        </w:rPr>
        <w:t>15(1) of the ICCPR</w:t>
      </w:r>
      <w:r w:rsidRPr="00505DB6">
        <w:rPr>
          <w:rFonts w:cs="Open Sans"/>
        </w:rPr>
        <w:t xml:space="preserve">. </w:t>
      </w:r>
    </w:p>
    <w:p w14:paraId="1504A6AA" w14:textId="77777777" w:rsidR="00CF0F0A" w:rsidRPr="00AA1A20" w:rsidRDefault="00CF0F0A" w:rsidP="00CF0F0A">
      <w:pPr>
        <w:pStyle w:val="ListNumber"/>
        <w:keepNext/>
        <w:ind w:left="720"/>
        <w:rPr>
          <w:rFonts w:cs="Open Sans"/>
          <w:b/>
        </w:rPr>
      </w:pPr>
      <w:r w:rsidRPr="00AA1A20">
        <w:rPr>
          <w:rFonts w:cs="Open Sans"/>
          <w:b/>
        </w:rPr>
        <w:t xml:space="preserve">Recommendation </w:t>
      </w:r>
      <w:r>
        <w:rPr>
          <w:rFonts w:cs="Open Sans"/>
          <w:b/>
        </w:rPr>
        <w:t>1</w:t>
      </w:r>
    </w:p>
    <w:p w14:paraId="6E7A801A" w14:textId="77777777" w:rsidR="00CF0F0A" w:rsidRPr="00505DB6" w:rsidRDefault="00CF0F0A" w:rsidP="00CF0F0A">
      <w:pPr>
        <w:pStyle w:val="ListNumber"/>
        <w:tabs>
          <w:tab w:val="left" w:pos="1418"/>
        </w:tabs>
        <w:ind w:left="709"/>
        <w:rPr>
          <w:rFonts w:cs="Open Sans"/>
        </w:rPr>
      </w:pPr>
      <w:r w:rsidRPr="00CF0F0A">
        <w:rPr>
          <w:rFonts w:cs="Open Sans"/>
        </w:rPr>
        <w:t xml:space="preserve">The Commission recommends that the Bill not </w:t>
      </w:r>
      <w:proofErr w:type="gramStart"/>
      <w:r w:rsidRPr="00CF0F0A">
        <w:rPr>
          <w:rFonts w:cs="Open Sans"/>
        </w:rPr>
        <w:t>be passed</w:t>
      </w:r>
      <w:proofErr w:type="gramEnd"/>
      <w:r w:rsidRPr="00CF0F0A">
        <w:rPr>
          <w:rFonts w:cs="Open Sans"/>
        </w:rPr>
        <w:t xml:space="preserve">.  </w:t>
      </w:r>
    </w:p>
    <w:p w14:paraId="6C91560F" w14:textId="77777777" w:rsidR="00A15629" w:rsidRPr="00505DB6" w:rsidRDefault="00A15629" w:rsidP="009E08D1">
      <w:pPr>
        <w:pStyle w:val="Heading1"/>
        <w:rPr>
          <w:rFonts w:cs="Open Sans"/>
        </w:rPr>
      </w:pPr>
      <w:bookmarkStart w:id="31" w:name="_Toc534878461"/>
      <w:r w:rsidRPr="00505DB6">
        <w:rPr>
          <w:rFonts w:cs="Open Sans"/>
        </w:rPr>
        <w:t>Background</w:t>
      </w:r>
      <w:bookmarkEnd w:id="31"/>
    </w:p>
    <w:p w14:paraId="1E9F7DF4" w14:textId="77777777" w:rsidR="00A15629" w:rsidRPr="00505DB6" w:rsidRDefault="00A15629" w:rsidP="00545934">
      <w:pPr>
        <w:pStyle w:val="Heading2"/>
        <w:rPr>
          <w:rFonts w:cs="Open Sans"/>
        </w:rPr>
      </w:pPr>
      <w:bookmarkStart w:id="32" w:name="_Toc534878462"/>
      <w:r w:rsidRPr="00505DB6">
        <w:rPr>
          <w:rFonts w:cs="Open Sans"/>
        </w:rPr>
        <w:t xml:space="preserve">Current citizenship </w:t>
      </w:r>
      <w:r w:rsidR="00551ED1" w:rsidRPr="00505DB6">
        <w:rPr>
          <w:rFonts w:cs="Open Sans"/>
        </w:rPr>
        <w:t>removal</w:t>
      </w:r>
      <w:r w:rsidRPr="00505DB6">
        <w:rPr>
          <w:rFonts w:cs="Open Sans"/>
        </w:rPr>
        <w:t xml:space="preserve"> powers for convictions</w:t>
      </w:r>
      <w:bookmarkEnd w:id="32"/>
    </w:p>
    <w:p w14:paraId="67AFC0E5"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Prior to the passage of the </w:t>
      </w:r>
      <w:r w:rsidRPr="00505DB6">
        <w:rPr>
          <w:rFonts w:cs="Open Sans"/>
          <w:i/>
        </w:rPr>
        <w:t>Australian Citizenship Amendment (Allegiance to Australia) Act 2015</w:t>
      </w:r>
      <w:r w:rsidRPr="00505DB6">
        <w:rPr>
          <w:rFonts w:cs="Open Sans"/>
        </w:rPr>
        <w:t xml:space="preserve"> (Cth) (the Allegiance Act), the circumstances in which an Australian citizen could involuntarily lose their citizenship were relatively confined.</w:t>
      </w:r>
      <w:r w:rsidR="00214AED" w:rsidRPr="00505DB6">
        <w:rPr>
          <w:rFonts w:cs="Open Sans"/>
        </w:rPr>
        <w:t xml:space="preserve"> These included where a person:</w:t>
      </w:r>
    </w:p>
    <w:p w14:paraId="5C88076D" w14:textId="77777777" w:rsidR="00C27954" w:rsidRDefault="00C27954" w:rsidP="0046153D">
      <w:pPr>
        <w:pStyle w:val="ListNumber"/>
        <w:numPr>
          <w:ilvl w:val="0"/>
          <w:numId w:val="18"/>
        </w:numPr>
        <w:tabs>
          <w:tab w:val="left" w:pos="1418"/>
        </w:tabs>
        <w:rPr>
          <w:rFonts w:cs="Open Sans"/>
        </w:rPr>
      </w:pPr>
      <w:r>
        <w:rPr>
          <w:rFonts w:cs="Open Sans"/>
        </w:rPr>
        <w:t xml:space="preserve">committed </w:t>
      </w:r>
      <w:r w:rsidR="00AB06AA">
        <w:rPr>
          <w:rFonts w:cs="Open Sans"/>
        </w:rPr>
        <w:t xml:space="preserve">or was convicted of </w:t>
      </w:r>
      <w:r>
        <w:rPr>
          <w:rFonts w:cs="Open Sans"/>
        </w:rPr>
        <w:t>certain migration-related fraud</w:t>
      </w:r>
      <w:r w:rsidRPr="00505DB6">
        <w:rPr>
          <w:rFonts w:cs="Open Sans"/>
        </w:rPr>
        <w:t>, and had not automatically become an Australian citizen</w:t>
      </w:r>
    </w:p>
    <w:p w14:paraId="6991D290" w14:textId="77777777" w:rsidR="008D00B9" w:rsidRDefault="008D00B9" w:rsidP="008D00B9">
      <w:pPr>
        <w:pStyle w:val="ListNumber"/>
        <w:numPr>
          <w:ilvl w:val="0"/>
          <w:numId w:val="18"/>
        </w:numPr>
        <w:tabs>
          <w:tab w:val="left" w:pos="1418"/>
        </w:tabs>
        <w:rPr>
          <w:rFonts w:cs="Open Sans"/>
        </w:rPr>
      </w:pPr>
      <w:r>
        <w:rPr>
          <w:rFonts w:cs="Open Sans"/>
        </w:rPr>
        <w:t>was convicted of a</w:t>
      </w:r>
      <w:r w:rsidR="00214AED" w:rsidRPr="00505DB6">
        <w:rPr>
          <w:rFonts w:cs="Open Sans"/>
        </w:rPr>
        <w:t xml:space="preserve"> </w:t>
      </w:r>
      <w:r w:rsidR="00AB06AA">
        <w:rPr>
          <w:rFonts w:cs="Open Sans"/>
        </w:rPr>
        <w:t>‘</w:t>
      </w:r>
      <w:r w:rsidR="00C27954">
        <w:rPr>
          <w:rFonts w:cs="Open Sans"/>
        </w:rPr>
        <w:t xml:space="preserve">serious </w:t>
      </w:r>
      <w:r w:rsidR="00214AED" w:rsidRPr="00505DB6">
        <w:rPr>
          <w:rFonts w:cs="Open Sans"/>
        </w:rPr>
        <w:t>offence</w:t>
      </w:r>
      <w:r w:rsidR="00AB06AA">
        <w:rPr>
          <w:rFonts w:cs="Open Sans"/>
        </w:rPr>
        <w:t>’</w:t>
      </w:r>
      <w:r>
        <w:rPr>
          <w:rFonts w:cs="Open Sans"/>
        </w:rPr>
        <w:t xml:space="preserve"> </w:t>
      </w:r>
      <w:r w:rsidR="00AB06AA">
        <w:rPr>
          <w:rFonts w:cs="Open Sans"/>
        </w:rPr>
        <w:t xml:space="preserve">after making an application, defined to mean an offence </w:t>
      </w:r>
      <w:r w:rsidRPr="008D00B9">
        <w:rPr>
          <w:rFonts w:cs="Open Sans"/>
        </w:rPr>
        <w:t>against an Australian or foreign law</w:t>
      </w:r>
      <w:r w:rsidR="00AB06AA">
        <w:rPr>
          <w:rFonts w:cs="Open Sans"/>
        </w:rPr>
        <w:t xml:space="preserve"> </w:t>
      </w:r>
      <w:r w:rsidRPr="008D00B9">
        <w:rPr>
          <w:rFonts w:cs="Open Sans"/>
        </w:rPr>
        <w:t>for which the person ha</w:t>
      </w:r>
      <w:r>
        <w:rPr>
          <w:rFonts w:cs="Open Sans"/>
        </w:rPr>
        <w:t>d</w:t>
      </w:r>
      <w:r w:rsidRPr="008D00B9">
        <w:rPr>
          <w:rFonts w:cs="Open Sans"/>
        </w:rPr>
        <w:t xml:space="preserve"> been sentenced to death or to a serious prison sentence</w:t>
      </w:r>
      <w:r w:rsidR="00AB06AA">
        <w:rPr>
          <w:rFonts w:cs="Open Sans"/>
        </w:rPr>
        <w:t>—</w:t>
      </w:r>
      <w:r>
        <w:rPr>
          <w:rFonts w:cs="Open Sans"/>
        </w:rPr>
        <w:t>if the offence was committed before the person became an Australian citizen</w:t>
      </w:r>
    </w:p>
    <w:p w14:paraId="1A47C2B8" w14:textId="77777777" w:rsidR="00214AED" w:rsidRPr="00505DB6" w:rsidRDefault="00214AED" w:rsidP="0046153D">
      <w:pPr>
        <w:pStyle w:val="ListNumber"/>
        <w:numPr>
          <w:ilvl w:val="0"/>
          <w:numId w:val="18"/>
        </w:numPr>
        <w:tabs>
          <w:tab w:val="left" w:pos="1418"/>
        </w:tabs>
        <w:rPr>
          <w:rFonts w:cs="Open Sans"/>
        </w:rPr>
      </w:pPr>
      <w:r w:rsidRPr="00505DB6">
        <w:rPr>
          <w:rFonts w:cs="Open Sans"/>
        </w:rPr>
        <w:t>failed to comply with special residence requirements, and had not automatically become an Australian citizen</w:t>
      </w:r>
    </w:p>
    <w:p w14:paraId="4E05CF9B" w14:textId="77777777" w:rsidR="00214AED" w:rsidRPr="00505DB6" w:rsidRDefault="00214AED" w:rsidP="0046153D">
      <w:pPr>
        <w:pStyle w:val="ListNumber"/>
        <w:numPr>
          <w:ilvl w:val="0"/>
          <w:numId w:val="18"/>
        </w:numPr>
        <w:tabs>
          <w:tab w:val="left" w:pos="1418"/>
        </w:tabs>
        <w:rPr>
          <w:rFonts w:cs="Open Sans"/>
        </w:rPr>
      </w:pPr>
      <w:r w:rsidRPr="00505DB6">
        <w:rPr>
          <w:rFonts w:cs="Open Sans"/>
        </w:rPr>
        <w:t>serve</w:t>
      </w:r>
      <w:r w:rsidR="00B76D44" w:rsidRPr="00505DB6">
        <w:rPr>
          <w:rFonts w:cs="Open Sans"/>
        </w:rPr>
        <w:t>d</w:t>
      </w:r>
      <w:r w:rsidRPr="00505DB6">
        <w:rPr>
          <w:rFonts w:cs="Open Sans"/>
        </w:rPr>
        <w:t xml:space="preserve"> in the armed forces of a country at war with Australia</w:t>
      </w:r>
    </w:p>
    <w:p w14:paraId="4FFA4114" w14:textId="77777777" w:rsidR="00214AED" w:rsidRPr="00505DB6" w:rsidRDefault="00214AED" w:rsidP="0046153D">
      <w:pPr>
        <w:pStyle w:val="ListNumber"/>
        <w:numPr>
          <w:ilvl w:val="0"/>
          <w:numId w:val="18"/>
        </w:numPr>
        <w:tabs>
          <w:tab w:val="left" w:pos="1418"/>
        </w:tabs>
        <w:rPr>
          <w:rFonts w:cs="Open Sans"/>
        </w:rPr>
      </w:pPr>
      <w:proofErr w:type="gramStart"/>
      <w:r w:rsidRPr="00505DB6">
        <w:rPr>
          <w:rFonts w:cs="Open Sans"/>
        </w:rPr>
        <w:t>was</w:t>
      </w:r>
      <w:proofErr w:type="gramEnd"/>
      <w:r w:rsidRPr="00505DB6">
        <w:rPr>
          <w:rFonts w:cs="Open Sans"/>
        </w:rPr>
        <w:t xml:space="preserve"> a child of a responsible parent who ceased to be an Australian citizen.</w:t>
      </w:r>
    </w:p>
    <w:p w14:paraId="4E9F78F4"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Allegiance Act significantly expanded both automatic and discretionary citizenship-stripping powers in the Act. </w:t>
      </w:r>
    </w:p>
    <w:p w14:paraId="56EFF691" w14:textId="77777777" w:rsidR="00A15629"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In particular, it </w:t>
      </w:r>
      <w:r w:rsidR="00AB06AA">
        <w:rPr>
          <w:rFonts w:cs="Open Sans"/>
        </w:rPr>
        <w:t>expanded the bases on which</w:t>
      </w:r>
      <w:r w:rsidR="00AF0579">
        <w:rPr>
          <w:rFonts w:cs="Open Sans"/>
        </w:rPr>
        <w:t xml:space="preserve"> the</w:t>
      </w:r>
      <w:r w:rsidRPr="00505DB6">
        <w:rPr>
          <w:rFonts w:cs="Open Sans"/>
        </w:rPr>
        <w:t xml:space="preserve"> Australian citizenship of a dual </w:t>
      </w:r>
      <w:r w:rsidR="005E3D05">
        <w:rPr>
          <w:rFonts w:cs="Open Sans"/>
        </w:rPr>
        <w:t xml:space="preserve">citizen or </w:t>
      </w:r>
      <w:r w:rsidRPr="00505DB6">
        <w:rPr>
          <w:rFonts w:cs="Open Sans"/>
        </w:rPr>
        <w:t xml:space="preserve">national </w:t>
      </w:r>
      <w:r w:rsidR="00AF0579">
        <w:rPr>
          <w:rFonts w:cs="Open Sans"/>
        </w:rPr>
        <w:t>could be removed</w:t>
      </w:r>
      <w:r w:rsidR="005E3D05">
        <w:rPr>
          <w:rFonts w:cs="Open Sans"/>
        </w:rPr>
        <w:t>,</w:t>
      </w:r>
      <w:r w:rsidR="00AF0579">
        <w:rPr>
          <w:rFonts w:cs="Open Sans"/>
        </w:rPr>
        <w:t xml:space="preserve"> by reference to the person’s conduct or criminal convictions</w:t>
      </w:r>
      <w:r w:rsidRPr="00505DB6">
        <w:rPr>
          <w:rFonts w:cs="Open Sans"/>
        </w:rPr>
        <w:t xml:space="preserve">. </w:t>
      </w:r>
    </w:p>
    <w:p w14:paraId="4ED2EEEB"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As a result, current s 35A(1) of the Act allows the Minister to determine in writing that a person ceases to be a citizen where </w:t>
      </w:r>
      <w:r w:rsidR="00B76D44" w:rsidRPr="00505DB6">
        <w:rPr>
          <w:rFonts w:cs="Open Sans"/>
        </w:rPr>
        <w:t xml:space="preserve">all of </w:t>
      </w:r>
      <w:r w:rsidRPr="00505DB6">
        <w:rPr>
          <w:rFonts w:cs="Open Sans"/>
        </w:rPr>
        <w:t xml:space="preserve">the following criteria are met: </w:t>
      </w:r>
    </w:p>
    <w:p w14:paraId="0D2489D6" w14:textId="77777777" w:rsidR="00A15629" w:rsidRPr="00505DB6" w:rsidRDefault="00A15629" w:rsidP="0046153D">
      <w:pPr>
        <w:pStyle w:val="ListNumber"/>
        <w:numPr>
          <w:ilvl w:val="1"/>
          <w:numId w:val="15"/>
        </w:numPr>
        <w:tabs>
          <w:tab w:val="left" w:pos="1560"/>
        </w:tabs>
        <w:rPr>
          <w:rFonts w:cs="Open Sans"/>
        </w:rPr>
      </w:pPr>
      <w:r w:rsidRPr="00505DB6">
        <w:rPr>
          <w:rFonts w:cs="Open Sans"/>
        </w:rPr>
        <w:t>the person is convicted of specified offences, being certain terrorism-related, treason, espionage and foreign interference offences</w:t>
      </w:r>
    </w:p>
    <w:p w14:paraId="4DC88FC3" w14:textId="3547C678" w:rsidR="00A15629" w:rsidRPr="00505DB6" w:rsidRDefault="00A15629" w:rsidP="0046153D">
      <w:pPr>
        <w:pStyle w:val="ListNumber"/>
        <w:numPr>
          <w:ilvl w:val="1"/>
          <w:numId w:val="15"/>
        </w:numPr>
        <w:tabs>
          <w:tab w:val="left" w:pos="1560"/>
        </w:tabs>
        <w:rPr>
          <w:rFonts w:cs="Open Sans"/>
        </w:rPr>
      </w:pPr>
      <w:r w:rsidRPr="00505DB6">
        <w:rPr>
          <w:rFonts w:cs="Open Sans"/>
        </w:rPr>
        <w:lastRenderedPageBreak/>
        <w:t xml:space="preserve">the person has been sentenced to a period of imprisonment of at least </w:t>
      </w:r>
      <w:r w:rsidR="00C370D9">
        <w:rPr>
          <w:rFonts w:cs="Open Sans"/>
        </w:rPr>
        <w:t>six</w:t>
      </w:r>
      <w:r w:rsidR="00C370D9" w:rsidRPr="00505DB6">
        <w:rPr>
          <w:rFonts w:cs="Open Sans"/>
        </w:rPr>
        <w:t xml:space="preserve"> </w:t>
      </w:r>
      <w:r w:rsidRPr="00505DB6">
        <w:rPr>
          <w:rFonts w:cs="Open Sans"/>
        </w:rPr>
        <w:t xml:space="preserve">years </w:t>
      </w:r>
      <w:r w:rsidR="00436616">
        <w:rPr>
          <w:rFonts w:cs="Open Sans"/>
        </w:rPr>
        <w:t xml:space="preserve">for a single specified offence </w:t>
      </w:r>
      <w:r w:rsidRPr="00505DB6">
        <w:rPr>
          <w:rFonts w:cs="Open Sans"/>
        </w:rPr>
        <w:t xml:space="preserve">or </w:t>
      </w:r>
      <w:r w:rsidR="00C370D9">
        <w:rPr>
          <w:rFonts w:cs="Open Sans"/>
        </w:rPr>
        <w:t>six</w:t>
      </w:r>
      <w:r w:rsidR="00C370D9" w:rsidRPr="00505DB6">
        <w:rPr>
          <w:rFonts w:cs="Open Sans"/>
        </w:rPr>
        <w:t xml:space="preserve"> </w:t>
      </w:r>
      <w:r w:rsidRPr="00505DB6">
        <w:rPr>
          <w:rFonts w:cs="Open Sans"/>
        </w:rPr>
        <w:t xml:space="preserve">years cumulatively </w:t>
      </w:r>
      <w:r w:rsidR="00436616">
        <w:rPr>
          <w:rFonts w:cs="Open Sans"/>
        </w:rPr>
        <w:t>for a number of specified offences</w:t>
      </w:r>
    </w:p>
    <w:p w14:paraId="22400E73" w14:textId="77777777" w:rsidR="00A15629" w:rsidRPr="00505DB6" w:rsidRDefault="00A15629" w:rsidP="0046153D">
      <w:pPr>
        <w:pStyle w:val="ListNumber"/>
        <w:numPr>
          <w:ilvl w:val="1"/>
          <w:numId w:val="15"/>
        </w:numPr>
        <w:tabs>
          <w:tab w:val="left" w:pos="1560"/>
        </w:tabs>
        <w:rPr>
          <w:rFonts w:cs="Open Sans"/>
        </w:rPr>
      </w:pPr>
      <w:r w:rsidRPr="00505DB6">
        <w:rPr>
          <w:rFonts w:cs="Open Sans"/>
        </w:rPr>
        <w:t>the person is a national or citizen of a country other than Australia at the time when the Minister makes the determination</w:t>
      </w:r>
    </w:p>
    <w:p w14:paraId="0E7706C1" w14:textId="77777777" w:rsidR="00A15629" w:rsidRPr="00505DB6" w:rsidRDefault="00A15629" w:rsidP="0046153D">
      <w:pPr>
        <w:pStyle w:val="ListNumber"/>
        <w:numPr>
          <w:ilvl w:val="1"/>
          <w:numId w:val="15"/>
        </w:numPr>
        <w:tabs>
          <w:tab w:val="left" w:pos="1560"/>
        </w:tabs>
        <w:rPr>
          <w:rFonts w:cs="Open Sans"/>
        </w:rPr>
      </w:pPr>
      <w:r w:rsidRPr="00505DB6">
        <w:rPr>
          <w:rFonts w:cs="Open Sans"/>
        </w:rPr>
        <w:t>the Minister is satisfied that the conduct of the person to which the conviction or convictions relate demonstrates that the person has repudiated their allegiance to Australia</w:t>
      </w:r>
    </w:p>
    <w:p w14:paraId="074ADDB4" w14:textId="77777777" w:rsidR="00A15629" w:rsidRPr="00505DB6" w:rsidRDefault="00A15629" w:rsidP="0046153D">
      <w:pPr>
        <w:pStyle w:val="ListNumber"/>
        <w:numPr>
          <w:ilvl w:val="1"/>
          <w:numId w:val="15"/>
        </w:numPr>
        <w:tabs>
          <w:tab w:val="left" w:pos="1560"/>
        </w:tabs>
        <w:rPr>
          <w:rFonts w:cs="Open Sans"/>
        </w:rPr>
      </w:pPr>
      <w:r w:rsidRPr="00505DB6">
        <w:rPr>
          <w:rFonts w:cs="Open Sans"/>
        </w:rPr>
        <w:t>the Minister is satisfied that it is not in the public interest for the person to remain an Australian citizen having regard to the following factors:</w:t>
      </w:r>
    </w:p>
    <w:p w14:paraId="5E27EFB9" w14:textId="77777777" w:rsidR="00A15629" w:rsidRPr="00505DB6" w:rsidRDefault="00A15629" w:rsidP="0046153D">
      <w:pPr>
        <w:pStyle w:val="ListNumber"/>
        <w:numPr>
          <w:ilvl w:val="2"/>
          <w:numId w:val="15"/>
        </w:numPr>
        <w:tabs>
          <w:tab w:val="left" w:pos="1560"/>
        </w:tabs>
        <w:rPr>
          <w:rFonts w:cs="Open Sans"/>
        </w:rPr>
      </w:pPr>
      <w:r w:rsidRPr="00505DB6">
        <w:rPr>
          <w:rFonts w:cs="Open Sans"/>
        </w:rPr>
        <w:t>the severity of the conduct</w:t>
      </w:r>
    </w:p>
    <w:p w14:paraId="3D2461ED" w14:textId="77777777" w:rsidR="00A15629" w:rsidRPr="00505DB6" w:rsidRDefault="00A15629" w:rsidP="0046153D">
      <w:pPr>
        <w:pStyle w:val="ListNumber"/>
        <w:numPr>
          <w:ilvl w:val="2"/>
          <w:numId w:val="15"/>
        </w:numPr>
        <w:tabs>
          <w:tab w:val="left" w:pos="1560"/>
        </w:tabs>
        <w:rPr>
          <w:rFonts w:cs="Open Sans"/>
        </w:rPr>
      </w:pPr>
      <w:r w:rsidRPr="00505DB6">
        <w:rPr>
          <w:rFonts w:cs="Open Sans"/>
        </w:rPr>
        <w:t>the degree of threat posed to the Australian community</w:t>
      </w:r>
    </w:p>
    <w:p w14:paraId="37CD9325" w14:textId="77777777" w:rsidR="00A15629" w:rsidRPr="00505DB6" w:rsidRDefault="00A15629" w:rsidP="0046153D">
      <w:pPr>
        <w:pStyle w:val="ListNumber"/>
        <w:numPr>
          <w:ilvl w:val="2"/>
          <w:numId w:val="15"/>
        </w:numPr>
        <w:tabs>
          <w:tab w:val="left" w:pos="1560"/>
        </w:tabs>
        <w:rPr>
          <w:rFonts w:cs="Open Sans"/>
        </w:rPr>
      </w:pPr>
      <w:r w:rsidRPr="00505DB6">
        <w:rPr>
          <w:rFonts w:cs="Open Sans"/>
        </w:rPr>
        <w:t>the age of the person</w:t>
      </w:r>
    </w:p>
    <w:p w14:paraId="6492C84F" w14:textId="77777777" w:rsidR="00A15629" w:rsidRPr="00505DB6" w:rsidRDefault="00A15629" w:rsidP="0046153D">
      <w:pPr>
        <w:pStyle w:val="ListNumber"/>
        <w:numPr>
          <w:ilvl w:val="2"/>
          <w:numId w:val="15"/>
        </w:numPr>
        <w:tabs>
          <w:tab w:val="left" w:pos="1560"/>
        </w:tabs>
        <w:rPr>
          <w:rFonts w:cs="Open Sans"/>
        </w:rPr>
      </w:pPr>
      <w:r w:rsidRPr="00505DB6">
        <w:rPr>
          <w:rFonts w:cs="Open Sans"/>
        </w:rPr>
        <w:t>if the person is aged under 18—the best interests of the child as a primary consideration</w:t>
      </w:r>
    </w:p>
    <w:p w14:paraId="6E1B5EAE" w14:textId="77777777" w:rsidR="00A15629" w:rsidRPr="00505DB6" w:rsidRDefault="003A4792" w:rsidP="0046153D">
      <w:pPr>
        <w:pStyle w:val="ListNumber"/>
        <w:numPr>
          <w:ilvl w:val="2"/>
          <w:numId w:val="15"/>
        </w:numPr>
        <w:tabs>
          <w:tab w:val="left" w:pos="1560"/>
        </w:tabs>
        <w:rPr>
          <w:rFonts w:cs="Open Sans"/>
        </w:rPr>
      </w:pPr>
      <w:r w:rsidRPr="00505DB6">
        <w:rPr>
          <w:rFonts w:cs="Open Sans"/>
        </w:rPr>
        <w:t>the person’</w:t>
      </w:r>
      <w:r w:rsidR="00A15629" w:rsidRPr="00505DB6">
        <w:rPr>
          <w:rFonts w:cs="Open Sans"/>
        </w:rPr>
        <w:t>s connection to the other country of which the person is a national or citizen and the availability of the rights of citizenship of that country to the person</w:t>
      </w:r>
    </w:p>
    <w:p w14:paraId="2B0C2D34" w14:textId="77777777" w:rsidR="00A15629" w:rsidRPr="00505DB6" w:rsidRDefault="003A4792" w:rsidP="0046153D">
      <w:pPr>
        <w:pStyle w:val="ListNumber"/>
        <w:numPr>
          <w:ilvl w:val="2"/>
          <w:numId w:val="15"/>
        </w:numPr>
        <w:tabs>
          <w:tab w:val="left" w:pos="1560"/>
        </w:tabs>
        <w:rPr>
          <w:rFonts w:cs="Open Sans"/>
        </w:rPr>
      </w:pPr>
      <w:r w:rsidRPr="00505DB6">
        <w:rPr>
          <w:rFonts w:cs="Open Sans"/>
        </w:rPr>
        <w:t>Australia’</w:t>
      </w:r>
      <w:r w:rsidR="00A15629" w:rsidRPr="00505DB6">
        <w:rPr>
          <w:rFonts w:cs="Open Sans"/>
        </w:rPr>
        <w:t>s international relations</w:t>
      </w:r>
    </w:p>
    <w:p w14:paraId="0D2EDE43" w14:textId="77777777" w:rsidR="00A15629" w:rsidRPr="00505DB6" w:rsidRDefault="00A15629" w:rsidP="0046153D">
      <w:pPr>
        <w:pStyle w:val="ListNumber"/>
        <w:numPr>
          <w:ilvl w:val="2"/>
          <w:numId w:val="15"/>
        </w:numPr>
        <w:tabs>
          <w:tab w:val="left" w:pos="1560"/>
        </w:tabs>
        <w:rPr>
          <w:rFonts w:cs="Open Sans"/>
        </w:rPr>
      </w:pPr>
      <w:proofErr w:type="gramStart"/>
      <w:r w:rsidRPr="00505DB6">
        <w:rPr>
          <w:rFonts w:cs="Open Sans"/>
        </w:rPr>
        <w:t>any</w:t>
      </w:r>
      <w:proofErr w:type="gramEnd"/>
      <w:r w:rsidRPr="00505DB6">
        <w:rPr>
          <w:rFonts w:cs="Open Sans"/>
        </w:rPr>
        <w:t xml:space="preserve"> other matters of public interest.</w:t>
      </w:r>
    </w:p>
    <w:p w14:paraId="5A1176EC"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citizenship </w:t>
      </w:r>
      <w:r w:rsidR="0046153D" w:rsidRPr="00505DB6">
        <w:rPr>
          <w:rFonts w:cs="Open Sans"/>
        </w:rPr>
        <w:t>removal</w:t>
      </w:r>
      <w:r w:rsidRPr="00505DB6">
        <w:rPr>
          <w:rFonts w:cs="Open Sans"/>
        </w:rPr>
        <w:t xml:space="preserve"> power in s 35A(1) can be applied to any Australian citizen,</w:t>
      </w:r>
      <w:r w:rsidR="005E3D05">
        <w:rPr>
          <w:rFonts w:cs="Open Sans"/>
        </w:rPr>
        <w:t xml:space="preserve"> provided that they are a citizen or national of another country,</w:t>
      </w:r>
      <w:r w:rsidRPr="00505DB6">
        <w:rPr>
          <w:rFonts w:cs="Open Sans"/>
        </w:rPr>
        <w:t xml:space="preserve"> regardless of whether their citizenship is conferred by birth or naturalisation.</w:t>
      </w:r>
      <w:r w:rsidRPr="00505DB6">
        <w:rPr>
          <w:rStyle w:val="EndnoteReference"/>
          <w:rFonts w:cs="Open Sans"/>
        </w:rPr>
        <w:endnoteReference w:id="8"/>
      </w:r>
      <w:r w:rsidRPr="00505DB6">
        <w:rPr>
          <w:rFonts w:cs="Open Sans"/>
        </w:rPr>
        <w:t xml:space="preserve"> The person ceases to be an Australian citizen at the time a relevant Ministerial determination </w:t>
      </w:r>
      <w:proofErr w:type="gramStart"/>
      <w:r w:rsidRPr="00505DB6">
        <w:rPr>
          <w:rFonts w:cs="Open Sans"/>
        </w:rPr>
        <w:t>is made</w:t>
      </w:r>
      <w:proofErr w:type="gramEnd"/>
      <w:r w:rsidRPr="00505DB6">
        <w:rPr>
          <w:rFonts w:cs="Open Sans"/>
        </w:rPr>
        <w:t>.</w:t>
      </w:r>
      <w:r w:rsidRPr="00505DB6">
        <w:rPr>
          <w:rStyle w:val="EndnoteReference"/>
          <w:rFonts w:cs="Open Sans"/>
        </w:rPr>
        <w:endnoteReference w:id="9"/>
      </w:r>
      <w:r w:rsidRPr="00505DB6">
        <w:rPr>
          <w:rFonts w:cs="Open Sans"/>
        </w:rPr>
        <w:t xml:space="preserve"> </w:t>
      </w:r>
    </w:p>
    <w:p w14:paraId="6B0C199E" w14:textId="77777777" w:rsidR="00A15629" w:rsidRPr="00505DB6" w:rsidRDefault="00A15629" w:rsidP="00545934">
      <w:pPr>
        <w:pStyle w:val="Heading2"/>
        <w:rPr>
          <w:rFonts w:cs="Open Sans"/>
        </w:rPr>
      </w:pPr>
      <w:bookmarkStart w:id="33" w:name="_Toc534878463"/>
      <w:r w:rsidRPr="00505DB6">
        <w:rPr>
          <w:rFonts w:cs="Open Sans"/>
        </w:rPr>
        <w:t>The Bill</w:t>
      </w:r>
      <w:bookmarkEnd w:id="33"/>
    </w:p>
    <w:p w14:paraId="4A3FB317" w14:textId="77777777" w:rsidR="00E92432" w:rsidRPr="00505DB6" w:rsidRDefault="00E92432" w:rsidP="0046153D">
      <w:pPr>
        <w:pStyle w:val="ListNumber"/>
        <w:numPr>
          <w:ilvl w:val="0"/>
          <w:numId w:val="15"/>
        </w:numPr>
        <w:tabs>
          <w:tab w:val="num" w:pos="993"/>
          <w:tab w:val="left" w:pos="1418"/>
        </w:tabs>
        <w:ind w:left="709" w:hanging="567"/>
        <w:rPr>
          <w:rFonts w:cs="Open Sans"/>
        </w:rPr>
      </w:pPr>
      <w:r w:rsidRPr="00505DB6">
        <w:rPr>
          <w:rFonts w:cs="Open Sans"/>
        </w:rPr>
        <w:t>The Statement of Compatibility</w:t>
      </w:r>
      <w:r w:rsidR="003A4792" w:rsidRPr="00505DB6">
        <w:rPr>
          <w:rFonts w:cs="Open Sans"/>
        </w:rPr>
        <w:t xml:space="preserve"> with Human Rights </w:t>
      </w:r>
      <w:r w:rsidRPr="00505DB6">
        <w:rPr>
          <w:rFonts w:cs="Open Sans"/>
        </w:rPr>
        <w:t>describes the purpose and context of the Bill as follows:</w:t>
      </w:r>
    </w:p>
    <w:p w14:paraId="08C65A64" w14:textId="77777777" w:rsidR="00E92432" w:rsidRPr="00505DB6" w:rsidRDefault="00E92432" w:rsidP="003A4792">
      <w:pPr>
        <w:pStyle w:val="EndnoteText"/>
        <w:spacing w:before="120" w:after="120"/>
        <w:ind w:left="1134" w:firstLine="0"/>
        <w:rPr>
          <w:rFonts w:cs="Open Sans"/>
          <w:sz w:val="22"/>
          <w:szCs w:val="22"/>
        </w:rPr>
      </w:pPr>
      <w:r w:rsidRPr="00505DB6">
        <w:rPr>
          <w:rFonts w:cs="Open Sans"/>
          <w:sz w:val="22"/>
          <w:szCs w:val="22"/>
        </w:rPr>
        <w:t xml:space="preserve">The </w:t>
      </w:r>
      <w:r w:rsidRPr="00505DB6">
        <w:rPr>
          <w:rFonts w:cs="Open Sans"/>
          <w:sz w:val="22"/>
          <w:szCs w:val="22"/>
          <w:lang w:val="en"/>
        </w:rPr>
        <w:t>purpose</w:t>
      </w:r>
      <w:r w:rsidRPr="00505DB6">
        <w:rPr>
          <w:rFonts w:cs="Open Sans"/>
          <w:sz w:val="22"/>
          <w:szCs w:val="22"/>
        </w:rPr>
        <w:t xml:space="preserve"> of the Bill is twofold: to keep Australians safe from evolving </w:t>
      </w:r>
      <w:proofErr w:type="gramStart"/>
      <w:r w:rsidRPr="00505DB6">
        <w:rPr>
          <w:rFonts w:cs="Open Sans"/>
          <w:sz w:val="22"/>
          <w:szCs w:val="22"/>
        </w:rPr>
        <w:t xml:space="preserve">terrorist </w:t>
      </w:r>
      <w:proofErr w:type="gramEnd"/>
      <w:r w:rsidRPr="00505DB6">
        <w:rPr>
          <w:rStyle w:val="EndnoteReference"/>
          <w:rFonts w:cs="Open Sans"/>
          <w:sz w:val="22"/>
          <w:szCs w:val="22"/>
          <w:vertAlign w:val="baseline"/>
        </w:rPr>
        <w:t>threats</w:t>
      </w:r>
      <w:r w:rsidRPr="00505DB6">
        <w:rPr>
          <w:rFonts w:cs="Open Sans"/>
          <w:sz w:val="22"/>
          <w:szCs w:val="22"/>
        </w:rPr>
        <w:t>, and to uphold the integrity of Australian citizenship and the privileges that attach to it.</w:t>
      </w:r>
      <w:r w:rsidRPr="00505DB6">
        <w:rPr>
          <w:rStyle w:val="EndnoteReference"/>
          <w:rFonts w:cs="Open Sans"/>
          <w:sz w:val="22"/>
          <w:szCs w:val="22"/>
        </w:rPr>
        <w:endnoteReference w:id="10"/>
      </w:r>
    </w:p>
    <w:p w14:paraId="3C866A6C" w14:textId="77777777" w:rsidR="00E92432" w:rsidRPr="00505DB6" w:rsidRDefault="00E92432" w:rsidP="003A4792">
      <w:pPr>
        <w:pStyle w:val="EndnoteText"/>
        <w:spacing w:before="120" w:after="120"/>
        <w:ind w:left="1134" w:firstLine="0"/>
        <w:rPr>
          <w:rFonts w:cs="Open Sans"/>
          <w:sz w:val="24"/>
        </w:rPr>
      </w:pPr>
      <w:r w:rsidRPr="00505DB6">
        <w:rPr>
          <w:rFonts w:cs="Open Sans"/>
          <w:sz w:val="24"/>
        </w:rPr>
        <w:t>…</w:t>
      </w:r>
    </w:p>
    <w:p w14:paraId="0BAD7EA4" w14:textId="77777777" w:rsidR="00E92432" w:rsidRPr="00505DB6" w:rsidRDefault="00E92432" w:rsidP="003A4792">
      <w:pPr>
        <w:pStyle w:val="Quotesub"/>
        <w:rPr>
          <w:rFonts w:cs="Open Sans"/>
        </w:rPr>
      </w:pPr>
      <w:r w:rsidRPr="00505DB6">
        <w:rPr>
          <w:rFonts w:cs="Open Sans"/>
        </w:rPr>
        <w:lastRenderedPageBreak/>
        <w:t xml:space="preserve">Since the National Terrorism Threat Level </w:t>
      </w:r>
      <w:proofErr w:type="gramStart"/>
      <w:r w:rsidRPr="00505DB6">
        <w:rPr>
          <w:rFonts w:cs="Open Sans"/>
        </w:rPr>
        <w:t>was raised</w:t>
      </w:r>
      <w:proofErr w:type="gramEnd"/>
      <w:r w:rsidRPr="00505DB6">
        <w:rPr>
          <w:rFonts w:cs="Open Sans"/>
        </w:rPr>
        <w:t xml:space="preserve"> to ‘Probable’ in September 2014, seven terrorist attacks have occurred on Australian soil. Between September 2014 and November 2018, Australian agencies led 15 major disruption operations in response to potential attack planning, and charged 93 individuals with terrorism-related offences. A majority of these attacks, disruptions and arrests occurred after the passage of the </w:t>
      </w:r>
      <w:r w:rsidRPr="00505DB6">
        <w:rPr>
          <w:rFonts w:cs="Open Sans"/>
          <w:i/>
        </w:rPr>
        <w:t>Australian Citizenship Amendment (Allegiance to Australia) Act 2015</w:t>
      </w:r>
      <w:r w:rsidRPr="00505DB6">
        <w:rPr>
          <w:rFonts w:cs="Open Sans"/>
        </w:rPr>
        <w:t xml:space="preserve"> in December 2015.</w:t>
      </w:r>
    </w:p>
    <w:p w14:paraId="19DFFF0C" w14:textId="77777777" w:rsidR="00E92432" w:rsidRPr="00505DB6" w:rsidRDefault="00E92432" w:rsidP="003A4792">
      <w:pPr>
        <w:pStyle w:val="EndnoteText"/>
        <w:spacing w:before="120" w:after="120"/>
        <w:ind w:left="1134" w:firstLine="0"/>
        <w:rPr>
          <w:rFonts w:cs="Open Sans"/>
          <w:sz w:val="22"/>
          <w:szCs w:val="22"/>
        </w:rPr>
      </w:pPr>
      <w:r w:rsidRPr="00505DB6">
        <w:rPr>
          <w:rFonts w:cs="Open Sans"/>
          <w:sz w:val="22"/>
          <w:szCs w:val="22"/>
        </w:rPr>
        <w:t xml:space="preserve">The threat environment continues to evolve and </w:t>
      </w:r>
      <w:proofErr w:type="gramStart"/>
      <w:r w:rsidRPr="00505DB6">
        <w:rPr>
          <w:rFonts w:cs="Open Sans"/>
          <w:sz w:val="22"/>
          <w:szCs w:val="22"/>
        </w:rPr>
        <w:t>the terrorist attack in Bourke Street, Melbourne and disruption of a further planned terrorist attack in November 2018 is evidence that the threat level remains high and has not decreased</w:t>
      </w:r>
      <w:proofErr w:type="gramEnd"/>
      <w:r w:rsidRPr="00505DB6">
        <w:rPr>
          <w:rFonts w:cs="Open Sans"/>
          <w:sz w:val="22"/>
          <w:szCs w:val="22"/>
        </w:rPr>
        <w:t>. It is therefore appropriate to keep legislative settings under constant review, and the amendments in the Bill modernise one of the important tools available to protect the Australian community from the threat of terrorism.</w:t>
      </w:r>
      <w:r w:rsidRPr="00505DB6">
        <w:rPr>
          <w:rFonts w:cs="Open Sans"/>
          <w:sz w:val="22"/>
          <w:szCs w:val="22"/>
          <w:vertAlign w:val="superscript"/>
        </w:rPr>
        <w:endnoteReference w:id="11"/>
      </w:r>
    </w:p>
    <w:p w14:paraId="41481BF1" w14:textId="77777777" w:rsidR="00A15629" w:rsidRPr="00505DB6" w:rsidRDefault="00E92432" w:rsidP="0046153D">
      <w:pPr>
        <w:pStyle w:val="ListNumber"/>
        <w:numPr>
          <w:ilvl w:val="0"/>
          <w:numId w:val="15"/>
        </w:numPr>
        <w:tabs>
          <w:tab w:val="num" w:pos="993"/>
          <w:tab w:val="left" w:pos="1418"/>
        </w:tabs>
        <w:ind w:left="709" w:hanging="567"/>
        <w:rPr>
          <w:rFonts w:cs="Open Sans"/>
        </w:rPr>
      </w:pPr>
      <w:r w:rsidRPr="00505DB6">
        <w:rPr>
          <w:rFonts w:cs="Open Sans"/>
        </w:rPr>
        <w:t xml:space="preserve">The </w:t>
      </w:r>
      <w:r w:rsidR="00A15629" w:rsidRPr="00505DB6">
        <w:rPr>
          <w:rFonts w:cs="Open Sans"/>
        </w:rPr>
        <w:t>Attorney-General</w:t>
      </w:r>
      <w:r w:rsidRPr="00505DB6">
        <w:rPr>
          <w:rFonts w:cs="Open Sans"/>
        </w:rPr>
        <w:t xml:space="preserve"> further stated</w:t>
      </w:r>
      <w:r w:rsidR="00A15629" w:rsidRPr="00505DB6">
        <w:rPr>
          <w:rFonts w:cs="Open Sans"/>
        </w:rPr>
        <w:t xml:space="preserve"> in the Second Reading of the Bill:</w:t>
      </w:r>
    </w:p>
    <w:p w14:paraId="0664C951" w14:textId="77777777" w:rsidR="00A15629" w:rsidRPr="00505DB6" w:rsidRDefault="00A15629" w:rsidP="003A4792">
      <w:pPr>
        <w:pStyle w:val="Quotesub"/>
        <w:rPr>
          <w:rFonts w:cs="Open Sans"/>
        </w:rPr>
      </w:pPr>
      <w:r w:rsidRPr="00505DB6">
        <w:rPr>
          <w:rFonts w:cs="Open Sans"/>
        </w:rPr>
        <w:t>The ability to cease the Australian citizenship of those who seek to do us harm forms an integral part of our ongoing response to international violent extremism and terrorism. It is a key part of our strategy to keep Australians safe. This bill will strengthen our ability to do precisely that. It amends the citizenship loss provisions to reflect the genuine threat posed to Australia by those who commit terrorism offences.</w:t>
      </w:r>
      <w:r w:rsidRPr="00505DB6">
        <w:rPr>
          <w:rStyle w:val="EndnoteReference"/>
          <w:rFonts w:cs="Open Sans"/>
        </w:rPr>
        <w:endnoteReference w:id="12"/>
      </w:r>
    </w:p>
    <w:p w14:paraId="638BD6F4"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Bill purports to achieve these aims by </w:t>
      </w:r>
      <w:r w:rsidR="00E92432" w:rsidRPr="00505DB6">
        <w:rPr>
          <w:rFonts w:cs="Open Sans"/>
        </w:rPr>
        <w:t>expanding the circumstances under which a dual citizen can have their citizenship removed under</w:t>
      </w:r>
      <w:r w:rsidRPr="00505DB6">
        <w:rPr>
          <w:rFonts w:cs="Open Sans"/>
        </w:rPr>
        <w:t xml:space="preserve"> </w:t>
      </w:r>
      <w:r w:rsidR="00883882" w:rsidRPr="00505DB6">
        <w:rPr>
          <w:rFonts w:cs="Open Sans"/>
        </w:rPr>
        <w:t>s 35A of the Act</w:t>
      </w:r>
      <w:r w:rsidR="009C57FD" w:rsidRPr="00505DB6">
        <w:rPr>
          <w:rFonts w:cs="Open Sans"/>
        </w:rPr>
        <w:t xml:space="preserve"> in two ways</w:t>
      </w:r>
      <w:r w:rsidRPr="00505DB6">
        <w:rPr>
          <w:rFonts w:cs="Open Sans"/>
        </w:rPr>
        <w:t xml:space="preserve">. </w:t>
      </w:r>
    </w:p>
    <w:p w14:paraId="06C24721"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First, it would remove the requirement that a person </w:t>
      </w:r>
      <w:proofErr w:type="gramStart"/>
      <w:r w:rsidRPr="00505DB6">
        <w:rPr>
          <w:rFonts w:cs="Open Sans"/>
        </w:rPr>
        <w:t>be sentenced</w:t>
      </w:r>
      <w:proofErr w:type="gramEnd"/>
      <w:r w:rsidRPr="00505DB6">
        <w:rPr>
          <w:rFonts w:cs="Open Sans"/>
        </w:rPr>
        <w:t xml:space="preserve"> to six or more years of imprisonment, if convicted of a ‘relevant terrorism conviction’. It also extends the </w:t>
      </w:r>
      <w:r w:rsidR="0046153D" w:rsidRPr="00505DB6">
        <w:rPr>
          <w:rFonts w:cs="Open Sans"/>
        </w:rPr>
        <w:t>removal</w:t>
      </w:r>
      <w:r w:rsidRPr="00505DB6">
        <w:rPr>
          <w:rFonts w:cs="Open Sans"/>
        </w:rPr>
        <w:t xml:space="preserve"> power to the offence of ‘associating with a terrorist organisation’ under s 102.8 of Pt 5.3 of the </w:t>
      </w:r>
      <w:r w:rsidRPr="00505DB6">
        <w:rPr>
          <w:rFonts w:cs="Open Sans"/>
          <w:i/>
        </w:rPr>
        <w:t>Criminal Code</w:t>
      </w:r>
      <w:r w:rsidR="00311AAF">
        <w:rPr>
          <w:rFonts w:cs="Open Sans"/>
          <w:i/>
        </w:rPr>
        <w:t xml:space="preserve"> </w:t>
      </w:r>
      <w:r w:rsidR="00311AAF" w:rsidRPr="00311AAF">
        <w:rPr>
          <w:rFonts w:cs="Open Sans"/>
        </w:rPr>
        <w:t>(Cth)</w:t>
      </w:r>
      <w:r w:rsidR="00311AAF">
        <w:rPr>
          <w:rFonts w:cs="Open Sans"/>
          <w:i/>
        </w:rPr>
        <w:t xml:space="preserve"> </w:t>
      </w:r>
      <w:r w:rsidR="00311AAF">
        <w:rPr>
          <w:rFonts w:cs="Open Sans"/>
        </w:rPr>
        <w:t>(the Criminal Code)</w:t>
      </w:r>
      <w:r w:rsidRPr="00505DB6">
        <w:rPr>
          <w:rFonts w:cs="Open Sans"/>
        </w:rPr>
        <w:t xml:space="preserve">. </w:t>
      </w:r>
    </w:p>
    <w:p w14:paraId="662F7376"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Second</w:t>
      </w:r>
      <w:r w:rsidR="009C57FD" w:rsidRPr="00505DB6">
        <w:rPr>
          <w:rFonts w:cs="Open Sans"/>
        </w:rPr>
        <w:t>ly</w:t>
      </w:r>
      <w:r w:rsidRPr="00505DB6">
        <w:rPr>
          <w:rFonts w:cs="Open Sans"/>
        </w:rPr>
        <w:t>, the Bill lowers the threshold for determining when a person is a dual citizen</w:t>
      </w:r>
      <w:r w:rsidR="00883882" w:rsidRPr="00505DB6">
        <w:rPr>
          <w:rFonts w:cs="Open Sans"/>
        </w:rPr>
        <w:t xml:space="preserve"> or national</w:t>
      </w:r>
      <w:r w:rsidRPr="00505DB6">
        <w:rPr>
          <w:rFonts w:cs="Open Sans"/>
        </w:rPr>
        <w:t xml:space="preserve">. </w:t>
      </w:r>
    </w:p>
    <w:p w14:paraId="456D51BB" w14:textId="77777777" w:rsidR="009C57FD"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w:t>
      </w:r>
      <w:r w:rsidR="00883882" w:rsidRPr="00505DB6">
        <w:rPr>
          <w:rFonts w:cs="Open Sans"/>
        </w:rPr>
        <w:t>amendments</w:t>
      </w:r>
      <w:r w:rsidRPr="00505DB6">
        <w:rPr>
          <w:rFonts w:cs="Open Sans"/>
        </w:rPr>
        <w:t xml:space="preserve"> would retrospectively apply to a ‘relevant terrorism conviction’ of a person occurring on or after 12 December 2005</w:t>
      </w:r>
      <w:r w:rsidR="00486F03">
        <w:rPr>
          <w:rFonts w:cs="Open Sans"/>
        </w:rPr>
        <w:t xml:space="preserve"> (being ten years prior to the </w:t>
      </w:r>
      <w:r w:rsidR="00146ECF">
        <w:rPr>
          <w:rFonts w:cs="Open Sans"/>
        </w:rPr>
        <w:t>commencement</w:t>
      </w:r>
      <w:r w:rsidR="00486F03">
        <w:rPr>
          <w:rFonts w:cs="Open Sans"/>
        </w:rPr>
        <w:t xml:space="preserve"> of the Allegiance Act)</w:t>
      </w:r>
      <w:r w:rsidR="009C57FD" w:rsidRPr="00505DB6">
        <w:rPr>
          <w:rFonts w:cs="Open Sans"/>
        </w:rPr>
        <w:t>, regardless of the length of the sentence imposed</w:t>
      </w:r>
      <w:r w:rsidRPr="00505DB6">
        <w:rPr>
          <w:rFonts w:cs="Open Sans"/>
        </w:rPr>
        <w:t xml:space="preserve">. </w:t>
      </w:r>
    </w:p>
    <w:p w14:paraId="0DE540F0" w14:textId="77777777" w:rsidR="009C57FD" w:rsidRPr="00505DB6" w:rsidRDefault="009C57FD" w:rsidP="0046153D">
      <w:pPr>
        <w:pStyle w:val="ListNumber"/>
        <w:numPr>
          <w:ilvl w:val="0"/>
          <w:numId w:val="15"/>
        </w:numPr>
        <w:tabs>
          <w:tab w:val="num" w:pos="993"/>
          <w:tab w:val="left" w:pos="1418"/>
        </w:tabs>
        <w:ind w:left="709" w:hanging="567"/>
        <w:rPr>
          <w:rFonts w:cs="Open Sans"/>
        </w:rPr>
      </w:pPr>
      <w:r w:rsidRPr="00505DB6">
        <w:rPr>
          <w:rFonts w:cs="Open Sans"/>
        </w:rPr>
        <w:t xml:space="preserve">The amendments would retrospectively apply </w:t>
      </w:r>
      <w:r w:rsidR="00A15629" w:rsidRPr="00505DB6">
        <w:rPr>
          <w:rFonts w:cs="Open Sans"/>
        </w:rPr>
        <w:t>to a ‘relevant other conviction’ of a person occurring on or after 12 December 2005, if the person was sentenced to a period of imprisonment</w:t>
      </w:r>
      <w:r w:rsidRPr="00505DB6">
        <w:rPr>
          <w:rFonts w:cs="Open Sans"/>
        </w:rPr>
        <w:t>:</w:t>
      </w:r>
      <w:r w:rsidR="00A15629" w:rsidRPr="00505DB6">
        <w:rPr>
          <w:rFonts w:cs="Open Sans"/>
        </w:rPr>
        <w:t xml:space="preserve"> </w:t>
      </w:r>
    </w:p>
    <w:p w14:paraId="2EF8EE09" w14:textId="20905E24" w:rsidR="009C57FD" w:rsidRPr="00505DB6" w:rsidRDefault="00A15629" w:rsidP="0046153D">
      <w:pPr>
        <w:pStyle w:val="ListNumber"/>
        <w:numPr>
          <w:ilvl w:val="0"/>
          <w:numId w:val="19"/>
        </w:numPr>
        <w:tabs>
          <w:tab w:val="left" w:pos="1418"/>
        </w:tabs>
        <w:rPr>
          <w:rFonts w:cs="Open Sans"/>
        </w:rPr>
      </w:pPr>
      <w:r w:rsidRPr="00505DB6">
        <w:rPr>
          <w:rFonts w:cs="Open Sans"/>
        </w:rPr>
        <w:lastRenderedPageBreak/>
        <w:t>of at least</w:t>
      </w:r>
      <w:r w:rsidR="00C370D9">
        <w:rPr>
          <w:rFonts w:cs="Open Sans"/>
        </w:rPr>
        <w:t xml:space="preserve"> ten </w:t>
      </w:r>
      <w:r w:rsidRPr="00505DB6">
        <w:rPr>
          <w:rFonts w:cs="Open Sans"/>
        </w:rPr>
        <w:t>years where th</w:t>
      </w:r>
      <w:r w:rsidR="009C57FD" w:rsidRPr="00505DB6">
        <w:rPr>
          <w:rFonts w:cs="Open Sans"/>
        </w:rPr>
        <w:t>e conviction occurred before 12 December 2015</w:t>
      </w:r>
    </w:p>
    <w:p w14:paraId="1ED0A79D" w14:textId="5D7850C3" w:rsidR="00A15629" w:rsidRPr="00505DB6" w:rsidRDefault="009C57FD" w:rsidP="0046153D">
      <w:pPr>
        <w:pStyle w:val="ListNumber"/>
        <w:numPr>
          <w:ilvl w:val="0"/>
          <w:numId w:val="19"/>
        </w:numPr>
        <w:tabs>
          <w:tab w:val="left" w:pos="1418"/>
        </w:tabs>
        <w:rPr>
          <w:rFonts w:cs="Open Sans"/>
        </w:rPr>
      </w:pPr>
      <w:proofErr w:type="gramStart"/>
      <w:r w:rsidRPr="00505DB6">
        <w:rPr>
          <w:rFonts w:cs="Open Sans"/>
        </w:rPr>
        <w:t>of</w:t>
      </w:r>
      <w:proofErr w:type="gramEnd"/>
      <w:r w:rsidRPr="00505DB6">
        <w:rPr>
          <w:rFonts w:cs="Open Sans"/>
        </w:rPr>
        <w:t xml:space="preserve"> at least </w:t>
      </w:r>
      <w:r w:rsidR="00C370D9">
        <w:rPr>
          <w:rFonts w:cs="Open Sans"/>
        </w:rPr>
        <w:t>six</w:t>
      </w:r>
      <w:r w:rsidR="00C370D9" w:rsidRPr="00505DB6">
        <w:rPr>
          <w:rFonts w:cs="Open Sans"/>
        </w:rPr>
        <w:t xml:space="preserve"> </w:t>
      </w:r>
      <w:r w:rsidRPr="00505DB6">
        <w:rPr>
          <w:rFonts w:cs="Open Sans"/>
        </w:rPr>
        <w:t>years where the conviction occurred after 12 December 2015.</w:t>
      </w:r>
      <w:r w:rsidR="00340919" w:rsidRPr="00505DB6">
        <w:rPr>
          <w:rStyle w:val="EndnoteReference"/>
          <w:rFonts w:cs="Open Sans"/>
        </w:rPr>
        <w:endnoteReference w:id="13"/>
      </w:r>
    </w:p>
    <w:p w14:paraId="45BAEB6E"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A person in Australia whose citizenship </w:t>
      </w:r>
      <w:proofErr w:type="gramStart"/>
      <w:r w:rsidRPr="00505DB6">
        <w:rPr>
          <w:rFonts w:cs="Open Sans"/>
        </w:rPr>
        <w:t xml:space="preserve">is </w:t>
      </w:r>
      <w:r w:rsidR="00883882" w:rsidRPr="00505DB6">
        <w:rPr>
          <w:rFonts w:cs="Open Sans"/>
        </w:rPr>
        <w:t>removed</w:t>
      </w:r>
      <w:proofErr w:type="gramEnd"/>
      <w:r w:rsidRPr="00505DB6">
        <w:rPr>
          <w:rFonts w:cs="Open Sans"/>
        </w:rPr>
        <w:t xml:space="preserve"> pursu</w:t>
      </w:r>
      <w:r w:rsidR="00883882" w:rsidRPr="00505DB6">
        <w:rPr>
          <w:rFonts w:cs="Open Sans"/>
        </w:rPr>
        <w:t>ant to proposed s </w:t>
      </w:r>
      <w:r w:rsidRPr="00505DB6">
        <w:rPr>
          <w:rFonts w:cs="Open Sans"/>
        </w:rPr>
        <w:t>35A faces a high risk of being taken into immigration detention</w:t>
      </w:r>
      <w:r w:rsidR="00883882" w:rsidRPr="00505DB6">
        <w:rPr>
          <w:rFonts w:cs="Open Sans"/>
        </w:rPr>
        <w:t>,</w:t>
      </w:r>
      <w:r w:rsidRPr="00505DB6">
        <w:rPr>
          <w:rFonts w:cs="Open Sans"/>
        </w:rPr>
        <w:t xml:space="preserve"> pending </w:t>
      </w:r>
      <w:r w:rsidR="00883882" w:rsidRPr="00505DB6">
        <w:rPr>
          <w:rFonts w:cs="Open Sans"/>
        </w:rPr>
        <w:t xml:space="preserve">their </w:t>
      </w:r>
      <w:r w:rsidRPr="00505DB6">
        <w:rPr>
          <w:rFonts w:cs="Open Sans"/>
        </w:rPr>
        <w:t xml:space="preserve">removal from Australia. </w:t>
      </w:r>
    </w:p>
    <w:p w14:paraId="2EE6BA0C"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Statement of Compatibility </w:t>
      </w:r>
      <w:r w:rsidR="003A4792" w:rsidRPr="00505DB6">
        <w:rPr>
          <w:rFonts w:cs="Open Sans"/>
        </w:rPr>
        <w:t xml:space="preserve">with Human Rights </w:t>
      </w:r>
      <w:r w:rsidRPr="00505DB6">
        <w:rPr>
          <w:rFonts w:cs="Open Sans"/>
        </w:rPr>
        <w:t>describes the likely migration consequences as follows:</w:t>
      </w:r>
    </w:p>
    <w:p w14:paraId="647C2517" w14:textId="77777777" w:rsidR="00A15629" w:rsidRPr="00505DB6" w:rsidRDefault="00A15629" w:rsidP="003A4792">
      <w:pPr>
        <w:pStyle w:val="Quotesub"/>
        <w:rPr>
          <w:rFonts w:cs="Open Sans"/>
        </w:rPr>
      </w:pPr>
      <w:r w:rsidRPr="00505DB6">
        <w:rPr>
          <w:rFonts w:cs="Open Sans"/>
        </w:rPr>
        <w:t xml:space="preserve">A person in Australia whose citizenship ceases under the provisions would hold an ‘ex-citizen visa’, which would be subject to mandatory cancellation under the Migration Act </w:t>
      </w:r>
      <w:proofErr w:type="gramStart"/>
      <w:r w:rsidRPr="00505DB6">
        <w:rPr>
          <w:rFonts w:cs="Open Sans"/>
        </w:rPr>
        <w:t>if the person has a ‘substantial criminal record’ and is serving a sentence of imprisonment for an offence against the law of the Common</w:t>
      </w:r>
      <w:r w:rsidR="00883882" w:rsidRPr="00505DB6">
        <w:rPr>
          <w:rFonts w:cs="Open Sans"/>
        </w:rPr>
        <w:t>wealth</w:t>
      </w:r>
      <w:proofErr w:type="gramEnd"/>
      <w:r w:rsidR="00883882" w:rsidRPr="00505DB6">
        <w:rPr>
          <w:rFonts w:cs="Open Sans"/>
        </w:rPr>
        <w:t>.</w:t>
      </w:r>
      <w:r w:rsidRPr="00505DB6">
        <w:rPr>
          <w:rFonts w:cs="Open Sans"/>
        </w:rPr>
        <w:t xml:space="preserve"> Relevantly, section 501(7</w:t>
      </w:r>
      <w:proofErr w:type="gramStart"/>
      <w:r w:rsidRPr="00505DB6">
        <w:rPr>
          <w:rFonts w:cs="Open Sans"/>
        </w:rPr>
        <w:t>)(</w:t>
      </w:r>
      <w:proofErr w:type="gramEnd"/>
      <w:r w:rsidRPr="00505DB6">
        <w:rPr>
          <w:rFonts w:cs="Open Sans"/>
        </w:rPr>
        <w:t>c) states that a person has a substantial criminal record where they have been sentenced to a term of imprisonment of 12 months. Where a person has served a sentence of less than 12 months, cancellation of their visa is discretionary. The impact of cancelling a non-citizen visa is that that individual becomes an unlawful non-citizen, and subject to the removal processes in the Migration Act.</w:t>
      </w:r>
      <w:r w:rsidRPr="00505DB6">
        <w:rPr>
          <w:rStyle w:val="EndnoteReference"/>
          <w:rFonts w:cs="Open Sans"/>
        </w:rPr>
        <w:endnoteReference w:id="14"/>
      </w:r>
    </w:p>
    <w:p w14:paraId="09A7CF2E" w14:textId="72DF85A5" w:rsidR="00E92432" w:rsidRPr="00A04413" w:rsidRDefault="006B6785" w:rsidP="00A04413">
      <w:pPr>
        <w:pStyle w:val="ListNumber"/>
        <w:numPr>
          <w:ilvl w:val="0"/>
          <w:numId w:val="15"/>
        </w:numPr>
        <w:tabs>
          <w:tab w:val="num" w:pos="993"/>
          <w:tab w:val="left" w:pos="1418"/>
        </w:tabs>
        <w:ind w:left="709" w:hanging="567"/>
        <w:rPr>
          <w:rFonts w:cs="Open Sans"/>
        </w:rPr>
      </w:pPr>
      <w:r>
        <w:rPr>
          <w:rFonts w:cs="Open Sans"/>
        </w:rPr>
        <w:t xml:space="preserve">Amended s 35A </w:t>
      </w:r>
      <w:r w:rsidR="00642E98">
        <w:rPr>
          <w:rFonts w:cs="Open Sans"/>
        </w:rPr>
        <w:t xml:space="preserve">would </w:t>
      </w:r>
      <w:r>
        <w:rPr>
          <w:rFonts w:cs="Open Sans"/>
        </w:rPr>
        <w:t>continue to be subject to</w:t>
      </w:r>
      <w:r w:rsidR="00E92432" w:rsidRPr="00505DB6">
        <w:rPr>
          <w:rFonts w:cs="Open Sans"/>
        </w:rPr>
        <w:t xml:space="preserve"> certain safeguards </w:t>
      </w:r>
      <w:r w:rsidR="00A04413">
        <w:rPr>
          <w:rFonts w:cs="Open Sans"/>
        </w:rPr>
        <w:t>regarding</w:t>
      </w:r>
      <w:r w:rsidR="00E92432" w:rsidRPr="00505DB6">
        <w:rPr>
          <w:rFonts w:cs="Open Sans"/>
        </w:rPr>
        <w:t xml:space="preserve"> the </w:t>
      </w:r>
      <w:r>
        <w:rPr>
          <w:rFonts w:cs="Open Sans"/>
        </w:rPr>
        <w:t xml:space="preserve">Minister’s </w:t>
      </w:r>
      <w:r w:rsidR="00E92432" w:rsidRPr="00505DB6">
        <w:rPr>
          <w:rFonts w:cs="Open Sans"/>
        </w:rPr>
        <w:t xml:space="preserve">discretionary exercise of power. These include that the rules of natural justice apply to the exercise of powers under </w:t>
      </w:r>
      <w:r w:rsidR="00BF3706">
        <w:rPr>
          <w:rFonts w:cs="Open Sans"/>
        </w:rPr>
        <w:t>proposed s </w:t>
      </w:r>
      <w:r w:rsidR="00E92432" w:rsidRPr="00505DB6">
        <w:rPr>
          <w:rFonts w:cs="Open Sans"/>
        </w:rPr>
        <w:t>35A(1),</w:t>
      </w:r>
      <w:r w:rsidR="00E92432" w:rsidRPr="00505DB6">
        <w:rPr>
          <w:rStyle w:val="EndnoteReference"/>
          <w:rFonts w:cs="Open Sans"/>
        </w:rPr>
        <w:endnoteReference w:id="15"/>
      </w:r>
      <w:r w:rsidR="00340919" w:rsidRPr="00505DB6">
        <w:rPr>
          <w:rFonts w:cs="Open Sans"/>
        </w:rPr>
        <w:t xml:space="preserve"> and</w:t>
      </w:r>
      <w:r w:rsidR="00E92432" w:rsidRPr="00505DB6">
        <w:rPr>
          <w:rFonts w:cs="Open Sans"/>
        </w:rPr>
        <w:t xml:space="preserve"> that the Minister must give or make reasonable attempts to give written notice of the determination to the person as soon as practicable setting out certain matters</w:t>
      </w:r>
      <w:r w:rsidR="00340919" w:rsidRPr="00505DB6">
        <w:rPr>
          <w:rFonts w:cs="Open Sans"/>
        </w:rPr>
        <w:t xml:space="preserve"> including the reasons for the decision</w:t>
      </w:r>
      <w:r w:rsidR="00E92432" w:rsidRPr="00505DB6">
        <w:rPr>
          <w:rFonts w:cs="Open Sans"/>
        </w:rPr>
        <w:t xml:space="preserve"> and the person’s rights of review.</w:t>
      </w:r>
      <w:r w:rsidR="00E92432" w:rsidRPr="00505DB6">
        <w:rPr>
          <w:rStyle w:val="EndnoteReference"/>
          <w:rFonts w:cs="Open Sans"/>
        </w:rPr>
        <w:endnoteReference w:id="16"/>
      </w:r>
      <w:r w:rsidR="00E92432" w:rsidRPr="00505DB6">
        <w:rPr>
          <w:rFonts w:cs="Open Sans"/>
        </w:rPr>
        <w:t xml:space="preserve"> Further, the determination </w:t>
      </w:r>
      <w:proofErr w:type="gramStart"/>
      <w:r w:rsidR="00E92432" w:rsidRPr="00505DB6">
        <w:rPr>
          <w:rFonts w:cs="Open Sans"/>
        </w:rPr>
        <w:t>must be revoked</w:t>
      </w:r>
      <w:proofErr w:type="gramEnd"/>
      <w:r w:rsidR="00E92432" w:rsidRPr="00505DB6">
        <w:rPr>
          <w:rFonts w:cs="Open Sans"/>
        </w:rPr>
        <w:t xml:space="preserve"> if a relevant conviction is overturned</w:t>
      </w:r>
      <w:r w:rsidR="00A04413">
        <w:rPr>
          <w:rFonts w:cs="Open Sans"/>
        </w:rPr>
        <w:t xml:space="preserve">, in which case </w:t>
      </w:r>
      <w:r w:rsidR="00A04413" w:rsidRPr="00A04413">
        <w:rPr>
          <w:rFonts w:cs="Open Sans"/>
        </w:rPr>
        <w:t>the person’s citizenship is taken never to have ceased</w:t>
      </w:r>
      <w:r w:rsidR="00E92432" w:rsidRPr="00A04413">
        <w:rPr>
          <w:rFonts w:cs="Open Sans"/>
        </w:rPr>
        <w:t>.</w:t>
      </w:r>
      <w:r w:rsidR="00E92432" w:rsidRPr="00505DB6">
        <w:rPr>
          <w:rFonts w:cs="Open Sans"/>
          <w:sz w:val="20"/>
          <w:szCs w:val="20"/>
          <w:vertAlign w:val="superscript"/>
        </w:rPr>
        <w:endnoteReference w:id="17"/>
      </w:r>
      <w:r w:rsidR="00E92432" w:rsidRPr="00A04413">
        <w:rPr>
          <w:rFonts w:cs="Open Sans"/>
          <w:sz w:val="20"/>
          <w:szCs w:val="20"/>
        </w:rPr>
        <w:t xml:space="preserve"> </w:t>
      </w:r>
    </w:p>
    <w:p w14:paraId="05C3D9CD" w14:textId="77777777" w:rsidR="00883882" w:rsidRPr="00505DB6" w:rsidRDefault="00340919" w:rsidP="0046153D">
      <w:pPr>
        <w:pStyle w:val="ListNumber"/>
        <w:numPr>
          <w:ilvl w:val="0"/>
          <w:numId w:val="15"/>
        </w:numPr>
        <w:tabs>
          <w:tab w:val="num" w:pos="993"/>
          <w:tab w:val="left" w:pos="1418"/>
        </w:tabs>
        <w:ind w:left="709" w:hanging="567"/>
        <w:rPr>
          <w:rFonts w:cs="Open Sans"/>
        </w:rPr>
      </w:pPr>
      <w:r w:rsidRPr="00505DB6">
        <w:rPr>
          <w:rFonts w:cs="Open Sans"/>
        </w:rPr>
        <w:t>As noted above,</w:t>
      </w:r>
      <w:r w:rsidR="00883882" w:rsidRPr="00505DB6">
        <w:rPr>
          <w:rFonts w:cs="Open Sans"/>
        </w:rPr>
        <w:t xml:space="preserve"> the Statement of Compatibility </w:t>
      </w:r>
      <w:r w:rsidR="003A4792" w:rsidRPr="00505DB6">
        <w:rPr>
          <w:rFonts w:cs="Open Sans"/>
        </w:rPr>
        <w:t xml:space="preserve">with Human Rights </w:t>
      </w:r>
      <w:r w:rsidR="00A04413">
        <w:rPr>
          <w:rFonts w:cs="Open Sans"/>
        </w:rPr>
        <w:t>not</w:t>
      </w:r>
      <w:r w:rsidR="00A04413" w:rsidRPr="00505DB6">
        <w:rPr>
          <w:rFonts w:cs="Open Sans"/>
        </w:rPr>
        <w:t xml:space="preserve">es </w:t>
      </w:r>
      <w:r w:rsidR="00883882" w:rsidRPr="00505DB6">
        <w:rPr>
          <w:rFonts w:cs="Open Sans"/>
        </w:rPr>
        <w:t xml:space="preserve">that 93 individuals </w:t>
      </w:r>
      <w:proofErr w:type="gramStart"/>
      <w:r w:rsidR="00883882" w:rsidRPr="00505DB6">
        <w:rPr>
          <w:rFonts w:cs="Open Sans"/>
        </w:rPr>
        <w:t>have been charged</w:t>
      </w:r>
      <w:proofErr w:type="gramEnd"/>
      <w:r w:rsidR="00883882" w:rsidRPr="00505DB6">
        <w:rPr>
          <w:rFonts w:cs="Open Sans"/>
        </w:rPr>
        <w:t xml:space="preserve"> with terrorism-relate</w:t>
      </w:r>
      <w:r w:rsidRPr="00505DB6">
        <w:rPr>
          <w:rFonts w:cs="Open Sans"/>
        </w:rPr>
        <w:t>d offences since September 2014. T</w:t>
      </w:r>
      <w:r w:rsidR="00883882" w:rsidRPr="00505DB6">
        <w:rPr>
          <w:rFonts w:cs="Open Sans"/>
        </w:rPr>
        <w:t xml:space="preserve">he Commission urges the Committee to ascertain how many </w:t>
      </w:r>
      <w:r w:rsidRPr="00505DB6">
        <w:rPr>
          <w:rFonts w:cs="Open Sans"/>
        </w:rPr>
        <w:t xml:space="preserve">of these </w:t>
      </w:r>
      <w:r w:rsidR="00883882" w:rsidRPr="00505DB6">
        <w:rPr>
          <w:rFonts w:cs="Open Sans"/>
        </w:rPr>
        <w:t>people</w:t>
      </w:r>
      <w:r w:rsidRPr="00505DB6">
        <w:rPr>
          <w:rFonts w:cs="Open Sans"/>
        </w:rPr>
        <w:t xml:space="preserve"> </w:t>
      </w:r>
      <w:r w:rsidR="00883882" w:rsidRPr="00505DB6">
        <w:rPr>
          <w:rFonts w:cs="Open Sans"/>
        </w:rPr>
        <w:t>have ‘a relevant terrorism conviction’ that occurred on or after 12 December 2005, the sentences imposed, and how many of these pe</w:t>
      </w:r>
      <w:r w:rsidRPr="00505DB6">
        <w:rPr>
          <w:rFonts w:cs="Open Sans"/>
        </w:rPr>
        <w:t>ople who are not already covered by s 35A</w:t>
      </w:r>
      <w:r w:rsidR="00883882" w:rsidRPr="00505DB6">
        <w:rPr>
          <w:rFonts w:cs="Open Sans"/>
        </w:rPr>
        <w:t xml:space="preserve"> could retrospectively be subject to </w:t>
      </w:r>
      <w:r w:rsidRPr="00505DB6">
        <w:rPr>
          <w:rFonts w:cs="Open Sans"/>
        </w:rPr>
        <w:t>the amended</w:t>
      </w:r>
      <w:r w:rsidR="00883882" w:rsidRPr="00505DB6">
        <w:rPr>
          <w:rFonts w:cs="Open Sans"/>
        </w:rPr>
        <w:t xml:space="preserve"> s 35A</w:t>
      </w:r>
      <w:r w:rsidRPr="00505DB6">
        <w:rPr>
          <w:rFonts w:cs="Open Sans"/>
        </w:rPr>
        <w:t xml:space="preserve"> if the Bill is passed</w:t>
      </w:r>
      <w:r w:rsidR="00883882" w:rsidRPr="00505DB6">
        <w:rPr>
          <w:rFonts w:cs="Open Sans"/>
        </w:rPr>
        <w:t xml:space="preserve">. This information will help ascertain the scope of the human rights </w:t>
      </w:r>
      <w:proofErr w:type="gramStart"/>
      <w:r w:rsidR="00883882" w:rsidRPr="00505DB6">
        <w:rPr>
          <w:rFonts w:cs="Open Sans"/>
        </w:rPr>
        <w:t>impacts</w:t>
      </w:r>
      <w:proofErr w:type="gramEnd"/>
      <w:r w:rsidR="00883882" w:rsidRPr="00505DB6">
        <w:rPr>
          <w:rFonts w:cs="Open Sans"/>
        </w:rPr>
        <w:t xml:space="preserve"> of the Bill.</w:t>
      </w:r>
    </w:p>
    <w:p w14:paraId="458748E4" w14:textId="77777777" w:rsidR="00A15629" w:rsidRPr="00505DB6" w:rsidRDefault="00A15629" w:rsidP="00CA5A36">
      <w:pPr>
        <w:pStyle w:val="Heading2"/>
        <w:rPr>
          <w:rFonts w:cs="Open Sans"/>
        </w:rPr>
      </w:pPr>
      <w:bookmarkStart w:id="34" w:name="_Toc534878464"/>
      <w:r w:rsidRPr="00505DB6">
        <w:rPr>
          <w:rFonts w:cs="Open Sans"/>
        </w:rPr>
        <w:lastRenderedPageBreak/>
        <w:t>Summary of key concerns</w:t>
      </w:r>
      <w:bookmarkEnd w:id="34"/>
    </w:p>
    <w:p w14:paraId="72042E3D"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Commission is concerned by the following features of the Bill:</w:t>
      </w:r>
    </w:p>
    <w:p w14:paraId="256ECB14" w14:textId="77777777" w:rsidR="00A15629" w:rsidRPr="00505DB6" w:rsidRDefault="00A15629" w:rsidP="0046153D">
      <w:pPr>
        <w:pStyle w:val="ListNumber"/>
        <w:numPr>
          <w:ilvl w:val="1"/>
          <w:numId w:val="15"/>
        </w:numPr>
        <w:tabs>
          <w:tab w:val="left" w:pos="1418"/>
        </w:tabs>
        <w:rPr>
          <w:rFonts w:cs="Open Sans"/>
        </w:rPr>
      </w:pPr>
      <w:r w:rsidRPr="00505DB6">
        <w:rPr>
          <w:rFonts w:cs="Open Sans"/>
        </w:rPr>
        <w:t>the lowering of the threshold for determining dual citizenship</w:t>
      </w:r>
    </w:p>
    <w:p w14:paraId="26718DEB" w14:textId="4189194D" w:rsidR="00A15629" w:rsidRPr="00505DB6" w:rsidRDefault="00A15629" w:rsidP="0046153D">
      <w:pPr>
        <w:pStyle w:val="ListNumber"/>
        <w:numPr>
          <w:ilvl w:val="1"/>
          <w:numId w:val="15"/>
        </w:numPr>
        <w:tabs>
          <w:tab w:val="left" w:pos="1418"/>
        </w:tabs>
        <w:rPr>
          <w:rFonts w:cs="Open Sans"/>
        </w:rPr>
      </w:pPr>
      <w:r w:rsidRPr="00505DB6">
        <w:rPr>
          <w:rFonts w:cs="Open Sans"/>
        </w:rPr>
        <w:t xml:space="preserve">the removal of the requirement for a sentence of at least </w:t>
      </w:r>
      <w:r w:rsidR="00C370D9">
        <w:rPr>
          <w:rFonts w:cs="Open Sans"/>
        </w:rPr>
        <w:t>six</w:t>
      </w:r>
      <w:r w:rsidR="00C370D9" w:rsidRPr="00505DB6">
        <w:rPr>
          <w:rFonts w:cs="Open Sans"/>
        </w:rPr>
        <w:t xml:space="preserve"> </w:t>
      </w:r>
      <w:r w:rsidRPr="00505DB6">
        <w:rPr>
          <w:rFonts w:cs="Open Sans"/>
        </w:rPr>
        <w:t>years for relevant terrorism convictions</w:t>
      </w:r>
    </w:p>
    <w:p w14:paraId="6D5E2711" w14:textId="77777777" w:rsidR="00A15629" w:rsidRPr="00505DB6" w:rsidRDefault="00A15629" w:rsidP="0046153D">
      <w:pPr>
        <w:pStyle w:val="ListNumber"/>
        <w:numPr>
          <w:ilvl w:val="1"/>
          <w:numId w:val="15"/>
        </w:numPr>
        <w:tabs>
          <w:tab w:val="left" w:pos="1418"/>
        </w:tabs>
        <w:rPr>
          <w:rFonts w:cs="Open Sans"/>
        </w:rPr>
      </w:pPr>
      <w:r w:rsidRPr="00505DB6">
        <w:rPr>
          <w:rFonts w:cs="Open Sans"/>
        </w:rPr>
        <w:t>the application of the</w:t>
      </w:r>
      <w:r w:rsidR="0046153D" w:rsidRPr="00505DB6">
        <w:rPr>
          <w:rFonts w:cs="Open Sans"/>
        </w:rPr>
        <w:t xml:space="preserve"> citizenship removal</w:t>
      </w:r>
      <w:r w:rsidR="00762A91" w:rsidRPr="00505DB6">
        <w:rPr>
          <w:rFonts w:cs="Open Sans"/>
        </w:rPr>
        <w:t xml:space="preserve"> power to the offence of ‘</w:t>
      </w:r>
      <w:r w:rsidRPr="00505DB6">
        <w:rPr>
          <w:rFonts w:cs="Open Sans"/>
        </w:rPr>
        <w:t>associating with a terr</w:t>
      </w:r>
      <w:r w:rsidR="00762A91" w:rsidRPr="00505DB6">
        <w:rPr>
          <w:rFonts w:cs="Open Sans"/>
        </w:rPr>
        <w:t>orist organisation’</w:t>
      </w:r>
    </w:p>
    <w:p w14:paraId="500DA7F1" w14:textId="77777777" w:rsidR="00A15629" w:rsidRPr="00505DB6" w:rsidRDefault="00D91ED2" w:rsidP="0046153D">
      <w:pPr>
        <w:pStyle w:val="ListNumber"/>
        <w:numPr>
          <w:ilvl w:val="1"/>
          <w:numId w:val="15"/>
        </w:numPr>
        <w:tabs>
          <w:tab w:val="left" w:pos="1418"/>
        </w:tabs>
        <w:rPr>
          <w:rFonts w:cs="Open Sans"/>
        </w:rPr>
      </w:pPr>
      <w:proofErr w:type="gramStart"/>
      <w:r w:rsidRPr="00505DB6">
        <w:rPr>
          <w:rFonts w:cs="Open Sans"/>
        </w:rPr>
        <w:t>its</w:t>
      </w:r>
      <w:proofErr w:type="gramEnd"/>
      <w:r w:rsidR="00A15629" w:rsidRPr="00505DB6">
        <w:rPr>
          <w:rFonts w:cs="Open Sans"/>
        </w:rPr>
        <w:t xml:space="preserve"> retrospective application. </w:t>
      </w:r>
    </w:p>
    <w:p w14:paraId="36F0B0A1"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Commission considers that these reforms </w:t>
      </w:r>
      <w:r w:rsidR="00642E98">
        <w:rPr>
          <w:rFonts w:cs="Open Sans"/>
        </w:rPr>
        <w:t xml:space="preserve">would </w:t>
      </w:r>
      <w:r w:rsidRPr="00505DB6">
        <w:rPr>
          <w:rFonts w:cs="Open Sans"/>
        </w:rPr>
        <w:t>increase the risk that removal of citizenship will occur where the relative seriousness of the conduct</w:t>
      </w:r>
      <w:r w:rsidR="00D91ED2" w:rsidRPr="00505DB6">
        <w:rPr>
          <w:rFonts w:cs="Open Sans"/>
        </w:rPr>
        <w:t>,</w:t>
      </w:r>
      <w:r w:rsidRPr="00505DB6">
        <w:rPr>
          <w:rFonts w:cs="Open Sans"/>
        </w:rPr>
        <w:t xml:space="preserve"> and individual circumstances of the person</w:t>
      </w:r>
      <w:r w:rsidR="00D91ED2" w:rsidRPr="00505DB6">
        <w:rPr>
          <w:rFonts w:cs="Open Sans"/>
        </w:rPr>
        <w:t>,</w:t>
      </w:r>
      <w:r w:rsidRPr="00505DB6">
        <w:rPr>
          <w:rFonts w:cs="Open Sans"/>
        </w:rPr>
        <w:t xml:space="preserve"> do not warrant such a grave consequence.</w:t>
      </w:r>
      <w:r w:rsidR="005E3D05">
        <w:rPr>
          <w:rFonts w:cs="Open Sans"/>
        </w:rPr>
        <w:t xml:space="preserve"> It holds concerns that the </w:t>
      </w:r>
      <w:r w:rsidR="00FA28F0">
        <w:rPr>
          <w:rFonts w:cs="Open Sans"/>
        </w:rPr>
        <w:t xml:space="preserve">human rights limitations in the </w:t>
      </w:r>
      <w:r w:rsidR="005E3D05">
        <w:rPr>
          <w:rFonts w:cs="Open Sans"/>
        </w:rPr>
        <w:t xml:space="preserve">Bill </w:t>
      </w:r>
      <w:r w:rsidR="00FA28F0">
        <w:rPr>
          <w:rFonts w:cs="Open Sans"/>
        </w:rPr>
        <w:t>are</w:t>
      </w:r>
      <w:r w:rsidR="005E3D05">
        <w:rPr>
          <w:rFonts w:cs="Open Sans"/>
        </w:rPr>
        <w:t xml:space="preserve"> therefore arbitrary or not</w:t>
      </w:r>
      <w:r w:rsidRPr="00505DB6">
        <w:rPr>
          <w:rFonts w:cs="Open Sans"/>
        </w:rPr>
        <w:t xml:space="preserve"> </w:t>
      </w:r>
      <w:r w:rsidR="005E3D05" w:rsidRPr="00505DB6">
        <w:rPr>
          <w:rFonts w:cs="Open Sans"/>
        </w:rPr>
        <w:t>reasonable, necessary or proportionate</w:t>
      </w:r>
      <w:r w:rsidR="005E3D05">
        <w:rPr>
          <w:rFonts w:cs="Open Sans"/>
        </w:rPr>
        <w:t xml:space="preserve">. </w:t>
      </w:r>
    </w:p>
    <w:p w14:paraId="4AB4CF6D" w14:textId="77777777" w:rsidR="00BD0CBF"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Commission previously made a submission to the PJCIS in relation to the Australian Citizenship Amendment (Allegiance to Australia) Bill 2015</w:t>
      </w:r>
      <w:r w:rsidR="00A13823">
        <w:rPr>
          <w:rFonts w:cs="Open Sans"/>
        </w:rPr>
        <w:t xml:space="preserve"> (Cth)</w:t>
      </w:r>
      <w:r w:rsidR="00DC5FA6">
        <w:rPr>
          <w:rFonts w:cs="Open Sans"/>
        </w:rPr>
        <w:t xml:space="preserve"> (the 2015 Bill)</w:t>
      </w:r>
      <w:r w:rsidRPr="00505DB6">
        <w:rPr>
          <w:rFonts w:cs="Open Sans"/>
        </w:rPr>
        <w:t xml:space="preserve">, articulating its serious human rights concerns about the expansion of citizenship </w:t>
      </w:r>
      <w:r w:rsidR="0046153D" w:rsidRPr="00505DB6">
        <w:rPr>
          <w:rFonts w:cs="Open Sans"/>
        </w:rPr>
        <w:t>removal</w:t>
      </w:r>
      <w:r w:rsidRPr="00505DB6">
        <w:rPr>
          <w:rFonts w:cs="Open Sans"/>
        </w:rPr>
        <w:t xml:space="preserve"> powers (the 2015 Submission).</w:t>
      </w:r>
      <w:r w:rsidRPr="00505DB6">
        <w:rPr>
          <w:rStyle w:val="EndnoteReference"/>
          <w:rFonts w:cs="Open Sans"/>
        </w:rPr>
        <w:endnoteReference w:id="18"/>
      </w:r>
    </w:p>
    <w:p w14:paraId="1586789E"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Commission recommended that the</w:t>
      </w:r>
      <w:r w:rsidR="00505DB6" w:rsidRPr="00505DB6">
        <w:rPr>
          <w:rFonts w:cs="Open Sans"/>
        </w:rPr>
        <w:t xml:space="preserve"> 2015</w:t>
      </w:r>
      <w:r w:rsidRPr="00505DB6">
        <w:rPr>
          <w:rFonts w:cs="Open Sans"/>
        </w:rPr>
        <w:t xml:space="preserve"> Bill not </w:t>
      </w:r>
      <w:proofErr w:type="gramStart"/>
      <w:r w:rsidRPr="00505DB6">
        <w:rPr>
          <w:rFonts w:cs="Open Sans"/>
        </w:rPr>
        <w:t>be passed</w:t>
      </w:r>
      <w:proofErr w:type="gramEnd"/>
      <w:r w:rsidRPr="00505DB6">
        <w:rPr>
          <w:rFonts w:cs="Open Sans"/>
        </w:rPr>
        <w:t xml:space="preserve">. The Commission reiterates its ongoing concerns with the Act, including s 35A, as set out in the 2015 Submission. </w:t>
      </w:r>
    </w:p>
    <w:p w14:paraId="62CE0E14" w14:textId="6307A9ED"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Commission considers that the current Bill </w:t>
      </w:r>
      <w:r w:rsidR="00642E98">
        <w:rPr>
          <w:rFonts w:cs="Open Sans"/>
        </w:rPr>
        <w:t>would</w:t>
      </w:r>
      <w:r w:rsidR="00642E98" w:rsidRPr="00505DB6">
        <w:rPr>
          <w:rFonts w:cs="Open Sans"/>
        </w:rPr>
        <w:t xml:space="preserve"> </w:t>
      </w:r>
      <w:r w:rsidRPr="00505DB6">
        <w:rPr>
          <w:rFonts w:cs="Open Sans"/>
        </w:rPr>
        <w:t>unjustifiably weaken the human rights protections in s 35A of the Act, with regressive</w:t>
      </w:r>
      <w:r w:rsidR="00BD0CBF" w:rsidRPr="00505DB6">
        <w:rPr>
          <w:rFonts w:cs="Open Sans"/>
        </w:rPr>
        <w:t xml:space="preserve"> outcomes for</w:t>
      </w:r>
      <w:r w:rsidRPr="00505DB6">
        <w:rPr>
          <w:rFonts w:cs="Open Sans"/>
        </w:rPr>
        <w:t xml:space="preserve"> human rights.</w:t>
      </w:r>
    </w:p>
    <w:p w14:paraId="15FEF673" w14:textId="77777777" w:rsidR="00A15629" w:rsidRPr="00505DB6" w:rsidRDefault="00A15629" w:rsidP="0015239E">
      <w:pPr>
        <w:pStyle w:val="Heading1"/>
        <w:rPr>
          <w:rFonts w:cs="Open Sans"/>
        </w:rPr>
      </w:pPr>
      <w:bookmarkStart w:id="35" w:name="_Toc534878465"/>
      <w:r w:rsidRPr="00505DB6">
        <w:rPr>
          <w:rFonts w:cs="Open Sans"/>
        </w:rPr>
        <w:t>Human rights and citizenship removal</w:t>
      </w:r>
      <w:bookmarkEnd w:id="35"/>
    </w:p>
    <w:p w14:paraId="714163CE" w14:textId="77777777" w:rsidR="00A15629" w:rsidRPr="00505DB6" w:rsidRDefault="00A15629" w:rsidP="004B4983">
      <w:pPr>
        <w:pStyle w:val="Heading2"/>
        <w:rPr>
          <w:rFonts w:cs="Open Sans"/>
        </w:rPr>
      </w:pPr>
      <w:bookmarkStart w:id="36" w:name="_Toc534878466"/>
      <w:r w:rsidRPr="00505DB6">
        <w:rPr>
          <w:rFonts w:cs="Open Sans"/>
        </w:rPr>
        <w:t xml:space="preserve">The right to enter </w:t>
      </w:r>
      <w:r w:rsidR="00F741B7">
        <w:rPr>
          <w:rFonts w:cs="Open Sans"/>
        </w:rPr>
        <w:t xml:space="preserve">and remain in </w:t>
      </w:r>
      <w:r w:rsidRPr="00505DB6">
        <w:rPr>
          <w:rFonts w:cs="Open Sans"/>
        </w:rPr>
        <w:t>one’s own country</w:t>
      </w:r>
      <w:bookmarkEnd w:id="36"/>
    </w:p>
    <w:p w14:paraId="749EC15B" w14:textId="77777777" w:rsidR="00A15629" w:rsidRPr="003A3A9E" w:rsidRDefault="00A15629" w:rsidP="0046153D">
      <w:pPr>
        <w:pStyle w:val="ListNumber"/>
        <w:numPr>
          <w:ilvl w:val="0"/>
          <w:numId w:val="15"/>
        </w:numPr>
        <w:tabs>
          <w:tab w:val="num" w:pos="993"/>
          <w:tab w:val="left" w:pos="1418"/>
        </w:tabs>
        <w:ind w:left="709" w:hanging="567"/>
        <w:rPr>
          <w:rFonts w:cs="Open Sans"/>
        </w:rPr>
      </w:pPr>
      <w:r w:rsidRPr="00505DB6">
        <w:rPr>
          <w:rFonts w:cs="Open Sans"/>
        </w:rPr>
        <w:t>Article 12</w:t>
      </w:r>
      <w:r w:rsidR="00762A91" w:rsidRPr="00505DB6">
        <w:rPr>
          <w:rFonts w:cs="Open Sans"/>
        </w:rPr>
        <w:t>(4) of the ICCPR provides that ‘</w:t>
      </w:r>
      <w:r w:rsidRPr="00505DB6">
        <w:rPr>
          <w:rFonts w:cs="Open Sans"/>
        </w:rPr>
        <w:t>no one shall be arbitrarily deprived of the right to enter his own country</w:t>
      </w:r>
      <w:r w:rsidR="00762A91" w:rsidRPr="00505DB6">
        <w:rPr>
          <w:rFonts w:cs="Open Sans"/>
        </w:rPr>
        <w:t>’</w:t>
      </w:r>
      <w:r w:rsidRPr="00505DB6">
        <w:rPr>
          <w:rFonts w:cs="Open Sans"/>
        </w:rPr>
        <w:t>.</w:t>
      </w:r>
      <w:r w:rsidRPr="00505DB6">
        <w:rPr>
          <w:rFonts w:cs="Open Sans"/>
          <w:sz w:val="22"/>
        </w:rPr>
        <w:t xml:space="preserve"> </w:t>
      </w:r>
    </w:p>
    <w:p w14:paraId="096CB314"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In its General Comment </w:t>
      </w:r>
      <w:r w:rsidR="00975047">
        <w:rPr>
          <w:rFonts w:cs="Open Sans"/>
        </w:rPr>
        <w:t xml:space="preserve">No </w:t>
      </w:r>
      <w:r w:rsidRPr="00505DB6">
        <w:rPr>
          <w:rFonts w:cs="Open Sans"/>
        </w:rPr>
        <w:t xml:space="preserve">27, the United Nations Human Rights Committee (UN HR Committee) has stated that this right implies the right to </w:t>
      </w:r>
      <w:r w:rsidRPr="00505DB6">
        <w:rPr>
          <w:rFonts w:cs="Open Sans"/>
          <w:i/>
        </w:rPr>
        <w:t>remain in</w:t>
      </w:r>
      <w:r w:rsidRPr="00505DB6">
        <w:rPr>
          <w:rFonts w:cs="Open Sans"/>
        </w:rPr>
        <w:t xml:space="preserve"> one’s own country.</w:t>
      </w:r>
      <w:r w:rsidRPr="00505DB6">
        <w:rPr>
          <w:rStyle w:val="EndnoteReference"/>
          <w:rFonts w:cs="Open Sans"/>
        </w:rPr>
        <w:endnoteReference w:id="19"/>
      </w:r>
      <w:r w:rsidRPr="00505DB6">
        <w:rPr>
          <w:rFonts w:cs="Open Sans"/>
        </w:rPr>
        <w:t xml:space="preserve"> </w:t>
      </w:r>
    </w:p>
    <w:p w14:paraId="2A1EB2DA"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lastRenderedPageBreak/>
        <w:t xml:space="preserve">General Comment </w:t>
      </w:r>
      <w:r w:rsidR="00975047">
        <w:rPr>
          <w:rFonts w:cs="Open Sans"/>
        </w:rPr>
        <w:t xml:space="preserve">No </w:t>
      </w:r>
      <w:r w:rsidRPr="00505DB6">
        <w:rPr>
          <w:rFonts w:cs="Open Sans"/>
        </w:rPr>
        <w:t xml:space="preserve">27 </w:t>
      </w:r>
      <w:r w:rsidR="00971D72">
        <w:rPr>
          <w:rFonts w:cs="Open Sans"/>
        </w:rPr>
        <w:t xml:space="preserve">further provides </w:t>
      </w:r>
      <w:r w:rsidRPr="00505DB6">
        <w:rPr>
          <w:rFonts w:cs="Open Sans"/>
        </w:rPr>
        <w:t>that the concept of one’s ‘own country’ is broader than that of nationality.</w:t>
      </w:r>
      <w:r w:rsidRPr="00505DB6">
        <w:rPr>
          <w:rStyle w:val="EndnoteReference"/>
          <w:rFonts w:cs="Open Sans"/>
        </w:rPr>
        <w:endnoteReference w:id="20"/>
      </w:r>
      <w:r w:rsidRPr="00505DB6">
        <w:rPr>
          <w:rFonts w:cs="Open Sans"/>
        </w:rPr>
        <w:t xml:space="preserve"> The concept includes non-nationals who have special ties or an enduring conn</w:t>
      </w:r>
      <w:r w:rsidR="005D7BA6" w:rsidRPr="00505DB6">
        <w:rPr>
          <w:rFonts w:cs="Open Sans"/>
        </w:rPr>
        <w:t xml:space="preserve">ection to a particular country. </w:t>
      </w:r>
      <w:r w:rsidRPr="00505DB6">
        <w:rPr>
          <w:rFonts w:cs="Open Sans"/>
        </w:rPr>
        <w:t>Relevant factors will include a person’s length of residence, personal and family ties, intention to remain, and lack of these ties to other countries.</w:t>
      </w:r>
      <w:r w:rsidRPr="00505DB6">
        <w:rPr>
          <w:rStyle w:val="EndnoteReference"/>
          <w:rFonts w:cs="Open Sans"/>
        </w:rPr>
        <w:endnoteReference w:id="21"/>
      </w:r>
      <w:r w:rsidRPr="00505DB6">
        <w:rPr>
          <w:rFonts w:cs="Open Sans"/>
        </w:rPr>
        <w:t xml:space="preserve"> </w:t>
      </w:r>
    </w:p>
    <w:p w14:paraId="76C00B97" w14:textId="7D4232C5" w:rsidR="005E3D05" w:rsidRDefault="005E3D05" w:rsidP="0046153D">
      <w:pPr>
        <w:pStyle w:val="ListNumber"/>
        <w:numPr>
          <w:ilvl w:val="0"/>
          <w:numId w:val="15"/>
        </w:numPr>
        <w:tabs>
          <w:tab w:val="num" w:pos="993"/>
          <w:tab w:val="left" w:pos="1418"/>
        </w:tabs>
        <w:ind w:left="709" w:hanging="567"/>
        <w:rPr>
          <w:rFonts w:cs="Open Sans"/>
        </w:rPr>
      </w:pPr>
      <w:r>
        <w:rPr>
          <w:rFonts w:cs="Open Sans"/>
        </w:rPr>
        <w:t xml:space="preserve">It </w:t>
      </w:r>
      <w:r w:rsidR="00A15629" w:rsidRPr="00505DB6">
        <w:rPr>
          <w:rFonts w:cs="Open Sans"/>
        </w:rPr>
        <w:t xml:space="preserve">is clear that the </w:t>
      </w:r>
      <w:r w:rsidR="00551ED1" w:rsidRPr="00505DB6">
        <w:rPr>
          <w:rFonts w:cs="Open Sans"/>
        </w:rPr>
        <w:t>removal</w:t>
      </w:r>
      <w:r w:rsidR="00A15629" w:rsidRPr="00505DB6">
        <w:rPr>
          <w:rFonts w:cs="Open Sans"/>
        </w:rPr>
        <w:t xml:space="preserve"> of </w:t>
      </w:r>
      <w:r>
        <w:rPr>
          <w:rFonts w:cs="Open Sans"/>
        </w:rPr>
        <w:t xml:space="preserve">Australian </w:t>
      </w:r>
      <w:r w:rsidR="00A15629" w:rsidRPr="00505DB6">
        <w:rPr>
          <w:rFonts w:cs="Open Sans"/>
        </w:rPr>
        <w:t xml:space="preserve">citizenship </w:t>
      </w:r>
      <w:r w:rsidR="00C033F4">
        <w:rPr>
          <w:rFonts w:cs="Open Sans"/>
        </w:rPr>
        <w:t>interfere</w:t>
      </w:r>
      <w:r w:rsidR="00E366FB">
        <w:rPr>
          <w:rFonts w:cs="Open Sans"/>
        </w:rPr>
        <w:t>s</w:t>
      </w:r>
      <w:r w:rsidR="00C033F4">
        <w:rPr>
          <w:rFonts w:cs="Open Sans"/>
        </w:rPr>
        <w:t xml:space="preserve"> </w:t>
      </w:r>
      <w:r w:rsidR="00A15629" w:rsidRPr="00505DB6">
        <w:rPr>
          <w:rFonts w:cs="Open Sans"/>
        </w:rPr>
        <w:t xml:space="preserve">with the right of </w:t>
      </w:r>
      <w:r w:rsidR="00C033F4">
        <w:rPr>
          <w:rFonts w:cs="Open Sans"/>
        </w:rPr>
        <w:t xml:space="preserve">an affected person </w:t>
      </w:r>
      <w:r w:rsidR="00A15629" w:rsidRPr="00505DB6">
        <w:rPr>
          <w:rFonts w:cs="Open Sans"/>
        </w:rPr>
        <w:t>to enter and remain in their ‘own country’</w:t>
      </w:r>
      <w:r w:rsidR="009D5D3C">
        <w:rPr>
          <w:rFonts w:cs="Open Sans"/>
        </w:rPr>
        <w:t>—</w:t>
      </w:r>
      <w:r w:rsidR="00A15629" w:rsidRPr="00505DB6">
        <w:rPr>
          <w:rFonts w:cs="Open Sans"/>
        </w:rPr>
        <w:t xml:space="preserve">Australia. </w:t>
      </w:r>
      <w:r w:rsidR="00642E98">
        <w:rPr>
          <w:rFonts w:cs="Open Sans"/>
        </w:rPr>
        <w:t>The critical</w:t>
      </w:r>
      <w:r>
        <w:rPr>
          <w:rFonts w:cs="Open Sans"/>
        </w:rPr>
        <w:t xml:space="preserve"> question </w:t>
      </w:r>
      <w:r w:rsidR="00642E98">
        <w:rPr>
          <w:rFonts w:cs="Open Sans"/>
        </w:rPr>
        <w:t xml:space="preserve">then becomes </w:t>
      </w:r>
      <w:r>
        <w:rPr>
          <w:rFonts w:cs="Open Sans"/>
        </w:rPr>
        <w:t>whether the limitation</w:t>
      </w:r>
      <w:r w:rsidR="00971D72">
        <w:rPr>
          <w:rFonts w:cs="Open Sans"/>
        </w:rPr>
        <w:t xml:space="preserve"> </w:t>
      </w:r>
      <w:r>
        <w:rPr>
          <w:rFonts w:cs="Open Sans"/>
        </w:rPr>
        <w:t>is an arbitrary interference.</w:t>
      </w:r>
    </w:p>
    <w:p w14:paraId="40899B1D" w14:textId="77777777" w:rsidR="005E3D05" w:rsidRPr="00505DB6" w:rsidRDefault="00971D72" w:rsidP="005E3D05">
      <w:pPr>
        <w:pStyle w:val="ListNumber"/>
        <w:numPr>
          <w:ilvl w:val="0"/>
          <w:numId w:val="15"/>
        </w:numPr>
        <w:tabs>
          <w:tab w:val="num" w:pos="993"/>
          <w:tab w:val="left" w:pos="1418"/>
        </w:tabs>
        <w:ind w:left="709" w:hanging="567"/>
        <w:rPr>
          <w:rFonts w:cs="Open Sans"/>
        </w:rPr>
      </w:pPr>
      <w:r>
        <w:rPr>
          <w:rFonts w:cs="Open Sans"/>
        </w:rPr>
        <w:t xml:space="preserve">In relation to the concept of arbitrariness </w:t>
      </w:r>
      <w:r w:rsidR="00E366FB">
        <w:rPr>
          <w:rFonts w:cs="Open Sans"/>
        </w:rPr>
        <w:t>under</w:t>
      </w:r>
      <w:r>
        <w:rPr>
          <w:rFonts w:cs="Open Sans"/>
        </w:rPr>
        <w:t xml:space="preserve"> </w:t>
      </w:r>
      <w:r w:rsidRPr="00505DB6">
        <w:rPr>
          <w:rFonts w:cs="Open Sans"/>
        </w:rPr>
        <w:t xml:space="preserve">article 12(4), </w:t>
      </w:r>
      <w:r>
        <w:rPr>
          <w:rFonts w:cs="Open Sans"/>
        </w:rPr>
        <w:t>t</w:t>
      </w:r>
      <w:r w:rsidR="005E3D05" w:rsidRPr="00505DB6">
        <w:rPr>
          <w:rFonts w:cs="Open Sans"/>
        </w:rPr>
        <w:t>he UN HR Committee has stated that:</w:t>
      </w:r>
    </w:p>
    <w:p w14:paraId="7A1079BA" w14:textId="77777777" w:rsidR="005E3D05" w:rsidRPr="00505DB6" w:rsidRDefault="00E366FB" w:rsidP="005E3D05">
      <w:pPr>
        <w:pStyle w:val="Quotesub"/>
        <w:rPr>
          <w:rFonts w:cs="Open Sans"/>
        </w:rPr>
      </w:pPr>
      <w:r>
        <w:rPr>
          <w:rFonts w:cs="Open Sans"/>
        </w:rPr>
        <w:t>[A]</w:t>
      </w:r>
      <w:r w:rsidR="005E3D05" w:rsidRPr="00505DB6">
        <w:rPr>
          <w:rFonts w:cs="Open Sans"/>
        </w:rPr>
        <w:t xml:space="preserve">rbitrariness in this context </w:t>
      </w:r>
      <w:proofErr w:type="gramStart"/>
      <w:r w:rsidR="005E3D05" w:rsidRPr="00505DB6">
        <w:rPr>
          <w:rFonts w:cs="Open Sans"/>
        </w:rPr>
        <w:t>is intended</w:t>
      </w:r>
      <w:proofErr w:type="gramEnd"/>
      <w:r w:rsidR="005E3D05" w:rsidRPr="00505DB6">
        <w:rPr>
          <w:rFonts w:cs="Open Sans"/>
        </w:rPr>
        <w:t xml:space="preserve"> to emphasize that it applies to all State action, legislative, administrative and judicial; it guarantees that even interference</w:t>
      </w:r>
      <w:r>
        <w:rPr>
          <w:rFonts w:cs="Open Sans"/>
        </w:rPr>
        <w:t>s</w:t>
      </w:r>
      <w:r w:rsidR="005E3D05" w:rsidRPr="00505DB6">
        <w:rPr>
          <w:rFonts w:cs="Open Sans"/>
        </w:rPr>
        <w:t xml:space="preserve"> provided for by law should be in accordance with the provisions, aims and objectives of the Covenant and should be, in any event, reasonable in the particular circumstances.</w:t>
      </w:r>
      <w:r w:rsidR="005E3D05" w:rsidRPr="00505DB6">
        <w:rPr>
          <w:rStyle w:val="EndnoteReference"/>
          <w:rFonts w:cs="Open Sans"/>
        </w:rPr>
        <w:endnoteReference w:id="22"/>
      </w:r>
    </w:p>
    <w:p w14:paraId="651ADEBC" w14:textId="77777777" w:rsidR="005E3D05" w:rsidRPr="00505DB6" w:rsidRDefault="005E3D05" w:rsidP="005E3D05">
      <w:pPr>
        <w:pStyle w:val="ListNumber"/>
        <w:numPr>
          <w:ilvl w:val="0"/>
          <w:numId w:val="15"/>
        </w:numPr>
        <w:tabs>
          <w:tab w:val="num" w:pos="993"/>
          <w:tab w:val="left" w:pos="1418"/>
        </w:tabs>
        <w:ind w:left="709" w:hanging="567"/>
        <w:rPr>
          <w:rFonts w:cs="Open Sans"/>
        </w:rPr>
      </w:pPr>
      <w:r w:rsidRPr="00505DB6">
        <w:rPr>
          <w:rFonts w:cs="Open Sans"/>
        </w:rPr>
        <w:t>Under international human rights law, any limitation on human rights must</w:t>
      </w:r>
      <w:r>
        <w:rPr>
          <w:rFonts w:cs="Open Sans"/>
        </w:rPr>
        <w:t xml:space="preserve"> also</w:t>
      </w:r>
      <w:r w:rsidRPr="00505DB6">
        <w:rPr>
          <w:rFonts w:cs="Open Sans"/>
        </w:rPr>
        <w:t>:</w:t>
      </w:r>
    </w:p>
    <w:p w14:paraId="52DFD066" w14:textId="77777777" w:rsidR="005E3D05" w:rsidRPr="00505DB6" w:rsidRDefault="005E3D05" w:rsidP="005E3D05">
      <w:pPr>
        <w:pStyle w:val="ListNumber"/>
        <w:numPr>
          <w:ilvl w:val="1"/>
          <w:numId w:val="15"/>
        </w:numPr>
        <w:tabs>
          <w:tab w:val="left" w:pos="1418"/>
        </w:tabs>
        <w:rPr>
          <w:rFonts w:cs="Open Sans"/>
        </w:rPr>
      </w:pPr>
      <w:r w:rsidRPr="00505DB6">
        <w:rPr>
          <w:rFonts w:cs="Open Sans"/>
        </w:rPr>
        <w:t>be lawful, meaning that any limitations on a human right must be provided for by law—legislation must be sufficiently specific and detail the precise circumstances in which interferences with rights may be permitted; laws must be precise and clear enough to allow individuals to regulate their conduct and should provide effective remedies in the case of abuse</w:t>
      </w:r>
    </w:p>
    <w:p w14:paraId="6F4ACDCA" w14:textId="77777777" w:rsidR="005E3D05" w:rsidRPr="00505DB6" w:rsidRDefault="005E3D05" w:rsidP="005E3D05">
      <w:pPr>
        <w:pStyle w:val="ListNumber"/>
        <w:numPr>
          <w:ilvl w:val="1"/>
          <w:numId w:val="15"/>
        </w:numPr>
        <w:tabs>
          <w:tab w:val="left" w:pos="1418"/>
        </w:tabs>
        <w:rPr>
          <w:rFonts w:cs="Open Sans"/>
        </w:rPr>
      </w:pPr>
      <w:r w:rsidRPr="00505DB6">
        <w:rPr>
          <w:rFonts w:cs="Open Sans"/>
        </w:rPr>
        <w:t>be necessary to achieve a legitimate objective, consistent with the provisions and aims of the ICCPR</w:t>
      </w:r>
    </w:p>
    <w:p w14:paraId="23C5BE70" w14:textId="77777777" w:rsidR="005E3D05" w:rsidRPr="00505DB6" w:rsidRDefault="005E3D05" w:rsidP="005E3D05">
      <w:pPr>
        <w:pStyle w:val="ListNumber"/>
        <w:numPr>
          <w:ilvl w:val="1"/>
          <w:numId w:val="15"/>
        </w:numPr>
        <w:tabs>
          <w:tab w:val="left" w:pos="1418"/>
        </w:tabs>
        <w:rPr>
          <w:rFonts w:cs="Open Sans"/>
        </w:rPr>
      </w:pPr>
      <w:proofErr w:type="gramStart"/>
      <w:r w:rsidRPr="00505DB6">
        <w:rPr>
          <w:rFonts w:cs="Open Sans"/>
        </w:rPr>
        <w:t>be</w:t>
      </w:r>
      <w:proofErr w:type="gramEnd"/>
      <w:r w:rsidRPr="00505DB6">
        <w:rPr>
          <w:rFonts w:cs="Open Sans"/>
        </w:rPr>
        <w:t xml:space="preserve"> proportionate to achieving the legitimate objective.</w:t>
      </w:r>
      <w:r w:rsidRPr="00505DB6">
        <w:rPr>
          <w:sz w:val="20"/>
          <w:szCs w:val="20"/>
          <w:vertAlign w:val="superscript"/>
        </w:rPr>
        <w:endnoteReference w:id="23"/>
      </w:r>
      <w:r w:rsidRPr="00505DB6">
        <w:rPr>
          <w:rFonts w:cs="Open Sans"/>
        </w:rPr>
        <w:t xml:space="preserve"> </w:t>
      </w:r>
    </w:p>
    <w:p w14:paraId="7427927F" w14:textId="77777777" w:rsidR="005E3D05" w:rsidRPr="00505DB6" w:rsidRDefault="005E3D05" w:rsidP="005E3D05">
      <w:pPr>
        <w:pStyle w:val="ListNumber"/>
        <w:numPr>
          <w:ilvl w:val="0"/>
          <w:numId w:val="15"/>
        </w:numPr>
        <w:tabs>
          <w:tab w:val="num" w:pos="993"/>
          <w:tab w:val="left" w:pos="1418"/>
        </w:tabs>
        <w:ind w:left="709" w:hanging="567"/>
        <w:rPr>
          <w:rFonts w:cs="Open Sans"/>
        </w:rPr>
      </w:pPr>
      <w:r w:rsidRPr="00505DB6">
        <w:rPr>
          <w:rFonts w:cs="Open Sans"/>
        </w:rPr>
        <w:t xml:space="preserve">In </w:t>
      </w:r>
      <w:r w:rsidR="00E366FB">
        <w:rPr>
          <w:rFonts w:cs="Open Sans"/>
        </w:rPr>
        <w:t xml:space="preserve">relation to the concept of reasonableness under </w:t>
      </w:r>
      <w:r w:rsidRPr="00505DB6">
        <w:rPr>
          <w:rFonts w:cs="Open Sans"/>
        </w:rPr>
        <w:t>article 12(4), the UN HR Committee has stated:</w:t>
      </w:r>
    </w:p>
    <w:p w14:paraId="2D2BFABD" w14:textId="77777777" w:rsidR="005E3D05" w:rsidRPr="00505DB6" w:rsidRDefault="005E3D05" w:rsidP="005E3D05">
      <w:pPr>
        <w:pStyle w:val="Quotesub"/>
        <w:rPr>
          <w:rFonts w:cs="Open Sans"/>
        </w:rPr>
      </w:pPr>
      <w:r w:rsidRPr="00505DB6">
        <w:rPr>
          <w:rFonts w:cs="Open Sans"/>
        </w:rPr>
        <w:t>[T]he Committee considers that there are few, if any, circumstances in which deprivation of the right to enter one’s own country could be reasonable.</w:t>
      </w:r>
      <w:r w:rsidRPr="00505DB6">
        <w:rPr>
          <w:rFonts w:cs="Open Sans"/>
          <w:vertAlign w:val="superscript"/>
        </w:rPr>
        <w:endnoteReference w:id="24"/>
      </w:r>
    </w:p>
    <w:p w14:paraId="0B3EEE05" w14:textId="77777777" w:rsidR="00A15629" w:rsidRPr="00505DB6" w:rsidRDefault="008044A7" w:rsidP="004B4983">
      <w:pPr>
        <w:pStyle w:val="Heading2"/>
        <w:rPr>
          <w:rFonts w:cs="Open Sans"/>
        </w:rPr>
      </w:pPr>
      <w:bookmarkStart w:id="37" w:name="_Toc534878467"/>
      <w:r>
        <w:rPr>
          <w:rFonts w:cs="Open Sans"/>
        </w:rPr>
        <w:t>Other human rights protections</w:t>
      </w:r>
      <w:bookmarkEnd w:id="37"/>
    </w:p>
    <w:p w14:paraId="083DE2A1" w14:textId="65DB13EB"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Australia has also assumed obligations under the </w:t>
      </w:r>
      <w:r w:rsidR="00146ECF" w:rsidRPr="00146ECF">
        <w:rPr>
          <w:rFonts w:cs="Open Sans"/>
        </w:rPr>
        <w:t>Statelessness Convention</w:t>
      </w:r>
      <w:r w:rsidRPr="00505DB6">
        <w:rPr>
          <w:rFonts w:cs="Open Sans"/>
        </w:rPr>
        <w:t>.</w:t>
      </w:r>
      <w:r w:rsidR="005305C1" w:rsidRPr="00505DB6">
        <w:rPr>
          <w:rFonts w:cs="Open Sans"/>
        </w:rPr>
        <w:t xml:space="preserve"> Art</w:t>
      </w:r>
      <w:r w:rsidR="003E7A55" w:rsidRPr="00505DB6">
        <w:rPr>
          <w:rFonts w:cs="Open Sans"/>
        </w:rPr>
        <w:t>icle</w:t>
      </w:r>
      <w:r w:rsidR="005305C1" w:rsidRPr="00505DB6">
        <w:rPr>
          <w:rFonts w:cs="Open Sans"/>
        </w:rPr>
        <w:t> </w:t>
      </w:r>
      <w:r w:rsidRPr="00505DB6">
        <w:rPr>
          <w:rFonts w:cs="Open Sans"/>
        </w:rPr>
        <w:t>8(1)</w:t>
      </w:r>
      <w:r w:rsidR="005305C1" w:rsidRPr="00505DB6">
        <w:rPr>
          <w:rFonts w:cs="Open Sans"/>
        </w:rPr>
        <w:t xml:space="preserve"> of the </w:t>
      </w:r>
      <w:r w:rsidR="00146ECF" w:rsidRPr="00146ECF">
        <w:rPr>
          <w:rFonts w:cs="Open Sans"/>
        </w:rPr>
        <w:t>Statelessness Convention</w:t>
      </w:r>
      <w:r w:rsidRPr="00505DB6">
        <w:rPr>
          <w:rFonts w:cs="Open Sans"/>
        </w:rPr>
        <w:t xml:space="preserve"> provides that a </w:t>
      </w:r>
      <w:r w:rsidRPr="00505DB6">
        <w:rPr>
          <w:rFonts w:cs="Open Sans"/>
        </w:rPr>
        <w:lastRenderedPageBreak/>
        <w:t>state ‘shall not deprive a person of its nationality if such deprivation would render him stateless’.</w:t>
      </w:r>
      <w:r w:rsidR="00BD0CBF" w:rsidRPr="00505DB6">
        <w:rPr>
          <w:rStyle w:val="EndnoteReference"/>
          <w:rFonts w:cs="Open Sans"/>
        </w:rPr>
        <w:endnoteReference w:id="25"/>
      </w:r>
      <w:r w:rsidRPr="00505DB6">
        <w:rPr>
          <w:rFonts w:cs="Open Sans"/>
        </w:rPr>
        <w:t xml:space="preserve"> </w:t>
      </w:r>
    </w:p>
    <w:p w14:paraId="492BDF6D" w14:textId="77777777" w:rsidR="00A15629" w:rsidRPr="00505DB6" w:rsidRDefault="00A15629" w:rsidP="00D93B8F">
      <w:pPr>
        <w:pStyle w:val="ListNumber"/>
        <w:numPr>
          <w:ilvl w:val="0"/>
          <w:numId w:val="15"/>
        </w:numPr>
        <w:tabs>
          <w:tab w:val="num" w:pos="993"/>
          <w:tab w:val="left" w:pos="1418"/>
        </w:tabs>
        <w:ind w:left="709" w:hanging="567"/>
        <w:rPr>
          <w:rFonts w:cs="Open Sans"/>
        </w:rPr>
      </w:pPr>
      <w:r w:rsidRPr="00505DB6">
        <w:rPr>
          <w:rFonts w:cs="Open Sans"/>
        </w:rPr>
        <w:t xml:space="preserve">Article 15(2) of the </w:t>
      </w:r>
      <w:r w:rsidR="005305C1" w:rsidRPr="00505DB6">
        <w:rPr>
          <w:rFonts w:cs="Open Sans"/>
          <w:iCs/>
        </w:rPr>
        <w:t>UDHR</w:t>
      </w:r>
      <w:r w:rsidR="00BD0CBF" w:rsidRPr="00505DB6">
        <w:rPr>
          <w:rFonts w:cs="Open Sans"/>
          <w:iCs/>
        </w:rPr>
        <w:t xml:space="preserve"> further</w:t>
      </w:r>
      <w:r w:rsidRPr="00505DB6">
        <w:rPr>
          <w:rFonts w:cs="Open Sans"/>
          <w:i/>
          <w:iCs/>
        </w:rPr>
        <w:t xml:space="preserve"> </w:t>
      </w:r>
      <w:r w:rsidRPr="00505DB6">
        <w:rPr>
          <w:rFonts w:cs="Open Sans"/>
        </w:rPr>
        <w:t>provides that ‘no one shall be arbitrarily deprived of his nationality’.</w:t>
      </w:r>
      <w:r w:rsidRPr="00505DB6">
        <w:rPr>
          <w:rStyle w:val="EndnoteReference"/>
          <w:rFonts w:cs="Open Sans"/>
          <w:iCs/>
        </w:rPr>
        <w:endnoteReference w:id="26"/>
      </w:r>
      <w:r w:rsidR="00D93B8F">
        <w:rPr>
          <w:rFonts w:cs="Open Sans"/>
        </w:rPr>
        <w:t xml:space="preserve"> This prohibition is</w:t>
      </w:r>
      <w:r w:rsidR="00D93B8F" w:rsidRPr="00D93B8F">
        <w:rPr>
          <w:rFonts w:cs="Open Sans"/>
        </w:rPr>
        <w:t xml:space="preserve"> considered </w:t>
      </w:r>
      <w:proofErr w:type="gramStart"/>
      <w:r w:rsidR="00D93B8F">
        <w:rPr>
          <w:rFonts w:cs="Open Sans"/>
        </w:rPr>
        <w:t>to be a</w:t>
      </w:r>
      <w:proofErr w:type="gramEnd"/>
      <w:r w:rsidR="00D93B8F" w:rsidRPr="00D93B8F">
        <w:rPr>
          <w:rFonts w:cs="Open Sans"/>
        </w:rPr>
        <w:t xml:space="preserve"> rule of gene</w:t>
      </w:r>
      <w:r w:rsidR="00D93B8F">
        <w:rPr>
          <w:rFonts w:cs="Open Sans"/>
        </w:rPr>
        <w:t>ral customary international law</w:t>
      </w:r>
      <w:r w:rsidR="00D93B8F" w:rsidRPr="00D93B8F">
        <w:rPr>
          <w:rFonts w:cs="Open Sans"/>
        </w:rPr>
        <w:t>.</w:t>
      </w:r>
      <w:r w:rsidR="00D93B8F">
        <w:rPr>
          <w:rStyle w:val="EndnoteReference"/>
          <w:rFonts w:cs="Open Sans"/>
        </w:rPr>
        <w:endnoteReference w:id="27"/>
      </w:r>
    </w:p>
    <w:p w14:paraId="3327477E" w14:textId="77777777" w:rsidR="00BD0CBF" w:rsidRPr="00505DB6" w:rsidRDefault="00BD0CBF" w:rsidP="0046153D">
      <w:pPr>
        <w:pStyle w:val="ListNumber"/>
        <w:numPr>
          <w:ilvl w:val="0"/>
          <w:numId w:val="15"/>
        </w:numPr>
        <w:tabs>
          <w:tab w:val="num" w:pos="993"/>
          <w:tab w:val="left" w:pos="1418"/>
        </w:tabs>
        <w:ind w:left="709" w:hanging="567"/>
        <w:rPr>
          <w:rFonts w:cs="Open Sans"/>
        </w:rPr>
      </w:pPr>
      <w:r w:rsidRPr="00505DB6">
        <w:rPr>
          <w:rFonts w:cs="Open Sans"/>
        </w:rPr>
        <w:t>C</w:t>
      </w:r>
      <w:r w:rsidR="00A15629" w:rsidRPr="00505DB6">
        <w:rPr>
          <w:rFonts w:cs="Open Sans"/>
        </w:rPr>
        <w:t>hildren enjoy all rights protected by the ICCPR</w:t>
      </w:r>
      <w:r w:rsidR="00551ED1" w:rsidRPr="00505DB6">
        <w:rPr>
          <w:rFonts w:cs="Open Sans"/>
        </w:rPr>
        <w:t>,</w:t>
      </w:r>
      <w:r w:rsidR="00A15629" w:rsidRPr="00505DB6">
        <w:rPr>
          <w:rFonts w:cs="Open Sans"/>
        </w:rPr>
        <w:t xml:space="preserve"> as well as </w:t>
      </w:r>
      <w:r w:rsidRPr="00505DB6">
        <w:rPr>
          <w:rFonts w:cs="Open Sans"/>
        </w:rPr>
        <w:t>particular and special protections</w:t>
      </w:r>
      <w:r w:rsidR="00A15629" w:rsidRPr="00505DB6">
        <w:rPr>
          <w:rFonts w:cs="Open Sans"/>
        </w:rPr>
        <w:t xml:space="preserve"> under the CRC.</w:t>
      </w:r>
      <w:r w:rsidR="00A15629" w:rsidRPr="00505DB6">
        <w:rPr>
          <w:rStyle w:val="EndnoteReference"/>
          <w:rFonts w:cs="Open Sans"/>
        </w:rPr>
        <w:endnoteReference w:id="28"/>
      </w:r>
      <w:r w:rsidR="00A15629" w:rsidRPr="00505DB6">
        <w:rPr>
          <w:rFonts w:cs="Open Sans"/>
        </w:rPr>
        <w:t xml:space="preserve"> </w:t>
      </w:r>
    </w:p>
    <w:p w14:paraId="04EE8006"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Article 8(1) of the CRC protects the right of children to preserve their nationality and family relations:</w:t>
      </w:r>
    </w:p>
    <w:p w14:paraId="4CB21216" w14:textId="77777777" w:rsidR="00A15629" w:rsidRPr="00505DB6" w:rsidRDefault="00A15629" w:rsidP="003A4792">
      <w:pPr>
        <w:pStyle w:val="Quotesub"/>
        <w:rPr>
          <w:rFonts w:cs="Open Sans"/>
        </w:rPr>
      </w:pPr>
      <w:r w:rsidRPr="00505DB6">
        <w:rPr>
          <w:rFonts w:cs="Open Sans"/>
        </w:rPr>
        <w:t xml:space="preserve">States Parties undertake to respect the right of the child to preserve his or her </w:t>
      </w:r>
      <w:r w:rsidRPr="00505DB6">
        <w:rPr>
          <w:rFonts w:eastAsiaTheme="minorHAnsi" w:cs="Open Sans"/>
        </w:rPr>
        <w:t>identity</w:t>
      </w:r>
      <w:r w:rsidRPr="00505DB6">
        <w:rPr>
          <w:rFonts w:cs="Open Sans"/>
        </w:rPr>
        <w:t>, including nationality, name and family relations as recognized by law without unlawful interference.</w:t>
      </w:r>
    </w:p>
    <w:p w14:paraId="666CC0C3"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Art</w:t>
      </w:r>
      <w:r w:rsidR="003E7A55" w:rsidRPr="00505DB6">
        <w:rPr>
          <w:rFonts w:cs="Open Sans"/>
        </w:rPr>
        <w:t>icle</w:t>
      </w:r>
      <w:r w:rsidRPr="00505DB6">
        <w:rPr>
          <w:rFonts w:cs="Open Sans"/>
        </w:rPr>
        <w:t xml:space="preserve"> 3 of the CRC protects the best interests of the child:</w:t>
      </w:r>
    </w:p>
    <w:p w14:paraId="752BF2D2" w14:textId="77777777" w:rsidR="00A15629" w:rsidRPr="00505DB6" w:rsidRDefault="00A15629" w:rsidP="003A4792">
      <w:pPr>
        <w:pStyle w:val="Quotesub"/>
        <w:rPr>
          <w:rFonts w:cs="Open Sans"/>
        </w:rPr>
      </w:pPr>
      <w:r w:rsidRPr="00505DB6">
        <w:rPr>
          <w:rFonts w:cs="Open Sans"/>
        </w:rPr>
        <w:t>In all actions concerning children, whether undertaken by public or private social welfare institutions, courts of law, administrative authorities or legislative bodies, the best interests of the child shall be a primary consideration.</w:t>
      </w:r>
    </w:p>
    <w:p w14:paraId="320F5767" w14:textId="77777777" w:rsidR="00A15629" w:rsidRPr="00505DB6" w:rsidRDefault="00A15629" w:rsidP="004C1AAF">
      <w:pPr>
        <w:pStyle w:val="Heading1"/>
        <w:rPr>
          <w:rFonts w:cs="Open Sans"/>
        </w:rPr>
      </w:pPr>
      <w:bookmarkStart w:id="38" w:name="_Toc534878468"/>
      <w:r w:rsidRPr="00505DB6">
        <w:rPr>
          <w:rFonts w:cs="Open Sans"/>
        </w:rPr>
        <w:t>Key human rights impacts</w:t>
      </w:r>
      <w:bookmarkEnd w:id="38"/>
    </w:p>
    <w:p w14:paraId="1198E0AA" w14:textId="77777777" w:rsidR="00A15629" w:rsidRPr="00505DB6" w:rsidRDefault="00A15629" w:rsidP="005A593D">
      <w:pPr>
        <w:pStyle w:val="Heading2"/>
        <w:rPr>
          <w:rFonts w:cs="Open Sans"/>
        </w:rPr>
      </w:pPr>
      <w:bookmarkStart w:id="39" w:name="_Toc534878469"/>
      <w:r w:rsidRPr="00505DB6">
        <w:rPr>
          <w:rFonts w:cs="Open Sans"/>
        </w:rPr>
        <w:t>Lowering of threshold for determining dual citizenship</w:t>
      </w:r>
      <w:bookmarkEnd w:id="39"/>
    </w:p>
    <w:p w14:paraId="30EF8FDB" w14:textId="77777777" w:rsidR="00A15629" w:rsidRDefault="00175673" w:rsidP="0046153D">
      <w:pPr>
        <w:pStyle w:val="ListNumber"/>
        <w:numPr>
          <w:ilvl w:val="0"/>
          <w:numId w:val="15"/>
        </w:numPr>
        <w:tabs>
          <w:tab w:val="num" w:pos="993"/>
          <w:tab w:val="left" w:pos="1418"/>
        </w:tabs>
        <w:ind w:left="709" w:hanging="567"/>
        <w:rPr>
          <w:rFonts w:cs="Open Sans"/>
        </w:rPr>
      </w:pPr>
      <w:r>
        <w:rPr>
          <w:rFonts w:cs="Open Sans"/>
        </w:rPr>
        <w:t>The Bill would amend</w:t>
      </w:r>
      <w:r w:rsidRPr="00505DB6">
        <w:rPr>
          <w:rFonts w:cs="Open Sans"/>
        </w:rPr>
        <w:t xml:space="preserve"> </w:t>
      </w:r>
      <w:r w:rsidR="00A15629" w:rsidRPr="00505DB6">
        <w:rPr>
          <w:rFonts w:cs="Open Sans"/>
        </w:rPr>
        <w:t xml:space="preserve">s </w:t>
      </w:r>
      <w:proofErr w:type="gramStart"/>
      <w:r w:rsidR="00A15629" w:rsidRPr="00505DB6">
        <w:rPr>
          <w:rFonts w:cs="Open Sans"/>
        </w:rPr>
        <w:t>3</w:t>
      </w:r>
      <w:r w:rsidR="001B5DAC">
        <w:rPr>
          <w:rFonts w:cs="Open Sans"/>
        </w:rPr>
        <w:t>5</w:t>
      </w:r>
      <w:r w:rsidR="00A15629" w:rsidRPr="00505DB6">
        <w:rPr>
          <w:rFonts w:cs="Open Sans"/>
        </w:rPr>
        <w:t>A(</w:t>
      </w:r>
      <w:proofErr w:type="gramEnd"/>
      <w:r w:rsidR="00A15629" w:rsidRPr="00505DB6">
        <w:rPr>
          <w:rFonts w:cs="Open Sans"/>
        </w:rPr>
        <w:t xml:space="preserve">1)(b) </w:t>
      </w:r>
      <w:r>
        <w:rPr>
          <w:rFonts w:cs="Open Sans"/>
        </w:rPr>
        <w:t xml:space="preserve">to </w:t>
      </w:r>
      <w:r w:rsidR="00A15629" w:rsidRPr="00505DB6">
        <w:rPr>
          <w:rFonts w:cs="Open Sans"/>
        </w:rPr>
        <w:t>allow the Minister to remove a person’s citizenship if, among other things, the</w:t>
      </w:r>
      <w:r w:rsidR="002D1A16">
        <w:rPr>
          <w:rFonts w:cs="Open Sans"/>
        </w:rPr>
        <w:t xml:space="preserve"> Minister is </w:t>
      </w:r>
      <w:r w:rsidR="00A15629" w:rsidRPr="00505DB6">
        <w:rPr>
          <w:rFonts w:cs="Open Sans"/>
        </w:rPr>
        <w:t>‘satisfied’ that ‘the person would not</w:t>
      </w:r>
      <w:r w:rsidR="00606848">
        <w:rPr>
          <w:rFonts w:cs="Open Sans"/>
        </w:rPr>
        <w:t xml:space="preserve"> </w:t>
      </w:r>
      <w:r w:rsidR="00A15629" w:rsidRPr="00505DB6">
        <w:rPr>
          <w:rFonts w:cs="Open Sans"/>
        </w:rPr>
        <w:t xml:space="preserve">… become a person who is not a national or citizen of any country’. </w:t>
      </w:r>
    </w:p>
    <w:p w14:paraId="716EA3F1" w14:textId="6C12FA95" w:rsidR="00B67A66" w:rsidRDefault="00936C24" w:rsidP="00A64973">
      <w:pPr>
        <w:pStyle w:val="ListNumber"/>
        <w:numPr>
          <w:ilvl w:val="0"/>
          <w:numId w:val="15"/>
        </w:numPr>
        <w:tabs>
          <w:tab w:val="num" w:pos="993"/>
          <w:tab w:val="left" w:pos="1418"/>
        </w:tabs>
        <w:ind w:left="709" w:hanging="567"/>
      </w:pPr>
      <w:r w:rsidRPr="00ED7C40">
        <w:rPr>
          <w:rFonts w:cs="Open Sans"/>
        </w:rPr>
        <w:t xml:space="preserve">Whether an administrative decision maker is </w:t>
      </w:r>
      <w:r w:rsidR="00F5514F">
        <w:rPr>
          <w:rFonts w:cs="Open Sans"/>
        </w:rPr>
        <w:t>‘</w:t>
      </w:r>
      <w:r w:rsidRPr="00ED7C40">
        <w:rPr>
          <w:rFonts w:cs="Open Sans"/>
        </w:rPr>
        <w:t>satisfied</w:t>
      </w:r>
      <w:r w:rsidR="00F5514F">
        <w:rPr>
          <w:rFonts w:cs="Open Sans"/>
        </w:rPr>
        <w:t>’</w:t>
      </w:r>
      <w:r w:rsidRPr="00ED7C40">
        <w:rPr>
          <w:rFonts w:cs="Open Sans"/>
        </w:rPr>
        <w:t xml:space="preserve"> of something is </w:t>
      </w:r>
      <w:r w:rsidR="0086076D">
        <w:rPr>
          <w:rFonts w:cs="Open Sans"/>
        </w:rPr>
        <w:t xml:space="preserve">largely </w:t>
      </w:r>
      <w:r w:rsidRPr="00ED7C40">
        <w:rPr>
          <w:rFonts w:cs="Open Sans"/>
        </w:rPr>
        <w:t>a question of subjective fact.</w:t>
      </w:r>
      <w:r>
        <w:rPr>
          <w:rStyle w:val="EndnoteReference"/>
          <w:rFonts w:cs="Open Sans"/>
        </w:rPr>
        <w:endnoteReference w:id="29"/>
      </w:r>
      <w:r w:rsidR="00273F4B">
        <w:rPr>
          <w:rFonts w:cs="Open Sans"/>
        </w:rPr>
        <w:t xml:space="preserve"> </w:t>
      </w:r>
      <w:r w:rsidR="00C06895">
        <w:rPr>
          <w:rFonts w:cs="Open Sans"/>
        </w:rPr>
        <w:t xml:space="preserve">That is, the person must actually be satisfied of that </w:t>
      </w:r>
      <w:r w:rsidR="00EC00BE">
        <w:rPr>
          <w:rFonts w:cs="Open Sans"/>
        </w:rPr>
        <w:t>matter</w:t>
      </w:r>
      <w:r w:rsidR="00C06895">
        <w:rPr>
          <w:rFonts w:cs="Open Sans"/>
        </w:rPr>
        <w:t xml:space="preserve">. </w:t>
      </w:r>
      <w:r w:rsidRPr="00ED7C40">
        <w:rPr>
          <w:rFonts w:cs="Open Sans"/>
        </w:rPr>
        <w:t xml:space="preserve">However, </w:t>
      </w:r>
      <w:r w:rsidR="00F5514F">
        <w:rPr>
          <w:rFonts w:cs="Open Sans"/>
        </w:rPr>
        <w:t xml:space="preserve">as acknowledged in the Explanatory Memorandum, </w:t>
      </w:r>
      <w:r w:rsidRPr="00ED7C40">
        <w:rPr>
          <w:rFonts w:cs="Open Sans"/>
        </w:rPr>
        <w:t xml:space="preserve">the state of satisfaction </w:t>
      </w:r>
      <w:proofErr w:type="gramStart"/>
      <w:r w:rsidRPr="00ED7C40">
        <w:rPr>
          <w:rFonts w:cs="Open Sans"/>
        </w:rPr>
        <w:t xml:space="preserve">must </w:t>
      </w:r>
      <w:r w:rsidR="00C06895">
        <w:rPr>
          <w:rFonts w:cs="Open Sans"/>
        </w:rPr>
        <w:t xml:space="preserve">also be </w:t>
      </w:r>
      <w:r w:rsidR="002915D7">
        <w:rPr>
          <w:rFonts w:cs="Open Sans"/>
        </w:rPr>
        <w:t>reasonably attained</w:t>
      </w:r>
      <w:proofErr w:type="gramEnd"/>
      <w:r w:rsidRPr="00ED7C40">
        <w:rPr>
          <w:rFonts w:cs="Open Sans"/>
        </w:rPr>
        <w:t>.</w:t>
      </w:r>
      <w:r w:rsidR="00F5514F">
        <w:rPr>
          <w:rStyle w:val="EndnoteReference"/>
          <w:rFonts w:cs="Open Sans"/>
        </w:rPr>
        <w:endnoteReference w:id="30"/>
      </w:r>
      <w:r w:rsidRPr="00ED7C40">
        <w:rPr>
          <w:rFonts w:cs="Open Sans"/>
        </w:rPr>
        <w:t xml:space="preserve"> </w:t>
      </w:r>
      <w:r w:rsidR="00F5514F">
        <w:rPr>
          <w:rFonts w:cs="Open Sans"/>
        </w:rPr>
        <w:t xml:space="preserve">This </w:t>
      </w:r>
      <w:r w:rsidR="00632721">
        <w:rPr>
          <w:rFonts w:cs="Open Sans"/>
        </w:rPr>
        <w:t>requires</w:t>
      </w:r>
      <w:r w:rsidR="00F5514F">
        <w:rPr>
          <w:rFonts w:cs="Open Sans"/>
        </w:rPr>
        <w:t xml:space="preserve"> that the</w:t>
      </w:r>
      <w:r w:rsidRPr="001E205F">
        <w:rPr>
          <w:rFonts w:cs="Open Sans"/>
        </w:rPr>
        <w:t xml:space="preserve"> decision </w:t>
      </w:r>
      <w:r w:rsidR="00F5514F">
        <w:rPr>
          <w:rFonts w:cs="Open Sans"/>
        </w:rPr>
        <w:t>be</w:t>
      </w:r>
      <w:r w:rsidRPr="002915D7">
        <w:rPr>
          <w:rFonts w:cs="Open Sans"/>
        </w:rPr>
        <w:t xml:space="preserve"> reasonably </w:t>
      </w:r>
      <w:r w:rsidRPr="001E205F">
        <w:rPr>
          <w:rFonts w:cs="Open Sans"/>
        </w:rPr>
        <w:t>open on the evi</w:t>
      </w:r>
      <w:r w:rsidR="00F5514F">
        <w:rPr>
          <w:rFonts w:cs="Open Sans"/>
        </w:rPr>
        <w:t>dence before the decision maker</w:t>
      </w:r>
      <w:r w:rsidR="00632721">
        <w:rPr>
          <w:rFonts w:cs="Open Sans"/>
        </w:rPr>
        <w:t>.</w:t>
      </w:r>
      <w:r w:rsidR="00273F4B">
        <w:rPr>
          <w:rStyle w:val="EndnoteReference"/>
        </w:rPr>
        <w:endnoteReference w:id="31"/>
      </w:r>
      <w:r w:rsidR="00273F4B">
        <w:rPr>
          <w:rFonts w:cs="Open Sans"/>
        </w:rPr>
        <w:t xml:space="preserve"> </w:t>
      </w:r>
      <w:r w:rsidR="00632721">
        <w:rPr>
          <w:rFonts w:cs="Open Sans"/>
        </w:rPr>
        <w:t xml:space="preserve">Further, as with all administrative decision-making, the decision </w:t>
      </w:r>
      <w:proofErr w:type="gramStart"/>
      <w:r w:rsidR="00632721">
        <w:rPr>
          <w:rFonts w:cs="Open Sans"/>
        </w:rPr>
        <w:t xml:space="preserve">must </w:t>
      </w:r>
      <w:r w:rsidRPr="001E205F">
        <w:rPr>
          <w:rFonts w:cs="Open Sans"/>
        </w:rPr>
        <w:t>be made</w:t>
      </w:r>
      <w:proofErr w:type="gramEnd"/>
      <w:r w:rsidRPr="001E205F">
        <w:rPr>
          <w:rFonts w:cs="Open Sans"/>
        </w:rPr>
        <w:t xml:space="preserve"> according to law, not be irrational or illogical, and not </w:t>
      </w:r>
      <w:r>
        <w:rPr>
          <w:rFonts w:cs="Open Sans"/>
        </w:rPr>
        <w:t xml:space="preserve">be </w:t>
      </w:r>
      <w:r w:rsidRPr="001A54C5">
        <w:rPr>
          <w:rFonts w:cs="Open Sans"/>
        </w:rPr>
        <w:t>affected by bias.</w:t>
      </w:r>
    </w:p>
    <w:p w14:paraId="3C943728" w14:textId="77777777" w:rsidR="005D16B1" w:rsidRDefault="00C06895" w:rsidP="00DC4800">
      <w:pPr>
        <w:pStyle w:val="ListNumber"/>
        <w:numPr>
          <w:ilvl w:val="0"/>
          <w:numId w:val="15"/>
        </w:numPr>
        <w:tabs>
          <w:tab w:val="num" w:pos="993"/>
          <w:tab w:val="left" w:pos="1418"/>
        </w:tabs>
        <w:ind w:left="709" w:hanging="567"/>
        <w:rPr>
          <w:rFonts w:cs="Open Sans"/>
        </w:rPr>
      </w:pPr>
      <w:r>
        <w:rPr>
          <w:rFonts w:cs="Open Sans"/>
        </w:rPr>
        <w:t>However, a requirement that a decision maker is reasonably satisfied of a particular matter is different from a requirement that the particular matter actually exist</w:t>
      </w:r>
      <w:r w:rsidR="00EE056D">
        <w:rPr>
          <w:rFonts w:cs="Open Sans"/>
        </w:rPr>
        <w:t>s</w:t>
      </w:r>
      <w:r>
        <w:rPr>
          <w:rFonts w:cs="Open Sans"/>
        </w:rPr>
        <w:t xml:space="preserve">. </w:t>
      </w:r>
      <w:r w:rsidR="005D16B1">
        <w:rPr>
          <w:rFonts w:cs="Open Sans"/>
        </w:rPr>
        <w:t xml:space="preserve">A decision maker may be reasonably satisfied that a person </w:t>
      </w:r>
      <w:r w:rsidR="005D16B1">
        <w:rPr>
          <w:rFonts w:cs="Open Sans"/>
        </w:rPr>
        <w:lastRenderedPageBreak/>
        <w:t xml:space="preserve">is, for example, a national or citizen of another country, while at the same time being mistaken about that fact. </w:t>
      </w:r>
    </w:p>
    <w:p w14:paraId="1D14D4DF" w14:textId="77777777" w:rsidR="00DC4800" w:rsidRPr="00505DB6" w:rsidRDefault="00A15629" w:rsidP="00DC4800">
      <w:pPr>
        <w:pStyle w:val="ListNumber"/>
        <w:numPr>
          <w:ilvl w:val="0"/>
          <w:numId w:val="15"/>
        </w:numPr>
        <w:tabs>
          <w:tab w:val="num" w:pos="993"/>
          <w:tab w:val="left" w:pos="1418"/>
        </w:tabs>
        <w:ind w:left="709" w:hanging="567"/>
        <w:rPr>
          <w:rFonts w:cs="Open Sans"/>
        </w:rPr>
      </w:pPr>
      <w:r w:rsidRPr="00505DB6">
        <w:rPr>
          <w:rFonts w:cs="Open Sans"/>
        </w:rPr>
        <w:t xml:space="preserve">The amendment would </w:t>
      </w:r>
      <w:r w:rsidR="00660A40">
        <w:rPr>
          <w:rFonts w:cs="Open Sans"/>
        </w:rPr>
        <w:t>replace</w:t>
      </w:r>
      <w:r w:rsidRPr="00505DB6">
        <w:rPr>
          <w:rFonts w:cs="Open Sans"/>
        </w:rPr>
        <w:t xml:space="preserve"> the current requirement that the ‘person </w:t>
      </w:r>
      <w:r w:rsidRPr="00505DB6">
        <w:rPr>
          <w:rFonts w:cs="Open Sans"/>
          <w:i/>
        </w:rPr>
        <w:t>is</w:t>
      </w:r>
      <w:r w:rsidRPr="00505DB6">
        <w:rPr>
          <w:rFonts w:cs="Open Sans"/>
        </w:rPr>
        <w:t xml:space="preserve"> a national or citizen of a country other than Australia at the time when the Minister makes the determination’</w:t>
      </w:r>
      <w:r w:rsidR="0033758D">
        <w:rPr>
          <w:rFonts w:cs="Open Sans"/>
        </w:rPr>
        <w:t xml:space="preserve"> </w:t>
      </w:r>
      <w:r w:rsidR="00D11F33">
        <w:rPr>
          <w:rFonts w:cs="Open Sans"/>
        </w:rPr>
        <w:t>[</w:t>
      </w:r>
      <w:r w:rsidR="0033758D">
        <w:rPr>
          <w:rFonts w:cs="Open Sans"/>
        </w:rPr>
        <w:t>emphasis added</w:t>
      </w:r>
      <w:r w:rsidR="00D11F33">
        <w:rPr>
          <w:rFonts w:cs="Open Sans"/>
        </w:rPr>
        <w:t>]</w:t>
      </w:r>
      <w:r w:rsidRPr="00505DB6">
        <w:rPr>
          <w:rFonts w:cs="Open Sans"/>
        </w:rPr>
        <w:t>.</w:t>
      </w:r>
      <w:r w:rsidR="00DC4800">
        <w:rPr>
          <w:rFonts w:cs="Open Sans"/>
        </w:rPr>
        <w:t xml:space="preserve"> This revised criteri</w:t>
      </w:r>
      <w:r w:rsidR="002D1A16">
        <w:rPr>
          <w:rFonts w:cs="Open Sans"/>
        </w:rPr>
        <w:t>on</w:t>
      </w:r>
      <w:r w:rsidR="00DC4800">
        <w:rPr>
          <w:rFonts w:cs="Open Sans"/>
        </w:rPr>
        <w:t xml:space="preserve"> would apply to </w:t>
      </w:r>
      <w:r w:rsidR="002D1A16">
        <w:rPr>
          <w:rFonts w:cs="Open Sans"/>
        </w:rPr>
        <w:t xml:space="preserve">all </w:t>
      </w:r>
      <w:r w:rsidR="00DC4800">
        <w:rPr>
          <w:rFonts w:cs="Open Sans"/>
        </w:rPr>
        <w:t>relevant convictions</w:t>
      </w:r>
      <w:r w:rsidR="002D1A16">
        <w:rPr>
          <w:rFonts w:cs="Open Sans"/>
        </w:rPr>
        <w:t xml:space="preserve"> covered by the Act</w:t>
      </w:r>
      <w:r w:rsidR="00DC4800">
        <w:rPr>
          <w:rFonts w:cs="Open Sans"/>
        </w:rPr>
        <w:t xml:space="preserve">. </w:t>
      </w:r>
    </w:p>
    <w:p w14:paraId="43373299" w14:textId="77777777" w:rsidR="002A34FA" w:rsidRDefault="002A34FA" w:rsidP="0046153D">
      <w:pPr>
        <w:pStyle w:val="ListNumber"/>
        <w:numPr>
          <w:ilvl w:val="0"/>
          <w:numId w:val="15"/>
        </w:numPr>
        <w:tabs>
          <w:tab w:val="num" w:pos="993"/>
          <w:tab w:val="left" w:pos="1418"/>
        </w:tabs>
        <w:ind w:left="709" w:hanging="567"/>
        <w:rPr>
          <w:rFonts w:cs="Open Sans"/>
        </w:rPr>
      </w:pPr>
      <w:r w:rsidRPr="00505DB6">
        <w:rPr>
          <w:rFonts w:cs="Open Sans"/>
        </w:rPr>
        <w:t xml:space="preserve">The question of a person’s foreign citizenship status can be highly complex </w:t>
      </w:r>
      <w:r w:rsidR="00F07A0D">
        <w:rPr>
          <w:rFonts w:cs="Open Sans"/>
        </w:rPr>
        <w:t>and involve</w:t>
      </w:r>
      <w:r w:rsidRPr="00505DB6">
        <w:rPr>
          <w:rFonts w:cs="Open Sans"/>
        </w:rPr>
        <w:t xml:space="preserve"> technical considerations of foreign law. </w:t>
      </w:r>
      <w:r w:rsidR="00F07A0D">
        <w:rPr>
          <w:rFonts w:cs="Open Sans"/>
        </w:rPr>
        <w:t>Self-evidently</w:t>
      </w:r>
      <w:r>
        <w:rPr>
          <w:rFonts w:cs="Open Sans"/>
        </w:rPr>
        <w:t xml:space="preserve">, it is not something that </w:t>
      </w:r>
      <w:proofErr w:type="gramStart"/>
      <w:r>
        <w:rPr>
          <w:rFonts w:cs="Open Sans"/>
        </w:rPr>
        <w:t>can be decided</w:t>
      </w:r>
      <w:proofErr w:type="gramEnd"/>
      <w:r>
        <w:rPr>
          <w:rFonts w:cs="Open Sans"/>
        </w:rPr>
        <w:t xml:space="preserve"> solely by reference to Australian law.</w:t>
      </w:r>
    </w:p>
    <w:p w14:paraId="379CEB47" w14:textId="77777777" w:rsidR="00A15629" w:rsidRPr="008363C0" w:rsidRDefault="00A15629" w:rsidP="008363C0">
      <w:pPr>
        <w:pStyle w:val="ListNumber"/>
        <w:numPr>
          <w:ilvl w:val="0"/>
          <w:numId w:val="15"/>
        </w:numPr>
        <w:tabs>
          <w:tab w:val="num" w:pos="993"/>
          <w:tab w:val="left" w:pos="1418"/>
        </w:tabs>
        <w:ind w:left="709" w:hanging="567"/>
        <w:rPr>
          <w:rFonts w:cs="Open Sans"/>
        </w:rPr>
      </w:pPr>
      <w:r w:rsidRPr="008363C0">
        <w:rPr>
          <w:rFonts w:cs="Open Sans"/>
        </w:rPr>
        <w:t>With respect to the risk of making a person stateless, the Explanatory Memorandum states:</w:t>
      </w:r>
    </w:p>
    <w:p w14:paraId="19FAD883" w14:textId="77777777" w:rsidR="00A15629" w:rsidRPr="00505DB6" w:rsidRDefault="00A15629" w:rsidP="003A4792">
      <w:pPr>
        <w:pStyle w:val="Quotesub"/>
        <w:rPr>
          <w:rFonts w:cs="Open Sans"/>
        </w:rPr>
      </w:pPr>
      <w:r w:rsidRPr="00505DB6">
        <w:rPr>
          <w:rFonts w:cs="Open Sans"/>
        </w:rPr>
        <w:t>Consistent with the operation of the current provisions of the Citizenship Act, including current paragraph 34(3</w:t>
      </w:r>
      <w:proofErr w:type="gramStart"/>
      <w:r w:rsidRPr="00505DB6">
        <w:rPr>
          <w:rFonts w:cs="Open Sans"/>
        </w:rPr>
        <w:t>)(</w:t>
      </w:r>
      <w:proofErr w:type="gramEnd"/>
      <w:r w:rsidRPr="00505DB6">
        <w:rPr>
          <w:rFonts w:cs="Open Sans"/>
        </w:rPr>
        <w:t>b), it is not the intention that new paragraph 35A(1)(b) would allow the Minister to determine that a person ceases to be an Australian citizen in breach of Australia’s international obligations regarding statelessness.</w:t>
      </w:r>
      <w:r w:rsidRPr="00505DB6">
        <w:rPr>
          <w:rStyle w:val="EndnoteReference"/>
          <w:rFonts w:cs="Open Sans"/>
        </w:rPr>
        <w:endnoteReference w:id="32"/>
      </w:r>
    </w:p>
    <w:p w14:paraId="4750EBA3" w14:textId="77777777" w:rsidR="00A10AB7"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Statement of Compatibility</w:t>
      </w:r>
      <w:r w:rsidR="003A4792" w:rsidRPr="00505DB6">
        <w:rPr>
          <w:rFonts w:cs="Open Sans"/>
        </w:rPr>
        <w:t xml:space="preserve"> with Human Rights</w:t>
      </w:r>
      <w:r w:rsidRPr="00505DB6">
        <w:rPr>
          <w:rFonts w:cs="Open Sans"/>
        </w:rPr>
        <w:t xml:space="preserve"> </w:t>
      </w:r>
      <w:r w:rsidR="00AB73E7" w:rsidRPr="00505DB6">
        <w:rPr>
          <w:rFonts w:cs="Open Sans"/>
        </w:rPr>
        <w:t xml:space="preserve">further </w:t>
      </w:r>
      <w:r w:rsidR="0000042D">
        <w:rPr>
          <w:rFonts w:cs="Open Sans"/>
        </w:rPr>
        <w:t>claims</w:t>
      </w:r>
      <w:r w:rsidRPr="00505DB6">
        <w:rPr>
          <w:rFonts w:cs="Open Sans"/>
        </w:rPr>
        <w:t xml:space="preserve"> that the lowered threshold is consistent with Australia’s human rights obligations not to render a</w:t>
      </w:r>
      <w:r w:rsidR="00AB73E7" w:rsidRPr="00505DB6">
        <w:rPr>
          <w:rFonts w:cs="Open Sans"/>
        </w:rPr>
        <w:t xml:space="preserve"> person stateless, and </w:t>
      </w:r>
      <w:proofErr w:type="gramStart"/>
      <w:r w:rsidR="00AB73E7" w:rsidRPr="00505DB6">
        <w:rPr>
          <w:rFonts w:cs="Open Sans"/>
        </w:rPr>
        <w:t xml:space="preserve">will be </w:t>
      </w:r>
      <w:r w:rsidRPr="00505DB6">
        <w:rPr>
          <w:rFonts w:cs="Open Sans"/>
        </w:rPr>
        <w:t>applied</w:t>
      </w:r>
      <w:proofErr w:type="gramEnd"/>
      <w:r w:rsidRPr="00505DB6">
        <w:rPr>
          <w:rFonts w:cs="Open Sans"/>
        </w:rPr>
        <w:t xml:space="preserve"> consistent</w:t>
      </w:r>
      <w:r w:rsidR="00AB73E7" w:rsidRPr="00505DB6">
        <w:rPr>
          <w:rFonts w:cs="Open Sans"/>
        </w:rPr>
        <w:t>ly</w:t>
      </w:r>
      <w:r w:rsidRPr="00505DB6">
        <w:rPr>
          <w:rFonts w:cs="Open Sans"/>
        </w:rPr>
        <w:t xml:space="preserve"> with longstanding practice as it applies to other provisions of the Act.</w:t>
      </w:r>
      <w:r w:rsidRPr="00505DB6">
        <w:rPr>
          <w:rStyle w:val="EndnoteReference"/>
          <w:rFonts w:cs="Open Sans"/>
        </w:rPr>
        <w:endnoteReference w:id="33"/>
      </w:r>
      <w:r w:rsidRPr="00505DB6">
        <w:rPr>
          <w:rFonts w:cs="Open Sans"/>
        </w:rPr>
        <w:t xml:space="preserve"> </w:t>
      </w:r>
    </w:p>
    <w:p w14:paraId="066CA216"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It states that the test o</w:t>
      </w:r>
      <w:r w:rsidR="00AB73E7" w:rsidRPr="00505DB6">
        <w:rPr>
          <w:rFonts w:cs="Open Sans"/>
        </w:rPr>
        <w:t xml:space="preserve">f ‘satisfaction’ </w:t>
      </w:r>
      <w:proofErr w:type="gramStart"/>
      <w:r w:rsidR="00AB73E7" w:rsidRPr="00505DB6">
        <w:rPr>
          <w:rFonts w:cs="Open Sans"/>
        </w:rPr>
        <w:t>has been used</w:t>
      </w:r>
      <w:proofErr w:type="gramEnd"/>
      <w:r w:rsidR="00AB73E7" w:rsidRPr="00505DB6">
        <w:rPr>
          <w:rFonts w:cs="Open Sans"/>
        </w:rPr>
        <w:t xml:space="preserve"> </w:t>
      </w:r>
      <w:r w:rsidRPr="00505DB6">
        <w:rPr>
          <w:rFonts w:cs="Open Sans"/>
        </w:rPr>
        <w:t>for many cases of revocation of citizenship for serious offences under s 34 of the Act and there are ‘well-established practices and processes in place’.</w:t>
      </w:r>
      <w:r w:rsidRPr="00505DB6">
        <w:rPr>
          <w:rFonts w:cs="Open Sans"/>
          <w:vertAlign w:val="superscript"/>
        </w:rPr>
        <w:endnoteReference w:id="34"/>
      </w:r>
      <w:r w:rsidR="00AB73E7" w:rsidRPr="00505DB6">
        <w:rPr>
          <w:rFonts w:cs="Open Sans"/>
        </w:rPr>
        <w:t xml:space="preserve"> </w:t>
      </w:r>
      <w:r w:rsidR="002D1A16">
        <w:rPr>
          <w:rFonts w:cs="Open Sans"/>
        </w:rPr>
        <w:t>The Statement of Compatibility</w:t>
      </w:r>
      <w:r w:rsidR="002D1A16" w:rsidRPr="00505DB6">
        <w:rPr>
          <w:rFonts w:cs="Open Sans"/>
        </w:rPr>
        <w:t xml:space="preserve"> </w:t>
      </w:r>
      <w:r w:rsidR="00462FC0">
        <w:rPr>
          <w:rFonts w:cs="Open Sans"/>
        </w:rPr>
        <w:t xml:space="preserve">also </w:t>
      </w:r>
      <w:r w:rsidRPr="00505DB6">
        <w:rPr>
          <w:rFonts w:cs="Open Sans"/>
        </w:rPr>
        <w:t>specifically addresses the ris</w:t>
      </w:r>
      <w:r w:rsidR="00A10AB7">
        <w:rPr>
          <w:rFonts w:cs="Open Sans"/>
        </w:rPr>
        <w:t xml:space="preserve">k of statelessness of a child, claiming </w:t>
      </w:r>
      <w:r w:rsidR="00AB73E7" w:rsidRPr="00505DB6">
        <w:rPr>
          <w:rFonts w:cs="Open Sans"/>
        </w:rPr>
        <w:t xml:space="preserve">that </w:t>
      </w:r>
      <w:r w:rsidR="002C44C8">
        <w:rPr>
          <w:rFonts w:cs="Open Sans"/>
        </w:rPr>
        <w:t xml:space="preserve">removal of citizenship </w:t>
      </w:r>
      <w:r w:rsidRPr="00505DB6">
        <w:rPr>
          <w:rFonts w:cs="Open Sans"/>
        </w:rPr>
        <w:t>is not available in circumstances where it would render a child stateless.</w:t>
      </w:r>
      <w:r w:rsidRPr="00505DB6">
        <w:rPr>
          <w:rFonts w:cs="Open Sans"/>
          <w:vertAlign w:val="superscript"/>
        </w:rPr>
        <w:endnoteReference w:id="35"/>
      </w:r>
    </w:p>
    <w:p w14:paraId="1092DF9E" w14:textId="77777777" w:rsidR="00660A40" w:rsidRDefault="00A15629" w:rsidP="0046153D">
      <w:pPr>
        <w:pStyle w:val="ListNumber"/>
        <w:numPr>
          <w:ilvl w:val="0"/>
          <w:numId w:val="15"/>
        </w:numPr>
        <w:tabs>
          <w:tab w:val="num" w:pos="993"/>
          <w:tab w:val="left" w:pos="1418"/>
        </w:tabs>
        <w:ind w:left="709" w:hanging="567"/>
        <w:rPr>
          <w:rFonts w:cs="Open Sans"/>
        </w:rPr>
      </w:pPr>
      <w:r w:rsidRPr="00505DB6">
        <w:rPr>
          <w:rFonts w:cs="Open Sans"/>
        </w:rPr>
        <w:t>However, despite these</w:t>
      </w:r>
      <w:r w:rsidR="00AB73E7" w:rsidRPr="00505DB6">
        <w:rPr>
          <w:rFonts w:cs="Open Sans"/>
        </w:rPr>
        <w:t xml:space="preserve"> stated intentions, the Commission holds serious concerns that the lowered</w:t>
      </w:r>
      <w:r w:rsidRPr="00505DB6">
        <w:rPr>
          <w:rFonts w:cs="Open Sans"/>
        </w:rPr>
        <w:t xml:space="preserve"> threshold removes an important safeguard </w:t>
      </w:r>
      <w:r w:rsidR="00AB73E7" w:rsidRPr="00505DB6">
        <w:rPr>
          <w:rFonts w:cs="Open Sans"/>
        </w:rPr>
        <w:t>to</w:t>
      </w:r>
      <w:r w:rsidRPr="00505DB6">
        <w:rPr>
          <w:rFonts w:cs="Open Sans"/>
        </w:rPr>
        <w:t xml:space="preserve"> prevent a </w:t>
      </w:r>
      <w:r w:rsidR="00AB73E7" w:rsidRPr="00505DB6">
        <w:rPr>
          <w:rFonts w:cs="Open Sans"/>
        </w:rPr>
        <w:t xml:space="preserve">person </w:t>
      </w:r>
      <w:proofErr w:type="gramStart"/>
      <w:r w:rsidR="00AB73E7" w:rsidRPr="00505DB6">
        <w:rPr>
          <w:rFonts w:cs="Open Sans"/>
        </w:rPr>
        <w:t>being rendered</w:t>
      </w:r>
      <w:proofErr w:type="gramEnd"/>
      <w:r w:rsidR="00AB73E7" w:rsidRPr="00505DB6">
        <w:rPr>
          <w:rFonts w:cs="Open Sans"/>
        </w:rPr>
        <w:t xml:space="preserve"> stateless</w:t>
      </w:r>
      <w:r w:rsidR="00660A40">
        <w:rPr>
          <w:rFonts w:cs="Open Sans"/>
        </w:rPr>
        <w:t xml:space="preserve"> in two ways</w:t>
      </w:r>
      <w:r w:rsidRPr="00505DB6">
        <w:rPr>
          <w:rFonts w:cs="Open Sans"/>
        </w:rPr>
        <w:t>.</w:t>
      </w:r>
    </w:p>
    <w:p w14:paraId="6D9957A9" w14:textId="77777777" w:rsidR="00642BD6" w:rsidRDefault="00660A40" w:rsidP="00660A40">
      <w:pPr>
        <w:pStyle w:val="ListNumber"/>
        <w:numPr>
          <w:ilvl w:val="0"/>
          <w:numId w:val="15"/>
        </w:numPr>
        <w:tabs>
          <w:tab w:val="num" w:pos="993"/>
          <w:tab w:val="left" w:pos="1418"/>
        </w:tabs>
        <w:ind w:left="709" w:hanging="567"/>
        <w:rPr>
          <w:rFonts w:cs="Open Sans"/>
        </w:rPr>
      </w:pPr>
      <w:r>
        <w:rPr>
          <w:rFonts w:cs="Open Sans"/>
        </w:rPr>
        <w:t xml:space="preserve">First, it </w:t>
      </w:r>
      <w:r w:rsidR="0086076D">
        <w:rPr>
          <w:rFonts w:cs="Open Sans"/>
        </w:rPr>
        <w:t xml:space="preserve">provides for a less rigorous decision-making process than is currently provided for in the Act, by </w:t>
      </w:r>
      <w:r>
        <w:rPr>
          <w:rFonts w:cs="Open Sans"/>
        </w:rPr>
        <w:t>lowe</w:t>
      </w:r>
      <w:r w:rsidR="0086076D">
        <w:rPr>
          <w:rFonts w:cs="Open Sans"/>
        </w:rPr>
        <w:t>ring</w:t>
      </w:r>
      <w:r>
        <w:rPr>
          <w:rFonts w:cs="Open Sans"/>
        </w:rPr>
        <w:t xml:space="preserve"> the administrative fact-finding requirements applicable to the decision maker. That is, the current test</w:t>
      </w:r>
      <w:r w:rsidR="00120ACA">
        <w:rPr>
          <w:rFonts w:cs="Open Sans"/>
        </w:rPr>
        <w:t xml:space="preserve"> requires</w:t>
      </w:r>
      <w:r>
        <w:rPr>
          <w:rFonts w:cs="Open Sans"/>
        </w:rPr>
        <w:t xml:space="preserve"> </w:t>
      </w:r>
      <w:r w:rsidR="00F07A0D">
        <w:rPr>
          <w:rFonts w:cs="Open Sans"/>
        </w:rPr>
        <w:t xml:space="preserve">that a </w:t>
      </w:r>
      <w:r w:rsidR="00120ACA">
        <w:rPr>
          <w:rFonts w:cs="Open Sans"/>
        </w:rPr>
        <w:t>person</w:t>
      </w:r>
      <w:r w:rsidR="00F07A0D">
        <w:rPr>
          <w:rFonts w:cs="Open Sans"/>
        </w:rPr>
        <w:t xml:space="preserve"> </w:t>
      </w:r>
      <w:r w:rsidR="00F07A0D" w:rsidRPr="003A3A9E">
        <w:rPr>
          <w:rFonts w:cs="Open Sans"/>
          <w:i/>
        </w:rPr>
        <w:t>is</w:t>
      </w:r>
      <w:r w:rsidR="00F07A0D">
        <w:rPr>
          <w:rFonts w:cs="Open Sans"/>
        </w:rPr>
        <w:t xml:space="preserve"> a dual citizen</w:t>
      </w:r>
      <w:r w:rsidR="00120ACA">
        <w:rPr>
          <w:rFonts w:cs="Open Sans"/>
        </w:rPr>
        <w:t>.</w:t>
      </w:r>
      <w:r>
        <w:rPr>
          <w:rFonts w:cs="Open Sans"/>
        </w:rPr>
        <w:t xml:space="preserve"> </w:t>
      </w:r>
      <w:r w:rsidR="00120ACA">
        <w:rPr>
          <w:rFonts w:cs="Open Sans"/>
        </w:rPr>
        <w:t xml:space="preserve">The new proposed </w:t>
      </w:r>
      <w:r w:rsidR="00ED7C40">
        <w:rPr>
          <w:rFonts w:cs="Open Sans"/>
        </w:rPr>
        <w:t>test</w:t>
      </w:r>
      <w:r w:rsidR="00120ACA">
        <w:rPr>
          <w:rFonts w:cs="Open Sans"/>
        </w:rPr>
        <w:t xml:space="preserve"> </w:t>
      </w:r>
      <w:r w:rsidR="000E6F52">
        <w:rPr>
          <w:rFonts w:cs="Open Sans"/>
        </w:rPr>
        <w:t xml:space="preserve">would only </w:t>
      </w:r>
      <w:r w:rsidR="00120ACA">
        <w:rPr>
          <w:rFonts w:cs="Open Sans"/>
        </w:rPr>
        <w:t xml:space="preserve">require the Minister to </w:t>
      </w:r>
      <w:r w:rsidR="00642BD6">
        <w:rPr>
          <w:rFonts w:cs="Open Sans"/>
        </w:rPr>
        <w:t>reach a state of satisfaction as to a person’s dual citizenship, acting reasonably.</w:t>
      </w:r>
    </w:p>
    <w:p w14:paraId="2EC4CF21" w14:textId="7A1DAB79" w:rsidR="0086076D" w:rsidRDefault="00E54763" w:rsidP="002A34FA">
      <w:pPr>
        <w:pStyle w:val="ListNumber"/>
        <w:numPr>
          <w:ilvl w:val="0"/>
          <w:numId w:val="15"/>
        </w:numPr>
        <w:tabs>
          <w:tab w:val="num" w:pos="993"/>
          <w:tab w:val="left" w:pos="1418"/>
        </w:tabs>
        <w:ind w:left="709" w:hanging="567"/>
        <w:rPr>
          <w:rFonts w:cs="Open Sans"/>
        </w:rPr>
      </w:pPr>
      <w:r>
        <w:rPr>
          <w:rFonts w:cs="Open Sans"/>
        </w:rPr>
        <w:lastRenderedPageBreak/>
        <w:t>Secondly</w:t>
      </w:r>
      <w:r w:rsidR="002A34FA">
        <w:rPr>
          <w:rFonts w:cs="Open Sans"/>
        </w:rPr>
        <w:t xml:space="preserve"> and importantly, </w:t>
      </w:r>
      <w:r w:rsidR="00642E98">
        <w:rPr>
          <w:rFonts w:cs="Open Sans"/>
        </w:rPr>
        <w:t>the Bill would</w:t>
      </w:r>
      <w:r w:rsidR="002A34FA" w:rsidRPr="00505DB6">
        <w:rPr>
          <w:rFonts w:cs="Open Sans"/>
        </w:rPr>
        <w:t xml:space="preserve"> lower the intensity of available judicial review.</w:t>
      </w:r>
      <w:r w:rsidR="002A34FA" w:rsidRPr="00505DB6">
        <w:rPr>
          <w:rStyle w:val="EndnoteReference"/>
          <w:rFonts w:cs="Open Sans"/>
        </w:rPr>
        <w:endnoteReference w:id="36"/>
      </w:r>
      <w:r w:rsidR="002A34FA">
        <w:rPr>
          <w:rFonts w:cs="Open Sans"/>
        </w:rPr>
        <w:t xml:space="preserve"> </w:t>
      </w:r>
      <w:r w:rsidR="0086076D">
        <w:rPr>
          <w:rFonts w:cs="Open Sans"/>
        </w:rPr>
        <w:t>Currently, the Act makes</w:t>
      </w:r>
      <w:r w:rsidR="002A34FA" w:rsidRPr="00505DB6">
        <w:rPr>
          <w:rFonts w:cs="Open Sans"/>
        </w:rPr>
        <w:t xml:space="preserve"> the question</w:t>
      </w:r>
      <w:r w:rsidR="003A3A9E">
        <w:rPr>
          <w:rFonts w:cs="Open Sans"/>
        </w:rPr>
        <w:t xml:space="preserve"> </w:t>
      </w:r>
      <w:r w:rsidR="002A34FA" w:rsidRPr="00505DB6">
        <w:rPr>
          <w:rFonts w:cs="Open Sans"/>
        </w:rPr>
        <w:t>whether a person is a national or citizen of another country a jurisdictional fact</w:t>
      </w:r>
      <w:r w:rsidR="0086076D">
        <w:rPr>
          <w:rFonts w:cs="Open Sans"/>
        </w:rPr>
        <w:t xml:space="preserve">. This means that a court in judicial review can receive evidence of whether the individual in question is indeed a dual citizen. If the Minister has wrongly found that the individual is a dual citizen, the court can correct this error. </w:t>
      </w:r>
    </w:p>
    <w:p w14:paraId="4F4AEBA5" w14:textId="77777777" w:rsidR="00A6120A" w:rsidRDefault="0086076D" w:rsidP="002A34FA">
      <w:pPr>
        <w:pStyle w:val="ListNumber"/>
        <w:numPr>
          <w:ilvl w:val="0"/>
          <w:numId w:val="15"/>
        </w:numPr>
        <w:tabs>
          <w:tab w:val="num" w:pos="993"/>
          <w:tab w:val="left" w:pos="1418"/>
        </w:tabs>
        <w:ind w:left="709" w:hanging="567"/>
        <w:rPr>
          <w:rFonts w:cs="Open Sans"/>
        </w:rPr>
      </w:pPr>
      <w:r>
        <w:rPr>
          <w:rFonts w:cs="Open Sans"/>
        </w:rPr>
        <w:t>By contrast</w:t>
      </w:r>
      <w:r w:rsidR="002A34FA" w:rsidRPr="00505DB6">
        <w:rPr>
          <w:rFonts w:cs="Open Sans"/>
        </w:rPr>
        <w:t>,</w:t>
      </w:r>
      <w:r>
        <w:rPr>
          <w:rFonts w:cs="Open Sans"/>
        </w:rPr>
        <w:t xml:space="preserve"> the Bill would reduce the capacity of</w:t>
      </w:r>
      <w:r w:rsidR="002A34FA" w:rsidRPr="00505DB6">
        <w:rPr>
          <w:rFonts w:cs="Open Sans"/>
        </w:rPr>
        <w:t xml:space="preserve"> a court </w:t>
      </w:r>
      <w:r>
        <w:rPr>
          <w:rFonts w:cs="Open Sans"/>
        </w:rPr>
        <w:t xml:space="preserve">to correct this error, because </w:t>
      </w:r>
      <w:r w:rsidR="00CC4AA5">
        <w:rPr>
          <w:rFonts w:cs="Open Sans"/>
        </w:rPr>
        <w:t>the court</w:t>
      </w:r>
      <w:r>
        <w:rPr>
          <w:rFonts w:cs="Open Sans"/>
        </w:rPr>
        <w:t xml:space="preserve"> would only be able to </w:t>
      </w:r>
      <w:r w:rsidR="002A34FA" w:rsidRPr="00505DB6">
        <w:rPr>
          <w:rFonts w:cs="Open Sans"/>
        </w:rPr>
        <w:t xml:space="preserve">review the </w:t>
      </w:r>
      <w:r w:rsidR="002A34FA" w:rsidRPr="003A3A9E">
        <w:rPr>
          <w:rFonts w:cs="Open Sans"/>
          <w:i/>
        </w:rPr>
        <w:t>reasonableness</w:t>
      </w:r>
      <w:r w:rsidR="002A34FA" w:rsidRPr="00505DB6">
        <w:rPr>
          <w:rFonts w:cs="Open Sans"/>
        </w:rPr>
        <w:t xml:space="preserve"> of the Minister’s satisfaction.</w:t>
      </w:r>
      <w:r w:rsidR="002A34FA" w:rsidRPr="00505DB6">
        <w:rPr>
          <w:rStyle w:val="EndnoteReference"/>
          <w:rFonts w:cs="Open Sans"/>
        </w:rPr>
        <w:endnoteReference w:id="37"/>
      </w:r>
      <w:r w:rsidR="002A34FA" w:rsidRPr="00505DB6">
        <w:rPr>
          <w:rFonts w:cs="Open Sans"/>
        </w:rPr>
        <w:t xml:space="preserve"> </w:t>
      </w:r>
      <w:r>
        <w:rPr>
          <w:rFonts w:cs="Open Sans"/>
        </w:rPr>
        <w:t>If the Minister acts reasonably, but still mistakenly finds that the individual is a dual citizen, th</w:t>
      </w:r>
      <w:r w:rsidR="00CC4AA5">
        <w:rPr>
          <w:rFonts w:cs="Open Sans"/>
        </w:rPr>
        <w:t xml:space="preserve">e Court would not be able to intervene and the individual </w:t>
      </w:r>
      <w:proofErr w:type="gramStart"/>
      <w:r w:rsidR="00CC4AA5">
        <w:rPr>
          <w:rFonts w:cs="Open Sans"/>
        </w:rPr>
        <w:t>would be rendered</w:t>
      </w:r>
      <w:proofErr w:type="gramEnd"/>
      <w:r w:rsidR="00CC4AA5">
        <w:rPr>
          <w:rFonts w:cs="Open Sans"/>
        </w:rPr>
        <w:t xml:space="preserve"> stateless.</w:t>
      </w:r>
    </w:p>
    <w:p w14:paraId="083EFDCC" w14:textId="0C347B96" w:rsidR="002A34FA" w:rsidRPr="00CC4AA5" w:rsidRDefault="002A34FA" w:rsidP="00CC4AA5">
      <w:pPr>
        <w:pStyle w:val="ListNumber"/>
        <w:numPr>
          <w:ilvl w:val="0"/>
          <w:numId w:val="15"/>
        </w:numPr>
        <w:tabs>
          <w:tab w:val="num" w:pos="993"/>
          <w:tab w:val="left" w:pos="1418"/>
        </w:tabs>
        <w:ind w:left="709" w:hanging="567"/>
        <w:rPr>
          <w:rFonts w:cs="Open Sans"/>
        </w:rPr>
      </w:pPr>
      <w:r w:rsidRPr="00CC4AA5">
        <w:rPr>
          <w:rFonts w:cs="Open Sans"/>
        </w:rPr>
        <w:t>Th</w:t>
      </w:r>
      <w:r w:rsidR="00CC4AA5">
        <w:rPr>
          <w:rFonts w:cs="Open Sans"/>
        </w:rPr>
        <w:t xml:space="preserve">e impact, therefore, </w:t>
      </w:r>
      <w:r w:rsidRPr="00CC4AA5">
        <w:rPr>
          <w:rFonts w:cs="Open Sans"/>
        </w:rPr>
        <w:t xml:space="preserve">is </w:t>
      </w:r>
      <w:r w:rsidR="00CC4AA5">
        <w:rPr>
          <w:rFonts w:cs="Open Sans"/>
        </w:rPr>
        <w:t xml:space="preserve">an </w:t>
      </w:r>
      <w:r w:rsidR="00B51A89" w:rsidRPr="00CC4AA5">
        <w:rPr>
          <w:rFonts w:cs="Open Sans"/>
        </w:rPr>
        <w:t>in</w:t>
      </w:r>
      <w:r w:rsidR="00A6120A" w:rsidRPr="00CC4AA5">
        <w:rPr>
          <w:rFonts w:cs="Open Sans"/>
        </w:rPr>
        <w:t>crease</w:t>
      </w:r>
      <w:r w:rsidR="00CC4AA5">
        <w:rPr>
          <w:rFonts w:cs="Open Sans"/>
        </w:rPr>
        <w:t>d</w:t>
      </w:r>
      <w:r w:rsidR="00A6120A" w:rsidRPr="00CC4AA5">
        <w:rPr>
          <w:rFonts w:cs="Open Sans"/>
        </w:rPr>
        <w:t xml:space="preserve"> risk that an error </w:t>
      </w:r>
      <w:proofErr w:type="gramStart"/>
      <w:r w:rsidR="00EC00BE">
        <w:rPr>
          <w:rFonts w:cs="Open Sans"/>
        </w:rPr>
        <w:t>may</w:t>
      </w:r>
      <w:r w:rsidR="00EC00BE" w:rsidRPr="00CC4AA5">
        <w:rPr>
          <w:rFonts w:cs="Open Sans"/>
        </w:rPr>
        <w:t xml:space="preserve"> </w:t>
      </w:r>
      <w:r w:rsidR="00B51A89" w:rsidRPr="00CC4AA5">
        <w:rPr>
          <w:rFonts w:cs="Open Sans"/>
        </w:rPr>
        <w:t xml:space="preserve">not </w:t>
      </w:r>
      <w:r w:rsidR="00A6120A" w:rsidRPr="00CC4AA5">
        <w:rPr>
          <w:rFonts w:cs="Open Sans"/>
        </w:rPr>
        <w:t>be corrected</w:t>
      </w:r>
      <w:proofErr w:type="gramEnd"/>
      <w:r w:rsidR="00A6120A" w:rsidRPr="00CC4AA5">
        <w:rPr>
          <w:rFonts w:cs="Open Sans"/>
        </w:rPr>
        <w:t xml:space="preserve"> on review</w:t>
      </w:r>
      <w:r w:rsidR="00F07A0D" w:rsidRPr="00CC4AA5">
        <w:rPr>
          <w:rFonts w:cs="Open Sans"/>
        </w:rPr>
        <w:t>,</w:t>
      </w:r>
      <w:r w:rsidR="00A6120A" w:rsidRPr="00CC4AA5">
        <w:rPr>
          <w:rFonts w:cs="Open Sans"/>
        </w:rPr>
        <w:t xml:space="preserve"> further diluting a safeguard</w:t>
      </w:r>
      <w:r w:rsidRPr="00CC4AA5">
        <w:rPr>
          <w:rFonts w:cs="Open Sans"/>
        </w:rPr>
        <w:t xml:space="preserve"> </w:t>
      </w:r>
      <w:r w:rsidR="00A6120A" w:rsidRPr="00CC4AA5">
        <w:rPr>
          <w:rFonts w:cs="Open Sans"/>
        </w:rPr>
        <w:t>against</w:t>
      </w:r>
      <w:r w:rsidRPr="00CC4AA5">
        <w:rPr>
          <w:rFonts w:cs="Open Sans"/>
        </w:rPr>
        <w:t xml:space="preserve"> statelessness.</w:t>
      </w:r>
      <w:r w:rsidR="004229BB" w:rsidRPr="00CC4AA5">
        <w:rPr>
          <w:rFonts w:cs="Open Sans"/>
        </w:rPr>
        <w:t xml:space="preserve"> </w:t>
      </w:r>
      <w:r w:rsidR="00CC4AA5">
        <w:rPr>
          <w:rFonts w:cs="Open Sans"/>
        </w:rPr>
        <w:t xml:space="preserve">This situation might be more understandable if the Act allowed </w:t>
      </w:r>
      <w:r w:rsidR="004229BB" w:rsidRPr="00CC4AA5">
        <w:rPr>
          <w:rFonts w:cs="Open Sans"/>
        </w:rPr>
        <w:t xml:space="preserve">merits review </w:t>
      </w:r>
      <w:r w:rsidR="00CC4AA5">
        <w:rPr>
          <w:rFonts w:cs="Open Sans"/>
        </w:rPr>
        <w:t xml:space="preserve">via </w:t>
      </w:r>
      <w:r w:rsidR="004229BB" w:rsidRPr="00CC4AA5">
        <w:rPr>
          <w:rFonts w:cs="Open Sans"/>
        </w:rPr>
        <w:t xml:space="preserve">the Administrative Appeals Tribunal </w:t>
      </w:r>
      <w:r w:rsidR="00CC4AA5">
        <w:rPr>
          <w:rFonts w:cs="Open Sans"/>
        </w:rPr>
        <w:t>for decisions made under s</w:t>
      </w:r>
      <w:r w:rsidR="001A5D1D">
        <w:rPr>
          <w:rFonts w:cs="Open Sans"/>
        </w:rPr>
        <w:t> </w:t>
      </w:r>
      <w:r w:rsidR="00CC4AA5">
        <w:rPr>
          <w:rFonts w:cs="Open Sans"/>
        </w:rPr>
        <w:t xml:space="preserve">35A. However, no merits review is available for these decisions, thus rendering it imperative that the decision </w:t>
      </w:r>
      <w:proofErr w:type="gramStart"/>
      <w:r w:rsidR="00CC4AA5">
        <w:rPr>
          <w:rFonts w:cs="Open Sans"/>
        </w:rPr>
        <w:t>is made</w:t>
      </w:r>
      <w:proofErr w:type="gramEnd"/>
      <w:r w:rsidR="00CC4AA5">
        <w:rPr>
          <w:rFonts w:cs="Open Sans"/>
        </w:rPr>
        <w:t xml:space="preserve"> correctly at first instance</w:t>
      </w:r>
      <w:r w:rsidR="004229BB" w:rsidRPr="00CC4AA5">
        <w:rPr>
          <w:rFonts w:cs="Open Sans"/>
        </w:rPr>
        <w:t>.</w:t>
      </w:r>
    </w:p>
    <w:p w14:paraId="739B4150" w14:textId="77777777" w:rsidR="00A15629" w:rsidRPr="00505DB6" w:rsidRDefault="00606848" w:rsidP="0046153D">
      <w:pPr>
        <w:pStyle w:val="ListNumber"/>
        <w:numPr>
          <w:ilvl w:val="0"/>
          <w:numId w:val="15"/>
        </w:numPr>
        <w:tabs>
          <w:tab w:val="num" w:pos="993"/>
          <w:tab w:val="left" w:pos="1418"/>
        </w:tabs>
        <w:ind w:left="709" w:hanging="567"/>
        <w:rPr>
          <w:rFonts w:cs="Open Sans"/>
        </w:rPr>
      </w:pPr>
      <w:r w:rsidRPr="00101C01">
        <w:rPr>
          <w:rFonts w:cs="Open Sans"/>
        </w:rPr>
        <w:t>The Explanatory Memorandum to the Bill suggests that the</w:t>
      </w:r>
      <w:r w:rsidRPr="00E3021A">
        <w:rPr>
          <w:rFonts w:cs="Open Sans"/>
        </w:rPr>
        <w:t xml:space="preserve"> reason for making this c</w:t>
      </w:r>
      <w:r w:rsidRPr="001C44D2">
        <w:rPr>
          <w:rFonts w:cs="Open Sans"/>
        </w:rPr>
        <w:t>hange is in order to ensure ‘consistency’ with other provisions of the Act.</w:t>
      </w:r>
      <w:r w:rsidRPr="00505DB6">
        <w:rPr>
          <w:rStyle w:val="EndnoteReference"/>
          <w:rFonts w:cs="Open Sans"/>
        </w:rPr>
        <w:endnoteReference w:id="38"/>
      </w:r>
      <w:r>
        <w:rPr>
          <w:rFonts w:cs="Open Sans"/>
        </w:rPr>
        <w:t xml:space="preserve"> </w:t>
      </w:r>
      <w:r w:rsidR="00A15629" w:rsidRPr="00505DB6">
        <w:rPr>
          <w:rFonts w:cs="Open Sans"/>
        </w:rPr>
        <w:t xml:space="preserve">The justification of lowering the threshold for ‘consistency’ with the rest of the Act is highly inadequate in light of the extreme consequences. Any policy goal would need to be considerably important and </w:t>
      </w:r>
      <w:proofErr w:type="gramStart"/>
      <w:r w:rsidR="00A15629" w:rsidRPr="00505DB6">
        <w:rPr>
          <w:rFonts w:cs="Open Sans"/>
        </w:rPr>
        <w:t>well-justified</w:t>
      </w:r>
      <w:proofErr w:type="gramEnd"/>
      <w:r w:rsidR="00A15629" w:rsidRPr="00505DB6">
        <w:rPr>
          <w:rFonts w:cs="Open Sans"/>
        </w:rPr>
        <w:t xml:space="preserve"> to </w:t>
      </w:r>
      <w:r w:rsidR="0050090B" w:rsidRPr="00505DB6">
        <w:rPr>
          <w:rFonts w:cs="Open Sans"/>
        </w:rPr>
        <w:t>warrant removal of citizenship especially where it</w:t>
      </w:r>
      <w:r w:rsidR="00A15629" w:rsidRPr="00505DB6">
        <w:rPr>
          <w:rFonts w:cs="Open Sans"/>
        </w:rPr>
        <w:t xml:space="preserve"> could result in statelessness. Reasons of legislative consistency </w:t>
      </w:r>
      <w:r w:rsidR="0050090B" w:rsidRPr="00505DB6">
        <w:rPr>
          <w:rFonts w:cs="Open Sans"/>
        </w:rPr>
        <w:t>are not persuasive</w:t>
      </w:r>
      <w:r w:rsidR="00A15629" w:rsidRPr="00505DB6">
        <w:rPr>
          <w:rFonts w:cs="Open Sans"/>
        </w:rPr>
        <w:t xml:space="preserve">. </w:t>
      </w:r>
    </w:p>
    <w:p w14:paraId="2625A1D6" w14:textId="43F0C1D8" w:rsidR="00762A37" w:rsidRPr="00505DB6" w:rsidRDefault="00762A37" w:rsidP="00762A37">
      <w:pPr>
        <w:pStyle w:val="ListNumber"/>
        <w:numPr>
          <w:ilvl w:val="0"/>
          <w:numId w:val="15"/>
        </w:numPr>
        <w:tabs>
          <w:tab w:val="num" w:pos="993"/>
          <w:tab w:val="left" w:pos="1418"/>
        </w:tabs>
        <w:ind w:left="709" w:hanging="567"/>
        <w:rPr>
          <w:rFonts w:cs="Open Sans"/>
        </w:rPr>
      </w:pPr>
      <w:r w:rsidRPr="00505DB6">
        <w:rPr>
          <w:rFonts w:cs="Open Sans"/>
        </w:rPr>
        <w:t>Th</w:t>
      </w:r>
      <w:r>
        <w:rPr>
          <w:rFonts w:cs="Open Sans"/>
        </w:rPr>
        <w:t xml:space="preserve">e proposed amendment raises a serious risk of </w:t>
      </w:r>
      <w:r w:rsidRPr="00505DB6">
        <w:rPr>
          <w:rFonts w:cs="Open Sans"/>
        </w:rPr>
        <w:t xml:space="preserve">conflict with article 15(2) of the </w:t>
      </w:r>
      <w:r w:rsidRPr="00505DB6">
        <w:rPr>
          <w:rFonts w:cs="Open Sans"/>
          <w:iCs/>
        </w:rPr>
        <w:t>UDHR</w:t>
      </w:r>
      <w:r w:rsidRPr="00505DB6">
        <w:rPr>
          <w:rFonts w:cs="Open Sans"/>
        </w:rPr>
        <w:t xml:space="preserve">, the </w:t>
      </w:r>
      <w:r w:rsidR="00146ECF" w:rsidRPr="00146ECF">
        <w:rPr>
          <w:rFonts w:cs="Open Sans"/>
        </w:rPr>
        <w:t>Statelessness Convention</w:t>
      </w:r>
      <w:r w:rsidRPr="00505DB6">
        <w:rPr>
          <w:rFonts w:cs="Open Sans"/>
        </w:rPr>
        <w:t xml:space="preserve"> and the</w:t>
      </w:r>
      <w:r w:rsidRPr="00505DB6">
        <w:rPr>
          <w:rFonts w:cs="Open Sans"/>
          <w:i/>
          <w:iCs/>
        </w:rPr>
        <w:t xml:space="preserve"> </w:t>
      </w:r>
      <w:r w:rsidRPr="00505DB6">
        <w:rPr>
          <w:rFonts w:cs="Open Sans"/>
          <w:iCs/>
        </w:rPr>
        <w:t>CR</w:t>
      </w:r>
      <w:r w:rsidR="00146ECF">
        <w:rPr>
          <w:rFonts w:cs="Open Sans"/>
          <w:iCs/>
        </w:rPr>
        <w:t>C</w:t>
      </w:r>
      <w:r w:rsidR="003679E4">
        <w:rPr>
          <w:rFonts w:cs="Open Sans"/>
        </w:rPr>
        <w:t xml:space="preserve"> (t</w:t>
      </w:r>
      <w:r w:rsidRPr="00505DB6">
        <w:rPr>
          <w:rFonts w:cs="Open Sans"/>
        </w:rPr>
        <w:t xml:space="preserve">he human rights impacts of the Bill on children </w:t>
      </w:r>
      <w:proofErr w:type="gramStart"/>
      <w:r w:rsidRPr="00505DB6">
        <w:rPr>
          <w:rFonts w:cs="Open Sans"/>
        </w:rPr>
        <w:t>is considered</w:t>
      </w:r>
      <w:proofErr w:type="gramEnd"/>
      <w:r w:rsidR="003679E4">
        <w:rPr>
          <w:rFonts w:cs="Open Sans"/>
        </w:rPr>
        <w:t xml:space="preserve"> further</w:t>
      </w:r>
      <w:r w:rsidRPr="00505DB6">
        <w:rPr>
          <w:rFonts w:cs="Open Sans"/>
        </w:rPr>
        <w:t xml:space="preserve"> below at Part </w:t>
      </w:r>
      <w:r w:rsidRPr="00505DB6">
        <w:rPr>
          <w:rFonts w:cs="Open Sans"/>
        </w:rPr>
        <w:fldChar w:fldCharType="begin"/>
      </w:r>
      <w:r w:rsidRPr="00505DB6">
        <w:rPr>
          <w:rFonts w:cs="Open Sans"/>
        </w:rPr>
        <w:instrText xml:space="preserve"> REF _Ref533150720 \r \h </w:instrText>
      </w:r>
      <w:r>
        <w:rPr>
          <w:rFonts w:cs="Open Sans"/>
        </w:rPr>
        <w:instrText xml:space="preserve"> \* MERGEFORMAT </w:instrText>
      </w:r>
      <w:r w:rsidRPr="00505DB6">
        <w:rPr>
          <w:rFonts w:cs="Open Sans"/>
        </w:rPr>
      </w:r>
      <w:r w:rsidRPr="00505DB6">
        <w:rPr>
          <w:rFonts w:cs="Open Sans"/>
        </w:rPr>
        <w:fldChar w:fldCharType="separate"/>
      </w:r>
      <w:r w:rsidR="00EE056D">
        <w:rPr>
          <w:rFonts w:cs="Open Sans"/>
        </w:rPr>
        <w:t>5</w:t>
      </w:r>
      <w:r w:rsidRPr="00505DB6">
        <w:rPr>
          <w:rFonts w:cs="Open Sans"/>
        </w:rPr>
        <w:fldChar w:fldCharType="end"/>
      </w:r>
      <w:r w:rsidR="003679E4">
        <w:rPr>
          <w:rFonts w:cs="Open Sans"/>
        </w:rPr>
        <w:t>)</w:t>
      </w:r>
      <w:r w:rsidRPr="00505DB6">
        <w:rPr>
          <w:rFonts w:cs="Open Sans"/>
        </w:rPr>
        <w:t>.</w:t>
      </w:r>
    </w:p>
    <w:p w14:paraId="0CBE4751" w14:textId="77777777" w:rsidR="00762A37" w:rsidRPr="003679E4" w:rsidRDefault="00762A37" w:rsidP="003A3A9E">
      <w:pPr>
        <w:pStyle w:val="ListNumber"/>
        <w:numPr>
          <w:ilvl w:val="0"/>
          <w:numId w:val="15"/>
        </w:numPr>
        <w:tabs>
          <w:tab w:val="num" w:pos="993"/>
          <w:tab w:val="left" w:pos="1418"/>
        </w:tabs>
        <w:ind w:left="709" w:hanging="567"/>
        <w:rPr>
          <w:rFonts w:cs="Open Sans"/>
        </w:rPr>
      </w:pPr>
      <w:r w:rsidRPr="00505DB6">
        <w:rPr>
          <w:rFonts w:cs="Open Sans"/>
        </w:rPr>
        <w:t xml:space="preserve">The consequences of statelessness are severe. A stateless person </w:t>
      </w:r>
      <w:proofErr w:type="gramStart"/>
      <w:r w:rsidRPr="00505DB6">
        <w:rPr>
          <w:rFonts w:cs="Open Sans"/>
        </w:rPr>
        <w:t>is denied</w:t>
      </w:r>
      <w:proofErr w:type="gramEnd"/>
      <w:r w:rsidRPr="00505DB6">
        <w:rPr>
          <w:rFonts w:cs="Open Sans"/>
        </w:rPr>
        <w:t xml:space="preserve"> all the privileges and protections of citizenship. They face marginalisation</w:t>
      </w:r>
      <w:r w:rsidR="003679E4">
        <w:rPr>
          <w:rFonts w:cs="Open Sans"/>
        </w:rPr>
        <w:t>,</w:t>
      </w:r>
      <w:r w:rsidRPr="00505DB6">
        <w:rPr>
          <w:rFonts w:cs="Open Sans"/>
        </w:rPr>
        <w:t xml:space="preserve"> disempowerment</w:t>
      </w:r>
      <w:r w:rsidR="003679E4">
        <w:rPr>
          <w:rFonts w:cs="Open Sans"/>
        </w:rPr>
        <w:t xml:space="preserve"> and limitations upon </w:t>
      </w:r>
      <w:r w:rsidRPr="003679E4">
        <w:rPr>
          <w:rFonts w:cs="Open Sans"/>
        </w:rPr>
        <w:t>many</w:t>
      </w:r>
      <w:r w:rsidR="003679E4">
        <w:rPr>
          <w:rFonts w:cs="Open Sans"/>
        </w:rPr>
        <w:t xml:space="preserve"> of their</w:t>
      </w:r>
      <w:r w:rsidRPr="003679E4">
        <w:rPr>
          <w:rFonts w:cs="Open Sans"/>
        </w:rPr>
        <w:t xml:space="preserve"> civil, political, economic and social rights, including the right to vote, freedom of movement, property ownership, healthcare, work and education. The family of a stateless person, and especially any dependants, will likely also be subject to diminution of their human rights.</w:t>
      </w:r>
    </w:p>
    <w:p w14:paraId="7AC2A738" w14:textId="77777777" w:rsidR="00A15629" w:rsidRPr="00505DB6" w:rsidRDefault="0050090B" w:rsidP="0046153D">
      <w:pPr>
        <w:pStyle w:val="ListNumber"/>
        <w:numPr>
          <w:ilvl w:val="0"/>
          <w:numId w:val="15"/>
        </w:numPr>
        <w:tabs>
          <w:tab w:val="num" w:pos="993"/>
          <w:tab w:val="left" w:pos="1418"/>
        </w:tabs>
        <w:ind w:left="709" w:hanging="567"/>
        <w:rPr>
          <w:rFonts w:cs="Open Sans"/>
        </w:rPr>
      </w:pPr>
      <w:r w:rsidRPr="00505DB6">
        <w:rPr>
          <w:rFonts w:cs="Open Sans"/>
        </w:rPr>
        <w:t>T</w:t>
      </w:r>
      <w:r w:rsidR="00A15629" w:rsidRPr="00505DB6">
        <w:rPr>
          <w:rFonts w:cs="Open Sans"/>
        </w:rPr>
        <w:t xml:space="preserve">he Commission considers </w:t>
      </w:r>
      <w:r w:rsidRPr="00505DB6">
        <w:rPr>
          <w:rFonts w:cs="Open Sans"/>
        </w:rPr>
        <w:t>that t</w:t>
      </w:r>
      <w:r w:rsidR="00A15629" w:rsidRPr="00505DB6">
        <w:rPr>
          <w:rFonts w:cs="Open Sans"/>
        </w:rPr>
        <w:t xml:space="preserve">he current threshold is an appropriately stringent test to meet, given the severe consequences. It provides </w:t>
      </w:r>
      <w:r w:rsidR="002C44C8">
        <w:rPr>
          <w:rFonts w:cs="Open Sans"/>
        </w:rPr>
        <w:t>stronger</w:t>
      </w:r>
      <w:r w:rsidR="00A15629" w:rsidRPr="00505DB6">
        <w:rPr>
          <w:rFonts w:cs="Open Sans"/>
        </w:rPr>
        <w:t xml:space="preserve"> legislative protection against statelessness</w:t>
      </w:r>
      <w:r w:rsidR="000C247A">
        <w:rPr>
          <w:rFonts w:cs="Open Sans"/>
        </w:rPr>
        <w:t xml:space="preserve">. </w:t>
      </w:r>
      <w:r w:rsidR="00606848">
        <w:rPr>
          <w:rFonts w:cs="Open Sans"/>
        </w:rPr>
        <w:t>The Commission</w:t>
      </w:r>
      <w:r w:rsidR="00DB7110">
        <w:rPr>
          <w:rFonts w:cs="Open Sans"/>
        </w:rPr>
        <w:t xml:space="preserve"> considers </w:t>
      </w:r>
      <w:r w:rsidR="00DB7110">
        <w:rPr>
          <w:rFonts w:cs="Open Sans"/>
        </w:rPr>
        <w:lastRenderedPageBreak/>
        <w:t xml:space="preserve">that the </w:t>
      </w:r>
      <w:r w:rsidR="000C247A">
        <w:rPr>
          <w:rFonts w:cs="Open Sans"/>
        </w:rPr>
        <w:t>current threshold</w:t>
      </w:r>
      <w:r w:rsidR="00A15629" w:rsidRPr="00505DB6">
        <w:rPr>
          <w:rFonts w:cs="Open Sans"/>
        </w:rPr>
        <w:t xml:space="preserve"> increases the likelihood that a correct decision </w:t>
      </w:r>
      <w:proofErr w:type="gramStart"/>
      <w:r w:rsidR="00A15629" w:rsidRPr="00505DB6">
        <w:rPr>
          <w:rFonts w:cs="Open Sans"/>
        </w:rPr>
        <w:t>will be made</w:t>
      </w:r>
      <w:proofErr w:type="gramEnd"/>
      <w:r w:rsidR="00A15629" w:rsidRPr="00505DB6">
        <w:rPr>
          <w:rFonts w:cs="Open Sans"/>
        </w:rPr>
        <w:t xml:space="preserve"> as to the citizenship status of a relevant person, </w:t>
      </w:r>
      <w:r w:rsidR="00DB7110">
        <w:rPr>
          <w:rFonts w:cs="Open Sans"/>
        </w:rPr>
        <w:t>by virtue of the fact-finding test and the</w:t>
      </w:r>
      <w:r w:rsidR="00B664C2">
        <w:rPr>
          <w:rFonts w:cs="Open Sans"/>
        </w:rPr>
        <w:t xml:space="preserve"> intensity of </w:t>
      </w:r>
      <w:r w:rsidR="00606848">
        <w:rPr>
          <w:rFonts w:cs="Open Sans"/>
        </w:rPr>
        <w:t xml:space="preserve">available judicial </w:t>
      </w:r>
      <w:r w:rsidR="00B664C2">
        <w:rPr>
          <w:rFonts w:cs="Open Sans"/>
        </w:rPr>
        <w:t>review</w:t>
      </w:r>
      <w:r w:rsidR="00DB7110">
        <w:rPr>
          <w:rFonts w:cs="Open Sans"/>
        </w:rPr>
        <w:t xml:space="preserve">, </w:t>
      </w:r>
      <w:r w:rsidR="00A15629" w:rsidRPr="00505DB6">
        <w:rPr>
          <w:rFonts w:cs="Open Sans"/>
        </w:rPr>
        <w:t>minimising the risk of statelessness.</w:t>
      </w:r>
    </w:p>
    <w:p w14:paraId="18960369" w14:textId="06494FB1" w:rsidR="00A15629" w:rsidRPr="00505DB6" w:rsidRDefault="00A15629" w:rsidP="000C7D1D">
      <w:pPr>
        <w:pStyle w:val="Heading2"/>
        <w:rPr>
          <w:rFonts w:cs="Open Sans"/>
        </w:rPr>
      </w:pPr>
      <w:bookmarkStart w:id="40" w:name="_Toc534878470"/>
      <w:r w:rsidRPr="00505DB6">
        <w:rPr>
          <w:rFonts w:cs="Open Sans"/>
        </w:rPr>
        <w:t xml:space="preserve">Removal of requirement for sentence of </w:t>
      </w:r>
      <w:r w:rsidR="00497912">
        <w:rPr>
          <w:rFonts w:cs="Open Sans"/>
        </w:rPr>
        <w:t>six</w:t>
      </w:r>
      <w:r w:rsidR="00497912" w:rsidRPr="00505DB6">
        <w:rPr>
          <w:rFonts w:cs="Open Sans"/>
        </w:rPr>
        <w:t xml:space="preserve"> </w:t>
      </w:r>
      <w:r w:rsidRPr="00505DB6">
        <w:rPr>
          <w:rFonts w:cs="Open Sans"/>
        </w:rPr>
        <w:t>years for terrorism convictions</w:t>
      </w:r>
      <w:bookmarkEnd w:id="40"/>
    </w:p>
    <w:p w14:paraId="4E0D948E" w14:textId="5D6D8796"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Proposed s 35(1A) w</w:t>
      </w:r>
      <w:r w:rsidR="00642E98">
        <w:rPr>
          <w:rFonts w:cs="Open Sans"/>
        </w:rPr>
        <w:t xml:space="preserve">ould </w:t>
      </w:r>
      <w:r w:rsidRPr="00505DB6">
        <w:rPr>
          <w:rFonts w:cs="Open Sans"/>
        </w:rPr>
        <w:t xml:space="preserve">remove the current requirement that persons with </w:t>
      </w:r>
      <w:r w:rsidR="0050090B" w:rsidRPr="00505DB6">
        <w:rPr>
          <w:rFonts w:cs="Open Sans"/>
        </w:rPr>
        <w:t>a ‘relevant terrorism conviction’</w:t>
      </w:r>
      <w:r w:rsidRPr="00505DB6">
        <w:rPr>
          <w:rFonts w:cs="Open Sans"/>
        </w:rPr>
        <w:t xml:space="preserve"> are eligible for removal of citizenship only where they have been sentenced to a period of imprisonment of at least</w:t>
      </w:r>
      <w:r w:rsidR="00C370D9">
        <w:rPr>
          <w:rFonts w:cs="Open Sans"/>
        </w:rPr>
        <w:t xml:space="preserve"> six </w:t>
      </w:r>
      <w:r w:rsidRPr="00505DB6">
        <w:rPr>
          <w:rFonts w:cs="Open Sans"/>
        </w:rPr>
        <w:t>years or to periods that total at least</w:t>
      </w:r>
      <w:r w:rsidR="00C370D9">
        <w:rPr>
          <w:rFonts w:cs="Open Sans"/>
        </w:rPr>
        <w:t xml:space="preserve"> six </w:t>
      </w:r>
      <w:r w:rsidRPr="00505DB6">
        <w:rPr>
          <w:rFonts w:cs="Open Sans"/>
        </w:rPr>
        <w:t xml:space="preserve">years. </w:t>
      </w:r>
    </w:p>
    <w:p w14:paraId="7A08FB60"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effect is that a person with a ‘relevant terrorism conviction’ </w:t>
      </w:r>
      <w:proofErr w:type="gramStart"/>
      <w:r w:rsidRPr="00505DB6">
        <w:rPr>
          <w:rFonts w:cs="Open Sans"/>
        </w:rPr>
        <w:t>can be stripped</w:t>
      </w:r>
      <w:proofErr w:type="gramEnd"/>
      <w:r w:rsidRPr="00505DB6">
        <w:rPr>
          <w:rFonts w:cs="Open Sans"/>
        </w:rPr>
        <w:t xml:space="preserve"> of citizenship, regardless of the term of imprisonment imposed. This means that a person could lose their citizenship even if they have received a short sentence, </w:t>
      </w:r>
      <w:r w:rsidR="000C247A">
        <w:rPr>
          <w:rFonts w:cs="Open Sans"/>
        </w:rPr>
        <w:t xml:space="preserve">a </w:t>
      </w:r>
      <w:r w:rsidRPr="00505DB6">
        <w:rPr>
          <w:rFonts w:cs="Open Sans"/>
        </w:rPr>
        <w:t xml:space="preserve">non-custodial sentence or </w:t>
      </w:r>
      <w:r w:rsidR="0050090B" w:rsidRPr="00505DB6">
        <w:rPr>
          <w:rFonts w:cs="Open Sans"/>
        </w:rPr>
        <w:t>no</w:t>
      </w:r>
      <w:r w:rsidRPr="00505DB6">
        <w:rPr>
          <w:rFonts w:cs="Open Sans"/>
        </w:rPr>
        <w:t xml:space="preserve"> sentence</w:t>
      </w:r>
      <w:r w:rsidR="0050090B" w:rsidRPr="00505DB6">
        <w:rPr>
          <w:rFonts w:cs="Open Sans"/>
        </w:rPr>
        <w:t xml:space="preserve"> at all</w:t>
      </w:r>
      <w:r w:rsidRPr="00505DB6">
        <w:rPr>
          <w:rFonts w:cs="Open Sans"/>
        </w:rPr>
        <w:t xml:space="preserve">. </w:t>
      </w:r>
    </w:p>
    <w:p w14:paraId="45A09261"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explanatory materials </w:t>
      </w:r>
      <w:r w:rsidR="001B5DAC">
        <w:rPr>
          <w:rFonts w:cs="Open Sans"/>
        </w:rPr>
        <w:t>explain</w:t>
      </w:r>
      <w:r w:rsidR="001B5DAC" w:rsidRPr="00505DB6">
        <w:rPr>
          <w:rFonts w:cs="Open Sans"/>
        </w:rPr>
        <w:t xml:space="preserve"> </w:t>
      </w:r>
      <w:r w:rsidRPr="00505DB6">
        <w:rPr>
          <w:rFonts w:cs="Open Sans"/>
        </w:rPr>
        <w:t>this amendment as follows:</w:t>
      </w:r>
    </w:p>
    <w:p w14:paraId="3C1C5A7F" w14:textId="77777777" w:rsidR="00A15629" w:rsidRPr="00505DB6" w:rsidRDefault="00A15629" w:rsidP="003A4792">
      <w:pPr>
        <w:pStyle w:val="Quotesub"/>
        <w:rPr>
          <w:rFonts w:cs="Open Sans"/>
        </w:rPr>
      </w:pPr>
      <w:proofErr w:type="gramStart"/>
      <w:r w:rsidRPr="00505DB6">
        <w:rPr>
          <w:rFonts w:cs="Open Sans"/>
        </w:rPr>
        <w:t>It is no longer the intention that the minimum 6 years’ sentence period applies to persons with a relevant terrorism conviction</w:t>
      </w:r>
      <w:r w:rsidR="00EC00BE">
        <w:rPr>
          <w:rFonts w:cs="Open Sans"/>
        </w:rPr>
        <w:t xml:space="preserve"> </w:t>
      </w:r>
      <w:r w:rsidRPr="00505DB6">
        <w:rPr>
          <w:rFonts w:cs="Open Sans"/>
        </w:rPr>
        <w:t>… In light of the evolving terrorist threat, the Government considers it appropriate that the Minister be able to consider for cessation of citizenship all persons convicted of a terrorist offence after 12 December 2005, as conduct which poses harm to the Australian community</w:t>
      </w:r>
      <w:r w:rsidR="000C247A">
        <w:rPr>
          <w:rFonts w:cs="Open Sans"/>
        </w:rPr>
        <w:t>.</w:t>
      </w:r>
      <w:r w:rsidRPr="00505DB6">
        <w:rPr>
          <w:rFonts w:cs="Open Sans"/>
          <w:vertAlign w:val="superscript"/>
        </w:rPr>
        <w:endnoteReference w:id="39"/>
      </w:r>
      <w:proofErr w:type="gramEnd"/>
    </w:p>
    <w:p w14:paraId="26C88A03" w14:textId="77777777" w:rsidR="00A15629" w:rsidRPr="00505DB6" w:rsidRDefault="000C247A" w:rsidP="003A4792">
      <w:pPr>
        <w:pStyle w:val="Quotesub"/>
        <w:rPr>
          <w:rFonts w:cs="Open Sans"/>
        </w:rPr>
      </w:pPr>
      <w:r>
        <w:rPr>
          <w:rFonts w:cs="Open Sans"/>
        </w:rPr>
        <w:t>… [The provision]</w:t>
      </w:r>
      <w:r w:rsidR="00A15629" w:rsidRPr="00505DB6">
        <w:rPr>
          <w:rFonts w:cs="Open Sans"/>
        </w:rPr>
        <w:t xml:space="preserve"> only applies to terrorism </w:t>
      </w:r>
      <w:proofErr w:type="gramStart"/>
      <w:r w:rsidR="00A15629" w:rsidRPr="00505DB6">
        <w:rPr>
          <w:rFonts w:cs="Open Sans"/>
        </w:rPr>
        <w:t>offences which</w:t>
      </w:r>
      <w:proofErr w:type="gramEnd"/>
      <w:r w:rsidR="00A15629" w:rsidRPr="00505DB6">
        <w:rPr>
          <w:rFonts w:cs="Open Sans"/>
        </w:rPr>
        <w:t xml:space="preserve"> target behaviour that is especially harmful to community safety and amounts to a repudiation of allegiance to Australia. It does not, for instance, include contravention of preventative detention orders or control </w:t>
      </w:r>
      <w:proofErr w:type="gramStart"/>
      <w:r w:rsidR="00A15629" w:rsidRPr="00505DB6">
        <w:rPr>
          <w:rFonts w:cs="Open Sans"/>
        </w:rPr>
        <w:t>orders which are designed to enable law enforcement agencies to intervene early to protect the community</w:t>
      </w:r>
      <w:proofErr w:type="gramEnd"/>
      <w:r w:rsidR="00A15629" w:rsidRPr="00505DB6">
        <w:rPr>
          <w:rFonts w:cs="Open Sans"/>
        </w:rPr>
        <w:t xml:space="preserve"> and orders under these schemes are made on lower, non-criminal thresholds.</w:t>
      </w:r>
      <w:r w:rsidR="00A15629" w:rsidRPr="00505DB6">
        <w:rPr>
          <w:rFonts w:cs="Open Sans"/>
          <w:vertAlign w:val="superscript"/>
        </w:rPr>
        <w:endnoteReference w:id="40"/>
      </w:r>
    </w:p>
    <w:p w14:paraId="766360B1"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This amendment is achieved by the insertion of new s 35A(1A), categorising certain convictions as ‘relevant terrorism convictions’ by reference to Parts or Divisions of the </w:t>
      </w:r>
      <w:r w:rsidRPr="001E5D49">
        <w:rPr>
          <w:rFonts w:cs="Open Sans"/>
        </w:rPr>
        <w:t>Criminal Code</w:t>
      </w:r>
      <w:r w:rsidR="004E5BD9" w:rsidRPr="00505DB6">
        <w:rPr>
          <w:rFonts w:cs="Open Sans"/>
        </w:rPr>
        <w:t xml:space="preserve"> and</w:t>
      </w:r>
      <w:r w:rsidRPr="00505DB6">
        <w:rPr>
          <w:rFonts w:cs="Open Sans"/>
        </w:rPr>
        <w:t xml:space="preserve"> ss 6 or 7 of the </w:t>
      </w:r>
      <w:r w:rsidRPr="00505DB6">
        <w:rPr>
          <w:rFonts w:cs="Open Sans"/>
          <w:i/>
        </w:rPr>
        <w:t>Crimes (Foreign</w:t>
      </w:r>
      <w:r w:rsidR="000C247A">
        <w:rPr>
          <w:rFonts w:cs="Open Sans"/>
          <w:i/>
        </w:rPr>
        <w:t xml:space="preserve"> Incursions and Recruitment) Act </w:t>
      </w:r>
      <w:r w:rsidRPr="00505DB6">
        <w:rPr>
          <w:rFonts w:cs="Open Sans"/>
          <w:i/>
        </w:rPr>
        <w:t>1978</w:t>
      </w:r>
      <w:r w:rsidRPr="00505DB6">
        <w:rPr>
          <w:rFonts w:cs="Open Sans"/>
        </w:rPr>
        <w:t xml:space="preserve"> (Cth). </w:t>
      </w:r>
    </w:p>
    <w:p w14:paraId="5D814AB4" w14:textId="77777777" w:rsidR="004E5BD9" w:rsidRPr="00505DB6" w:rsidRDefault="00A15629" w:rsidP="0046153D">
      <w:pPr>
        <w:pStyle w:val="ListNumber"/>
        <w:numPr>
          <w:ilvl w:val="0"/>
          <w:numId w:val="15"/>
        </w:numPr>
        <w:tabs>
          <w:tab w:val="num" w:pos="993"/>
          <w:tab w:val="left" w:pos="1418"/>
        </w:tabs>
        <w:ind w:left="709" w:hanging="567"/>
        <w:rPr>
          <w:rFonts w:cs="Open Sans"/>
        </w:rPr>
      </w:pPr>
      <w:proofErr w:type="gramStart"/>
      <w:r w:rsidRPr="00505DB6">
        <w:rPr>
          <w:rFonts w:cs="Open Sans"/>
        </w:rPr>
        <w:t xml:space="preserve">Such offences include commission of a terrorist act, providing or receiving training connected with terrorist acts, possessing things connected with terrorist acts, collecting or making documents likely to facilitate terrorist acts, membership of a terrorist organisation, getting funds to, from or for </w:t>
      </w:r>
      <w:r w:rsidRPr="00505DB6">
        <w:rPr>
          <w:rFonts w:cs="Open Sans"/>
        </w:rPr>
        <w:lastRenderedPageBreak/>
        <w:t>a terrorist organisation, providing support to a terrorist organisation, financing terrorism and entering or remaining in a declared area.</w:t>
      </w:r>
      <w:proofErr w:type="gramEnd"/>
      <w:r w:rsidRPr="00505DB6">
        <w:rPr>
          <w:rFonts w:cs="Open Sans"/>
        </w:rPr>
        <w:t xml:space="preserve"> </w:t>
      </w:r>
    </w:p>
    <w:p w14:paraId="441BC484"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scope of some of these offences covers acts connected with preparation for the engagement of a person in or assistance in a terrorist act, and </w:t>
      </w:r>
      <w:r w:rsidR="000C247A">
        <w:rPr>
          <w:rFonts w:cs="Open Sans"/>
        </w:rPr>
        <w:t xml:space="preserve">have </w:t>
      </w:r>
      <w:r w:rsidRPr="00505DB6">
        <w:rPr>
          <w:rFonts w:cs="Open Sans"/>
        </w:rPr>
        <w:t>a mental element of recklessness rather than intention.</w:t>
      </w:r>
      <w:r w:rsidRPr="00505DB6">
        <w:rPr>
          <w:rStyle w:val="EndnoteReference"/>
          <w:rFonts w:cs="Open Sans"/>
        </w:rPr>
        <w:endnoteReference w:id="41"/>
      </w:r>
      <w:r w:rsidRPr="00505DB6">
        <w:rPr>
          <w:rFonts w:cs="Open Sans"/>
        </w:rPr>
        <w:t xml:space="preserve"> </w:t>
      </w:r>
    </w:p>
    <w:p w14:paraId="784ECFB8" w14:textId="77777777" w:rsidR="004E5BD9" w:rsidRPr="00505DB6" w:rsidRDefault="00665629" w:rsidP="0046153D">
      <w:pPr>
        <w:pStyle w:val="ListNumber"/>
        <w:numPr>
          <w:ilvl w:val="0"/>
          <w:numId w:val="15"/>
        </w:numPr>
        <w:tabs>
          <w:tab w:val="num" w:pos="993"/>
          <w:tab w:val="left" w:pos="1418"/>
        </w:tabs>
        <w:ind w:left="709" w:hanging="567"/>
        <w:rPr>
          <w:rFonts w:cs="Open Sans"/>
        </w:rPr>
      </w:pPr>
      <w:r w:rsidRPr="00505DB6">
        <w:rPr>
          <w:rFonts w:cs="Open Sans"/>
        </w:rPr>
        <w:t>For example, a conviction for</w:t>
      </w:r>
      <w:r w:rsidR="00A15629" w:rsidRPr="00505DB6">
        <w:rPr>
          <w:rFonts w:cs="Open Sans"/>
        </w:rPr>
        <w:t xml:space="preserve"> ‘possessing things connected with terrorist acts’ under s 101.4 of the </w:t>
      </w:r>
      <w:r w:rsidR="00A15629" w:rsidRPr="001E5D49">
        <w:rPr>
          <w:rFonts w:cs="Open Sans"/>
        </w:rPr>
        <w:t>Criminal Code</w:t>
      </w:r>
      <w:r w:rsidRPr="00505DB6">
        <w:rPr>
          <w:rFonts w:cs="Open Sans"/>
          <w:i/>
        </w:rPr>
        <w:t xml:space="preserve"> </w:t>
      </w:r>
      <w:r w:rsidRPr="00505DB6">
        <w:rPr>
          <w:rFonts w:cs="Open Sans"/>
        </w:rPr>
        <w:t>falls within the definition of a ‘relevant terrorism conviction’</w:t>
      </w:r>
      <w:r w:rsidR="00A15629" w:rsidRPr="00505DB6">
        <w:rPr>
          <w:rFonts w:cs="Open Sans"/>
        </w:rPr>
        <w:t xml:space="preserve">. </w:t>
      </w:r>
      <w:r w:rsidRPr="00505DB6">
        <w:rPr>
          <w:rFonts w:cs="Open Sans"/>
        </w:rPr>
        <w:t xml:space="preserve"> </w:t>
      </w:r>
    </w:p>
    <w:p w14:paraId="0283C8E6"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This offence covers</w:t>
      </w:r>
      <w:r w:rsidR="000C247A">
        <w:rPr>
          <w:rFonts w:cs="Open Sans"/>
        </w:rPr>
        <w:t xml:space="preserve"> a situation</w:t>
      </w:r>
      <w:r w:rsidRPr="00505DB6">
        <w:rPr>
          <w:rFonts w:cs="Open Sans"/>
        </w:rPr>
        <w:t xml:space="preserve"> where a person possesses a thing, and the thing is ‘connected with’ preparation for, the engagement of a person in, or assistance in a terrorist act and the person is reckless as to the existence of the connection.</w:t>
      </w:r>
      <w:r w:rsidRPr="00505DB6">
        <w:rPr>
          <w:rStyle w:val="EndnoteReference"/>
          <w:rFonts w:cs="Open Sans"/>
        </w:rPr>
        <w:endnoteReference w:id="42"/>
      </w:r>
      <w:r w:rsidRPr="00505DB6">
        <w:rPr>
          <w:rFonts w:cs="Open Sans"/>
        </w:rPr>
        <w:t xml:space="preserve"> </w:t>
      </w:r>
      <w:proofErr w:type="gramStart"/>
      <w:r w:rsidR="0026371D" w:rsidRPr="00505DB6">
        <w:rPr>
          <w:rFonts w:cs="Open Sans"/>
        </w:rPr>
        <w:t>The definition of a ‘thing’ is broad, and could include documents</w:t>
      </w:r>
      <w:r w:rsidR="006E4217">
        <w:rPr>
          <w:rFonts w:cs="Open Sans"/>
        </w:rPr>
        <w:t>,</w:t>
      </w:r>
      <w:r w:rsidR="0026371D" w:rsidRPr="00505DB6">
        <w:rPr>
          <w:rFonts w:cs="Open Sans"/>
        </w:rPr>
        <w:t xml:space="preserve"> a computer or mobile phone.</w:t>
      </w:r>
      <w:proofErr w:type="gramEnd"/>
      <w:r w:rsidR="0026371D" w:rsidRPr="00505DB6">
        <w:rPr>
          <w:rFonts w:cs="Open Sans"/>
        </w:rPr>
        <w:t xml:space="preserve"> </w:t>
      </w:r>
      <w:r w:rsidRPr="00505DB6">
        <w:rPr>
          <w:rFonts w:cs="Open Sans"/>
        </w:rPr>
        <w:t>A person commits an offence even if a terrorist act does not occur.</w:t>
      </w:r>
      <w:r w:rsidRPr="00505DB6">
        <w:rPr>
          <w:rStyle w:val="EndnoteReference"/>
          <w:rFonts w:cs="Open Sans"/>
        </w:rPr>
        <w:endnoteReference w:id="43"/>
      </w:r>
    </w:p>
    <w:p w14:paraId="14BEC732" w14:textId="77777777" w:rsidR="00A15629" w:rsidRDefault="0026371D" w:rsidP="0046153D">
      <w:pPr>
        <w:pStyle w:val="ListNumber"/>
        <w:numPr>
          <w:ilvl w:val="0"/>
          <w:numId w:val="15"/>
        </w:numPr>
        <w:tabs>
          <w:tab w:val="num" w:pos="993"/>
          <w:tab w:val="left" w:pos="1418"/>
        </w:tabs>
        <w:ind w:left="709" w:hanging="567"/>
        <w:rPr>
          <w:rFonts w:cs="Open Sans"/>
        </w:rPr>
      </w:pPr>
      <w:r w:rsidRPr="00505DB6">
        <w:rPr>
          <w:rFonts w:cs="Open Sans"/>
        </w:rPr>
        <w:t>The Commission considers that c</w:t>
      </w:r>
      <w:r w:rsidR="00A15629" w:rsidRPr="00505DB6">
        <w:rPr>
          <w:rFonts w:cs="Open Sans"/>
        </w:rPr>
        <w:t xml:space="preserve">ircumstances could arise where the possession of a thing ‘connected with’ the preparation of a terrorist act could occur for reasons other than an intention to undertake a terrorist attack. For example, a family member or friend of </w:t>
      </w:r>
      <w:r w:rsidR="00C15035">
        <w:rPr>
          <w:rFonts w:cs="Open Sans"/>
        </w:rPr>
        <w:t xml:space="preserve">a </w:t>
      </w:r>
      <w:r w:rsidR="00A15629" w:rsidRPr="00505DB6">
        <w:rPr>
          <w:rFonts w:cs="Open Sans"/>
        </w:rPr>
        <w:t>relevant person could come into possession of a ‘thing’ in contravention of s 101.4.</w:t>
      </w:r>
    </w:p>
    <w:p w14:paraId="75EC8003" w14:textId="65ADF6D7" w:rsidR="000C247A" w:rsidRPr="00505DB6" w:rsidRDefault="000C247A" w:rsidP="0046153D">
      <w:pPr>
        <w:pStyle w:val="ListNumber"/>
        <w:numPr>
          <w:ilvl w:val="0"/>
          <w:numId w:val="15"/>
        </w:numPr>
        <w:tabs>
          <w:tab w:val="num" w:pos="993"/>
          <w:tab w:val="left" w:pos="1418"/>
        </w:tabs>
        <w:ind w:left="709" w:hanging="567"/>
        <w:rPr>
          <w:rFonts w:cs="Open Sans"/>
        </w:rPr>
      </w:pPr>
      <w:r>
        <w:rPr>
          <w:rFonts w:cs="Open Sans"/>
        </w:rPr>
        <w:t>If a person is convicted of this offence where the surrounding circumstances reduced their level of culpability, a court may impose a sentence lower than the current</w:t>
      </w:r>
      <w:r w:rsidR="00C370D9">
        <w:rPr>
          <w:rFonts w:cs="Open Sans"/>
        </w:rPr>
        <w:t xml:space="preserve"> </w:t>
      </w:r>
      <w:proofErr w:type="gramStart"/>
      <w:r w:rsidR="00C370D9">
        <w:rPr>
          <w:rFonts w:cs="Open Sans"/>
        </w:rPr>
        <w:t xml:space="preserve">six </w:t>
      </w:r>
      <w:r>
        <w:rPr>
          <w:rFonts w:cs="Open Sans"/>
        </w:rPr>
        <w:t>year</w:t>
      </w:r>
      <w:proofErr w:type="gramEnd"/>
      <w:r>
        <w:rPr>
          <w:rFonts w:cs="Open Sans"/>
        </w:rPr>
        <w:t xml:space="preserve"> threshold that triggers potential removal of citizenship.</w:t>
      </w:r>
    </w:p>
    <w:p w14:paraId="0CF7E270"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Proposed s 35A(1A)(d) </w:t>
      </w:r>
      <w:r w:rsidR="0026371D" w:rsidRPr="00505DB6">
        <w:rPr>
          <w:rFonts w:cs="Open Sans"/>
        </w:rPr>
        <w:t xml:space="preserve">also </w:t>
      </w:r>
      <w:r w:rsidRPr="00505DB6">
        <w:rPr>
          <w:rFonts w:cs="Open Sans"/>
        </w:rPr>
        <w:t xml:space="preserve">includes the offence of ‘entering, or remaining in, declared areas’ under s 119.2 of the </w:t>
      </w:r>
      <w:r w:rsidRPr="001E5D49">
        <w:rPr>
          <w:rFonts w:cs="Open Sans"/>
        </w:rPr>
        <w:t>Criminal Code</w:t>
      </w:r>
      <w:r w:rsidRPr="00505DB6">
        <w:rPr>
          <w:rFonts w:cs="Open Sans"/>
        </w:rPr>
        <w:t>, which is an offence of absolute liability (subject to certain exceptions). This offence applies where a person enters or remain</w:t>
      </w:r>
      <w:r w:rsidR="001B5DAC">
        <w:rPr>
          <w:rFonts w:cs="Open Sans"/>
        </w:rPr>
        <w:t>s</w:t>
      </w:r>
      <w:r w:rsidRPr="00505DB6">
        <w:rPr>
          <w:rFonts w:cs="Open Sans"/>
        </w:rPr>
        <w:t xml:space="preserve"> in an area of a foreign country declared by the Minister as a declared area.</w:t>
      </w:r>
    </w:p>
    <w:p w14:paraId="1CB6932B" w14:textId="77777777" w:rsidR="0066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Commission has previously expressed its concern that the declared areas provisions </w:t>
      </w:r>
      <w:r w:rsidR="001B5DAC">
        <w:rPr>
          <w:rFonts w:cs="Open Sans"/>
        </w:rPr>
        <w:t xml:space="preserve">cast a wider net than is necessary, also </w:t>
      </w:r>
      <w:r w:rsidRPr="00505DB6">
        <w:rPr>
          <w:rFonts w:cs="Open Sans"/>
        </w:rPr>
        <w:t>criminalis</w:t>
      </w:r>
      <w:r w:rsidR="001B5DAC">
        <w:rPr>
          <w:rFonts w:cs="Open Sans"/>
        </w:rPr>
        <w:t>ing</w:t>
      </w:r>
      <w:r w:rsidRPr="00505DB6">
        <w:rPr>
          <w:rFonts w:cs="Open Sans"/>
        </w:rPr>
        <w:t xml:space="preserve"> conduct </w:t>
      </w:r>
      <w:r w:rsidR="00665629" w:rsidRPr="00505DB6">
        <w:rPr>
          <w:rFonts w:cs="Open Sans"/>
        </w:rPr>
        <w:t>unrelated to</w:t>
      </w:r>
      <w:r w:rsidRPr="00505DB6">
        <w:rPr>
          <w:rFonts w:cs="Open Sans"/>
        </w:rPr>
        <w:t xml:space="preserve"> terrorism, and are therefore not necessary and proportionate to </w:t>
      </w:r>
      <w:r w:rsidR="00665629" w:rsidRPr="00505DB6">
        <w:rPr>
          <w:rFonts w:cs="Open Sans"/>
        </w:rPr>
        <w:t>addressing</w:t>
      </w:r>
      <w:r w:rsidRPr="00505DB6">
        <w:rPr>
          <w:rFonts w:cs="Open Sans"/>
        </w:rPr>
        <w:t xml:space="preserve"> their stated goal.</w:t>
      </w:r>
      <w:r w:rsidRPr="00505DB6">
        <w:rPr>
          <w:rStyle w:val="EndnoteReference"/>
          <w:rFonts w:cs="Open Sans"/>
        </w:rPr>
        <w:endnoteReference w:id="44"/>
      </w:r>
      <w:r w:rsidRPr="00505DB6">
        <w:rPr>
          <w:rFonts w:cs="Open Sans"/>
        </w:rPr>
        <w:t xml:space="preserve"> </w:t>
      </w:r>
    </w:p>
    <w:p w14:paraId="2338A01B"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In particular, while some exceptions exist in s 119.2(3), a person could travel to a declared area for purposes other than engaging in hostile activity but still commit an offence. For instance, a person could be visiting friends, transacting business, retrieving personal property </w:t>
      </w:r>
      <w:r w:rsidR="000C247A">
        <w:rPr>
          <w:rFonts w:cs="Open Sans"/>
        </w:rPr>
        <w:t>or</w:t>
      </w:r>
      <w:r w:rsidRPr="00505DB6">
        <w:rPr>
          <w:rFonts w:cs="Open Sans"/>
        </w:rPr>
        <w:t xml:space="preserve"> attending to </w:t>
      </w:r>
      <w:r w:rsidRPr="00505DB6">
        <w:rPr>
          <w:rFonts w:cs="Open Sans"/>
        </w:rPr>
        <w:lastRenderedPageBreak/>
        <w:t xml:space="preserve">personal or financial affairs. Further, a parent could take their child into a declared area, making the child subject to the offence. </w:t>
      </w:r>
    </w:p>
    <w:p w14:paraId="4E62EA39" w14:textId="77777777" w:rsidR="006155F9" w:rsidRPr="00505DB6" w:rsidRDefault="0066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amendment also extends the </w:t>
      </w:r>
      <w:r w:rsidR="006155F9" w:rsidRPr="00505DB6">
        <w:rPr>
          <w:rFonts w:cs="Open Sans"/>
        </w:rPr>
        <w:t>citizenship removal</w:t>
      </w:r>
      <w:r w:rsidRPr="00505DB6">
        <w:rPr>
          <w:rFonts w:cs="Open Sans"/>
        </w:rPr>
        <w:t xml:space="preserve"> power to the offence of ‘associating with a terrorist organisation’ under s 102.8 of Pt 5.3 of the </w:t>
      </w:r>
      <w:r w:rsidRPr="001E5D49">
        <w:rPr>
          <w:rFonts w:cs="Open Sans"/>
        </w:rPr>
        <w:t>Criminal Code</w:t>
      </w:r>
      <w:r w:rsidRPr="00505DB6">
        <w:rPr>
          <w:rFonts w:cs="Open Sans"/>
        </w:rPr>
        <w:t>. This offence carries a maximum p</w:t>
      </w:r>
      <w:r w:rsidR="006155F9" w:rsidRPr="00505DB6">
        <w:rPr>
          <w:rFonts w:cs="Open Sans"/>
        </w:rPr>
        <w:t>enalty of 3 years’ imprisonment.</w:t>
      </w:r>
    </w:p>
    <w:p w14:paraId="43C0724F" w14:textId="77777777" w:rsidR="00A15629" w:rsidRPr="00505DB6" w:rsidRDefault="00665629" w:rsidP="00C83668">
      <w:pPr>
        <w:pStyle w:val="ListNumber"/>
        <w:keepNext/>
        <w:numPr>
          <w:ilvl w:val="0"/>
          <w:numId w:val="15"/>
        </w:numPr>
        <w:tabs>
          <w:tab w:val="num" w:pos="993"/>
          <w:tab w:val="left" w:pos="1418"/>
        </w:tabs>
        <w:ind w:left="709" w:hanging="567"/>
        <w:rPr>
          <w:rFonts w:cs="Open Sans"/>
        </w:rPr>
      </w:pPr>
      <w:r w:rsidRPr="00505DB6">
        <w:rPr>
          <w:rFonts w:cs="Open Sans"/>
        </w:rPr>
        <w:t>S</w:t>
      </w:r>
      <w:r w:rsidR="006155F9" w:rsidRPr="00505DB6">
        <w:rPr>
          <w:rFonts w:cs="Open Sans"/>
        </w:rPr>
        <w:t>ubs</w:t>
      </w:r>
      <w:r w:rsidRPr="00505DB6">
        <w:rPr>
          <w:rFonts w:cs="Open Sans"/>
        </w:rPr>
        <w:t>ection</w:t>
      </w:r>
      <w:r w:rsidR="00A15629" w:rsidRPr="00505DB6">
        <w:rPr>
          <w:rFonts w:cs="Open Sans"/>
        </w:rPr>
        <w:t xml:space="preserve"> 102.8(1) of the </w:t>
      </w:r>
      <w:r w:rsidR="00A15629" w:rsidRPr="001E5D49">
        <w:rPr>
          <w:rFonts w:cs="Open Sans"/>
        </w:rPr>
        <w:t>Criminal Code</w:t>
      </w:r>
      <w:r w:rsidR="006155F9" w:rsidRPr="00505DB6">
        <w:rPr>
          <w:rFonts w:cs="Open Sans"/>
        </w:rPr>
        <w:t xml:space="preserve"> relevantly provides</w:t>
      </w:r>
      <w:r w:rsidR="00A15629" w:rsidRPr="00505DB6">
        <w:rPr>
          <w:rFonts w:cs="Open Sans"/>
        </w:rPr>
        <w:t xml:space="preserve"> as follows:</w:t>
      </w:r>
    </w:p>
    <w:p w14:paraId="48EE263A" w14:textId="77777777" w:rsidR="00896B5E" w:rsidRPr="00505DB6" w:rsidRDefault="00896B5E" w:rsidP="00C83668">
      <w:pPr>
        <w:pStyle w:val="Quotesub"/>
        <w:keepNext/>
        <w:rPr>
          <w:rFonts w:cs="Open Sans"/>
        </w:rPr>
      </w:pPr>
      <w:r w:rsidRPr="00505DB6">
        <w:rPr>
          <w:rFonts w:cs="Open Sans"/>
        </w:rPr>
        <w:t xml:space="preserve">(1) A person </w:t>
      </w:r>
      <w:r w:rsidRPr="00505DB6">
        <w:rPr>
          <w:rFonts w:eastAsiaTheme="minorHAnsi" w:cs="Open Sans"/>
        </w:rPr>
        <w:t>commits</w:t>
      </w:r>
      <w:r w:rsidRPr="00505DB6">
        <w:rPr>
          <w:rFonts w:cs="Open Sans"/>
        </w:rPr>
        <w:t xml:space="preserve"> an offence if:</w:t>
      </w:r>
    </w:p>
    <w:p w14:paraId="733D5DA1" w14:textId="77777777" w:rsidR="00896B5E" w:rsidRPr="00505DB6" w:rsidRDefault="00896B5E" w:rsidP="00C83668">
      <w:pPr>
        <w:pStyle w:val="Quotesub"/>
        <w:keepNext/>
        <w:ind w:left="1440"/>
        <w:rPr>
          <w:rFonts w:cs="Open Sans"/>
        </w:rPr>
      </w:pPr>
      <w:r w:rsidRPr="00505DB6">
        <w:rPr>
          <w:rFonts w:cs="Open Sans"/>
        </w:rPr>
        <w:t>(a)</w:t>
      </w:r>
      <w:r w:rsidRPr="00505DB6">
        <w:rPr>
          <w:rFonts w:cs="Open Sans"/>
        </w:rPr>
        <w:tab/>
      </w:r>
      <w:proofErr w:type="gramStart"/>
      <w:r w:rsidRPr="00505DB6">
        <w:rPr>
          <w:rFonts w:cs="Open Sans"/>
        </w:rPr>
        <w:t>on</w:t>
      </w:r>
      <w:proofErr w:type="gramEnd"/>
      <w:r w:rsidRPr="00505DB6">
        <w:rPr>
          <w:rFonts w:cs="Open Sans"/>
        </w:rPr>
        <w:t xml:space="preserve"> 2 or more occasions:</w:t>
      </w:r>
    </w:p>
    <w:p w14:paraId="143DCC2C" w14:textId="77777777" w:rsidR="00896B5E" w:rsidRPr="00505DB6" w:rsidRDefault="00896B5E" w:rsidP="00C83668">
      <w:pPr>
        <w:pStyle w:val="Quotesub"/>
        <w:keepNext/>
        <w:ind w:left="2880" w:hanging="720"/>
        <w:rPr>
          <w:rFonts w:cs="Open Sans"/>
        </w:rPr>
      </w:pPr>
      <w:r w:rsidRPr="00505DB6">
        <w:rPr>
          <w:rFonts w:cs="Open Sans"/>
        </w:rPr>
        <w:t>(i)</w:t>
      </w:r>
      <w:r w:rsidRPr="00505DB6">
        <w:rPr>
          <w:rFonts w:cs="Open Sans"/>
        </w:rPr>
        <w:tab/>
      </w:r>
      <w:proofErr w:type="gramStart"/>
      <w:r w:rsidRPr="00505DB6">
        <w:rPr>
          <w:rFonts w:cs="Open Sans"/>
        </w:rPr>
        <w:t>the</w:t>
      </w:r>
      <w:proofErr w:type="gramEnd"/>
      <w:r w:rsidRPr="00505DB6">
        <w:rPr>
          <w:rFonts w:cs="Open Sans"/>
        </w:rPr>
        <w:t xml:space="preserve"> person intentionally associates with another person who is a member of, or a person who promotes or directs the activities of, an organisation; and</w:t>
      </w:r>
    </w:p>
    <w:p w14:paraId="21CE7001" w14:textId="77777777" w:rsidR="00896B5E" w:rsidRPr="00505DB6" w:rsidRDefault="00896B5E" w:rsidP="00C83668">
      <w:pPr>
        <w:pStyle w:val="Quotesub"/>
        <w:keepNext/>
        <w:ind w:left="2880" w:hanging="720"/>
        <w:rPr>
          <w:rFonts w:cs="Open Sans"/>
        </w:rPr>
      </w:pPr>
      <w:r w:rsidRPr="00505DB6">
        <w:rPr>
          <w:rFonts w:cs="Open Sans"/>
        </w:rPr>
        <w:t>(ii)</w:t>
      </w:r>
      <w:r w:rsidRPr="00505DB6">
        <w:rPr>
          <w:rFonts w:cs="Open Sans"/>
        </w:rPr>
        <w:tab/>
      </w:r>
      <w:proofErr w:type="gramStart"/>
      <w:r w:rsidRPr="00505DB6">
        <w:rPr>
          <w:rFonts w:cs="Open Sans"/>
        </w:rPr>
        <w:t>the</w:t>
      </w:r>
      <w:proofErr w:type="gramEnd"/>
      <w:r w:rsidRPr="00505DB6">
        <w:rPr>
          <w:rFonts w:cs="Open Sans"/>
        </w:rPr>
        <w:t xml:space="preserve"> person knows that the organisation is a terrorist organisation; and</w:t>
      </w:r>
    </w:p>
    <w:p w14:paraId="07AB9CCD" w14:textId="77777777" w:rsidR="00896B5E" w:rsidRPr="00505DB6" w:rsidRDefault="00896B5E" w:rsidP="00C83668">
      <w:pPr>
        <w:pStyle w:val="Quotesub"/>
        <w:keepNext/>
        <w:ind w:left="2880" w:hanging="720"/>
        <w:rPr>
          <w:rFonts w:cs="Open Sans"/>
        </w:rPr>
      </w:pPr>
      <w:r w:rsidRPr="00505DB6">
        <w:rPr>
          <w:rFonts w:cs="Open Sans"/>
        </w:rPr>
        <w:t>(iii)</w:t>
      </w:r>
      <w:r w:rsidRPr="00505DB6">
        <w:rPr>
          <w:rFonts w:cs="Open Sans"/>
        </w:rPr>
        <w:tab/>
      </w:r>
      <w:proofErr w:type="gramStart"/>
      <w:r w:rsidRPr="00505DB6">
        <w:rPr>
          <w:rFonts w:cs="Open Sans"/>
        </w:rPr>
        <w:t>the</w:t>
      </w:r>
      <w:proofErr w:type="gramEnd"/>
      <w:r w:rsidRPr="00505DB6">
        <w:rPr>
          <w:rFonts w:cs="Open Sans"/>
        </w:rPr>
        <w:t xml:space="preserve"> association provides support to the organisation; and</w:t>
      </w:r>
    </w:p>
    <w:p w14:paraId="5DAB0E0E" w14:textId="77777777" w:rsidR="00896B5E" w:rsidRPr="00505DB6" w:rsidRDefault="00896B5E" w:rsidP="00C83668">
      <w:pPr>
        <w:pStyle w:val="Quotesub"/>
        <w:keepNext/>
        <w:ind w:left="2880" w:hanging="720"/>
        <w:rPr>
          <w:rFonts w:cs="Open Sans"/>
        </w:rPr>
      </w:pPr>
      <w:r w:rsidRPr="00505DB6">
        <w:rPr>
          <w:rFonts w:cs="Open Sans"/>
        </w:rPr>
        <w:t>(iv)</w:t>
      </w:r>
      <w:r w:rsidRPr="00505DB6">
        <w:rPr>
          <w:rFonts w:cs="Open Sans"/>
        </w:rPr>
        <w:tab/>
      </w:r>
      <w:proofErr w:type="gramStart"/>
      <w:r w:rsidRPr="00505DB6">
        <w:rPr>
          <w:rFonts w:cs="Open Sans"/>
        </w:rPr>
        <w:t>the</w:t>
      </w:r>
      <w:proofErr w:type="gramEnd"/>
      <w:r w:rsidRPr="00505DB6">
        <w:rPr>
          <w:rFonts w:cs="Open Sans"/>
        </w:rPr>
        <w:t xml:space="preserve"> person intends that the support assist the organisation to expand or to continue to exist; and</w:t>
      </w:r>
    </w:p>
    <w:p w14:paraId="06472806" w14:textId="77777777" w:rsidR="00896B5E" w:rsidRPr="00505DB6" w:rsidRDefault="00896B5E" w:rsidP="00C83668">
      <w:pPr>
        <w:pStyle w:val="Quotesub"/>
        <w:keepNext/>
        <w:ind w:left="2880" w:hanging="720"/>
        <w:rPr>
          <w:rFonts w:cs="Open Sans"/>
        </w:rPr>
      </w:pPr>
      <w:r w:rsidRPr="00505DB6">
        <w:rPr>
          <w:rFonts w:cs="Open Sans"/>
        </w:rPr>
        <w:t>(v)</w:t>
      </w:r>
      <w:r w:rsidRPr="00505DB6">
        <w:rPr>
          <w:rFonts w:cs="Open Sans"/>
        </w:rPr>
        <w:tab/>
      </w:r>
      <w:proofErr w:type="gramStart"/>
      <w:r w:rsidRPr="00505DB6">
        <w:rPr>
          <w:rFonts w:cs="Open Sans"/>
        </w:rPr>
        <w:t>the</w:t>
      </w:r>
      <w:proofErr w:type="gramEnd"/>
      <w:r w:rsidRPr="00505DB6">
        <w:rPr>
          <w:rFonts w:cs="Open Sans"/>
        </w:rPr>
        <w:t xml:space="preserve"> person knows that the other person is a member of, or a person who promotes or directs the activities of, the organisation; and</w:t>
      </w:r>
    </w:p>
    <w:p w14:paraId="72D72819" w14:textId="77777777" w:rsidR="00896B5E" w:rsidRPr="00505DB6" w:rsidRDefault="00CB33E1" w:rsidP="00C83668">
      <w:pPr>
        <w:pStyle w:val="Quotesub"/>
        <w:keepNext/>
        <w:ind w:left="2160" w:hanging="720"/>
        <w:rPr>
          <w:rFonts w:cs="Open Sans"/>
        </w:rPr>
      </w:pPr>
      <w:r>
        <w:rPr>
          <w:rFonts w:cs="Open Sans"/>
        </w:rPr>
        <w:t>(</w:t>
      </w:r>
      <w:r w:rsidR="00896B5E" w:rsidRPr="00505DB6">
        <w:rPr>
          <w:rFonts w:cs="Open Sans"/>
        </w:rPr>
        <w:t>b)</w:t>
      </w:r>
      <w:r w:rsidR="00896B5E" w:rsidRPr="00505DB6">
        <w:rPr>
          <w:rFonts w:cs="Open Sans"/>
        </w:rPr>
        <w:tab/>
      </w:r>
      <w:proofErr w:type="gramStart"/>
      <w:r w:rsidR="00896B5E" w:rsidRPr="00505DB6">
        <w:rPr>
          <w:rFonts w:cs="Open Sans"/>
        </w:rPr>
        <w:t>the</w:t>
      </w:r>
      <w:proofErr w:type="gramEnd"/>
      <w:r w:rsidR="00896B5E" w:rsidRPr="00505DB6">
        <w:rPr>
          <w:rFonts w:cs="Open Sans"/>
        </w:rPr>
        <w:t xml:space="preserve"> organisation is a terrorist organisation because of paragraph (b) of the definition of </w:t>
      </w:r>
      <w:r w:rsidR="00896B5E" w:rsidRPr="000C247A">
        <w:rPr>
          <w:rFonts w:cs="Open Sans"/>
          <w:b/>
          <w:i/>
        </w:rPr>
        <w:t>terrorist organisation</w:t>
      </w:r>
      <w:r w:rsidR="00896B5E" w:rsidRPr="00505DB6">
        <w:rPr>
          <w:rFonts w:cs="Open Sans"/>
        </w:rPr>
        <w:t xml:space="preserve"> in this Division (whether or not the organisation is a terrorist organisation because of paragraph (a) of that definition also).</w:t>
      </w:r>
    </w:p>
    <w:p w14:paraId="432A3095"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Conduct captured by s 102.8(1) of the </w:t>
      </w:r>
      <w:r w:rsidRPr="001E5D49">
        <w:rPr>
          <w:rFonts w:cs="Open Sans"/>
        </w:rPr>
        <w:t>Criminal Code</w:t>
      </w:r>
      <w:r w:rsidRPr="00505DB6">
        <w:rPr>
          <w:rFonts w:cs="Open Sans"/>
        </w:rPr>
        <w:t xml:space="preserve"> includes communicating or meeting with a mem</w:t>
      </w:r>
      <w:r w:rsidR="00665629" w:rsidRPr="00505DB6">
        <w:rPr>
          <w:rFonts w:cs="Open Sans"/>
        </w:rPr>
        <w:t>ber of a terrorist organisation</w:t>
      </w:r>
      <w:r w:rsidRPr="00505DB6">
        <w:rPr>
          <w:rFonts w:cs="Open Sans"/>
        </w:rPr>
        <w:t>.</w:t>
      </w:r>
      <w:r w:rsidRPr="00505DB6">
        <w:rPr>
          <w:rStyle w:val="EndnoteReference"/>
          <w:rFonts w:cs="Open Sans"/>
        </w:rPr>
        <w:endnoteReference w:id="45"/>
      </w:r>
      <w:r w:rsidRPr="00505DB6">
        <w:rPr>
          <w:rFonts w:cs="Open Sans"/>
        </w:rPr>
        <w:t xml:space="preserve"> ‘Terrorist organisation’ </w:t>
      </w:r>
      <w:proofErr w:type="gramStart"/>
      <w:r w:rsidRPr="00505DB6">
        <w:rPr>
          <w:rFonts w:cs="Open Sans"/>
        </w:rPr>
        <w:t>is defined</w:t>
      </w:r>
      <w:proofErr w:type="gramEnd"/>
      <w:r w:rsidRPr="00505DB6">
        <w:rPr>
          <w:rFonts w:cs="Open Sans"/>
        </w:rPr>
        <w:t xml:space="preserve"> to include an ‘organisation that is directly or indirectly engaged in, preparing, planning, assisting in or fostering the doing of a terrorist act’.</w:t>
      </w:r>
      <w:r w:rsidRPr="00505DB6">
        <w:rPr>
          <w:rStyle w:val="EndnoteReference"/>
          <w:rFonts w:cs="Open Sans"/>
        </w:rPr>
        <w:endnoteReference w:id="46"/>
      </w:r>
      <w:r w:rsidRPr="00505DB6">
        <w:rPr>
          <w:rFonts w:cs="Open Sans"/>
        </w:rPr>
        <w:t xml:space="preserve"> </w:t>
      </w:r>
    </w:p>
    <w:p w14:paraId="44969461"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Statement of Compatibility </w:t>
      </w:r>
      <w:r w:rsidR="003A4792" w:rsidRPr="00505DB6">
        <w:rPr>
          <w:rFonts w:cs="Open Sans"/>
        </w:rPr>
        <w:t xml:space="preserve">with Human Rights </w:t>
      </w:r>
      <w:r w:rsidRPr="00505DB6">
        <w:rPr>
          <w:rFonts w:cs="Open Sans"/>
        </w:rPr>
        <w:t xml:space="preserve">explains the inclusion of the </w:t>
      </w:r>
      <w:r w:rsidR="006155F9" w:rsidRPr="00505DB6">
        <w:rPr>
          <w:rFonts w:cs="Open Sans"/>
        </w:rPr>
        <w:t>‘</w:t>
      </w:r>
      <w:r w:rsidRPr="00505DB6">
        <w:rPr>
          <w:rFonts w:cs="Open Sans"/>
        </w:rPr>
        <w:t>associating</w:t>
      </w:r>
      <w:r w:rsidR="006155F9" w:rsidRPr="00505DB6">
        <w:rPr>
          <w:rFonts w:cs="Open Sans"/>
        </w:rPr>
        <w:t>’</w:t>
      </w:r>
      <w:r w:rsidRPr="00505DB6">
        <w:rPr>
          <w:rFonts w:cs="Open Sans"/>
        </w:rPr>
        <w:t xml:space="preserve"> offence as follows:</w:t>
      </w:r>
    </w:p>
    <w:p w14:paraId="5FC71551" w14:textId="77777777" w:rsidR="00A15629" w:rsidRPr="00505DB6" w:rsidRDefault="00A15629" w:rsidP="003A4792">
      <w:pPr>
        <w:pStyle w:val="Quotesub"/>
        <w:rPr>
          <w:rFonts w:cs="Open Sans"/>
        </w:rPr>
      </w:pPr>
      <w:r w:rsidRPr="00505DB6">
        <w:rPr>
          <w:rFonts w:cs="Open Sans"/>
        </w:rPr>
        <w:t xml:space="preserve">… This offence </w:t>
      </w:r>
      <w:proofErr w:type="gramStart"/>
      <w:r w:rsidRPr="00505DB6">
        <w:rPr>
          <w:rFonts w:cs="Open Sans"/>
        </w:rPr>
        <w:t>is currently excluded</w:t>
      </w:r>
      <w:proofErr w:type="gramEnd"/>
      <w:r w:rsidRPr="00505DB6">
        <w:rPr>
          <w:rFonts w:cs="Open Sans"/>
        </w:rPr>
        <w:t xml:space="preserve"> from the list of terrorism offences to which the citizenship loss provisions apply. It is appropriate that persons convicted of this offence be eligible for cessation of citizenship on conviction, as the offence addresses the fundamental unacceptability of the terrorist organisation itself, by making meeting or </w:t>
      </w:r>
      <w:proofErr w:type="gramStart"/>
      <w:r w:rsidRPr="00505DB6">
        <w:rPr>
          <w:rFonts w:cs="Open Sans"/>
        </w:rPr>
        <w:t>communicating</w:t>
      </w:r>
      <w:proofErr w:type="gramEnd"/>
      <w:r w:rsidRPr="00505DB6">
        <w:rPr>
          <w:rFonts w:cs="Open Sans"/>
        </w:rPr>
        <w:t xml:space="preserve"> (“associating”) with </w:t>
      </w:r>
      <w:r w:rsidRPr="00505DB6">
        <w:rPr>
          <w:rFonts w:cs="Open Sans"/>
        </w:rPr>
        <w:lastRenderedPageBreak/>
        <w:t>its members in a manner which assists its continued existence or expansion, illegal. In light of the risk to community safety that terrorist organisations pose, it is reasonable, necessary and proportionate for the cessation of Australian citizenship to individuals convicted of supporting the very existence of these organisations.</w:t>
      </w:r>
      <w:r w:rsidRPr="00505DB6">
        <w:rPr>
          <w:rStyle w:val="EndnoteReference"/>
          <w:rFonts w:eastAsiaTheme="minorHAnsi" w:cs="Open Sans"/>
        </w:rPr>
        <w:endnoteReference w:id="47"/>
      </w:r>
    </w:p>
    <w:p w14:paraId="7389BA96" w14:textId="77777777" w:rsidR="00A15629" w:rsidRPr="00505DB6" w:rsidRDefault="006155F9" w:rsidP="0046153D">
      <w:pPr>
        <w:pStyle w:val="ListNumber"/>
        <w:numPr>
          <w:ilvl w:val="0"/>
          <w:numId w:val="15"/>
        </w:numPr>
        <w:tabs>
          <w:tab w:val="num" w:pos="993"/>
          <w:tab w:val="left" w:pos="1418"/>
        </w:tabs>
        <w:ind w:left="709" w:hanging="567"/>
        <w:rPr>
          <w:rFonts w:cs="Open Sans"/>
        </w:rPr>
      </w:pPr>
      <w:r w:rsidRPr="00505DB6">
        <w:rPr>
          <w:rFonts w:cs="Open Sans"/>
        </w:rPr>
        <w:t>However, c</w:t>
      </w:r>
      <w:r w:rsidR="00A15629" w:rsidRPr="00505DB6">
        <w:rPr>
          <w:rFonts w:cs="Open Sans"/>
        </w:rPr>
        <w:t>ircumstances c</w:t>
      </w:r>
      <w:r w:rsidRPr="00505DB6">
        <w:rPr>
          <w:rFonts w:cs="Open Sans"/>
        </w:rPr>
        <w:t>an</w:t>
      </w:r>
      <w:r w:rsidR="00A15629" w:rsidRPr="00505DB6">
        <w:rPr>
          <w:rFonts w:cs="Open Sans"/>
        </w:rPr>
        <w:t xml:space="preserve"> be contemplated where a person communicates with a member of an organisation with no intention to support an act of terrorism</w:t>
      </w:r>
      <w:r w:rsidRPr="00505DB6">
        <w:rPr>
          <w:rFonts w:cs="Open Sans"/>
        </w:rPr>
        <w:t>,</w:t>
      </w:r>
      <w:r w:rsidR="00A15629" w:rsidRPr="00505DB6">
        <w:rPr>
          <w:rFonts w:cs="Open Sans"/>
        </w:rPr>
        <w:t xml:space="preserve"> and in a manner that does not necessarily p</w:t>
      </w:r>
      <w:r w:rsidRPr="00505DB6">
        <w:rPr>
          <w:rFonts w:cs="Open Sans"/>
        </w:rPr>
        <w:t>ose a risk to community safety—</w:t>
      </w:r>
      <w:r w:rsidR="00A15629" w:rsidRPr="00505DB6">
        <w:rPr>
          <w:rFonts w:cs="Open Sans"/>
        </w:rPr>
        <w:t>for example</w:t>
      </w:r>
      <w:r w:rsidR="00667FB3">
        <w:rPr>
          <w:rFonts w:cs="Open Sans"/>
        </w:rPr>
        <w:t>,</w:t>
      </w:r>
      <w:r w:rsidR="00A15629" w:rsidRPr="00505DB6">
        <w:rPr>
          <w:rFonts w:cs="Open Sans"/>
        </w:rPr>
        <w:t xml:space="preserve"> through a casu</w:t>
      </w:r>
      <w:r w:rsidRPr="00505DB6">
        <w:rPr>
          <w:rFonts w:cs="Open Sans"/>
        </w:rPr>
        <w:t>al communication on the street—</w:t>
      </w:r>
      <w:r w:rsidR="00A15629" w:rsidRPr="00505DB6">
        <w:rPr>
          <w:rFonts w:cs="Open Sans"/>
        </w:rPr>
        <w:t xml:space="preserve">but contravenes s 102.8(1). Notably, the conduct only appears to need to support the existence of such an organisation, not </w:t>
      </w:r>
      <w:r w:rsidR="000C247A">
        <w:rPr>
          <w:rFonts w:cs="Open Sans"/>
        </w:rPr>
        <w:t>the</w:t>
      </w:r>
      <w:r w:rsidR="00A15629" w:rsidRPr="00505DB6">
        <w:rPr>
          <w:rFonts w:cs="Open Sans"/>
        </w:rPr>
        <w:t xml:space="preserve"> actual doing of a terrorist act by the organisation.</w:t>
      </w:r>
    </w:p>
    <w:p w14:paraId="05C7F77E"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In a </w:t>
      </w:r>
      <w:r w:rsidR="009A234A" w:rsidRPr="00505DB6">
        <w:rPr>
          <w:rFonts w:cs="Open Sans"/>
        </w:rPr>
        <w:t xml:space="preserve">2006 </w:t>
      </w:r>
      <w:r w:rsidRPr="00505DB6">
        <w:rPr>
          <w:rFonts w:cs="Open Sans"/>
        </w:rPr>
        <w:t xml:space="preserve">report by the Security Legislation Review Committee, the Committee found that </w:t>
      </w:r>
      <w:r w:rsidR="009A234A" w:rsidRPr="00505DB6">
        <w:rPr>
          <w:rFonts w:cs="Open Sans"/>
        </w:rPr>
        <w:t>s 102.8</w:t>
      </w:r>
      <w:r w:rsidRPr="00505DB6">
        <w:rPr>
          <w:rFonts w:cs="Open Sans"/>
        </w:rPr>
        <w:t xml:space="preserve"> was unclear, duplicative,</w:t>
      </w:r>
      <w:r w:rsidR="000C247A">
        <w:rPr>
          <w:rFonts w:cs="Open Sans"/>
        </w:rPr>
        <w:t xml:space="preserve"> and</w:t>
      </w:r>
      <w:r w:rsidRPr="00505DB6">
        <w:rPr>
          <w:rFonts w:cs="Open Sans"/>
        </w:rPr>
        <w:t xml:space="preserve"> a disproportionate </w:t>
      </w:r>
      <w:r w:rsidR="009A234A" w:rsidRPr="00505DB6">
        <w:rPr>
          <w:rFonts w:cs="Open Sans"/>
        </w:rPr>
        <w:t xml:space="preserve">interference with human rights, </w:t>
      </w:r>
      <w:r w:rsidRPr="00505DB6">
        <w:rPr>
          <w:rFonts w:cs="Open Sans"/>
        </w:rPr>
        <w:t xml:space="preserve">including the right to </w:t>
      </w:r>
      <w:r w:rsidR="009A234A" w:rsidRPr="00505DB6">
        <w:rPr>
          <w:rFonts w:cs="Open Sans"/>
        </w:rPr>
        <w:t xml:space="preserve">freedom of </w:t>
      </w:r>
      <w:r w:rsidRPr="00505DB6">
        <w:rPr>
          <w:rFonts w:cs="Open Sans"/>
        </w:rPr>
        <w:t>association</w:t>
      </w:r>
      <w:r w:rsidR="009A234A" w:rsidRPr="00505DB6">
        <w:rPr>
          <w:rFonts w:cs="Open Sans"/>
        </w:rPr>
        <w:t>.</w:t>
      </w:r>
      <w:r w:rsidR="0052510F" w:rsidRPr="00505DB6">
        <w:rPr>
          <w:rStyle w:val="EndnoteReference"/>
          <w:rFonts w:cs="Open Sans"/>
        </w:rPr>
        <w:endnoteReference w:id="48"/>
      </w:r>
      <w:r w:rsidR="009A234A" w:rsidRPr="00505DB6">
        <w:rPr>
          <w:rFonts w:cs="Open Sans"/>
        </w:rPr>
        <w:t xml:space="preserve"> </w:t>
      </w:r>
      <w:r w:rsidR="00667FB3">
        <w:rPr>
          <w:rFonts w:cs="Open Sans"/>
        </w:rPr>
        <w:t>The Committee</w:t>
      </w:r>
      <w:r w:rsidR="00667FB3" w:rsidRPr="00505DB6">
        <w:rPr>
          <w:rFonts w:cs="Open Sans"/>
        </w:rPr>
        <w:t xml:space="preserve"> </w:t>
      </w:r>
      <w:r w:rsidR="009A234A" w:rsidRPr="00505DB6">
        <w:rPr>
          <w:rFonts w:cs="Open Sans"/>
        </w:rPr>
        <w:t>recommended its repeal.</w:t>
      </w:r>
    </w:p>
    <w:p w14:paraId="636E5EEF" w14:textId="57F501A6" w:rsidR="00A15629" w:rsidRPr="00505DB6" w:rsidRDefault="000C247A" w:rsidP="0046153D">
      <w:pPr>
        <w:pStyle w:val="ListNumber"/>
        <w:numPr>
          <w:ilvl w:val="0"/>
          <w:numId w:val="15"/>
        </w:numPr>
        <w:tabs>
          <w:tab w:val="num" w:pos="993"/>
          <w:tab w:val="left" w:pos="1418"/>
        </w:tabs>
        <w:ind w:left="709" w:hanging="567"/>
        <w:rPr>
          <w:rFonts w:cs="Open Sans"/>
        </w:rPr>
      </w:pPr>
      <w:r>
        <w:rPr>
          <w:rFonts w:cs="Open Sans"/>
        </w:rPr>
        <w:t>T</w:t>
      </w:r>
      <w:r w:rsidR="00A15629" w:rsidRPr="00505DB6">
        <w:rPr>
          <w:rFonts w:cs="Open Sans"/>
        </w:rPr>
        <w:t xml:space="preserve">he </w:t>
      </w:r>
      <w:r w:rsidR="00C370D9">
        <w:rPr>
          <w:rFonts w:cs="Open Sans"/>
        </w:rPr>
        <w:t>three</w:t>
      </w:r>
      <w:r w:rsidR="00C370D9" w:rsidRPr="00505DB6">
        <w:rPr>
          <w:rFonts w:cs="Open Sans"/>
        </w:rPr>
        <w:t xml:space="preserve"> </w:t>
      </w:r>
      <w:r w:rsidR="006155F9" w:rsidRPr="00505DB6">
        <w:rPr>
          <w:rFonts w:cs="Open Sans"/>
        </w:rPr>
        <w:t xml:space="preserve">year </w:t>
      </w:r>
      <w:r w:rsidR="00A15629" w:rsidRPr="00505DB6">
        <w:rPr>
          <w:rFonts w:cs="Open Sans"/>
        </w:rPr>
        <w:t>maximum penalty for committing the offence of associating with a terrorist organisation also indicates that Parliament considers it a much lower order offence than the other</w:t>
      </w:r>
      <w:r w:rsidR="006155F9" w:rsidRPr="00505DB6">
        <w:rPr>
          <w:rFonts w:cs="Open Sans"/>
        </w:rPr>
        <w:t xml:space="preserve"> offences set out in proposed s </w:t>
      </w:r>
      <w:r w:rsidR="00A15629" w:rsidRPr="00505DB6">
        <w:rPr>
          <w:rFonts w:cs="Open Sans"/>
        </w:rPr>
        <w:t>35A(1</w:t>
      </w:r>
      <w:r w:rsidR="00BF3706">
        <w:rPr>
          <w:rFonts w:cs="Open Sans"/>
        </w:rPr>
        <w:t>A</w:t>
      </w:r>
      <w:r w:rsidR="00A15629" w:rsidRPr="00505DB6">
        <w:rPr>
          <w:rFonts w:cs="Open Sans"/>
        </w:rPr>
        <w:t>) which could result in up to</w:t>
      </w:r>
      <w:r w:rsidR="00C370D9">
        <w:rPr>
          <w:rFonts w:cs="Open Sans"/>
        </w:rPr>
        <w:t xml:space="preserve"> ten </w:t>
      </w:r>
      <w:r w:rsidR="00A15629" w:rsidRPr="00505DB6">
        <w:rPr>
          <w:rFonts w:cs="Open Sans"/>
        </w:rPr>
        <w:t>years’ imprisonment.</w:t>
      </w:r>
      <w:r w:rsidR="006155F9" w:rsidRPr="00505DB6">
        <w:rPr>
          <w:rStyle w:val="EndnoteReference"/>
          <w:rFonts w:cs="Open Sans"/>
        </w:rPr>
        <w:t xml:space="preserve"> </w:t>
      </w:r>
      <w:r w:rsidR="006155F9" w:rsidRPr="00505DB6">
        <w:rPr>
          <w:rStyle w:val="EndnoteReference"/>
          <w:rFonts w:cs="Open Sans"/>
        </w:rPr>
        <w:endnoteReference w:id="49"/>
      </w:r>
      <w:r w:rsidR="006155F9" w:rsidRPr="00505DB6">
        <w:rPr>
          <w:rFonts w:cs="Open Sans"/>
        </w:rPr>
        <w:t xml:space="preserve"> </w:t>
      </w:r>
    </w:p>
    <w:p w14:paraId="1C3CDF94" w14:textId="77777777" w:rsidR="00A15629"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Commission considers that the inclusion of the less serious offence of ‘associating’</w:t>
      </w:r>
      <w:r w:rsidR="00011D9D">
        <w:rPr>
          <w:rFonts w:cs="Open Sans"/>
        </w:rPr>
        <w:t>,</w:t>
      </w:r>
      <w:r w:rsidRPr="00505DB6">
        <w:rPr>
          <w:rFonts w:cs="Open Sans"/>
        </w:rPr>
        <w:t xml:space="preserve"> within the </w:t>
      </w:r>
      <w:r w:rsidR="00324F52">
        <w:rPr>
          <w:rFonts w:cs="Open Sans"/>
        </w:rPr>
        <w:t>ambit</w:t>
      </w:r>
      <w:r w:rsidR="00324F52" w:rsidRPr="00505DB6">
        <w:rPr>
          <w:rFonts w:cs="Open Sans"/>
        </w:rPr>
        <w:t xml:space="preserve"> </w:t>
      </w:r>
      <w:r w:rsidRPr="00505DB6">
        <w:rPr>
          <w:rFonts w:cs="Open Sans"/>
        </w:rPr>
        <w:t>of the citizenship</w:t>
      </w:r>
      <w:r w:rsidR="00011D9D">
        <w:rPr>
          <w:rFonts w:cs="Open Sans"/>
        </w:rPr>
        <w:t>-</w:t>
      </w:r>
      <w:r w:rsidRPr="00505DB6">
        <w:rPr>
          <w:rFonts w:cs="Open Sans"/>
        </w:rPr>
        <w:t>stripping powers</w:t>
      </w:r>
      <w:r w:rsidR="00011D9D">
        <w:rPr>
          <w:rFonts w:cs="Open Sans"/>
        </w:rPr>
        <w:t>,</w:t>
      </w:r>
      <w:r w:rsidRPr="00505DB6">
        <w:rPr>
          <w:rFonts w:cs="Open Sans"/>
        </w:rPr>
        <w:t xml:space="preserve"> </w:t>
      </w:r>
      <w:proofErr w:type="gramStart"/>
      <w:r w:rsidRPr="00505DB6">
        <w:rPr>
          <w:rFonts w:cs="Open Sans"/>
        </w:rPr>
        <w:t>has not been demonstrated</w:t>
      </w:r>
      <w:proofErr w:type="gramEnd"/>
      <w:r w:rsidRPr="00505DB6">
        <w:rPr>
          <w:rFonts w:cs="Open Sans"/>
        </w:rPr>
        <w:t xml:space="preserve"> to be reasonable, necessary or proportionate.</w:t>
      </w:r>
    </w:p>
    <w:p w14:paraId="6659E1B1" w14:textId="77777777" w:rsidR="00942B21" w:rsidRPr="00AD30DD" w:rsidRDefault="00942B21" w:rsidP="00AD30DD">
      <w:pPr>
        <w:pStyle w:val="ListNumber"/>
        <w:numPr>
          <w:ilvl w:val="0"/>
          <w:numId w:val="15"/>
        </w:numPr>
        <w:tabs>
          <w:tab w:val="num" w:pos="993"/>
          <w:tab w:val="left" w:pos="1418"/>
        </w:tabs>
        <w:ind w:left="709" w:hanging="567"/>
        <w:rPr>
          <w:rFonts w:cs="Open Sans"/>
        </w:rPr>
      </w:pPr>
      <w:r>
        <w:t xml:space="preserve">By way of contrast, the offence of </w:t>
      </w:r>
      <w:r w:rsidR="00AD30DD">
        <w:t>preparing for or planning</w:t>
      </w:r>
      <w:r>
        <w:t xml:space="preserve"> sabotage under s 82.9 of the </w:t>
      </w:r>
      <w:r w:rsidRPr="001E5D49">
        <w:t>Criminal Code</w:t>
      </w:r>
      <w:r>
        <w:rPr>
          <w:i/>
        </w:rPr>
        <w:t xml:space="preserve"> </w:t>
      </w:r>
      <w:r>
        <w:t xml:space="preserve">does </w:t>
      </w:r>
      <w:r w:rsidRPr="00AD30DD">
        <w:rPr>
          <w:i/>
        </w:rPr>
        <w:t>not</w:t>
      </w:r>
      <w:r>
        <w:t xml:space="preserve"> give rise to a potential loss of citizenship,</w:t>
      </w:r>
      <w:r w:rsidR="00AD30DD">
        <w:rPr>
          <w:rStyle w:val="EndnoteReference"/>
          <w:rFonts w:cs="Open Sans"/>
        </w:rPr>
        <w:endnoteReference w:id="50"/>
      </w:r>
      <w:r>
        <w:t xml:space="preserve"> despite arguably encompassing </w:t>
      </w:r>
      <w:proofErr w:type="gramStart"/>
      <w:r>
        <w:t>more serious conduct</w:t>
      </w:r>
      <w:proofErr w:type="gramEnd"/>
      <w:r>
        <w:t xml:space="preserve">. </w:t>
      </w:r>
      <w:r w:rsidR="00AD30DD">
        <w:rPr>
          <w:rFonts w:cs="Open Sans"/>
        </w:rPr>
        <w:t>That</w:t>
      </w:r>
      <w:r w:rsidR="00AD30DD" w:rsidRPr="00AD30DD">
        <w:rPr>
          <w:rFonts w:cs="Open Sans"/>
        </w:rPr>
        <w:t xml:space="preserve"> offenc</w:t>
      </w:r>
      <w:r w:rsidR="00AD30DD">
        <w:rPr>
          <w:rFonts w:cs="Open Sans"/>
        </w:rPr>
        <w:t>e carries a maximum penalty of 7</w:t>
      </w:r>
      <w:r w:rsidR="00AD30DD" w:rsidRPr="00AD30DD">
        <w:rPr>
          <w:rFonts w:cs="Open Sans"/>
        </w:rPr>
        <w:t xml:space="preserve"> years’ imprisonment.</w:t>
      </w:r>
      <w:r w:rsidR="00AD30DD">
        <w:rPr>
          <w:rFonts w:cs="Open Sans"/>
        </w:rPr>
        <w:t xml:space="preserve"> </w:t>
      </w:r>
      <w:r w:rsidRPr="00AD30DD">
        <w:rPr>
          <w:rFonts w:cs="Open Sans"/>
        </w:rPr>
        <w:t xml:space="preserve">Both </w:t>
      </w:r>
      <w:r w:rsidR="00AD30DD">
        <w:rPr>
          <w:rFonts w:cs="Open Sans"/>
        </w:rPr>
        <w:t xml:space="preserve">that offence and the ‘associating’ offence </w:t>
      </w:r>
      <w:r w:rsidRPr="00AD30DD">
        <w:rPr>
          <w:rFonts w:cs="Open Sans"/>
        </w:rPr>
        <w:t xml:space="preserve">have a potentially broad scope of relevant </w:t>
      </w:r>
      <w:r w:rsidR="00AD30DD" w:rsidRPr="00AD30DD">
        <w:rPr>
          <w:rFonts w:cs="Open Sans"/>
        </w:rPr>
        <w:t xml:space="preserve">prohibited </w:t>
      </w:r>
      <w:r w:rsidRPr="00AD30DD">
        <w:rPr>
          <w:rFonts w:cs="Open Sans"/>
        </w:rPr>
        <w:t xml:space="preserve">actions and </w:t>
      </w:r>
      <w:r w:rsidR="00AD30DD" w:rsidRPr="00AD30DD">
        <w:rPr>
          <w:rFonts w:cs="Open Sans"/>
        </w:rPr>
        <w:t xml:space="preserve">levels of </w:t>
      </w:r>
      <w:r w:rsidRPr="00AD30DD">
        <w:rPr>
          <w:rFonts w:cs="Open Sans"/>
        </w:rPr>
        <w:t xml:space="preserve">culpability. </w:t>
      </w:r>
    </w:p>
    <w:p w14:paraId="21343498" w14:textId="4A4BCFC4" w:rsidR="00A15629" w:rsidRPr="00942B21" w:rsidRDefault="00A15629" w:rsidP="00D77CC7">
      <w:pPr>
        <w:pStyle w:val="ListNumber"/>
        <w:numPr>
          <w:ilvl w:val="0"/>
          <w:numId w:val="15"/>
        </w:numPr>
        <w:tabs>
          <w:tab w:val="num" w:pos="993"/>
          <w:tab w:val="left" w:pos="1418"/>
        </w:tabs>
        <w:ind w:left="709" w:hanging="567"/>
        <w:rPr>
          <w:rFonts w:eastAsiaTheme="minorHAnsi" w:cs="Open Sans"/>
        </w:rPr>
      </w:pPr>
      <w:r w:rsidRPr="00942B21">
        <w:rPr>
          <w:rFonts w:cs="Open Sans"/>
        </w:rPr>
        <w:t>The current</w:t>
      </w:r>
      <w:r w:rsidR="00C370D9">
        <w:rPr>
          <w:rFonts w:cs="Open Sans"/>
        </w:rPr>
        <w:t xml:space="preserve"> </w:t>
      </w:r>
      <w:proofErr w:type="gramStart"/>
      <w:r w:rsidR="00C370D9">
        <w:rPr>
          <w:rFonts w:cs="Open Sans"/>
        </w:rPr>
        <w:t xml:space="preserve">six </w:t>
      </w:r>
      <w:r w:rsidRPr="00942B21">
        <w:rPr>
          <w:rFonts w:cs="Open Sans"/>
        </w:rPr>
        <w:t>year</w:t>
      </w:r>
      <w:proofErr w:type="gramEnd"/>
      <w:r w:rsidRPr="00942B21">
        <w:rPr>
          <w:rFonts w:cs="Open Sans"/>
        </w:rPr>
        <w:t xml:space="preserve"> imprisonment requirement was implemented in accordance with a previous recommendation of the PJCIS in respect of the </w:t>
      </w:r>
      <w:r w:rsidR="00122BB8">
        <w:rPr>
          <w:rFonts w:cs="Open Sans"/>
        </w:rPr>
        <w:t>2015 Bill</w:t>
      </w:r>
      <w:r w:rsidRPr="00942B21">
        <w:rPr>
          <w:rFonts w:cs="Open Sans"/>
        </w:rPr>
        <w:t>.</w:t>
      </w:r>
      <w:r w:rsidRPr="00942B21">
        <w:rPr>
          <w:rFonts w:eastAsiaTheme="minorHAnsi" w:cs="Open Sans"/>
        </w:rPr>
        <w:t xml:space="preserve"> </w:t>
      </w:r>
      <w:r w:rsidRPr="00942B21">
        <w:rPr>
          <w:rFonts w:cs="Open Sans"/>
        </w:rPr>
        <w:t xml:space="preserve">This recommendation </w:t>
      </w:r>
      <w:proofErr w:type="gramStart"/>
      <w:r w:rsidRPr="00942B21">
        <w:rPr>
          <w:rFonts w:cs="Open Sans"/>
        </w:rPr>
        <w:t>is even acknowledged</w:t>
      </w:r>
      <w:proofErr w:type="gramEnd"/>
      <w:r w:rsidRPr="00942B21">
        <w:rPr>
          <w:rFonts w:cs="Open Sans"/>
        </w:rPr>
        <w:t xml:space="preserve"> in the Statement of Compatibility</w:t>
      </w:r>
      <w:r w:rsidR="003A4792" w:rsidRPr="00942B21">
        <w:rPr>
          <w:rFonts w:cs="Open Sans"/>
        </w:rPr>
        <w:t xml:space="preserve"> with Human Rights</w:t>
      </w:r>
      <w:r w:rsidRPr="00942B21">
        <w:rPr>
          <w:rFonts w:cs="Open Sans"/>
        </w:rPr>
        <w:t>.</w:t>
      </w:r>
      <w:r w:rsidRPr="00505DB6">
        <w:rPr>
          <w:rStyle w:val="EndnoteReference"/>
          <w:rFonts w:eastAsiaTheme="minorHAnsi" w:cs="Open Sans"/>
        </w:rPr>
        <w:endnoteReference w:id="51"/>
      </w:r>
    </w:p>
    <w:p w14:paraId="6AD27745" w14:textId="77777777" w:rsidR="005D309E" w:rsidRPr="00505DB6" w:rsidRDefault="0052510F" w:rsidP="0046153D">
      <w:pPr>
        <w:pStyle w:val="ListNumber"/>
        <w:numPr>
          <w:ilvl w:val="0"/>
          <w:numId w:val="15"/>
        </w:numPr>
        <w:tabs>
          <w:tab w:val="num" w:pos="993"/>
          <w:tab w:val="left" w:pos="1418"/>
        </w:tabs>
        <w:ind w:left="709" w:hanging="567"/>
        <w:rPr>
          <w:rFonts w:cs="Open Sans"/>
        </w:rPr>
      </w:pPr>
      <w:r w:rsidRPr="00505DB6">
        <w:rPr>
          <w:rFonts w:eastAsiaTheme="minorHAnsi" w:cs="Open Sans"/>
        </w:rPr>
        <w:t>This</w:t>
      </w:r>
      <w:r w:rsidR="00A15629" w:rsidRPr="00505DB6">
        <w:rPr>
          <w:rFonts w:eastAsiaTheme="minorHAnsi" w:cs="Open Sans"/>
        </w:rPr>
        <w:t xml:space="preserve"> </w:t>
      </w:r>
      <w:r w:rsidR="00A15629" w:rsidRPr="00505DB6">
        <w:rPr>
          <w:rFonts w:cs="Open Sans"/>
        </w:rPr>
        <w:t>recommendation</w:t>
      </w:r>
      <w:r w:rsidR="00A15629" w:rsidRPr="00505DB6">
        <w:rPr>
          <w:rFonts w:eastAsiaTheme="minorHAnsi" w:cs="Open Sans"/>
        </w:rPr>
        <w:t xml:space="preserve"> by the PJCIS was made on the basis that, </w:t>
      </w:r>
      <w:r w:rsidR="00A15629" w:rsidRPr="00505DB6">
        <w:rPr>
          <w:rFonts w:cs="Open Sans"/>
        </w:rPr>
        <w:t>even following a conv</w:t>
      </w:r>
      <w:r w:rsidR="005D309E" w:rsidRPr="00505DB6">
        <w:rPr>
          <w:rFonts w:cs="Open Sans"/>
        </w:rPr>
        <w:t>iction for a relevant offence:</w:t>
      </w:r>
    </w:p>
    <w:p w14:paraId="273679EB" w14:textId="77777777" w:rsidR="005D309E" w:rsidRPr="00505DB6" w:rsidRDefault="005D309E" w:rsidP="003A4792">
      <w:pPr>
        <w:pStyle w:val="Quotesub"/>
        <w:rPr>
          <w:rFonts w:cs="Open Sans"/>
        </w:rPr>
      </w:pPr>
      <w:r w:rsidRPr="00505DB6">
        <w:rPr>
          <w:rFonts w:cs="Open Sans"/>
        </w:rPr>
        <w:t xml:space="preserve">[T]here are </w:t>
      </w:r>
      <w:r w:rsidR="00A15629" w:rsidRPr="00505DB6">
        <w:rPr>
          <w:rFonts w:cs="Open Sans"/>
        </w:rPr>
        <w:t>still degrees of seriousness of conduct and degrees to which conduct demonstrates a repudiation of allegiance to Australia</w:t>
      </w:r>
      <w:r w:rsidR="00D95A43">
        <w:rPr>
          <w:rFonts w:cs="Open Sans"/>
        </w:rPr>
        <w:t xml:space="preserve"> </w:t>
      </w:r>
      <w:r w:rsidR="00A15629" w:rsidRPr="00505DB6">
        <w:rPr>
          <w:rFonts w:cs="Open Sans"/>
        </w:rPr>
        <w:t xml:space="preserve">… loss of citizenship should be attached to more serious conduct and a greater </w:t>
      </w:r>
      <w:r w:rsidR="00A15629" w:rsidRPr="00505DB6">
        <w:rPr>
          <w:rFonts w:cs="Open Sans"/>
        </w:rPr>
        <w:lastRenderedPageBreak/>
        <w:t xml:space="preserve">severity of sentence, and it was considered that a </w:t>
      </w:r>
      <w:proofErr w:type="gramStart"/>
      <w:r w:rsidR="00A15629" w:rsidRPr="00505DB6">
        <w:rPr>
          <w:rFonts w:cs="Open Sans"/>
        </w:rPr>
        <w:t>six year</w:t>
      </w:r>
      <w:proofErr w:type="gramEnd"/>
      <w:r w:rsidR="00A15629" w:rsidRPr="00505DB6">
        <w:rPr>
          <w:rFonts w:cs="Open Sans"/>
        </w:rPr>
        <w:t xml:space="preserve"> sentence w</w:t>
      </w:r>
      <w:r w:rsidRPr="00505DB6">
        <w:rPr>
          <w:rFonts w:cs="Open Sans"/>
        </w:rPr>
        <w:t>ould appropriately reflect this</w:t>
      </w:r>
      <w:r w:rsidR="00A15629" w:rsidRPr="00505DB6">
        <w:rPr>
          <w:rFonts w:cs="Open Sans"/>
        </w:rPr>
        <w:t>.</w:t>
      </w:r>
      <w:r w:rsidR="00A15629" w:rsidRPr="00505DB6">
        <w:rPr>
          <w:rStyle w:val="EndnoteReference"/>
          <w:rFonts w:cs="Open Sans"/>
          <w:sz w:val="22"/>
        </w:rPr>
        <w:endnoteReference w:id="52"/>
      </w:r>
      <w:r w:rsidR="00A15629" w:rsidRPr="00505DB6">
        <w:rPr>
          <w:rFonts w:cs="Open Sans"/>
        </w:rPr>
        <w:t xml:space="preserve"> </w:t>
      </w:r>
    </w:p>
    <w:p w14:paraId="6FEFFCEB" w14:textId="77777777" w:rsidR="00A15629" w:rsidRPr="00CA7FFE" w:rsidRDefault="00A15629" w:rsidP="00D11F33">
      <w:pPr>
        <w:pStyle w:val="ListNumber"/>
        <w:numPr>
          <w:ilvl w:val="0"/>
          <w:numId w:val="15"/>
        </w:numPr>
        <w:tabs>
          <w:tab w:val="num" w:pos="993"/>
          <w:tab w:val="left" w:pos="1418"/>
        </w:tabs>
        <w:ind w:left="709" w:hanging="567"/>
        <w:rPr>
          <w:rFonts w:cs="Open Sans"/>
        </w:rPr>
      </w:pPr>
      <w:r w:rsidRPr="00CA7FFE">
        <w:rPr>
          <w:rFonts w:eastAsiaTheme="minorHAnsi" w:cs="Open Sans"/>
        </w:rPr>
        <w:t>It is uncle</w:t>
      </w:r>
      <w:r w:rsidR="0052510F" w:rsidRPr="00CA7FFE">
        <w:rPr>
          <w:rFonts w:eastAsiaTheme="minorHAnsi" w:cs="Open Sans"/>
        </w:rPr>
        <w:t>ar why implementation of the</w:t>
      </w:r>
      <w:r w:rsidRPr="00CA7FFE">
        <w:rPr>
          <w:rFonts w:eastAsiaTheme="minorHAnsi" w:cs="Open Sans"/>
        </w:rPr>
        <w:t xml:space="preserve"> PJCIS recommendation </w:t>
      </w:r>
      <w:proofErr w:type="gramStart"/>
      <w:r w:rsidRPr="00CA7FFE">
        <w:rPr>
          <w:rFonts w:eastAsiaTheme="minorHAnsi" w:cs="Open Sans"/>
        </w:rPr>
        <w:t>is now being reversed</w:t>
      </w:r>
      <w:proofErr w:type="gramEnd"/>
      <w:r w:rsidRPr="00CA7FFE">
        <w:rPr>
          <w:rFonts w:eastAsiaTheme="minorHAnsi" w:cs="Open Sans"/>
        </w:rPr>
        <w:t xml:space="preserve">. </w:t>
      </w:r>
    </w:p>
    <w:p w14:paraId="64C6A753" w14:textId="2D41C0E4" w:rsidR="006155F9" w:rsidRPr="00505DB6" w:rsidRDefault="006155F9" w:rsidP="0046153D">
      <w:pPr>
        <w:pStyle w:val="ListNumber"/>
        <w:numPr>
          <w:ilvl w:val="0"/>
          <w:numId w:val="15"/>
        </w:numPr>
        <w:tabs>
          <w:tab w:val="num" w:pos="993"/>
          <w:tab w:val="left" w:pos="1418"/>
        </w:tabs>
        <w:ind w:left="709" w:hanging="567"/>
        <w:rPr>
          <w:rFonts w:cs="Open Sans"/>
        </w:rPr>
      </w:pPr>
      <w:r w:rsidRPr="00505DB6">
        <w:rPr>
          <w:rFonts w:cs="Open Sans"/>
        </w:rPr>
        <w:t>In contrast, if a person is convicted of a ‘relevant</w:t>
      </w:r>
      <w:r w:rsidRPr="00505DB6">
        <w:rPr>
          <w:rFonts w:cs="Open Sans"/>
          <w:i/>
        </w:rPr>
        <w:t xml:space="preserve"> other</w:t>
      </w:r>
      <w:r w:rsidRPr="00505DB6">
        <w:rPr>
          <w:rFonts w:cs="Open Sans"/>
        </w:rPr>
        <w:t xml:space="preserve"> conviction’ under proposed </w:t>
      </w:r>
      <w:r w:rsidR="00D95A43" w:rsidRPr="00505DB6">
        <w:rPr>
          <w:rFonts w:cs="Open Sans"/>
        </w:rPr>
        <w:t>s</w:t>
      </w:r>
      <w:r w:rsidR="00D95A43">
        <w:rPr>
          <w:rFonts w:cs="Open Sans"/>
        </w:rPr>
        <w:t> </w:t>
      </w:r>
      <w:proofErr w:type="gramStart"/>
      <w:r w:rsidRPr="00505DB6">
        <w:rPr>
          <w:rFonts w:cs="Open Sans"/>
        </w:rPr>
        <w:t>35A(</w:t>
      </w:r>
      <w:proofErr w:type="gramEnd"/>
      <w:r w:rsidRPr="00505DB6">
        <w:rPr>
          <w:rFonts w:cs="Open Sans"/>
        </w:rPr>
        <w:t xml:space="preserve">1B), the </w:t>
      </w:r>
      <w:r w:rsidR="00497912">
        <w:rPr>
          <w:rFonts w:cs="Open Sans"/>
        </w:rPr>
        <w:t>six</w:t>
      </w:r>
      <w:r w:rsidR="00D95A43" w:rsidRPr="00505DB6">
        <w:rPr>
          <w:rFonts w:cs="Open Sans"/>
        </w:rPr>
        <w:t xml:space="preserve"> </w:t>
      </w:r>
      <w:r w:rsidRPr="00505DB6">
        <w:rPr>
          <w:rFonts w:cs="Open Sans"/>
        </w:rPr>
        <w:t xml:space="preserve">year imprisonment requirement continues to apply. Such ‘other’ convictions include the offences of sabotage, espionage and foreign interference. It is unclear why </w:t>
      </w:r>
      <w:r w:rsidR="004A78D8">
        <w:rPr>
          <w:rFonts w:cs="Open Sans"/>
        </w:rPr>
        <w:t xml:space="preserve">terrorism related offences </w:t>
      </w:r>
      <w:proofErr w:type="gramStart"/>
      <w:r w:rsidR="004A78D8">
        <w:rPr>
          <w:rFonts w:cs="Open Sans"/>
        </w:rPr>
        <w:t>will</w:t>
      </w:r>
      <w:proofErr w:type="gramEnd"/>
      <w:r w:rsidR="004A78D8">
        <w:rPr>
          <w:rFonts w:cs="Open Sans"/>
        </w:rPr>
        <w:t xml:space="preserve"> no longer require a minimum level of sentence to be sufficiently serious to warrant removal of citizenship, while the</w:t>
      </w:r>
      <w:r w:rsidR="00C370D9">
        <w:rPr>
          <w:rFonts w:cs="Open Sans"/>
        </w:rPr>
        <w:t xml:space="preserve"> six </w:t>
      </w:r>
      <w:r w:rsidR="004A78D8">
        <w:rPr>
          <w:rFonts w:cs="Open Sans"/>
        </w:rPr>
        <w:t>year threshold for these other serious offences remains.</w:t>
      </w:r>
    </w:p>
    <w:p w14:paraId="340E00FB" w14:textId="77777777" w:rsidR="001878C7" w:rsidRPr="00505DB6" w:rsidRDefault="001878C7" w:rsidP="0046153D">
      <w:pPr>
        <w:pStyle w:val="ListNumber"/>
        <w:numPr>
          <w:ilvl w:val="0"/>
          <w:numId w:val="15"/>
        </w:numPr>
        <w:tabs>
          <w:tab w:val="num" w:pos="993"/>
          <w:tab w:val="left" w:pos="1418"/>
        </w:tabs>
        <w:ind w:left="709" w:hanging="567"/>
        <w:rPr>
          <w:rFonts w:cs="Open Sans"/>
        </w:rPr>
      </w:pPr>
      <w:r w:rsidRPr="00505DB6">
        <w:rPr>
          <w:rFonts w:cs="Open Sans"/>
        </w:rPr>
        <w:t>Overall, it is not clear that the</w:t>
      </w:r>
      <w:r w:rsidR="00826C77">
        <w:rPr>
          <w:rFonts w:cs="Open Sans"/>
        </w:rPr>
        <w:t xml:space="preserve"> selective</w:t>
      </w:r>
      <w:r w:rsidRPr="00505DB6">
        <w:rPr>
          <w:rFonts w:cs="Open Sans"/>
        </w:rPr>
        <w:t xml:space="preserve"> lowering of relevant thresholds is reasonable, necessary and proportionate. The justification of an ‘evolving terrorist threat’ does not disclose </w:t>
      </w:r>
      <w:proofErr w:type="gramStart"/>
      <w:r w:rsidRPr="00505DB6">
        <w:rPr>
          <w:rFonts w:cs="Open Sans"/>
        </w:rPr>
        <w:t>any higher level of risk, or how the removal of citizenship would effectively address the threat—in particular when compared to the existing powers</w:t>
      </w:r>
      <w:proofErr w:type="gramEnd"/>
      <w:r w:rsidRPr="00505DB6">
        <w:rPr>
          <w:rFonts w:cs="Open Sans"/>
        </w:rPr>
        <w:t xml:space="preserve">. </w:t>
      </w:r>
    </w:p>
    <w:p w14:paraId="18487142" w14:textId="77777777" w:rsidR="00A15629" w:rsidRPr="00505DB6" w:rsidRDefault="001878C7" w:rsidP="0046153D">
      <w:pPr>
        <w:pStyle w:val="ListNumber"/>
        <w:numPr>
          <w:ilvl w:val="0"/>
          <w:numId w:val="15"/>
        </w:numPr>
        <w:tabs>
          <w:tab w:val="num" w:pos="993"/>
          <w:tab w:val="left" w:pos="1418"/>
        </w:tabs>
        <w:ind w:left="709" w:hanging="567"/>
        <w:rPr>
          <w:rFonts w:cs="Open Sans"/>
        </w:rPr>
      </w:pPr>
      <w:r w:rsidRPr="00505DB6">
        <w:rPr>
          <w:rFonts w:cs="Open Sans"/>
        </w:rPr>
        <w:t xml:space="preserve">It is questionable </w:t>
      </w:r>
      <w:r w:rsidR="0052510F" w:rsidRPr="00505DB6">
        <w:rPr>
          <w:rFonts w:cs="Open Sans"/>
        </w:rPr>
        <w:t>in any event</w:t>
      </w:r>
      <w:r w:rsidR="00A15629" w:rsidRPr="00505DB6">
        <w:rPr>
          <w:rFonts w:cs="Open Sans"/>
        </w:rPr>
        <w:t xml:space="preserve"> </w:t>
      </w:r>
      <w:r w:rsidRPr="00505DB6">
        <w:rPr>
          <w:rFonts w:cs="Open Sans"/>
        </w:rPr>
        <w:t>whether</w:t>
      </w:r>
      <w:r w:rsidR="00A15629" w:rsidRPr="00505DB6">
        <w:rPr>
          <w:rFonts w:cs="Open Sans"/>
        </w:rPr>
        <w:t xml:space="preserve"> the stripping of citizenship is a measure that effectively enhances public safety and national security, as purported in the explanatory materials to the Bill.</w:t>
      </w:r>
      <w:r w:rsidR="00A15629" w:rsidRPr="00505DB6">
        <w:rPr>
          <w:rStyle w:val="EndnoteReference"/>
          <w:rFonts w:cs="Open Sans"/>
        </w:rPr>
        <w:endnoteReference w:id="53"/>
      </w:r>
    </w:p>
    <w:p w14:paraId="2E2D9CD0" w14:textId="77777777" w:rsidR="001878C7" w:rsidRPr="00505DB6" w:rsidRDefault="001878C7" w:rsidP="0046153D">
      <w:pPr>
        <w:pStyle w:val="ListNumber"/>
        <w:numPr>
          <w:ilvl w:val="0"/>
          <w:numId w:val="15"/>
        </w:numPr>
        <w:tabs>
          <w:tab w:val="num" w:pos="993"/>
          <w:tab w:val="left" w:pos="1418"/>
        </w:tabs>
        <w:ind w:left="709" w:hanging="567"/>
        <w:rPr>
          <w:rFonts w:cs="Open Sans"/>
        </w:rPr>
      </w:pPr>
      <w:r w:rsidRPr="00505DB6">
        <w:rPr>
          <w:rFonts w:cs="Open Sans"/>
        </w:rPr>
        <w:t xml:space="preserve">Violent extremism is a complex and multi-causal phenomenon, and needs to </w:t>
      </w:r>
      <w:proofErr w:type="gramStart"/>
      <w:r w:rsidRPr="00505DB6">
        <w:rPr>
          <w:rFonts w:cs="Open Sans"/>
        </w:rPr>
        <w:t>be addressed</w:t>
      </w:r>
      <w:proofErr w:type="gramEnd"/>
      <w:r w:rsidRPr="00505DB6">
        <w:rPr>
          <w:rFonts w:cs="Open Sans"/>
        </w:rPr>
        <w:t xml:space="preserve"> in a multidisciplinary manner that heeds local and national drivers.</w:t>
      </w:r>
      <w:r w:rsidRPr="00505DB6">
        <w:rPr>
          <w:rStyle w:val="EndnoteReference"/>
          <w:rFonts w:cs="Open Sans"/>
        </w:rPr>
        <w:endnoteReference w:id="54"/>
      </w:r>
      <w:r w:rsidRPr="00505DB6">
        <w:rPr>
          <w:rFonts w:cs="Open Sans"/>
        </w:rPr>
        <w:t xml:space="preserve"> Expert commentary has suggested that the stripping of citizenship serves a largely symbolic </w:t>
      </w:r>
      <w:r w:rsidR="00E36D16">
        <w:rPr>
          <w:rFonts w:cs="Open Sans"/>
        </w:rPr>
        <w:t xml:space="preserve">function that does not justify the enactment of such powers, </w:t>
      </w:r>
      <w:r w:rsidRPr="00505DB6">
        <w:rPr>
          <w:rFonts w:cs="Open Sans"/>
        </w:rPr>
        <w:t xml:space="preserve">rather than </w:t>
      </w:r>
      <w:r w:rsidR="00D9129A">
        <w:rPr>
          <w:rFonts w:cs="Open Sans"/>
        </w:rPr>
        <w:t>serving any clear</w:t>
      </w:r>
      <w:r w:rsidR="00E36D16">
        <w:rPr>
          <w:rFonts w:cs="Open Sans"/>
        </w:rPr>
        <w:t xml:space="preserve"> national security</w:t>
      </w:r>
      <w:r w:rsidR="00AF7D51" w:rsidRPr="00505DB6">
        <w:rPr>
          <w:rFonts w:cs="Open Sans"/>
        </w:rPr>
        <w:t xml:space="preserve"> </w:t>
      </w:r>
      <w:r w:rsidR="00D9129A">
        <w:rPr>
          <w:rFonts w:cs="Open Sans"/>
        </w:rPr>
        <w:t>purpose</w:t>
      </w:r>
      <w:r w:rsidRPr="00505DB6">
        <w:rPr>
          <w:rFonts w:cs="Open Sans"/>
        </w:rPr>
        <w:t>.</w:t>
      </w:r>
      <w:r w:rsidRPr="00505DB6">
        <w:rPr>
          <w:rStyle w:val="EndnoteReference"/>
          <w:rFonts w:cs="Open Sans"/>
        </w:rPr>
        <w:endnoteReference w:id="55"/>
      </w:r>
      <w:r w:rsidR="00AF7D51" w:rsidRPr="00505DB6">
        <w:rPr>
          <w:rFonts w:cs="Open Sans"/>
        </w:rPr>
        <w:t xml:space="preserve"> </w:t>
      </w:r>
    </w:p>
    <w:p w14:paraId="26E59501"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criminal justice system, and sentences served for relevant convictions, is itself designed to act as a deterrent to the commission of crime. </w:t>
      </w:r>
    </w:p>
    <w:p w14:paraId="50921F1B" w14:textId="77777777" w:rsidR="00826C77" w:rsidRDefault="00A15629" w:rsidP="00D77CC7">
      <w:pPr>
        <w:pStyle w:val="ListNumber"/>
        <w:numPr>
          <w:ilvl w:val="0"/>
          <w:numId w:val="15"/>
        </w:numPr>
        <w:tabs>
          <w:tab w:val="num" w:pos="993"/>
          <w:tab w:val="left" w:pos="1418"/>
        </w:tabs>
        <w:ind w:left="709" w:hanging="567"/>
        <w:rPr>
          <w:rFonts w:cs="Open Sans"/>
        </w:rPr>
      </w:pPr>
      <w:r w:rsidRPr="00826C77">
        <w:rPr>
          <w:rFonts w:cs="Open Sans"/>
        </w:rPr>
        <w:t xml:space="preserve">If there is a </w:t>
      </w:r>
      <w:r w:rsidR="001878C7" w:rsidRPr="00826C77">
        <w:rPr>
          <w:rFonts w:cs="Open Sans"/>
        </w:rPr>
        <w:t>real</w:t>
      </w:r>
      <w:r w:rsidRPr="00826C77">
        <w:rPr>
          <w:rFonts w:cs="Open Sans"/>
        </w:rPr>
        <w:t xml:space="preserve"> risk of future terrorism offences being committed, control orders and preventative detention powers are in place specifically to protect public safety. </w:t>
      </w:r>
    </w:p>
    <w:p w14:paraId="10C01D30" w14:textId="77777777" w:rsidR="00A15629" w:rsidRPr="00826C77" w:rsidRDefault="00A15629" w:rsidP="00D77CC7">
      <w:pPr>
        <w:pStyle w:val="ListNumber"/>
        <w:numPr>
          <w:ilvl w:val="0"/>
          <w:numId w:val="15"/>
        </w:numPr>
        <w:tabs>
          <w:tab w:val="num" w:pos="993"/>
          <w:tab w:val="left" w:pos="1418"/>
        </w:tabs>
        <w:ind w:left="709" w:hanging="567"/>
        <w:rPr>
          <w:rFonts w:cs="Open Sans"/>
        </w:rPr>
      </w:pPr>
      <w:r w:rsidRPr="00826C77">
        <w:rPr>
          <w:rFonts w:cs="Open Sans"/>
        </w:rPr>
        <w:t xml:space="preserve">Further, the Commission considers that the stated purpose of ‘upholding the integrity of Australian citizenship’ is </w:t>
      </w:r>
      <w:r w:rsidR="00011D9D">
        <w:rPr>
          <w:rFonts w:cs="Open Sans"/>
        </w:rPr>
        <w:t xml:space="preserve">too general or vague, and in any event </w:t>
      </w:r>
      <w:r w:rsidRPr="00826C77">
        <w:rPr>
          <w:rFonts w:cs="Open Sans"/>
        </w:rPr>
        <w:t>not sufficient</w:t>
      </w:r>
      <w:r w:rsidR="00011D9D">
        <w:rPr>
          <w:rFonts w:cs="Open Sans"/>
        </w:rPr>
        <w:t>,</w:t>
      </w:r>
      <w:r w:rsidRPr="00826C77">
        <w:rPr>
          <w:rFonts w:cs="Open Sans"/>
        </w:rPr>
        <w:t xml:space="preserve"> to justify the </w:t>
      </w:r>
      <w:r w:rsidR="002A7B3E" w:rsidRPr="00826C77">
        <w:rPr>
          <w:rFonts w:cs="Open Sans"/>
        </w:rPr>
        <w:t xml:space="preserve">potential </w:t>
      </w:r>
      <w:r w:rsidRPr="00826C77">
        <w:rPr>
          <w:rFonts w:cs="Open Sans"/>
        </w:rPr>
        <w:t>extreme consequence</w:t>
      </w:r>
      <w:r w:rsidR="002A7B3E" w:rsidRPr="00826C77">
        <w:rPr>
          <w:rFonts w:cs="Open Sans"/>
        </w:rPr>
        <w:t>s</w:t>
      </w:r>
      <w:r w:rsidRPr="00826C77">
        <w:rPr>
          <w:rFonts w:cs="Open Sans"/>
        </w:rPr>
        <w:t xml:space="preserve"> of </w:t>
      </w:r>
      <w:r w:rsidR="002A7B3E" w:rsidRPr="00826C77">
        <w:rPr>
          <w:rFonts w:cs="Open Sans"/>
        </w:rPr>
        <w:t>the reforms</w:t>
      </w:r>
      <w:r w:rsidRPr="00826C77">
        <w:rPr>
          <w:rFonts w:cs="Open Sans"/>
        </w:rPr>
        <w:t xml:space="preserve">. </w:t>
      </w:r>
    </w:p>
    <w:p w14:paraId="352C6DC4"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lastRenderedPageBreak/>
        <w:t>The Commission considers that citizenship</w:t>
      </w:r>
      <w:r w:rsidR="00C84CDD" w:rsidRPr="00505DB6">
        <w:rPr>
          <w:rFonts w:cs="Open Sans"/>
        </w:rPr>
        <w:t xml:space="preserve"> stripping</w:t>
      </w:r>
      <w:r w:rsidRPr="00505DB6">
        <w:rPr>
          <w:rFonts w:cs="Open Sans"/>
        </w:rPr>
        <w:t xml:space="preserve"> should only occur in the most exceptional circumstances, where the gravest criminal </w:t>
      </w:r>
      <w:r w:rsidRPr="00505DB6">
        <w:rPr>
          <w:rFonts w:eastAsiaTheme="minorHAnsi" w:cs="Open Sans"/>
        </w:rPr>
        <w:t>conduct</w:t>
      </w:r>
      <w:r w:rsidRPr="00505DB6">
        <w:rPr>
          <w:rFonts w:cs="Open Sans"/>
        </w:rPr>
        <w:t xml:space="preserve"> also repudiates one’s allegiance to Australia. </w:t>
      </w:r>
    </w:p>
    <w:p w14:paraId="047BBBF1" w14:textId="77777777" w:rsidR="00A15629" w:rsidRDefault="00694090" w:rsidP="0046153D">
      <w:pPr>
        <w:pStyle w:val="ListNumber"/>
        <w:numPr>
          <w:ilvl w:val="0"/>
          <w:numId w:val="15"/>
        </w:numPr>
        <w:tabs>
          <w:tab w:val="num" w:pos="993"/>
          <w:tab w:val="left" w:pos="1418"/>
        </w:tabs>
        <w:ind w:left="709" w:hanging="567"/>
        <w:rPr>
          <w:rFonts w:cs="Open Sans"/>
        </w:rPr>
      </w:pPr>
      <w:r>
        <w:rPr>
          <w:rFonts w:cs="Open Sans"/>
        </w:rPr>
        <w:t>The s</w:t>
      </w:r>
      <w:r w:rsidR="00A15629" w:rsidRPr="00505DB6">
        <w:rPr>
          <w:rFonts w:cs="Open Sans"/>
        </w:rPr>
        <w:t xml:space="preserve">eriousness of </w:t>
      </w:r>
      <w:r>
        <w:rPr>
          <w:rFonts w:cs="Open Sans"/>
        </w:rPr>
        <w:t xml:space="preserve">the </w:t>
      </w:r>
      <w:r w:rsidR="00A15629" w:rsidRPr="00505DB6">
        <w:rPr>
          <w:rFonts w:cs="Open Sans"/>
        </w:rPr>
        <w:t xml:space="preserve">degree of conduct is more appropriately determined </w:t>
      </w:r>
      <w:r w:rsidR="006B6785">
        <w:rPr>
          <w:rFonts w:cs="Open Sans"/>
        </w:rPr>
        <w:t xml:space="preserve">by </w:t>
      </w:r>
      <w:r w:rsidR="00A15629" w:rsidRPr="00505DB6">
        <w:rPr>
          <w:rFonts w:cs="Open Sans"/>
        </w:rPr>
        <w:t xml:space="preserve">reference to the criminal sentence imposed by a </w:t>
      </w:r>
      <w:r w:rsidR="006B6785">
        <w:rPr>
          <w:rFonts w:cs="Open Sans"/>
        </w:rPr>
        <w:t>c</w:t>
      </w:r>
      <w:r w:rsidR="00A15629" w:rsidRPr="00505DB6">
        <w:rPr>
          <w:rFonts w:cs="Open Sans"/>
        </w:rPr>
        <w:t>ourt, rather than a whole category of offence</w:t>
      </w:r>
      <w:r w:rsidR="002A7B3E" w:rsidRPr="00505DB6">
        <w:rPr>
          <w:rFonts w:cs="Open Sans"/>
        </w:rPr>
        <w:t xml:space="preserve"> as proposed </w:t>
      </w:r>
      <w:r w:rsidR="006B6785">
        <w:rPr>
          <w:rFonts w:cs="Open Sans"/>
        </w:rPr>
        <w:t xml:space="preserve">in amended </w:t>
      </w:r>
      <w:r w:rsidR="002A7B3E" w:rsidRPr="00505DB6">
        <w:rPr>
          <w:rFonts w:cs="Open Sans"/>
        </w:rPr>
        <w:t>s 35A(1</w:t>
      </w:r>
      <w:r w:rsidR="006B6785">
        <w:rPr>
          <w:rFonts w:cs="Open Sans"/>
        </w:rPr>
        <w:t>A</w:t>
      </w:r>
      <w:r w:rsidR="002A7B3E" w:rsidRPr="00505DB6">
        <w:rPr>
          <w:rFonts w:cs="Open Sans"/>
        </w:rPr>
        <w:t>)</w:t>
      </w:r>
      <w:r w:rsidR="00A15629" w:rsidRPr="00505DB6">
        <w:rPr>
          <w:rFonts w:cs="Open Sans"/>
        </w:rPr>
        <w:t>. </w:t>
      </w:r>
    </w:p>
    <w:p w14:paraId="19E5C7D2" w14:textId="77777777" w:rsidR="002F3DA0" w:rsidRPr="002F3DA0" w:rsidRDefault="002F3DA0" w:rsidP="0046153D">
      <w:pPr>
        <w:pStyle w:val="ListNumber"/>
        <w:numPr>
          <w:ilvl w:val="0"/>
          <w:numId w:val="15"/>
        </w:numPr>
        <w:tabs>
          <w:tab w:val="num" w:pos="993"/>
          <w:tab w:val="left" w:pos="1418"/>
        </w:tabs>
        <w:ind w:left="709" w:hanging="567"/>
        <w:rPr>
          <w:rFonts w:cs="Open Sans"/>
        </w:rPr>
      </w:pPr>
      <w:r>
        <w:t xml:space="preserve">A court imposing a sentence is expressly required, and </w:t>
      </w:r>
      <w:proofErr w:type="gramStart"/>
      <w:r>
        <w:t>is uniquely well placed</w:t>
      </w:r>
      <w:proofErr w:type="gramEnd"/>
      <w:r>
        <w:t xml:space="preserve">, to assess the risk posed by an individual to the Australian community. </w:t>
      </w:r>
    </w:p>
    <w:p w14:paraId="1F2F90C4" w14:textId="77777777" w:rsidR="002F3DA0" w:rsidRPr="002F3DA0" w:rsidRDefault="002F3DA0" w:rsidP="0046153D">
      <w:pPr>
        <w:pStyle w:val="ListNumber"/>
        <w:numPr>
          <w:ilvl w:val="0"/>
          <w:numId w:val="15"/>
        </w:numPr>
        <w:tabs>
          <w:tab w:val="num" w:pos="993"/>
          <w:tab w:val="left" w:pos="1418"/>
        </w:tabs>
        <w:ind w:left="709" w:hanging="567"/>
        <w:rPr>
          <w:rFonts w:cs="Open Sans"/>
        </w:rPr>
      </w:pPr>
      <w:r>
        <w:t xml:space="preserve">Where a court imposes a heavy sentence, this signals, among other things, that the </w:t>
      </w:r>
      <w:r w:rsidR="005F0453">
        <w:t xml:space="preserve">conduct is serious and that the </w:t>
      </w:r>
      <w:r>
        <w:t xml:space="preserve">person is a risk to the community. By contrast, a lighter sentence can signify a lower risk to the community, or even that the individual may have committed a technical or otherwise less culpable contravention of the criminal law. </w:t>
      </w:r>
    </w:p>
    <w:p w14:paraId="7ED181FF" w14:textId="77777777" w:rsidR="00A15629" w:rsidRPr="00505DB6" w:rsidRDefault="005F0453" w:rsidP="0046153D">
      <w:pPr>
        <w:pStyle w:val="ListNumber"/>
        <w:numPr>
          <w:ilvl w:val="0"/>
          <w:numId w:val="15"/>
        </w:numPr>
        <w:tabs>
          <w:tab w:val="num" w:pos="993"/>
          <w:tab w:val="left" w:pos="1418"/>
        </w:tabs>
        <w:ind w:left="709" w:hanging="567"/>
        <w:rPr>
          <w:rFonts w:cs="Open Sans"/>
        </w:rPr>
      </w:pPr>
      <w:r>
        <w:rPr>
          <w:rFonts w:cs="Open Sans"/>
        </w:rPr>
        <w:t>T</w:t>
      </w:r>
      <w:r w:rsidR="00A15629" w:rsidRPr="00505DB6">
        <w:rPr>
          <w:rFonts w:cs="Open Sans"/>
        </w:rPr>
        <w:t>he Commission</w:t>
      </w:r>
      <w:r w:rsidR="002F3DA0">
        <w:rPr>
          <w:rFonts w:cs="Open Sans"/>
        </w:rPr>
        <w:t xml:space="preserve"> considers that</w:t>
      </w:r>
      <w:r w:rsidR="00A15629" w:rsidRPr="00505DB6">
        <w:rPr>
          <w:rFonts w:cs="Open Sans"/>
        </w:rPr>
        <w:t xml:space="preserve"> </w:t>
      </w:r>
      <w:r w:rsidR="001763F4">
        <w:rPr>
          <w:rFonts w:cs="Open Sans"/>
        </w:rPr>
        <w:t xml:space="preserve">the Act’s current </w:t>
      </w:r>
      <w:r w:rsidR="002F3DA0">
        <w:t>minimum criminal sentence requirement</w:t>
      </w:r>
      <w:r>
        <w:t>, reflecting the court’s assessment of the seriousness of conduct,</w:t>
      </w:r>
      <w:r w:rsidR="002F3DA0">
        <w:t xml:space="preserve"> rightly forms part of the decision-making criteria in the Act</w:t>
      </w:r>
      <w:r>
        <w:t xml:space="preserve"> and should not be diluted</w:t>
      </w:r>
      <w:r w:rsidR="009C16AF">
        <w:t xml:space="preserve">. </w:t>
      </w:r>
    </w:p>
    <w:p w14:paraId="467508D3" w14:textId="020F55D6"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Maintaining the</w:t>
      </w:r>
      <w:r w:rsidR="00C370D9">
        <w:rPr>
          <w:rFonts w:cs="Open Sans"/>
        </w:rPr>
        <w:t xml:space="preserve"> six </w:t>
      </w:r>
      <w:r w:rsidRPr="00505DB6">
        <w:rPr>
          <w:rFonts w:cs="Open Sans"/>
        </w:rPr>
        <w:t xml:space="preserve">year imprisonment requirement helps ensure that only conduct with a higher degree of culpability, and </w:t>
      </w:r>
      <w:proofErr w:type="gramStart"/>
      <w:r w:rsidRPr="00505DB6">
        <w:rPr>
          <w:rFonts w:cs="Open Sans"/>
        </w:rPr>
        <w:t>therefore also</w:t>
      </w:r>
      <w:proofErr w:type="gramEnd"/>
      <w:r w:rsidRPr="00505DB6">
        <w:rPr>
          <w:rFonts w:cs="Open Sans"/>
        </w:rPr>
        <w:t xml:space="preserve"> a likely </w:t>
      </w:r>
      <w:r w:rsidR="002A7B3E" w:rsidRPr="00505DB6">
        <w:rPr>
          <w:rFonts w:cs="Open Sans"/>
        </w:rPr>
        <w:t>closer nexus to conduct that repudiates</w:t>
      </w:r>
      <w:r w:rsidRPr="00505DB6">
        <w:rPr>
          <w:rFonts w:cs="Open Sans"/>
        </w:rPr>
        <w:t xml:space="preserve"> allegiance to Australia, is eligible for removal of citizenship. The offences discussed above are examples of where conduct of a lower degree does not rise to this level. They sit at a lower end of the range of seriousness, and do not necessarily constitute disavowal of allegiance to Australia.</w:t>
      </w:r>
    </w:p>
    <w:p w14:paraId="12E063CB" w14:textId="215CB6C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Without the</w:t>
      </w:r>
      <w:r w:rsidR="00C370D9">
        <w:rPr>
          <w:rFonts w:cs="Open Sans"/>
        </w:rPr>
        <w:t xml:space="preserve"> </w:t>
      </w:r>
      <w:proofErr w:type="gramStart"/>
      <w:r w:rsidR="00C370D9">
        <w:rPr>
          <w:rFonts w:cs="Open Sans"/>
        </w:rPr>
        <w:t xml:space="preserve">six </w:t>
      </w:r>
      <w:r w:rsidRPr="00505DB6">
        <w:rPr>
          <w:rFonts w:cs="Open Sans"/>
        </w:rPr>
        <w:t>year</w:t>
      </w:r>
      <w:proofErr w:type="gramEnd"/>
      <w:r w:rsidRPr="00505DB6">
        <w:rPr>
          <w:rFonts w:cs="Open Sans"/>
        </w:rPr>
        <w:t xml:space="preserve"> imprisonment requirement, greater discretion is afforded to the Minister to determine whether certain conduct warrants the removal of citizenshi</w:t>
      </w:r>
      <w:r w:rsidR="002A7B3E" w:rsidRPr="00505DB6">
        <w:rPr>
          <w:rFonts w:cs="Open Sans"/>
        </w:rPr>
        <w:t>p. This increases the risk of</w:t>
      </w:r>
      <w:r w:rsidRPr="00505DB6">
        <w:rPr>
          <w:rFonts w:cs="Open Sans"/>
        </w:rPr>
        <w:t xml:space="preserve"> arbitrary decision</w:t>
      </w:r>
      <w:r w:rsidR="002A34FA">
        <w:rPr>
          <w:rFonts w:cs="Open Sans"/>
        </w:rPr>
        <w:t>-</w:t>
      </w:r>
      <w:r w:rsidR="002A7B3E" w:rsidRPr="00505DB6">
        <w:rPr>
          <w:rFonts w:cs="Open Sans"/>
        </w:rPr>
        <w:t>making</w:t>
      </w:r>
      <w:r w:rsidRPr="00505DB6">
        <w:rPr>
          <w:rFonts w:cs="Open Sans"/>
        </w:rPr>
        <w:t xml:space="preserve">. </w:t>
      </w:r>
    </w:p>
    <w:p w14:paraId="45610DC1" w14:textId="7CDCC76F"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While conviction-based </w:t>
      </w:r>
      <w:r w:rsidR="002C44C8">
        <w:rPr>
          <w:rFonts w:cs="Open Sans"/>
        </w:rPr>
        <w:t xml:space="preserve">removal </w:t>
      </w:r>
      <w:r w:rsidRPr="00505DB6">
        <w:rPr>
          <w:rFonts w:cs="Open Sans"/>
        </w:rPr>
        <w:t xml:space="preserve">of citizenship under s 35A is not automatic, and proposed s 35A(1) provides some </w:t>
      </w:r>
      <w:r w:rsidR="001763F4">
        <w:rPr>
          <w:rFonts w:cs="Open Sans"/>
        </w:rPr>
        <w:t>con</w:t>
      </w:r>
      <w:r w:rsidRPr="00505DB6">
        <w:rPr>
          <w:rFonts w:cs="Open Sans"/>
        </w:rPr>
        <w:t xml:space="preserve">straints on the exercise of the Minister’s discretionary power, the Commission is concerned that these safeguards are not sufficient to ensure that removal of citizenship only occurs as a last resort in the most extreme instances. </w:t>
      </w:r>
    </w:p>
    <w:p w14:paraId="375988FE" w14:textId="3E265345" w:rsidR="00A15629" w:rsidRPr="00505DB6" w:rsidRDefault="00BF3706" w:rsidP="0046153D">
      <w:pPr>
        <w:pStyle w:val="ListNumber"/>
        <w:numPr>
          <w:ilvl w:val="0"/>
          <w:numId w:val="15"/>
        </w:numPr>
        <w:tabs>
          <w:tab w:val="num" w:pos="993"/>
          <w:tab w:val="left" w:pos="1418"/>
        </w:tabs>
        <w:ind w:left="709" w:hanging="567"/>
        <w:rPr>
          <w:rFonts w:cs="Open Sans"/>
        </w:rPr>
      </w:pPr>
      <w:r>
        <w:rPr>
          <w:rFonts w:cs="Open Sans"/>
        </w:rPr>
        <w:t>Proposed s</w:t>
      </w:r>
      <w:r w:rsidR="00A15629" w:rsidRPr="00505DB6">
        <w:rPr>
          <w:rFonts w:cs="Open Sans"/>
        </w:rPr>
        <w:t xml:space="preserve"> </w:t>
      </w:r>
      <w:proofErr w:type="gramStart"/>
      <w:r w:rsidR="00A15629" w:rsidRPr="00505DB6">
        <w:rPr>
          <w:rFonts w:cs="Open Sans"/>
        </w:rPr>
        <w:t>35A(</w:t>
      </w:r>
      <w:proofErr w:type="gramEnd"/>
      <w:r w:rsidR="00A15629" w:rsidRPr="00505DB6">
        <w:rPr>
          <w:rFonts w:cs="Open Sans"/>
        </w:rPr>
        <w:t xml:space="preserve">1)(c) </w:t>
      </w:r>
      <w:r>
        <w:rPr>
          <w:rFonts w:cs="Open Sans"/>
        </w:rPr>
        <w:t xml:space="preserve">and current s 35A(1)(d) </w:t>
      </w:r>
      <w:r w:rsidR="00A15629" w:rsidRPr="00505DB6">
        <w:rPr>
          <w:rFonts w:cs="Open Sans"/>
        </w:rPr>
        <w:t xml:space="preserve">require the Minister to be satisfied that the conduct of the person to which the conviction/s relate </w:t>
      </w:r>
      <w:r w:rsidR="00A15629" w:rsidRPr="00505DB6">
        <w:rPr>
          <w:rFonts w:cs="Open Sans"/>
        </w:rPr>
        <w:lastRenderedPageBreak/>
        <w:t>demonstrate</w:t>
      </w:r>
      <w:r w:rsidR="00C95DE0">
        <w:rPr>
          <w:rFonts w:cs="Open Sans"/>
        </w:rPr>
        <w:t>s</w:t>
      </w:r>
      <w:r w:rsidR="00A15629" w:rsidRPr="00505DB6">
        <w:rPr>
          <w:rFonts w:cs="Open Sans"/>
        </w:rPr>
        <w:t xml:space="preserve"> that the person has repudiated their allegiance to Australia. Again, the Commission considers it more fitting for Parliament to determine the appropriate threshold of seriousness of conduct by way of sentence applied by a court, reflected in prospective and clear legislative requirements, rather than </w:t>
      </w:r>
      <w:r>
        <w:rPr>
          <w:rFonts w:cs="Open Sans"/>
        </w:rPr>
        <w:t>this being solely a</w:t>
      </w:r>
      <w:r w:rsidR="00A15629" w:rsidRPr="00505DB6">
        <w:rPr>
          <w:rFonts w:cs="Open Sans"/>
        </w:rPr>
        <w:t xml:space="preserve"> matter of discretion.</w:t>
      </w:r>
    </w:p>
    <w:p w14:paraId="00E956FD" w14:textId="671D3C55"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decision-making criteria in</w:t>
      </w:r>
      <w:r w:rsidR="00BF3706">
        <w:rPr>
          <w:rFonts w:cs="Open Sans"/>
        </w:rPr>
        <w:t xml:space="preserve"> proposed</w:t>
      </w:r>
      <w:r w:rsidRPr="00505DB6">
        <w:rPr>
          <w:rFonts w:cs="Open Sans"/>
        </w:rPr>
        <w:t xml:space="preserve"> s </w:t>
      </w:r>
      <w:proofErr w:type="gramStart"/>
      <w:r w:rsidRPr="00505DB6">
        <w:rPr>
          <w:rFonts w:cs="Open Sans"/>
        </w:rPr>
        <w:t>35A(</w:t>
      </w:r>
      <w:proofErr w:type="gramEnd"/>
      <w:r w:rsidRPr="00505DB6">
        <w:rPr>
          <w:rFonts w:cs="Open Sans"/>
        </w:rPr>
        <w:t>1)(d)</w:t>
      </w:r>
      <w:r w:rsidR="001763F4">
        <w:rPr>
          <w:rFonts w:cs="Open Sans"/>
        </w:rPr>
        <w:t>,</w:t>
      </w:r>
      <w:r w:rsidRPr="00505DB6">
        <w:rPr>
          <w:rFonts w:cs="Open Sans"/>
        </w:rPr>
        <w:t xml:space="preserve"> </w:t>
      </w:r>
      <w:r w:rsidR="00F426DA">
        <w:rPr>
          <w:rFonts w:cs="Open Sans"/>
        </w:rPr>
        <w:t>and current s 35A(1)(e)</w:t>
      </w:r>
      <w:r w:rsidR="001763F4">
        <w:rPr>
          <w:rFonts w:cs="Open Sans"/>
        </w:rPr>
        <w:t>,</w:t>
      </w:r>
      <w:r w:rsidR="00F426DA">
        <w:rPr>
          <w:rFonts w:cs="Open Sans"/>
        </w:rPr>
        <w:t xml:space="preserve"> </w:t>
      </w:r>
      <w:r w:rsidRPr="00505DB6">
        <w:rPr>
          <w:rFonts w:cs="Open Sans"/>
        </w:rPr>
        <w:t xml:space="preserve">require the Minister to be satisfied that it is not in the public interest for the person </w:t>
      </w:r>
      <w:r w:rsidR="002A7B3E" w:rsidRPr="00505DB6">
        <w:rPr>
          <w:rFonts w:cs="Open Sans"/>
        </w:rPr>
        <w:t>to remain an Australian citizen</w:t>
      </w:r>
      <w:r w:rsidRPr="00505DB6">
        <w:rPr>
          <w:rFonts w:cs="Open Sans"/>
        </w:rPr>
        <w:t xml:space="preserve"> ‘having regard’ to certain factors. </w:t>
      </w:r>
    </w:p>
    <w:p w14:paraId="12BACBCE" w14:textId="77777777" w:rsidR="00FA1BA9"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These factors include the severity of the relevant conduct, degree of threat posed, the age of the person, the best interests of the child and the person’s connection to the other country and the availability of the rights of citizenship of that country to the person. Notably, it does not </w:t>
      </w:r>
      <w:r w:rsidR="001763F4">
        <w:rPr>
          <w:rFonts w:cs="Open Sans"/>
        </w:rPr>
        <w:t xml:space="preserve">expressly </w:t>
      </w:r>
      <w:r w:rsidRPr="00505DB6">
        <w:rPr>
          <w:rFonts w:cs="Open Sans"/>
        </w:rPr>
        <w:t>require consideration of a person’s connection to Australia.</w:t>
      </w:r>
      <w:r w:rsidR="004229BB">
        <w:rPr>
          <w:rStyle w:val="EndnoteReference"/>
          <w:rFonts w:cs="Open Sans"/>
        </w:rPr>
        <w:endnoteReference w:id="56"/>
      </w:r>
      <w:r w:rsidR="001A5D1D">
        <w:rPr>
          <w:rFonts w:cs="Open Sans"/>
        </w:rPr>
        <w:t xml:space="preserve"> </w:t>
      </w:r>
    </w:p>
    <w:p w14:paraId="2329518A" w14:textId="188E2100" w:rsidR="00A15629" w:rsidRPr="00505DB6" w:rsidRDefault="001A5D1D" w:rsidP="0046153D">
      <w:pPr>
        <w:pStyle w:val="ListNumber"/>
        <w:numPr>
          <w:ilvl w:val="0"/>
          <w:numId w:val="15"/>
        </w:numPr>
        <w:tabs>
          <w:tab w:val="num" w:pos="993"/>
          <w:tab w:val="left" w:pos="1418"/>
        </w:tabs>
        <w:ind w:left="709" w:hanging="567"/>
        <w:rPr>
          <w:rFonts w:cs="Open Sans"/>
        </w:rPr>
      </w:pPr>
      <w:r>
        <w:rPr>
          <w:rFonts w:cs="Open Sans"/>
        </w:rPr>
        <w:t xml:space="preserve">Circumstances may arise where a person has a strong connection to Australia, for </w:t>
      </w:r>
      <w:proofErr w:type="gramStart"/>
      <w:r>
        <w:rPr>
          <w:rFonts w:cs="Open Sans"/>
        </w:rPr>
        <w:t>example</w:t>
      </w:r>
      <w:proofErr w:type="gramEnd"/>
      <w:r>
        <w:rPr>
          <w:rFonts w:cs="Open Sans"/>
        </w:rPr>
        <w:t xml:space="preserve"> where they have lived in Australia for a long period and have </w:t>
      </w:r>
      <w:r w:rsidR="00A45CD9">
        <w:rPr>
          <w:rFonts w:cs="Open Sans"/>
        </w:rPr>
        <w:t>dependent</w:t>
      </w:r>
      <w:r>
        <w:rPr>
          <w:rFonts w:cs="Open Sans"/>
        </w:rPr>
        <w:t xml:space="preserve"> children who are Australian citizens</w:t>
      </w:r>
      <w:r w:rsidR="00580795">
        <w:rPr>
          <w:rFonts w:cs="Open Sans"/>
        </w:rPr>
        <w:t xml:space="preserve">. While courts have found that legislative provisions </w:t>
      </w:r>
      <w:proofErr w:type="gramStart"/>
      <w:r w:rsidR="00580795">
        <w:rPr>
          <w:rFonts w:cs="Open Sans"/>
        </w:rPr>
        <w:t>should be interpreted</w:t>
      </w:r>
      <w:proofErr w:type="gramEnd"/>
      <w:r w:rsidR="00580795">
        <w:rPr>
          <w:rFonts w:cs="Open Sans"/>
        </w:rPr>
        <w:t xml:space="preserve"> </w:t>
      </w:r>
      <w:r w:rsidR="00D67734">
        <w:rPr>
          <w:rFonts w:cs="Open Sans"/>
        </w:rPr>
        <w:t>consistently with Australia’s international obligations</w:t>
      </w:r>
      <w:r w:rsidR="00580795">
        <w:rPr>
          <w:rFonts w:cs="Open Sans"/>
        </w:rPr>
        <w:t>,</w:t>
      </w:r>
      <w:bookmarkStart w:id="41" w:name="_GoBack"/>
      <w:bookmarkEnd w:id="41"/>
      <w:r w:rsidR="00945CB4">
        <w:rPr>
          <w:rStyle w:val="EndnoteReference"/>
          <w:rFonts w:cs="Open Sans"/>
        </w:rPr>
        <w:endnoteReference w:id="57"/>
      </w:r>
      <w:r w:rsidR="00580795">
        <w:rPr>
          <w:rFonts w:cs="Open Sans"/>
        </w:rPr>
        <w:t xml:space="preserve"> this does not </w:t>
      </w:r>
      <w:r w:rsidR="00D67734">
        <w:rPr>
          <w:rFonts w:cs="Open Sans"/>
        </w:rPr>
        <w:t>afford the same level of protection as statutory decision-making criteria.</w:t>
      </w:r>
    </w:p>
    <w:p w14:paraId="0329E6DA" w14:textId="77777777" w:rsidR="00A15629" w:rsidRPr="00505DB6" w:rsidRDefault="00085D83" w:rsidP="0046153D">
      <w:pPr>
        <w:pStyle w:val="ListNumber"/>
        <w:numPr>
          <w:ilvl w:val="0"/>
          <w:numId w:val="15"/>
        </w:numPr>
        <w:tabs>
          <w:tab w:val="num" w:pos="993"/>
          <w:tab w:val="left" w:pos="1418"/>
        </w:tabs>
        <w:ind w:left="709" w:hanging="567"/>
        <w:rPr>
          <w:rFonts w:cs="Open Sans"/>
        </w:rPr>
      </w:pPr>
      <w:r>
        <w:rPr>
          <w:rFonts w:cs="Open Sans"/>
        </w:rPr>
        <w:t>Further, t</w:t>
      </w:r>
      <w:r w:rsidR="00A15629" w:rsidRPr="00505DB6">
        <w:rPr>
          <w:rFonts w:cs="Open Sans"/>
        </w:rPr>
        <w:t xml:space="preserve">his provision operates to require the Minister to turn their mind to </w:t>
      </w:r>
      <w:r w:rsidR="004D3F88" w:rsidRPr="00505DB6">
        <w:rPr>
          <w:rFonts w:cs="Open Sans"/>
        </w:rPr>
        <w:t>the</w:t>
      </w:r>
      <w:r w:rsidR="004D3F88">
        <w:rPr>
          <w:rFonts w:cs="Open Sans"/>
        </w:rPr>
        <w:t xml:space="preserve"> specified</w:t>
      </w:r>
      <w:r w:rsidR="004D3F88" w:rsidRPr="00505DB6">
        <w:rPr>
          <w:rFonts w:cs="Open Sans"/>
        </w:rPr>
        <w:t xml:space="preserve"> </w:t>
      </w:r>
      <w:r w:rsidR="00A15629" w:rsidRPr="00505DB6">
        <w:rPr>
          <w:rFonts w:cs="Open Sans"/>
        </w:rPr>
        <w:t xml:space="preserve">factors; it does not require that a balancing exercise </w:t>
      </w:r>
      <w:proofErr w:type="gramStart"/>
      <w:r w:rsidR="00A15629" w:rsidRPr="00505DB6">
        <w:rPr>
          <w:rFonts w:cs="Open Sans"/>
        </w:rPr>
        <w:t>be conducted</w:t>
      </w:r>
      <w:proofErr w:type="gramEnd"/>
      <w:r w:rsidR="00A15629" w:rsidRPr="00505DB6">
        <w:rPr>
          <w:rFonts w:cs="Open Sans"/>
        </w:rPr>
        <w:t xml:space="preserve">. Nor does it prevent the exercise of the power where human rights </w:t>
      </w:r>
      <w:proofErr w:type="gramStart"/>
      <w:r w:rsidR="00A15629" w:rsidRPr="00505DB6">
        <w:rPr>
          <w:rFonts w:cs="Open Sans"/>
        </w:rPr>
        <w:t>will be breached</w:t>
      </w:r>
      <w:proofErr w:type="gramEnd"/>
      <w:r w:rsidR="00A15629" w:rsidRPr="00505DB6">
        <w:rPr>
          <w:rFonts w:cs="Open Sans"/>
        </w:rPr>
        <w:t>. It therefore risks a ‘check box’ approach.</w:t>
      </w:r>
      <w:r w:rsidR="00F426DA">
        <w:rPr>
          <w:rFonts w:cs="Open Sans"/>
        </w:rPr>
        <w:t xml:space="preserve"> Again, in the absence of a minimum threshold of seriousness, there is an increased risk of disproportionate or arbitrary decision</w:t>
      </w:r>
      <w:r w:rsidR="004D3F88">
        <w:rPr>
          <w:rFonts w:cs="Open Sans"/>
        </w:rPr>
        <w:t>-making</w:t>
      </w:r>
      <w:r w:rsidR="00F426DA">
        <w:rPr>
          <w:rFonts w:cs="Open Sans"/>
        </w:rPr>
        <w:t>.</w:t>
      </w:r>
    </w:p>
    <w:p w14:paraId="7989EE81" w14:textId="77777777" w:rsidR="00A15629" w:rsidRPr="008648E7" w:rsidRDefault="00A15629" w:rsidP="00913CAB">
      <w:pPr>
        <w:pStyle w:val="Heading2"/>
        <w:rPr>
          <w:rFonts w:cs="Open Sans"/>
        </w:rPr>
      </w:pPr>
      <w:bookmarkStart w:id="42" w:name="_Toc534878471"/>
      <w:r w:rsidRPr="008648E7">
        <w:rPr>
          <w:rFonts w:cs="Open Sans"/>
        </w:rPr>
        <w:t>Retrospectivity</w:t>
      </w:r>
      <w:bookmarkEnd w:id="42"/>
    </w:p>
    <w:p w14:paraId="3B8FC0FE"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Bill expands the scope of the </w:t>
      </w:r>
      <w:r w:rsidR="002C44C8">
        <w:rPr>
          <w:rFonts w:cs="Open Sans"/>
        </w:rPr>
        <w:t>citizenship removal</w:t>
      </w:r>
      <w:r w:rsidR="002C44C8" w:rsidRPr="00505DB6">
        <w:rPr>
          <w:rFonts w:cs="Open Sans"/>
        </w:rPr>
        <w:t xml:space="preserve"> </w:t>
      </w:r>
      <w:r w:rsidRPr="00505DB6">
        <w:rPr>
          <w:rFonts w:cs="Open Sans"/>
        </w:rPr>
        <w:t>provisions to any individual with a relevant terrorism conviction that occurred on or after 12 </w:t>
      </w:r>
      <w:r w:rsidR="002A7B3E" w:rsidRPr="00505DB6">
        <w:rPr>
          <w:rFonts w:cs="Open Sans"/>
        </w:rPr>
        <w:t xml:space="preserve">December 2005, capturing </w:t>
      </w:r>
      <w:r w:rsidRPr="00505DB6">
        <w:rPr>
          <w:rFonts w:cs="Open Sans"/>
        </w:rPr>
        <w:t xml:space="preserve">conduct and convictions that occurred </w:t>
      </w:r>
      <w:r w:rsidR="00F426DA">
        <w:rPr>
          <w:rFonts w:cs="Open Sans"/>
        </w:rPr>
        <w:t xml:space="preserve">long </w:t>
      </w:r>
      <w:r w:rsidRPr="00505DB6">
        <w:rPr>
          <w:rFonts w:cs="Open Sans"/>
        </w:rPr>
        <w:t xml:space="preserve">before the passage of the Bill. </w:t>
      </w:r>
    </w:p>
    <w:p w14:paraId="14EB9549" w14:textId="0EFB1050"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The Minister already enjoys powers to strip citizenship from persons with relevant terrorism convictions. Current s 35A </w:t>
      </w:r>
      <w:proofErr w:type="gramStart"/>
      <w:r w:rsidRPr="00505DB6">
        <w:rPr>
          <w:rFonts w:cs="Open Sans"/>
        </w:rPr>
        <w:t>was passed</w:t>
      </w:r>
      <w:proofErr w:type="gramEnd"/>
      <w:r w:rsidRPr="00505DB6">
        <w:rPr>
          <w:rFonts w:cs="Open Sans"/>
        </w:rPr>
        <w:t xml:space="preserve"> with retrospective operation, applying to convictions that occurred no more than</w:t>
      </w:r>
      <w:r w:rsidR="00C370D9">
        <w:rPr>
          <w:rFonts w:cs="Open Sans"/>
        </w:rPr>
        <w:t xml:space="preserve"> ten </w:t>
      </w:r>
      <w:r w:rsidRPr="00505DB6">
        <w:rPr>
          <w:rFonts w:cs="Open Sans"/>
        </w:rPr>
        <w:t xml:space="preserve">years before the commencement of that section, and where the </w:t>
      </w:r>
      <w:r w:rsidRPr="00505DB6">
        <w:rPr>
          <w:rFonts w:cs="Open Sans"/>
        </w:rPr>
        <w:lastRenderedPageBreak/>
        <w:t>person was sentence</w:t>
      </w:r>
      <w:r w:rsidR="00F426DA">
        <w:rPr>
          <w:rFonts w:cs="Open Sans"/>
        </w:rPr>
        <w:t>d</w:t>
      </w:r>
      <w:r w:rsidRPr="00505DB6">
        <w:rPr>
          <w:rFonts w:cs="Open Sans"/>
        </w:rPr>
        <w:t xml:space="preserve"> to a period of imprisonment of at least</w:t>
      </w:r>
      <w:r w:rsidR="00C370D9">
        <w:rPr>
          <w:rFonts w:cs="Open Sans"/>
        </w:rPr>
        <w:t xml:space="preserve"> ten </w:t>
      </w:r>
      <w:r w:rsidRPr="00505DB6">
        <w:rPr>
          <w:rFonts w:cs="Open Sans"/>
        </w:rPr>
        <w:t>years in respect of the conviction.</w:t>
      </w:r>
      <w:r w:rsidRPr="00505DB6">
        <w:rPr>
          <w:rStyle w:val="EndnoteReference"/>
          <w:rFonts w:cs="Open Sans"/>
        </w:rPr>
        <w:endnoteReference w:id="58"/>
      </w:r>
      <w:r w:rsidRPr="00505DB6">
        <w:rPr>
          <w:rFonts w:cs="Open Sans"/>
        </w:rPr>
        <w:t xml:space="preserve"> </w:t>
      </w:r>
    </w:p>
    <w:p w14:paraId="2CCAD029" w14:textId="2C9BCF20"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practic</w:t>
      </w:r>
      <w:r w:rsidR="002A7B3E" w:rsidRPr="00505DB6">
        <w:rPr>
          <w:rFonts w:cs="Open Sans"/>
        </w:rPr>
        <w:t>al effect of the reforms would</w:t>
      </w:r>
      <w:r w:rsidRPr="00505DB6">
        <w:rPr>
          <w:rFonts w:cs="Open Sans"/>
        </w:rPr>
        <w:t xml:space="preserve"> be to remove the requirement that a person </w:t>
      </w:r>
      <w:proofErr w:type="gramStart"/>
      <w:r w:rsidRPr="00505DB6">
        <w:rPr>
          <w:rFonts w:cs="Open Sans"/>
        </w:rPr>
        <w:t>be sentenced</w:t>
      </w:r>
      <w:proofErr w:type="gramEnd"/>
      <w:r w:rsidRPr="00505DB6">
        <w:rPr>
          <w:rFonts w:cs="Open Sans"/>
        </w:rPr>
        <w:t xml:space="preserve"> to at least</w:t>
      </w:r>
      <w:r w:rsidR="00C370D9">
        <w:rPr>
          <w:rFonts w:cs="Open Sans"/>
        </w:rPr>
        <w:t xml:space="preserve"> ten </w:t>
      </w:r>
      <w:r w:rsidRPr="00505DB6">
        <w:rPr>
          <w:rFonts w:cs="Open Sans"/>
        </w:rPr>
        <w:t xml:space="preserve">years in respect of a relevant </w:t>
      </w:r>
      <w:r w:rsidR="00F426DA">
        <w:rPr>
          <w:rFonts w:cs="Open Sans"/>
        </w:rPr>
        <w:t xml:space="preserve">historical </w:t>
      </w:r>
      <w:r w:rsidRPr="00505DB6">
        <w:rPr>
          <w:rFonts w:cs="Open Sans"/>
        </w:rPr>
        <w:t xml:space="preserve">terrorism related offence, in order to be eligible for </w:t>
      </w:r>
      <w:r w:rsidR="0046153D" w:rsidRPr="00505DB6">
        <w:rPr>
          <w:rFonts w:cs="Open Sans"/>
        </w:rPr>
        <w:t>removal of citizenship</w:t>
      </w:r>
      <w:r w:rsidRPr="00505DB6">
        <w:rPr>
          <w:rFonts w:cs="Open Sans"/>
        </w:rPr>
        <w:t>.</w:t>
      </w:r>
      <w:r w:rsidR="002A7B3E" w:rsidRPr="00505DB6">
        <w:rPr>
          <w:rStyle w:val="EndnoteReference"/>
          <w:rFonts w:cs="Open Sans"/>
        </w:rPr>
        <w:endnoteReference w:id="59"/>
      </w:r>
      <w:r w:rsidRPr="00505DB6">
        <w:rPr>
          <w:rFonts w:cs="Open Sans"/>
        </w:rPr>
        <w:t xml:space="preserve"> That is, dual citizens or nationals convicted up to 13 years ago could now have their citizenship removed regardless of the length of their sentence. </w:t>
      </w:r>
    </w:p>
    <w:p w14:paraId="7BA08909"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Explanatory Memorandum to the Bill states that the expansion of retrospective operation is appropriate to respond to terrorist threats:</w:t>
      </w:r>
    </w:p>
    <w:p w14:paraId="58B61DCC" w14:textId="77777777" w:rsidR="00A15629" w:rsidRPr="00505DB6" w:rsidRDefault="00A15629" w:rsidP="003A4792">
      <w:pPr>
        <w:pStyle w:val="Quotesub"/>
        <w:rPr>
          <w:rFonts w:cs="Open Sans"/>
        </w:rPr>
      </w:pPr>
      <w:r w:rsidRPr="00505DB6">
        <w:rPr>
          <w:rFonts w:cs="Open Sans"/>
        </w:rPr>
        <w:t>In order to respond to the evolving threat environment, this Bill proposes to broaden the threshold for retrospective application to individuals with a relevant terrorism conviction, regardless of the length of the se</w:t>
      </w:r>
      <w:r w:rsidR="00B21A1A">
        <w:rPr>
          <w:rFonts w:cs="Open Sans"/>
        </w:rPr>
        <w:t>ntence of imprisonment imposed.</w:t>
      </w:r>
      <w:r w:rsidRPr="00505DB6">
        <w:rPr>
          <w:rStyle w:val="EndnoteReference"/>
          <w:rFonts w:eastAsiaTheme="minorHAnsi" w:cs="Open Sans"/>
        </w:rPr>
        <w:endnoteReference w:id="60"/>
      </w:r>
    </w:p>
    <w:p w14:paraId="5DA1FAF1"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The Statement of Compatibility</w:t>
      </w:r>
      <w:r w:rsidR="003A4792" w:rsidRPr="00505DB6">
        <w:rPr>
          <w:rFonts w:cs="Open Sans"/>
        </w:rPr>
        <w:t xml:space="preserve"> with Human Rights</w:t>
      </w:r>
      <w:r w:rsidRPr="00505DB6">
        <w:rPr>
          <w:rFonts w:cs="Open Sans"/>
        </w:rPr>
        <w:t xml:space="preserve"> </w:t>
      </w:r>
      <w:r w:rsidR="002A7B3E" w:rsidRPr="00505DB6">
        <w:rPr>
          <w:rFonts w:cs="Open Sans"/>
        </w:rPr>
        <w:t>states</w:t>
      </w:r>
      <w:r w:rsidRPr="00505DB6">
        <w:rPr>
          <w:rFonts w:cs="Open Sans"/>
        </w:rPr>
        <w:t xml:space="preserve"> that proposed s</w:t>
      </w:r>
      <w:r w:rsidR="008648E7">
        <w:rPr>
          <w:rFonts w:cs="Open Sans"/>
        </w:rPr>
        <w:t> </w:t>
      </w:r>
      <w:r w:rsidRPr="00505DB6">
        <w:rPr>
          <w:rFonts w:cs="Open Sans"/>
        </w:rPr>
        <w:t>35A does not create a criminal offence, but rather allows for the imposition of a ‘civil consequence’ by discretion, ‘in respect of a conviction and penalty that occurred prior to commencement’.</w:t>
      </w:r>
      <w:r w:rsidRPr="00505DB6">
        <w:rPr>
          <w:rStyle w:val="EndnoteReference"/>
          <w:rFonts w:eastAsiaTheme="minorHAnsi" w:cs="Open Sans"/>
        </w:rPr>
        <w:endnoteReference w:id="61"/>
      </w:r>
      <w:r w:rsidRPr="00505DB6">
        <w:rPr>
          <w:rFonts w:cs="Open Sans"/>
        </w:rPr>
        <w:t xml:space="preserve"> </w:t>
      </w:r>
    </w:p>
    <w:p w14:paraId="2A24D59B"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It further states that the measure does not impose a penalty or amount to a punitive measure, as the purpose i</w:t>
      </w:r>
      <w:r w:rsidR="00932F87">
        <w:rPr>
          <w:rFonts w:cs="Open Sans"/>
        </w:rPr>
        <w:t>s</w:t>
      </w:r>
      <w:r w:rsidRPr="00505DB6">
        <w:rPr>
          <w:rFonts w:cs="Open Sans"/>
        </w:rPr>
        <w:t xml:space="preserve"> to ‘ensure the safety and security of Australia, and to ensure that the community of Australian citizens comprises persons who have an allegiance to Australia’.</w:t>
      </w:r>
      <w:r w:rsidRPr="00505DB6">
        <w:rPr>
          <w:rStyle w:val="EndnoteReference"/>
          <w:rFonts w:cs="Open Sans"/>
        </w:rPr>
        <w:endnoteReference w:id="62"/>
      </w:r>
    </w:p>
    <w:p w14:paraId="62235DEB" w14:textId="77777777" w:rsidR="00A15629" w:rsidRPr="00505DB6" w:rsidRDefault="00932F87" w:rsidP="0046153D">
      <w:pPr>
        <w:pStyle w:val="ListNumber"/>
        <w:numPr>
          <w:ilvl w:val="0"/>
          <w:numId w:val="15"/>
        </w:numPr>
        <w:tabs>
          <w:tab w:val="num" w:pos="993"/>
          <w:tab w:val="left" w:pos="1418"/>
        </w:tabs>
        <w:ind w:left="709" w:hanging="567"/>
        <w:rPr>
          <w:rFonts w:cs="Open Sans"/>
        </w:rPr>
      </w:pPr>
      <w:r>
        <w:rPr>
          <w:rFonts w:cs="Open Sans"/>
        </w:rPr>
        <w:t xml:space="preserve">However, in effect, </w:t>
      </w:r>
      <w:r w:rsidR="00A15629" w:rsidRPr="00505DB6">
        <w:rPr>
          <w:rFonts w:cs="Open Sans"/>
        </w:rPr>
        <w:t xml:space="preserve">applying the </w:t>
      </w:r>
      <w:r w:rsidR="00C84CDD" w:rsidRPr="00505DB6">
        <w:rPr>
          <w:rFonts w:cs="Open Sans"/>
        </w:rPr>
        <w:t xml:space="preserve">removal </w:t>
      </w:r>
      <w:r w:rsidR="00A15629" w:rsidRPr="00505DB6">
        <w:rPr>
          <w:rFonts w:cs="Open Sans"/>
        </w:rPr>
        <w:t xml:space="preserve">of citizenship provisions to persons with historic convictions would amount to retrospectively imposing a ‘heavier penalty’ for criminal conduct than that applicable at the time the crime was committed. </w:t>
      </w:r>
    </w:p>
    <w:p w14:paraId="01D6EC92" w14:textId="77777777" w:rsidR="00B21A1A"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Article 15(1) of the ICCPR prohibits retrospective criminal laws, including the imposition of heavier penalties than the one applicable at the time the offence was committed. </w:t>
      </w:r>
    </w:p>
    <w:p w14:paraId="2D3E5B9B"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Whether a measure will constitute a ‘penalty’ is not to be determined purely by the way the measure is characterised in domestic law.</w:t>
      </w:r>
      <w:r w:rsidRPr="00505DB6">
        <w:rPr>
          <w:rStyle w:val="EndnoteReference"/>
          <w:rFonts w:cs="Open Sans"/>
        </w:rPr>
        <w:endnoteReference w:id="63"/>
      </w:r>
      <w:r w:rsidRPr="00505DB6">
        <w:rPr>
          <w:rFonts w:cs="Open Sans"/>
        </w:rPr>
        <w:t xml:space="preserve"> Were that not the case, states could circumvent their obligations simply by describing penalties in some other way. For instance, a financial penalty </w:t>
      </w:r>
      <w:proofErr w:type="gramStart"/>
      <w:r w:rsidRPr="00505DB6">
        <w:rPr>
          <w:rFonts w:cs="Open Sans"/>
        </w:rPr>
        <w:t>could be described</w:t>
      </w:r>
      <w:proofErr w:type="gramEnd"/>
      <w:r w:rsidRPr="00505DB6">
        <w:rPr>
          <w:rFonts w:cs="Open Sans"/>
        </w:rPr>
        <w:t xml:space="preserve"> as a ‘tax’, or punitive detention as serving a purely protective function. </w:t>
      </w:r>
    </w:p>
    <w:p w14:paraId="4C4D167D"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Relevant factors to ascertaining whether a measure is a penalty include whether it attaches to criminal conduct, the severity of the measure and </w:t>
      </w:r>
      <w:proofErr w:type="gramStart"/>
      <w:r w:rsidRPr="00505DB6">
        <w:rPr>
          <w:rFonts w:cs="Open Sans"/>
        </w:rPr>
        <w:lastRenderedPageBreak/>
        <w:t>its</w:t>
      </w:r>
      <w:proofErr w:type="gramEnd"/>
      <w:r w:rsidRPr="00505DB6">
        <w:rPr>
          <w:rFonts w:cs="Open Sans"/>
        </w:rPr>
        <w:t xml:space="preserve"> purpose.</w:t>
      </w:r>
      <w:r w:rsidRPr="00505DB6">
        <w:rPr>
          <w:rStyle w:val="EndnoteReference"/>
          <w:rFonts w:cs="Open Sans"/>
        </w:rPr>
        <w:endnoteReference w:id="64"/>
      </w:r>
      <w:r w:rsidRPr="00505DB6">
        <w:rPr>
          <w:rFonts w:cs="Open Sans"/>
        </w:rPr>
        <w:t xml:space="preserve"> </w:t>
      </w:r>
      <w:r w:rsidR="00932F87">
        <w:rPr>
          <w:rFonts w:cs="Open Sans"/>
        </w:rPr>
        <w:t xml:space="preserve">The international human rights law expert, Professor </w:t>
      </w:r>
      <w:r w:rsidRPr="00505DB6">
        <w:rPr>
          <w:rFonts w:cs="Open Sans"/>
        </w:rPr>
        <w:t>Nowak</w:t>
      </w:r>
      <w:r w:rsidR="00932F87">
        <w:rPr>
          <w:rFonts w:cs="Open Sans"/>
        </w:rPr>
        <w:t>,</w:t>
      </w:r>
      <w:r w:rsidRPr="00505DB6">
        <w:rPr>
          <w:rFonts w:cs="Open Sans"/>
        </w:rPr>
        <w:t xml:space="preserve"> has stated that ‘every sanction that has not only a preventive but also a retributive and/or deterrent character is</w:t>
      </w:r>
      <w:r w:rsidR="00D95A43">
        <w:rPr>
          <w:rFonts w:cs="Open Sans"/>
        </w:rPr>
        <w:t xml:space="preserve"> </w:t>
      </w:r>
      <w:r w:rsidRPr="00505DB6">
        <w:rPr>
          <w:rFonts w:cs="Open Sans"/>
        </w:rPr>
        <w:t>… to be termed a penalty’.</w:t>
      </w:r>
      <w:r w:rsidRPr="00505DB6">
        <w:rPr>
          <w:rStyle w:val="EndnoteReference"/>
          <w:rFonts w:cs="Open Sans"/>
        </w:rPr>
        <w:endnoteReference w:id="65"/>
      </w:r>
    </w:p>
    <w:p w14:paraId="44648756" w14:textId="77777777" w:rsidR="00A15629"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In the present context, the following factors are of particular relevance: </w:t>
      </w:r>
    </w:p>
    <w:p w14:paraId="5FA8C47C" w14:textId="77777777" w:rsidR="00A15629" w:rsidRPr="00505DB6" w:rsidRDefault="00A15629" w:rsidP="0046153D">
      <w:pPr>
        <w:pStyle w:val="SubmissionNormal"/>
        <w:numPr>
          <w:ilvl w:val="1"/>
          <w:numId w:val="16"/>
        </w:numPr>
        <w:rPr>
          <w:rFonts w:cs="Open Sans"/>
        </w:rPr>
      </w:pPr>
      <w:r w:rsidRPr="00505DB6">
        <w:rPr>
          <w:rFonts w:cs="Open Sans"/>
        </w:rPr>
        <w:t>the Bill will result in Australians who are convicted of relevant offences losing their citizenship and likely being detained in immigration detention until if and when they are removed from Australia; these are extremely severe consequences</w:t>
      </w:r>
    </w:p>
    <w:p w14:paraId="6886A582" w14:textId="77777777" w:rsidR="00A15629" w:rsidRPr="00505DB6" w:rsidRDefault="00A15629" w:rsidP="0046153D">
      <w:pPr>
        <w:pStyle w:val="SubmissionNormal"/>
        <w:numPr>
          <w:ilvl w:val="1"/>
          <w:numId w:val="16"/>
        </w:numPr>
        <w:rPr>
          <w:rFonts w:cs="Open Sans"/>
        </w:rPr>
      </w:pPr>
      <w:r w:rsidRPr="00505DB6">
        <w:rPr>
          <w:rFonts w:cs="Open Sans"/>
        </w:rPr>
        <w:t>the relevant convictions are all the result of the commission of a criminal offence under Australian law; the</w:t>
      </w:r>
      <w:r w:rsidR="005068FF" w:rsidRPr="00505DB6">
        <w:rPr>
          <w:rFonts w:cs="Open Sans"/>
        </w:rPr>
        <w:t xml:space="preserve"> removal</w:t>
      </w:r>
      <w:r w:rsidRPr="00505DB6">
        <w:rPr>
          <w:rFonts w:cs="Open Sans"/>
        </w:rPr>
        <w:t xml:space="preserve"> of citizenship will follow from a criminal conviction that has already been finally disposed of including by service of a criminal sentence</w:t>
      </w:r>
    </w:p>
    <w:p w14:paraId="10884B9D" w14:textId="77777777" w:rsidR="00A15629" w:rsidRPr="00505DB6" w:rsidRDefault="00A15629" w:rsidP="0046153D">
      <w:pPr>
        <w:pStyle w:val="SubmissionNormal"/>
        <w:numPr>
          <w:ilvl w:val="1"/>
          <w:numId w:val="16"/>
        </w:numPr>
        <w:rPr>
          <w:rFonts w:cs="Open Sans"/>
        </w:rPr>
      </w:pPr>
      <w:r w:rsidRPr="00505DB6">
        <w:rPr>
          <w:rFonts w:cs="Open Sans"/>
        </w:rPr>
        <w:t xml:space="preserve">the </w:t>
      </w:r>
      <w:r w:rsidR="00B21A1A">
        <w:rPr>
          <w:rFonts w:cs="Open Sans"/>
        </w:rPr>
        <w:t>consequence would not have flowed</w:t>
      </w:r>
      <w:r w:rsidRPr="00505DB6">
        <w:rPr>
          <w:rFonts w:cs="Open Sans"/>
        </w:rPr>
        <w:t xml:space="preserve"> at the time the person committed the offence, or at the time they were convicted and sentenced</w:t>
      </w:r>
    </w:p>
    <w:p w14:paraId="57C98247" w14:textId="77777777" w:rsidR="00A15629" w:rsidRPr="00505DB6" w:rsidRDefault="00A15629" w:rsidP="0046153D">
      <w:pPr>
        <w:pStyle w:val="SubmissionNormal"/>
        <w:numPr>
          <w:ilvl w:val="1"/>
          <w:numId w:val="16"/>
        </w:numPr>
        <w:rPr>
          <w:rFonts w:cs="Open Sans"/>
        </w:rPr>
      </w:pPr>
      <w:r w:rsidRPr="00505DB6">
        <w:rPr>
          <w:rFonts w:cs="Open Sans"/>
        </w:rPr>
        <w:t>while the purported aim of this Bill is protective, the purpose of the Allegiance Act which expanded the citizenship stripping powers, including by introduction of s 35A, was to deter people from engaging in relevant types of conduct by making them aware ‘that their Australian citizenship is in jeopardy’</w:t>
      </w:r>
      <w:r w:rsidRPr="00505DB6">
        <w:rPr>
          <w:rStyle w:val="EndnoteReference"/>
          <w:rFonts w:cs="Open Sans"/>
        </w:rPr>
        <w:endnoteReference w:id="66"/>
      </w:r>
      <w:r w:rsidRPr="00505DB6">
        <w:rPr>
          <w:rFonts w:cs="Open Sans"/>
        </w:rPr>
        <w:t xml:space="preserve"> </w:t>
      </w:r>
    </w:p>
    <w:p w14:paraId="6897B921" w14:textId="77777777" w:rsidR="00A15629" w:rsidRPr="00505DB6" w:rsidRDefault="00A15629" w:rsidP="0046153D">
      <w:pPr>
        <w:pStyle w:val="SubmissionNormal"/>
        <w:numPr>
          <w:ilvl w:val="1"/>
          <w:numId w:val="16"/>
        </w:numPr>
        <w:rPr>
          <w:rFonts w:cs="Open Sans"/>
        </w:rPr>
      </w:pPr>
      <w:proofErr w:type="gramStart"/>
      <w:r w:rsidRPr="00505DB6">
        <w:rPr>
          <w:rFonts w:cs="Open Sans"/>
        </w:rPr>
        <w:t>the</w:t>
      </w:r>
      <w:proofErr w:type="gramEnd"/>
      <w:r w:rsidRPr="00505DB6">
        <w:rPr>
          <w:rFonts w:cs="Open Sans"/>
        </w:rPr>
        <w:t xml:space="preserve"> reforms may apply to a narrow group of convictions, affecting only a small class of people</w:t>
      </w:r>
      <w:r w:rsidR="00932F87">
        <w:rPr>
          <w:rFonts w:cs="Open Sans"/>
        </w:rPr>
        <w:t>. D</w:t>
      </w:r>
      <w:r w:rsidRPr="00505DB6">
        <w:rPr>
          <w:rFonts w:cs="Open Sans"/>
        </w:rPr>
        <w:t>espite the Statement of Compatibility</w:t>
      </w:r>
      <w:r w:rsidR="003A4792" w:rsidRPr="00505DB6">
        <w:rPr>
          <w:rFonts w:cs="Open Sans"/>
        </w:rPr>
        <w:t xml:space="preserve"> with Human </w:t>
      </w:r>
      <w:proofErr w:type="gramStart"/>
      <w:r w:rsidR="003A4792" w:rsidRPr="00505DB6">
        <w:rPr>
          <w:rFonts w:cs="Open Sans"/>
        </w:rPr>
        <w:t>Rights</w:t>
      </w:r>
      <w:proofErr w:type="gramEnd"/>
      <w:r w:rsidRPr="00505DB6">
        <w:rPr>
          <w:rFonts w:cs="Open Sans"/>
        </w:rPr>
        <w:t xml:space="preserve"> stating that the amendments do not constitute a ‘bill of attainder’, the Commission queries how many individuals would be additionally eligible for</w:t>
      </w:r>
      <w:r w:rsidR="00505DB6" w:rsidRPr="00505DB6">
        <w:rPr>
          <w:rFonts w:cs="Open Sans"/>
        </w:rPr>
        <w:t xml:space="preserve"> removal of their</w:t>
      </w:r>
      <w:r w:rsidRPr="00505DB6">
        <w:rPr>
          <w:rFonts w:cs="Open Sans"/>
        </w:rPr>
        <w:t xml:space="preserve"> citizenship should the Bill pass.</w:t>
      </w:r>
    </w:p>
    <w:p w14:paraId="1FA610F0" w14:textId="207F904B" w:rsidR="002A7B3E" w:rsidRPr="00505DB6" w:rsidRDefault="00A15629" w:rsidP="0046153D">
      <w:pPr>
        <w:pStyle w:val="ListNumber"/>
        <w:numPr>
          <w:ilvl w:val="0"/>
          <w:numId w:val="15"/>
        </w:numPr>
        <w:tabs>
          <w:tab w:val="num" w:pos="993"/>
          <w:tab w:val="left" w:pos="1418"/>
        </w:tabs>
        <w:ind w:left="709" w:hanging="567"/>
        <w:rPr>
          <w:rFonts w:eastAsia="Times New Roman" w:cs="Open Sans"/>
          <w:sz w:val="22"/>
        </w:rPr>
      </w:pPr>
      <w:r w:rsidRPr="00505DB6">
        <w:rPr>
          <w:rFonts w:cs="Open Sans"/>
        </w:rPr>
        <w:t xml:space="preserve">Retrospective laws, and in particular criminal laws, are also </w:t>
      </w:r>
      <w:r w:rsidR="00B21A1A">
        <w:rPr>
          <w:rFonts w:cs="Open Sans"/>
        </w:rPr>
        <w:t xml:space="preserve">generally </w:t>
      </w:r>
      <w:r w:rsidRPr="00505DB6">
        <w:rPr>
          <w:rFonts w:cs="Open Sans"/>
        </w:rPr>
        <w:t xml:space="preserve">contrary to the rule of law. </w:t>
      </w:r>
      <w:r w:rsidRPr="00505DB6">
        <w:rPr>
          <w:rFonts w:eastAsiaTheme="minorHAnsi" w:cs="Open Sans"/>
        </w:rPr>
        <w:t xml:space="preserve">It is a fundamental principle that the existence of an offence and penalty </w:t>
      </w:r>
      <w:proofErr w:type="gramStart"/>
      <w:r w:rsidRPr="00505DB6">
        <w:rPr>
          <w:rFonts w:eastAsiaTheme="minorHAnsi" w:cs="Open Sans"/>
        </w:rPr>
        <w:t>be established</w:t>
      </w:r>
      <w:proofErr w:type="gramEnd"/>
      <w:r w:rsidRPr="00505DB6">
        <w:rPr>
          <w:rFonts w:eastAsiaTheme="minorHAnsi" w:cs="Open Sans"/>
        </w:rPr>
        <w:t xml:space="preserve"> prospectively, as</w:t>
      </w:r>
      <w:r w:rsidRPr="00505DB6">
        <w:rPr>
          <w:rFonts w:cs="Open Sans"/>
        </w:rPr>
        <w:t xml:space="preserve"> reflected in the common law presumption against retrospectivity.</w:t>
      </w:r>
      <w:r w:rsidR="00E04751">
        <w:rPr>
          <w:rStyle w:val="EndnoteReference"/>
          <w:rFonts w:cs="Open Sans"/>
        </w:rPr>
        <w:endnoteReference w:id="67"/>
      </w:r>
      <w:r w:rsidRPr="00505DB6">
        <w:rPr>
          <w:rFonts w:cs="Open Sans"/>
        </w:rPr>
        <w:t xml:space="preserve"> </w:t>
      </w:r>
    </w:p>
    <w:p w14:paraId="40E49AE2" w14:textId="77777777" w:rsidR="00A15629" w:rsidRPr="003A3A9E" w:rsidRDefault="00A15629" w:rsidP="0046153D">
      <w:pPr>
        <w:pStyle w:val="ListNumber"/>
        <w:numPr>
          <w:ilvl w:val="0"/>
          <w:numId w:val="15"/>
        </w:numPr>
        <w:tabs>
          <w:tab w:val="num" w:pos="993"/>
          <w:tab w:val="left" w:pos="1418"/>
        </w:tabs>
        <w:ind w:left="709" w:hanging="567"/>
        <w:rPr>
          <w:rFonts w:eastAsia="Times New Roman" w:cs="Open Sans"/>
          <w:sz w:val="22"/>
        </w:rPr>
      </w:pPr>
      <w:r w:rsidRPr="00505DB6">
        <w:rPr>
          <w:rFonts w:cs="Open Sans"/>
        </w:rPr>
        <w:t xml:space="preserve">That presumption exists because such laws are generally unfair—they falsify laws </w:t>
      </w:r>
      <w:proofErr w:type="gramStart"/>
      <w:r w:rsidRPr="00505DB6">
        <w:rPr>
          <w:rFonts w:cs="Open Sans"/>
        </w:rPr>
        <w:t>on the basis of</w:t>
      </w:r>
      <w:proofErr w:type="gramEnd"/>
      <w:r w:rsidRPr="00505DB6">
        <w:rPr>
          <w:rFonts w:cs="Open Sans"/>
        </w:rPr>
        <w:t xml:space="preserve"> which </w:t>
      </w:r>
      <w:r w:rsidRPr="00505DB6">
        <w:rPr>
          <w:rFonts w:cs="Open Sans"/>
          <w:sz w:val="22"/>
        </w:rPr>
        <w:t>‘</w:t>
      </w:r>
      <w:r w:rsidRPr="00505DB6">
        <w:rPr>
          <w:rFonts w:cs="Open Sans"/>
          <w:color w:val="000000"/>
          <w:szCs w:val="27"/>
          <w:shd w:val="clear" w:color="auto" w:fill="FFFFFF"/>
        </w:rPr>
        <w:t>people have ordered their affairs, exercised their rights and incurred liabilities and obligations</w:t>
      </w:r>
      <w:r w:rsidR="00B21A1A">
        <w:rPr>
          <w:rFonts w:cs="Open Sans"/>
          <w:color w:val="000000"/>
          <w:szCs w:val="27"/>
          <w:shd w:val="clear" w:color="auto" w:fill="FFFFFF"/>
        </w:rPr>
        <w:t>’.</w:t>
      </w:r>
      <w:r w:rsidRPr="00505DB6">
        <w:rPr>
          <w:rStyle w:val="EndnoteReference"/>
          <w:rFonts w:cs="Open Sans"/>
          <w:color w:val="000000"/>
          <w:szCs w:val="27"/>
          <w:shd w:val="clear" w:color="auto" w:fill="FFFFFF"/>
        </w:rPr>
        <w:endnoteReference w:id="68"/>
      </w:r>
      <w:r w:rsidRPr="00505DB6">
        <w:rPr>
          <w:rFonts w:cs="Open Sans"/>
          <w:color w:val="000000"/>
          <w:szCs w:val="27"/>
          <w:shd w:val="clear" w:color="auto" w:fill="FFFFFF"/>
        </w:rPr>
        <w:t xml:space="preserve"> </w:t>
      </w:r>
      <w:r w:rsidRPr="00505DB6">
        <w:rPr>
          <w:rFonts w:eastAsiaTheme="minorHAnsi" w:cs="Open Sans"/>
        </w:rPr>
        <w:t xml:space="preserve">It also prevents the risk of abuse of the law, in particular the criminal law, for </w:t>
      </w:r>
      <w:r w:rsidRPr="00505DB6">
        <w:rPr>
          <w:rFonts w:eastAsiaTheme="minorHAnsi" w:cs="Open Sans"/>
        </w:rPr>
        <w:lastRenderedPageBreak/>
        <w:t xml:space="preserve">unjustified means such as the politically motivated punishment of individuals. </w:t>
      </w:r>
    </w:p>
    <w:p w14:paraId="1D16A5D2" w14:textId="2EA536B6" w:rsidR="005F0453" w:rsidRPr="00505DB6" w:rsidRDefault="005F0453" w:rsidP="0046153D">
      <w:pPr>
        <w:pStyle w:val="ListNumber"/>
        <w:numPr>
          <w:ilvl w:val="0"/>
          <w:numId w:val="15"/>
        </w:numPr>
        <w:tabs>
          <w:tab w:val="num" w:pos="993"/>
          <w:tab w:val="left" w:pos="1418"/>
        </w:tabs>
        <w:ind w:left="709" w:hanging="567"/>
        <w:rPr>
          <w:rFonts w:eastAsia="Times New Roman" w:cs="Open Sans"/>
          <w:sz w:val="22"/>
        </w:rPr>
      </w:pPr>
      <w:r w:rsidRPr="003A3A9E">
        <w:rPr>
          <w:rFonts w:eastAsia="Times New Roman" w:cs="Open Sans"/>
        </w:rPr>
        <w:t xml:space="preserve">In the alternative, if </w:t>
      </w:r>
      <w:r w:rsidR="00CA30F5">
        <w:rPr>
          <w:rFonts w:eastAsia="Times New Roman" w:cs="Open Sans"/>
        </w:rPr>
        <w:t xml:space="preserve">Parliament deems </w:t>
      </w:r>
      <w:r w:rsidRPr="003A3A9E">
        <w:rPr>
          <w:rFonts w:eastAsia="Times New Roman" w:cs="Open Sans"/>
        </w:rPr>
        <w:t xml:space="preserve">retrospective application </w:t>
      </w:r>
      <w:r>
        <w:rPr>
          <w:rFonts w:eastAsia="Times New Roman" w:cs="Open Sans"/>
        </w:rPr>
        <w:t>of the</w:t>
      </w:r>
      <w:r w:rsidR="00FA28F0">
        <w:rPr>
          <w:rFonts w:eastAsia="Times New Roman" w:cs="Open Sans"/>
        </w:rPr>
        <w:t xml:space="preserve"> powers</w:t>
      </w:r>
      <w:r>
        <w:rPr>
          <w:rFonts w:eastAsia="Times New Roman" w:cs="Open Sans"/>
        </w:rPr>
        <w:t xml:space="preserve"> </w:t>
      </w:r>
      <w:proofErr w:type="gramStart"/>
      <w:r w:rsidRPr="003A3A9E">
        <w:rPr>
          <w:rFonts w:eastAsia="Times New Roman" w:cs="Open Sans"/>
        </w:rPr>
        <w:t>is warranted</w:t>
      </w:r>
      <w:proofErr w:type="gramEnd"/>
      <w:r w:rsidRPr="003A3A9E">
        <w:rPr>
          <w:rFonts w:eastAsia="Times New Roman" w:cs="Open Sans"/>
        </w:rPr>
        <w:t xml:space="preserve">, </w:t>
      </w:r>
      <w:r w:rsidRPr="005F0453">
        <w:rPr>
          <w:rFonts w:cs="Open Sans"/>
        </w:rPr>
        <w:t xml:space="preserve">the Commission queries </w:t>
      </w:r>
      <w:r w:rsidR="00CA30F5">
        <w:rPr>
          <w:rFonts w:cs="Open Sans"/>
        </w:rPr>
        <w:t>the</w:t>
      </w:r>
      <w:r w:rsidRPr="005F0453">
        <w:rPr>
          <w:rFonts w:cs="Open Sans"/>
        </w:rPr>
        <w:t xml:space="preserve"> need for extended retrospective</w:t>
      </w:r>
      <w:r w:rsidRPr="00505DB6">
        <w:rPr>
          <w:rFonts w:cs="Open Sans"/>
        </w:rPr>
        <w:t xml:space="preserve"> operation </w:t>
      </w:r>
      <w:r>
        <w:rPr>
          <w:rFonts w:cs="Open Sans"/>
        </w:rPr>
        <w:t xml:space="preserve">beyond the current </w:t>
      </w:r>
      <w:r w:rsidR="00FA28F0">
        <w:rPr>
          <w:rFonts w:cs="Open Sans"/>
        </w:rPr>
        <w:t>application</w:t>
      </w:r>
      <w:r>
        <w:rPr>
          <w:rFonts w:cs="Open Sans"/>
        </w:rPr>
        <w:t xml:space="preserve"> of the Act</w:t>
      </w:r>
      <w:r w:rsidRPr="00505DB6">
        <w:rPr>
          <w:rFonts w:cs="Open Sans"/>
        </w:rPr>
        <w:t>.</w:t>
      </w:r>
    </w:p>
    <w:p w14:paraId="08E43B57" w14:textId="4E702322" w:rsidR="00DD634A" w:rsidRPr="00505DB6" w:rsidRDefault="00DD634A" w:rsidP="0046153D">
      <w:pPr>
        <w:pStyle w:val="ListNumber"/>
        <w:numPr>
          <w:ilvl w:val="0"/>
          <w:numId w:val="15"/>
        </w:numPr>
        <w:tabs>
          <w:tab w:val="num" w:pos="993"/>
          <w:tab w:val="left" w:pos="1418"/>
        </w:tabs>
        <w:ind w:left="709" w:hanging="567"/>
        <w:rPr>
          <w:rFonts w:eastAsiaTheme="minorHAnsi" w:cs="Open Sans"/>
        </w:rPr>
      </w:pPr>
      <w:r w:rsidRPr="00505DB6">
        <w:rPr>
          <w:rFonts w:eastAsiaTheme="minorHAnsi" w:cs="Open Sans"/>
        </w:rPr>
        <w:t xml:space="preserve">The retrospective application of the citizenship </w:t>
      </w:r>
      <w:r w:rsidR="00505DB6" w:rsidRPr="00505DB6">
        <w:rPr>
          <w:rFonts w:eastAsiaTheme="minorHAnsi" w:cs="Open Sans"/>
        </w:rPr>
        <w:t>removal</w:t>
      </w:r>
      <w:r w:rsidRPr="00505DB6">
        <w:rPr>
          <w:rFonts w:eastAsiaTheme="minorHAnsi" w:cs="Open Sans"/>
        </w:rPr>
        <w:t xml:space="preserve"> powers in the Allegiance Act was restricted to individuals who </w:t>
      </w:r>
      <w:proofErr w:type="gramStart"/>
      <w:r w:rsidRPr="00505DB6">
        <w:rPr>
          <w:rFonts w:eastAsiaTheme="minorHAnsi" w:cs="Open Sans"/>
        </w:rPr>
        <w:t>had been convicted</w:t>
      </w:r>
      <w:proofErr w:type="gramEnd"/>
      <w:r w:rsidRPr="00505DB6">
        <w:rPr>
          <w:rFonts w:eastAsiaTheme="minorHAnsi" w:cs="Open Sans"/>
        </w:rPr>
        <w:t xml:space="preserve"> of a relevant </w:t>
      </w:r>
      <w:r w:rsidRPr="00505DB6">
        <w:rPr>
          <w:rFonts w:cs="Open Sans"/>
        </w:rPr>
        <w:t>offence</w:t>
      </w:r>
      <w:r w:rsidRPr="00505DB6">
        <w:rPr>
          <w:rFonts w:eastAsiaTheme="minorHAnsi" w:cs="Open Sans"/>
        </w:rPr>
        <w:t>, with a term of at least</w:t>
      </w:r>
      <w:r w:rsidR="00C370D9">
        <w:rPr>
          <w:rFonts w:eastAsiaTheme="minorHAnsi" w:cs="Open Sans"/>
        </w:rPr>
        <w:t xml:space="preserve"> ten </w:t>
      </w:r>
      <w:r w:rsidRPr="00505DB6">
        <w:rPr>
          <w:rFonts w:eastAsiaTheme="minorHAnsi" w:cs="Open Sans"/>
        </w:rPr>
        <w:t>years imprisonment</w:t>
      </w:r>
      <w:r w:rsidR="006E3B00">
        <w:rPr>
          <w:rFonts w:eastAsiaTheme="minorHAnsi" w:cs="Open Sans"/>
        </w:rPr>
        <w:t xml:space="preserve"> in the</w:t>
      </w:r>
      <w:r w:rsidR="00C370D9">
        <w:rPr>
          <w:rFonts w:eastAsiaTheme="minorHAnsi" w:cs="Open Sans"/>
        </w:rPr>
        <w:t xml:space="preserve"> ten </w:t>
      </w:r>
      <w:r w:rsidRPr="00505DB6">
        <w:rPr>
          <w:rFonts w:eastAsiaTheme="minorHAnsi" w:cs="Open Sans"/>
        </w:rPr>
        <w:t>years prior to the passage of that Act. This implemented a recommendation made by the PJCIS.</w:t>
      </w:r>
      <w:r w:rsidRPr="00505DB6">
        <w:rPr>
          <w:rStyle w:val="EndnoteReference"/>
          <w:rFonts w:eastAsiaTheme="minorHAnsi" w:cs="Open Sans"/>
        </w:rPr>
        <w:endnoteReference w:id="69"/>
      </w:r>
      <w:r w:rsidRPr="00505DB6">
        <w:rPr>
          <w:rFonts w:eastAsiaTheme="minorHAnsi" w:cs="Open Sans"/>
        </w:rPr>
        <w:t xml:space="preserve"> It is unclear why the implementation of that PJCIS recommendation </w:t>
      </w:r>
      <w:proofErr w:type="gramStart"/>
      <w:r w:rsidRPr="00505DB6">
        <w:rPr>
          <w:rFonts w:eastAsiaTheme="minorHAnsi" w:cs="Open Sans"/>
        </w:rPr>
        <w:t>is now being reversed</w:t>
      </w:r>
      <w:proofErr w:type="gramEnd"/>
      <w:r w:rsidRPr="00505DB6">
        <w:rPr>
          <w:rFonts w:eastAsiaTheme="minorHAnsi" w:cs="Open Sans"/>
        </w:rPr>
        <w:t xml:space="preserve">. </w:t>
      </w:r>
    </w:p>
    <w:p w14:paraId="36C5281C" w14:textId="1A390E04" w:rsidR="00A15629" w:rsidRPr="00505DB6" w:rsidRDefault="00433D3D" w:rsidP="0046153D">
      <w:pPr>
        <w:pStyle w:val="ListNumber"/>
        <w:numPr>
          <w:ilvl w:val="0"/>
          <w:numId w:val="15"/>
        </w:numPr>
        <w:tabs>
          <w:tab w:val="num" w:pos="993"/>
          <w:tab w:val="left" w:pos="1418"/>
        </w:tabs>
        <w:ind w:left="709" w:hanging="567"/>
        <w:rPr>
          <w:rFonts w:cs="Open Sans"/>
        </w:rPr>
      </w:pPr>
      <w:r w:rsidRPr="00505DB6">
        <w:rPr>
          <w:rFonts w:cs="Open Sans"/>
        </w:rPr>
        <w:t>R</w:t>
      </w:r>
      <w:r w:rsidR="00A15629" w:rsidRPr="00505DB6">
        <w:rPr>
          <w:rFonts w:cs="Open Sans"/>
        </w:rPr>
        <w:t>emoving the</w:t>
      </w:r>
      <w:r w:rsidR="00C370D9">
        <w:rPr>
          <w:rFonts w:cs="Open Sans"/>
        </w:rPr>
        <w:t xml:space="preserve"> </w:t>
      </w:r>
      <w:proofErr w:type="gramStart"/>
      <w:r w:rsidR="00C370D9">
        <w:rPr>
          <w:rFonts w:cs="Open Sans"/>
        </w:rPr>
        <w:t xml:space="preserve">ten </w:t>
      </w:r>
      <w:r w:rsidR="00A15629" w:rsidRPr="00505DB6">
        <w:rPr>
          <w:rFonts w:cs="Open Sans"/>
        </w:rPr>
        <w:t>year</w:t>
      </w:r>
      <w:proofErr w:type="gramEnd"/>
      <w:r w:rsidR="00A15629" w:rsidRPr="00505DB6">
        <w:rPr>
          <w:rFonts w:cs="Open Sans"/>
        </w:rPr>
        <w:t xml:space="preserve"> imprisonment requirement </w:t>
      </w:r>
      <w:r w:rsidR="00D11F33">
        <w:rPr>
          <w:rFonts w:cs="Open Sans"/>
        </w:rPr>
        <w:t>risks lessening the proportionality</w:t>
      </w:r>
      <w:r w:rsidR="006B5941" w:rsidRPr="00505DB6">
        <w:rPr>
          <w:rFonts w:cs="Open Sans"/>
        </w:rPr>
        <w:t xml:space="preserve"> </w:t>
      </w:r>
      <w:r w:rsidR="00A15629" w:rsidRPr="00505DB6">
        <w:rPr>
          <w:rFonts w:cs="Open Sans"/>
        </w:rPr>
        <w:t xml:space="preserve">of the limitation on human rights, given that the severe consequences of citizenship removal could be applied to persons </w:t>
      </w:r>
      <w:r w:rsidR="00DD634A" w:rsidRPr="00505DB6">
        <w:rPr>
          <w:rFonts w:cs="Open Sans"/>
        </w:rPr>
        <w:t xml:space="preserve">who have </w:t>
      </w:r>
      <w:r w:rsidR="006E3B00">
        <w:rPr>
          <w:rFonts w:cs="Open Sans"/>
        </w:rPr>
        <w:t xml:space="preserve">been assessed by a court as having </w:t>
      </w:r>
      <w:r w:rsidR="00DD634A" w:rsidRPr="00505DB6">
        <w:rPr>
          <w:rFonts w:cs="Open Sans"/>
        </w:rPr>
        <w:t>comparatively lower culpability.</w:t>
      </w:r>
    </w:p>
    <w:p w14:paraId="44A09A28" w14:textId="77777777" w:rsidR="005603CA" w:rsidRPr="00505DB6" w:rsidRDefault="00A15629" w:rsidP="0046153D">
      <w:pPr>
        <w:pStyle w:val="ListNumber"/>
        <w:numPr>
          <w:ilvl w:val="0"/>
          <w:numId w:val="15"/>
        </w:numPr>
        <w:tabs>
          <w:tab w:val="num" w:pos="993"/>
          <w:tab w:val="left" w:pos="1418"/>
        </w:tabs>
        <w:ind w:left="709" w:hanging="567"/>
        <w:rPr>
          <w:rFonts w:cs="Open Sans"/>
        </w:rPr>
      </w:pPr>
      <w:r w:rsidRPr="00505DB6">
        <w:rPr>
          <w:rFonts w:cs="Open Sans"/>
        </w:rPr>
        <w:t xml:space="preserve">Again, the Commission is concerned that the scope of the relevant crimes is not sufficiently circumscribed, and holds concerns that the decision-making criteria </w:t>
      </w:r>
      <w:r w:rsidR="00932F87">
        <w:rPr>
          <w:rFonts w:cs="Open Sans"/>
        </w:rPr>
        <w:t xml:space="preserve">are </w:t>
      </w:r>
      <w:r w:rsidRPr="00505DB6">
        <w:rPr>
          <w:rFonts w:cs="Open Sans"/>
        </w:rPr>
        <w:t xml:space="preserve">inadequate to ensure the appropriate protection of human rights. While </w:t>
      </w:r>
      <w:r w:rsidR="00932F87">
        <w:rPr>
          <w:rFonts w:cs="Open Sans"/>
        </w:rPr>
        <w:t xml:space="preserve">some </w:t>
      </w:r>
      <w:r w:rsidRPr="00505DB6">
        <w:rPr>
          <w:rFonts w:cs="Open Sans"/>
        </w:rPr>
        <w:t xml:space="preserve">past convictions </w:t>
      </w:r>
      <w:r w:rsidR="00932F87">
        <w:rPr>
          <w:rFonts w:cs="Open Sans"/>
        </w:rPr>
        <w:t xml:space="preserve">within the Bill’s ambit </w:t>
      </w:r>
      <w:r w:rsidRPr="00505DB6">
        <w:rPr>
          <w:rFonts w:cs="Open Sans"/>
        </w:rPr>
        <w:t xml:space="preserve">may </w:t>
      </w:r>
      <w:r w:rsidR="00932F87">
        <w:rPr>
          <w:rFonts w:cs="Open Sans"/>
        </w:rPr>
        <w:t xml:space="preserve">constitute </w:t>
      </w:r>
      <w:r w:rsidRPr="00505DB6">
        <w:rPr>
          <w:rFonts w:cs="Open Sans"/>
        </w:rPr>
        <w:t>repugnant conduct</w:t>
      </w:r>
      <w:r w:rsidR="00932F87">
        <w:rPr>
          <w:rFonts w:cs="Open Sans"/>
        </w:rPr>
        <w:t>, the Bill could also apply to include</w:t>
      </w:r>
      <w:r w:rsidRPr="00505DB6">
        <w:rPr>
          <w:rFonts w:cs="Open Sans"/>
        </w:rPr>
        <w:t xml:space="preserve"> lesser order crimes or </w:t>
      </w:r>
      <w:r w:rsidR="00932F87">
        <w:rPr>
          <w:rFonts w:cs="Open Sans"/>
        </w:rPr>
        <w:t xml:space="preserve">crimes </w:t>
      </w:r>
      <w:r w:rsidRPr="00505DB6">
        <w:rPr>
          <w:rFonts w:cs="Open Sans"/>
        </w:rPr>
        <w:t xml:space="preserve">committed with a comparatively low degree of culpability, and not be adequately serious for the grave consequences of </w:t>
      </w:r>
      <w:r w:rsidR="005068FF" w:rsidRPr="00505DB6">
        <w:rPr>
          <w:rFonts w:cs="Open Sans"/>
        </w:rPr>
        <w:t>removal</w:t>
      </w:r>
      <w:r w:rsidRPr="00505DB6">
        <w:rPr>
          <w:rFonts w:cs="Open Sans"/>
        </w:rPr>
        <w:t xml:space="preserve"> of citizenship.</w:t>
      </w:r>
      <w:r w:rsidR="00DD634A" w:rsidRPr="00505DB6">
        <w:rPr>
          <w:rFonts w:cs="Open Sans"/>
        </w:rPr>
        <w:t xml:space="preserve"> </w:t>
      </w:r>
    </w:p>
    <w:p w14:paraId="6046BE28" w14:textId="77777777" w:rsidR="00DD634A" w:rsidRDefault="008F7FA3" w:rsidP="0046153D">
      <w:pPr>
        <w:pStyle w:val="ListNumber"/>
        <w:numPr>
          <w:ilvl w:val="0"/>
          <w:numId w:val="15"/>
        </w:numPr>
        <w:tabs>
          <w:tab w:val="num" w:pos="993"/>
          <w:tab w:val="left" w:pos="1418"/>
        </w:tabs>
        <w:ind w:left="709" w:hanging="567"/>
        <w:rPr>
          <w:rFonts w:cs="Open Sans"/>
        </w:rPr>
      </w:pPr>
      <w:r w:rsidRPr="00505DB6">
        <w:rPr>
          <w:rFonts w:cs="Open Sans"/>
        </w:rPr>
        <w:t>Along with the</w:t>
      </w:r>
      <w:r w:rsidR="008461B9" w:rsidRPr="00505DB6">
        <w:rPr>
          <w:rFonts w:cs="Open Sans"/>
        </w:rPr>
        <w:t xml:space="preserve"> current citizenship stripping powers</w:t>
      </w:r>
      <w:r w:rsidR="007E76EE" w:rsidRPr="00505DB6">
        <w:rPr>
          <w:rFonts w:cs="Open Sans"/>
        </w:rPr>
        <w:t>, law enforcement and national security powers are in place to alleviate risks of reoffending</w:t>
      </w:r>
      <w:r w:rsidR="00C414F9">
        <w:rPr>
          <w:rFonts w:cs="Open Sans"/>
        </w:rPr>
        <w:t>,</w:t>
      </w:r>
      <w:r w:rsidR="007F03E1" w:rsidRPr="00505DB6">
        <w:rPr>
          <w:rFonts w:cs="Open Sans"/>
        </w:rPr>
        <w:t xml:space="preserve"> as discussed above</w:t>
      </w:r>
      <w:r w:rsidR="007E76EE" w:rsidRPr="00505DB6">
        <w:rPr>
          <w:rFonts w:cs="Open Sans"/>
        </w:rPr>
        <w:t xml:space="preserve">. </w:t>
      </w:r>
      <w:r w:rsidR="00DD634A" w:rsidRPr="00505DB6">
        <w:rPr>
          <w:rFonts w:cs="Open Sans"/>
        </w:rPr>
        <w:t>The Commission considers that the scarce reasoning provided is inadequate to justify the serious impacts on the human rights of affected persons.</w:t>
      </w:r>
    </w:p>
    <w:p w14:paraId="14F9E544" w14:textId="77777777" w:rsidR="00727AC3" w:rsidRPr="00505DB6" w:rsidRDefault="00727AC3" w:rsidP="0046153D">
      <w:pPr>
        <w:pStyle w:val="ListNumber"/>
        <w:numPr>
          <w:ilvl w:val="0"/>
          <w:numId w:val="15"/>
        </w:numPr>
        <w:tabs>
          <w:tab w:val="num" w:pos="993"/>
          <w:tab w:val="left" w:pos="1418"/>
        </w:tabs>
        <w:ind w:left="709" w:hanging="567"/>
        <w:rPr>
          <w:rFonts w:cs="Open Sans"/>
        </w:rPr>
      </w:pPr>
      <w:r w:rsidRPr="00505DB6">
        <w:rPr>
          <w:rFonts w:cs="Open Sans"/>
        </w:rPr>
        <w:t xml:space="preserve">The Commission opposes </w:t>
      </w:r>
      <w:r w:rsidR="00311AAF">
        <w:rPr>
          <w:rFonts w:cs="Open Sans"/>
        </w:rPr>
        <w:t xml:space="preserve">any </w:t>
      </w:r>
      <w:r w:rsidRPr="00505DB6">
        <w:rPr>
          <w:rFonts w:cs="Open Sans"/>
        </w:rPr>
        <w:t>extension of the retrospective application of the</w:t>
      </w:r>
      <w:r w:rsidR="00311AAF">
        <w:rPr>
          <w:rFonts w:cs="Open Sans"/>
        </w:rPr>
        <w:t xml:space="preserve"> citizenship removal</w:t>
      </w:r>
      <w:r w:rsidRPr="00505DB6">
        <w:rPr>
          <w:rFonts w:cs="Open Sans"/>
        </w:rPr>
        <w:t xml:space="preserve"> </w:t>
      </w:r>
      <w:r w:rsidR="00311AAF">
        <w:rPr>
          <w:rFonts w:cs="Open Sans"/>
        </w:rPr>
        <w:t>power</w:t>
      </w:r>
      <w:r w:rsidRPr="00505DB6">
        <w:rPr>
          <w:rFonts w:cs="Open Sans"/>
        </w:rPr>
        <w:t>.</w:t>
      </w:r>
    </w:p>
    <w:p w14:paraId="51DD2849" w14:textId="77777777" w:rsidR="001F759A" w:rsidRPr="00505DB6" w:rsidRDefault="004C1AAF" w:rsidP="001F759A">
      <w:pPr>
        <w:pStyle w:val="Heading1"/>
        <w:rPr>
          <w:rFonts w:cs="Open Sans"/>
        </w:rPr>
      </w:pPr>
      <w:bookmarkStart w:id="43" w:name="_Ref533150720"/>
      <w:bookmarkStart w:id="44" w:name="_Toc534878472"/>
      <w:r w:rsidRPr="00505DB6">
        <w:rPr>
          <w:rFonts w:cs="Open Sans"/>
        </w:rPr>
        <w:t>Other h</w:t>
      </w:r>
      <w:r w:rsidR="001F759A" w:rsidRPr="00505DB6">
        <w:rPr>
          <w:rFonts w:cs="Open Sans"/>
        </w:rPr>
        <w:t xml:space="preserve">uman rights </w:t>
      </w:r>
      <w:r w:rsidR="00CA5A36" w:rsidRPr="00505DB6">
        <w:rPr>
          <w:rFonts w:cs="Open Sans"/>
        </w:rPr>
        <w:t>issue</w:t>
      </w:r>
      <w:r w:rsidRPr="00505DB6">
        <w:rPr>
          <w:rFonts w:cs="Open Sans"/>
        </w:rPr>
        <w:t>s</w:t>
      </w:r>
      <w:bookmarkEnd w:id="43"/>
      <w:bookmarkEnd w:id="44"/>
    </w:p>
    <w:p w14:paraId="2C5F5668" w14:textId="77777777" w:rsidR="00C65BAD" w:rsidRPr="00505DB6" w:rsidRDefault="005068FF" w:rsidP="0046153D">
      <w:pPr>
        <w:pStyle w:val="ListNumber"/>
        <w:numPr>
          <w:ilvl w:val="0"/>
          <w:numId w:val="15"/>
        </w:numPr>
        <w:tabs>
          <w:tab w:val="num" w:pos="993"/>
          <w:tab w:val="left" w:pos="1418"/>
        </w:tabs>
        <w:ind w:left="709" w:hanging="567"/>
        <w:rPr>
          <w:rFonts w:cs="Open Sans"/>
        </w:rPr>
      </w:pPr>
      <w:r w:rsidRPr="00505DB6">
        <w:rPr>
          <w:rFonts w:cs="Open Sans"/>
        </w:rPr>
        <w:t>Removal</w:t>
      </w:r>
      <w:r w:rsidR="00A659EE" w:rsidRPr="00505DB6">
        <w:rPr>
          <w:rFonts w:cs="Open Sans"/>
        </w:rPr>
        <w:t xml:space="preserve"> of citizenship is likely </w:t>
      </w:r>
      <w:proofErr w:type="gramStart"/>
      <w:r w:rsidR="00A659EE" w:rsidRPr="00505DB6">
        <w:rPr>
          <w:rFonts w:cs="Open Sans"/>
        </w:rPr>
        <w:t xml:space="preserve">to </w:t>
      </w:r>
      <w:r w:rsidR="00B67731" w:rsidRPr="00505DB6">
        <w:rPr>
          <w:rFonts w:cs="Open Sans"/>
        </w:rPr>
        <w:t>significantly limit</w:t>
      </w:r>
      <w:proofErr w:type="gramEnd"/>
      <w:r w:rsidR="00A659EE" w:rsidRPr="00505DB6">
        <w:rPr>
          <w:rFonts w:cs="Open Sans"/>
        </w:rPr>
        <w:t xml:space="preserve"> </w:t>
      </w:r>
      <w:r w:rsidR="00A15629" w:rsidRPr="00505DB6">
        <w:rPr>
          <w:rFonts w:cs="Open Sans"/>
        </w:rPr>
        <w:t>numerous</w:t>
      </w:r>
      <w:r w:rsidR="00A659EE" w:rsidRPr="00505DB6">
        <w:rPr>
          <w:rFonts w:cs="Open Sans"/>
        </w:rPr>
        <w:t xml:space="preserve"> other human </w:t>
      </w:r>
      <w:r w:rsidR="00BF761D" w:rsidRPr="00505DB6">
        <w:rPr>
          <w:rFonts w:cs="Open Sans"/>
        </w:rPr>
        <w:t xml:space="preserve">rights protected in the ICCPR and other international human rights conventions. </w:t>
      </w:r>
    </w:p>
    <w:p w14:paraId="60829E1C" w14:textId="77777777" w:rsidR="00B7324B" w:rsidRPr="00505DB6" w:rsidRDefault="00B7324B" w:rsidP="0046153D">
      <w:pPr>
        <w:pStyle w:val="ListNumber"/>
        <w:numPr>
          <w:ilvl w:val="0"/>
          <w:numId w:val="15"/>
        </w:numPr>
        <w:tabs>
          <w:tab w:val="num" w:pos="993"/>
          <w:tab w:val="left" w:pos="1418"/>
        </w:tabs>
        <w:ind w:left="709" w:hanging="567"/>
        <w:rPr>
          <w:rFonts w:cs="Open Sans"/>
        </w:rPr>
      </w:pPr>
      <w:r w:rsidRPr="00505DB6">
        <w:rPr>
          <w:rFonts w:cs="Open Sans"/>
        </w:rPr>
        <w:lastRenderedPageBreak/>
        <w:t xml:space="preserve">This submission does not purport </w:t>
      </w:r>
      <w:proofErr w:type="gramStart"/>
      <w:r w:rsidRPr="00505DB6">
        <w:rPr>
          <w:rFonts w:cs="Open Sans"/>
        </w:rPr>
        <w:t>to comprehensively analyse</w:t>
      </w:r>
      <w:proofErr w:type="gramEnd"/>
      <w:r w:rsidRPr="00505DB6">
        <w:rPr>
          <w:rFonts w:cs="Open Sans"/>
        </w:rPr>
        <w:t xml:space="preserve"> the consequences of </w:t>
      </w:r>
      <w:r w:rsidR="006E051D" w:rsidRPr="00505DB6">
        <w:rPr>
          <w:rFonts w:cs="Open Sans"/>
        </w:rPr>
        <w:t>removal</w:t>
      </w:r>
      <w:r w:rsidRPr="00505DB6">
        <w:rPr>
          <w:rFonts w:cs="Open Sans"/>
        </w:rPr>
        <w:t xml:space="preserve"> of citizenship or resulting human rights implications. These may be extensive and not immediately apparent.</w:t>
      </w:r>
      <w:r w:rsidR="00BA7530" w:rsidRPr="00505DB6">
        <w:rPr>
          <w:rFonts w:cs="Open Sans"/>
        </w:rPr>
        <w:t xml:space="preserve"> </w:t>
      </w:r>
    </w:p>
    <w:p w14:paraId="0DF87935" w14:textId="77777777" w:rsidR="00B7324B" w:rsidRPr="00505DB6" w:rsidRDefault="00B7324B" w:rsidP="0046153D">
      <w:pPr>
        <w:pStyle w:val="ListNumber"/>
        <w:numPr>
          <w:ilvl w:val="0"/>
          <w:numId w:val="15"/>
        </w:numPr>
        <w:tabs>
          <w:tab w:val="num" w:pos="993"/>
          <w:tab w:val="left" w:pos="1418"/>
        </w:tabs>
        <w:ind w:left="709" w:hanging="567"/>
        <w:rPr>
          <w:rFonts w:cs="Open Sans"/>
        </w:rPr>
      </w:pPr>
      <w:r w:rsidRPr="00505DB6">
        <w:rPr>
          <w:rFonts w:cs="Open Sans"/>
        </w:rPr>
        <w:t>By way of example, removal of citizenship may lead to loss of a passport,</w:t>
      </w:r>
      <w:r w:rsidRPr="00505DB6">
        <w:rPr>
          <w:rStyle w:val="EndnoteReference"/>
          <w:rFonts w:cs="Open Sans"/>
        </w:rPr>
        <w:endnoteReference w:id="70"/>
      </w:r>
      <w:r w:rsidRPr="00505DB6">
        <w:rPr>
          <w:rFonts w:cs="Open Sans"/>
        </w:rPr>
        <w:t xml:space="preserve"> removal from the electoral roll,</w:t>
      </w:r>
      <w:r w:rsidRPr="00505DB6">
        <w:rPr>
          <w:rStyle w:val="EndnoteReference"/>
          <w:rFonts w:cs="Open Sans"/>
        </w:rPr>
        <w:endnoteReference w:id="71"/>
      </w:r>
      <w:r w:rsidRPr="00505DB6">
        <w:rPr>
          <w:rFonts w:cs="Open Sans"/>
        </w:rPr>
        <w:t xml:space="preserve"> and loss of entitlement to social security benefits.</w:t>
      </w:r>
      <w:r w:rsidRPr="00505DB6">
        <w:rPr>
          <w:rStyle w:val="EndnoteReference"/>
          <w:rFonts w:cs="Open Sans"/>
        </w:rPr>
        <w:endnoteReference w:id="72"/>
      </w:r>
      <w:r w:rsidRPr="00505DB6">
        <w:rPr>
          <w:rFonts w:cs="Open Sans"/>
        </w:rPr>
        <w:t xml:space="preserve"> It will change the activities that intelligence organisations such as </w:t>
      </w:r>
      <w:r w:rsidR="006E3B00">
        <w:rPr>
          <w:rFonts w:cs="Open Sans"/>
        </w:rPr>
        <w:t xml:space="preserve">the </w:t>
      </w:r>
      <w:r w:rsidRPr="00505DB6">
        <w:rPr>
          <w:rFonts w:cs="Open Sans"/>
        </w:rPr>
        <w:t>A</w:t>
      </w:r>
      <w:r w:rsidR="006E3B00">
        <w:rPr>
          <w:rFonts w:cs="Open Sans"/>
        </w:rPr>
        <w:t xml:space="preserve">ustralian </w:t>
      </w:r>
      <w:r w:rsidRPr="00505DB6">
        <w:rPr>
          <w:rFonts w:cs="Open Sans"/>
        </w:rPr>
        <w:t>S</w:t>
      </w:r>
      <w:r w:rsidR="006E3B00">
        <w:rPr>
          <w:rFonts w:cs="Open Sans"/>
        </w:rPr>
        <w:t xml:space="preserve">ecret </w:t>
      </w:r>
      <w:r w:rsidRPr="00505DB6">
        <w:rPr>
          <w:rFonts w:cs="Open Sans"/>
        </w:rPr>
        <w:t>I</w:t>
      </w:r>
      <w:r w:rsidR="006E3B00">
        <w:rPr>
          <w:rFonts w:cs="Open Sans"/>
        </w:rPr>
        <w:t xml:space="preserve">ntelligence </w:t>
      </w:r>
      <w:r w:rsidRPr="00505DB6">
        <w:rPr>
          <w:rFonts w:cs="Open Sans"/>
        </w:rPr>
        <w:t>S</w:t>
      </w:r>
      <w:r w:rsidR="006E3B00">
        <w:rPr>
          <w:rFonts w:cs="Open Sans"/>
        </w:rPr>
        <w:t>ervice</w:t>
      </w:r>
      <w:r w:rsidRPr="00505DB6">
        <w:rPr>
          <w:rFonts w:cs="Open Sans"/>
        </w:rPr>
        <w:t xml:space="preserve"> and the A</w:t>
      </w:r>
      <w:r w:rsidR="006E3B00">
        <w:rPr>
          <w:rFonts w:cs="Open Sans"/>
        </w:rPr>
        <w:t xml:space="preserve">ustralian </w:t>
      </w:r>
      <w:r w:rsidRPr="00505DB6">
        <w:rPr>
          <w:rFonts w:cs="Open Sans"/>
        </w:rPr>
        <w:t>S</w:t>
      </w:r>
      <w:r w:rsidR="006E3B00">
        <w:rPr>
          <w:rFonts w:cs="Open Sans"/>
        </w:rPr>
        <w:t xml:space="preserve">ignals </w:t>
      </w:r>
      <w:r w:rsidRPr="00505DB6">
        <w:rPr>
          <w:rFonts w:cs="Open Sans"/>
        </w:rPr>
        <w:t>D</w:t>
      </w:r>
      <w:r w:rsidR="006E3B00">
        <w:rPr>
          <w:rFonts w:cs="Open Sans"/>
        </w:rPr>
        <w:t>irectorate</w:t>
      </w:r>
      <w:r w:rsidRPr="00505DB6">
        <w:rPr>
          <w:rFonts w:cs="Open Sans"/>
        </w:rPr>
        <w:t xml:space="preserve"> can undertake with respect to a person.</w:t>
      </w:r>
      <w:r w:rsidRPr="00505DB6">
        <w:rPr>
          <w:rStyle w:val="EndnoteReference"/>
          <w:rFonts w:cs="Open Sans"/>
        </w:rPr>
        <w:endnoteReference w:id="73"/>
      </w:r>
      <w:r w:rsidR="00BA7530" w:rsidRPr="00505DB6">
        <w:rPr>
          <w:rFonts w:cs="Open Sans"/>
        </w:rPr>
        <w:t xml:space="preserve"> </w:t>
      </w:r>
    </w:p>
    <w:p w14:paraId="104EA25A" w14:textId="77777777" w:rsidR="00A659EE" w:rsidRPr="00505DB6" w:rsidRDefault="00910C08" w:rsidP="0046153D">
      <w:pPr>
        <w:pStyle w:val="ListNumber"/>
        <w:numPr>
          <w:ilvl w:val="0"/>
          <w:numId w:val="15"/>
        </w:numPr>
        <w:tabs>
          <w:tab w:val="num" w:pos="993"/>
          <w:tab w:val="left" w:pos="1418"/>
        </w:tabs>
        <w:ind w:left="709" w:hanging="567"/>
        <w:rPr>
          <w:rFonts w:cs="Open Sans"/>
        </w:rPr>
      </w:pPr>
      <w:r w:rsidRPr="00505DB6">
        <w:rPr>
          <w:rFonts w:cs="Open Sans"/>
        </w:rPr>
        <w:t>Further</w:t>
      </w:r>
      <w:r w:rsidR="00A659EE" w:rsidRPr="00505DB6">
        <w:rPr>
          <w:rFonts w:cs="Open Sans"/>
        </w:rPr>
        <w:t>, in the event a person who loses their citizen</w:t>
      </w:r>
      <w:r w:rsidR="00C07A34" w:rsidRPr="00505DB6">
        <w:rPr>
          <w:rFonts w:cs="Open Sans"/>
        </w:rPr>
        <w:t xml:space="preserve">ship </w:t>
      </w:r>
      <w:proofErr w:type="gramStart"/>
      <w:r w:rsidR="00C07A34" w:rsidRPr="00505DB6">
        <w:rPr>
          <w:rFonts w:cs="Open Sans"/>
        </w:rPr>
        <w:t>is arbitrarily prevented</w:t>
      </w:r>
      <w:proofErr w:type="gramEnd"/>
      <w:r w:rsidR="00C07A34" w:rsidRPr="00505DB6">
        <w:rPr>
          <w:rFonts w:cs="Open Sans"/>
        </w:rPr>
        <w:t xml:space="preserve"> f</w:t>
      </w:r>
      <w:r w:rsidR="00A659EE" w:rsidRPr="00505DB6">
        <w:rPr>
          <w:rFonts w:cs="Open Sans"/>
        </w:rPr>
        <w:t>r</w:t>
      </w:r>
      <w:r w:rsidR="00C07A34" w:rsidRPr="00505DB6">
        <w:rPr>
          <w:rFonts w:cs="Open Sans"/>
        </w:rPr>
        <w:t>o</w:t>
      </w:r>
      <w:r w:rsidR="00A659EE" w:rsidRPr="00505DB6">
        <w:rPr>
          <w:rFonts w:cs="Open Sans"/>
        </w:rPr>
        <w:t>m re-entering Australia, it is likely there will be an interference with</w:t>
      </w:r>
      <w:r w:rsidR="00BF761D" w:rsidRPr="00505DB6">
        <w:rPr>
          <w:rFonts w:cs="Open Sans"/>
        </w:rPr>
        <w:t xml:space="preserve"> their family and family life. </w:t>
      </w:r>
      <w:r w:rsidR="00A659EE" w:rsidRPr="00505DB6">
        <w:rPr>
          <w:rFonts w:cs="Open Sans"/>
        </w:rPr>
        <w:t>These</w:t>
      </w:r>
      <w:r w:rsidR="00C07A34" w:rsidRPr="00505DB6">
        <w:rPr>
          <w:rFonts w:cs="Open Sans"/>
        </w:rPr>
        <w:t xml:space="preserve"> rights</w:t>
      </w:r>
      <w:r w:rsidR="00A659EE" w:rsidRPr="00505DB6">
        <w:rPr>
          <w:rFonts w:cs="Open Sans"/>
        </w:rPr>
        <w:t xml:space="preserve"> </w:t>
      </w:r>
      <w:proofErr w:type="gramStart"/>
      <w:r w:rsidR="00A659EE" w:rsidRPr="00505DB6">
        <w:rPr>
          <w:rFonts w:cs="Open Sans"/>
        </w:rPr>
        <w:t>are protected</w:t>
      </w:r>
      <w:proofErr w:type="gramEnd"/>
      <w:r w:rsidR="00A659EE" w:rsidRPr="00505DB6">
        <w:rPr>
          <w:rFonts w:cs="Open Sans"/>
        </w:rPr>
        <w:t xml:space="preserve"> </w:t>
      </w:r>
      <w:r w:rsidR="00C07A34" w:rsidRPr="00505DB6">
        <w:rPr>
          <w:rFonts w:cs="Open Sans"/>
        </w:rPr>
        <w:t xml:space="preserve">under </w:t>
      </w:r>
      <w:r w:rsidR="003E7A55" w:rsidRPr="00505DB6">
        <w:rPr>
          <w:rFonts w:cs="Open Sans"/>
        </w:rPr>
        <w:t xml:space="preserve">articles </w:t>
      </w:r>
      <w:r w:rsidR="00A659EE" w:rsidRPr="00505DB6">
        <w:rPr>
          <w:rFonts w:cs="Open Sans"/>
        </w:rPr>
        <w:t>17 and 23 of the ICCPR.</w:t>
      </w:r>
      <w:r w:rsidR="00BA7530" w:rsidRPr="00505DB6">
        <w:rPr>
          <w:rFonts w:cs="Open Sans"/>
        </w:rPr>
        <w:t xml:space="preserve"> </w:t>
      </w:r>
    </w:p>
    <w:p w14:paraId="33B6FDBC" w14:textId="77777777" w:rsidR="00BF761D" w:rsidRPr="00505DB6" w:rsidRDefault="00162638" w:rsidP="0046153D">
      <w:pPr>
        <w:pStyle w:val="ListNumber"/>
        <w:numPr>
          <w:ilvl w:val="0"/>
          <w:numId w:val="15"/>
        </w:numPr>
        <w:tabs>
          <w:tab w:val="num" w:pos="993"/>
          <w:tab w:val="left" w:pos="1418"/>
        </w:tabs>
        <w:ind w:left="709" w:hanging="567"/>
        <w:rPr>
          <w:rFonts w:cs="Open Sans"/>
        </w:rPr>
      </w:pPr>
      <w:r>
        <w:rPr>
          <w:rFonts w:cs="Open Sans"/>
        </w:rPr>
        <w:t>A</w:t>
      </w:r>
      <w:r w:rsidR="006E3B00">
        <w:rPr>
          <w:rFonts w:cs="Open Sans"/>
        </w:rPr>
        <w:t xml:space="preserve"> non-citizen in Australia who does not have a valid visa </w:t>
      </w:r>
      <w:r>
        <w:rPr>
          <w:rFonts w:cs="Open Sans"/>
        </w:rPr>
        <w:t>will be</w:t>
      </w:r>
      <w:r w:rsidR="00A659EE" w:rsidRPr="00505DB6">
        <w:rPr>
          <w:rFonts w:cs="Open Sans"/>
        </w:rPr>
        <w:t xml:space="preserve"> subject to mandatory </w:t>
      </w:r>
      <w:r w:rsidR="00BF761D" w:rsidRPr="00505DB6">
        <w:rPr>
          <w:rFonts w:cs="Open Sans"/>
        </w:rPr>
        <w:t xml:space="preserve">immigration </w:t>
      </w:r>
      <w:r w:rsidR="005C279C" w:rsidRPr="00505DB6">
        <w:rPr>
          <w:rFonts w:cs="Open Sans"/>
        </w:rPr>
        <w:t>detention.</w:t>
      </w:r>
      <w:r w:rsidR="00A659EE" w:rsidRPr="00505DB6">
        <w:rPr>
          <w:rFonts w:cs="Open Sans"/>
        </w:rPr>
        <w:t xml:space="preserve"> </w:t>
      </w:r>
      <w:r w:rsidR="00C65BAD" w:rsidRPr="00505DB6">
        <w:rPr>
          <w:rFonts w:cs="Open Sans"/>
        </w:rPr>
        <w:t xml:space="preserve">Under </w:t>
      </w:r>
      <w:r w:rsidR="003E7A55" w:rsidRPr="00505DB6">
        <w:rPr>
          <w:rFonts w:cs="Open Sans"/>
        </w:rPr>
        <w:t xml:space="preserve">article </w:t>
      </w:r>
      <w:r w:rsidR="00A659EE" w:rsidRPr="00505DB6">
        <w:rPr>
          <w:rFonts w:cs="Open Sans"/>
        </w:rPr>
        <w:t>9 of the ICCPR, detention will become arbitrary when it is not necessary and proportionate to achieving a legitimate objective, and is n</w:t>
      </w:r>
      <w:r w:rsidR="00BF761D" w:rsidRPr="00505DB6">
        <w:rPr>
          <w:rFonts w:cs="Open Sans"/>
        </w:rPr>
        <w:t xml:space="preserve">ot subject to periodic review. </w:t>
      </w:r>
    </w:p>
    <w:p w14:paraId="0E30E121" w14:textId="6BD5721C" w:rsidR="00C07A34" w:rsidRPr="00505DB6" w:rsidRDefault="00A659EE" w:rsidP="0046153D">
      <w:pPr>
        <w:pStyle w:val="ListNumber"/>
        <w:numPr>
          <w:ilvl w:val="0"/>
          <w:numId w:val="15"/>
        </w:numPr>
        <w:tabs>
          <w:tab w:val="num" w:pos="993"/>
          <w:tab w:val="left" w:pos="1418"/>
        </w:tabs>
        <w:ind w:left="709" w:hanging="567"/>
        <w:rPr>
          <w:rFonts w:cs="Open Sans"/>
        </w:rPr>
      </w:pPr>
      <w:r w:rsidRPr="00505DB6">
        <w:rPr>
          <w:rFonts w:cs="Open Sans"/>
        </w:rPr>
        <w:t xml:space="preserve">Australia’s mandatory immigration detention </w:t>
      </w:r>
      <w:r w:rsidR="00C07A34" w:rsidRPr="00505DB6">
        <w:rPr>
          <w:rFonts w:cs="Open Sans"/>
        </w:rPr>
        <w:t>policy</w:t>
      </w:r>
      <w:r w:rsidRPr="00505DB6">
        <w:rPr>
          <w:rFonts w:cs="Open Sans"/>
        </w:rPr>
        <w:t xml:space="preserve"> has been found by the </w:t>
      </w:r>
      <w:r w:rsidR="002001AA" w:rsidRPr="00505DB6">
        <w:rPr>
          <w:rFonts w:cs="Open Sans"/>
        </w:rPr>
        <w:t>UN HR</w:t>
      </w:r>
      <w:r w:rsidRPr="00505DB6">
        <w:rPr>
          <w:rFonts w:cs="Open Sans"/>
        </w:rPr>
        <w:t xml:space="preserve"> Committee to </w:t>
      </w:r>
      <w:proofErr w:type="gramStart"/>
      <w:r w:rsidRPr="00505DB6">
        <w:rPr>
          <w:rFonts w:cs="Open Sans"/>
        </w:rPr>
        <w:t>have led</w:t>
      </w:r>
      <w:proofErr w:type="gramEnd"/>
      <w:r w:rsidRPr="00505DB6">
        <w:rPr>
          <w:rFonts w:cs="Open Sans"/>
        </w:rPr>
        <w:t xml:space="preserve"> to the arbitrary detention of </w:t>
      </w:r>
      <w:r w:rsidR="00B405C1">
        <w:rPr>
          <w:rFonts w:cs="Open Sans"/>
        </w:rPr>
        <w:t>numerous</w:t>
      </w:r>
      <w:r w:rsidRPr="00505DB6">
        <w:rPr>
          <w:rFonts w:cs="Open Sans"/>
        </w:rPr>
        <w:t xml:space="preserve"> complainants, contrary to </w:t>
      </w:r>
      <w:r w:rsidR="003E7A55" w:rsidRPr="00505DB6">
        <w:rPr>
          <w:rFonts w:cs="Open Sans"/>
        </w:rPr>
        <w:t>articles</w:t>
      </w:r>
      <w:r w:rsidRPr="00505DB6">
        <w:rPr>
          <w:rFonts w:cs="Open Sans"/>
        </w:rPr>
        <w:t xml:space="preserve"> 9(1) and 9(4)</w:t>
      </w:r>
      <w:r w:rsidR="00B75C83">
        <w:rPr>
          <w:rFonts w:cs="Open Sans"/>
        </w:rPr>
        <w:t xml:space="preserve"> of the ICCPR</w:t>
      </w:r>
      <w:r w:rsidRPr="00505DB6">
        <w:rPr>
          <w:rFonts w:cs="Open Sans"/>
        </w:rPr>
        <w:t>.</w:t>
      </w:r>
      <w:r w:rsidRPr="00505DB6">
        <w:rPr>
          <w:rFonts w:cs="Open Sans"/>
          <w:vertAlign w:val="superscript"/>
        </w:rPr>
        <w:endnoteReference w:id="74"/>
      </w:r>
      <w:r w:rsidR="00BF761D" w:rsidRPr="00505DB6">
        <w:rPr>
          <w:rFonts w:cs="Open Sans"/>
        </w:rPr>
        <w:t xml:space="preserve"> </w:t>
      </w:r>
    </w:p>
    <w:p w14:paraId="04395B93" w14:textId="77777777" w:rsidR="00ED076A" w:rsidRPr="00ED076A" w:rsidRDefault="00E86026" w:rsidP="00ED076A">
      <w:pPr>
        <w:pStyle w:val="ListNumber"/>
        <w:numPr>
          <w:ilvl w:val="0"/>
          <w:numId w:val="15"/>
        </w:numPr>
        <w:tabs>
          <w:tab w:val="num" w:pos="993"/>
          <w:tab w:val="left" w:pos="1418"/>
        </w:tabs>
        <w:ind w:left="709" w:hanging="567"/>
        <w:rPr>
          <w:rFonts w:cs="Open Sans"/>
        </w:rPr>
      </w:pPr>
      <w:r w:rsidRPr="00505DB6">
        <w:rPr>
          <w:rFonts w:cs="Open Sans"/>
        </w:rPr>
        <w:t xml:space="preserve">Indefinite detention may also be inconsistent </w:t>
      </w:r>
      <w:proofErr w:type="gramStart"/>
      <w:r w:rsidRPr="00505DB6">
        <w:rPr>
          <w:rFonts w:cs="Open Sans"/>
        </w:rPr>
        <w:t xml:space="preserve">with the right to protection against cruel, inhuman and degrading treatment in </w:t>
      </w:r>
      <w:r w:rsidR="003E7A55" w:rsidRPr="00505DB6">
        <w:rPr>
          <w:rFonts w:cs="Open Sans"/>
        </w:rPr>
        <w:t xml:space="preserve">article </w:t>
      </w:r>
      <w:r w:rsidRPr="00505DB6">
        <w:rPr>
          <w:rFonts w:cs="Open Sans"/>
        </w:rPr>
        <w:t>7 of the ICCPR</w:t>
      </w:r>
      <w:proofErr w:type="gramEnd"/>
      <w:r w:rsidRPr="00505DB6">
        <w:rPr>
          <w:rFonts w:cs="Open Sans"/>
        </w:rPr>
        <w:t>.</w:t>
      </w:r>
      <w:r w:rsidR="00EC4B75">
        <w:rPr>
          <w:rStyle w:val="EndnoteReference"/>
          <w:rFonts w:cs="Open Sans"/>
        </w:rPr>
        <w:endnoteReference w:id="75"/>
      </w:r>
      <w:r w:rsidRPr="00505DB6">
        <w:rPr>
          <w:rFonts w:cs="Open Sans"/>
        </w:rPr>
        <w:t xml:space="preserve"> </w:t>
      </w:r>
      <w:r w:rsidR="00ED076A" w:rsidRPr="00ED076A">
        <w:rPr>
          <w:rFonts w:cs="Open Sans"/>
        </w:rPr>
        <w:t xml:space="preserve">This could occur in certain circumstances. For example, a person </w:t>
      </w:r>
      <w:proofErr w:type="gramStart"/>
      <w:r w:rsidR="00ED076A" w:rsidRPr="00ED076A">
        <w:rPr>
          <w:rFonts w:cs="Open Sans"/>
        </w:rPr>
        <w:t>could be detained</w:t>
      </w:r>
      <w:proofErr w:type="gramEnd"/>
      <w:r w:rsidR="00ED076A" w:rsidRPr="00ED076A">
        <w:rPr>
          <w:rFonts w:cs="Open Sans"/>
        </w:rPr>
        <w:t xml:space="preserve"> pending a foreign government agreeing to admit them or issuing relevant documents such as a passport. If these steps fail to occur, or are subject to lengthy delays, the person could be detained for a long or indefinite </w:t>
      </w:r>
      <w:proofErr w:type="gramStart"/>
      <w:r w:rsidR="00ED076A" w:rsidRPr="00ED076A">
        <w:rPr>
          <w:rFonts w:cs="Open Sans"/>
        </w:rPr>
        <w:t>period of time</w:t>
      </w:r>
      <w:proofErr w:type="gramEnd"/>
      <w:r w:rsidR="00ED076A" w:rsidRPr="00ED076A">
        <w:rPr>
          <w:rFonts w:cs="Open Sans"/>
        </w:rPr>
        <w:t>.</w:t>
      </w:r>
    </w:p>
    <w:p w14:paraId="277ACCCD" w14:textId="77777777" w:rsidR="00ED076A" w:rsidRPr="00ED076A" w:rsidRDefault="00A659EE" w:rsidP="00ED076A">
      <w:pPr>
        <w:pStyle w:val="ListNumber"/>
        <w:numPr>
          <w:ilvl w:val="0"/>
          <w:numId w:val="15"/>
        </w:numPr>
        <w:tabs>
          <w:tab w:val="num" w:pos="993"/>
          <w:tab w:val="left" w:pos="1418"/>
        </w:tabs>
        <w:ind w:left="709" w:hanging="567"/>
        <w:rPr>
          <w:rFonts w:cs="Open Sans"/>
        </w:rPr>
      </w:pPr>
      <w:r w:rsidRPr="00505DB6">
        <w:rPr>
          <w:rFonts w:cs="Open Sans"/>
        </w:rPr>
        <w:t xml:space="preserve">Detention may in turn interfere with family life contrary to </w:t>
      </w:r>
      <w:r w:rsidR="003E7A55" w:rsidRPr="00505DB6">
        <w:rPr>
          <w:rFonts w:cs="Open Sans"/>
        </w:rPr>
        <w:t xml:space="preserve">articles </w:t>
      </w:r>
      <w:r w:rsidRPr="00505DB6">
        <w:rPr>
          <w:rFonts w:cs="Open Sans"/>
        </w:rPr>
        <w:t>17 and 23</w:t>
      </w:r>
      <w:r w:rsidR="00BF761D" w:rsidRPr="00505DB6">
        <w:rPr>
          <w:rFonts w:cs="Open Sans"/>
        </w:rPr>
        <w:t xml:space="preserve"> of the ICCPR</w:t>
      </w:r>
      <w:r w:rsidRPr="00505DB6">
        <w:rPr>
          <w:rFonts w:cs="Open Sans"/>
        </w:rPr>
        <w:t>.</w:t>
      </w:r>
      <w:r w:rsidR="00BA7530" w:rsidRPr="00505DB6">
        <w:rPr>
          <w:rFonts w:cs="Open Sans"/>
        </w:rPr>
        <w:t xml:space="preserve"> </w:t>
      </w:r>
      <w:r w:rsidR="00ED076A" w:rsidRPr="00ED076A">
        <w:rPr>
          <w:rFonts w:cs="Open Sans"/>
        </w:rPr>
        <w:t>Removal of a person who was born and/or raised in Australia, or has spent a long period of their life in Australia, could result in forced relocation to a country where they have no family or social connections and that is entirely unfamiliar. </w:t>
      </w:r>
    </w:p>
    <w:p w14:paraId="2D0FA95E" w14:textId="19DB63E8" w:rsidR="00CB023A" w:rsidRPr="00505DB6" w:rsidRDefault="00CB023A" w:rsidP="0046153D">
      <w:pPr>
        <w:pStyle w:val="ListNumber"/>
        <w:numPr>
          <w:ilvl w:val="0"/>
          <w:numId w:val="15"/>
        </w:numPr>
        <w:tabs>
          <w:tab w:val="num" w:pos="993"/>
          <w:tab w:val="left" w:pos="1418"/>
        </w:tabs>
        <w:ind w:left="709" w:hanging="567"/>
        <w:rPr>
          <w:rFonts w:cs="Open Sans"/>
        </w:rPr>
      </w:pPr>
      <w:r w:rsidRPr="00505DB6">
        <w:rPr>
          <w:rFonts w:cs="Open Sans"/>
        </w:rPr>
        <w:t xml:space="preserve">The Commission is </w:t>
      </w:r>
      <w:r w:rsidR="00A4711C" w:rsidRPr="00505DB6">
        <w:rPr>
          <w:rFonts w:cs="Open Sans"/>
        </w:rPr>
        <w:t xml:space="preserve">also </w:t>
      </w:r>
      <w:r w:rsidRPr="00505DB6">
        <w:rPr>
          <w:rFonts w:cs="Open Sans"/>
        </w:rPr>
        <w:t>particularly concerned about the potential eff</w:t>
      </w:r>
      <w:r w:rsidR="00A4711C" w:rsidRPr="00505DB6">
        <w:rPr>
          <w:rFonts w:cs="Open Sans"/>
        </w:rPr>
        <w:t>ects of the Bill on childre</w:t>
      </w:r>
      <w:r w:rsidR="00C07A34" w:rsidRPr="00505DB6">
        <w:rPr>
          <w:rFonts w:cs="Open Sans"/>
        </w:rPr>
        <w:t xml:space="preserve">n. </w:t>
      </w:r>
      <w:r w:rsidR="00A4711C" w:rsidRPr="00505DB6">
        <w:rPr>
          <w:rFonts w:cs="Open Sans"/>
        </w:rPr>
        <w:t>I</w:t>
      </w:r>
      <w:r w:rsidRPr="00505DB6">
        <w:rPr>
          <w:rFonts w:cs="Open Sans"/>
        </w:rPr>
        <w:t xml:space="preserve">nternational human rights law </w:t>
      </w:r>
      <w:r w:rsidR="00A4711C" w:rsidRPr="00505DB6">
        <w:rPr>
          <w:rFonts w:cs="Open Sans"/>
        </w:rPr>
        <w:t xml:space="preserve">recognises that, </w:t>
      </w:r>
      <w:r w:rsidRPr="00505DB6">
        <w:rPr>
          <w:rFonts w:cs="Open Sans"/>
        </w:rPr>
        <w:t>in light of their physical and mental immaturity, children have special need of safeguards, care and protection.</w:t>
      </w:r>
      <w:r w:rsidRPr="00505DB6">
        <w:rPr>
          <w:rStyle w:val="EndnoteReference"/>
          <w:rFonts w:cs="Open Sans"/>
        </w:rPr>
        <w:endnoteReference w:id="76"/>
      </w:r>
      <w:r w:rsidR="00A4711C" w:rsidRPr="00505DB6">
        <w:rPr>
          <w:rFonts w:cs="Open Sans"/>
        </w:rPr>
        <w:t xml:space="preserve"> </w:t>
      </w:r>
      <w:r w:rsidRPr="00505DB6">
        <w:rPr>
          <w:rFonts w:cs="Open Sans"/>
        </w:rPr>
        <w:t xml:space="preserve">In recognition of that fact, Australia has ratified the </w:t>
      </w:r>
      <w:r w:rsidR="00A24620" w:rsidRPr="00505DB6">
        <w:rPr>
          <w:rFonts w:cs="Open Sans"/>
        </w:rPr>
        <w:t>CRC</w:t>
      </w:r>
      <w:r w:rsidRPr="00505DB6">
        <w:rPr>
          <w:rFonts w:cs="Open Sans"/>
        </w:rPr>
        <w:t xml:space="preserve">. </w:t>
      </w:r>
    </w:p>
    <w:p w14:paraId="4CE14D45" w14:textId="77777777" w:rsidR="00CB023A" w:rsidRPr="00505DB6" w:rsidRDefault="00CB023A" w:rsidP="0046153D">
      <w:pPr>
        <w:pStyle w:val="ListNumber"/>
        <w:numPr>
          <w:ilvl w:val="0"/>
          <w:numId w:val="15"/>
        </w:numPr>
        <w:tabs>
          <w:tab w:val="num" w:pos="993"/>
          <w:tab w:val="left" w:pos="1418"/>
        </w:tabs>
        <w:ind w:left="709" w:hanging="567"/>
        <w:rPr>
          <w:rFonts w:cs="Open Sans"/>
        </w:rPr>
      </w:pPr>
      <w:r w:rsidRPr="00505DB6">
        <w:rPr>
          <w:rFonts w:cs="Open Sans"/>
        </w:rPr>
        <w:lastRenderedPageBreak/>
        <w:t>The Bill would potentially affect children in two ways:</w:t>
      </w:r>
    </w:p>
    <w:p w14:paraId="7A5E2CE6" w14:textId="10947474" w:rsidR="00CB023A" w:rsidRPr="00505DB6" w:rsidRDefault="00551ED1" w:rsidP="0046153D">
      <w:pPr>
        <w:pStyle w:val="SubmissionNormal"/>
        <w:numPr>
          <w:ilvl w:val="0"/>
          <w:numId w:val="17"/>
        </w:numPr>
        <w:rPr>
          <w:rFonts w:cs="Open Sans"/>
        </w:rPr>
      </w:pPr>
      <w:r w:rsidRPr="00505DB6">
        <w:rPr>
          <w:rFonts w:cs="Open Sans"/>
        </w:rPr>
        <w:t>c</w:t>
      </w:r>
      <w:r w:rsidR="00CB023A" w:rsidRPr="00505DB6">
        <w:rPr>
          <w:rFonts w:cs="Open Sans"/>
        </w:rPr>
        <w:t xml:space="preserve">hildren </w:t>
      </w:r>
      <w:r w:rsidR="003554BC" w:rsidRPr="00505DB6">
        <w:rPr>
          <w:rFonts w:cs="Open Sans"/>
        </w:rPr>
        <w:t>as young as</w:t>
      </w:r>
      <w:r w:rsidR="00C370D9">
        <w:rPr>
          <w:rFonts w:cs="Open Sans"/>
        </w:rPr>
        <w:t xml:space="preserve"> ten </w:t>
      </w:r>
      <w:r w:rsidR="003554BC" w:rsidRPr="00505DB6">
        <w:rPr>
          <w:rFonts w:cs="Open Sans"/>
        </w:rPr>
        <w:t>years of age who engage</w:t>
      </w:r>
      <w:r w:rsidR="00CB023A" w:rsidRPr="00505DB6">
        <w:rPr>
          <w:rFonts w:cs="Open Sans"/>
        </w:rPr>
        <w:t xml:space="preserve"> in relevant conduct </w:t>
      </w:r>
      <w:r w:rsidR="00A4711C" w:rsidRPr="00505DB6">
        <w:rPr>
          <w:rFonts w:cs="Open Sans"/>
        </w:rPr>
        <w:t>could</w:t>
      </w:r>
      <w:r w:rsidR="00CB023A" w:rsidRPr="00505DB6">
        <w:rPr>
          <w:rFonts w:cs="Open Sans"/>
        </w:rPr>
        <w:t xml:space="preserve"> lose their citizens</w:t>
      </w:r>
      <w:r w:rsidR="003554BC" w:rsidRPr="00505DB6">
        <w:rPr>
          <w:rFonts w:cs="Open Sans"/>
        </w:rPr>
        <w:t>hip in the same way as adults</w:t>
      </w:r>
      <w:r w:rsidR="00CB023A" w:rsidRPr="00505DB6">
        <w:rPr>
          <w:rStyle w:val="EndnoteReference"/>
          <w:rFonts w:cs="Open Sans"/>
        </w:rPr>
        <w:endnoteReference w:id="77"/>
      </w:r>
      <w:r w:rsidR="00BA7530" w:rsidRPr="00505DB6">
        <w:rPr>
          <w:rFonts w:cs="Open Sans"/>
        </w:rPr>
        <w:t xml:space="preserve"> </w:t>
      </w:r>
    </w:p>
    <w:p w14:paraId="09ED75C9" w14:textId="77777777" w:rsidR="00CB023A" w:rsidRPr="00505DB6" w:rsidRDefault="00551ED1" w:rsidP="0046153D">
      <w:pPr>
        <w:pStyle w:val="SubmissionNormal"/>
        <w:numPr>
          <w:ilvl w:val="0"/>
          <w:numId w:val="17"/>
        </w:numPr>
        <w:rPr>
          <w:rFonts w:cs="Open Sans"/>
        </w:rPr>
      </w:pPr>
      <w:proofErr w:type="gramStart"/>
      <w:r w:rsidRPr="00505DB6">
        <w:rPr>
          <w:rFonts w:cs="Open Sans"/>
        </w:rPr>
        <w:t>c</w:t>
      </w:r>
      <w:r w:rsidR="00CB023A" w:rsidRPr="00505DB6">
        <w:rPr>
          <w:rFonts w:cs="Open Sans"/>
        </w:rPr>
        <w:t>hildren</w:t>
      </w:r>
      <w:proofErr w:type="gramEnd"/>
      <w:r w:rsidR="00CB023A" w:rsidRPr="00505DB6">
        <w:rPr>
          <w:rFonts w:cs="Open Sans"/>
        </w:rPr>
        <w:t xml:space="preserve"> whose parents have their citizenship </w:t>
      </w:r>
      <w:r w:rsidR="00A4711C" w:rsidRPr="00505DB6">
        <w:rPr>
          <w:rFonts w:cs="Open Sans"/>
        </w:rPr>
        <w:t>removed</w:t>
      </w:r>
      <w:r w:rsidR="00CB023A" w:rsidRPr="00505DB6">
        <w:rPr>
          <w:rFonts w:cs="Open Sans"/>
        </w:rPr>
        <w:t xml:space="preserve"> may consequently have their own citize</w:t>
      </w:r>
      <w:r w:rsidRPr="00505DB6">
        <w:rPr>
          <w:rFonts w:cs="Open Sans"/>
        </w:rPr>
        <w:t>nship cancelled by the Minister</w:t>
      </w:r>
      <w:r w:rsidR="00D93B8F">
        <w:rPr>
          <w:rFonts w:cs="Open Sans"/>
        </w:rPr>
        <w:t>.</w:t>
      </w:r>
      <w:r w:rsidR="00CB023A" w:rsidRPr="00505DB6">
        <w:rPr>
          <w:rStyle w:val="EndnoteReference"/>
          <w:rFonts w:cs="Open Sans"/>
        </w:rPr>
        <w:endnoteReference w:id="78"/>
      </w:r>
      <w:r w:rsidR="00BA7530" w:rsidRPr="00505DB6">
        <w:rPr>
          <w:rFonts w:cs="Open Sans"/>
        </w:rPr>
        <w:t xml:space="preserve"> </w:t>
      </w:r>
    </w:p>
    <w:p w14:paraId="75CC47CE" w14:textId="77777777" w:rsidR="00CB023A" w:rsidRPr="00505DB6" w:rsidRDefault="00CB023A" w:rsidP="0046153D">
      <w:pPr>
        <w:pStyle w:val="ListNumber"/>
        <w:numPr>
          <w:ilvl w:val="0"/>
          <w:numId w:val="15"/>
        </w:numPr>
        <w:tabs>
          <w:tab w:val="num" w:pos="993"/>
          <w:tab w:val="left" w:pos="1418"/>
        </w:tabs>
        <w:ind w:left="709" w:hanging="567"/>
        <w:rPr>
          <w:rFonts w:cs="Open Sans"/>
        </w:rPr>
      </w:pPr>
      <w:r w:rsidRPr="00505DB6">
        <w:rPr>
          <w:rFonts w:cs="Open Sans"/>
        </w:rPr>
        <w:t>Children enjoy all the rights protected by the ICCPR, including the right to enter and remain in th</w:t>
      </w:r>
      <w:r w:rsidR="00D03FE3" w:rsidRPr="00505DB6">
        <w:rPr>
          <w:rFonts w:cs="Open Sans"/>
        </w:rPr>
        <w:t xml:space="preserve">eir own country. </w:t>
      </w:r>
      <w:r w:rsidRPr="00505DB6">
        <w:rPr>
          <w:rFonts w:cs="Open Sans"/>
        </w:rPr>
        <w:t xml:space="preserve">In addition, </w:t>
      </w:r>
      <w:r w:rsidR="003E7A55" w:rsidRPr="00505DB6">
        <w:rPr>
          <w:rFonts w:cs="Open Sans"/>
        </w:rPr>
        <w:t xml:space="preserve">article </w:t>
      </w:r>
      <w:r w:rsidRPr="00505DB6">
        <w:rPr>
          <w:rFonts w:cs="Open Sans"/>
        </w:rPr>
        <w:t xml:space="preserve">8(1) of the CRC </w:t>
      </w:r>
      <w:r w:rsidR="007C20C2" w:rsidRPr="00505DB6">
        <w:rPr>
          <w:rFonts w:cs="Open Sans"/>
        </w:rPr>
        <w:t>protects the right of children to preserve their nationality and family relations</w:t>
      </w:r>
      <w:r w:rsidR="00A24620" w:rsidRPr="00505DB6">
        <w:rPr>
          <w:rFonts w:cs="Open Sans"/>
        </w:rPr>
        <w:t xml:space="preserve"> and </w:t>
      </w:r>
      <w:r w:rsidR="003E7A55" w:rsidRPr="00505DB6">
        <w:rPr>
          <w:rFonts w:cs="Open Sans"/>
        </w:rPr>
        <w:t xml:space="preserve">article </w:t>
      </w:r>
      <w:r w:rsidR="00A24620" w:rsidRPr="00505DB6">
        <w:rPr>
          <w:rFonts w:cs="Open Sans"/>
        </w:rPr>
        <w:t xml:space="preserve">3 </w:t>
      </w:r>
      <w:r w:rsidR="00D03FE3" w:rsidRPr="00505DB6">
        <w:rPr>
          <w:rFonts w:cs="Open Sans"/>
        </w:rPr>
        <w:t>protects the best interests of the child</w:t>
      </w:r>
      <w:r w:rsidR="00A24620" w:rsidRPr="00505DB6">
        <w:rPr>
          <w:rFonts w:cs="Open Sans"/>
        </w:rPr>
        <w:t>.</w:t>
      </w:r>
    </w:p>
    <w:p w14:paraId="38EB94FC" w14:textId="77777777" w:rsidR="00D03207" w:rsidRPr="00505DB6" w:rsidRDefault="00CB023A" w:rsidP="0046153D">
      <w:pPr>
        <w:pStyle w:val="ListNumber"/>
        <w:numPr>
          <w:ilvl w:val="0"/>
          <w:numId w:val="15"/>
        </w:numPr>
        <w:tabs>
          <w:tab w:val="num" w:pos="993"/>
          <w:tab w:val="left" w:pos="1418"/>
        </w:tabs>
        <w:ind w:left="709" w:hanging="567"/>
        <w:rPr>
          <w:rFonts w:cs="Open Sans"/>
        </w:rPr>
      </w:pPr>
      <w:r w:rsidRPr="00505DB6">
        <w:rPr>
          <w:rFonts w:cs="Open Sans"/>
        </w:rPr>
        <w:t>In assessing the best interests of a child, it is necessary to take into account all the circumstances of the particular child and the particular action.</w:t>
      </w:r>
      <w:r w:rsidRPr="00505DB6">
        <w:rPr>
          <w:rStyle w:val="EndnoteReference"/>
          <w:rFonts w:cs="Open Sans"/>
        </w:rPr>
        <w:endnoteReference w:id="79"/>
      </w:r>
      <w:r w:rsidR="00D03207" w:rsidRPr="00505DB6">
        <w:rPr>
          <w:rFonts w:cs="Open Sans"/>
        </w:rPr>
        <w:t xml:space="preserve"> </w:t>
      </w:r>
    </w:p>
    <w:p w14:paraId="40BF57CC" w14:textId="77777777" w:rsidR="00D03207" w:rsidRPr="00505DB6" w:rsidRDefault="00CB023A" w:rsidP="0046153D">
      <w:pPr>
        <w:pStyle w:val="ListNumber"/>
        <w:numPr>
          <w:ilvl w:val="0"/>
          <w:numId w:val="15"/>
        </w:numPr>
        <w:tabs>
          <w:tab w:val="num" w:pos="993"/>
          <w:tab w:val="left" w:pos="1418"/>
        </w:tabs>
        <w:ind w:left="709" w:hanging="567"/>
        <w:rPr>
          <w:rFonts w:cs="Open Sans"/>
        </w:rPr>
      </w:pPr>
      <w:r w:rsidRPr="00505DB6">
        <w:rPr>
          <w:rFonts w:cs="Open Sans"/>
        </w:rPr>
        <w:t xml:space="preserve">It is also necessary to ensure that procedural safeguards are implemented, including </w:t>
      </w:r>
      <w:proofErr w:type="gramStart"/>
      <w:r w:rsidRPr="00505DB6">
        <w:rPr>
          <w:rFonts w:cs="Open Sans"/>
        </w:rPr>
        <w:t>that</w:t>
      </w:r>
      <w:proofErr w:type="gramEnd"/>
      <w:r w:rsidRPr="00505DB6">
        <w:rPr>
          <w:rFonts w:cs="Open Sans"/>
        </w:rPr>
        <w:t xml:space="preserve"> children are allowed to express their views,</w:t>
      </w:r>
      <w:r w:rsidRPr="00505DB6">
        <w:rPr>
          <w:rStyle w:val="EndnoteReference"/>
          <w:rFonts w:cs="Open Sans"/>
        </w:rPr>
        <w:endnoteReference w:id="80"/>
      </w:r>
      <w:r w:rsidRPr="00505DB6">
        <w:rPr>
          <w:rFonts w:cs="Open Sans"/>
        </w:rPr>
        <w:t xml:space="preserve"> that decisions and </w:t>
      </w:r>
      <w:r w:rsidR="00080E04" w:rsidRPr="00505DB6">
        <w:rPr>
          <w:rFonts w:cs="Open Sans"/>
        </w:rPr>
        <w:t>decision-making</w:t>
      </w:r>
      <w:r w:rsidRPr="00505DB6">
        <w:rPr>
          <w:rFonts w:cs="Open Sans"/>
        </w:rPr>
        <w:t xml:space="preserve"> processes be transparent,</w:t>
      </w:r>
      <w:r w:rsidRPr="00505DB6">
        <w:rPr>
          <w:rStyle w:val="EndnoteReference"/>
          <w:rFonts w:cs="Open Sans"/>
        </w:rPr>
        <w:endnoteReference w:id="81"/>
      </w:r>
      <w:r w:rsidRPr="00505DB6">
        <w:rPr>
          <w:rFonts w:cs="Open Sans"/>
        </w:rPr>
        <w:t xml:space="preserve"> and that there be mechanisms to review decisions.</w:t>
      </w:r>
      <w:r w:rsidRPr="00505DB6">
        <w:rPr>
          <w:rStyle w:val="EndnoteReference"/>
          <w:rFonts w:cs="Open Sans"/>
        </w:rPr>
        <w:endnoteReference w:id="82"/>
      </w:r>
      <w:r w:rsidR="00BA7530" w:rsidRPr="00505DB6">
        <w:rPr>
          <w:rFonts w:cs="Open Sans"/>
        </w:rPr>
        <w:t xml:space="preserve"> </w:t>
      </w:r>
    </w:p>
    <w:p w14:paraId="0797F532" w14:textId="77777777" w:rsidR="00CB023A" w:rsidRPr="00505DB6" w:rsidRDefault="003554BC" w:rsidP="0046153D">
      <w:pPr>
        <w:pStyle w:val="ListNumber"/>
        <w:numPr>
          <w:ilvl w:val="0"/>
          <w:numId w:val="15"/>
        </w:numPr>
        <w:tabs>
          <w:tab w:val="num" w:pos="993"/>
          <w:tab w:val="left" w:pos="1418"/>
        </w:tabs>
        <w:ind w:left="709" w:hanging="567"/>
        <w:rPr>
          <w:rFonts w:cs="Open Sans"/>
        </w:rPr>
      </w:pPr>
      <w:r w:rsidRPr="00505DB6">
        <w:rPr>
          <w:rFonts w:cs="Open Sans"/>
        </w:rPr>
        <w:t>The Commission holds concerns that</w:t>
      </w:r>
      <w:r w:rsidR="00CB023A" w:rsidRPr="00505DB6">
        <w:rPr>
          <w:rFonts w:cs="Open Sans"/>
        </w:rPr>
        <w:t xml:space="preserve"> these criteria </w:t>
      </w:r>
      <w:proofErr w:type="gramStart"/>
      <w:r w:rsidR="00CB023A" w:rsidRPr="00505DB6">
        <w:rPr>
          <w:rFonts w:cs="Open Sans"/>
        </w:rPr>
        <w:t>will not be met</w:t>
      </w:r>
      <w:proofErr w:type="gramEnd"/>
      <w:r w:rsidR="00CB023A" w:rsidRPr="00505DB6">
        <w:rPr>
          <w:rFonts w:cs="Open Sans"/>
        </w:rPr>
        <w:t xml:space="preserve"> by the proposed </w:t>
      </w:r>
      <w:r w:rsidR="006E051D" w:rsidRPr="00505DB6">
        <w:rPr>
          <w:rFonts w:cs="Open Sans"/>
        </w:rPr>
        <w:t>removal</w:t>
      </w:r>
      <w:r w:rsidR="00CB023A" w:rsidRPr="00505DB6">
        <w:rPr>
          <w:rFonts w:cs="Open Sans"/>
        </w:rPr>
        <w:t xml:space="preserve"> of citizenship provisions contained in the Bill.</w:t>
      </w:r>
      <w:r w:rsidR="00BA7530" w:rsidRPr="00505DB6">
        <w:rPr>
          <w:rFonts w:cs="Open Sans"/>
        </w:rPr>
        <w:t xml:space="preserve"> </w:t>
      </w:r>
    </w:p>
    <w:p w14:paraId="6BA62899" w14:textId="77777777" w:rsidR="00CB023A" w:rsidRPr="00505DB6" w:rsidRDefault="006E051D" w:rsidP="0046153D">
      <w:pPr>
        <w:pStyle w:val="ListNumber"/>
        <w:numPr>
          <w:ilvl w:val="0"/>
          <w:numId w:val="15"/>
        </w:numPr>
        <w:tabs>
          <w:tab w:val="num" w:pos="993"/>
          <w:tab w:val="left" w:pos="1418"/>
        </w:tabs>
        <w:ind w:left="709" w:hanging="567"/>
        <w:rPr>
          <w:rFonts w:cs="Open Sans"/>
        </w:rPr>
      </w:pPr>
      <w:r w:rsidRPr="00505DB6">
        <w:rPr>
          <w:rFonts w:cs="Open Sans"/>
        </w:rPr>
        <w:t>Removal</w:t>
      </w:r>
      <w:r w:rsidR="00CB023A" w:rsidRPr="00505DB6">
        <w:rPr>
          <w:rFonts w:cs="Open Sans"/>
        </w:rPr>
        <w:t xml:space="preserve"> of a child’s citizenship, and consequent loss of their right to enter or remain in Australia, is even more likely to be arbitrar</w:t>
      </w:r>
      <w:r w:rsidR="00D03207" w:rsidRPr="00505DB6">
        <w:rPr>
          <w:rFonts w:cs="Open Sans"/>
        </w:rPr>
        <w:t>y than in the case of an adult.</w:t>
      </w:r>
      <w:r w:rsidR="00CB023A" w:rsidRPr="00505DB6">
        <w:rPr>
          <w:rFonts w:cs="Open Sans"/>
        </w:rPr>
        <w:t xml:space="preserve"> That is so for a range of reasons, including that a child is less culpable for wrongdoing, is more vulnerable to any adverse consequences, an</w:t>
      </w:r>
      <w:r w:rsidR="002E772E">
        <w:rPr>
          <w:rFonts w:cs="Open Sans"/>
        </w:rPr>
        <w:t>d</w:t>
      </w:r>
      <w:r w:rsidR="00CB023A" w:rsidRPr="00505DB6">
        <w:rPr>
          <w:rFonts w:cs="Open Sans"/>
        </w:rPr>
        <w:t xml:space="preserve"> may suffer </w:t>
      </w:r>
      <w:r w:rsidR="00497984" w:rsidRPr="00505DB6">
        <w:rPr>
          <w:rFonts w:cs="Open Sans"/>
        </w:rPr>
        <w:t>removal</w:t>
      </w:r>
      <w:r w:rsidR="00CB023A" w:rsidRPr="00505DB6">
        <w:rPr>
          <w:rFonts w:cs="Open Sans"/>
        </w:rPr>
        <w:t xml:space="preserve"> of citizenship through no fault of their own. </w:t>
      </w:r>
    </w:p>
    <w:sectPr w:rsidR="00CB023A" w:rsidRPr="00505DB6" w:rsidSect="00460EE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F2A8" w14:textId="77777777" w:rsidR="00E04751" w:rsidRDefault="00E04751" w:rsidP="00F14C6D">
      <w:r>
        <w:separator/>
      </w:r>
    </w:p>
  </w:endnote>
  <w:endnote w:type="continuationSeparator" w:id="0">
    <w:p w14:paraId="35C785A1" w14:textId="77777777" w:rsidR="00E04751" w:rsidRDefault="00E04751" w:rsidP="00F14C6D">
      <w:r>
        <w:continuationSeparator/>
      </w:r>
    </w:p>
  </w:endnote>
  <w:endnote w:id="1">
    <w:p w14:paraId="47876E66"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7 [1].</w:t>
      </w:r>
    </w:p>
  </w:endnote>
  <w:endnote w:id="2">
    <w:p w14:paraId="31A3087C"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International Covenant on Civil and Political Rights</w:t>
      </w:r>
      <w:r w:rsidRPr="006B2669">
        <w:rPr>
          <w:rFonts w:cs="Open Sans"/>
        </w:rPr>
        <w:t>, opened for signature 16 December 1966, 999 UNTS 171 (entered into force 23 March 1976) article 6.</w:t>
      </w:r>
    </w:p>
  </w:endnote>
  <w:endnote w:id="3">
    <w:p w14:paraId="5689572F" w14:textId="77777777" w:rsidR="00E04751" w:rsidRPr="006B2669" w:rsidRDefault="00E04751" w:rsidP="001171E4">
      <w:pPr>
        <w:pStyle w:val="EndnoteText"/>
        <w:widowControl w:val="0"/>
        <w:suppressLineNumbers/>
        <w:ind w:left="511" w:right="57" w:hanging="454"/>
        <w:contextualSpacing/>
        <w:rPr>
          <w:rFonts w:cs="Open Sans"/>
        </w:rPr>
      </w:pPr>
      <w:r w:rsidRPr="006B2669">
        <w:rPr>
          <w:rStyle w:val="EndnoteReference"/>
          <w:rFonts w:cs="Open Sans"/>
        </w:rPr>
        <w:endnoteRef/>
      </w:r>
      <w:r w:rsidRPr="006B2669">
        <w:rPr>
          <w:rFonts w:cs="Open Sans"/>
        </w:rPr>
        <w:tab/>
        <w:t xml:space="preserve">See for example, </w:t>
      </w:r>
      <w:r w:rsidRPr="006B2669">
        <w:rPr>
          <w:rFonts w:cs="Open Sans"/>
          <w:i/>
        </w:rPr>
        <w:t>Threats to international peace and security caused by terrorist acts</w:t>
      </w:r>
      <w:r w:rsidRPr="006B2669">
        <w:rPr>
          <w:rFonts w:cs="Open Sans"/>
        </w:rPr>
        <w:t xml:space="preserve">, SC Res 1373, UN </w:t>
      </w:r>
      <w:proofErr w:type="spellStart"/>
      <w:r w:rsidRPr="006B2669">
        <w:rPr>
          <w:rFonts w:cs="Open Sans"/>
        </w:rPr>
        <w:t>SCOR</w:t>
      </w:r>
      <w:proofErr w:type="spellEnd"/>
      <w:r w:rsidRPr="006B2669">
        <w:rPr>
          <w:rFonts w:cs="Open Sans"/>
        </w:rPr>
        <w:t>, 4385</w:t>
      </w:r>
      <w:r w:rsidRPr="006B2669">
        <w:rPr>
          <w:rFonts w:cs="Open Sans"/>
          <w:vertAlign w:val="superscript"/>
        </w:rPr>
        <w:t>th</w:t>
      </w:r>
      <w:r w:rsidRPr="006B2669">
        <w:rPr>
          <w:rFonts w:cs="Open Sans"/>
        </w:rPr>
        <w:t xml:space="preserve"> mtg, UN Doc S/RES/1373 (28 September 2001). </w:t>
      </w:r>
    </w:p>
  </w:endnote>
  <w:endnote w:id="4">
    <w:p w14:paraId="6DE2939E"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International Covenant on Civil and Political </w:t>
      </w:r>
      <w:proofErr w:type="gramStart"/>
      <w:r w:rsidRPr="006B2669">
        <w:rPr>
          <w:rFonts w:cs="Open Sans"/>
          <w:i/>
        </w:rPr>
        <w:t>Rights</w:t>
      </w:r>
      <w:r w:rsidRPr="006B2669">
        <w:rPr>
          <w:rFonts w:cs="Open Sans"/>
        </w:rPr>
        <w:t>,</w:t>
      </w:r>
      <w:proofErr w:type="gramEnd"/>
      <w:r w:rsidRPr="006B2669">
        <w:rPr>
          <w:rFonts w:cs="Open Sans"/>
        </w:rPr>
        <w:t xml:space="preserve"> opened for signature 19 December 1966, 999 UNTS 171 (entered into force 23 March 1976).</w:t>
      </w:r>
    </w:p>
  </w:endnote>
  <w:endnote w:id="5">
    <w:p w14:paraId="284603AB"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Universal Declaration of Human Right</w:t>
      </w:r>
      <w:r w:rsidRPr="006B2669">
        <w:rPr>
          <w:rFonts w:cs="Open Sans"/>
        </w:rPr>
        <w:t>s, GA Res 217A (III), UN GAOR, 3rd sess, 183rd plen mtg UN Doc A/810 (10 December 1948) article 15.</w:t>
      </w:r>
    </w:p>
  </w:endnote>
  <w:endnote w:id="6">
    <w:p w14:paraId="210786EC"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Convention on the Reduction of </w:t>
      </w:r>
      <w:proofErr w:type="gramStart"/>
      <w:r w:rsidRPr="006B2669">
        <w:rPr>
          <w:rFonts w:cs="Open Sans"/>
          <w:i/>
        </w:rPr>
        <w:t>Statelessness</w:t>
      </w:r>
      <w:r w:rsidRPr="006B2669">
        <w:rPr>
          <w:rFonts w:cs="Open Sans"/>
        </w:rPr>
        <w:t>,</w:t>
      </w:r>
      <w:proofErr w:type="gramEnd"/>
      <w:r w:rsidRPr="006B2669">
        <w:rPr>
          <w:rFonts w:cs="Open Sans"/>
        </w:rPr>
        <w:t xml:space="preserve"> opened for signature 30 August 1961, 989 UNTS 175 (entered into force 13 December 1975).</w:t>
      </w:r>
    </w:p>
  </w:endnote>
  <w:endnote w:id="7">
    <w:p w14:paraId="38CFD05F"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iCs/>
        </w:rPr>
        <w:t xml:space="preserve">Convention on the Rights of the </w:t>
      </w:r>
      <w:proofErr w:type="gramStart"/>
      <w:r w:rsidRPr="006B2669">
        <w:rPr>
          <w:rFonts w:cs="Open Sans"/>
          <w:i/>
          <w:iCs/>
        </w:rPr>
        <w:t>Child</w:t>
      </w:r>
      <w:r w:rsidRPr="006B2669">
        <w:rPr>
          <w:rFonts w:cs="Open Sans"/>
          <w:iCs/>
        </w:rPr>
        <w:t>,</w:t>
      </w:r>
      <w:proofErr w:type="gramEnd"/>
      <w:r w:rsidRPr="006B2669">
        <w:rPr>
          <w:rFonts w:cs="Open Sans"/>
          <w:iCs/>
        </w:rPr>
        <w:t xml:space="preserve"> opened for signature 20 November 1989,</w:t>
      </w:r>
      <w:r w:rsidRPr="006B2669">
        <w:rPr>
          <w:rFonts w:cs="Open Sans"/>
        </w:rPr>
        <w:t xml:space="preserve"> [1991] ATS 4 (entered into force 2 September 1990) articles 3, 8(1). </w:t>
      </w:r>
    </w:p>
  </w:endnote>
  <w:endnote w:id="8">
    <w:p w14:paraId="17798EAD"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Australian Citizenship Act 2007</w:t>
      </w:r>
      <w:r w:rsidRPr="006B2669">
        <w:rPr>
          <w:rFonts w:cs="Open Sans"/>
        </w:rPr>
        <w:t xml:space="preserve"> (Cth) s </w:t>
      </w:r>
      <w:proofErr w:type="gramStart"/>
      <w:r w:rsidRPr="006B2669">
        <w:rPr>
          <w:rFonts w:cs="Open Sans"/>
        </w:rPr>
        <w:t>35A(</w:t>
      </w:r>
      <w:proofErr w:type="gramEnd"/>
      <w:r w:rsidRPr="006B2669">
        <w:rPr>
          <w:rFonts w:cs="Open Sans"/>
        </w:rPr>
        <w:t>3).</w:t>
      </w:r>
    </w:p>
  </w:endnote>
  <w:endnote w:id="9">
    <w:p w14:paraId="2D63453C"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Australian Citizenship Act 2007</w:t>
      </w:r>
      <w:r w:rsidRPr="006B2669">
        <w:rPr>
          <w:rFonts w:cs="Open Sans"/>
        </w:rPr>
        <w:t xml:space="preserve"> (Cth) s </w:t>
      </w:r>
      <w:proofErr w:type="gramStart"/>
      <w:r w:rsidRPr="006B2669">
        <w:rPr>
          <w:rFonts w:cs="Open Sans"/>
        </w:rPr>
        <w:t>35A(</w:t>
      </w:r>
      <w:proofErr w:type="gramEnd"/>
      <w:r w:rsidRPr="006B2669">
        <w:rPr>
          <w:rFonts w:cs="Open Sans"/>
        </w:rPr>
        <w:t>2).</w:t>
      </w:r>
    </w:p>
  </w:endnote>
  <w:endnote w:id="10">
    <w:p w14:paraId="5463E616"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7 [1].</w:t>
      </w:r>
    </w:p>
  </w:endnote>
  <w:endnote w:id="11">
    <w:p w14:paraId="177ECB49"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7–8 [4]–[5].</w:t>
      </w:r>
    </w:p>
  </w:endnote>
  <w:endnote w:id="12">
    <w:p w14:paraId="76497B92"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Commonwealth, </w:t>
      </w:r>
      <w:r w:rsidRPr="006B2669">
        <w:rPr>
          <w:rFonts w:cs="Open Sans"/>
          <w:i/>
        </w:rPr>
        <w:t>Parliamentary Debates</w:t>
      </w:r>
      <w:r w:rsidRPr="006B2669">
        <w:rPr>
          <w:rFonts w:cs="Open Sans"/>
        </w:rPr>
        <w:t>, House of Representatives, 28 November 2018, 9 (Christian Porter, Attorney-General).</w:t>
      </w:r>
    </w:p>
  </w:endnote>
  <w:endnote w:id="13">
    <w:p w14:paraId="7C1677E3"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These thresholds related to ‘other relevant convictions’ are consistent with the operation of current s 35A of the </w:t>
      </w:r>
      <w:r w:rsidRPr="006B2669">
        <w:rPr>
          <w:rFonts w:cs="Open Sans"/>
          <w:i/>
        </w:rPr>
        <w:t>Australian Citizenship Act 2007</w:t>
      </w:r>
      <w:r w:rsidRPr="006B2669">
        <w:rPr>
          <w:rFonts w:cs="Open Sans"/>
        </w:rPr>
        <w:t xml:space="preserve"> (Cth).</w:t>
      </w:r>
    </w:p>
  </w:endnote>
  <w:endnote w:id="14">
    <w:p w14:paraId="05023661"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10 [17].</w:t>
      </w:r>
    </w:p>
  </w:endnote>
  <w:endnote w:id="15">
    <w:p w14:paraId="40ECE4E8"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Australian Citizenship Act 2007</w:t>
      </w:r>
      <w:r w:rsidRPr="006B2669">
        <w:rPr>
          <w:rFonts w:cs="Open Sans"/>
        </w:rPr>
        <w:t xml:space="preserve"> (Cth) s </w:t>
      </w:r>
      <w:proofErr w:type="gramStart"/>
      <w:r w:rsidRPr="006B2669">
        <w:rPr>
          <w:rFonts w:cs="Open Sans"/>
        </w:rPr>
        <w:t>35A(</w:t>
      </w:r>
      <w:proofErr w:type="gramEnd"/>
      <w:r w:rsidRPr="006B2669">
        <w:rPr>
          <w:rFonts w:cs="Open Sans"/>
        </w:rPr>
        <w:t>11).</w:t>
      </w:r>
    </w:p>
  </w:endnote>
  <w:endnote w:id="16">
    <w:p w14:paraId="5B165E90"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Australian Citizenship Act 2007</w:t>
      </w:r>
      <w:r w:rsidRPr="006B2669">
        <w:rPr>
          <w:rFonts w:cs="Open Sans"/>
        </w:rPr>
        <w:t xml:space="preserve"> (Cth) ss </w:t>
      </w:r>
      <w:proofErr w:type="gramStart"/>
      <w:r w:rsidRPr="006B2669">
        <w:rPr>
          <w:rFonts w:cs="Open Sans"/>
        </w:rPr>
        <w:t>35A(</w:t>
      </w:r>
      <w:proofErr w:type="gramEnd"/>
      <w:r w:rsidRPr="006B2669">
        <w:rPr>
          <w:rFonts w:cs="Open Sans"/>
        </w:rPr>
        <w:t>6) and 35B.</w:t>
      </w:r>
    </w:p>
  </w:endnote>
  <w:endnote w:id="17">
    <w:p w14:paraId="0436A2B1"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Australian Citizenship Act 2007</w:t>
      </w:r>
      <w:r w:rsidRPr="006B2669">
        <w:rPr>
          <w:rFonts w:cs="Open Sans"/>
        </w:rPr>
        <w:t xml:space="preserve"> (Cth) ss </w:t>
      </w:r>
      <w:proofErr w:type="gramStart"/>
      <w:r w:rsidRPr="006B2669">
        <w:rPr>
          <w:rFonts w:cs="Open Sans"/>
        </w:rPr>
        <w:t>35A(</w:t>
      </w:r>
      <w:proofErr w:type="gramEnd"/>
      <w:r w:rsidRPr="006B2669">
        <w:rPr>
          <w:rFonts w:cs="Open Sans"/>
        </w:rPr>
        <w:t>8) and 35A(9).</w:t>
      </w:r>
    </w:p>
  </w:endnote>
  <w:endnote w:id="18">
    <w:p w14:paraId="3F0C14C0"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Australian Human Rights Commission, Submission No 13 to Parliamentary Joint Committee on Intelligence and Security, </w:t>
      </w:r>
      <w:r w:rsidRPr="006B2669">
        <w:rPr>
          <w:rFonts w:cs="Open Sans"/>
          <w:i/>
        </w:rPr>
        <w:t>Inquiry into the Australian Citizenship Amendment (Allegiance to Australia) Bill 2015</w:t>
      </w:r>
      <w:proofErr w:type="gramStart"/>
      <w:r w:rsidRPr="006B2669">
        <w:rPr>
          <w:rFonts w:cs="Open Sans"/>
        </w:rPr>
        <w:t>,16</w:t>
      </w:r>
      <w:proofErr w:type="gramEnd"/>
      <w:r w:rsidRPr="006B2669">
        <w:rPr>
          <w:rFonts w:cs="Open Sans"/>
        </w:rPr>
        <w:t xml:space="preserve"> July 2015. </w:t>
      </w:r>
    </w:p>
  </w:endnote>
  <w:endnote w:id="19">
    <w:p w14:paraId="4D84E948"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UN Human Rights Committee, </w:t>
      </w:r>
      <w:r w:rsidRPr="006B2669">
        <w:rPr>
          <w:rFonts w:cs="Open Sans"/>
          <w:i/>
        </w:rPr>
        <w:t xml:space="preserve">General Comment No 27: Article 12 (Freedom of Movement) </w:t>
      </w:r>
      <w:r w:rsidRPr="006B2669">
        <w:rPr>
          <w:rFonts w:cs="Open Sans"/>
        </w:rPr>
        <w:t>67</w:t>
      </w:r>
      <w:r w:rsidRPr="006B2669">
        <w:rPr>
          <w:rFonts w:cs="Open Sans"/>
          <w:vertAlign w:val="superscript"/>
        </w:rPr>
        <w:t>th</w:t>
      </w:r>
      <w:r w:rsidRPr="006B2669">
        <w:rPr>
          <w:rFonts w:cs="Open Sans"/>
        </w:rPr>
        <w:t xml:space="preserve"> sess, UN Doc CCPR/C/21/Rev.1/Add.9 (2 November 1999) 5 [19]. </w:t>
      </w:r>
    </w:p>
  </w:endnote>
  <w:endnote w:id="20">
    <w:p w14:paraId="7EF65FB2"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United Nations Human Rights Committee, </w:t>
      </w:r>
      <w:r w:rsidRPr="006B2669">
        <w:rPr>
          <w:rFonts w:cs="Open Sans"/>
          <w:i/>
        </w:rPr>
        <w:t xml:space="preserve">General Comment No 27: Article 12 (Freedom of Movement) </w:t>
      </w:r>
      <w:r w:rsidRPr="006B2669">
        <w:rPr>
          <w:rFonts w:cs="Open Sans"/>
        </w:rPr>
        <w:t>67</w:t>
      </w:r>
      <w:r w:rsidRPr="006B2669">
        <w:rPr>
          <w:rFonts w:cs="Open Sans"/>
          <w:vertAlign w:val="superscript"/>
        </w:rPr>
        <w:t>th</w:t>
      </w:r>
      <w:r w:rsidRPr="006B2669">
        <w:rPr>
          <w:rFonts w:cs="Open Sans"/>
        </w:rPr>
        <w:t xml:space="preserve"> sess, UN Doc CCPR/C/21/Rev.1/Add.9 (2 November 1999) 5 [20].</w:t>
      </w:r>
    </w:p>
  </w:endnote>
  <w:endnote w:id="21">
    <w:p w14:paraId="4CC2291F"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See for example UN Human Rights Committee, </w:t>
      </w:r>
      <w:r w:rsidRPr="006B2669">
        <w:rPr>
          <w:rFonts w:cs="Open Sans"/>
          <w:i/>
        </w:rPr>
        <w:t>Views: Communication No. 1557/2007</w:t>
      </w:r>
      <w:r w:rsidRPr="006B2669">
        <w:rPr>
          <w:rFonts w:cs="Open Sans"/>
        </w:rPr>
        <w:t>, 102</w:t>
      </w:r>
      <w:r w:rsidRPr="006B2669">
        <w:rPr>
          <w:rFonts w:cs="Open Sans"/>
          <w:vertAlign w:val="superscript"/>
        </w:rPr>
        <w:t>nd</w:t>
      </w:r>
      <w:r w:rsidRPr="006B2669">
        <w:rPr>
          <w:rFonts w:cs="Open Sans"/>
        </w:rPr>
        <w:t xml:space="preserve"> sess, </w:t>
      </w:r>
      <w:r w:rsidRPr="006B2669">
        <w:rPr>
          <w:rFonts w:cs="Open Sans"/>
          <w:lang w:val="en"/>
        </w:rPr>
        <w:t xml:space="preserve">UN Doc </w:t>
      </w:r>
      <w:proofErr w:type="spellStart"/>
      <w:r w:rsidRPr="006B2669">
        <w:rPr>
          <w:rFonts w:cs="Open Sans"/>
          <w:lang w:val="en"/>
        </w:rPr>
        <w:t>CCPR</w:t>
      </w:r>
      <w:proofErr w:type="spellEnd"/>
      <w:r w:rsidRPr="006B2669">
        <w:rPr>
          <w:rFonts w:cs="Open Sans"/>
          <w:lang w:val="en"/>
        </w:rPr>
        <w:t xml:space="preserve">/C/102/D/1557/2007 (1 September 2011) 18 </w:t>
      </w:r>
      <w:r w:rsidRPr="006B2669">
        <w:rPr>
          <w:rFonts w:cs="Open Sans"/>
        </w:rPr>
        <w:t>[7.4] (‘Nystrom v Australia’).</w:t>
      </w:r>
    </w:p>
  </w:endnote>
  <w:endnote w:id="22">
    <w:p w14:paraId="4FB07509" w14:textId="77777777" w:rsidR="00E04751" w:rsidRPr="006B2669" w:rsidRDefault="00E04751" w:rsidP="005E3D05">
      <w:pPr>
        <w:pStyle w:val="EndnoteText"/>
        <w:ind w:left="511" w:right="57" w:hanging="454"/>
        <w:rPr>
          <w:rFonts w:cs="Open Sans"/>
        </w:rPr>
      </w:pPr>
      <w:r w:rsidRPr="006B2669">
        <w:rPr>
          <w:rStyle w:val="EndnoteReference"/>
          <w:rFonts w:cs="Open Sans"/>
        </w:rPr>
        <w:endnoteRef/>
      </w:r>
      <w:r w:rsidRPr="006B2669">
        <w:rPr>
          <w:rFonts w:cs="Open Sans"/>
        </w:rPr>
        <w:tab/>
        <w:t xml:space="preserve">United Nations Human Rights Committee, </w:t>
      </w:r>
      <w:r w:rsidRPr="006B2669">
        <w:rPr>
          <w:rFonts w:cs="Open Sans"/>
          <w:i/>
        </w:rPr>
        <w:t xml:space="preserve">General Comment No 27: Article 12 (Freedom of Movement) </w:t>
      </w:r>
      <w:r w:rsidRPr="006B2669">
        <w:rPr>
          <w:rFonts w:cs="Open Sans"/>
        </w:rPr>
        <w:t>67</w:t>
      </w:r>
      <w:r w:rsidRPr="006B2669">
        <w:rPr>
          <w:rFonts w:cs="Open Sans"/>
          <w:vertAlign w:val="superscript"/>
        </w:rPr>
        <w:t>th</w:t>
      </w:r>
      <w:r w:rsidRPr="006B2669">
        <w:rPr>
          <w:rFonts w:cs="Open Sans"/>
        </w:rPr>
        <w:t xml:space="preserve"> sess, UN Doc CCPR/C/21/Rev.1/Add.9 (2 November 1999) 5 [21].</w:t>
      </w:r>
    </w:p>
  </w:endnote>
  <w:endnote w:id="23">
    <w:p w14:paraId="3F86ADE4" w14:textId="77777777" w:rsidR="00E04751" w:rsidRPr="006B2669" w:rsidRDefault="00E04751" w:rsidP="005E3D05">
      <w:pPr>
        <w:pStyle w:val="EndnoteText"/>
        <w:ind w:left="511" w:right="57" w:hanging="454"/>
        <w:rPr>
          <w:rFonts w:cs="Open Sans"/>
        </w:rPr>
      </w:pPr>
      <w:r w:rsidRPr="006B2669">
        <w:rPr>
          <w:rStyle w:val="EndnoteReference"/>
          <w:rFonts w:cs="Open Sans"/>
        </w:rPr>
        <w:endnoteRef/>
      </w:r>
      <w:r w:rsidRPr="006B2669">
        <w:rPr>
          <w:rFonts w:cs="Open Sans"/>
        </w:rPr>
        <w:tab/>
        <w:t xml:space="preserve">See for example United Nations Economic and Social Council, </w:t>
      </w:r>
      <w:r w:rsidRPr="006B2669">
        <w:rPr>
          <w:rFonts w:cs="Open Sans"/>
          <w:i/>
        </w:rPr>
        <w:t>Siracusa Principles on the Limitation and Derogation Provisions in the International Covenant on Civil and Political Rights</w:t>
      </w:r>
      <w:r w:rsidRPr="006B2669">
        <w:rPr>
          <w:rFonts w:cs="Open Sans"/>
        </w:rPr>
        <w:t xml:space="preserve">, UN Doc E/CN.4/1985/4, Annex (1985) 3 [10]. </w:t>
      </w:r>
    </w:p>
  </w:endnote>
  <w:endnote w:id="24">
    <w:p w14:paraId="2CC9D294" w14:textId="77777777" w:rsidR="00E04751" w:rsidRPr="006B2669" w:rsidRDefault="00E04751" w:rsidP="005E3D05">
      <w:pPr>
        <w:pStyle w:val="EndnoteText"/>
        <w:ind w:left="511" w:right="57" w:hanging="454"/>
        <w:rPr>
          <w:rFonts w:cs="Open Sans"/>
        </w:rPr>
      </w:pPr>
      <w:r w:rsidRPr="006B2669">
        <w:rPr>
          <w:rStyle w:val="EndnoteReference"/>
          <w:rFonts w:cs="Open Sans"/>
        </w:rPr>
        <w:endnoteRef/>
      </w:r>
      <w:r w:rsidRPr="006B2669">
        <w:rPr>
          <w:rFonts w:cs="Open Sans"/>
        </w:rPr>
        <w:tab/>
        <w:t xml:space="preserve">United Nations Human Rights Committee, </w:t>
      </w:r>
      <w:r w:rsidRPr="006B2669">
        <w:rPr>
          <w:rFonts w:cs="Open Sans"/>
          <w:i/>
        </w:rPr>
        <w:t xml:space="preserve">General Comment No 27: Article 12 (Freedom of Movement) </w:t>
      </w:r>
      <w:r w:rsidRPr="006B2669">
        <w:rPr>
          <w:rFonts w:cs="Open Sans"/>
        </w:rPr>
        <w:t>67</w:t>
      </w:r>
      <w:r w:rsidRPr="006B2669">
        <w:rPr>
          <w:rFonts w:cs="Open Sans"/>
          <w:vertAlign w:val="superscript"/>
        </w:rPr>
        <w:t>th</w:t>
      </w:r>
      <w:r w:rsidRPr="006B2669">
        <w:rPr>
          <w:rFonts w:cs="Open Sans"/>
        </w:rPr>
        <w:t xml:space="preserve"> sess, UN Doc CCPR/C/21/Rev.1/Add.9 (2 November 1999) 5 [21].</w:t>
      </w:r>
    </w:p>
  </w:endnote>
  <w:endnote w:id="25">
    <w:p w14:paraId="55A04DEF" w14:textId="0342829E"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proofErr w:type="gramStart"/>
      <w:r w:rsidRPr="006B2669">
        <w:rPr>
          <w:rFonts w:cs="Open Sans"/>
        </w:rPr>
        <w:t xml:space="preserve">Relevant exceptions to article 8(1) of the </w:t>
      </w:r>
      <w:r w:rsidRPr="006B2669">
        <w:rPr>
          <w:rFonts w:cs="Open Sans"/>
          <w:i/>
        </w:rPr>
        <w:t>Convention on the Reduction of Statelessness</w:t>
      </w:r>
      <w:r w:rsidRPr="006B2669">
        <w:rPr>
          <w:rFonts w:cs="Open Sans"/>
        </w:rPr>
        <w:t>, opened for signature 30 August 1961, 989 UNTS 175 (entered into force 13 December 1975) include where a person has conducted himself in a manner seriously prejudicial to the vital interests of the State, or where the person has given definite evidence of his determination to repudiate his allegiance.</w:t>
      </w:r>
      <w:proofErr w:type="gramEnd"/>
      <w:r w:rsidRPr="006B2669">
        <w:rPr>
          <w:rFonts w:cs="Open Sans"/>
        </w:rPr>
        <w:t xml:space="preserve"> However, for a state to rely on these exceptions, article 8(3) provides that the State must specify that it retains the right to deprive a person of his nationality on those grounds, as at the time of signature, ratification or accession of the Convention, and that the grounds need to exist in domestic law at the relevant time. Australia has made no such declaration.</w:t>
      </w:r>
    </w:p>
  </w:endnote>
  <w:endnote w:id="26">
    <w:p w14:paraId="01DA9F52"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Universal Declaration of Human Right</w:t>
      </w:r>
      <w:r w:rsidRPr="006B2669">
        <w:rPr>
          <w:rFonts w:cs="Open Sans"/>
        </w:rPr>
        <w:t>s, GA Res 217A (III), UN GAOR, 3rd sess, 183rd plen mtg UN Doc A/810 (10 December 1948) article 15.</w:t>
      </w:r>
    </w:p>
  </w:endnote>
  <w:endnote w:id="27">
    <w:p w14:paraId="3B1EC9EE"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proofErr w:type="gramStart"/>
      <w:r w:rsidRPr="006B2669">
        <w:rPr>
          <w:rFonts w:cs="Open Sans"/>
        </w:rPr>
        <w:t xml:space="preserve">See for example Michelle Foster and Hélène Lambert, ‘Statelessness as a human rights issue: a concept whose time has come‘ (2016) 28(4) </w:t>
      </w:r>
      <w:r w:rsidRPr="006B2669">
        <w:rPr>
          <w:rFonts w:cs="Open Sans"/>
          <w:i/>
        </w:rPr>
        <w:t>International Journal of Refugee Law</w:t>
      </w:r>
      <w:r w:rsidRPr="006B2669">
        <w:rPr>
          <w:rFonts w:cs="Open Sans"/>
        </w:rPr>
        <w:t xml:space="preserve"> 564, 578; UN Human Rights Council, Human Rights and Arbitrary Deprivation of Nationality: Report of the Secretary-General, 13th sess, Agenda item 3, UN Doc A/</w:t>
      </w:r>
      <w:proofErr w:type="spellStart"/>
      <w:r w:rsidRPr="006B2669">
        <w:rPr>
          <w:rFonts w:cs="Open Sans"/>
        </w:rPr>
        <w:t>HRC</w:t>
      </w:r>
      <w:proofErr w:type="spellEnd"/>
      <w:r w:rsidRPr="006B2669">
        <w:rPr>
          <w:rFonts w:cs="Open Sans"/>
        </w:rPr>
        <w:t>/13/34, (14 December 2009) 5–6 [19–22].</w:t>
      </w:r>
      <w:proofErr w:type="gramEnd"/>
    </w:p>
  </w:endnote>
  <w:endnote w:id="28">
    <w:p w14:paraId="273591B2"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iCs/>
        </w:rPr>
        <w:t xml:space="preserve">Convention on the Rights of the </w:t>
      </w:r>
      <w:proofErr w:type="gramStart"/>
      <w:r w:rsidRPr="006B2669">
        <w:rPr>
          <w:rFonts w:cs="Open Sans"/>
          <w:i/>
          <w:iCs/>
        </w:rPr>
        <w:t>Child</w:t>
      </w:r>
      <w:r w:rsidRPr="006B2669">
        <w:rPr>
          <w:rFonts w:cs="Open Sans"/>
          <w:iCs/>
        </w:rPr>
        <w:t>,</w:t>
      </w:r>
      <w:proofErr w:type="gramEnd"/>
      <w:r w:rsidRPr="006B2669">
        <w:rPr>
          <w:rFonts w:cs="Open Sans"/>
          <w:iCs/>
        </w:rPr>
        <w:t xml:space="preserve"> opened for signature 20 November 1989,</w:t>
      </w:r>
      <w:r w:rsidRPr="006B2669">
        <w:rPr>
          <w:rFonts w:cs="Open Sans"/>
        </w:rPr>
        <w:t xml:space="preserve"> [1991] ATS 4 (entered into force 2 September 1990) articles 3, 8(1). </w:t>
      </w:r>
    </w:p>
  </w:endnote>
  <w:endnote w:id="29">
    <w:p w14:paraId="4D23292A" w14:textId="77777777" w:rsidR="00E04751" w:rsidRPr="006B2669" w:rsidRDefault="00E04751" w:rsidP="00936C24">
      <w:pPr>
        <w:pStyle w:val="EndnoteText"/>
        <w:ind w:left="511" w:right="57" w:hanging="454"/>
        <w:rPr>
          <w:rFonts w:cs="Open Sans"/>
        </w:rPr>
      </w:pPr>
      <w:r w:rsidRPr="006B2669">
        <w:rPr>
          <w:rStyle w:val="EndnoteReference"/>
          <w:rFonts w:cs="Open Sans"/>
        </w:rPr>
        <w:endnoteRef/>
      </w:r>
      <w:r w:rsidRPr="006B2669">
        <w:rPr>
          <w:rFonts w:cs="Open Sans"/>
        </w:rPr>
        <w:t xml:space="preserve"> </w:t>
      </w:r>
      <w:r w:rsidRPr="006B2669">
        <w:rPr>
          <w:rFonts w:cs="Open Sans"/>
        </w:rPr>
        <w:tab/>
        <w:t xml:space="preserve">See for example, </w:t>
      </w:r>
      <w:r w:rsidRPr="006B2669">
        <w:rPr>
          <w:rFonts w:cs="Open Sans"/>
          <w:i/>
        </w:rPr>
        <w:t xml:space="preserve">Minister for Immigration and Ethnic Affairs v Wu Shan Liang </w:t>
      </w:r>
      <w:r w:rsidRPr="006B2669">
        <w:rPr>
          <w:rFonts w:cs="Open Sans"/>
        </w:rPr>
        <w:t xml:space="preserve">(1996) 185 CLR 259, 277 (Brennan CJ, </w:t>
      </w:r>
      <w:proofErr w:type="spellStart"/>
      <w:r w:rsidRPr="006B2669">
        <w:rPr>
          <w:rFonts w:cs="Open Sans"/>
        </w:rPr>
        <w:t>Toohey</w:t>
      </w:r>
      <w:proofErr w:type="spellEnd"/>
      <w:r w:rsidRPr="006B2669">
        <w:rPr>
          <w:rFonts w:cs="Open Sans"/>
        </w:rPr>
        <w:t xml:space="preserve">, McHugh and </w:t>
      </w:r>
      <w:proofErr w:type="spellStart"/>
      <w:r w:rsidRPr="006B2669">
        <w:rPr>
          <w:rFonts w:cs="Open Sans"/>
        </w:rPr>
        <w:t>Gummow</w:t>
      </w:r>
      <w:proofErr w:type="spellEnd"/>
      <w:r w:rsidRPr="006B2669">
        <w:rPr>
          <w:rFonts w:cs="Open Sans"/>
        </w:rPr>
        <w:t xml:space="preserve"> JJ).</w:t>
      </w:r>
    </w:p>
  </w:endnote>
  <w:endnote w:id="30">
    <w:p w14:paraId="58EEFF62" w14:textId="77777777" w:rsidR="00E04751" w:rsidRPr="006B2669" w:rsidRDefault="00E04751" w:rsidP="003A3A9E">
      <w:pPr>
        <w:pStyle w:val="EndnoteText"/>
        <w:ind w:left="511" w:right="57" w:hanging="454"/>
        <w:rPr>
          <w:rFonts w:cs="Open Sans"/>
        </w:rPr>
      </w:pPr>
      <w:r w:rsidRPr="006B2669">
        <w:rPr>
          <w:rStyle w:val="EndnoteReference"/>
          <w:rFonts w:cs="Open Sans"/>
        </w:rPr>
        <w:endnoteRef/>
      </w:r>
      <w:r w:rsidRPr="006B2669">
        <w:rPr>
          <w:rFonts w:cs="Open Sans"/>
        </w:rPr>
        <w:t xml:space="preserve"> </w:t>
      </w:r>
      <w:r w:rsidRPr="006B2669">
        <w:rPr>
          <w:rFonts w:cs="Open Sans"/>
        </w:rPr>
        <w:tab/>
        <w:t>Explanatory Memorandum, Australian Citizenship Amendment (Strengthening the Citizenship Loss Provisions) Bill 2018 (Cth) 5 [19];</w:t>
      </w:r>
    </w:p>
  </w:endnote>
  <w:endnote w:id="31">
    <w:p w14:paraId="63C8253F" w14:textId="77777777" w:rsidR="00E04751" w:rsidRPr="006B2669" w:rsidRDefault="00E04751" w:rsidP="00273F4B">
      <w:pPr>
        <w:pStyle w:val="EndnoteText"/>
        <w:ind w:left="511" w:right="57" w:hanging="454"/>
        <w:rPr>
          <w:rFonts w:cs="Open Sans"/>
        </w:rPr>
      </w:pPr>
      <w:r w:rsidRPr="006B2669">
        <w:rPr>
          <w:rFonts w:cs="Open Sans"/>
          <w:vertAlign w:val="superscript"/>
        </w:rPr>
        <w:endnoteRef/>
      </w:r>
      <w:r w:rsidRPr="006B2669">
        <w:rPr>
          <w:rFonts w:cs="Open Sans"/>
        </w:rPr>
        <w:t xml:space="preserve"> </w:t>
      </w:r>
      <w:r w:rsidRPr="006B2669">
        <w:rPr>
          <w:rFonts w:cs="Open Sans"/>
        </w:rPr>
        <w:tab/>
        <w:t xml:space="preserve">See for example </w:t>
      </w:r>
      <w:r w:rsidRPr="006B2669">
        <w:rPr>
          <w:rFonts w:cs="Open Sans"/>
          <w:i/>
        </w:rPr>
        <w:t>City of Enfield v Development Assessment Commission</w:t>
      </w:r>
      <w:r w:rsidRPr="006B2669">
        <w:rPr>
          <w:rFonts w:cs="Open Sans"/>
        </w:rPr>
        <w:t xml:space="preserve"> (2000) 199 CLR 135, 150 [34] (Gleeson CJ, </w:t>
      </w:r>
      <w:proofErr w:type="spellStart"/>
      <w:r w:rsidRPr="006B2669">
        <w:rPr>
          <w:rFonts w:cs="Open Sans"/>
        </w:rPr>
        <w:t>Gummow</w:t>
      </w:r>
      <w:proofErr w:type="spellEnd"/>
      <w:r w:rsidRPr="006B2669">
        <w:rPr>
          <w:rFonts w:cs="Open Sans"/>
        </w:rPr>
        <w:t>, Kirby, and Hayne JJ), 158 [59] (</w:t>
      </w:r>
      <w:proofErr w:type="spellStart"/>
      <w:r w:rsidRPr="006B2669">
        <w:rPr>
          <w:rFonts w:cs="Open Sans"/>
        </w:rPr>
        <w:t>Gaudron</w:t>
      </w:r>
      <w:proofErr w:type="spellEnd"/>
      <w:r w:rsidRPr="006B2669">
        <w:rPr>
          <w:rFonts w:cs="Open Sans"/>
        </w:rPr>
        <w:t xml:space="preserve"> J)</w:t>
      </w:r>
      <w:proofErr w:type="gramStart"/>
      <w:r w:rsidRPr="006B2669">
        <w:rPr>
          <w:rFonts w:cs="Open Sans"/>
        </w:rPr>
        <w:t>;</w:t>
      </w:r>
      <w:proofErr w:type="gramEnd"/>
      <w:r w:rsidRPr="006B2669">
        <w:rPr>
          <w:rFonts w:cs="Open Sans"/>
        </w:rPr>
        <w:t xml:space="preserve"> </w:t>
      </w:r>
      <w:r w:rsidRPr="006B2669">
        <w:rPr>
          <w:rFonts w:cs="Open Sans"/>
          <w:i/>
        </w:rPr>
        <w:t xml:space="preserve">Minister for Immigration v </w:t>
      </w:r>
      <w:proofErr w:type="spellStart"/>
      <w:r w:rsidRPr="006B2669">
        <w:rPr>
          <w:rFonts w:cs="Open Sans"/>
          <w:i/>
        </w:rPr>
        <w:t>Eshetu</w:t>
      </w:r>
      <w:proofErr w:type="spellEnd"/>
      <w:r w:rsidRPr="006B2669">
        <w:rPr>
          <w:rFonts w:cs="Open Sans"/>
        </w:rPr>
        <w:t xml:space="preserve"> (1999) 197 CLR 611, 651-657 [131]-[147] (</w:t>
      </w:r>
      <w:proofErr w:type="spellStart"/>
      <w:r w:rsidRPr="006B2669">
        <w:rPr>
          <w:rFonts w:cs="Open Sans"/>
        </w:rPr>
        <w:t>Gummow</w:t>
      </w:r>
      <w:proofErr w:type="spellEnd"/>
      <w:r w:rsidRPr="006B2669">
        <w:rPr>
          <w:rFonts w:cs="Open Sans"/>
        </w:rPr>
        <w:t xml:space="preserve"> J). </w:t>
      </w:r>
    </w:p>
  </w:endnote>
  <w:endnote w:id="32">
    <w:p w14:paraId="1049C924"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Explanatory Memorandum, Australian Citizenship Amendment (Strengthening the Citizenship Loss Provisions) Bill 2018 (Cth) 5 [20].</w:t>
      </w:r>
    </w:p>
  </w:endnote>
  <w:endnote w:id="33">
    <w:p w14:paraId="79B62917"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9 [12].</w:t>
      </w:r>
    </w:p>
  </w:endnote>
  <w:endnote w:id="34">
    <w:p w14:paraId="5C534E57"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9 [12].</w:t>
      </w:r>
    </w:p>
  </w:endnote>
  <w:endnote w:id="35">
    <w:p w14:paraId="02F14A88"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16 [49].</w:t>
      </w:r>
    </w:p>
  </w:endnote>
  <w:endnote w:id="36">
    <w:p w14:paraId="7DC4FE99" w14:textId="77777777" w:rsidR="00E04751" w:rsidRPr="006B2669" w:rsidRDefault="00E04751" w:rsidP="002A34FA">
      <w:pPr>
        <w:pStyle w:val="EndnoteText"/>
        <w:ind w:left="511" w:right="57" w:hanging="454"/>
        <w:rPr>
          <w:rFonts w:cs="Open Sans"/>
        </w:rPr>
      </w:pPr>
      <w:r w:rsidRPr="006B2669">
        <w:rPr>
          <w:rStyle w:val="EndnoteReference"/>
          <w:rFonts w:cs="Open Sans"/>
        </w:rPr>
        <w:endnoteRef/>
      </w:r>
      <w:r w:rsidRPr="006B2669">
        <w:rPr>
          <w:rFonts w:cs="Open Sans"/>
        </w:rPr>
        <w:tab/>
        <w:t xml:space="preserve">This issue was also identified by the Senate Standing Committee for the Scrutiny of Bills in its review of the Bill Senate Standing Committee for the Scrutiny of Bills, Parliament of Australia, </w:t>
      </w:r>
      <w:r w:rsidRPr="006B2669">
        <w:rPr>
          <w:rFonts w:cs="Open Sans"/>
          <w:i/>
        </w:rPr>
        <w:t>Scrutiny Digest 15 of 2018</w:t>
      </w:r>
      <w:r w:rsidRPr="006B2669">
        <w:rPr>
          <w:rFonts w:cs="Open Sans"/>
        </w:rPr>
        <w:t xml:space="preserve"> (5 December 2018) 5.</w:t>
      </w:r>
    </w:p>
  </w:endnote>
  <w:endnote w:id="37">
    <w:p w14:paraId="09682075" w14:textId="77777777" w:rsidR="00E04751" w:rsidRPr="006B2669" w:rsidRDefault="00E04751" w:rsidP="002A34FA">
      <w:pPr>
        <w:pStyle w:val="EndnoteText"/>
        <w:ind w:left="511" w:right="57" w:hanging="454"/>
        <w:rPr>
          <w:rFonts w:cs="Open Sans"/>
        </w:rPr>
      </w:pPr>
      <w:r w:rsidRPr="006B2669">
        <w:rPr>
          <w:rStyle w:val="EndnoteReference"/>
          <w:rFonts w:cs="Open Sans"/>
        </w:rPr>
        <w:endnoteRef/>
      </w:r>
      <w:r w:rsidRPr="006B2669">
        <w:rPr>
          <w:rFonts w:cs="Open Sans"/>
        </w:rPr>
        <w:tab/>
        <w:t xml:space="preserve">Senate Standing Committee for the Scrutiny of Bills, </w:t>
      </w:r>
      <w:r w:rsidRPr="006B2669">
        <w:rPr>
          <w:rFonts w:cs="Open Sans"/>
          <w:i/>
        </w:rPr>
        <w:t>Scrutiny Digest 15 of 2018</w:t>
      </w:r>
      <w:r w:rsidRPr="006B2669">
        <w:rPr>
          <w:rFonts w:cs="Open Sans"/>
        </w:rPr>
        <w:t xml:space="preserve"> (5 December 2018) 5.</w:t>
      </w:r>
    </w:p>
  </w:endnote>
  <w:endnote w:id="38">
    <w:p w14:paraId="7AB1F00F" w14:textId="77777777" w:rsidR="00E04751" w:rsidRPr="006B2669" w:rsidRDefault="00E04751" w:rsidP="00606848">
      <w:pPr>
        <w:pStyle w:val="EndnoteText"/>
        <w:ind w:left="511" w:right="57" w:hanging="454"/>
        <w:rPr>
          <w:rFonts w:cs="Open Sans"/>
        </w:rPr>
      </w:pPr>
      <w:r w:rsidRPr="006B2669">
        <w:rPr>
          <w:rStyle w:val="EndnoteReference"/>
          <w:rFonts w:cs="Open Sans"/>
        </w:rPr>
        <w:endnoteRef/>
      </w:r>
      <w:r w:rsidRPr="006B2669">
        <w:rPr>
          <w:rFonts w:cs="Open Sans"/>
        </w:rPr>
        <w:tab/>
        <w:t>Explanatory Memorandum, Australian Citizenship Amendment (Strengthening the Citizenship Loss Provisions) Bill 2018 (Cth) 5 [19].</w:t>
      </w:r>
    </w:p>
  </w:endnote>
  <w:endnote w:id="39">
    <w:p w14:paraId="17535B33"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Explanatory Memorandum, Australian Citizenship Amendment (Strengthening the Citizenship Loss Provisions) Bill 2018 (Cth) 6 [23].</w:t>
      </w:r>
    </w:p>
  </w:endnote>
  <w:endnote w:id="40">
    <w:p w14:paraId="73DE6ECB"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13–14 [29]–[33].</w:t>
      </w:r>
    </w:p>
  </w:endnote>
  <w:endnote w:id="41">
    <w:p w14:paraId="374D5596"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See for example </w:t>
      </w:r>
      <w:r w:rsidRPr="006B2669">
        <w:rPr>
          <w:rFonts w:cs="Open Sans"/>
          <w:i/>
        </w:rPr>
        <w:t xml:space="preserve">Criminal Code </w:t>
      </w:r>
      <w:r w:rsidRPr="006B2669">
        <w:rPr>
          <w:rFonts w:cs="Open Sans"/>
        </w:rPr>
        <w:t>(Cth) s 101.5(2</w:t>
      </w:r>
      <w:proofErr w:type="gramStart"/>
      <w:r w:rsidRPr="006B2669">
        <w:rPr>
          <w:rFonts w:cs="Open Sans"/>
        </w:rPr>
        <w:t>)(</w:t>
      </w:r>
      <w:proofErr w:type="gramEnd"/>
      <w:r w:rsidRPr="006B2669">
        <w:rPr>
          <w:rFonts w:cs="Open Sans"/>
        </w:rPr>
        <w:t>b).</w:t>
      </w:r>
    </w:p>
  </w:endnote>
  <w:endnote w:id="42">
    <w:p w14:paraId="2CD92E70"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Criminal Code </w:t>
      </w:r>
      <w:r w:rsidRPr="006B2669">
        <w:rPr>
          <w:rFonts w:cs="Open Sans"/>
        </w:rPr>
        <w:t>(Cth) s 101.4(2).</w:t>
      </w:r>
    </w:p>
  </w:endnote>
  <w:endnote w:id="43">
    <w:p w14:paraId="22D75B73"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Criminal Code </w:t>
      </w:r>
      <w:r w:rsidRPr="006B2669">
        <w:rPr>
          <w:rFonts w:cs="Open Sans"/>
        </w:rPr>
        <w:t>(Cth) s 101.4(3).</w:t>
      </w:r>
    </w:p>
  </w:endnote>
  <w:endnote w:id="44">
    <w:p w14:paraId="3ADC1FAC"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proofErr w:type="gramStart"/>
      <w:r w:rsidRPr="006B2669">
        <w:rPr>
          <w:rFonts w:cs="Open Sans"/>
        </w:rPr>
        <w:t xml:space="preserve">See Australian Human Rights Commission, Submission No 3 to Parliamentary Joint Committee on Intelligence and Security, </w:t>
      </w:r>
      <w:r w:rsidRPr="006B2669">
        <w:rPr>
          <w:rFonts w:cs="Open Sans"/>
          <w:i/>
        </w:rPr>
        <w:t>Review of the ‘declared areas’ provisions</w:t>
      </w:r>
      <w:r w:rsidRPr="006B2669">
        <w:rPr>
          <w:rFonts w:cs="Open Sans"/>
        </w:rPr>
        <w:t xml:space="preserve">,3 November 2017; Australian Human Rights Commission, Submission No 11 to Independent National Security Legislation Monitor, </w:t>
      </w:r>
      <w:r w:rsidRPr="006B2669">
        <w:rPr>
          <w:rFonts w:cs="Open Sans"/>
          <w:i/>
        </w:rPr>
        <w:t>Statutory Deadline Review</w:t>
      </w:r>
      <w:r w:rsidRPr="006B2669">
        <w:rPr>
          <w:rFonts w:cs="Open Sans"/>
        </w:rPr>
        <w:t xml:space="preserve">,15 May 2017; Australian Human Rights Commission, Submission No 7 to Parliamentary Joint Committee on Intelligence and Security, </w:t>
      </w:r>
      <w:r w:rsidRPr="006B2669">
        <w:rPr>
          <w:rFonts w:cs="Open Sans"/>
          <w:i/>
        </w:rPr>
        <w:t>Inquiry into the Counter-Terrorism Legislation Amendment (Foreign Fighters) Bill 2014,</w:t>
      </w:r>
      <w:r w:rsidRPr="006B2669">
        <w:rPr>
          <w:rFonts w:cs="Open Sans"/>
        </w:rPr>
        <w:t>2 October 2014.</w:t>
      </w:r>
      <w:proofErr w:type="gramEnd"/>
    </w:p>
  </w:endnote>
  <w:endnote w:id="45">
    <w:p w14:paraId="29B7DB9C"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Criminal Code </w:t>
      </w:r>
      <w:r w:rsidRPr="006B2669">
        <w:rPr>
          <w:rFonts w:cs="Open Sans"/>
        </w:rPr>
        <w:t>(Cth) s 102.1(1).</w:t>
      </w:r>
    </w:p>
  </w:endnote>
  <w:endnote w:id="46">
    <w:p w14:paraId="0D70A626"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Criminal Code </w:t>
      </w:r>
      <w:r w:rsidRPr="006B2669">
        <w:rPr>
          <w:rFonts w:cs="Open Sans"/>
        </w:rPr>
        <w:t>(Cth) s 102.1(1).</w:t>
      </w:r>
    </w:p>
  </w:endnote>
  <w:endnote w:id="47">
    <w:p w14:paraId="35A2B54E"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8 [6].</w:t>
      </w:r>
    </w:p>
  </w:endnote>
  <w:endnote w:id="48">
    <w:p w14:paraId="3E123F56"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Security Legislation Review Committee, Parliament of Australia, </w:t>
      </w:r>
      <w:r w:rsidRPr="006B2669">
        <w:rPr>
          <w:rFonts w:cs="Open Sans"/>
          <w:i/>
        </w:rPr>
        <w:t>Report of the Security Legislation Review Committee</w:t>
      </w:r>
      <w:r w:rsidRPr="006B2669">
        <w:rPr>
          <w:rFonts w:cs="Open Sans"/>
        </w:rPr>
        <w:t xml:space="preserve"> (June 2006) 124–133 [10.56]–[10.77]. </w:t>
      </w:r>
    </w:p>
  </w:endnote>
  <w:endnote w:id="49">
    <w:p w14:paraId="5D14A374"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Explanatory Memorandum, Australian Citizenship Amendment (Strengthening the Citizenship Loss Provisions) Bill 2018 (Cth) 4 [12].</w:t>
      </w:r>
    </w:p>
  </w:endnote>
  <w:endnote w:id="50">
    <w:p w14:paraId="7BCF717A"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Section 82.9 of the </w:t>
      </w:r>
      <w:r w:rsidRPr="006B2669">
        <w:rPr>
          <w:rFonts w:cs="Open Sans"/>
          <w:i/>
        </w:rPr>
        <w:t xml:space="preserve">Criminal Code </w:t>
      </w:r>
      <w:r w:rsidRPr="006B2669">
        <w:rPr>
          <w:rFonts w:cs="Open Sans"/>
        </w:rPr>
        <w:t xml:space="preserve">(Cth) is excluded from the definition of ‘relevant other conviction’ pursuant to proposed s </w:t>
      </w:r>
      <w:proofErr w:type="gramStart"/>
      <w:r w:rsidRPr="006B2669">
        <w:rPr>
          <w:rFonts w:cs="Open Sans"/>
        </w:rPr>
        <w:t>35A(</w:t>
      </w:r>
      <w:proofErr w:type="gramEnd"/>
      <w:r w:rsidRPr="006B2669">
        <w:rPr>
          <w:rFonts w:cs="Open Sans"/>
        </w:rPr>
        <w:t>1B)(a)(i).</w:t>
      </w:r>
    </w:p>
  </w:endnote>
  <w:endnote w:id="51">
    <w:p w14:paraId="60415B71"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8 [8].</w:t>
      </w:r>
    </w:p>
  </w:endnote>
  <w:endnote w:id="52">
    <w:p w14:paraId="465DDD49"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Parliamentary Joint Committee on Intelligence and Security, </w:t>
      </w:r>
      <w:r w:rsidRPr="006B2669">
        <w:rPr>
          <w:rFonts w:cs="Open Sans"/>
          <w:i/>
        </w:rPr>
        <w:t>Advisory Report on the Australian Citizenship Amendment (Allegiance to Australia) Bill 2015</w:t>
      </w:r>
      <w:r w:rsidRPr="006B2669">
        <w:rPr>
          <w:rFonts w:cs="Open Sans"/>
        </w:rPr>
        <w:t xml:space="preserve"> (September 2015) 115–116.</w:t>
      </w:r>
    </w:p>
  </w:endnote>
  <w:endnote w:id="53">
    <w:p w14:paraId="19FF0E31"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For example, see the Statement of Compatibility with Human Rights, Australian Citizenship Amendment (Strengthening the Citizenship Loss Provisions) Bill 2018 (Cth) 15 [41].</w:t>
      </w:r>
    </w:p>
  </w:endnote>
  <w:endnote w:id="54">
    <w:p w14:paraId="68D02B04"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See for example UN Secretary-General, </w:t>
      </w:r>
      <w:r w:rsidRPr="006B2669">
        <w:rPr>
          <w:rFonts w:cs="Open Sans"/>
          <w:i/>
        </w:rPr>
        <w:t>Plan of Action to Prevent Violent Extremism</w:t>
      </w:r>
      <w:r w:rsidRPr="006B2669">
        <w:rPr>
          <w:rFonts w:cs="Open Sans"/>
        </w:rPr>
        <w:t>, UN Doc A/70/674 (24 December 2015).</w:t>
      </w:r>
    </w:p>
  </w:endnote>
  <w:endnote w:id="55">
    <w:p w14:paraId="150F21A8"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proofErr w:type="spellStart"/>
      <w:r w:rsidRPr="006B2669">
        <w:rPr>
          <w:rFonts w:cs="Open Sans"/>
        </w:rPr>
        <w:t>Sangeetha</w:t>
      </w:r>
      <w:proofErr w:type="spellEnd"/>
      <w:r w:rsidRPr="006B2669">
        <w:rPr>
          <w:rFonts w:cs="Open Sans"/>
        </w:rPr>
        <w:t xml:space="preserve"> Pillai and George Williams, ‘The Utility of Citizenship Stripping Laws in the UK, Canada and Australia’ (2017) 41(2) </w:t>
      </w:r>
      <w:r w:rsidRPr="006B2669">
        <w:rPr>
          <w:rFonts w:cs="Open Sans"/>
          <w:i/>
        </w:rPr>
        <w:t>Melbourne University Law Review</w:t>
      </w:r>
      <w:r w:rsidRPr="006B2669">
        <w:rPr>
          <w:rFonts w:cs="Open Sans"/>
        </w:rPr>
        <w:t xml:space="preserve"> 845, 881; 885.</w:t>
      </w:r>
    </w:p>
  </w:endnote>
  <w:endnote w:id="56">
    <w:p w14:paraId="008ADE69" w14:textId="77777777" w:rsidR="00E04751" w:rsidRPr="006B2669" w:rsidRDefault="00E04751" w:rsidP="003A3A9E">
      <w:pPr>
        <w:pStyle w:val="EndnoteText"/>
        <w:ind w:left="511" w:right="57" w:hanging="454"/>
        <w:rPr>
          <w:rFonts w:cs="Open Sans"/>
        </w:rPr>
      </w:pPr>
      <w:r w:rsidRPr="006B2669">
        <w:rPr>
          <w:rStyle w:val="EndnoteReference"/>
          <w:rFonts w:cs="Open Sans"/>
        </w:rPr>
        <w:endnoteRef/>
      </w:r>
      <w:r w:rsidRPr="006B2669">
        <w:rPr>
          <w:rFonts w:cs="Open Sans"/>
        </w:rPr>
        <w:t xml:space="preserve"> </w:t>
      </w:r>
      <w:r w:rsidRPr="006B2669">
        <w:rPr>
          <w:rFonts w:cs="Open Sans"/>
        </w:rPr>
        <w:tab/>
        <w:t xml:space="preserve">This can be contrast with the exercise of other powers in the migration context. For example, when deciding whether to refuse or cancel a visa under s 501 or 501CA of the </w:t>
      </w:r>
      <w:r w:rsidRPr="006B2669">
        <w:rPr>
          <w:rFonts w:cs="Open Sans"/>
          <w:i/>
        </w:rPr>
        <w:t>Migration Act 1958</w:t>
      </w:r>
      <w:r w:rsidRPr="006B2669">
        <w:rPr>
          <w:rFonts w:cs="Open Sans"/>
        </w:rPr>
        <w:t xml:space="preserve"> (Cth), a Ministerial Direction requires decision-makers to have regard to the ‘strength, nature and duration’ of a person’s ties to Australia. See Minister for Immigration and Border Protection, </w:t>
      </w:r>
      <w:r w:rsidRPr="006B2669">
        <w:rPr>
          <w:rFonts w:cs="Open Sans"/>
          <w:i/>
        </w:rPr>
        <w:t>Direction No. 65 under section 499 of the Migration Act 1958 – Visa refusal and cancellation under s 501 and revocation of a mandatory cancellation of a visa under s 501CA</w:t>
      </w:r>
      <w:r w:rsidRPr="006B2669">
        <w:rPr>
          <w:rFonts w:cs="Open Sans"/>
        </w:rPr>
        <w:t xml:space="preserve"> (22 December 2014) [10.2].</w:t>
      </w:r>
    </w:p>
  </w:endnote>
  <w:endnote w:id="57">
    <w:p w14:paraId="6A831458" w14:textId="77777777" w:rsidR="00E04751" w:rsidRPr="006B2669" w:rsidRDefault="00E04751" w:rsidP="003A3A9E">
      <w:pPr>
        <w:pStyle w:val="EndnoteText"/>
        <w:ind w:left="511" w:right="57" w:hanging="454"/>
        <w:rPr>
          <w:rFonts w:cs="Open Sans"/>
        </w:rPr>
      </w:pPr>
      <w:r w:rsidRPr="006B2669">
        <w:rPr>
          <w:rStyle w:val="EndnoteReference"/>
          <w:rFonts w:cs="Open Sans"/>
        </w:rPr>
        <w:endnoteRef/>
      </w:r>
      <w:r w:rsidRPr="006B2669">
        <w:rPr>
          <w:rFonts w:cs="Open Sans"/>
        </w:rPr>
        <w:t xml:space="preserve"> </w:t>
      </w:r>
      <w:r w:rsidRPr="006B2669">
        <w:rPr>
          <w:rFonts w:cs="Open Sans"/>
        </w:rPr>
        <w:tab/>
      </w:r>
      <w:r w:rsidRPr="006B2669">
        <w:rPr>
          <w:rFonts w:cs="Open Sans"/>
          <w:i/>
        </w:rPr>
        <w:t>Minister for Immigration and Ethnic Affairs v Ah Hin Teoh</w:t>
      </w:r>
      <w:r w:rsidRPr="006B2669">
        <w:rPr>
          <w:rFonts w:cs="Open Sans"/>
        </w:rPr>
        <w:t xml:space="preserve"> (1995) 183 CLR 273, 287, 291.</w:t>
      </w:r>
    </w:p>
  </w:endnote>
  <w:endnote w:id="58">
    <w:p w14:paraId="41B068A2"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Introduced through the passage of the Australian Citizenship Amendment (Allegiance to Australia) Bill 2015 (Cth) Item 8(4).</w:t>
      </w:r>
    </w:p>
  </w:endnote>
  <w:endnote w:id="59">
    <w:p w14:paraId="27AAED0A"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With respect to ‘relevant other convictions’, the amendments would apply to convictions on or after 12 December 2005, if the person was sentenced to a period of imprisonment of at least 10 years where the conviction occurred before 12 December 2015. This maintains the current operation of the legislation as relates to sentencing and date thresholds.</w:t>
      </w:r>
    </w:p>
  </w:endnote>
  <w:endnote w:id="60">
    <w:p w14:paraId="63545878"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Explanatory Memorandum, Australian Citizenship Amendment (Strengthening the Citizenship Loss Provisions) Bill 2018 (Cth) 13 [31].</w:t>
      </w:r>
    </w:p>
  </w:endnote>
  <w:endnote w:id="61">
    <w:p w14:paraId="35D2EA82"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14 [33].</w:t>
      </w:r>
    </w:p>
  </w:endnote>
  <w:endnote w:id="62">
    <w:p w14:paraId="777B3AD1"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14 [35]–[36].</w:t>
      </w:r>
    </w:p>
  </w:endnote>
  <w:endnote w:id="63">
    <w:p w14:paraId="4D8C499A"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proofErr w:type="gramStart"/>
      <w:r w:rsidRPr="006B2669">
        <w:rPr>
          <w:rFonts w:cs="Open Sans"/>
        </w:rPr>
        <w:t xml:space="preserve">UN Human Rights Committee, </w:t>
      </w:r>
      <w:r w:rsidRPr="006B2669">
        <w:rPr>
          <w:rFonts w:cs="Open Sans"/>
          <w:i/>
        </w:rPr>
        <w:t>Views: Communication No. 1015/2001</w:t>
      </w:r>
      <w:r w:rsidRPr="006B2669">
        <w:rPr>
          <w:rFonts w:cs="Open Sans"/>
        </w:rPr>
        <w:t>, 81</w:t>
      </w:r>
      <w:r w:rsidRPr="006B2669">
        <w:rPr>
          <w:rFonts w:cs="Open Sans"/>
          <w:vertAlign w:val="superscript"/>
        </w:rPr>
        <w:t>st</w:t>
      </w:r>
      <w:r w:rsidRPr="006B2669">
        <w:rPr>
          <w:rFonts w:cs="Open Sans"/>
        </w:rPr>
        <w:t xml:space="preserve"> sess, UN Doc CCPR/C/81/D/1015/2001 (20 July 2004) 13 [9.2] (‘</w:t>
      </w:r>
      <w:proofErr w:type="spellStart"/>
      <w:r w:rsidRPr="006B2669">
        <w:rPr>
          <w:rFonts w:cs="Open Sans"/>
        </w:rPr>
        <w:t>Perterer</w:t>
      </w:r>
      <w:proofErr w:type="spellEnd"/>
      <w:r w:rsidRPr="006B2669">
        <w:rPr>
          <w:rFonts w:cs="Open Sans"/>
        </w:rPr>
        <w:t xml:space="preserve"> v Austria’); see also Manfred Nowak, </w:t>
      </w:r>
      <w:r w:rsidRPr="006B2669">
        <w:rPr>
          <w:rFonts w:cs="Open Sans"/>
          <w:i/>
        </w:rPr>
        <w:t xml:space="preserve">U.N. Covenant on Civil and Political Rights CCPR Commentary </w:t>
      </w:r>
      <w:r w:rsidRPr="006B2669">
        <w:rPr>
          <w:rFonts w:cs="Open Sans"/>
        </w:rPr>
        <w:t>(2</w:t>
      </w:r>
      <w:r w:rsidRPr="006B2669">
        <w:rPr>
          <w:rFonts w:cs="Open Sans"/>
          <w:vertAlign w:val="superscript"/>
        </w:rPr>
        <w:t>nd</w:t>
      </w:r>
      <w:r w:rsidRPr="006B2669">
        <w:rPr>
          <w:rFonts w:cs="Open Sans"/>
        </w:rPr>
        <w:t xml:space="preserve"> </w:t>
      </w:r>
      <w:proofErr w:type="spellStart"/>
      <w:r w:rsidRPr="006B2669">
        <w:rPr>
          <w:rFonts w:cs="Open Sans"/>
        </w:rPr>
        <w:t>ed</w:t>
      </w:r>
      <w:proofErr w:type="spellEnd"/>
      <w:r w:rsidRPr="006B2669">
        <w:rPr>
          <w:rFonts w:cs="Open Sans"/>
        </w:rPr>
        <w:t xml:space="preserve"> 2005) 363; in the context of the European Convention on Human Rights see for example </w:t>
      </w:r>
      <w:r w:rsidRPr="006B2669">
        <w:rPr>
          <w:rFonts w:cs="Open Sans"/>
          <w:i/>
        </w:rPr>
        <w:t>Welch v United Kingdom</w:t>
      </w:r>
      <w:r w:rsidRPr="006B2669">
        <w:rPr>
          <w:rFonts w:cs="Open Sans"/>
        </w:rPr>
        <w:t xml:space="preserve">, ECHR, </w:t>
      </w:r>
      <w:r w:rsidRPr="006B2669">
        <w:rPr>
          <w:rFonts w:eastAsia="Times New Roman" w:cs="Open Sans"/>
        </w:rPr>
        <w:t xml:space="preserve">Application No. 17440 of 1990, (9 February 1995) 9–10 </w:t>
      </w:r>
      <w:r w:rsidRPr="006B2669">
        <w:rPr>
          <w:rFonts w:cs="Open Sans"/>
        </w:rPr>
        <w:t>[27].</w:t>
      </w:r>
      <w:proofErr w:type="gramEnd"/>
      <w:r w:rsidRPr="006B2669">
        <w:rPr>
          <w:rFonts w:cs="Open Sans"/>
        </w:rPr>
        <w:t xml:space="preserve"> </w:t>
      </w:r>
    </w:p>
  </w:endnote>
  <w:endnote w:id="64">
    <w:p w14:paraId="19F08585"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UN Human Rights Committee, </w:t>
      </w:r>
      <w:r w:rsidRPr="006B2669">
        <w:rPr>
          <w:rFonts w:cs="Open Sans"/>
          <w:i/>
        </w:rPr>
        <w:t>General Comment No 32: Article 14 (Right to equality before courts and tribunals and to a fair trial)</w:t>
      </w:r>
      <w:r w:rsidRPr="006B2669">
        <w:rPr>
          <w:rFonts w:cs="Open Sans"/>
        </w:rPr>
        <w:t>, 90</w:t>
      </w:r>
      <w:r w:rsidRPr="006B2669">
        <w:rPr>
          <w:rFonts w:cs="Open Sans"/>
          <w:vertAlign w:val="superscript"/>
        </w:rPr>
        <w:t>th</w:t>
      </w:r>
      <w:r w:rsidRPr="006B2669">
        <w:rPr>
          <w:rFonts w:cs="Open Sans"/>
        </w:rPr>
        <w:t xml:space="preserve"> sess, UN Doc CCPR/C/GC/32 (23 August 2007) 4 [15]. While made in the context of article 14, the discussion of the nature of what makes a sanction ‘penal’ is also relevant to the characterisation of a ‘penalty’ for the purposes of article 15. </w:t>
      </w:r>
    </w:p>
  </w:endnote>
  <w:endnote w:id="65">
    <w:p w14:paraId="3B3EFA5C"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Manfred Nowak, </w:t>
      </w:r>
      <w:r w:rsidRPr="006B2669">
        <w:rPr>
          <w:rFonts w:cs="Open Sans"/>
          <w:i/>
        </w:rPr>
        <w:t xml:space="preserve">U.N. Covenant on Civil and Political Rights CCPR Commentary </w:t>
      </w:r>
      <w:r w:rsidRPr="006B2669">
        <w:rPr>
          <w:rFonts w:cs="Open Sans"/>
        </w:rPr>
        <w:t>(2</w:t>
      </w:r>
      <w:r w:rsidRPr="006B2669">
        <w:rPr>
          <w:rFonts w:cs="Open Sans"/>
          <w:vertAlign w:val="superscript"/>
        </w:rPr>
        <w:t>nd</w:t>
      </w:r>
      <w:r w:rsidRPr="006B2669">
        <w:rPr>
          <w:rFonts w:cs="Open Sans"/>
        </w:rPr>
        <w:t xml:space="preserve"> </w:t>
      </w:r>
      <w:proofErr w:type="spellStart"/>
      <w:proofErr w:type="gramStart"/>
      <w:r w:rsidRPr="006B2669">
        <w:rPr>
          <w:rFonts w:cs="Open Sans"/>
        </w:rPr>
        <w:t>ed</w:t>
      </w:r>
      <w:proofErr w:type="spellEnd"/>
      <w:proofErr w:type="gramEnd"/>
      <w:r w:rsidRPr="006B2669">
        <w:rPr>
          <w:rFonts w:cs="Open Sans"/>
        </w:rPr>
        <w:t xml:space="preserve"> 2005) 363. </w:t>
      </w:r>
    </w:p>
  </w:endnote>
  <w:endnote w:id="66">
    <w:p w14:paraId="7A177A5A"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Statement of Compatibility with Human Rights, Australian Citizenship Amendment (Allegiance to Australia) Bill 2015 (Cth) 28 [10]. </w:t>
      </w:r>
    </w:p>
  </w:endnote>
  <w:endnote w:id="67">
    <w:p w14:paraId="58CF50D5" w14:textId="11FF18B2" w:rsidR="00E04751" w:rsidRPr="006B2669" w:rsidRDefault="00E04751" w:rsidP="00E04751">
      <w:pPr>
        <w:pStyle w:val="EndnoteText"/>
        <w:ind w:left="511" w:right="57" w:hanging="454"/>
        <w:rPr>
          <w:rFonts w:cs="Open Sans"/>
        </w:rPr>
      </w:pPr>
      <w:r w:rsidRPr="006B2669">
        <w:rPr>
          <w:rStyle w:val="EndnoteReference"/>
          <w:rFonts w:cs="Open Sans"/>
        </w:rPr>
        <w:endnoteRef/>
      </w:r>
      <w:r w:rsidRPr="006B2669">
        <w:rPr>
          <w:rFonts w:cs="Open Sans"/>
        </w:rPr>
        <w:t xml:space="preserve"> </w:t>
      </w:r>
      <w:r w:rsidRPr="006B2669">
        <w:rPr>
          <w:rFonts w:cs="Open Sans"/>
        </w:rPr>
        <w:tab/>
        <w:t xml:space="preserve">Australian Law Reform Commission, </w:t>
      </w:r>
      <w:r w:rsidRPr="006B2669">
        <w:rPr>
          <w:rFonts w:cs="Open Sans"/>
          <w:i/>
        </w:rPr>
        <w:t>Traditional Rights and Freedoms—Encroachments by Commonwealth Laws</w:t>
      </w:r>
      <w:r w:rsidRPr="006B2669">
        <w:rPr>
          <w:rFonts w:cs="Open Sans"/>
        </w:rPr>
        <w:t>, Report No 129 (2016) 362.</w:t>
      </w:r>
    </w:p>
  </w:endnote>
  <w:endnote w:id="68">
    <w:p w14:paraId="71BDD437"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Australian Education Union v General Manger of Fair Work Australia</w:t>
      </w:r>
      <w:r w:rsidRPr="006B2669">
        <w:rPr>
          <w:rFonts w:cs="Open Sans"/>
        </w:rPr>
        <w:t xml:space="preserve"> (2012) 246 CLR 117, 134 [30] French CJ, Crennan and Kiefel JJ.</w:t>
      </w:r>
    </w:p>
  </w:endnote>
  <w:endnote w:id="69">
    <w:p w14:paraId="1A833632"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Statement of Compatibility with Human Rights, Australian Citizenship Amendment (Strengthening the Citizenship Loss Provisions) Bill 2018 (Cth) 13 [29].</w:t>
      </w:r>
    </w:p>
  </w:endnote>
  <w:endnote w:id="70">
    <w:p w14:paraId="36C2EB84"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Australian Passports Act 2005 </w:t>
      </w:r>
      <w:r w:rsidRPr="006B2669">
        <w:rPr>
          <w:rFonts w:cs="Open Sans"/>
        </w:rPr>
        <w:t xml:space="preserve">(Cth) ss 8, 22. </w:t>
      </w:r>
    </w:p>
  </w:endnote>
  <w:endnote w:id="71">
    <w:p w14:paraId="6ED1E823"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Commonwealth Electoral Act 1918 </w:t>
      </w:r>
      <w:r w:rsidRPr="006B2669">
        <w:rPr>
          <w:rFonts w:cs="Open Sans"/>
        </w:rPr>
        <w:t xml:space="preserve">(Cth) ss 93, Parts VI-X. </w:t>
      </w:r>
    </w:p>
  </w:endnote>
  <w:endnote w:id="72">
    <w:p w14:paraId="05C387F8"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Social Security Act 1991 </w:t>
      </w:r>
      <w:r w:rsidRPr="006B2669">
        <w:rPr>
          <w:rFonts w:cs="Open Sans"/>
        </w:rPr>
        <w:t xml:space="preserve">(Cth) s 7 and various provisions. Australian residence is generally the precondition of receipt of social security payments. </w:t>
      </w:r>
    </w:p>
  </w:endnote>
  <w:endnote w:id="73">
    <w:p w14:paraId="3943F54F"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See for example </w:t>
      </w:r>
      <w:r w:rsidRPr="006B2669">
        <w:rPr>
          <w:rFonts w:cs="Open Sans"/>
          <w:i/>
        </w:rPr>
        <w:t xml:space="preserve">Intelligence Services Act 2001 </w:t>
      </w:r>
      <w:r w:rsidRPr="006B2669">
        <w:rPr>
          <w:rFonts w:cs="Open Sans"/>
        </w:rPr>
        <w:t xml:space="preserve">(Cth) s 15. </w:t>
      </w:r>
    </w:p>
  </w:endnote>
  <w:endnote w:id="74">
    <w:p w14:paraId="7F26A4B9"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proofErr w:type="gramStart"/>
      <w:r w:rsidRPr="006B2669">
        <w:rPr>
          <w:rFonts w:cs="Open Sans"/>
        </w:rPr>
        <w:t xml:space="preserve">See for example UN Human Rights Committee, </w:t>
      </w:r>
      <w:r w:rsidRPr="006B2669">
        <w:rPr>
          <w:rFonts w:cs="Open Sans"/>
          <w:i/>
        </w:rPr>
        <w:t>Views: Communication No. 560/1993</w:t>
      </w:r>
      <w:r w:rsidRPr="006B2669">
        <w:rPr>
          <w:rFonts w:cs="Open Sans"/>
        </w:rPr>
        <w:t>, U.N. Doc. CCPR/C/59/D/560/1993 (30 April 1997) (‘</w:t>
      </w:r>
      <w:r w:rsidRPr="006B2669">
        <w:rPr>
          <w:rFonts w:cs="Open Sans"/>
          <w:i/>
        </w:rPr>
        <w:t>A v Australia</w:t>
      </w:r>
      <w:r w:rsidRPr="006B2669">
        <w:rPr>
          <w:rFonts w:cs="Open Sans"/>
        </w:rPr>
        <w:t>’);</w:t>
      </w:r>
      <w:r w:rsidRPr="006B2669">
        <w:rPr>
          <w:rFonts w:cs="Open Sans"/>
          <w:i/>
        </w:rPr>
        <w:t xml:space="preserve"> </w:t>
      </w:r>
      <w:r w:rsidRPr="006B2669">
        <w:rPr>
          <w:rFonts w:cs="Open Sans"/>
        </w:rPr>
        <w:t xml:space="preserve">UN Human Rights Committee, </w:t>
      </w:r>
      <w:r w:rsidRPr="006B2669">
        <w:rPr>
          <w:rFonts w:cs="Open Sans"/>
          <w:i/>
        </w:rPr>
        <w:t>Views: Communication No. 2094/2011</w:t>
      </w:r>
      <w:r w:rsidRPr="006B2669">
        <w:rPr>
          <w:rFonts w:cs="Open Sans"/>
        </w:rPr>
        <w:t>, UN Doc CCPR/C/108/D/2094/2011 (20 August 2013) (‘</w:t>
      </w:r>
      <w:proofErr w:type="spellStart"/>
      <w:r w:rsidRPr="006B2669">
        <w:rPr>
          <w:rFonts w:cs="Open Sans"/>
          <w:i/>
        </w:rPr>
        <w:t>F.K.A.G</w:t>
      </w:r>
      <w:proofErr w:type="spellEnd"/>
      <w:r w:rsidRPr="006B2669">
        <w:rPr>
          <w:rFonts w:cs="Open Sans"/>
          <w:i/>
        </w:rPr>
        <w:t>. et al v Australia</w:t>
      </w:r>
      <w:r w:rsidRPr="006B2669">
        <w:rPr>
          <w:rFonts w:cs="Open Sans"/>
        </w:rPr>
        <w:t xml:space="preserve">’);UN Human Rights Committee, </w:t>
      </w:r>
      <w:r w:rsidRPr="006B2669">
        <w:rPr>
          <w:rFonts w:cs="Open Sans"/>
          <w:i/>
        </w:rPr>
        <w:t>Views: Communication No. 2136/2012</w:t>
      </w:r>
      <w:r w:rsidRPr="006B2669">
        <w:rPr>
          <w:rFonts w:cs="Open Sans"/>
        </w:rPr>
        <w:t>, UN Doc CCPR/C/108/D/2136/2012 (20 August 2013) (‘</w:t>
      </w:r>
      <w:proofErr w:type="spellStart"/>
      <w:r w:rsidRPr="006B2669">
        <w:rPr>
          <w:rFonts w:cs="Open Sans"/>
          <w:i/>
        </w:rPr>
        <w:t>M.M.M</w:t>
      </w:r>
      <w:proofErr w:type="spellEnd"/>
      <w:r w:rsidRPr="006B2669">
        <w:rPr>
          <w:rFonts w:cs="Open Sans"/>
          <w:i/>
        </w:rPr>
        <w:t>. et al v Australia</w:t>
      </w:r>
      <w:r w:rsidRPr="006B2669">
        <w:rPr>
          <w:rFonts w:cs="Open Sans"/>
        </w:rPr>
        <w:t>’).</w:t>
      </w:r>
      <w:proofErr w:type="gramEnd"/>
    </w:p>
  </w:endnote>
  <w:endnote w:id="75">
    <w:p w14:paraId="088A42EC"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For example see UN Human Rights Committee, </w:t>
      </w:r>
      <w:r w:rsidRPr="006B2669">
        <w:rPr>
          <w:rFonts w:cs="Open Sans"/>
          <w:i/>
        </w:rPr>
        <w:t>Views: Communication No. 2094/2011</w:t>
      </w:r>
      <w:r w:rsidRPr="006B2669">
        <w:rPr>
          <w:rFonts w:cs="Open Sans"/>
        </w:rPr>
        <w:t>, UN Doc CCPR/C/108/D/2094/2011 (20 August 2013) (‘</w:t>
      </w:r>
      <w:proofErr w:type="spellStart"/>
      <w:r w:rsidRPr="006B2669">
        <w:rPr>
          <w:rFonts w:cs="Open Sans"/>
          <w:i/>
        </w:rPr>
        <w:t>F.K.A.G</w:t>
      </w:r>
      <w:proofErr w:type="spellEnd"/>
      <w:r w:rsidRPr="006B2669">
        <w:rPr>
          <w:rFonts w:cs="Open Sans"/>
          <w:i/>
        </w:rPr>
        <w:t>. et al v Australia</w:t>
      </w:r>
      <w:r w:rsidRPr="006B2669">
        <w:rPr>
          <w:rFonts w:cs="Open Sans"/>
        </w:rPr>
        <w:t xml:space="preserve">’); UN Human Rights Committee, </w:t>
      </w:r>
      <w:proofErr w:type="gramStart"/>
      <w:r w:rsidRPr="006B2669">
        <w:rPr>
          <w:rFonts w:cs="Open Sans"/>
          <w:i/>
        </w:rPr>
        <w:t>Views:</w:t>
      </w:r>
      <w:proofErr w:type="gramEnd"/>
      <w:r w:rsidRPr="006B2669">
        <w:rPr>
          <w:rFonts w:cs="Open Sans"/>
          <w:i/>
        </w:rPr>
        <w:t xml:space="preserve"> Communication No. 2136/2012</w:t>
      </w:r>
      <w:r w:rsidRPr="006B2669">
        <w:rPr>
          <w:rFonts w:cs="Open Sans"/>
        </w:rPr>
        <w:t>, UN Doc CCPR/C/108/D/2136/2012 (20 August 2013) (‘</w:t>
      </w:r>
      <w:proofErr w:type="spellStart"/>
      <w:r w:rsidRPr="006B2669">
        <w:rPr>
          <w:rFonts w:cs="Open Sans"/>
          <w:i/>
        </w:rPr>
        <w:t>M.M.M</w:t>
      </w:r>
      <w:proofErr w:type="spellEnd"/>
      <w:r w:rsidRPr="006B2669">
        <w:rPr>
          <w:rFonts w:cs="Open Sans"/>
          <w:i/>
        </w:rPr>
        <w:t>. et al v Australia</w:t>
      </w:r>
      <w:r w:rsidRPr="006B2669">
        <w:rPr>
          <w:rFonts w:cs="Open Sans"/>
        </w:rPr>
        <w:t>’).</w:t>
      </w:r>
    </w:p>
  </w:endnote>
  <w:endnote w:id="76">
    <w:p w14:paraId="3B3618FF"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iCs/>
        </w:rPr>
        <w:t>Convention on the Rights of the Child</w:t>
      </w:r>
      <w:r w:rsidRPr="006B2669">
        <w:rPr>
          <w:rFonts w:cs="Open Sans"/>
          <w:iCs/>
        </w:rPr>
        <w:t>, opened for signature 20 November 1989,</w:t>
      </w:r>
      <w:r w:rsidRPr="006B2669">
        <w:rPr>
          <w:rFonts w:cs="Open Sans"/>
        </w:rPr>
        <w:t xml:space="preserve"> [1991] ATS 4 (entered into force 2 September 1990) preamble; </w:t>
      </w:r>
      <w:r w:rsidRPr="006B2669">
        <w:rPr>
          <w:rFonts w:cs="Open Sans"/>
          <w:i/>
        </w:rPr>
        <w:t>Universal Declaration of Human Right</w:t>
      </w:r>
      <w:r w:rsidRPr="006B2669">
        <w:rPr>
          <w:rFonts w:cs="Open Sans"/>
        </w:rPr>
        <w:t xml:space="preserve">s, GA Res 217A (III), UN GAOR, 3rd sess, 183rd plen mtg UN Doc A/810 (10 December 1948) article 25(2). </w:t>
      </w:r>
    </w:p>
  </w:endnote>
  <w:endnote w:id="77">
    <w:p w14:paraId="2569D07F"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Criminal Code</w:t>
      </w:r>
      <w:r w:rsidRPr="006B2669">
        <w:rPr>
          <w:rFonts w:cs="Open Sans"/>
        </w:rPr>
        <w:t xml:space="preserve"> (Cth) Division 7.</w:t>
      </w:r>
    </w:p>
  </w:endnote>
  <w:endnote w:id="78">
    <w:p w14:paraId="67705427"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r>
      <w:r w:rsidRPr="006B2669">
        <w:rPr>
          <w:rFonts w:cs="Open Sans"/>
          <w:i/>
        </w:rPr>
        <w:t xml:space="preserve">Australian Citizenship Act 2007 </w:t>
      </w:r>
      <w:r w:rsidRPr="006B2669">
        <w:rPr>
          <w:rFonts w:cs="Open Sans"/>
        </w:rPr>
        <w:t xml:space="preserve">(Cth) s 36. </w:t>
      </w:r>
    </w:p>
  </w:endnote>
  <w:endnote w:id="79">
    <w:p w14:paraId="5B5948F6"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UN Committee on the Rights of the Child, </w:t>
      </w:r>
      <w:r w:rsidRPr="006B2669">
        <w:rPr>
          <w:rFonts w:cs="Open Sans"/>
          <w:i/>
        </w:rPr>
        <w:t>General Comment No 14 on the right of the child to have his or her best interests taken as a primary consideration (art 3, para 1)</w:t>
      </w:r>
      <w:r w:rsidRPr="006B2669">
        <w:rPr>
          <w:rFonts w:cs="Open Sans"/>
        </w:rPr>
        <w:t>, 62</w:t>
      </w:r>
      <w:r w:rsidRPr="006B2669">
        <w:rPr>
          <w:rFonts w:cs="Open Sans"/>
          <w:vertAlign w:val="superscript"/>
        </w:rPr>
        <w:t>nd</w:t>
      </w:r>
      <w:r w:rsidRPr="006B2669">
        <w:rPr>
          <w:rFonts w:cs="Open Sans"/>
        </w:rPr>
        <w:t xml:space="preserve"> sess, UN Doc. CRC/C/GC/14 (29 May 2013) 12 [46]–[51]. </w:t>
      </w:r>
    </w:p>
  </w:endnote>
  <w:endnote w:id="80">
    <w:p w14:paraId="0B50FBAF"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UN Committee on the Rights of the Child, </w:t>
      </w:r>
      <w:r w:rsidRPr="006B2669">
        <w:rPr>
          <w:rFonts w:cs="Open Sans"/>
          <w:i/>
        </w:rPr>
        <w:t>General Comment No 14 on the right of the child to have his or her best interests taken as a primary consideration (art 3, para 1)</w:t>
      </w:r>
      <w:r w:rsidRPr="006B2669">
        <w:rPr>
          <w:rFonts w:cs="Open Sans"/>
        </w:rPr>
        <w:t>, 62</w:t>
      </w:r>
      <w:r w:rsidRPr="006B2669">
        <w:rPr>
          <w:rFonts w:cs="Open Sans"/>
          <w:vertAlign w:val="superscript"/>
        </w:rPr>
        <w:t>nd</w:t>
      </w:r>
      <w:r w:rsidRPr="006B2669">
        <w:rPr>
          <w:rFonts w:cs="Open Sans"/>
        </w:rPr>
        <w:t xml:space="preserve"> sess, UN Doc. CRC/C/GC/14 (29 May 2013) 18–19 [89]–[91]. </w:t>
      </w:r>
    </w:p>
  </w:endnote>
  <w:endnote w:id="81">
    <w:p w14:paraId="3CD414C8"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UN Committee on the Rights of the Child, </w:t>
      </w:r>
      <w:r w:rsidRPr="006B2669">
        <w:rPr>
          <w:rFonts w:cs="Open Sans"/>
          <w:i/>
        </w:rPr>
        <w:t>General Comment No 14 on the right of the child to have his or her best interests taken as a primary consideration (art 3, para 1)</w:t>
      </w:r>
      <w:r w:rsidRPr="006B2669">
        <w:rPr>
          <w:rFonts w:cs="Open Sans"/>
        </w:rPr>
        <w:t>, 62</w:t>
      </w:r>
      <w:r w:rsidRPr="006B2669">
        <w:rPr>
          <w:rFonts w:cs="Open Sans"/>
          <w:vertAlign w:val="superscript"/>
        </w:rPr>
        <w:t>nd</w:t>
      </w:r>
      <w:r w:rsidRPr="006B2669">
        <w:rPr>
          <w:rFonts w:cs="Open Sans"/>
        </w:rPr>
        <w:t xml:space="preserve"> sess, UN Doc. CRC/C/GC/14 (29 May 2013)</w:t>
      </w:r>
      <w:r w:rsidRPr="006B2669" w:rsidDel="005A5021">
        <w:rPr>
          <w:rFonts w:cs="Open Sans"/>
        </w:rPr>
        <w:t xml:space="preserve"> </w:t>
      </w:r>
      <w:r w:rsidRPr="006B2669">
        <w:rPr>
          <w:rFonts w:cs="Open Sans"/>
        </w:rPr>
        <w:t>18 [87].</w:t>
      </w:r>
    </w:p>
  </w:endnote>
  <w:endnote w:id="82">
    <w:p w14:paraId="2F2E1CF1" w14:textId="77777777" w:rsidR="00E04751" w:rsidRPr="006B2669" w:rsidRDefault="00E04751" w:rsidP="001171E4">
      <w:pPr>
        <w:pStyle w:val="EndnoteText"/>
        <w:ind w:left="511" w:right="57" w:hanging="454"/>
        <w:rPr>
          <w:rFonts w:cs="Open Sans"/>
        </w:rPr>
      </w:pPr>
      <w:r w:rsidRPr="006B2669">
        <w:rPr>
          <w:rStyle w:val="EndnoteReference"/>
          <w:rFonts w:cs="Open Sans"/>
        </w:rPr>
        <w:endnoteRef/>
      </w:r>
      <w:r w:rsidRPr="006B2669">
        <w:rPr>
          <w:rFonts w:cs="Open Sans"/>
        </w:rPr>
        <w:tab/>
        <w:t xml:space="preserve">UN Committee on the Rights of the Child, </w:t>
      </w:r>
      <w:r w:rsidRPr="006B2669">
        <w:rPr>
          <w:rFonts w:cs="Open Sans"/>
          <w:i/>
        </w:rPr>
        <w:t>General Comment No 14 on the right of the child to have his or her best interests taken as a primary consideration (art 3, para 1)</w:t>
      </w:r>
      <w:r w:rsidRPr="006B2669">
        <w:rPr>
          <w:rFonts w:cs="Open Sans"/>
        </w:rPr>
        <w:t>, 62</w:t>
      </w:r>
      <w:r w:rsidRPr="006B2669">
        <w:rPr>
          <w:rFonts w:cs="Open Sans"/>
          <w:vertAlign w:val="superscript"/>
        </w:rPr>
        <w:t>nd</w:t>
      </w:r>
      <w:r w:rsidRPr="006B2669">
        <w:rPr>
          <w:rFonts w:cs="Open Sans"/>
        </w:rPr>
        <w:t xml:space="preserve"> sess, UN Doc. CRC/C/GC/14 (29 May 2013)</w:t>
      </w:r>
      <w:r w:rsidRPr="006B2669" w:rsidDel="002717AD">
        <w:rPr>
          <w:rFonts w:cs="Open Sans"/>
        </w:rPr>
        <w:t xml:space="preserve"> </w:t>
      </w:r>
      <w:r w:rsidRPr="006B2669">
        <w:rPr>
          <w:rFonts w:cs="Open Sans"/>
        </w:rPr>
        <w:t xml:space="preserve">20 [98].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EF54" w14:textId="77777777" w:rsidR="00E04751" w:rsidRPr="000465F1" w:rsidRDefault="00E04751" w:rsidP="000465F1">
    <w:pPr>
      <w:pStyle w:val="Footer"/>
    </w:pPr>
    <w:r w:rsidRPr="000465F1">
      <w:t>ABN 47 996 232 602</w:t>
    </w:r>
  </w:p>
  <w:p w14:paraId="37FC68E5" w14:textId="77777777" w:rsidR="00E04751" w:rsidRPr="000465F1" w:rsidRDefault="00E04751" w:rsidP="000465F1">
    <w:pPr>
      <w:pStyle w:val="Footer"/>
    </w:pPr>
    <w:r w:rsidRPr="000465F1">
      <w:t>Level 3, 175 Pitt Street, Sydney NSW 2000</w:t>
    </w:r>
  </w:p>
  <w:p w14:paraId="6950EAF0" w14:textId="77777777" w:rsidR="00E04751" w:rsidRPr="000465F1" w:rsidRDefault="00E04751" w:rsidP="000465F1">
    <w:pPr>
      <w:pStyle w:val="Footer"/>
    </w:pPr>
    <w:r w:rsidRPr="000465F1">
      <w:t>GPO Box 5218, Sydney NSW 2001</w:t>
    </w:r>
  </w:p>
  <w:p w14:paraId="6051D98B" w14:textId="77777777" w:rsidR="00E04751" w:rsidRPr="000465F1" w:rsidRDefault="00E04751" w:rsidP="000465F1">
    <w:pPr>
      <w:pStyle w:val="Footer"/>
    </w:pPr>
    <w:r w:rsidRPr="000465F1">
      <w:t>General enquiries 1300 369 711</w:t>
    </w:r>
  </w:p>
  <w:p w14:paraId="3F1399F7" w14:textId="77777777" w:rsidR="00E04751" w:rsidRPr="000465F1" w:rsidRDefault="00E04751" w:rsidP="000465F1">
    <w:pPr>
      <w:pStyle w:val="Footer"/>
    </w:pPr>
    <w:r w:rsidRPr="000465F1">
      <w:t>Complaints info line 1300 656 419</w:t>
    </w:r>
  </w:p>
  <w:p w14:paraId="6E0664DB" w14:textId="77777777" w:rsidR="00E04751" w:rsidRPr="000465F1" w:rsidRDefault="00E0475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B4F0" w14:textId="30AF493B" w:rsidR="00E04751" w:rsidRDefault="00E04751" w:rsidP="00434DF9">
    <w:pPr>
      <w:pStyle w:val="Footer"/>
      <w:jc w:val="right"/>
    </w:pPr>
    <w:r w:rsidRPr="00622508">
      <w:fldChar w:fldCharType="begin"/>
    </w:r>
    <w:r>
      <w:instrText xml:space="preserve"> PAGE   \* MERGEFORMAT </w:instrText>
    </w:r>
    <w:r w:rsidRPr="00622508">
      <w:fldChar w:fldCharType="separate"/>
    </w:r>
    <w:r w:rsidR="008C7406">
      <w:rPr>
        <w:noProof/>
      </w:rPr>
      <w:t>20</w:t>
    </w:r>
    <w:r w:rsidRPr="00622508">
      <w:fldChar w:fldCharType="end"/>
    </w:r>
  </w:p>
  <w:p w14:paraId="40375180" w14:textId="77777777" w:rsidR="00E04751" w:rsidRDefault="00E04751"/>
  <w:p w14:paraId="253E6E13" w14:textId="77777777" w:rsidR="00E04751" w:rsidRDefault="00E04751" w:rsidP="007B65F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C9CA" w14:textId="4627DB14" w:rsidR="00E04751" w:rsidRDefault="00E04751" w:rsidP="00E53546">
    <w:pPr>
      <w:pStyle w:val="FooterOddPageNumber"/>
    </w:pPr>
    <w:r w:rsidRPr="00AB7C8F">
      <w:fldChar w:fldCharType="begin"/>
    </w:r>
    <w:r>
      <w:instrText xml:space="preserve"> PAGE   \* MERGEFORMAT </w:instrText>
    </w:r>
    <w:r w:rsidRPr="00AB7C8F">
      <w:fldChar w:fldCharType="separate"/>
    </w:r>
    <w:r w:rsidR="008C7406">
      <w:rPr>
        <w:noProof/>
      </w:rPr>
      <w:t>19</w:t>
    </w:r>
    <w:r w:rsidRPr="00AB7C8F">
      <w:fldChar w:fldCharType="end"/>
    </w:r>
  </w:p>
  <w:p w14:paraId="66DC1AA1" w14:textId="77777777" w:rsidR="00E04751" w:rsidRDefault="00E04751"/>
  <w:p w14:paraId="24F680EF" w14:textId="77777777" w:rsidR="00E04751" w:rsidRDefault="00E04751" w:rsidP="007B65F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CE0B" w14:textId="78F1FB71" w:rsidR="00E04751" w:rsidRDefault="00E04751" w:rsidP="008B0820">
    <w:pPr>
      <w:pStyle w:val="FooterEvenPageNumber"/>
      <w:jc w:val="right"/>
    </w:pPr>
    <w:r w:rsidRPr="00F127A8">
      <w:fldChar w:fldCharType="begin"/>
    </w:r>
    <w:r>
      <w:instrText xml:space="preserve"> PAGE   \* MERGEFORMAT </w:instrText>
    </w:r>
    <w:r w:rsidRPr="00F127A8">
      <w:fldChar w:fldCharType="separate"/>
    </w:r>
    <w:r w:rsidR="008C7406">
      <w:rPr>
        <w:noProof/>
      </w:rPr>
      <w:t>2</w:t>
    </w:r>
    <w:r w:rsidRPr="00F127A8">
      <w:fldChar w:fldCharType="end"/>
    </w:r>
  </w:p>
  <w:p w14:paraId="6ED646EC" w14:textId="77777777" w:rsidR="00E04751" w:rsidRDefault="00E04751"/>
  <w:p w14:paraId="2D6BBE27" w14:textId="77777777" w:rsidR="00E04751" w:rsidRDefault="00E04751" w:rsidP="007B65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28E9F" w14:textId="77777777" w:rsidR="00E04751" w:rsidRDefault="00E04751" w:rsidP="00F14C6D">
      <w:r>
        <w:separator/>
      </w:r>
    </w:p>
  </w:footnote>
  <w:footnote w:type="continuationSeparator" w:id="0">
    <w:p w14:paraId="36A1039A" w14:textId="77777777" w:rsidR="00E04751" w:rsidRDefault="00E04751"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C531" w14:textId="77777777" w:rsidR="00E04751" w:rsidRPr="000465F1" w:rsidRDefault="008C7406" w:rsidP="000465F1">
    <w:pPr>
      <w:pStyle w:val="Header"/>
    </w:pPr>
    <w:r>
      <w:rPr>
        <w:noProof/>
      </w:rPr>
      <w:pict w14:anchorId="56D87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4100"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E04751" w:rsidRPr="000465F1">
      <w:t>Australian Human Rights Commission</w:t>
    </w:r>
  </w:p>
  <w:p w14:paraId="7756BF31" w14:textId="77777777" w:rsidR="00E04751" w:rsidRPr="00622508" w:rsidRDefault="00E04751"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6CAC" w14:textId="77777777" w:rsidR="00E04751" w:rsidRPr="000465F1" w:rsidRDefault="008C7406" w:rsidP="000465F1">
    <w:r>
      <w:rPr>
        <w:noProof/>
      </w:rPr>
      <w:pict w14:anchorId="4A14E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4099"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E04751" w:rsidRPr="000465F1">
      <w:t>Australian Human Rights Commission</w:t>
    </w:r>
  </w:p>
  <w:p w14:paraId="7864BF79" w14:textId="77777777" w:rsidR="00E04751" w:rsidRPr="000465F1" w:rsidRDefault="00E04751"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9135" w14:textId="77777777" w:rsidR="00E04751" w:rsidRDefault="008C7406" w:rsidP="002012F7">
    <w:pPr>
      <w:pStyle w:val="Header"/>
    </w:pPr>
    <w:r>
      <w:rPr>
        <w:noProof/>
      </w:rPr>
      <w:pict w14:anchorId="1E2CC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4098" type="#_x0000_t75" alt="MS word cover1" style="position:absolute;left:0;text-align:left;margin-left:-71.05pt;margin-top:-108.5pt;width:595.65pt;height:870.15pt;z-index:-251656704;mso-wrap-edited:f;mso-width-percent:0;mso-height-percent:0;mso-position-horizontal-relative:margin;mso-position-vertical-relative:margin;mso-width-percent:0;mso-height-percent:0" o:allowincell="f">
          <v:imagedata r:id="rId1" o:title="MS word cover1"/>
          <w10:wrap anchorx="margin" anchory="margin"/>
        </v:shape>
      </w:pict>
    </w:r>
    <w:r>
      <w:rPr>
        <w:noProof/>
      </w:rPr>
      <w:pict w14:anchorId="3639192C">
        <v:shape id="WordPictureWatermark1034832" o:spid="_x0000_s4097" type="#_x0000_t75" alt="report watermark" style="position:absolute;left:0;text-align:left;margin-left:-70.9pt;margin-top:-109.05pt;width:595.1pt;height:869.4pt;z-index:-251659776;mso-wrap-edited:f;mso-width-percent:0;mso-height-percent:0;mso-position-horizontal-relative:margin;mso-position-vertical-relative:margin;mso-width-percent:0;mso-height-percent:0" o:allowincell="f">
          <v:imagedata r:id="rId2" o:title="report watermark"/>
          <w10:wrap anchorx="margin" anchory="margin"/>
        </v:shape>
      </w:pict>
    </w:r>
  </w:p>
  <w:p w14:paraId="02EDA308" w14:textId="77777777" w:rsidR="00E04751" w:rsidRDefault="00E04751" w:rsidP="002012F7">
    <w:pPr>
      <w:pStyle w:val="Header"/>
    </w:pPr>
  </w:p>
  <w:p w14:paraId="71941849" w14:textId="77777777" w:rsidR="00E04751" w:rsidRDefault="00E04751"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9996" w14:textId="77777777" w:rsidR="00E04751" w:rsidRPr="000465F1" w:rsidRDefault="00E04751" w:rsidP="0015239E">
    <w:pPr>
      <w:pStyle w:val="Header"/>
    </w:pPr>
    <w:r w:rsidRPr="000465F1">
      <w:t>Australian Human Rights Commission</w:t>
    </w:r>
  </w:p>
  <w:p w14:paraId="709B1337" w14:textId="58168498" w:rsidR="00E04751" w:rsidRPr="000465F1" w:rsidRDefault="00E04751" w:rsidP="0015239E">
    <w:pPr>
      <w:pStyle w:val="HeaderDocumentDate"/>
    </w:pPr>
    <w:r w:rsidRPr="00642402">
      <w:rPr>
        <w:rStyle w:val="HeaderDocumentTitle"/>
      </w:rPr>
      <w:t>Strengthening the Citizen</w:t>
    </w:r>
    <w:r>
      <w:rPr>
        <w:rStyle w:val="HeaderDocumentTitle"/>
      </w:rPr>
      <w:t>ship Loss Provisions</w:t>
    </w:r>
    <w:r w:rsidRPr="00642402">
      <w:rPr>
        <w:rStyle w:val="HeaderDocumentTitle"/>
      </w:rPr>
      <w:t xml:space="preserve"> Bill 2018</w:t>
    </w:r>
    <w:r w:rsidRPr="001F62CC">
      <w:rPr>
        <w:rStyle w:val="HeaderDocumentTitle"/>
      </w:rPr>
      <w:t>,</w:t>
    </w:r>
    <w:r w:rsidR="0060279E">
      <w:t xml:space="preserve"> 10</w:t>
    </w:r>
    <w:r>
      <w:t xml:space="preserve"> January 2019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7A50" w14:textId="77777777" w:rsidR="00E04751" w:rsidRPr="000465F1" w:rsidRDefault="00E04751" w:rsidP="00CA5D90">
    <w:pPr>
      <w:pStyle w:val="Header"/>
    </w:pPr>
    <w:bookmarkStart w:id="45" w:name="_Hlk514672172"/>
    <w:bookmarkStart w:id="46" w:name="_Hlk514672173"/>
    <w:r w:rsidRPr="000465F1">
      <w:t>Australian Human Rights Commission</w:t>
    </w:r>
  </w:p>
  <w:bookmarkEnd w:id="45"/>
  <w:bookmarkEnd w:id="46"/>
  <w:p w14:paraId="6CC00742" w14:textId="6B38D455" w:rsidR="00E04751" w:rsidRDefault="00E04751" w:rsidP="00C043C8">
    <w:pPr>
      <w:pStyle w:val="HeaderDocumentDate"/>
    </w:pPr>
    <w:r>
      <w:rPr>
        <w:rStyle w:val="HeaderDocumentTitle"/>
      </w:rPr>
      <w:t xml:space="preserve"> </w:t>
    </w:r>
    <w:r w:rsidRPr="00642402">
      <w:rPr>
        <w:rStyle w:val="HeaderDocumentTitle"/>
      </w:rPr>
      <w:t>Strengthening the Citizen</w:t>
    </w:r>
    <w:r>
      <w:rPr>
        <w:rStyle w:val="HeaderDocumentTitle"/>
      </w:rPr>
      <w:t>ship Loss Provisions</w:t>
    </w:r>
    <w:r w:rsidRPr="00642402">
      <w:rPr>
        <w:rStyle w:val="HeaderDocumentTitle"/>
      </w:rPr>
      <w:t xml:space="preserve"> Bill 2018,</w:t>
    </w:r>
    <w:r w:rsidR="0060279E">
      <w:t xml:space="preserve"> 10</w:t>
    </w:r>
    <w:r>
      <w:t xml:space="preserve"> January 2019</w:t>
    </w:r>
  </w:p>
  <w:p w14:paraId="1DE351A9" w14:textId="77777777" w:rsidR="00E04751" w:rsidRDefault="00E04751" w:rsidP="00C043C8">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5EC3" w14:textId="77777777" w:rsidR="00E04751" w:rsidRPr="000465F1" w:rsidRDefault="00E04751" w:rsidP="0063009F">
    <w:pPr>
      <w:pStyle w:val="Header"/>
    </w:pPr>
    <w:r w:rsidRPr="000465F1">
      <w:t>Australian Human Rights Commission</w:t>
    </w:r>
  </w:p>
  <w:p w14:paraId="57D52100" w14:textId="5935888B" w:rsidR="00E04751" w:rsidRDefault="00E04751" w:rsidP="00916CFA">
    <w:pPr>
      <w:pStyle w:val="HeaderDocumentDate"/>
    </w:pPr>
    <w:r w:rsidRPr="0095539D">
      <w:rPr>
        <w:rStyle w:val="HeaderDocumentTitle"/>
      </w:rPr>
      <w:t>Strengthening the Citizenship Loss Provisions) Bill 2018</w:t>
    </w:r>
    <w:r w:rsidR="0060279E">
      <w:rPr>
        <w:rStyle w:val="HeaderDocumentTitle"/>
      </w:rPr>
      <w:t>, 10</w:t>
    </w:r>
    <w:r>
      <w:rPr>
        <w:rStyle w:val="HeaderDocumentTitle"/>
      </w:rPr>
      <w:t xml:space="preserve"> 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202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8321BC8"/>
    <w:multiLevelType w:val="hybridMultilevel"/>
    <w:tmpl w:val="656A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41F8B"/>
    <w:multiLevelType w:val="hybridMultilevel"/>
    <w:tmpl w:val="86B65EE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DCB237C"/>
    <w:multiLevelType w:val="hybridMultilevel"/>
    <w:tmpl w:val="F6E2FC0A"/>
    <w:lvl w:ilvl="0" w:tplc="A32EC982">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2531A7"/>
    <w:multiLevelType w:val="hybridMultilevel"/>
    <w:tmpl w:val="065897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B627BC1"/>
    <w:multiLevelType w:val="hybridMultilevel"/>
    <w:tmpl w:val="C2A2528C"/>
    <w:lvl w:ilvl="0" w:tplc="2E4C80B8">
      <w:start w:val="1"/>
      <w:numFmt w:val="decimal"/>
      <w:pStyle w:val="Subnumbered"/>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8611A4"/>
    <w:multiLevelType w:val="hybridMultilevel"/>
    <w:tmpl w:val="E8E4FE8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7F66048"/>
    <w:multiLevelType w:val="hybridMultilevel"/>
    <w:tmpl w:val="02C6B43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3"/>
  </w:num>
  <w:num w:numId="10">
    <w:abstractNumId w:val="2"/>
  </w:num>
  <w:num w:numId="11">
    <w:abstractNumId w:val="19"/>
  </w:num>
  <w:num w:numId="12">
    <w:abstractNumId w:val="16"/>
  </w:num>
  <w:num w:numId="13">
    <w:abstractNumId w:val="14"/>
  </w:num>
  <w:num w:numId="14">
    <w:abstractNumId w:val="12"/>
  </w:num>
  <w:num w:numId="15">
    <w:abstractNumId w:val="15"/>
  </w:num>
  <w:num w:numId="16">
    <w:abstractNumId w:val="20"/>
  </w:num>
  <w:num w:numId="17">
    <w:abstractNumId w:val="11"/>
  </w:num>
  <w:num w:numId="18">
    <w:abstractNumId w:val="13"/>
  </w:num>
  <w:num w:numId="19">
    <w:abstractNumId w:val="17"/>
  </w:num>
  <w:num w:numId="20">
    <w:abstractNumId w:val="8"/>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25"/>
    <w:rsid w:val="0000042D"/>
    <w:rsid w:val="000015EC"/>
    <w:rsid w:val="00001BC5"/>
    <w:rsid w:val="00003087"/>
    <w:rsid w:val="00003EA5"/>
    <w:rsid w:val="00004D71"/>
    <w:rsid w:val="00011D9D"/>
    <w:rsid w:val="00013B02"/>
    <w:rsid w:val="000161C2"/>
    <w:rsid w:val="0002476A"/>
    <w:rsid w:val="000259EB"/>
    <w:rsid w:val="00030475"/>
    <w:rsid w:val="000345AE"/>
    <w:rsid w:val="00034C44"/>
    <w:rsid w:val="00036BE4"/>
    <w:rsid w:val="000421A1"/>
    <w:rsid w:val="000430B8"/>
    <w:rsid w:val="00045712"/>
    <w:rsid w:val="00045C4B"/>
    <w:rsid w:val="000465F1"/>
    <w:rsid w:val="000475CA"/>
    <w:rsid w:val="00057381"/>
    <w:rsid w:val="000579B1"/>
    <w:rsid w:val="00060CF4"/>
    <w:rsid w:val="00061C6C"/>
    <w:rsid w:val="00066234"/>
    <w:rsid w:val="0006636D"/>
    <w:rsid w:val="000714F0"/>
    <w:rsid w:val="00072EDA"/>
    <w:rsid w:val="00076332"/>
    <w:rsid w:val="00080E04"/>
    <w:rsid w:val="00080F6E"/>
    <w:rsid w:val="000811DC"/>
    <w:rsid w:val="00085D83"/>
    <w:rsid w:val="000942BF"/>
    <w:rsid w:val="00095E02"/>
    <w:rsid w:val="00096DE4"/>
    <w:rsid w:val="000A1DB8"/>
    <w:rsid w:val="000A48AC"/>
    <w:rsid w:val="000A4D9B"/>
    <w:rsid w:val="000A50E8"/>
    <w:rsid w:val="000A520E"/>
    <w:rsid w:val="000B0603"/>
    <w:rsid w:val="000B079D"/>
    <w:rsid w:val="000B0A5D"/>
    <w:rsid w:val="000B4C80"/>
    <w:rsid w:val="000B5B68"/>
    <w:rsid w:val="000B6C07"/>
    <w:rsid w:val="000B75E5"/>
    <w:rsid w:val="000C247A"/>
    <w:rsid w:val="000C4D23"/>
    <w:rsid w:val="000C5608"/>
    <w:rsid w:val="000C5DA6"/>
    <w:rsid w:val="000C7D1D"/>
    <w:rsid w:val="000D1B77"/>
    <w:rsid w:val="000D48DE"/>
    <w:rsid w:val="000D616E"/>
    <w:rsid w:val="000E0282"/>
    <w:rsid w:val="000E130A"/>
    <w:rsid w:val="000E2036"/>
    <w:rsid w:val="000E6C77"/>
    <w:rsid w:val="000E6F52"/>
    <w:rsid w:val="000F23EC"/>
    <w:rsid w:val="000F4F60"/>
    <w:rsid w:val="000F7185"/>
    <w:rsid w:val="00101C01"/>
    <w:rsid w:val="001079A3"/>
    <w:rsid w:val="00112D6E"/>
    <w:rsid w:val="00115EE1"/>
    <w:rsid w:val="00116CD2"/>
    <w:rsid w:val="001171E4"/>
    <w:rsid w:val="00120ACA"/>
    <w:rsid w:val="00122BB8"/>
    <w:rsid w:val="001341F4"/>
    <w:rsid w:val="00134774"/>
    <w:rsid w:val="00140274"/>
    <w:rsid w:val="001428D7"/>
    <w:rsid w:val="00146ECF"/>
    <w:rsid w:val="00151263"/>
    <w:rsid w:val="0015239E"/>
    <w:rsid w:val="0015273F"/>
    <w:rsid w:val="0015356B"/>
    <w:rsid w:val="00154330"/>
    <w:rsid w:val="00154E11"/>
    <w:rsid w:val="00155E57"/>
    <w:rsid w:val="0015756F"/>
    <w:rsid w:val="001611AF"/>
    <w:rsid w:val="00162638"/>
    <w:rsid w:val="0016266F"/>
    <w:rsid w:val="00162785"/>
    <w:rsid w:val="00162A8D"/>
    <w:rsid w:val="00164F77"/>
    <w:rsid w:val="00165E3C"/>
    <w:rsid w:val="00173E21"/>
    <w:rsid w:val="00173FB5"/>
    <w:rsid w:val="0017473C"/>
    <w:rsid w:val="00174D9A"/>
    <w:rsid w:val="00175673"/>
    <w:rsid w:val="001763F4"/>
    <w:rsid w:val="0018703C"/>
    <w:rsid w:val="001878C7"/>
    <w:rsid w:val="00195EDE"/>
    <w:rsid w:val="001A3FF1"/>
    <w:rsid w:val="001A4477"/>
    <w:rsid w:val="001A46C7"/>
    <w:rsid w:val="001A54C5"/>
    <w:rsid w:val="001A5D1D"/>
    <w:rsid w:val="001A629B"/>
    <w:rsid w:val="001B00CD"/>
    <w:rsid w:val="001B0353"/>
    <w:rsid w:val="001B0591"/>
    <w:rsid w:val="001B08E3"/>
    <w:rsid w:val="001B1BA3"/>
    <w:rsid w:val="001B1F95"/>
    <w:rsid w:val="001B35D2"/>
    <w:rsid w:val="001B56FE"/>
    <w:rsid w:val="001B5DAC"/>
    <w:rsid w:val="001C1F8B"/>
    <w:rsid w:val="001D1467"/>
    <w:rsid w:val="001D4D75"/>
    <w:rsid w:val="001D6D90"/>
    <w:rsid w:val="001D7836"/>
    <w:rsid w:val="001E2602"/>
    <w:rsid w:val="001E5676"/>
    <w:rsid w:val="001E5D49"/>
    <w:rsid w:val="001F2BBB"/>
    <w:rsid w:val="001F52FD"/>
    <w:rsid w:val="001F62CC"/>
    <w:rsid w:val="001F759A"/>
    <w:rsid w:val="002001AA"/>
    <w:rsid w:val="00200677"/>
    <w:rsid w:val="00200C90"/>
    <w:rsid w:val="002012F7"/>
    <w:rsid w:val="002027F6"/>
    <w:rsid w:val="002068EB"/>
    <w:rsid w:val="002070DE"/>
    <w:rsid w:val="0021302F"/>
    <w:rsid w:val="00214AED"/>
    <w:rsid w:val="00214E56"/>
    <w:rsid w:val="00216C64"/>
    <w:rsid w:val="0022194A"/>
    <w:rsid w:val="00225BE4"/>
    <w:rsid w:val="002264C6"/>
    <w:rsid w:val="00231ED1"/>
    <w:rsid w:val="00234CF8"/>
    <w:rsid w:val="002377DA"/>
    <w:rsid w:val="00241523"/>
    <w:rsid w:val="00242624"/>
    <w:rsid w:val="0024557E"/>
    <w:rsid w:val="00246022"/>
    <w:rsid w:val="002471FD"/>
    <w:rsid w:val="00254F48"/>
    <w:rsid w:val="00255398"/>
    <w:rsid w:val="002632EA"/>
    <w:rsid w:val="0026364E"/>
    <w:rsid w:val="0026371D"/>
    <w:rsid w:val="00263A16"/>
    <w:rsid w:val="002717AD"/>
    <w:rsid w:val="00273F4B"/>
    <w:rsid w:val="002769AB"/>
    <w:rsid w:val="00276E93"/>
    <w:rsid w:val="0027705F"/>
    <w:rsid w:val="0028506A"/>
    <w:rsid w:val="002850B0"/>
    <w:rsid w:val="00285A3A"/>
    <w:rsid w:val="00285E4D"/>
    <w:rsid w:val="002863D7"/>
    <w:rsid w:val="002873B4"/>
    <w:rsid w:val="0029145A"/>
    <w:rsid w:val="002915D7"/>
    <w:rsid w:val="00292AB5"/>
    <w:rsid w:val="00293F73"/>
    <w:rsid w:val="00294007"/>
    <w:rsid w:val="002A34FA"/>
    <w:rsid w:val="002A3684"/>
    <w:rsid w:val="002A43C2"/>
    <w:rsid w:val="002A4620"/>
    <w:rsid w:val="002A7B3E"/>
    <w:rsid w:val="002A7C21"/>
    <w:rsid w:val="002B08F4"/>
    <w:rsid w:val="002B1B65"/>
    <w:rsid w:val="002B38CE"/>
    <w:rsid w:val="002C02DB"/>
    <w:rsid w:val="002C1866"/>
    <w:rsid w:val="002C3733"/>
    <w:rsid w:val="002C44C8"/>
    <w:rsid w:val="002D1A16"/>
    <w:rsid w:val="002D3785"/>
    <w:rsid w:val="002D5800"/>
    <w:rsid w:val="002E06A3"/>
    <w:rsid w:val="002E5110"/>
    <w:rsid w:val="002E5A1B"/>
    <w:rsid w:val="002E624D"/>
    <w:rsid w:val="002E772E"/>
    <w:rsid w:val="002F06A7"/>
    <w:rsid w:val="002F1EA1"/>
    <w:rsid w:val="002F3DA0"/>
    <w:rsid w:val="002F4CE1"/>
    <w:rsid w:val="002F568A"/>
    <w:rsid w:val="002F585D"/>
    <w:rsid w:val="002F5E96"/>
    <w:rsid w:val="002F7312"/>
    <w:rsid w:val="0030053D"/>
    <w:rsid w:val="00300F22"/>
    <w:rsid w:val="00303EE3"/>
    <w:rsid w:val="00304A37"/>
    <w:rsid w:val="0030576D"/>
    <w:rsid w:val="0031040E"/>
    <w:rsid w:val="00310E43"/>
    <w:rsid w:val="00310ED4"/>
    <w:rsid w:val="00311AAF"/>
    <w:rsid w:val="00312301"/>
    <w:rsid w:val="0031492A"/>
    <w:rsid w:val="00316C1A"/>
    <w:rsid w:val="003179A0"/>
    <w:rsid w:val="00321135"/>
    <w:rsid w:val="00323C73"/>
    <w:rsid w:val="003242C9"/>
    <w:rsid w:val="00324BC4"/>
    <w:rsid w:val="00324F52"/>
    <w:rsid w:val="00326E6E"/>
    <w:rsid w:val="003302DA"/>
    <w:rsid w:val="00331141"/>
    <w:rsid w:val="00334CED"/>
    <w:rsid w:val="0033542C"/>
    <w:rsid w:val="00335EF2"/>
    <w:rsid w:val="003369E7"/>
    <w:rsid w:val="0033758D"/>
    <w:rsid w:val="00340919"/>
    <w:rsid w:val="00341500"/>
    <w:rsid w:val="00341DCB"/>
    <w:rsid w:val="003423F4"/>
    <w:rsid w:val="003430F7"/>
    <w:rsid w:val="00343AA2"/>
    <w:rsid w:val="00344758"/>
    <w:rsid w:val="003463C3"/>
    <w:rsid w:val="00347142"/>
    <w:rsid w:val="00347941"/>
    <w:rsid w:val="00350D1B"/>
    <w:rsid w:val="0035109B"/>
    <w:rsid w:val="00351792"/>
    <w:rsid w:val="00354E69"/>
    <w:rsid w:val="003554BC"/>
    <w:rsid w:val="003565A8"/>
    <w:rsid w:val="003566EA"/>
    <w:rsid w:val="003679E4"/>
    <w:rsid w:val="0037061B"/>
    <w:rsid w:val="00372C79"/>
    <w:rsid w:val="00380387"/>
    <w:rsid w:val="00380E21"/>
    <w:rsid w:val="003822B2"/>
    <w:rsid w:val="00395D02"/>
    <w:rsid w:val="003A168E"/>
    <w:rsid w:val="003A3A9E"/>
    <w:rsid w:val="003A4792"/>
    <w:rsid w:val="003A48B7"/>
    <w:rsid w:val="003B22B8"/>
    <w:rsid w:val="003B39B6"/>
    <w:rsid w:val="003B7F37"/>
    <w:rsid w:val="003D08BD"/>
    <w:rsid w:val="003D3EAA"/>
    <w:rsid w:val="003D5AEB"/>
    <w:rsid w:val="003E5DEF"/>
    <w:rsid w:val="003E7A55"/>
    <w:rsid w:val="003F05DB"/>
    <w:rsid w:val="003F0E26"/>
    <w:rsid w:val="003F570E"/>
    <w:rsid w:val="003F5C7E"/>
    <w:rsid w:val="00401F79"/>
    <w:rsid w:val="004025AA"/>
    <w:rsid w:val="0040497E"/>
    <w:rsid w:val="00405E28"/>
    <w:rsid w:val="0041020F"/>
    <w:rsid w:val="00410599"/>
    <w:rsid w:val="00413E86"/>
    <w:rsid w:val="00414620"/>
    <w:rsid w:val="00414FE0"/>
    <w:rsid w:val="00422417"/>
    <w:rsid w:val="004229BB"/>
    <w:rsid w:val="00424233"/>
    <w:rsid w:val="00425B51"/>
    <w:rsid w:val="004305A8"/>
    <w:rsid w:val="00431D50"/>
    <w:rsid w:val="00433A93"/>
    <w:rsid w:val="00433D3D"/>
    <w:rsid w:val="00434DF9"/>
    <w:rsid w:val="00436616"/>
    <w:rsid w:val="00440219"/>
    <w:rsid w:val="00441F43"/>
    <w:rsid w:val="00442861"/>
    <w:rsid w:val="0044310D"/>
    <w:rsid w:val="00443AD7"/>
    <w:rsid w:val="00443EC1"/>
    <w:rsid w:val="00445CB5"/>
    <w:rsid w:val="004571FF"/>
    <w:rsid w:val="00457542"/>
    <w:rsid w:val="00460EE0"/>
    <w:rsid w:val="0046153D"/>
    <w:rsid w:val="00462FC0"/>
    <w:rsid w:val="00470D4E"/>
    <w:rsid w:val="004712FB"/>
    <w:rsid w:val="00471BB7"/>
    <w:rsid w:val="00472EFF"/>
    <w:rsid w:val="00473C80"/>
    <w:rsid w:val="00474063"/>
    <w:rsid w:val="004741FD"/>
    <w:rsid w:val="00474557"/>
    <w:rsid w:val="00476793"/>
    <w:rsid w:val="00481B2A"/>
    <w:rsid w:val="00481D10"/>
    <w:rsid w:val="00482091"/>
    <w:rsid w:val="00482125"/>
    <w:rsid w:val="00483F2E"/>
    <w:rsid w:val="00484E8F"/>
    <w:rsid w:val="00486F03"/>
    <w:rsid w:val="00492C99"/>
    <w:rsid w:val="00493D02"/>
    <w:rsid w:val="00496693"/>
    <w:rsid w:val="004968F0"/>
    <w:rsid w:val="00497912"/>
    <w:rsid w:val="00497984"/>
    <w:rsid w:val="004A187B"/>
    <w:rsid w:val="004A2D3C"/>
    <w:rsid w:val="004A33CB"/>
    <w:rsid w:val="004A37CC"/>
    <w:rsid w:val="004A4B90"/>
    <w:rsid w:val="004A6574"/>
    <w:rsid w:val="004A78D8"/>
    <w:rsid w:val="004B4983"/>
    <w:rsid w:val="004B6F46"/>
    <w:rsid w:val="004C1AAF"/>
    <w:rsid w:val="004C4AB8"/>
    <w:rsid w:val="004C6E89"/>
    <w:rsid w:val="004C7412"/>
    <w:rsid w:val="004C7C96"/>
    <w:rsid w:val="004D04BF"/>
    <w:rsid w:val="004D0888"/>
    <w:rsid w:val="004D123E"/>
    <w:rsid w:val="004D2BDD"/>
    <w:rsid w:val="004D36C6"/>
    <w:rsid w:val="004D3F88"/>
    <w:rsid w:val="004D4D5B"/>
    <w:rsid w:val="004D5BA4"/>
    <w:rsid w:val="004E0DFF"/>
    <w:rsid w:val="004E3E08"/>
    <w:rsid w:val="004E48BE"/>
    <w:rsid w:val="004E578A"/>
    <w:rsid w:val="004E5BD9"/>
    <w:rsid w:val="004F1C7C"/>
    <w:rsid w:val="004F2689"/>
    <w:rsid w:val="0050090B"/>
    <w:rsid w:val="00502853"/>
    <w:rsid w:val="00505DB6"/>
    <w:rsid w:val="005068FF"/>
    <w:rsid w:val="00506F32"/>
    <w:rsid w:val="00507A2B"/>
    <w:rsid w:val="00510390"/>
    <w:rsid w:val="005123F0"/>
    <w:rsid w:val="00513540"/>
    <w:rsid w:val="00513941"/>
    <w:rsid w:val="0052510F"/>
    <w:rsid w:val="00527BE0"/>
    <w:rsid w:val="0053051D"/>
    <w:rsid w:val="005305C1"/>
    <w:rsid w:val="0053304F"/>
    <w:rsid w:val="005368D2"/>
    <w:rsid w:val="00540D45"/>
    <w:rsid w:val="00545934"/>
    <w:rsid w:val="005504DD"/>
    <w:rsid w:val="00550C82"/>
    <w:rsid w:val="00551616"/>
    <w:rsid w:val="00551ED1"/>
    <w:rsid w:val="005603CA"/>
    <w:rsid w:val="00564208"/>
    <w:rsid w:val="00571CEB"/>
    <w:rsid w:val="0057687C"/>
    <w:rsid w:val="0057712B"/>
    <w:rsid w:val="00580795"/>
    <w:rsid w:val="00582849"/>
    <w:rsid w:val="00582E2B"/>
    <w:rsid w:val="00591951"/>
    <w:rsid w:val="005974AC"/>
    <w:rsid w:val="005A0964"/>
    <w:rsid w:val="005A1069"/>
    <w:rsid w:val="005A1181"/>
    <w:rsid w:val="005A2D83"/>
    <w:rsid w:val="005A3BC9"/>
    <w:rsid w:val="005A4868"/>
    <w:rsid w:val="005A5021"/>
    <w:rsid w:val="005A593D"/>
    <w:rsid w:val="005A5D63"/>
    <w:rsid w:val="005B33BE"/>
    <w:rsid w:val="005B36F6"/>
    <w:rsid w:val="005B739C"/>
    <w:rsid w:val="005B7523"/>
    <w:rsid w:val="005B75CE"/>
    <w:rsid w:val="005C279C"/>
    <w:rsid w:val="005C2ECF"/>
    <w:rsid w:val="005C4D09"/>
    <w:rsid w:val="005C5309"/>
    <w:rsid w:val="005C5D41"/>
    <w:rsid w:val="005C5D8B"/>
    <w:rsid w:val="005D16B1"/>
    <w:rsid w:val="005D1F34"/>
    <w:rsid w:val="005D309E"/>
    <w:rsid w:val="005D3506"/>
    <w:rsid w:val="005D383D"/>
    <w:rsid w:val="005D3EDF"/>
    <w:rsid w:val="005D4E0F"/>
    <w:rsid w:val="005D65B7"/>
    <w:rsid w:val="005D797B"/>
    <w:rsid w:val="005D7AD1"/>
    <w:rsid w:val="005D7BA6"/>
    <w:rsid w:val="005E2CF8"/>
    <w:rsid w:val="005E3D05"/>
    <w:rsid w:val="005F0453"/>
    <w:rsid w:val="005F3540"/>
    <w:rsid w:val="005F4CB0"/>
    <w:rsid w:val="005F6092"/>
    <w:rsid w:val="00600533"/>
    <w:rsid w:val="00600FFF"/>
    <w:rsid w:val="00602163"/>
    <w:rsid w:val="0060279E"/>
    <w:rsid w:val="00602D15"/>
    <w:rsid w:val="0060467B"/>
    <w:rsid w:val="00606848"/>
    <w:rsid w:val="00612A0F"/>
    <w:rsid w:val="00612C71"/>
    <w:rsid w:val="006155F9"/>
    <w:rsid w:val="00616F88"/>
    <w:rsid w:val="00620BA2"/>
    <w:rsid w:val="00622508"/>
    <w:rsid w:val="0063009F"/>
    <w:rsid w:val="00631321"/>
    <w:rsid w:val="00632721"/>
    <w:rsid w:val="006344A3"/>
    <w:rsid w:val="006356C5"/>
    <w:rsid w:val="006410DD"/>
    <w:rsid w:val="00642402"/>
    <w:rsid w:val="00642BD6"/>
    <w:rsid w:val="00642E98"/>
    <w:rsid w:val="00645A33"/>
    <w:rsid w:val="00650E26"/>
    <w:rsid w:val="00654793"/>
    <w:rsid w:val="0065576D"/>
    <w:rsid w:val="00657E90"/>
    <w:rsid w:val="00660A40"/>
    <w:rsid w:val="00662DEC"/>
    <w:rsid w:val="006639A2"/>
    <w:rsid w:val="00665629"/>
    <w:rsid w:val="0066585A"/>
    <w:rsid w:val="00667D59"/>
    <w:rsid w:val="00667FB3"/>
    <w:rsid w:val="006700B5"/>
    <w:rsid w:val="006726D7"/>
    <w:rsid w:val="00675E0F"/>
    <w:rsid w:val="00681E2C"/>
    <w:rsid w:val="006832CA"/>
    <w:rsid w:val="0068533F"/>
    <w:rsid w:val="006863D3"/>
    <w:rsid w:val="00687D85"/>
    <w:rsid w:val="0069021E"/>
    <w:rsid w:val="00691D05"/>
    <w:rsid w:val="00694031"/>
    <w:rsid w:val="00694090"/>
    <w:rsid w:val="006A198E"/>
    <w:rsid w:val="006A2E6F"/>
    <w:rsid w:val="006A56F7"/>
    <w:rsid w:val="006A6BB3"/>
    <w:rsid w:val="006B2669"/>
    <w:rsid w:val="006B3DE1"/>
    <w:rsid w:val="006B5941"/>
    <w:rsid w:val="006B6785"/>
    <w:rsid w:val="006C0642"/>
    <w:rsid w:val="006C07D1"/>
    <w:rsid w:val="006C0C79"/>
    <w:rsid w:val="006C2CAC"/>
    <w:rsid w:val="006C7C01"/>
    <w:rsid w:val="006D0407"/>
    <w:rsid w:val="006D35EC"/>
    <w:rsid w:val="006D36E5"/>
    <w:rsid w:val="006D5EE5"/>
    <w:rsid w:val="006D67DE"/>
    <w:rsid w:val="006E051D"/>
    <w:rsid w:val="006E2656"/>
    <w:rsid w:val="006E3B00"/>
    <w:rsid w:val="006E4217"/>
    <w:rsid w:val="006E4BBD"/>
    <w:rsid w:val="006E6D3B"/>
    <w:rsid w:val="006F1832"/>
    <w:rsid w:val="006F3D3B"/>
    <w:rsid w:val="006F4322"/>
    <w:rsid w:val="006F5A0F"/>
    <w:rsid w:val="0070516A"/>
    <w:rsid w:val="007105C1"/>
    <w:rsid w:val="00714FF5"/>
    <w:rsid w:val="0072113A"/>
    <w:rsid w:val="00721AF8"/>
    <w:rsid w:val="00721DC5"/>
    <w:rsid w:val="007231E8"/>
    <w:rsid w:val="00727942"/>
    <w:rsid w:val="00727AC3"/>
    <w:rsid w:val="00730BD2"/>
    <w:rsid w:val="007414D9"/>
    <w:rsid w:val="0074226C"/>
    <w:rsid w:val="007426A2"/>
    <w:rsid w:val="00743AD9"/>
    <w:rsid w:val="00744451"/>
    <w:rsid w:val="00744C3B"/>
    <w:rsid w:val="00751E5D"/>
    <w:rsid w:val="0075240D"/>
    <w:rsid w:val="0075293B"/>
    <w:rsid w:val="007540BF"/>
    <w:rsid w:val="00754CEC"/>
    <w:rsid w:val="00757A7A"/>
    <w:rsid w:val="00762A37"/>
    <w:rsid w:val="00762A91"/>
    <w:rsid w:val="007637A8"/>
    <w:rsid w:val="00765B58"/>
    <w:rsid w:val="00765BB6"/>
    <w:rsid w:val="00770DCB"/>
    <w:rsid w:val="00775485"/>
    <w:rsid w:val="00783532"/>
    <w:rsid w:val="00783B08"/>
    <w:rsid w:val="0078426F"/>
    <w:rsid w:val="007846B5"/>
    <w:rsid w:val="00787890"/>
    <w:rsid w:val="00792AE4"/>
    <w:rsid w:val="00793814"/>
    <w:rsid w:val="0079734D"/>
    <w:rsid w:val="007A1248"/>
    <w:rsid w:val="007A2557"/>
    <w:rsid w:val="007A2879"/>
    <w:rsid w:val="007A34EE"/>
    <w:rsid w:val="007B06EA"/>
    <w:rsid w:val="007B0CE9"/>
    <w:rsid w:val="007B131E"/>
    <w:rsid w:val="007B4E25"/>
    <w:rsid w:val="007B65F3"/>
    <w:rsid w:val="007B74BF"/>
    <w:rsid w:val="007C20C2"/>
    <w:rsid w:val="007D2F00"/>
    <w:rsid w:val="007D403A"/>
    <w:rsid w:val="007D573F"/>
    <w:rsid w:val="007D7CB1"/>
    <w:rsid w:val="007E5B88"/>
    <w:rsid w:val="007E6891"/>
    <w:rsid w:val="007E7546"/>
    <w:rsid w:val="007E76EE"/>
    <w:rsid w:val="007E778A"/>
    <w:rsid w:val="007F03E1"/>
    <w:rsid w:val="007F07BA"/>
    <w:rsid w:val="007F0D0B"/>
    <w:rsid w:val="007F1207"/>
    <w:rsid w:val="007F4534"/>
    <w:rsid w:val="008007A8"/>
    <w:rsid w:val="00803081"/>
    <w:rsid w:val="008042D9"/>
    <w:rsid w:val="008044A7"/>
    <w:rsid w:val="00806700"/>
    <w:rsid w:val="008103E8"/>
    <w:rsid w:val="00814AFE"/>
    <w:rsid w:val="00814FC0"/>
    <w:rsid w:val="0081500B"/>
    <w:rsid w:val="0081510F"/>
    <w:rsid w:val="00817C73"/>
    <w:rsid w:val="00823005"/>
    <w:rsid w:val="00823CEF"/>
    <w:rsid w:val="00823CFF"/>
    <w:rsid w:val="00826C77"/>
    <w:rsid w:val="0083045C"/>
    <w:rsid w:val="00835010"/>
    <w:rsid w:val="00835C20"/>
    <w:rsid w:val="008363C0"/>
    <w:rsid w:val="00836FA6"/>
    <w:rsid w:val="00837022"/>
    <w:rsid w:val="008377B1"/>
    <w:rsid w:val="00841CC4"/>
    <w:rsid w:val="008449B9"/>
    <w:rsid w:val="008461B9"/>
    <w:rsid w:val="00847191"/>
    <w:rsid w:val="008479C1"/>
    <w:rsid w:val="00850999"/>
    <w:rsid w:val="00852D89"/>
    <w:rsid w:val="008531CF"/>
    <w:rsid w:val="00860046"/>
    <w:rsid w:val="0086076D"/>
    <w:rsid w:val="0086254F"/>
    <w:rsid w:val="00862CD8"/>
    <w:rsid w:val="008648E7"/>
    <w:rsid w:val="008724DE"/>
    <w:rsid w:val="00873249"/>
    <w:rsid w:val="00874F6C"/>
    <w:rsid w:val="008758D9"/>
    <w:rsid w:val="00882B0A"/>
    <w:rsid w:val="00883882"/>
    <w:rsid w:val="00884CED"/>
    <w:rsid w:val="008940CB"/>
    <w:rsid w:val="008955E8"/>
    <w:rsid w:val="00896B5E"/>
    <w:rsid w:val="00897D2B"/>
    <w:rsid w:val="008A14F2"/>
    <w:rsid w:val="008A3D57"/>
    <w:rsid w:val="008A44B0"/>
    <w:rsid w:val="008A7873"/>
    <w:rsid w:val="008B0820"/>
    <w:rsid w:val="008B23BC"/>
    <w:rsid w:val="008B3817"/>
    <w:rsid w:val="008B3899"/>
    <w:rsid w:val="008C0626"/>
    <w:rsid w:val="008C08DD"/>
    <w:rsid w:val="008C13C8"/>
    <w:rsid w:val="008C6AD2"/>
    <w:rsid w:val="008C7406"/>
    <w:rsid w:val="008D00B9"/>
    <w:rsid w:val="008D3C5A"/>
    <w:rsid w:val="008D4486"/>
    <w:rsid w:val="008E328C"/>
    <w:rsid w:val="008E3D60"/>
    <w:rsid w:val="008E3F4C"/>
    <w:rsid w:val="008E6B53"/>
    <w:rsid w:val="008F062E"/>
    <w:rsid w:val="008F1FF7"/>
    <w:rsid w:val="008F2102"/>
    <w:rsid w:val="008F3070"/>
    <w:rsid w:val="008F589A"/>
    <w:rsid w:val="008F7FA3"/>
    <w:rsid w:val="0090165F"/>
    <w:rsid w:val="00901847"/>
    <w:rsid w:val="00901B82"/>
    <w:rsid w:val="00904867"/>
    <w:rsid w:val="00905311"/>
    <w:rsid w:val="009071A1"/>
    <w:rsid w:val="00907B07"/>
    <w:rsid w:val="00910C08"/>
    <w:rsid w:val="00912973"/>
    <w:rsid w:val="00912B09"/>
    <w:rsid w:val="00913CAB"/>
    <w:rsid w:val="009147CD"/>
    <w:rsid w:val="00916CFA"/>
    <w:rsid w:val="009249BB"/>
    <w:rsid w:val="009303AF"/>
    <w:rsid w:val="0093121E"/>
    <w:rsid w:val="009316A2"/>
    <w:rsid w:val="00932F87"/>
    <w:rsid w:val="00933355"/>
    <w:rsid w:val="009352F7"/>
    <w:rsid w:val="009357D0"/>
    <w:rsid w:val="00936C24"/>
    <w:rsid w:val="00942B21"/>
    <w:rsid w:val="009432CF"/>
    <w:rsid w:val="009449D8"/>
    <w:rsid w:val="00944C42"/>
    <w:rsid w:val="00945CB4"/>
    <w:rsid w:val="009547B5"/>
    <w:rsid w:val="0095539D"/>
    <w:rsid w:val="009616FB"/>
    <w:rsid w:val="009643DC"/>
    <w:rsid w:val="009662D0"/>
    <w:rsid w:val="00966C2F"/>
    <w:rsid w:val="0096742A"/>
    <w:rsid w:val="00971940"/>
    <w:rsid w:val="00971D72"/>
    <w:rsid w:val="00972250"/>
    <w:rsid w:val="00973600"/>
    <w:rsid w:val="00974ADF"/>
    <w:rsid w:val="00975047"/>
    <w:rsid w:val="0097512B"/>
    <w:rsid w:val="0097656C"/>
    <w:rsid w:val="00977E6A"/>
    <w:rsid w:val="00982404"/>
    <w:rsid w:val="00982C9F"/>
    <w:rsid w:val="00992650"/>
    <w:rsid w:val="009926EE"/>
    <w:rsid w:val="00994B26"/>
    <w:rsid w:val="0099784C"/>
    <w:rsid w:val="009A1259"/>
    <w:rsid w:val="009A234A"/>
    <w:rsid w:val="009A2DF8"/>
    <w:rsid w:val="009A5A6C"/>
    <w:rsid w:val="009B1797"/>
    <w:rsid w:val="009B1865"/>
    <w:rsid w:val="009C16AF"/>
    <w:rsid w:val="009C2866"/>
    <w:rsid w:val="009C2A00"/>
    <w:rsid w:val="009C3CD7"/>
    <w:rsid w:val="009C57FD"/>
    <w:rsid w:val="009C6047"/>
    <w:rsid w:val="009D1E90"/>
    <w:rsid w:val="009D5D3C"/>
    <w:rsid w:val="009D67F6"/>
    <w:rsid w:val="009E08D1"/>
    <w:rsid w:val="009E0FE1"/>
    <w:rsid w:val="009E4BD0"/>
    <w:rsid w:val="009E5884"/>
    <w:rsid w:val="009F2764"/>
    <w:rsid w:val="009F28F3"/>
    <w:rsid w:val="009F68A4"/>
    <w:rsid w:val="00A0184E"/>
    <w:rsid w:val="00A0406E"/>
    <w:rsid w:val="00A04413"/>
    <w:rsid w:val="00A06F29"/>
    <w:rsid w:val="00A10AB7"/>
    <w:rsid w:val="00A11307"/>
    <w:rsid w:val="00A13823"/>
    <w:rsid w:val="00A13AF3"/>
    <w:rsid w:val="00A15629"/>
    <w:rsid w:val="00A21388"/>
    <w:rsid w:val="00A2358D"/>
    <w:rsid w:val="00A235B9"/>
    <w:rsid w:val="00A240B9"/>
    <w:rsid w:val="00A24620"/>
    <w:rsid w:val="00A246A4"/>
    <w:rsid w:val="00A24992"/>
    <w:rsid w:val="00A254A7"/>
    <w:rsid w:val="00A262E5"/>
    <w:rsid w:val="00A27791"/>
    <w:rsid w:val="00A277F7"/>
    <w:rsid w:val="00A27A59"/>
    <w:rsid w:val="00A27ABE"/>
    <w:rsid w:val="00A33246"/>
    <w:rsid w:val="00A355F9"/>
    <w:rsid w:val="00A41235"/>
    <w:rsid w:val="00A41355"/>
    <w:rsid w:val="00A415E1"/>
    <w:rsid w:val="00A4370F"/>
    <w:rsid w:val="00A437B6"/>
    <w:rsid w:val="00A43B92"/>
    <w:rsid w:val="00A45CD9"/>
    <w:rsid w:val="00A4711C"/>
    <w:rsid w:val="00A50F04"/>
    <w:rsid w:val="00A54251"/>
    <w:rsid w:val="00A54A8D"/>
    <w:rsid w:val="00A55C20"/>
    <w:rsid w:val="00A55C37"/>
    <w:rsid w:val="00A610AD"/>
    <w:rsid w:val="00A6120A"/>
    <w:rsid w:val="00A6179E"/>
    <w:rsid w:val="00A62A17"/>
    <w:rsid w:val="00A64316"/>
    <w:rsid w:val="00A643B1"/>
    <w:rsid w:val="00A64973"/>
    <w:rsid w:val="00A659EE"/>
    <w:rsid w:val="00A7017A"/>
    <w:rsid w:val="00A71074"/>
    <w:rsid w:val="00A72535"/>
    <w:rsid w:val="00A7601D"/>
    <w:rsid w:val="00A804D9"/>
    <w:rsid w:val="00A8573B"/>
    <w:rsid w:val="00A8586D"/>
    <w:rsid w:val="00A87221"/>
    <w:rsid w:val="00A9180F"/>
    <w:rsid w:val="00A92763"/>
    <w:rsid w:val="00A92915"/>
    <w:rsid w:val="00A92F92"/>
    <w:rsid w:val="00A9348D"/>
    <w:rsid w:val="00A96892"/>
    <w:rsid w:val="00AA2051"/>
    <w:rsid w:val="00AA6540"/>
    <w:rsid w:val="00AA70C4"/>
    <w:rsid w:val="00AB06AA"/>
    <w:rsid w:val="00AB1479"/>
    <w:rsid w:val="00AB3841"/>
    <w:rsid w:val="00AB73E7"/>
    <w:rsid w:val="00AB7C8F"/>
    <w:rsid w:val="00AC2192"/>
    <w:rsid w:val="00AC5664"/>
    <w:rsid w:val="00AC621A"/>
    <w:rsid w:val="00AC636D"/>
    <w:rsid w:val="00AC6AE2"/>
    <w:rsid w:val="00AD30DD"/>
    <w:rsid w:val="00AD527E"/>
    <w:rsid w:val="00AD5952"/>
    <w:rsid w:val="00AE072D"/>
    <w:rsid w:val="00AE17CE"/>
    <w:rsid w:val="00AE43C3"/>
    <w:rsid w:val="00AE5C42"/>
    <w:rsid w:val="00AF011B"/>
    <w:rsid w:val="00AF0579"/>
    <w:rsid w:val="00AF216B"/>
    <w:rsid w:val="00AF3F22"/>
    <w:rsid w:val="00AF5A77"/>
    <w:rsid w:val="00AF7D51"/>
    <w:rsid w:val="00B00F61"/>
    <w:rsid w:val="00B036EA"/>
    <w:rsid w:val="00B03B7C"/>
    <w:rsid w:val="00B04FD0"/>
    <w:rsid w:val="00B1681B"/>
    <w:rsid w:val="00B21A1A"/>
    <w:rsid w:val="00B2286B"/>
    <w:rsid w:val="00B237FB"/>
    <w:rsid w:val="00B24B1D"/>
    <w:rsid w:val="00B26C33"/>
    <w:rsid w:val="00B26E54"/>
    <w:rsid w:val="00B277E0"/>
    <w:rsid w:val="00B34946"/>
    <w:rsid w:val="00B34AFD"/>
    <w:rsid w:val="00B355A7"/>
    <w:rsid w:val="00B405C1"/>
    <w:rsid w:val="00B40D07"/>
    <w:rsid w:val="00B40EB0"/>
    <w:rsid w:val="00B4206D"/>
    <w:rsid w:val="00B42716"/>
    <w:rsid w:val="00B44418"/>
    <w:rsid w:val="00B519FD"/>
    <w:rsid w:val="00B51A89"/>
    <w:rsid w:val="00B520BC"/>
    <w:rsid w:val="00B53458"/>
    <w:rsid w:val="00B539CC"/>
    <w:rsid w:val="00B63D24"/>
    <w:rsid w:val="00B64434"/>
    <w:rsid w:val="00B66361"/>
    <w:rsid w:val="00B664C2"/>
    <w:rsid w:val="00B671EA"/>
    <w:rsid w:val="00B67731"/>
    <w:rsid w:val="00B67A66"/>
    <w:rsid w:val="00B718BB"/>
    <w:rsid w:val="00B72FC2"/>
    <w:rsid w:val="00B7324B"/>
    <w:rsid w:val="00B75C83"/>
    <w:rsid w:val="00B76D44"/>
    <w:rsid w:val="00B82C8E"/>
    <w:rsid w:val="00B83560"/>
    <w:rsid w:val="00B84210"/>
    <w:rsid w:val="00B91EAC"/>
    <w:rsid w:val="00B924E6"/>
    <w:rsid w:val="00BA262D"/>
    <w:rsid w:val="00BA5698"/>
    <w:rsid w:val="00BA6993"/>
    <w:rsid w:val="00BA7530"/>
    <w:rsid w:val="00BB1464"/>
    <w:rsid w:val="00BB25F3"/>
    <w:rsid w:val="00BB3A8E"/>
    <w:rsid w:val="00BB6FF6"/>
    <w:rsid w:val="00BC0895"/>
    <w:rsid w:val="00BC79EB"/>
    <w:rsid w:val="00BD0CBF"/>
    <w:rsid w:val="00BD7FCF"/>
    <w:rsid w:val="00BE044D"/>
    <w:rsid w:val="00BE4A74"/>
    <w:rsid w:val="00BE61FD"/>
    <w:rsid w:val="00BE6D66"/>
    <w:rsid w:val="00BF035A"/>
    <w:rsid w:val="00BF3706"/>
    <w:rsid w:val="00BF6406"/>
    <w:rsid w:val="00BF761D"/>
    <w:rsid w:val="00C02D97"/>
    <w:rsid w:val="00C033F4"/>
    <w:rsid w:val="00C043C8"/>
    <w:rsid w:val="00C064DC"/>
    <w:rsid w:val="00C06895"/>
    <w:rsid w:val="00C07A34"/>
    <w:rsid w:val="00C07FE5"/>
    <w:rsid w:val="00C1397A"/>
    <w:rsid w:val="00C149BD"/>
    <w:rsid w:val="00C14C68"/>
    <w:rsid w:val="00C15035"/>
    <w:rsid w:val="00C16AB9"/>
    <w:rsid w:val="00C170CF"/>
    <w:rsid w:val="00C23A2D"/>
    <w:rsid w:val="00C23DCF"/>
    <w:rsid w:val="00C25BDA"/>
    <w:rsid w:val="00C25DBE"/>
    <w:rsid w:val="00C27954"/>
    <w:rsid w:val="00C3217A"/>
    <w:rsid w:val="00C32926"/>
    <w:rsid w:val="00C330D6"/>
    <w:rsid w:val="00C33104"/>
    <w:rsid w:val="00C332D4"/>
    <w:rsid w:val="00C362EF"/>
    <w:rsid w:val="00C370D9"/>
    <w:rsid w:val="00C414F9"/>
    <w:rsid w:val="00C43DFE"/>
    <w:rsid w:val="00C51011"/>
    <w:rsid w:val="00C535A0"/>
    <w:rsid w:val="00C560AC"/>
    <w:rsid w:val="00C5781C"/>
    <w:rsid w:val="00C60343"/>
    <w:rsid w:val="00C603EC"/>
    <w:rsid w:val="00C60ACB"/>
    <w:rsid w:val="00C65A38"/>
    <w:rsid w:val="00C65BAD"/>
    <w:rsid w:val="00C67683"/>
    <w:rsid w:val="00C76AAA"/>
    <w:rsid w:val="00C81FF8"/>
    <w:rsid w:val="00C83668"/>
    <w:rsid w:val="00C84CDD"/>
    <w:rsid w:val="00C854D4"/>
    <w:rsid w:val="00C85DF1"/>
    <w:rsid w:val="00C90556"/>
    <w:rsid w:val="00C9486D"/>
    <w:rsid w:val="00C948D9"/>
    <w:rsid w:val="00C95476"/>
    <w:rsid w:val="00C95DE0"/>
    <w:rsid w:val="00CA0D78"/>
    <w:rsid w:val="00CA2317"/>
    <w:rsid w:val="00CA30F5"/>
    <w:rsid w:val="00CA4855"/>
    <w:rsid w:val="00CA4D37"/>
    <w:rsid w:val="00CA5845"/>
    <w:rsid w:val="00CA59F2"/>
    <w:rsid w:val="00CA5A36"/>
    <w:rsid w:val="00CA5D90"/>
    <w:rsid w:val="00CA7FFE"/>
    <w:rsid w:val="00CB023A"/>
    <w:rsid w:val="00CB24FE"/>
    <w:rsid w:val="00CB33E1"/>
    <w:rsid w:val="00CC2AA0"/>
    <w:rsid w:val="00CC4AA5"/>
    <w:rsid w:val="00CC4E2D"/>
    <w:rsid w:val="00CC5F42"/>
    <w:rsid w:val="00CC77D1"/>
    <w:rsid w:val="00CD013F"/>
    <w:rsid w:val="00CD02D2"/>
    <w:rsid w:val="00CD0E74"/>
    <w:rsid w:val="00CD27C8"/>
    <w:rsid w:val="00CD3D07"/>
    <w:rsid w:val="00CD58FD"/>
    <w:rsid w:val="00CD5C72"/>
    <w:rsid w:val="00CE2FA5"/>
    <w:rsid w:val="00CF0F0A"/>
    <w:rsid w:val="00CF571F"/>
    <w:rsid w:val="00D02992"/>
    <w:rsid w:val="00D03207"/>
    <w:rsid w:val="00D03307"/>
    <w:rsid w:val="00D03FE3"/>
    <w:rsid w:val="00D049F1"/>
    <w:rsid w:val="00D04A20"/>
    <w:rsid w:val="00D11F33"/>
    <w:rsid w:val="00D21F88"/>
    <w:rsid w:val="00D31BB4"/>
    <w:rsid w:val="00D33150"/>
    <w:rsid w:val="00D33FF1"/>
    <w:rsid w:val="00D343FA"/>
    <w:rsid w:val="00D4170E"/>
    <w:rsid w:val="00D418FF"/>
    <w:rsid w:val="00D42CFA"/>
    <w:rsid w:val="00D4517E"/>
    <w:rsid w:val="00D470CA"/>
    <w:rsid w:val="00D51122"/>
    <w:rsid w:val="00D548D1"/>
    <w:rsid w:val="00D612CD"/>
    <w:rsid w:val="00D65C76"/>
    <w:rsid w:val="00D67734"/>
    <w:rsid w:val="00D718A7"/>
    <w:rsid w:val="00D734C7"/>
    <w:rsid w:val="00D7352D"/>
    <w:rsid w:val="00D73FA8"/>
    <w:rsid w:val="00D7535E"/>
    <w:rsid w:val="00D7542B"/>
    <w:rsid w:val="00D77CC7"/>
    <w:rsid w:val="00D77CEC"/>
    <w:rsid w:val="00D813F6"/>
    <w:rsid w:val="00D81E85"/>
    <w:rsid w:val="00D8351F"/>
    <w:rsid w:val="00D908A7"/>
    <w:rsid w:val="00D9129A"/>
    <w:rsid w:val="00D91ED2"/>
    <w:rsid w:val="00D92C36"/>
    <w:rsid w:val="00D93B8F"/>
    <w:rsid w:val="00D95667"/>
    <w:rsid w:val="00D95A43"/>
    <w:rsid w:val="00D95DE4"/>
    <w:rsid w:val="00D97766"/>
    <w:rsid w:val="00DA0EF1"/>
    <w:rsid w:val="00DA1520"/>
    <w:rsid w:val="00DA1D32"/>
    <w:rsid w:val="00DA2F73"/>
    <w:rsid w:val="00DA3A87"/>
    <w:rsid w:val="00DA6AC8"/>
    <w:rsid w:val="00DA7A55"/>
    <w:rsid w:val="00DB585F"/>
    <w:rsid w:val="00DB7110"/>
    <w:rsid w:val="00DB793E"/>
    <w:rsid w:val="00DC307B"/>
    <w:rsid w:val="00DC343B"/>
    <w:rsid w:val="00DC3B99"/>
    <w:rsid w:val="00DC462F"/>
    <w:rsid w:val="00DC4800"/>
    <w:rsid w:val="00DC499A"/>
    <w:rsid w:val="00DC49F9"/>
    <w:rsid w:val="00DC5FA6"/>
    <w:rsid w:val="00DD5261"/>
    <w:rsid w:val="00DD634A"/>
    <w:rsid w:val="00DD6518"/>
    <w:rsid w:val="00DD65C4"/>
    <w:rsid w:val="00DD6A21"/>
    <w:rsid w:val="00DE18A7"/>
    <w:rsid w:val="00DE2468"/>
    <w:rsid w:val="00DE2EFB"/>
    <w:rsid w:val="00DE3951"/>
    <w:rsid w:val="00DE4031"/>
    <w:rsid w:val="00DE60CA"/>
    <w:rsid w:val="00DF4FBE"/>
    <w:rsid w:val="00DF6A23"/>
    <w:rsid w:val="00E02517"/>
    <w:rsid w:val="00E04751"/>
    <w:rsid w:val="00E052C8"/>
    <w:rsid w:val="00E0690E"/>
    <w:rsid w:val="00E070A1"/>
    <w:rsid w:val="00E13D8B"/>
    <w:rsid w:val="00E14833"/>
    <w:rsid w:val="00E15725"/>
    <w:rsid w:val="00E1675F"/>
    <w:rsid w:val="00E226C4"/>
    <w:rsid w:val="00E24FA3"/>
    <w:rsid w:val="00E266D0"/>
    <w:rsid w:val="00E26B28"/>
    <w:rsid w:val="00E3021A"/>
    <w:rsid w:val="00E30911"/>
    <w:rsid w:val="00E30FC5"/>
    <w:rsid w:val="00E31465"/>
    <w:rsid w:val="00E328CD"/>
    <w:rsid w:val="00E3489E"/>
    <w:rsid w:val="00E362F0"/>
    <w:rsid w:val="00E366FB"/>
    <w:rsid w:val="00E36B95"/>
    <w:rsid w:val="00E36D16"/>
    <w:rsid w:val="00E4003F"/>
    <w:rsid w:val="00E41360"/>
    <w:rsid w:val="00E41EBF"/>
    <w:rsid w:val="00E458F6"/>
    <w:rsid w:val="00E45954"/>
    <w:rsid w:val="00E45EE5"/>
    <w:rsid w:val="00E46704"/>
    <w:rsid w:val="00E46B62"/>
    <w:rsid w:val="00E53546"/>
    <w:rsid w:val="00E54763"/>
    <w:rsid w:val="00E54CF1"/>
    <w:rsid w:val="00E55350"/>
    <w:rsid w:val="00E55F24"/>
    <w:rsid w:val="00E62272"/>
    <w:rsid w:val="00E66D71"/>
    <w:rsid w:val="00E7500C"/>
    <w:rsid w:val="00E75696"/>
    <w:rsid w:val="00E8509E"/>
    <w:rsid w:val="00E86026"/>
    <w:rsid w:val="00E92432"/>
    <w:rsid w:val="00E93C69"/>
    <w:rsid w:val="00EA2248"/>
    <w:rsid w:val="00EA44D9"/>
    <w:rsid w:val="00EA55C6"/>
    <w:rsid w:val="00EB53DA"/>
    <w:rsid w:val="00EB689C"/>
    <w:rsid w:val="00EB6A76"/>
    <w:rsid w:val="00EC00BE"/>
    <w:rsid w:val="00EC311B"/>
    <w:rsid w:val="00EC4B75"/>
    <w:rsid w:val="00EC4D2C"/>
    <w:rsid w:val="00ED076A"/>
    <w:rsid w:val="00ED5AE4"/>
    <w:rsid w:val="00ED7341"/>
    <w:rsid w:val="00ED7C40"/>
    <w:rsid w:val="00EE056D"/>
    <w:rsid w:val="00EE23C7"/>
    <w:rsid w:val="00EE3F6C"/>
    <w:rsid w:val="00EE59FC"/>
    <w:rsid w:val="00EE6E42"/>
    <w:rsid w:val="00EE7520"/>
    <w:rsid w:val="00EE76D7"/>
    <w:rsid w:val="00EF043B"/>
    <w:rsid w:val="00EF202F"/>
    <w:rsid w:val="00F02400"/>
    <w:rsid w:val="00F02A19"/>
    <w:rsid w:val="00F060B6"/>
    <w:rsid w:val="00F0799D"/>
    <w:rsid w:val="00F07A0D"/>
    <w:rsid w:val="00F107A0"/>
    <w:rsid w:val="00F112F6"/>
    <w:rsid w:val="00F127A8"/>
    <w:rsid w:val="00F14C6D"/>
    <w:rsid w:val="00F16A4D"/>
    <w:rsid w:val="00F20D02"/>
    <w:rsid w:val="00F21CBD"/>
    <w:rsid w:val="00F220A5"/>
    <w:rsid w:val="00F22502"/>
    <w:rsid w:val="00F22E05"/>
    <w:rsid w:val="00F23DB6"/>
    <w:rsid w:val="00F331E6"/>
    <w:rsid w:val="00F34362"/>
    <w:rsid w:val="00F34BC9"/>
    <w:rsid w:val="00F40EE4"/>
    <w:rsid w:val="00F426DA"/>
    <w:rsid w:val="00F44039"/>
    <w:rsid w:val="00F513AE"/>
    <w:rsid w:val="00F54958"/>
    <w:rsid w:val="00F5514F"/>
    <w:rsid w:val="00F57C29"/>
    <w:rsid w:val="00F6018E"/>
    <w:rsid w:val="00F62353"/>
    <w:rsid w:val="00F642F1"/>
    <w:rsid w:val="00F72D0B"/>
    <w:rsid w:val="00F73CF1"/>
    <w:rsid w:val="00F741B7"/>
    <w:rsid w:val="00F74EB6"/>
    <w:rsid w:val="00F74F64"/>
    <w:rsid w:val="00F75C7F"/>
    <w:rsid w:val="00F76364"/>
    <w:rsid w:val="00F7778A"/>
    <w:rsid w:val="00F80D33"/>
    <w:rsid w:val="00F8302E"/>
    <w:rsid w:val="00F86362"/>
    <w:rsid w:val="00F86DAB"/>
    <w:rsid w:val="00F909AB"/>
    <w:rsid w:val="00F93F8C"/>
    <w:rsid w:val="00F95417"/>
    <w:rsid w:val="00FA1BA9"/>
    <w:rsid w:val="00FA28F0"/>
    <w:rsid w:val="00FA4494"/>
    <w:rsid w:val="00FA4916"/>
    <w:rsid w:val="00FA7443"/>
    <w:rsid w:val="00FA7754"/>
    <w:rsid w:val="00FA7E5C"/>
    <w:rsid w:val="00FB193D"/>
    <w:rsid w:val="00FB1A03"/>
    <w:rsid w:val="00FB3422"/>
    <w:rsid w:val="00FC588C"/>
    <w:rsid w:val="00FC769F"/>
    <w:rsid w:val="00FD01B5"/>
    <w:rsid w:val="00FD5BF0"/>
    <w:rsid w:val="00FD7AC8"/>
    <w:rsid w:val="00FD7D96"/>
    <w:rsid w:val="00FE1F4F"/>
    <w:rsid w:val="00FE6E9E"/>
    <w:rsid w:val="00FE7659"/>
    <w:rsid w:val="00FF08A8"/>
    <w:rsid w:val="00FF370B"/>
    <w:rsid w:val="00FF47AF"/>
    <w:rsid w:val="00FF488E"/>
    <w:rsid w:val="00FF5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149F1BED"/>
  <w15:chartTrackingRefBased/>
  <w15:docId w15:val="{B3FEE6B7-E4E1-462A-83C7-3BBAC5A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link w:val="ListNumberChar"/>
    <w:qFormat/>
    <w:rsid w:val="007B06EA"/>
    <w:pPr>
      <w:tabs>
        <w:tab w:val="left" w:pos="1134"/>
      </w:tabs>
      <w:spacing w:before="120" w:after="120"/>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locked/>
    <w:rsid w:val="00434DF9"/>
    <w:pPr>
      <w:spacing w:before="0" w:after="0"/>
    </w:pPr>
    <w:rPr>
      <w:sz w:val="20"/>
      <w:szCs w:val="20"/>
    </w:rPr>
  </w:style>
  <w:style w:type="character" w:customStyle="1" w:styleId="FootnoteTextChar">
    <w:name w:val="Footnote Text Char"/>
    <w:basedOn w:val="DefaultParagraphFont"/>
    <w:link w:val="FootnoteText"/>
    <w:rsid w:val="00434DF9"/>
    <w:rPr>
      <w:rFonts w:ascii="Open Sans" w:eastAsia="MS Mincho" w:hAnsi="Open Sans"/>
    </w:rPr>
  </w:style>
  <w:style w:type="character" w:styleId="FootnoteReference">
    <w:name w:val="footnote reference"/>
    <w:basedOn w:val="DefaultParagraphFont"/>
    <w:locked/>
    <w:rsid w:val="00434DF9"/>
    <w:rPr>
      <w:vertAlign w:val="superscript"/>
    </w:rPr>
  </w:style>
  <w:style w:type="paragraph" w:customStyle="1" w:styleId="Quotesub">
    <w:name w:val="Quote sub"/>
    <w:basedOn w:val="EndnoteText"/>
    <w:link w:val="QuotesubChar"/>
    <w:qFormat/>
    <w:rsid w:val="003A4792"/>
    <w:pPr>
      <w:spacing w:before="120" w:after="120"/>
      <w:ind w:left="1134" w:firstLine="0"/>
    </w:pPr>
    <w:rPr>
      <w:sz w:val="22"/>
      <w:szCs w:val="22"/>
    </w:rPr>
  </w:style>
  <w:style w:type="character" w:customStyle="1" w:styleId="ListNumberChar">
    <w:name w:val="List Number Char"/>
    <w:basedOn w:val="DefaultParagraphFont"/>
    <w:link w:val="ListNumber"/>
    <w:rsid w:val="007231E8"/>
    <w:rPr>
      <w:rFonts w:ascii="Open Sans" w:eastAsia="MS Mincho" w:hAnsi="Open Sans"/>
      <w:sz w:val="24"/>
      <w:szCs w:val="24"/>
    </w:rPr>
  </w:style>
  <w:style w:type="character" w:customStyle="1" w:styleId="QuotesubChar">
    <w:name w:val="Quote sub Char"/>
    <w:basedOn w:val="SubmissionNormalChar"/>
    <w:link w:val="Quotesub"/>
    <w:rsid w:val="003A4792"/>
    <w:rPr>
      <w:rFonts w:ascii="Open Sans" w:eastAsia="MS Mincho" w:hAnsi="Open Sans"/>
      <w:sz w:val="22"/>
      <w:szCs w:val="22"/>
    </w:rPr>
  </w:style>
  <w:style w:type="paragraph" w:customStyle="1" w:styleId="subsection">
    <w:name w:val="subsection"/>
    <w:basedOn w:val="Normal"/>
    <w:rsid w:val="006D36E5"/>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6D36E5"/>
    <w:pPr>
      <w:spacing w:before="100" w:beforeAutospacing="1" w:after="100" w:afterAutospacing="1"/>
    </w:pPr>
    <w:rPr>
      <w:rFonts w:ascii="Times New Roman" w:eastAsia="Times New Roman" w:hAnsi="Times New Roman"/>
    </w:rPr>
  </w:style>
  <w:style w:type="paragraph" w:customStyle="1" w:styleId="Default">
    <w:name w:val="Default"/>
    <w:rsid w:val="00913CAB"/>
    <w:pPr>
      <w:autoSpaceDE w:val="0"/>
      <w:autoSpaceDN w:val="0"/>
      <w:adjustRightInd w:val="0"/>
    </w:pPr>
    <w:rPr>
      <w:color w:val="000000"/>
      <w:sz w:val="24"/>
      <w:szCs w:val="24"/>
    </w:rPr>
  </w:style>
  <w:style w:type="paragraph" w:customStyle="1" w:styleId="Subnumbered">
    <w:name w:val="Sub numbered"/>
    <w:basedOn w:val="ListNumber"/>
    <w:link w:val="SubnumberedChar"/>
    <w:qFormat/>
    <w:rsid w:val="00727942"/>
    <w:pPr>
      <w:numPr>
        <w:numId w:val="15"/>
      </w:numPr>
      <w:tabs>
        <w:tab w:val="left" w:pos="1418"/>
      </w:tabs>
    </w:pPr>
  </w:style>
  <w:style w:type="character" w:customStyle="1" w:styleId="SubnumberedChar">
    <w:name w:val="Sub numbered Char"/>
    <w:basedOn w:val="ListNumberChar"/>
    <w:link w:val="Subnumbered"/>
    <w:rsid w:val="00727942"/>
    <w:rPr>
      <w:rFonts w:ascii="Open Sans" w:eastAsia="MS Mincho" w:hAnsi="Open Sans"/>
      <w:sz w:val="24"/>
      <w:szCs w:val="24"/>
    </w:rPr>
  </w:style>
  <w:style w:type="paragraph" w:styleId="Revision">
    <w:name w:val="Revision"/>
    <w:hidden/>
    <w:uiPriority w:val="99"/>
    <w:semiHidden/>
    <w:rsid w:val="00EE056D"/>
    <w:rPr>
      <w:rFonts w:ascii="Open Sans" w:eastAsia="MS Mincho" w:hAnsi="Open Sans"/>
      <w:sz w:val="24"/>
      <w:szCs w:val="24"/>
    </w:rPr>
  </w:style>
  <w:style w:type="character" w:customStyle="1" w:styleId="UnresolvedMention">
    <w:name w:val="Unresolved Mention"/>
    <w:basedOn w:val="DefaultParagraphFont"/>
    <w:uiPriority w:val="99"/>
    <w:semiHidden/>
    <w:unhideWhenUsed/>
    <w:rsid w:val="0028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7946">
      <w:bodyDiv w:val="1"/>
      <w:marLeft w:val="0"/>
      <w:marRight w:val="0"/>
      <w:marTop w:val="0"/>
      <w:marBottom w:val="0"/>
      <w:divBdr>
        <w:top w:val="none" w:sz="0" w:space="0" w:color="auto"/>
        <w:left w:val="none" w:sz="0" w:space="0" w:color="auto"/>
        <w:bottom w:val="none" w:sz="0" w:space="0" w:color="auto"/>
        <w:right w:val="none" w:sz="0" w:space="0" w:color="auto"/>
      </w:divBdr>
    </w:div>
    <w:div w:id="248471395">
      <w:bodyDiv w:val="1"/>
      <w:marLeft w:val="0"/>
      <w:marRight w:val="0"/>
      <w:marTop w:val="0"/>
      <w:marBottom w:val="0"/>
      <w:divBdr>
        <w:top w:val="none" w:sz="0" w:space="0" w:color="auto"/>
        <w:left w:val="none" w:sz="0" w:space="0" w:color="auto"/>
        <w:bottom w:val="none" w:sz="0" w:space="0" w:color="auto"/>
        <w:right w:val="none" w:sz="0" w:space="0" w:color="auto"/>
      </w:divBdr>
      <w:divsChild>
        <w:div w:id="218367560">
          <w:marLeft w:val="0"/>
          <w:marRight w:val="0"/>
          <w:marTop w:val="0"/>
          <w:marBottom w:val="0"/>
          <w:divBdr>
            <w:top w:val="none" w:sz="0" w:space="0" w:color="auto"/>
            <w:left w:val="none" w:sz="0" w:space="0" w:color="auto"/>
            <w:bottom w:val="none" w:sz="0" w:space="0" w:color="auto"/>
            <w:right w:val="none" w:sz="0" w:space="0" w:color="auto"/>
          </w:divBdr>
          <w:divsChild>
            <w:div w:id="1200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7523">
      <w:bodyDiv w:val="1"/>
      <w:marLeft w:val="0"/>
      <w:marRight w:val="0"/>
      <w:marTop w:val="0"/>
      <w:marBottom w:val="0"/>
      <w:divBdr>
        <w:top w:val="none" w:sz="0" w:space="0" w:color="auto"/>
        <w:left w:val="none" w:sz="0" w:space="0" w:color="auto"/>
        <w:bottom w:val="none" w:sz="0" w:space="0" w:color="auto"/>
        <w:right w:val="none" w:sz="0" w:space="0" w:color="auto"/>
      </w:divBdr>
      <w:divsChild>
        <w:div w:id="1004240528">
          <w:marLeft w:val="480"/>
          <w:marRight w:val="0"/>
          <w:marTop w:val="0"/>
          <w:marBottom w:val="0"/>
          <w:divBdr>
            <w:top w:val="none" w:sz="0" w:space="0" w:color="auto"/>
            <w:left w:val="none" w:sz="0" w:space="0" w:color="auto"/>
            <w:bottom w:val="none" w:sz="0" w:space="0" w:color="auto"/>
            <w:right w:val="none" w:sz="0" w:space="0" w:color="auto"/>
          </w:divBdr>
          <w:divsChild>
            <w:div w:id="280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97734332">
      <w:bodyDiv w:val="1"/>
      <w:marLeft w:val="0"/>
      <w:marRight w:val="0"/>
      <w:marTop w:val="0"/>
      <w:marBottom w:val="0"/>
      <w:divBdr>
        <w:top w:val="none" w:sz="0" w:space="0" w:color="auto"/>
        <w:left w:val="none" w:sz="0" w:space="0" w:color="auto"/>
        <w:bottom w:val="none" w:sz="0" w:space="0" w:color="auto"/>
        <w:right w:val="none" w:sz="0" w:space="0" w:color="auto"/>
      </w:divBdr>
    </w:div>
    <w:div w:id="1536768195">
      <w:bodyDiv w:val="1"/>
      <w:marLeft w:val="0"/>
      <w:marRight w:val="0"/>
      <w:marTop w:val="0"/>
      <w:marBottom w:val="0"/>
      <w:divBdr>
        <w:top w:val="none" w:sz="0" w:space="0" w:color="auto"/>
        <w:left w:val="none" w:sz="0" w:space="0" w:color="auto"/>
        <w:bottom w:val="none" w:sz="0" w:space="0" w:color="auto"/>
        <w:right w:val="none" w:sz="0" w:space="0" w:color="auto"/>
      </w:divBdr>
      <w:divsChild>
        <w:div w:id="1288464280">
          <w:marLeft w:val="0"/>
          <w:marRight w:val="0"/>
          <w:marTop w:val="0"/>
          <w:marBottom w:val="0"/>
          <w:divBdr>
            <w:top w:val="none" w:sz="0" w:space="0" w:color="auto"/>
            <w:left w:val="none" w:sz="0" w:space="0" w:color="auto"/>
            <w:bottom w:val="none" w:sz="0" w:space="0" w:color="auto"/>
            <w:right w:val="none" w:sz="0" w:space="0" w:color="auto"/>
          </w:divBdr>
          <w:divsChild>
            <w:div w:id="1238327221">
              <w:marLeft w:val="0"/>
              <w:marRight w:val="0"/>
              <w:marTop w:val="0"/>
              <w:marBottom w:val="0"/>
              <w:divBdr>
                <w:top w:val="none" w:sz="0" w:space="0" w:color="auto"/>
                <w:left w:val="none" w:sz="0" w:space="0" w:color="auto"/>
                <w:bottom w:val="none" w:sz="0" w:space="0" w:color="auto"/>
                <w:right w:val="none" w:sz="0" w:space="0" w:color="auto"/>
              </w:divBdr>
              <w:divsChild>
                <w:div w:id="17955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432">
      <w:bodyDiv w:val="1"/>
      <w:marLeft w:val="0"/>
      <w:marRight w:val="0"/>
      <w:marTop w:val="0"/>
      <w:marBottom w:val="0"/>
      <w:divBdr>
        <w:top w:val="none" w:sz="0" w:space="0" w:color="auto"/>
        <w:left w:val="none" w:sz="0" w:space="0" w:color="auto"/>
        <w:bottom w:val="none" w:sz="0" w:space="0" w:color="auto"/>
        <w:right w:val="none" w:sz="0" w:space="0" w:color="auto"/>
      </w:divBdr>
    </w:div>
    <w:div w:id="19733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1FD5-61C8-496F-A207-FCE35868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46</TotalTime>
  <Pages>29</Pages>
  <Words>7806</Words>
  <Characters>42299</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50005</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Edward Santow</dc:creator>
  <cp:keywords/>
  <cp:lastModifiedBy>Jennifer Lim</cp:lastModifiedBy>
  <cp:revision>6</cp:revision>
  <cp:lastPrinted>2019-01-09T03:29:00Z</cp:lastPrinted>
  <dcterms:created xsi:type="dcterms:W3CDTF">2019-01-09T23:09:00Z</dcterms:created>
  <dcterms:modified xsi:type="dcterms:W3CDTF">2019-01-09T23:58:00Z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id="k5ZHMs8Z"/&gt;&lt;style id="http://www.zotero.org/styles/ahrc-australian-guide-to-legal-citation" hasBibliography="1" bibliographyStyleHasBeenSet="0"/&gt;&lt;prefs&gt;&lt;pref name="fieldType" value="Field"/&gt;&lt;pref</vt:lpwstr>
  </property>
  <property fmtid="{D5CDD505-2E9C-101B-9397-08002B2CF9AE}" pid="3" name="ZOTERO_PREF_2">
    <vt:lpwstr> name="automaticJournalAbbreviations" value="true"/&gt;&lt;pref name="noteType" value="1"/&gt;&lt;/prefs&gt;&lt;/data&gt;</vt:lpwstr>
  </property>
</Properties>
</file>