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BBBF9" w14:textId="77777777" w:rsidR="00591951" w:rsidRPr="00CB4A83" w:rsidRDefault="00410A6F" w:rsidP="007263A6">
      <w:pPr>
        <w:spacing w:before="0" w:after="0"/>
        <w:rPr>
          <w:rStyle w:val="FootnoteReference"/>
        </w:rPr>
      </w:pPr>
      <w:r w:rsidRPr="00CB4A83">
        <w:rPr>
          <w:noProof/>
        </w:rPr>
        <mc:AlternateContent>
          <mc:Choice Requires="wps">
            <w:drawing>
              <wp:anchor distT="0" distB="0" distL="114300" distR="114300" simplePos="0" relativeHeight="251656704" behindDoc="0" locked="0" layoutInCell="1" allowOverlap="1" wp14:anchorId="392C1882" wp14:editId="6BB518C1">
                <wp:simplePos x="0" y="0"/>
                <wp:positionH relativeFrom="column">
                  <wp:posOffset>86898</wp:posOffset>
                </wp:positionH>
                <wp:positionV relativeFrom="paragraph">
                  <wp:posOffset>-42611</wp:posOffset>
                </wp:positionV>
                <wp:extent cx="5548610" cy="1598797"/>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8610" cy="1598797"/>
                        </a:xfrm>
                        <a:prstGeom prst="rect">
                          <a:avLst/>
                        </a:prstGeom>
                        <a:noFill/>
                        <a:ln w="6350">
                          <a:noFill/>
                        </a:ln>
                        <a:effectLst/>
                      </wps:spPr>
                      <wps:txbx>
                        <w:txbxContent>
                          <w:p w14:paraId="4FFC2238" w14:textId="77777777" w:rsidR="008A3983" w:rsidRPr="00AF28DB" w:rsidRDefault="008A3983" w:rsidP="00AF28DB">
                            <w:pPr>
                              <w:pStyle w:val="MainTitle"/>
                            </w:pPr>
                            <w:r w:rsidRPr="00AF28DB">
                              <w:t>Australian Border Force Amendment (Protected Information) Bill 2017 (</w:t>
                            </w:r>
                            <w:proofErr w:type="spellStart"/>
                            <w:r w:rsidRPr="00AF28DB">
                              <w:t>Cth</w:t>
                            </w:r>
                            <w:proofErr w:type="spellEnd"/>
                            <w:r w:rsidRPr="00AF28D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C1882" id="_x0000_t202" coordsize="21600,21600" o:spt="202" path="m,l,21600r21600,l21600,xe">
                <v:stroke joinstyle="miter"/>
                <v:path gradientshapeok="t" o:connecttype="rect"/>
              </v:shapetype>
              <v:shape id="Text Box 1" o:spid="_x0000_s1026" type="#_x0000_t202" style="position:absolute;margin-left:6.85pt;margin-top:-3.35pt;width:436.9pt;height:12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" filled="f" stroked="f" strokeweight=".5pt">
                <v:path arrowok="t"/>
                <v:textbox>
                  <w:txbxContent>
                    <w:p w14:paraId="4FFC2238" w14:textId="77777777" w:rsidR="008A3983" w:rsidRPr="00AF28DB" w:rsidRDefault="008A3983" w:rsidP="00AF28DB">
                      <w:pPr>
                        <w:pStyle w:val="MainTitle"/>
                      </w:pPr>
                      <w:r w:rsidRPr="00AF28DB">
                        <w:t xml:space="preserve">Australian Border Force Amendment (Protected Information) Bill 2017 (Cth) </w:t>
                      </w:r>
                    </w:p>
                  </w:txbxContent>
                </v:textbox>
              </v:shape>
            </w:pict>
          </mc:Fallback>
        </mc:AlternateContent>
      </w:r>
    </w:p>
    <w:p w14:paraId="282731A6" w14:textId="77777777" w:rsidR="00591951" w:rsidRPr="00CB4A83" w:rsidRDefault="00591951" w:rsidP="007263A6">
      <w:pPr>
        <w:spacing w:before="0" w:after="0"/>
        <w:rPr>
          <w:sz w:val="44"/>
          <w:szCs w:val="44"/>
        </w:rPr>
      </w:pPr>
    </w:p>
    <w:p w14:paraId="02A88041" w14:textId="77777777" w:rsidR="00B924E6" w:rsidRDefault="00B924E6" w:rsidP="007263A6">
      <w:pPr>
        <w:spacing w:before="0" w:after="0"/>
      </w:pPr>
      <w:bookmarkStart w:id="0" w:name="_Toc209316062"/>
      <w:bookmarkEnd w:id="0"/>
    </w:p>
    <w:p w14:paraId="154CF404" w14:textId="77777777" w:rsidR="00AF28DB" w:rsidRDefault="00AF28DB" w:rsidP="007263A6">
      <w:pPr>
        <w:spacing w:before="0" w:after="0"/>
      </w:pPr>
    </w:p>
    <w:p w14:paraId="4439EBFC" w14:textId="77777777" w:rsidR="00AF28DB" w:rsidRDefault="00AF28DB" w:rsidP="007263A6">
      <w:pPr>
        <w:spacing w:before="0" w:after="0"/>
      </w:pPr>
    </w:p>
    <w:p w14:paraId="7D1F0BAB" w14:textId="77777777" w:rsidR="00AF28DB" w:rsidRDefault="00AF28DB" w:rsidP="007263A6">
      <w:pPr>
        <w:spacing w:before="0" w:after="0"/>
      </w:pPr>
    </w:p>
    <w:p w14:paraId="2B0F9941" w14:textId="77777777" w:rsidR="00AF28DB" w:rsidRDefault="00AF28DB" w:rsidP="007263A6">
      <w:pPr>
        <w:spacing w:before="0" w:after="0"/>
      </w:pPr>
    </w:p>
    <w:p w14:paraId="10772F74" w14:textId="77777777" w:rsidR="00AF28DB" w:rsidRDefault="00CF4AA4" w:rsidP="007263A6">
      <w:pPr>
        <w:spacing w:before="0" w:after="0"/>
      </w:pPr>
      <w:r w:rsidRPr="00CB4A83">
        <w:rPr>
          <w:noProof/>
        </w:rPr>
        <mc:AlternateContent>
          <mc:Choice Requires="wps">
            <w:drawing>
              <wp:anchor distT="0" distB="0" distL="114300" distR="114300" simplePos="0" relativeHeight="251657728" behindDoc="0" locked="0" layoutInCell="1" allowOverlap="1" wp14:anchorId="1D8382AD" wp14:editId="5938E350">
                <wp:simplePos x="0" y="0"/>
                <wp:positionH relativeFrom="column">
                  <wp:posOffset>1128786</wp:posOffset>
                </wp:positionH>
                <wp:positionV relativeFrom="paragraph">
                  <wp:posOffset>32890</wp:posOffset>
                </wp:positionV>
                <wp:extent cx="4495800" cy="630476"/>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630476"/>
                        </a:xfrm>
                        <a:prstGeom prst="rect">
                          <a:avLst/>
                        </a:prstGeom>
                        <a:noFill/>
                        <a:ln w="6350">
                          <a:noFill/>
                        </a:ln>
                        <a:effectLst/>
                      </wps:spPr>
                      <wps:txbx>
                        <w:txbxContent>
                          <w:p w14:paraId="689A3A0C" w14:textId="77777777" w:rsidR="008A3983" w:rsidRPr="00984475" w:rsidRDefault="008A3983" w:rsidP="00984475">
                            <w:pPr>
                              <w:pStyle w:val="Subtitle"/>
                              <w:spacing w:before="60" w:after="60"/>
                              <w:rPr>
                                <w:sz w:val="22"/>
                                <w:szCs w:val="22"/>
                              </w:rPr>
                            </w:pPr>
                            <w:bookmarkStart w:id="1" w:name="_Toc491700670"/>
                            <w:bookmarkStart w:id="2" w:name="_Toc491957883"/>
                            <w:bookmarkStart w:id="3" w:name="_Toc491957915"/>
                            <w:bookmarkStart w:id="4" w:name="_Toc491957992"/>
                            <w:bookmarkStart w:id="5" w:name="_Toc491698733"/>
                            <w:bookmarkStart w:id="6" w:name="_Toc479847831"/>
                            <w:r w:rsidRPr="00984475">
                              <w:rPr>
                                <w:sz w:val="22"/>
                                <w:szCs w:val="22"/>
                              </w:rPr>
                              <w:t>Australian Human Rights Commission submission to the Senate Legal and Constitutional Affairs Legislation Committee</w:t>
                            </w:r>
                            <w:bookmarkEnd w:id="1"/>
                            <w:bookmarkEnd w:id="2"/>
                            <w:bookmarkEnd w:id="3"/>
                            <w:bookmarkEnd w:id="4"/>
                            <w:r w:rsidRPr="00984475">
                              <w:rPr>
                                <w:sz w:val="22"/>
                                <w:szCs w:val="22"/>
                              </w:rPr>
                              <w:t xml:space="preserve"> </w:t>
                            </w:r>
                          </w:p>
                          <w:p w14:paraId="7FB1C741" w14:textId="77777777" w:rsidR="008A3983" w:rsidRDefault="008A3983"/>
                          <w:p w14:paraId="62361434" w14:textId="77777777" w:rsidR="008A3983" w:rsidRPr="00B74219" w:rsidRDefault="008A3983" w:rsidP="00A11307">
                            <w:pPr>
                              <w:pStyle w:val="Subtitle"/>
                            </w:pPr>
                            <w:bookmarkStart w:id="7" w:name="_Toc491700671"/>
                            <w:bookmarkStart w:id="8" w:name="_Toc491957884"/>
                            <w:bookmarkStart w:id="9" w:name="_Toc491957916"/>
                            <w:bookmarkStart w:id="10" w:name="_Toc491957993"/>
                            <w:r w:rsidRPr="002863D7">
                              <w:t>Australian Human Rights C</w:t>
                            </w:r>
                            <w:r>
                              <w:t>ommission s</w:t>
                            </w:r>
                            <w:r w:rsidRPr="002863D7">
                              <w:t xml:space="preserve">ubmission to the </w:t>
                            </w:r>
                            <w:r>
                              <w:t>Senate Legal and Constitutional Affairs Legislation Committee</w:t>
                            </w:r>
                            <w:bookmarkEnd w:id="7"/>
                            <w:bookmarkEnd w:id="8"/>
                            <w:bookmarkEnd w:id="9"/>
                            <w:bookmarkEnd w:id="10"/>
                            <w:r>
                              <w:t xml:space="preserve"> </w:t>
                            </w:r>
                          </w:p>
                          <w:p w14:paraId="4FB1F804" w14:textId="77777777" w:rsidR="008A3983" w:rsidRDefault="008A3983"/>
                          <w:p w14:paraId="79848538" w14:textId="77777777" w:rsidR="008A3983" w:rsidRPr="00B74219" w:rsidRDefault="008A3983" w:rsidP="00A11307">
                            <w:pPr>
                              <w:pStyle w:val="Subtitle"/>
                            </w:pPr>
                            <w:bookmarkStart w:id="11" w:name="_Toc491700672"/>
                            <w:bookmarkStart w:id="12" w:name="_Toc491957885"/>
                            <w:bookmarkStart w:id="13" w:name="_Toc491957917"/>
                            <w:bookmarkStart w:id="14" w:name="_Toc491957994"/>
                            <w:r w:rsidRPr="002863D7">
                              <w:t>Australian Human Rights C</w:t>
                            </w:r>
                            <w:r>
                              <w:t>ommission s</w:t>
                            </w:r>
                            <w:r w:rsidRPr="002863D7">
                              <w:t xml:space="preserve">ubmission to the </w:t>
                            </w:r>
                            <w:r>
                              <w:t>Senate Legal and Constitutional Affairs Legislation Committee</w:t>
                            </w:r>
                            <w:bookmarkEnd w:id="5"/>
                            <w:bookmarkEnd w:id="11"/>
                            <w:bookmarkEnd w:id="12"/>
                            <w:bookmarkEnd w:id="13"/>
                            <w:bookmarkEnd w:id="14"/>
                            <w:r>
                              <w:t xml:space="preserve"> </w:t>
                            </w:r>
                          </w:p>
                          <w:p w14:paraId="6BF7B864" w14:textId="77777777" w:rsidR="008A3983" w:rsidRDefault="008A3983"/>
                          <w:p w14:paraId="1969C8B2" w14:textId="77777777" w:rsidR="008A3983" w:rsidRPr="00B74219" w:rsidRDefault="008A3983" w:rsidP="00A11307">
                            <w:pPr>
                              <w:pStyle w:val="Subtitle"/>
                            </w:pPr>
                            <w:bookmarkStart w:id="15" w:name="_Toc491957886"/>
                            <w:bookmarkStart w:id="16" w:name="_Toc491957918"/>
                            <w:bookmarkStart w:id="17" w:name="_Toc491957995"/>
                            <w:r w:rsidRPr="002863D7">
                              <w:t>Australian Human Rights C</w:t>
                            </w:r>
                            <w:r>
                              <w:t>ommission s</w:t>
                            </w:r>
                            <w:r w:rsidRPr="002863D7">
                              <w:t xml:space="preserve">ubmission to the </w:t>
                            </w:r>
                            <w:r>
                              <w:t>Senate Legal and Constitutional Affairs Legislation Committee</w:t>
                            </w:r>
                            <w:bookmarkEnd w:id="6"/>
                            <w:bookmarkEnd w:id="15"/>
                            <w:bookmarkEnd w:id="16"/>
                            <w:bookmarkEnd w:id="1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382AD" id="Text Box 3" o:spid="_x0000_s1027" type="#_x0000_t202" style="position:absolute;margin-left:88.9pt;margin-top:2.6pt;width:354pt;height:4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" filled="f" stroked="f" strokeweight=".5pt">
                <v:path arrowok="t"/>
                <v:textbox>
                  <w:txbxContent>
                    <w:p w14:paraId="689A3A0C" w14:textId="77777777" w:rsidR="008A3983" w:rsidRPr="00984475" w:rsidRDefault="008A3983" w:rsidP="00984475">
                      <w:pPr>
                        <w:pStyle w:val="Subtitle"/>
                        <w:spacing w:before="60" w:after="60"/>
                        <w:rPr>
                          <w:sz w:val="22"/>
                          <w:szCs w:val="22"/>
                        </w:rPr>
                      </w:pPr>
                      <w:bookmarkStart w:id="18" w:name="_Toc491700670"/>
                      <w:bookmarkStart w:id="19" w:name="_Toc491957883"/>
                      <w:bookmarkStart w:id="20" w:name="_Toc491957915"/>
                      <w:bookmarkStart w:id="21" w:name="_Toc491957992"/>
                      <w:bookmarkStart w:id="22" w:name="_Toc491698733"/>
                      <w:bookmarkStart w:id="23" w:name="_Toc479847831"/>
                      <w:r w:rsidRPr="00984475">
                        <w:rPr>
                          <w:sz w:val="22"/>
                          <w:szCs w:val="22"/>
                        </w:rPr>
                        <w:t>Australian Human Rights Commission submission to the Senate Legal and Constitutional Affairs Legislation Committee</w:t>
                      </w:r>
                      <w:bookmarkEnd w:id="18"/>
                      <w:bookmarkEnd w:id="19"/>
                      <w:bookmarkEnd w:id="20"/>
                      <w:bookmarkEnd w:id="21"/>
                      <w:r w:rsidRPr="00984475">
                        <w:rPr>
                          <w:sz w:val="22"/>
                          <w:szCs w:val="22"/>
                        </w:rPr>
                        <w:t xml:space="preserve"> </w:t>
                      </w:r>
                    </w:p>
                    <w:p w14:paraId="7FB1C741" w14:textId="77777777" w:rsidR="008A3983" w:rsidRDefault="008A3983"/>
                    <w:p w14:paraId="62361434" w14:textId="77777777" w:rsidR="008A3983" w:rsidRPr="00B74219" w:rsidRDefault="008A3983" w:rsidP="00A11307">
                      <w:pPr>
                        <w:pStyle w:val="Subtitle"/>
                      </w:pPr>
                      <w:bookmarkStart w:id="24" w:name="_Toc491700671"/>
                      <w:bookmarkStart w:id="25" w:name="_Toc491957884"/>
                      <w:bookmarkStart w:id="26" w:name="_Toc491957916"/>
                      <w:bookmarkStart w:id="27" w:name="_Toc491957993"/>
                      <w:r w:rsidRPr="002863D7">
                        <w:t>Australian Human Rights C</w:t>
                      </w:r>
                      <w:r>
                        <w:t>ommission s</w:t>
                      </w:r>
                      <w:r w:rsidRPr="002863D7">
                        <w:t xml:space="preserve">ubmission to the </w:t>
                      </w:r>
                      <w:r>
                        <w:t>Senate Legal and Constitutional Affairs Legislation Committee</w:t>
                      </w:r>
                      <w:bookmarkEnd w:id="24"/>
                      <w:bookmarkEnd w:id="25"/>
                      <w:bookmarkEnd w:id="26"/>
                      <w:bookmarkEnd w:id="27"/>
                      <w:r>
                        <w:t xml:space="preserve"> </w:t>
                      </w:r>
                    </w:p>
                    <w:p w14:paraId="4FB1F804" w14:textId="77777777" w:rsidR="008A3983" w:rsidRDefault="008A3983"/>
                    <w:p w14:paraId="79848538" w14:textId="77777777" w:rsidR="008A3983" w:rsidRPr="00B74219" w:rsidRDefault="008A3983" w:rsidP="00A11307">
                      <w:pPr>
                        <w:pStyle w:val="Subtitle"/>
                      </w:pPr>
                      <w:bookmarkStart w:id="28" w:name="_Toc491700672"/>
                      <w:bookmarkStart w:id="29" w:name="_Toc491957885"/>
                      <w:bookmarkStart w:id="30" w:name="_Toc491957917"/>
                      <w:bookmarkStart w:id="31" w:name="_Toc491957994"/>
                      <w:r w:rsidRPr="002863D7">
                        <w:t>Australian Human Rights C</w:t>
                      </w:r>
                      <w:r>
                        <w:t>ommission s</w:t>
                      </w:r>
                      <w:r w:rsidRPr="002863D7">
                        <w:t xml:space="preserve">ubmission to the </w:t>
                      </w:r>
                      <w:r>
                        <w:t>Senate Legal and Constitutional Affairs Legislation Committee</w:t>
                      </w:r>
                      <w:bookmarkEnd w:id="22"/>
                      <w:bookmarkEnd w:id="28"/>
                      <w:bookmarkEnd w:id="29"/>
                      <w:bookmarkEnd w:id="30"/>
                      <w:bookmarkEnd w:id="31"/>
                      <w:r>
                        <w:t xml:space="preserve"> </w:t>
                      </w:r>
                    </w:p>
                    <w:p w14:paraId="6BF7B864" w14:textId="77777777" w:rsidR="008A3983" w:rsidRDefault="008A3983"/>
                    <w:p w14:paraId="1969C8B2" w14:textId="77777777" w:rsidR="008A3983" w:rsidRPr="00B74219" w:rsidRDefault="008A3983" w:rsidP="00A11307">
                      <w:pPr>
                        <w:pStyle w:val="Subtitle"/>
                      </w:pPr>
                      <w:bookmarkStart w:id="32" w:name="_Toc491957886"/>
                      <w:bookmarkStart w:id="33" w:name="_Toc491957918"/>
                      <w:bookmarkStart w:id="34" w:name="_Toc491957995"/>
                      <w:r w:rsidRPr="002863D7">
                        <w:t>Australian Human Rights C</w:t>
                      </w:r>
                      <w:r>
                        <w:t>ommission s</w:t>
                      </w:r>
                      <w:r w:rsidRPr="002863D7">
                        <w:t xml:space="preserve">ubmission to the </w:t>
                      </w:r>
                      <w:r>
                        <w:t>Senate Legal and Constitutional Affairs Legislation Committee</w:t>
                      </w:r>
                      <w:bookmarkEnd w:id="23"/>
                      <w:bookmarkEnd w:id="32"/>
                      <w:bookmarkEnd w:id="33"/>
                      <w:bookmarkEnd w:id="34"/>
                      <w:r>
                        <w:t xml:space="preserve"> </w:t>
                      </w:r>
                    </w:p>
                  </w:txbxContent>
                </v:textbox>
              </v:shape>
            </w:pict>
          </mc:Fallback>
        </mc:AlternateContent>
      </w:r>
    </w:p>
    <w:p w14:paraId="47642AA4" w14:textId="77777777" w:rsidR="00AF28DB" w:rsidRDefault="00AF28DB" w:rsidP="007263A6">
      <w:pPr>
        <w:spacing w:before="0" w:after="0"/>
      </w:pPr>
    </w:p>
    <w:p w14:paraId="68C4A394" w14:textId="77777777" w:rsidR="00AF28DB" w:rsidRDefault="00AF28DB" w:rsidP="007263A6">
      <w:pPr>
        <w:spacing w:before="0" w:after="0"/>
      </w:pPr>
    </w:p>
    <w:p w14:paraId="5AC441FA" w14:textId="77777777" w:rsidR="00AF28DB" w:rsidRDefault="00AF28DB" w:rsidP="007263A6">
      <w:pPr>
        <w:spacing w:before="0" w:after="0"/>
      </w:pPr>
    </w:p>
    <w:p w14:paraId="3623EC29" w14:textId="77777777" w:rsidR="00AF28DB" w:rsidRDefault="00AF28DB" w:rsidP="007263A6">
      <w:pPr>
        <w:spacing w:before="0" w:after="0"/>
      </w:pPr>
    </w:p>
    <w:p w14:paraId="1B27C0A8" w14:textId="77777777" w:rsidR="00AF28DB" w:rsidRDefault="00AF28DB" w:rsidP="007263A6">
      <w:pPr>
        <w:spacing w:before="0" w:after="0"/>
      </w:pPr>
      <w:r w:rsidRPr="00CB4A83">
        <w:rPr>
          <w:noProof/>
        </w:rPr>
        <mc:AlternateContent>
          <mc:Choice Requires="wps">
            <w:drawing>
              <wp:anchor distT="0" distB="0" distL="114300" distR="114300" simplePos="0" relativeHeight="251660288" behindDoc="0" locked="0" layoutInCell="1" allowOverlap="1" wp14:anchorId="7675644D" wp14:editId="1095E1ED">
                <wp:simplePos x="0" y="0"/>
                <wp:positionH relativeFrom="column">
                  <wp:posOffset>1905000</wp:posOffset>
                </wp:positionH>
                <wp:positionV relativeFrom="paragraph">
                  <wp:posOffset>166900</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15DA58CE" w14:textId="77777777" w:rsidR="008A3983" w:rsidRPr="00B74219" w:rsidRDefault="008A3983" w:rsidP="002863D7">
                            <w:pPr>
                              <w:pStyle w:val="Date"/>
                            </w:pPr>
                            <w:r w:rsidRPr="00F53559">
                              <w:t>1 September</w:t>
                            </w:r>
                            <w:r>
                              <w:t xml:space="preserve"> 2017</w:t>
                            </w:r>
                          </w:p>
                          <w:p w14:paraId="748D8C1B" w14:textId="77777777" w:rsidR="008A3983" w:rsidRDefault="008A3983"/>
                          <w:p w14:paraId="7544EDA1" w14:textId="77777777" w:rsidR="008A3983" w:rsidRPr="00B74219" w:rsidRDefault="008A3983" w:rsidP="002863D7">
                            <w:pPr>
                              <w:pStyle w:val="Date"/>
                            </w:pPr>
                            <w:r w:rsidRPr="00410A6F">
                              <w:rPr>
                                <w:highlight w:val="yellow"/>
                              </w:rPr>
                              <w:t>1 September</w:t>
                            </w:r>
                            <w:r>
                              <w:t xml:space="preserve"> 2017</w:t>
                            </w:r>
                          </w:p>
                          <w:p w14:paraId="705D2336" w14:textId="77777777" w:rsidR="008A3983" w:rsidRDefault="008A3983"/>
                          <w:p w14:paraId="401CB3D8" w14:textId="77777777" w:rsidR="008A3983" w:rsidRPr="00B74219" w:rsidRDefault="008A3983" w:rsidP="002863D7">
                            <w:pPr>
                              <w:pStyle w:val="Date"/>
                            </w:pPr>
                            <w:r w:rsidRPr="00F53559">
                              <w:t>1 September</w:t>
                            </w:r>
                            <w:r>
                              <w:t xml:space="preserve"> 2017</w:t>
                            </w:r>
                          </w:p>
                          <w:p w14:paraId="282C4E98" w14:textId="77777777" w:rsidR="008A3983" w:rsidRDefault="008A3983"/>
                          <w:p w14:paraId="46CFF0FD" w14:textId="77777777" w:rsidR="008A3983" w:rsidRPr="00B74219" w:rsidRDefault="008A3983" w:rsidP="002863D7">
                            <w:pPr>
                              <w:pStyle w:val="Date"/>
                            </w:pPr>
                            <w:r w:rsidRPr="00410A6F">
                              <w:rPr>
                                <w:highlight w:val="yellow"/>
                              </w:rPr>
                              <w:t>1 September</w:t>
                            </w:r>
                            <w: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5644D" id="Text Box 4" o:spid="_x0000_s1028" type="#_x0000_t202" style="position:absolute;margin-left:150pt;margin-top:13.15pt;width:297.2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" filled="f" stroked="f" strokeweight=".5pt">
                <v:path arrowok="t"/>
                <v:textbox>
                  <w:txbxContent>
                    <w:p w14:paraId="15DA58CE" w14:textId="77777777" w:rsidR="008A3983" w:rsidRPr="00B74219" w:rsidRDefault="008A3983" w:rsidP="002863D7">
                      <w:pPr>
                        <w:pStyle w:val="Date"/>
                      </w:pPr>
                      <w:r w:rsidRPr="00F53559">
                        <w:t>1 September</w:t>
                      </w:r>
                      <w:r>
                        <w:t xml:space="preserve"> 2017</w:t>
                      </w:r>
                    </w:p>
                    <w:p w14:paraId="748D8C1B" w14:textId="77777777" w:rsidR="008A3983" w:rsidRDefault="008A3983"/>
                    <w:p w14:paraId="7544EDA1" w14:textId="77777777" w:rsidR="008A3983" w:rsidRPr="00B74219" w:rsidRDefault="008A3983" w:rsidP="002863D7">
                      <w:pPr>
                        <w:pStyle w:val="Date"/>
                      </w:pPr>
                      <w:r w:rsidRPr="00410A6F">
                        <w:rPr>
                          <w:highlight w:val="yellow"/>
                        </w:rPr>
                        <w:t>1 September</w:t>
                      </w:r>
                      <w:r>
                        <w:t xml:space="preserve"> 2017</w:t>
                      </w:r>
                    </w:p>
                    <w:p w14:paraId="705D2336" w14:textId="77777777" w:rsidR="008A3983" w:rsidRDefault="008A3983"/>
                    <w:p w14:paraId="401CB3D8" w14:textId="77777777" w:rsidR="008A3983" w:rsidRPr="00B74219" w:rsidRDefault="008A3983" w:rsidP="002863D7">
                      <w:pPr>
                        <w:pStyle w:val="Date"/>
                      </w:pPr>
                      <w:r w:rsidRPr="00F53559">
                        <w:t>1 September</w:t>
                      </w:r>
                      <w:r>
                        <w:t xml:space="preserve"> 2017</w:t>
                      </w:r>
                    </w:p>
                    <w:p w14:paraId="282C4E98" w14:textId="77777777" w:rsidR="008A3983" w:rsidRDefault="008A3983"/>
                    <w:p w14:paraId="46CFF0FD" w14:textId="77777777" w:rsidR="008A3983" w:rsidRPr="00B74219" w:rsidRDefault="008A3983" w:rsidP="002863D7">
                      <w:pPr>
                        <w:pStyle w:val="Date"/>
                      </w:pPr>
                      <w:r w:rsidRPr="00410A6F">
                        <w:rPr>
                          <w:highlight w:val="yellow"/>
                        </w:rPr>
                        <w:t>1 September</w:t>
                      </w:r>
                      <w:r>
                        <w:t xml:space="preserve"> 2017</w:t>
                      </w:r>
                    </w:p>
                  </w:txbxContent>
                </v:textbox>
              </v:shape>
            </w:pict>
          </mc:Fallback>
        </mc:AlternateContent>
      </w:r>
    </w:p>
    <w:p w14:paraId="5F16A5C0" w14:textId="77777777" w:rsidR="00AF28DB" w:rsidRDefault="00AF28DB" w:rsidP="007263A6">
      <w:pPr>
        <w:spacing w:before="0" w:after="0"/>
      </w:pPr>
    </w:p>
    <w:p w14:paraId="02E1A3DA" w14:textId="77777777" w:rsidR="00AF28DB" w:rsidRDefault="00AF28DB" w:rsidP="007263A6">
      <w:pPr>
        <w:spacing w:before="0" w:after="0"/>
      </w:pPr>
    </w:p>
    <w:p w14:paraId="2557814B" w14:textId="77777777" w:rsidR="00AF28DB" w:rsidRDefault="00AF28DB" w:rsidP="007263A6">
      <w:pPr>
        <w:spacing w:before="0" w:after="0"/>
      </w:pPr>
    </w:p>
    <w:p w14:paraId="2907DC56" w14:textId="77777777" w:rsidR="00AF28DB" w:rsidRDefault="00AF28DB" w:rsidP="007263A6">
      <w:pPr>
        <w:spacing w:before="0" w:after="0"/>
      </w:pPr>
    </w:p>
    <w:p w14:paraId="2D9CA1AA" w14:textId="77777777" w:rsidR="00AF28DB" w:rsidRDefault="00AF28DB" w:rsidP="007263A6">
      <w:pPr>
        <w:spacing w:before="0" w:after="0"/>
      </w:pPr>
    </w:p>
    <w:p w14:paraId="6CF2C91A" w14:textId="77777777" w:rsidR="00AF28DB" w:rsidRPr="00CB4A83" w:rsidRDefault="00AF28DB" w:rsidP="007263A6">
      <w:pPr>
        <w:spacing w:before="0" w:after="0"/>
        <w:sectPr w:rsidR="00AF28DB" w:rsidRPr="00CB4A83" w:rsidSect="00E47CDD">
          <w:headerReference w:type="even" r:id="rId8"/>
          <w:headerReference w:type="default" r:id="rId9"/>
          <w:footerReference w:type="default" r:id="rId10"/>
          <w:headerReference w:type="first" r:id="rId11"/>
          <w:footerReference w:type="first" r:id="rId12"/>
          <w:type w:val="continuous"/>
          <w:pgSz w:w="11906" w:h="16838" w:code="9"/>
          <w:pgMar w:top="227" w:right="1701" w:bottom="1134" w:left="1418" w:header="278" w:footer="414" w:gutter="0"/>
          <w:cols w:space="708"/>
          <w:titlePg/>
          <w:docGrid w:linePitch="360"/>
        </w:sectPr>
      </w:pPr>
    </w:p>
    <w:sdt>
      <w:sdtPr>
        <w:rPr>
          <w:rFonts w:cs="Arial"/>
          <w:b w:val="0"/>
          <w:color w:val="auto"/>
          <w:lang w:val="en-AU" w:eastAsia="en-AU"/>
        </w:rPr>
        <w:id w:val="1318910266"/>
        <w:docPartObj>
          <w:docPartGallery w:val="Table of Contents"/>
          <w:docPartUnique/>
        </w:docPartObj>
      </w:sdtPr>
      <w:sdtEndPr>
        <w:rPr>
          <w:bCs/>
          <w:noProof/>
        </w:rPr>
      </w:sdtEndPr>
      <w:sdtContent>
        <w:p w14:paraId="604EE482" w14:textId="3779BBCA" w:rsidR="00F22458" w:rsidRPr="003D4C83" w:rsidRDefault="00342755" w:rsidP="00F22458">
          <w:pPr>
            <w:pStyle w:val="TOCHeading"/>
            <w:rPr>
              <w:rFonts w:eastAsiaTheme="minorEastAsia" w:cs="Arial"/>
              <w:b w:val="0"/>
              <w:noProof/>
            </w:rPr>
          </w:pPr>
          <w:r w:rsidRPr="003D4C83">
            <w:rPr>
              <w:rFonts w:cs="Arial"/>
              <w:color w:val="auto"/>
            </w:rPr>
            <w:t>Table of Contents</w:t>
          </w:r>
          <w:r w:rsidR="00F22458" w:rsidRPr="003D4C83">
            <w:rPr>
              <w:rFonts w:cs="Arial"/>
              <w:b w:val="0"/>
            </w:rPr>
            <w:fldChar w:fldCharType="begin"/>
          </w:r>
          <w:r w:rsidR="00F22458" w:rsidRPr="003D4C83">
            <w:rPr>
              <w:rFonts w:cs="Arial"/>
              <w:b w:val="0"/>
            </w:rPr>
            <w:instrText xml:space="preserve"> TOC \o "1-2" \h \z \u </w:instrText>
          </w:r>
          <w:r w:rsidR="00F22458" w:rsidRPr="003D4C83">
            <w:rPr>
              <w:rFonts w:cs="Arial"/>
              <w:b w:val="0"/>
            </w:rPr>
            <w:fldChar w:fldCharType="separate"/>
          </w:r>
        </w:p>
        <w:p w14:paraId="4DA13787" w14:textId="56CAC3D0" w:rsidR="00F22458" w:rsidRPr="003D4C83" w:rsidRDefault="00313027">
          <w:pPr>
            <w:pStyle w:val="TOC1"/>
            <w:tabs>
              <w:tab w:val="left" w:pos="480"/>
              <w:tab w:val="right" w:leader="dot" w:pos="9060"/>
            </w:tabs>
            <w:rPr>
              <w:rFonts w:ascii="Arial" w:eastAsiaTheme="minorEastAsia" w:hAnsi="Arial" w:cs="Arial"/>
              <w:b w:val="0"/>
              <w:noProof/>
              <w:sz w:val="24"/>
            </w:rPr>
          </w:pPr>
          <w:hyperlink w:anchor="_Toc491957996" w:history="1">
            <w:r w:rsidR="00F22458" w:rsidRPr="003D4C83">
              <w:rPr>
                <w:rStyle w:val="Hyperlink"/>
                <w:rFonts w:ascii="Arial" w:hAnsi="Arial" w:cs="Arial"/>
                <w:noProof/>
                <w:sz w:val="24"/>
              </w:rPr>
              <w:t>1</w:t>
            </w:r>
            <w:r w:rsidR="00F22458" w:rsidRPr="003D4C83">
              <w:rPr>
                <w:rFonts w:ascii="Arial" w:eastAsiaTheme="minorEastAsia" w:hAnsi="Arial" w:cs="Arial"/>
                <w:b w:val="0"/>
                <w:noProof/>
                <w:sz w:val="24"/>
              </w:rPr>
              <w:tab/>
            </w:r>
            <w:r w:rsidR="00F22458" w:rsidRPr="003D4C83">
              <w:rPr>
                <w:rStyle w:val="Hyperlink"/>
                <w:rFonts w:ascii="Arial" w:hAnsi="Arial" w:cs="Arial"/>
                <w:noProof/>
                <w:sz w:val="24"/>
              </w:rPr>
              <w:t>Introduction</w:t>
            </w:r>
            <w:r w:rsidR="00F22458" w:rsidRPr="003D4C83">
              <w:rPr>
                <w:rFonts w:ascii="Arial" w:hAnsi="Arial" w:cs="Arial"/>
                <w:noProof/>
                <w:webHidden/>
                <w:sz w:val="24"/>
              </w:rPr>
              <w:tab/>
            </w:r>
            <w:r w:rsidR="00F22458" w:rsidRPr="003D4C83">
              <w:rPr>
                <w:rFonts w:ascii="Arial" w:hAnsi="Arial" w:cs="Arial"/>
                <w:noProof/>
                <w:webHidden/>
                <w:sz w:val="24"/>
              </w:rPr>
              <w:fldChar w:fldCharType="begin"/>
            </w:r>
            <w:r w:rsidR="00F22458" w:rsidRPr="003D4C83">
              <w:rPr>
                <w:rFonts w:ascii="Arial" w:hAnsi="Arial" w:cs="Arial"/>
                <w:noProof/>
                <w:webHidden/>
                <w:sz w:val="24"/>
              </w:rPr>
              <w:instrText xml:space="preserve"> PAGEREF _Toc491957996 \h </w:instrText>
            </w:r>
            <w:r w:rsidR="00F22458" w:rsidRPr="003D4C83">
              <w:rPr>
                <w:rFonts w:ascii="Arial" w:hAnsi="Arial" w:cs="Arial"/>
                <w:noProof/>
                <w:webHidden/>
                <w:sz w:val="24"/>
              </w:rPr>
            </w:r>
            <w:r w:rsidR="00F22458" w:rsidRPr="003D4C83">
              <w:rPr>
                <w:rFonts w:ascii="Arial" w:hAnsi="Arial" w:cs="Arial"/>
                <w:noProof/>
                <w:webHidden/>
                <w:sz w:val="24"/>
              </w:rPr>
              <w:fldChar w:fldCharType="separate"/>
            </w:r>
            <w:r>
              <w:rPr>
                <w:rFonts w:ascii="Arial" w:hAnsi="Arial" w:cs="Arial"/>
                <w:noProof/>
                <w:webHidden/>
                <w:sz w:val="24"/>
              </w:rPr>
              <w:t>3</w:t>
            </w:r>
            <w:r w:rsidR="00F22458" w:rsidRPr="003D4C83">
              <w:rPr>
                <w:rFonts w:ascii="Arial" w:hAnsi="Arial" w:cs="Arial"/>
                <w:noProof/>
                <w:webHidden/>
                <w:sz w:val="24"/>
              </w:rPr>
              <w:fldChar w:fldCharType="end"/>
            </w:r>
          </w:hyperlink>
        </w:p>
        <w:p w14:paraId="3CDC09E3" w14:textId="44202A2C" w:rsidR="00F22458" w:rsidRPr="003D4C83" w:rsidRDefault="00313027">
          <w:pPr>
            <w:pStyle w:val="TOC1"/>
            <w:tabs>
              <w:tab w:val="left" w:pos="480"/>
              <w:tab w:val="right" w:leader="dot" w:pos="9060"/>
            </w:tabs>
            <w:rPr>
              <w:rFonts w:ascii="Arial" w:eastAsiaTheme="minorEastAsia" w:hAnsi="Arial" w:cs="Arial"/>
              <w:b w:val="0"/>
              <w:noProof/>
              <w:sz w:val="24"/>
            </w:rPr>
          </w:pPr>
          <w:hyperlink w:anchor="_Toc491957997" w:history="1">
            <w:r w:rsidR="00F22458" w:rsidRPr="003D4C83">
              <w:rPr>
                <w:rStyle w:val="Hyperlink"/>
                <w:rFonts w:ascii="Arial" w:hAnsi="Arial" w:cs="Arial"/>
                <w:noProof/>
                <w:sz w:val="24"/>
              </w:rPr>
              <w:t>2</w:t>
            </w:r>
            <w:r w:rsidR="00F22458" w:rsidRPr="003D4C83">
              <w:rPr>
                <w:rFonts w:ascii="Arial" w:eastAsiaTheme="minorEastAsia" w:hAnsi="Arial" w:cs="Arial"/>
                <w:b w:val="0"/>
                <w:noProof/>
                <w:sz w:val="24"/>
              </w:rPr>
              <w:tab/>
            </w:r>
            <w:r w:rsidR="00F22458" w:rsidRPr="003D4C83">
              <w:rPr>
                <w:rStyle w:val="Hyperlink"/>
                <w:rFonts w:ascii="Arial" w:hAnsi="Arial" w:cs="Arial"/>
                <w:noProof/>
                <w:sz w:val="24"/>
              </w:rPr>
              <w:t>Background and summary</w:t>
            </w:r>
            <w:r w:rsidR="00F22458" w:rsidRPr="003D4C83">
              <w:rPr>
                <w:rFonts w:ascii="Arial" w:hAnsi="Arial" w:cs="Arial"/>
                <w:noProof/>
                <w:webHidden/>
                <w:sz w:val="24"/>
              </w:rPr>
              <w:tab/>
            </w:r>
            <w:r w:rsidR="00F22458" w:rsidRPr="003D4C83">
              <w:rPr>
                <w:rFonts w:ascii="Arial" w:hAnsi="Arial" w:cs="Arial"/>
                <w:noProof/>
                <w:webHidden/>
                <w:sz w:val="24"/>
              </w:rPr>
              <w:fldChar w:fldCharType="begin"/>
            </w:r>
            <w:r w:rsidR="00F22458" w:rsidRPr="003D4C83">
              <w:rPr>
                <w:rFonts w:ascii="Arial" w:hAnsi="Arial" w:cs="Arial"/>
                <w:noProof/>
                <w:webHidden/>
                <w:sz w:val="24"/>
              </w:rPr>
              <w:instrText xml:space="preserve"> PAGEREF _Toc491957997 \h </w:instrText>
            </w:r>
            <w:r w:rsidR="00F22458" w:rsidRPr="003D4C83">
              <w:rPr>
                <w:rFonts w:ascii="Arial" w:hAnsi="Arial" w:cs="Arial"/>
                <w:noProof/>
                <w:webHidden/>
                <w:sz w:val="24"/>
              </w:rPr>
            </w:r>
            <w:r w:rsidR="00F22458" w:rsidRPr="003D4C83">
              <w:rPr>
                <w:rFonts w:ascii="Arial" w:hAnsi="Arial" w:cs="Arial"/>
                <w:noProof/>
                <w:webHidden/>
                <w:sz w:val="24"/>
              </w:rPr>
              <w:fldChar w:fldCharType="separate"/>
            </w:r>
            <w:r>
              <w:rPr>
                <w:rFonts w:ascii="Arial" w:hAnsi="Arial" w:cs="Arial"/>
                <w:noProof/>
                <w:webHidden/>
                <w:sz w:val="24"/>
              </w:rPr>
              <w:t>3</w:t>
            </w:r>
            <w:r w:rsidR="00F22458" w:rsidRPr="003D4C83">
              <w:rPr>
                <w:rFonts w:ascii="Arial" w:hAnsi="Arial" w:cs="Arial"/>
                <w:noProof/>
                <w:webHidden/>
                <w:sz w:val="24"/>
              </w:rPr>
              <w:fldChar w:fldCharType="end"/>
            </w:r>
          </w:hyperlink>
        </w:p>
        <w:p w14:paraId="60742D1E" w14:textId="67E364B3" w:rsidR="00F22458" w:rsidRPr="003D4C83" w:rsidRDefault="00313027">
          <w:pPr>
            <w:pStyle w:val="TOC1"/>
            <w:tabs>
              <w:tab w:val="left" w:pos="480"/>
              <w:tab w:val="right" w:leader="dot" w:pos="9060"/>
            </w:tabs>
            <w:rPr>
              <w:rFonts w:ascii="Arial" w:eastAsiaTheme="minorEastAsia" w:hAnsi="Arial" w:cs="Arial"/>
              <w:b w:val="0"/>
              <w:noProof/>
              <w:sz w:val="24"/>
            </w:rPr>
          </w:pPr>
          <w:hyperlink w:anchor="_Toc491957998" w:history="1">
            <w:r w:rsidR="00F22458" w:rsidRPr="003D4C83">
              <w:rPr>
                <w:rStyle w:val="Hyperlink"/>
                <w:rFonts w:ascii="Arial" w:hAnsi="Arial" w:cs="Arial"/>
                <w:noProof/>
                <w:sz w:val="24"/>
              </w:rPr>
              <w:t>3</w:t>
            </w:r>
            <w:r w:rsidR="00F22458" w:rsidRPr="003D4C83">
              <w:rPr>
                <w:rFonts w:ascii="Arial" w:eastAsiaTheme="minorEastAsia" w:hAnsi="Arial" w:cs="Arial"/>
                <w:b w:val="0"/>
                <w:noProof/>
                <w:sz w:val="24"/>
              </w:rPr>
              <w:tab/>
            </w:r>
            <w:r w:rsidR="00F22458" w:rsidRPr="003D4C83">
              <w:rPr>
                <w:rStyle w:val="Hyperlink"/>
                <w:rFonts w:ascii="Arial" w:hAnsi="Arial" w:cs="Arial"/>
                <w:noProof/>
                <w:sz w:val="24"/>
              </w:rPr>
              <w:t>Recommendations</w:t>
            </w:r>
            <w:r w:rsidR="00F22458" w:rsidRPr="003D4C83">
              <w:rPr>
                <w:rFonts w:ascii="Arial" w:hAnsi="Arial" w:cs="Arial"/>
                <w:noProof/>
                <w:webHidden/>
                <w:sz w:val="24"/>
              </w:rPr>
              <w:tab/>
            </w:r>
            <w:r w:rsidR="00F22458" w:rsidRPr="003D4C83">
              <w:rPr>
                <w:rFonts w:ascii="Arial" w:hAnsi="Arial" w:cs="Arial"/>
                <w:noProof/>
                <w:webHidden/>
                <w:sz w:val="24"/>
              </w:rPr>
              <w:fldChar w:fldCharType="begin"/>
            </w:r>
            <w:r w:rsidR="00F22458" w:rsidRPr="003D4C83">
              <w:rPr>
                <w:rFonts w:ascii="Arial" w:hAnsi="Arial" w:cs="Arial"/>
                <w:noProof/>
                <w:webHidden/>
                <w:sz w:val="24"/>
              </w:rPr>
              <w:instrText xml:space="preserve"> PAGEREF _Toc491957998 \h </w:instrText>
            </w:r>
            <w:r w:rsidR="00F22458" w:rsidRPr="003D4C83">
              <w:rPr>
                <w:rFonts w:ascii="Arial" w:hAnsi="Arial" w:cs="Arial"/>
                <w:noProof/>
                <w:webHidden/>
                <w:sz w:val="24"/>
              </w:rPr>
            </w:r>
            <w:r w:rsidR="00F22458" w:rsidRPr="003D4C83">
              <w:rPr>
                <w:rFonts w:ascii="Arial" w:hAnsi="Arial" w:cs="Arial"/>
                <w:noProof/>
                <w:webHidden/>
                <w:sz w:val="24"/>
              </w:rPr>
              <w:fldChar w:fldCharType="separate"/>
            </w:r>
            <w:r>
              <w:rPr>
                <w:rFonts w:ascii="Arial" w:hAnsi="Arial" w:cs="Arial"/>
                <w:noProof/>
                <w:webHidden/>
                <w:sz w:val="24"/>
              </w:rPr>
              <w:t>4</w:t>
            </w:r>
            <w:r w:rsidR="00F22458" w:rsidRPr="003D4C83">
              <w:rPr>
                <w:rFonts w:ascii="Arial" w:hAnsi="Arial" w:cs="Arial"/>
                <w:noProof/>
                <w:webHidden/>
                <w:sz w:val="24"/>
              </w:rPr>
              <w:fldChar w:fldCharType="end"/>
            </w:r>
          </w:hyperlink>
        </w:p>
        <w:p w14:paraId="63F3C810" w14:textId="6D79B3EB" w:rsidR="00F22458" w:rsidRPr="003D4C83" w:rsidRDefault="00313027">
          <w:pPr>
            <w:pStyle w:val="TOC1"/>
            <w:tabs>
              <w:tab w:val="left" w:pos="480"/>
              <w:tab w:val="right" w:leader="dot" w:pos="9060"/>
            </w:tabs>
            <w:rPr>
              <w:rFonts w:ascii="Arial" w:eastAsiaTheme="minorEastAsia" w:hAnsi="Arial" w:cs="Arial"/>
              <w:b w:val="0"/>
              <w:noProof/>
              <w:sz w:val="24"/>
            </w:rPr>
          </w:pPr>
          <w:hyperlink w:anchor="_Toc491957999" w:history="1">
            <w:r w:rsidR="00F22458" w:rsidRPr="003D4C83">
              <w:rPr>
                <w:rStyle w:val="Hyperlink"/>
                <w:rFonts w:ascii="Arial" w:hAnsi="Arial" w:cs="Arial"/>
                <w:noProof/>
                <w:sz w:val="24"/>
              </w:rPr>
              <w:t>4</w:t>
            </w:r>
            <w:r w:rsidR="00F22458" w:rsidRPr="003D4C83">
              <w:rPr>
                <w:rFonts w:ascii="Arial" w:eastAsiaTheme="minorEastAsia" w:hAnsi="Arial" w:cs="Arial"/>
                <w:b w:val="0"/>
                <w:noProof/>
                <w:sz w:val="24"/>
              </w:rPr>
              <w:tab/>
            </w:r>
            <w:r w:rsidR="00F22458" w:rsidRPr="003D4C83">
              <w:rPr>
                <w:rStyle w:val="Hyperlink"/>
                <w:rFonts w:ascii="Arial" w:hAnsi="Arial" w:cs="Arial"/>
                <w:noProof/>
                <w:sz w:val="24"/>
              </w:rPr>
              <w:t>The current law</w:t>
            </w:r>
            <w:r w:rsidR="00F22458" w:rsidRPr="003D4C83">
              <w:rPr>
                <w:rFonts w:ascii="Arial" w:hAnsi="Arial" w:cs="Arial"/>
                <w:noProof/>
                <w:webHidden/>
                <w:sz w:val="24"/>
              </w:rPr>
              <w:tab/>
            </w:r>
            <w:r w:rsidR="00F22458" w:rsidRPr="003D4C83">
              <w:rPr>
                <w:rFonts w:ascii="Arial" w:hAnsi="Arial" w:cs="Arial"/>
                <w:noProof/>
                <w:webHidden/>
                <w:sz w:val="24"/>
              </w:rPr>
              <w:fldChar w:fldCharType="begin"/>
            </w:r>
            <w:r w:rsidR="00F22458" w:rsidRPr="003D4C83">
              <w:rPr>
                <w:rFonts w:ascii="Arial" w:hAnsi="Arial" w:cs="Arial"/>
                <w:noProof/>
                <w:webHidden/>
                <w:sz w:val="24"/>
              </w:rPr>
              <w:instrText xml:space="preserve"> PAGEREF _Toc491957999 \h </w:instrText>
            </w:r>
            <w:r w:rsidR="00F22458" w:rsidRPr="003D4C83">
              <w:rPr>
                <w:rFonts w:ascii="Arial" w:hAnsi="Arial" w:cs="Arial"/>
                <w:noProof/>
                <w:webHidden/>
                <w:sz w:val="24"/>
              </w:rPr>
            </w:r>
            <w:r w:rsidR="00F22458" w:rsidRPr="003D4C83">
              <w:rPr>
                <w:rFonts w:ascii="Arial" w:hAnsi="Arial" w:cs="Arial"/>
                <w:noProof/>
                <w:webHidden/>
                <w:sz w:val="24"/>
              </w:rPr>
              <w:fldChar w:fldCharType="separate"/>
            </w:r>
            <w:r>
              <w:rPr>
                <w:rFonts w:ascii="Arial" w:hAnsi="Arial" w:cs="Arial"/>
                <w:noProof/>
                <w:webHidden/>
                <w:sz w:val="24"/>
              </w:rPr>
              <w:t>5</w:t>
            </w:r>
            <w:r w:rsidR="00F22458" w:rsidRPr="003D4C83">
              <w:rPr>
                <w:rFonts w:ascii="Arial" w:hAnsi="Arial" w:cs="Arial"/>
                <w:noProof/>
                <w:webHidden/>
                <w:sz w:val="24"/>
              </w:rPr>
              <w:fldChar w:fldCharType="end"/>
            </w:r>
          </w:hyperlink>
        </w:p>
        <w:p w14:paraId="1A4F0ACC" w14:textId="7B2705F2" w:rsidR="00F22458" w:rsidRPr="003D4C83" w:rsidRDefault="00313027">
          <w:pPr>
            <w:pStyle w:val="TOC1"/>
            <w:tabs>
              <w:tab w:val="left" w:pos="480"/>
              <w:tab w:val="right" w:leader="dot" w:pos="9060"/>
            </w:tabs>
            <w:rPr>
              <w:rFonts w:ascii="Arial" w:eastAsiaTheme="minorEastAsia" w:hAnsi="Arial" w:cs="Arial"/>
              <w:b w:val="0"/>
              <w:noProof/>
              <w:sz w:val="24"/>
            </w:rPr>
          </w:pPr>
          <w:hyperlink w:anchor="_Toc491958000" w:history="1">
            <w:r w:rsidR="00F22458" w:rsidRPr="003D4C83">
              <w:rPr>
                <w:rStyle w:val="Hyperlink"/>
                <w:rFonts w:ascii="Arial" w:hAnsi="Arial" w:cs="Arial"/>
                <w:noProof/>
                <w:sz w:val="24"/>
              </w:rPr>
              <w:t>5</w:t>
            </w:r>
            <w:r w:rsidR="00F22458" w:rsidRPr="003D4C83">
              <w:rPr>
                <w:rFonts w:ascii="Arial" w:eastAsiaTheme="minorEastAsia" w:hAnsi="Arial" w:cs="Arial"/>
                <w:b w:val="0"/>
                <w:noProof/>
                <w:sz w:val="24"/>
              </w:rPr>
              <w:tab/>
            </w:r>
            <w:r w:rsidR="00F22458" w:rsidRPr="003D4C83">
              <w:rPr>
                <w:rStyle w:val="Hyperlink"/>
                <w:rFonts w:ascii="Arial" w:hAnsi="Arial" w:cs="Arial"/>
                <w:noProof/>
                <w:sz w:val="24"/>
              </w:rPr>
              <w:t>The Bill</w:t>
            </w:r>
            <w:r w:rsidR="00F22458" w:rsidRPr="003D4C83">
              <w:rPr>
                <w:rFonts w:ascii="Arial" w:hAnsi="Arial" w:cs="Arial"/>
                <w:noProof/>
                <w:webHidden/>
                <w:sz w:val="24"/>
              </w:rPr>
              <w:tab/>
            </w:r>
            <w:r w:rsidR="00F22458" w:rsidRPr="003D4C83">
              <w:rPr>
                <w:rFonts w:ascii="Arial" w:hAnsi="Arial" w:cs="Arial"/>
                <w:noProof/>
                <w:webHidden/>
                <w:sz w:val="24"/>
              </w:rPr>
              <w:fldChar w:fldCharType="begin"/>
            </w:r>
            <w:r w:rsidR="00F22458" w:rsidRPr="003D4C83">
              <w:rPr>
                <w:rFonts w:ascii="Arial" w:hAnsi="Arial" w:cs="Arial"/>
                <w:noProof/>
                <w:webHidden/>
                <w:sz w:val="24"/>
              </w:rPr>
              <w:instrText xml:space="preserve"> PAGEREF _Toc491958000 \h </w:instrText>
            </w:r>
            <w:r w:rsidR="00F22458" w:rsidRPr="003D4C83">
              <w:rPr>
                <w:rFonts w:ascii="Arial" w:hAnsi="Arial" w:cs="Arial"/>
                <w:noProof/>
                <w:webHidden/>
                <w:sz w:val="24"/>
              </w:rPr>
            </w:r>
            <w:r w:rsidR="00F22458" w:rsidRPr="003D4C83">
              <w:rPr>
                <w:rFonts w:ascii="Arial" w:hAnsi="Arial" w:cs="Arial"/>
                <w:noProof/>
                <w:webHidden/>
                <w:sz w:val="24"/>
              </w:rPr>
              <w:fldChar w:fldCharType="separate"/>
            </w:r>
            <w:r>
              <w:rPr>
                <w:rFonts w:ascii="Arial" w:hAnsi="Arial" w:cs="Arial"/>
                <w:noProof/>
                <w:webHidden/>
                <w:sz w:val="24"/>
              </w:rPr>
              <w:t>6</w:t>
            </w:r>
            <w:r w:rsidR="00F22458" w:rsidRPr="003D4C83">
              <w:rPr>
                <w:rFonts w:ascii="Arial" w:hAnsi="Arial" w:cs="Arial"/>
                <w:noProof/>
                <w:webHidden/>
                <w:sz w:val="24"/>
              </w:rPr>
              <w:fldChar w:fldCharType="end"/>
            </w:r>
          </w:hyperlink>
        </w:p>
        <w:p w14:paraId="655DE6AF" w14:textId="03ED997B" w:rsidR="00F22458" w:rsidRPr="003D4C83" w:rsidRDefault="00313027">
          <w:pPr>
            <w:pStyle w:val="TOC1"/>
            <w:tabs>
              <w:tab w:val="left" w:pos="480"/>
              <w:tab w:val="right" w:leader="dot" w:pos="9060"/>
            </w:tabs>
            <w:rPr>
              <w:rFonts w:ascii="Arial" w:eastAsiaTheme="minorEastAsia" w:hAnsi="Arial" w:cs="Arial"/>
              <w:b w:val="0"/>
              <w:noProof/>
              <w:sz w:val="24"/>
            </w:rPr>
          </w:pPr>
          <w:hyperlink w:anchor="_Toc491958001" w:history="1">
            <w:r w:rsidR="00F22458" w:rsidRPr="003D4C83">
              <w:rPr>
                <w:rStyle w:val="Hyperlink"/>
                <w:rFonts w:ascii="Arial" w:hAnsi="Arial" w:cs="Arial"/>
                <w:noProof/>
                <w:sz w:val="24"/>
              </w:rPr>
              <w:t>6</w:t>
            </w:r>
            <w:r w:rsidR="00F22458" w:rsidRPr="003D4C83">
              <w:rPr>
                <w:rFonts w:ascii="Arial" w:eastAsiaTheme="minorEastAsia" w:hAnsi="Arial" w:cs="Arial"/>
                <w:b w:val="0"/>
                <w:noProof/>
                <w:sz w:val="24"/>
              </w:rPr>
              <w:tab/>
            </w:r>
            <w:r w:rsidR="00F22458" w:rsidRPr="003D4C83">
              <w:rPr>
                <w:rStyle w:val="Hyperlink"/>
                <w:rFonts w:ascii="Arial" w:hAnsi="Arial" w:cs="Arial"/>
                <w:noProof/>
                <w:sz w:val="24"/>
              </w:rPr>
              <w:t>The purpose of the Bill</w:t>
            </w:r>
            <w:r w:rsidR="00F22458" w:rsidRPr="003D4C83">
              <w:rPr>
                <w:rFonts w:ascii="Arial" w:hAnsi="Arial" w:cs="Arial"/>
                <w:noProof/>
                <w:webHidden/>
                <w:sz w:val="24"/>
              </w:rPr>
              <w:tab/>
            </w:r>
            <w:r w:rsidR="00F22458" w:rsidRPr="003D4C83">
              <w:rPr>
                <w:rFonts w:ascii="Arial" w:hAnsi="Arial" w:cs="Arial"/>
                <w:noProof/>
                <w:webHidden/>
                <w:sz w:val="24"/>
              </w:rPr>
              <w:fldChar w:fldCharType="begin"/>
            </w:r>
            <w:r w:rsidR="00F22458" w:rsidRPr="003D4C83">
              <w:rPr>
                <w:rFonts w:ascii="Arial" w:hAnsi="Arial" w:cs="Arial"/>
                <w:noProof/>
                <w:webHidden/>
                <w:sz w:val="24"/>
              </w:rPr>
              <w:instrText xml:space="preserve"> PAGEREF _Toc491958001 \h </w:instrText>
            </w:r>
            <w:r w:rsidR="00F22458" w:rsidRPr="003D4C83">
              <w:rPr>
                <w:rFonts w:ascii="Arial" w:hAnsi="Arial" w:cs="Arial"/>
                <w:noProof/>
                <w:webHidden/>
                <w:sz w:val="24"/>
              </w:rPr>
            </w:r>
            <w:r w:rsidR="00F22458" w:rsidRPr="003D4C83">
              <w:rPr>
                <w:rFonts w:ascii="Arial" w:hAnsi="Arial" w:cs="Arial"/>
                <w:noProof/>
                <w:webHidden/>
                <w:sz w:val="24"/>
              </w:rPr>
              <w:fldChar w:fldCharType="separate"/>
            </w:r>
            <w:r>
              <w:rPr>
                <w:rFonts w:ascii="Arial" w:hAnsi="Arial" w:cs="Arial"/>
                <w:noProof/>
                <w:webHidden/>
                <w:sz w:val="24"/>
              </w:rPr>
              <w:t>8</w:t>
            </w:r>
            <w:r w:rsidR="00F22458" w:rsidRPr="003D4C83">
              <w:rPr>
                <w:rFonts w:ascii="Arial" w:hAnsi="Arial" w:cs="Arial"/>
                <w:noProof/>
                <w:webHidden/>
                <w:sz w:val="24"/>
              </w:rPr>
              <w:fldChar w:fldCharType="end"/>
            </w:r>
          </w:hyperlink>
        </w:p>
        <w:p w14:paraId="5E67B8B7" w14:textId="3C6900A0" w:rsidR="00F22458" w:rsidRPr="003D4C83" w:rsidRDefault="00313027">
          <w:pPr>
            <w:pStyle w:val="TOC1"/>
            <w:tabs>
              <w:tab w:val="left" w:pos="480"/>
              <w:tab w:val="right" w:leader="dot" w:pos="9060"/>
            </w:tabs>
            <w:rPr>
              <w:rFonts w:ascii="Arial" w:eastAsiaTheme="minorEastAsia" w:hAnsi="Arial" w:cs="Arial"/>
              <w:b w:val="0"/>
              <w:noProof/>
              <w:sz w:val="24"/>
            </w:rPr>
          </w:pPr>
          <w:hyperlink w:anchor="_Toc491958002" w:history="1">
            <w:r w:rsidR="00F22458" w:rsidRPr="003D4C83">
              <w:rPr>
                <w:rStyle w:val="Hyperlink"/>
                <w:rFonts w:ascii="Arial" w:hAnsi="Arial" w:cs="Arial"/>
                <w:noProof/>
                <w:sz w:val="24"/>
              </w:rPr>
              <w:t>7</w:t>
            </w:r>
            <w:r w:rsidR="00F22458" w:rsidRPr="003D4C83">
              <w:rPr>
                <w:rFonts w:ascii="Arial" w:eastAsiaTheme="minorEastAsia" w:hAnsi="Arial" w:cs="Arial"/>
                <w:b w:val="0"/>
                <w:noProof/>
                <w:sz w:val="24"/>
              </w:rPr>
              <w:tab/>
            </w:r>
            <w:r w:rsidR="00F22458" w:rsidRPr="003D4C83">
              <w:rPr>
                <w:rStyle w:val="Hyperlink"/>
                <w:rFonts w:ascii="Arial" w:hAnsi="Arial" w:cs="Arial"/>
                <w:noProof/>
                <w:sz w:val="24"/>
              </w:rPr>
              <w:t>Human rights implications</w:t>
            </w:r>
            <w:r w:rsidR="00F22458" w:rsidRPr="003D4C83">
              <w:rPr>
                <w:rFonts w:ascii="Arial" w:hAnsi="Arial" w:cs="Arial"/>
                <w:noProof/>
                <w:webHidden/>
                <w:sz w:val="24"/>
              </w:rPr>
              <w:tab/>
            </w:r>
            <w:r w:rsidR="00F22458" w:rsidRPr="003D4C83">
              <w:rPr>
                <w:rFonts w:ascii="Arial" w:hAnsi="Arial" w:cs="Arial"/>
                <w:noProof/>
                <w:webHidden/>
                <w:sz w:val="24"/>
              </w:rPr>
              <w:fldChar w:fldCharType="begin"/>
            </w:r>
            <w:r w:rsidR="00F22458" w:rsidRPr="003D4C83">
              <w:rPr>
                <w:rFonts w:ascii="Arial" w:hAnsi="Arial" w:cs="Arial"/>
                <w:noProof/>
                <w:webHidden/>
                <w:sz w:val="24"/>
              </w:rPr>
              <w:instrText xml:space="preserve"> PAGEREF _Toc491958002 \h </w:instrText>
            </w:r>
            <w:r w:rsidR="00F22458" w:rsidRPr="003D4C83">
              <w:rPr>
                <w:rFonts w:ascii="Arial" w:hAnsi="Arial" w:cs="Arial"/>
                <w:noProof/>
                <w:webHidden/>
                <w:sz w:val="24"/>
              </w:rPr>
            </w:r>
            <w:r w:rsidR="00F22458" w:rsidRPr="003D4C83">
              <w:rPr>
                <w:rFonts w:ascii="Arial" w:hAnsi="Arial" w:cs="Arial"/>
                <w:noProof/>
                <w:webHidden/>
                <w:sz w:val="24"/>
              </w:rPr>
              <w:fldChar w:fldCharType="separate"/>
            </w:r>
            <w:r>
              <w:rPr>
                <w:rFonts w:ascii="Arial" w:hAnsi="Arial" w:cs="Arial"/>
                <w:noProof/>
                <w:webHidden/>
                <w:sz w:val="24"/>
              </w:rPr>
              <w:t>8</w:t>
            </w:r>
            <w:r w:rsidR="00F22458" w:rsidRPr="003D4C83">
              <w:rPr>
                <w:rFonts w:ascii="Arial" w:hAnsi="Arial" w:cs="Arial"/>
                <w:noProof/>
                <w:webHidden/>
                <w:sz w:val="24"/>
              </w:rPr>
              <w:fldChar w:fldCharType="end"/>
            </w:r>
          </w:hyperlink>
        </w:p>
        <w:p w14:paraId="4C2628F5" w14:textId="61D9E1F6" w:rsidR="00F22458" w:rsidRPr="003D4C83" w:rsidRDefault="00313027">
          <w:pPr>
            <w:pStyle w:val="TOC2"/>
            <w:tabs>
              <w:tab w:val="left" w:pos="960"/>
              <w:tab w:val="right" w:leader="dot" w:pos="9060"/>
            </w:tabs>
            <w:rPr>
              <w:rFonts w:ascii="Arial" w:eastAsiaTheme="minorEastAsia" w:hAnsi="Arial" w:cs="Arial"/>
              <w:b w:val="0"/>
              <w:noProof/>
              <w:sz w:val="24"/>
              <w:szCs w:val="24"/>
            </w:rPr>
          </w:pPr>
          <w:hyperlink w:anchor="_Toc491958003" w:history="1">
            <w:r w:rsidR="00F22458" w:rsidRPr="003D4C83">
              <w:rPr>
                <w:rStyle w:val="Hyperlink"/>
                <w:rFonts w:ascii="Arial" w:hAnsi="Arial" w:cs="Arial"/>
                <w:noProof/>
                <w:sz w:val="24"/>
                <w:szCs w:val="24"/>
              </w:rPr>
              <w:t>7.1</w:t>
            </w:r>
            <w:r w:rsidR="00F22458" w:rsidRPr="003D4C83">
              <w:rPr>
                <w:rFonts w:ascii="Arial" w:eastAsiaTheme="minorEastAsia" w:hAnsi="Arial" w:cs="Arial"/>
                <w:b w:val="0"/>
                <w:noProof/>
                <w:sz w:val="24"/>
                <w:szCs w:val="24"/>
              </w:rPr>
              <w:tab/>
            </w:r>
            <w:r w:rsidR="00F22458" w:rsidRPr="003D4C83">
              <w:rPr>
                <w:rStyle w:val="Hyperlink"/>
                <w:rFonts w:ascii="Arial" w:hAnsi="Arial" w:cs="Arial"/>
                <w:noProof/>
                <w:sz w:val="24"/>
                <w:szCs w:val="24"/>
              </w:rPr>
              <w:t>Article 17 of the ICCPR</w:t>
            </w:r>
            <w:r w:rsidR="00F22458" w:rsidRPr="003D4C83">
              <w:rPr>
                <w:rFonts w:ascii="Arial" w:hAnsi="Arial" w:cs="Arial"/>
                <w:noProof/>
                <w:webHidden/>
                <w:sz w:val="24"/>
                <w:szCs w:val="24"/>
              </w:rPr>
              <w:tab/>
            </w:r>
            <w:r w:rsidR="00F22458" w:rsidRPr="003D4C83">
              <w:rPr>
                <w:rFonts w:ascii="Arial" w:hAnsi="Arial" w:cs="Arial"/>
                <w:noProof/>
                <w:webHidden/>
                <w:sz w:val="24"/>
                <w:szCs w:val="24"/>
              </w:rPr>
              <w:fldChar w:fldCharType="begin"/>
            </w:r>
            <w:r w:rsidR="00F22458" w:rsidRPr="003D4C83">
              <w:rPr>
                <w:rFonts w:ascii="Arial" w:hAnsi="Arial" w:cs="Arial"/>
                <w:noProof/>
                <w:webHidden/>
                <w:sz w:val="24"/>
                <w:szCs w:val="24"/>
              </w:rPr>
              <w:instrText xml:space="preserve"> PAGEREF _Toc491958003 \h </w:instrText>
            </w:r>
            <w:r w:rsidR="00F22458" w:rsidRPr="003D4C83">
              <w:rPr>
                <w:rFonts w:ascii="Arial" w:hAnsi="Arial" w:cs="Arial"/>
                <w:noProof/>
                <w:webHidden/>
                <w:sz w:val="24"/>
                <w:szCs w:val="24"/>
              </w:rPr>
            </w:r>
            <w:r w:rsidR="00F22458" w:rsidRPr="003D4C83">
              <w:rPr>
                <w:rFonts w:ascii="Arial" w:hAnsi="Arial" w:cs="Arial"/>
                <w:noProof/>
                <w:webHidden/>
                <w:sz w:val="24"/>
                <w:szCs w:val="24"/>
              </w:rPr>
              <w:fldChar w:fldCharType="separate"/>
            </w:r>
            <w:r>
              <w:rPr>
                <w:rFonts w:ascii="Arial" w:hAnsi="Arial" w:cs="Arial"/>
                <w:noProof/>
                <w:webHidden/>
                <w:sz w:val="24"/>
                <w:szCs w:val="24"/>
              </w:rPr>
              <w:t>9</w:t>
            </w:r>
            <w:r w:rsidR="00F22458" w:rsidRPr="003D4C83">
              <w:rPr>
                <w:rFonts w:ascii="Arial" w:hAnsi="Arial" w:cs="Arial"/>
                <w:noProof/>
                <w:webHidden/>
                <w:sz w:val="24"/>
                <w:szCs w:val="24"/>
              </w:rPr>
              <w:fldChar w:fldCharType="end"/>
            </w:r>
          </w:hyperlink>
        </w:p>
        <w:p w14:paraId="6EFE2F18" w14:textId="6EFADEB4" w:rsidR="00F22458" w:rsidRPr="003D4C83" w:rsidRDefault="00313027">
          <w:pPr>
            <w:pStyle w:val="TOC2"/>
            <w:tabs>
              <w:tab w:val="left" w:pos="960"/>
              <w:tab w:val="right" w:leader="dot" w:pos="9060"/>
            </w:tabs>
            <w:rPr>
              <w:rFonts w:ascii="Arial" w:eastAsiaTheme="minorEastAsia" w:hAnsi="Arial" w:cs="Arial"/>
              <w:b w:val="0"/>
              <w:noProof/>
              <w:sz w:val="24"/>
              <w:szCs w:val="24"/>
            </w:rPr>
          </w:pPr>
          <w:hyperlink w:anchor="_Toc491958004" w:history="1">
            <w:r w:rsidR="00F22458" w:rsidRPr="003D4C83">
              <w:rPr>
                <w:rStyle w:val="Hyperlink"/>
                <w:rFonts w:ascii="Arial" w:hAnsi="Arial" w:cs="Arial"/>
                <w:noProof/>
                <w:sz w:val="24"/>
                <w:szCs w:val="24"/>
              </w:rPr>
              <w:t>7.2</w:t>
            </w:r>
            <w:r w:rsidR="00F22458" w:rsidRPr="003D4C83">
              <w:rPr>
                <w:rFonts w:ascii="Arial" w:eastAsiaTheme="minorEastAsia" w:hAnsi="Arial" w:cs="Arial"/>
                <w:b w:val="0"/>
                <w:noProof/>
                <w:sz w:val="24"/>
                <w:szCs w:val="24"/>
              </w:rPr>
              <w:tab/>
            </w:r>
            <w:r w:rsidR="00F22458" w:rsidRPr="003D4C83">
              <w:rPr>
                <w:rStyle w:val="Hyperlink"/>
                <w:rFonts w:ascii="Arial" w:hAnsi="Arial" w:cs="Arial"/>
                <w:noProof/>
                <w:sz w:val="24"/>
                <w:szCs w:val="24"/>
              </w:rPr>
              <w:t>Article 19 of the ICCPR</w:t>
            </w:r>
            <w:r w:rsidR="00F22458" w:rsidRPr="003D4C83">
              <w:rPr>
                <w:rFonts w:ascii="Arial" w:hAnsi="Arial" w:cs="Arial"/>
                <w:noProof/>
                <w:webHidden/>
                <w:sz w:val="24"/>
                <w:szCs w:val="24"/>
              </w:rPr>
              <w:tab/>
            </w:r>
            <w:r w:rsidR="00F22458" w:rsidRPr="003D4C83">
              <w:rPr>
                <w:rFonts w:ascii="Arial" w:hAnsi="Arial" w:cs="Arial"/>
                <w:noProof/>
                <w:webHidden/>
                <w:sz w:val="24"/>
                <w:szCs w:val="24"/>
              </w:rPr>
              <w:fldChar w:fldCharType="begin"/>
            </w:r>
            <w:r w:rsidR="00F22458" w:rsidRPr="003D4C83">
              <w:rPr>
                <w:rFonts w:ascii="Arial" w:hAnsi="Arial" w:cs="Arial"/>
                <w:noProof/>
                <w:webHidden/>
                <w:sz w:val="24"/>
                <w:szCs w:val="24"/>
              </w:rPr>
              <w:instrText xml:space="preserve"> PAGEREF _Toc491958004 \h </w:instrText>
            </w:r>
            <w:r w:rsidR="00F22458" w:rsidRPr="003D4C83">
              <w:rPr>
                <w:rFonts w:ascii="Arial" w:hAnsi="Arial" w:cs="Arial"/>
                <w:noProof/>
                <w:webHidden/>
                <w:sz w:val="24"/>
                <w:szCs w:val="24"/>
              </w:rPr>
            </w:r>
            <w:r w:rsidR="00F22458" w:rsidRPr="003D4C83">
              <w:rPr>
                <w:rFonts w:ascii="Arial" w:hAnsi="Arial" w:cs="Arial"/>
                <w:noProof/>
                <w:webHidden/>
                <w:sz w:val="24"/>
                <w:szCs w:val="24"/>
              </w:rPr>
              <w:fldChar w:fldCharType="separate"/>
            </w:r>
            <w:r>
              <w:rPr>
                <w:rFonts w:ascii="Arial" w:hAnsi="Arial" w:cs="Arial"/>
                <w:noProof/>
                <w:webHidden/>
                <w:sz w:val="24"/>
                <w:szCs w:val="24"/>
              </w:rPr>
              <w:t>9</w:t>
            </w:r>
            <w:r w:rsidR="00F22458" w:rsidRPr="003D4C83">
              <w:rPr>
                <w:rFonts w:ascii="Arial" w:hAnsi="Arial" w:cs="Arial"/>
                <w:noProof/>
                <w:webHidden/>
                <w:sz w:val="24"/>
                <w:szCs w:val="24"/>
              </w:rPr>
              <w:fldChar w:fldCharType="end"/>
            </w:r>
          </w:hyperlink>
        </w:p>
        <w:p w14:paraId="2861A1BC" w14:textId="601637A4" w:rsidR="00F22458" w:rsidRPr="003D4C83" w:rsidRDefault="00313027">
          <w:pPr>
            <w:pStyle w:val="TOC2"/>
            <w:tabs>
              <w:tab w:val="left" w:pos="960"/>
              <w:tab w:val="right" w:leader="dot" w:pos="9060"/>
            </w:tabs>
            <w:rPr>
              <w:rFonts w:ascii="Arial" w:eastAsiaTheme="minorEastAsia" w:hAnsi="Arial" w:cs="Arial"/>
              <w:b w:val="0"/>
              <w:noProof/>
              <w:sz w:val="24"/>
              <w:szCs w:val="24"/>
            </w:rPr>
          </w:pPr>
          <w:hyperlink w:anchor="_Toc491958005" w:history="1">
            <w:r w:rsidR="00F22458" w:rsidRPr="003D4C83">
              <w:rPr>
                <w:rStyle w:val="Hyperlink"/>
                <w:rFonts w:ascii="Arial" w:hAnsi="Arial" w:cs="Arial"/>
                <w:noProof/>
                <w:sz w:val="24"/>
                <w:szCs w:val="24"/>
              </w:rPr>
              <w:t>7.3</w:t>
            </w:r>
            <w:r w:rsidR="00F22458" w:rsidRPr="003D4C83">
              <w:rPr>
                <w:rFonts w:ascii="Arial" w:eastAsiaTheme="minorEastAsia" w:hAnsi="Arial" w:cs="Arial"/>
                <w:b w:val="0"/>
                <w:noProof/>
                <w:sz w:val="24"/>
                <w:szCs w:val="24"/>
              </w:rPr>
              <w:tab/>
            </w:r>
            <w:r w:rsidR="00F22458" w:rsidRPr="003D4C83">
              <w:rPr>
                <w:rStyle w:val="Hyperlink"/>
                <w:rFonts w:ascii="Arial" w:hAnsi="Arial" w:cs="Arial"/>
                <w:noProof/>
                <w:sz w:val="24"/>
                <w:szCs w:val="24"/>
              </w:rPr>
              <w:t>Article 25 of the ICCPR</w:t>
            </w:r>
            <w:r w:rsidR="00F22458" w:rsidRPr="003D4C83">
              <w:rPr>
                <w:rFonts w:ascii="Arial" w:hAnsi="Arial" w:cs="Arial"/>
                <w:noProof/>
                <w:webHidden/>
                <w:sz w:val="24"/>
                <w:szCs w:val="24"/>
              </w:rPr>
              <w:tab/>
            </w:r>
            <w:r w:rsidR="00F22458" w:rsidRPr="003D4C83">
              <w:rPr>
                <w:rFonts w:ascii="Arial" w:hAnsi="Arial" w:cs="Arial"/>
                <w:noProof/>
                <w:webHidden/>
                <w:sz w:val="24"/>
                <w:szCs w:val="24"/>
              </w:rPr>
              <w:fldChar w:fldCharType="begin"/>
            </w:r>
            <w:r w:rsidR="00F22458" w:rsidRPr="003D4C83">
              <w:rPr>
                <w:rFonts w:ascii="Arial" w:hAnsi="Arial" w:cs="Arial"/>
                <w:noProof/>
                <w:webHidden/>
                <w:sz w:val="24"/>
                <w:szCs w:val="24"/>
              </w:rPr>
              <w:instrText xml:space="preserve"> PAGEREF _Toc491958005 \h </w:instrText>
            </w:r>
            <w:r w:rsidR="00F22458" w:rsidRPr="003D4C83">
              <w:rPr>
                <w:rFonts w:ascii="Arial" w:hAnsi="Arial" w:cs="Arial"/>
                <w:noProof/>
                <w:webHidden/>
                <w:sz w:val="24"/>
                <w:szCs w:val="24"/>
              </w:rPr>
            </w:r>
            <w:r w:rsidR="00F22458" w:rsidRPr="003D4C83">
              <w:rPr>
                <w:rFonts w:ascii="Arial" w:hAnsi="Arial" w:cs="Arial"/>
                <w:noProof/>
                <w:webHidden/>
                <w:sz w:val="24"/>
                <w:szCs w:val="24"/>
              </w:rPr>
              <w:fldChar w:fldCharType="separate"/>
            </w:r>
            <w:r>
              <w:rPr>
                <w:rFonts w:ascii="Arial" w:hAnsi="Arial" w:cs="Arial"/>
                <w:noProof/>
                <w:webHidden/>
                <w:sz w:val="24"/>
                <w:szCs w:val="24"/>
              </w:rPr>
              <w:t>11</w:t>
            </w:r>
            <w:r w:rsidR="00F22458" w:rsidRPr="003D4C83">
              <w:rPr>
                <w:rFonts w:ascii="Arial" w:hAnsi="Arial" w:cs="Arial"/>
                <w:noProof/>
                <w:webHidden/>
                <w:sz w:val="24"/>
                <w:szCs w:val="24"/>
              </w:rPr>
              <w:fldChar w:fldCharType="end"/>
            </w:r>
          </w:hyperlink>
        </w:p>
        <w:p w14:paraId="44866012" w14:textId="67D87811" w:rsidR="00F22458" w:rsidRPr="003D4C83" w:rsidRDefault="00313027">
          <w:pPr>
            <w:pStyle w:val="TOC2"/>
            <w:tabs>
              <w:tab w:val="left" w:pos="960"/>
              <w:tab w:val="right" w:leader="dot" w:pos="9060"/>
            </w:tabs>
            <w:rPr>
              <w:rFonts w:ascii="Arial" w:eastAsiaTheme="minorEastAsia" w:hAnsi="Arial" w:cs="Arial"/>
              <w:b w:val="0"/>
              <w:noProof/>
              <w:sz w:val="24"/>
              <w:szCs w:val="24"/>
            </w:rPr>
          </w:pPr>
          <w:hyperlink w:anchor="_Toc491958006" w:history="1">
            <w:r w:rsidR="00F22458" w:rsidRPr="003D4C83">
              <w:rPr>
                <w:rStyle w:val="Hyperlink"/>
                <w:rFonts w:ascii="Arial" w:hAnsi="Arial" w:cs="Arial"/>
                <w:noProof/>
                <w:sz w:val="24"/>
                <w:szCs w:val="24"/>
              </w:rPr>
              <w:t>7.4</w:t>
            </w:r>
            <w:r w:rsidR="00F22458" w:rsidRPr="003D4C83">
              <w:rPr>
                <w:rFonts w:ascii="Arial" w:eastAsiaTheme="minorEastAsia" w:hAnsi="Arial" w:cs="Arial"/>
                <w:b w:val="0"/>
                <w:noProof/>
                <w:sz w:val="24"/>
                <w:szCs w:val="24"/>
              </w:rPr>
              <w:tab/>
            </w:r>
            <w:r w:rsidR="00F22458" w:rsidRPr="003D4C83">
              <w:rPr>
                <w:rStyle w:val="Hyperlink"/>
                <w:rFonts w:ascii="Arial" w:hAnsi="Arial" w:cs="Arial"/>
                <w:noProof/>
                <w:sz w:val="24"/>
                <w:szCs w:val="24"/>
              </w:rPr>
              <w:t>Implied freedom of political communication</w:t>
            </w:r>
            <w:r w:rsidR="00F22458" w:rsidRPr="003D4C83">
              <w:rPr>
                <w:rFonts w:ascii="Arial" w:hAnsi="Arial" w:cs="Arial"/>
                <w:noProof/>
                <w:webHidden/>
                <w:sz w:val="24"/>
                <w:szCs w:val="24"/>
              </w:rPr>
              <w:tab/>
            </w:r>
            <w:r w:rsidR="00F22458" w:rsidRPr="003D4C83">
              <w:rPr>
                <w:rFonts w:ascii="Arial" w:hAnsi="Arial" w:cs="Arial"/>
                <w:noProof/>
                <w:webHidden/>
                <w:sz w:val="24"/>
                <w:szCs w:val="24"/>
              </w:rPr>
              <w:fldChar w:fldCharType="begin"/>
            </w:r>
            <w:r w:rsidR="00F22458" w:rsidRPr="003D4C83">
              <w:rPr>
                <w:rFonts w:ascii="Arial" w:hAnsi="Arial" w:cs="Arial"/>
                <w:noProof/>
                <w:webHidden/>
                <w:sz w:val="24"/>
                <w:szCs w:val="24"/>
              </w:rPr>
              <w:instrText xml:space="preserve"> PAGEREF _Toc491958006 \h </w:instrText>
            </w:r>
            <w:r w:rsidR="00F22458" w:rsidRPr="003D4C83">
              <w:rPr>
                <w:rFonts w:ascii="Arial" w:hAnsi="Arial" w:cs="Arial"/>
                <w:noProof/>
                <w:webHidden/>
                <w:sz w:val="24"/>
                <w:szCs w:val="24"/>
              </w:rPr>
            </w:r>
            <w:r w:rsidR="00F22458" w:rsidRPr="003D4C83">
              <w:rPr>
                <w:rFonts w:ascii="Arial" w:hAnsi="Arial" w:cs="Arial"/>
                <w:noProof/>
                <w:webHidden/>
                <w:sz w:val="24"/>
                <w:szCs w:val="24"/>
              </w:rPr>
              <w:fldChar w:fldCharType="separate"/>
            </w:r>
            <w:r>
              <w:rPr>
                <w:rFonts w:ascii="Arial" w:hAnsi="Arial" w:cs="Arial"/>
                <w:noProof/>
                <w:webHidden/>
                <w:sz w:val="24"/>
                <w:szCs w:val="24"/>
              </w:rPr>
              <w:t>11</w:t>
            </w:r>
            <w:r w:rsidR="00F22458" w:rsidRPr="003D4C83">
              <w:rPr>
                <w:rFonts w:ascii="Arial" w:hAnsi="Arial" w:cs="Arial"/>
                <w:noProof/>
                <w:webHidden/>
                <w:sz w:val="24"/>
                <w:szCs w:val="24"/>
              </w:rPr>
              <w:fldChar w:fldCharType="end"/>
            </w:r>
          </w:hyperlink>
        </w:p>
        <w:p w14:paraId="722063E9" w14:textId="1BFE3E1E" w:rsidR="00F22458" w:rsidRPr="003D4C83" w:rsidRDefault="00313027">
          <w:pPr>
            <w:pStyle w:val="TOC1"/>
            <w:tabs>
              <w:tab w:val="left" w:pos="480"/>
              <w:tab w:val="right" w:leader="dot" w:pos="9060"/>
            </w:tabs>
            <w:rPr>
              <w:rFonts w:ascii="Arial" w:eastAsiaTheme="minorEastAsia" w:hAnsi="Arial" w:cs="Arial"/>
              <w:b w:val="0"/>
              <w:noProof/>
              <w:sz w:val="24"/>
            </w:rPr>
          </w:pPr>
          <w:hyperlink w:anchor="_Toc491958007" w:history="1">
            <w:r w:rsidR="00F22458" w:rsidRPr="003D4C83">
              <w:rPr>
                <w:rStyle w:val="Hyperlink"/>
                <w:rFonts w:ascii="Arial" w:hAnsi="Arial" w:cs="Arial"/>
                <w:noProof/>
                <w:sz w:val="24"/>
              </w:rPr>
              <w:t>8</w:t>
            </w:r>
            <w:r w:rsidR="00F22458" w:rsidRPr="003D4C83">
              <w:rPr>
                <w:rFonts w:ascii="Arial" w:eastAsiaTheme="minorEastAsia" w:hAnsi="Arial" w:cs="Arial"/>
                <w:b w:val="0"/>
                <w:noProof/>
                <w:sz w:val="24"/>
              </w:rPr>
              <w:tab/>
            </w:r>
            <w:r w:rsidR="00F22458" w:rsidRPr="003D4C83">
              <w:rPr>
                <w:rStyle w:val="Hyperlink"/>
                <w:rFonts w:ascii="Arial" w:hAnsi="Arial" w:cs="Arial"/>
                <w:noProof/>
                <w:sz w:val="24"/>
              </w:rPr>
              <w:t>A harm-based approach to secrecy laws</w:t>
            </w:r>
            <w:r w:rsidR="00F22458" w:rsidRPr="003D4C83">
              <w:rPr>
                <w:rFonts w:ascii="Arial" w:hAnsi="Arial" w:cs="Arial"/>
                <w:noProof/>
                <w:webHidden/>
                <w:sz w:val="24"/>
              </w:rPr>
              <w:tab/>
            </w:r>
            <w:r w:rsidR="00F22458" w:rsidRPr="003D4C83">
              <w:rPr>
                <w:rFonts w:ascii="Arial" w:hAnsi="Arial" w:cs="Arial"/>
                <w:noProof/>
                <w:webHidden/>
                <w:sz w:val="24"/>
              </w:rPr>
              <w:fldChar w:fldCharType="begin"/>
            </w:r>
            <w:r w:rsidR="00F22458" w:rsidRPr="003D4C83">
              <w:rPr>
                <w:rFonts w:ascii="Arial" w:hAnsi="Arial" w:cs="Arial"/>
                <w:noProof/>
                <w:webHidden/>
                <w:sz w:val="24"/>
              </w:rPr>
              <w:instrText xml:space="preserve"> PAGEREF _Toc491958007 \h </w:instrText>
            </w:r>
            <w:r w:rsidR="00F22458" w:rsidRPr="003D4C83">
              <w:rPr>
                <w:rFonts w:ascii="Arial" w:hAnsi="Arial" w:cs="Arial"/>
                <w:noProof/>
                <w:webHidden/>
                <w:sz w:val="24"/>
              </w:rPr>
            </w:r>
            <w:r w:rsidR="00F22458" w:rsidRPr="003D4C83">
              <w:rPr>
                <w:rFonts w:ascii="Arial" w:hAnsi="Arial" w:cs="Arial"/>
                <w:noProof/>
                <w:webHidden/>
                <w:sz w:val="24"/>
              </w:rPr>
              <w:fldChar w:fldCharType="separate"/>
            </w:r>
            <w:r>
              <w:rPr>
                <w:rFonts w:ascii="Arial" w:hAnsi="Arial" w:cs="Arial"/>
                <w:noProof/>
                <w:webHidden/>
                <w:sz w:val="24"/>
              </w:rPr>
              <w:t>13</w:t>
            </w:r>
            <w:r w:rsidR="00F22458" w:rsidRPr="003D4C83">
              <w:rPr>
                <w:rFonts w:ascii="Arial" w:hAnsi="Arial" w:cs="Arial"/>
                <w:noProof/>
                <w:webHidden/>
                <w:sz w:val="24"/>
              </w:rPr>
              <w:fldChar w:fldCharType="end"/>
            </w:r>
          </w:hyperlink>
        </w:p>
        <w:p w14:paraId="5FA5C586" w14:textId="6F503F5A" w:rsidR="00F22458" w:rsidRPr="003D4C83" w:rsidRDefault="00313027">
          <w:pPr>
            <w:pStyle w:val="TOC1"/>
            <w:tabs>
              <w:tab w:val="left" w:pos="480"/>
              <w:tab w:val="right" w:leader="dot" w:pos="9060"/>
            </w:tabs>
            <w:rPr>
              <w:rFonts w:ascii="Arial" w:eastAsiaTheme="minorEastAsia" w:hAnsi="Arial" w:cs="Arial"/>
              <w:b w:val="0"/>
              <w:noProof/>
              <w:sz w:val="24"/>
            </w:rPr>
          </w:pPr>
          <w:hyperlink w:anchor="_Toc491958008" w:history="1">
            <w:r w:rsidR="00F22458" w:rsidRPr="003D4C83">
              <w:rPr>
                <w:rStyle w:val="Hyperlink"/>
                <w:rFonts w:ascii="Arial" w:hAnsi="Arial" w:cs="Arial"/>
                <w:noProof/>
                <w:sz w:val="24"/>
              </w:rPr>
              <w:t>9</w:t>
            </w:r>
            <w:r w:rsidR="00F22458" w:rsidRPr="003D4C83">
              <w:rPr>
                <w:rFonts w:ascii="Arial" w:eastAsiaTheme="minorEastAsia" w:hAnsi="Arial" w:cs="Arial"/>
                <w:b w:val="0"/>
                <w:noProof/>
                <w:sz w:val="24"/>
              </w:rPr>
              <w:tab/>
            </w:r>
            <w:r w:rsidR="00F22458" w:rsidRPr="003D4C83">
              <w:rPr>
                <w:rStyle w:val="Hyperlink"/>
                <w:rFonts w:ascii="Arial" w:hAnsi="Arial" w:cs="Arial"/>
                <w:noProof/>
                <w:sz w:val="24"/>
              </w:rPr>
              <w:t>Criminal sanctions for unauthorised disclosure</w:t>
            </w:r>
            <w:r w:rsidR="00F22458" w:rsidRPr="003D4C83">
              <w:rPr>
                <w:rFonts w:ascii="Arial" w:hAnsi="Arial" w:cs="Arial"/>
                <w:noProof/>
                <w:webHidden/>
                <w:sz w:val="24"/>
              </w:rPr>
              <w:tab/>
            </w:r>
            <w:r w:rsidR="00F22458" w:rsidRPr="003D4C83">
              <w:rPr>
                <w:rFonts w:ascii="Arial" w:hAnsi="Arial" w:cs="Arial"/>
                <w:noProof/>
                <w:webHidden/>
                <w:sz w:val="24"/>
              </w:rPr>
              <w:fldChar w:fldCharType="begin"/>
            </w:r>
            <w:r w:rsidR="00F22458" w:rsidRPr="003D4C83">
              <w:rPr>
                <w:rFonts w:ascii="Arial" w:hAnsi="Arial" w:cs="Arial"/>
                <w:noProof/>
                <w:webHidden/>
                <w:sz w:val="24"/>
              </w:rPr>
              <w:instrText xml:space="preserve"> PAGEREF _Toc491958008 \h </w:instrText>
            </w:r>
            <w:r w:rsidR="00F22458" w:rsidRPr="003D4C83">
              <w:rPr>
                <w:rFonts w:ascii="Arial" w:hAnsi="Arial" w:cs="Arial"/>
                <w:noProof/>
                <w:webHidden/>
                <w:sz w:val="24"/>
              </w:rPr>
            </w:r>
            <w:r w:rsidR="00F22458" w:rsidRPr="003D4C83">
              <w:rPr>
                <w:rFonts w:ascii="Arial" w:hAnsi="Arial" w:cs="Arial"/>
                <w:noProof/>
                <w:webHidden/>
                <w:sz w:val="24"/>
              </w:rPr>
              <w:fldChar w:fldCharType="separate"/>
            </w:r>
            <w:r>
              <w:rPr>
                <w:rFonts w:ascii="Arial" w:hAnsi="Arial" w:cs="Arial"/>
                <w:noProof/>
                <w:webHidden/>
                <w:sz w:val="24"/>
              </w:rPr>
              <w:t>15</w:t>
            </w:r>
            <w:r w:rsidR="00F22458" w:rsidRPr="003D4C83">
              <w:rPr>
                <w:rFonts w:ascii="Arial" w:hAnsi="Arial" w:cs="Arial"/>
                <w:noProof/>
                <w:webHidden/>
                <w:sz w:val="24"/>
              </w:rPr>
              <w:fldChar w:fldCharType="end"/>
            </w:r>
          </w:hyperlink>
        </w:p>
        <w:p w14:paraId="75978476" w14:textId="07E8CA3C" w:rsidR="00F22458" w:rsidRPr="003D4C83" w:rsidRDefault="00313027">
          <w:pPr>
            <w:pStyle w:val="TOC1"/>
            <w:tabs>
              <w:tab w:val="left" w:pos="480"/>
              <w:tab w:val="right" w:leader="dot" w:pos="9060"/>
            </w:tabs>
            <w:rPr>
              <w:rFonts w:ascii="Arial" w:eastAsiaTheme="minorEastAsia" w:hAnsi="Arial" w:cs="Arial"/>
              <w:b w:val="0"/>
              <w:noProof/>
              <w:sz w:val="24"/>
            </w:rPr>
          </w:pPr>
          <w:hyperlink w:anchor="_Toc491958009" w:history="1">
            <w:r w:rsidR="00F22458" w:rsidRPr="003D4C83">
              <w:rPr>
                <w:rStyle w:val="Hyperlink"/>
                <w:rFonts w:ascii="Arial" w:hAnsi="Arial" w:cs="Arial"/>
                <w:noProof/>
                <w:sz w:val="24"/>
              </w:rPr>
              <w:t>10</w:t>
            </w:r>
            <w:r w:rsidR="00F22458" w:rsidRPr="003D4C83">
              <w:rPr>
                <w:rFonts w:ascii="Arial" w:eastAsiaTheme="minorEastAsia" w:hAnsi="Arial" w:cs="Arial"/>
                <w:b w:val="0"/>
                <w:noProof/>
                <w:sz w:val="24"/>
              </w:rPr>
              <w:tab/>
            </w:r>
            <w:r w:rsidR="00F22458" w:rsidRPr="003D4C83">
              <w:rPr>
                <w:rStyle w:val="Hyperlink"/>
                <w:rFonts w:ascii="Arial" w:hAnsi="Arial" w:cs="Arial"/>
                <w:noProof/>
                <w:sz w:val="24"/>
              </w:rPr>
              <w:t>‘Would or could reasonably be expected to’</w:t>
            </w:r>
            <w:r w:rsidR="00F22458" w:rsidRPr="003D4C83">
              <w:rPr>
                <w:rFonts w:ascii="Arial" w:hAnsi="Arial" w:cs="Arial"/>
                <w:noProof/>
                <w:webHidden/>
                <w:sz w:val="24"/>
              </w:rPr>
              <w:tab/>
            </w:r>
            <w:r w:rsidR="00F22458" w:rsidRPr="003D4C83">
              <w:rPr>
                <w:rFonts w:ascii="Arial" w:hAnsi="Arial" w:cs="Arial"/>
                <w:noProof/>
                <w:webHidden/>
                <w:sz w:val="24"/>
              </w:rPr>
              <w:fldChar w:fldCharType="begin"/>
            </w:r>
            <w:r w:rsidR="00F22458" w:rsidRPr="003D4C83">
              <w:rPr>
                <w:rFonts w:ascii="Arial" w:hAnsi="Arial" w:cs="Arial"/>
                <w:noProof/>
                <w:webHidden/>
                <w:sz w:val="24"/>
              </w:rPr>
              <w:instrText xml:space="preserve"> PAGEREF _Toc491958009 \h </w:instrText>
            </w:r>
            <w:r w:rsidR="00F22458" w:rsidRPr="003D4C83">
              <w:rPr>
                <w:rFonts w:ascii="Arial" w:hAnsi="Arial" w:cs="Arial"/>
                <w:noProof/>
                <w:webHidden/>
                <w:sz w:val="24"/>
              </w:rPr>
            </w:r>
            <w:r w:rsidR="00F22458" w:rsidRPr="003D4C83">
              <w:rPr>
                <w:rFonts w:ascii="Arial" w:hAnsi="Arial" w:cs="Arial"/>
                <w:noProof/>
                <w:webHidden/>
                <w:sz w:val="24"/>
              </w:rPr>
              <w:fldChar w:fldCharType="separate"/>
            </w:r>
            <w:r>
              <w:rPr>
                <w:rFonts w:ascii="Arial" w:hAnsi="Arial" w:cs="Arial"/>
                <w:noProof/>
                <w:webHidden/>
                <w:sz w:val="24"/>
              </w:rPr>
              <w:t>15</w:t>
            </w:r>
            <w:r w:rsidR="00F22458" w:rsidRPr="003D4C83">
              <w:rPr>
                <w:rFonts w:ascii="Arial" w:hAnsi="Arial" w:cs="Arial"/>
                <w:noProof/>
                <w:webHidden/>
                <w:sz w:val="24"/>
              </w:rPr>
              <w:fldChar w:fldCharType="end"/>
            </w:r>
          </w:hyperlink>
        </w:p>
        <w:p w14:paraId="50C19A74" w14:textId="75C21818" w:rsidR="00F22458" w:rsidRPr="003D4C83" w:rsidRDefault="00313027">
          <w:pPr>
            <w:pStyle w:val="TOC1"/>
            <w:tabs>
              <w:tab w:val="left" w:pos="480"/>
              <w:tab w:val="right" w:leader="dot" w:pos="9060"/>
            </w:tabs>
            <w:rPr>
              <w:rFonts w:ascii="Arial" w:eastAsiaTheme="minorEastAsia" w:hAnsi="Arial" w:cs="Arial"/>
              <w:b w:val="0"/>
              <w:noProof/>
              <w:sz w:val="24"/>
            </w:rPr>
          </w:pPr>
          <w:hyperlink w:anchor="_Toc491958010" w:history="1">
            <w:r w:rsidR="00F22458" w:rsidRPr="003D4C83">
              <w:rPr>
                <w:rStyle w:val="Hyperlink"/>
                <w:rFonts w:ascii="Arial" w:hAnsi="Arial" w:cs="Arial"/>
                <w:noProof/>
                <w:sz w:val="24"/>
              </w:rPr>
              <w:t>11</w:t>
            </w:r>
            <w:r w:rsidR="00F22458" w:rsidRPr="003D4C83">
              <w:rPr>
                <w:rFonts w:ascii="Arial" w:eastAsiaTheme="minorEastAsia" w:hAnsi="Arial" w:cs="Arial"/>
                <w:b w:val="0"/>
                <w:noProof/>
                <w:sz w:val="24"/>
              </w:rPr>
              <w:tab/>
            </w:r>
            <w:r w:rsidR="00F22458" w:rsidRPr="003D4C83">
              <w:rPr>
                <w:rStyle w:val="Hyperlink"/>
                <w:rFonts w:ascii="Arial" w:hAnsi="Arial" w:cs="Arial"/>
                <w:noProof/>
                <w:sz w:val="24"/>
              </w:rPr>
              <w:t>‘Prejudice’ or ‘damage’ to the security, defence or international relations of Australia?</w:t>
            </w:r>
            <w:r w:rsidR="00F22458" w:rsidRPr="003D4C83">
              <w:rPr>
                <w:rFonts w:ascii="Arial" w:hAnsi="Arial" w:cs="Arial"/>
                <w:noProof/>
                <w:webHidden/>
                <w:sz w:val="24"/>
              </w:rPr>
              <w:tab/>
            </w:r>
            <w:r w:rsidR="00F22458" w:rsidRPr="003D4C83">
              <w:rPr>
                <w:rFonts w:ascii="Arial" w:hAnsi="Arial" w:cs="Arial"/>
                <w:noProof/>
                <w:webHidden/>
                <w:sz w:val="24"/>
              </w:rPr>
              <w:fldChar w:fldCharType="begin"/>
            </w:r>
            <w:r w:rsidR="00F22458" w:rsidRPr="003D4C83">
              <w:rPr>
                <w:rFonts w:ascii="Arial" w:hAnsi="Arial" w:cs="Arial"/>
                <w:noProof/>
                <w:webHidden/>
                <w:sz w:val="24"/>
              </w:rPr>
              <w:instrText xml:space="preserve"> PAGEREF _Toc491958010 \h </w:instrText>
            </w:r>
            <w:r w:rsidR="00F22458" w:rsidRPr="003D4C83">
              <w:rPr>
                <w:rFonts w:ascii="Arial" w:hAnsi="Arial" w:cs="Arial"/>
                <w:noProof/>
                <w:webHidden/>
                <w:sz w:val="24"/>
              </w:rPr>
            </w:r>
            <w:r w:rsidR="00F22458" w:rsidRPr="003D4C83">
              <w:rPr>
                <w:rFonts w:ascii="Arial" w:hAnsi="Arial" w:cs="Arial"/>
                <w:noProof/>
                <w:webHidden/>
                <w:sz w:val="24"/>
              </w:rPr>
              <w:fldChar w:fldCharType="separate"/>
            </w:r>
            <w:r>
              <w:rPr>
                <w:rFonts w:ascii="Arial" w:hAnsi="Arial" w:cs="Arial"/>
                <w:noProof/>
                <w:webHidden/>
                <w:sz w:val="24"/>
              </w:rPr>
              <w:t>16</w:t>
            </w:r>
            <w:r w:rsidR="00F22458" w:rsidRPr="003D4C83">
              <w:rPr>
                <w:rFonts w:ascii="Arial" w:hAnsi="Arial" w:cs="Arial"/>
                <w:noProof/>
                <w:webHidden/>
                <w:sz w:val="24"/>
              </w:rPr>
              <w:fldChar w:fldCharType="end"/>
            </w:r>
          </w:hyperlink>
        </w:p>
        <w:p w14:paraId="2E4F2A16" w14:textId="1045FB16" w:rsidR="00F22458" w:rsidRPr="003D4C83" w:rsidRDefault="00313027">
          <w:pPr>
            <w:pStyle w:val="TOC1"/>
            <w:tabs>
              <w:tab w:val="left" w:pos="480"/>
              <w:tab w:val="right" w:leader="dot" w:pos="9060"/>
            </w:tabs>
            <w:rPr>
              <w:rFonts w:ascii="Arial" w:eastAsiaTheme="minorEastAsia" w:hAnsi="Arial" w:cs="Arial"/>
              <w:b w:val="0"/>
              <w:noProof/>
              <w:sz w:val="24"/>
            </w:rPr>
          </w:pPr>
          <w:hyperlink w:anchor="_Toc491958011" w:history="1">
            <w:r w:rsidR="00F22458" w:rsidRPr="003D4C83">
              <w:rPr>
                <w:rStyle w:val="Hyperlink"/>
                <w:rFonts w:ascii="Arial" w:hAnsi="Arial" w:cs="Arial"/>
                <w:noProof/>
                <w:sz w:val="24"/>
              </w:rPr>
              <w:t>12</w:t>
            </w:r>
            <w:r w:rsidR="00F22458" w:rsidRPr="003D4C83">
              <w:rPr>
                <w:rFonts w:ascii="Arial" w:eastAsiaTheme="minorEastAsia" w:hAnsi="Arial" w:cs="Arial"/>
                <w:b w:val="0"/>
                <w:noProof/>
                <w:sz w:val="24"/>
              </w:rPr>
              <w:tab/>
            </w:r>
            <w:r w:rsidR="00F22458" w:rsidRPr="003D4C83">
              <w:rPr>
                <w:rStyle w:val="Hyperlink"/>
                <w:rFonts w:ascii="Arial" w:hAnsi="Arial" w:cs="Arial"/>
                <w:noProof/>
                <w:sz w:val="24"/>
              </w:rPr>
              <w:t>Defining ‘security’ and ‘international relations’</w:t>
            </w:r>
            <w:r w:rsidR="00F22458" w:rsidRPr="003D4C83">
              <w:rPr>
                <w:rFonts w:ascii="Arial" w:hAnsi="Arial" w:cs="Arial"/>
                <w:noProof/>
                <w:webHidden/>
                <w:sz w:val="24"/>
              </w:rPr>
              <w:tab/>
            </w:r>
            <w:r w:rsidR="00F22458" w:rsidRPr="003D4C83">
              <w:rPr>
                <w:rFonts w:ascii="Arial" w:hAnsi="Arial" w:cs="Arial"/>
                <w:noProof/>
                <w:webHidden/>
                <w:sz w:val="24"/>
              </w:rPr>
              <w:fldChar w:fldCharType="begin"/>
            </w:r>
            <w:r w:rsidR="00F22458" w:rsidRPr="003D4C83">
              <w:rPr>
                <w:rFonts w:ascii="Arial" w:hAnsi="Arial" w:cs="Arial"/>
                <w:noProof/>
                <w:webHidden/>
                <w:sz w:val="24"/>
              </w:rPr>
              <w:instrText xml:space="preserve"> PAGEREF _Toc491958011 \h </w:instrText>
            </w:r>
            <w:r w:rsidR="00F22458" w:rsidRPr="003D4C83">
              <w:rPr>
                <w:rFonts w:ascii="Arial" w:hAnsi="Arial" w:cs="Arial"/>
                <w:noProof/>
                <w:webHidden/>
                <w:sz w:val="24"/>
              </w:rPr>
            </w:r>
            <w:r w:rsidR="00F22458" w:rsidRPr="003D4C83">
              <w:rPr>
                <w:rFonts w:ascii="Arial" w:hAnsi="Arial" w:cs="Arial"/>
                <w:noProof/>
                <w:webHidden/>
                <w:sz w:val="24"/>
              </w:rPr>
              <w:fldChar w:fldCharType="separate"/>
            </w:r>
            <w:r>
              <w:rPr>
                <w:rFonts w:ascii="Arial" w:hAnsi="Arial" w:cs="Arial"/>
                <w:noProof/>
                <w:webHidden/>
                <w:sz w:val="24"/>
              </w:rPr>
              <w:t>17</w:t>
            </w:r>
            <w:r w:rsidR="00F22458" w:rsidRPr="003D4C83">
              <w:rPr>
                <w:rFonts w:ascii="Arial" w:hAnsi="Arial" w:cs="Arial"/>
                <w:noProof/>
                <w:webHidden/>
                <w:sz w:val="24"/>
              </w:rPr>
              <w:fldChar w:fldCharType="end"/>
            </w:r>
          </w:hyperlink>
        </w:p>
        <w:p w14:paraId="2E0E4E95" w14:textId="090340FF" w:rsidR="00F22458" w:rsidRPr="003D4C83" w:rsidRDefault="00313027">
          <w:pPr>
            <w:pStyle w:val="TOC2"/>
            <w:tabs>
              <w:tab w:val="left" w:pos="960"/>
              <w:tab w:val="right" w:leader="dot" w:pos="9060"/>
            </w:tabs>
            <w:rPr>
              <w:rFonts w:ascii="Arial" w:eastAsiaTheme="minorEastAsia" w:hAnsi="Arial" w:cs="Arial"/>
              <w:b w:val="0"/>
              <w:noProof/>
              <w:sz w:val="24"/>
              <w:szCs w:val="24"/>
            </w:rPr>
          </w:pPr>
          <w:hyperlink w:anchor="_Toc491958012" w:history="1">
            <w:r w:rsidR="00F22458" w:rsidRPr="003D4C83">
              <w:rPr>
                <w:rStyle w:val="Hyperlink"/>
                <w:rFonts w:ascii="Arial" w:hAnsi="Arial" w:cs="Arial"/>
                <w:noProof/>
                <w:sz w:val="24"/>
                <w:szCs w:val="24"/>
              </w:rPr>
              <w:t>12.1</w:t>
            </w:r>
            <w:r w:rsidR="00F22458" w:rsidRPr="003D4C83">
              <w:rPr>
                <w:rFonts w:ascii="Arial" w:eastAsiaTheme="minorEastAsia" w:hAnsi="Arial" w:cs="Arial"/>
                <w:b w:val="0"/>
                <w:noProof/>
                <w:sz w:val="24"/>
                <w:szCs w:val="24"/>
              </w:rPr>
              <w:tab/>
            </w:r>
            <w:r w:rsidR="00F22458" w:rsidRPr="003D4C83">
              <w:rPr>
                <w:rStyle w:val="Hyperlink"/>
                <w:rFonts w:ascii="Arial" w:hAnsi="Arial" w:cs="Arial"/>
                <w:noProof/>
                <w:sz w:val="24"/>
                <w:szCs w:val="24"/>
              </w:rPr>
              <w:t>Security</w:t>
            </w:r>
            <w:r w:rsidR="00F22458" w:rsidRPr="003D4C83">
              <w:rPr>
                <w:rFonts w:ascii="Arial" w:hAnsi="Arial" w:cs="Arial"/>
                <w:noProof/>
                <w:webHidden/>
                <w:sz w:val="24"/>
                <w:szCs w:val="24"/>
              </w:rPr>
              <w:tab/>
            </w:r>
            <w:r w:rsidR="00F22458" w:rsidRPr="003D4C83">
              <w:rPr>
                <w:rFonts w:ascii="Arial" w:hAnsi="Arial" w:cs="Arial"/>
                <w:noProof/>
                <w:webHidden/>
                <w:sz w:val="24"/>
                <w:szCs w:val="24"/>
              </w:rPr>
              <w:fldChar w:fldCharType="begin"/>
            </w:r>
            <w:r w:rsidR="00F22458" w:rsidRPr="003D4C83">
              <w:rPr>
                <w:rFonts w:ascii="Arial" w:hAnsi="Arial" w:cs="Arial"/>
                <w:noProof/>
                <w:webHidden/>
                <w:sz w:val="24"/>
                <w:szCs w:val="24"/>
              </w:rPr>
              <w:instrText xml:space="preserve"> PAGEREF _Toc491958012 \h </w:instrText>
            </w:r>
            <w:r w:rsidR="00F22458" w:rsidRPr="003D4C83">
              <w:rPr>
                <w:rFonts w:ascii="Arial" w:hAnsi="Arial" w:cs="Arial"/>
                <w:noProof/>
                <w:webHidden/>
                <w:sz w:val="24"/>
                <w:szCs w:val="24"/>
              </w:rPr>
            </w:r>
            <w:r w:rsidR="00F22458" w:rsidRPr="003D4C83">
              <w:rPr>
                <w:rFonts w:ascii="Arial" w:hAnsi="Arial" w:cs="Arial"/>
                <w:noProof/>
                <w:webHidden/>
                <w:sz w:val="24"/>
                <w:szCs w:val="24"/>
              </w:rPr>
              <w:fldChar w:fldCharType="separate"/>
            </w:r>
            <w:r>
              <w:rPr>
                <w:rFonts w:ascii="Arial" w:hAnsi="Arial" w:cs="Arial"/>
                <w:noProof/>
                <w:webHidden/>
                <w:sz w:val="24"/>
                <w:szCs w:val="24"/>
              </w:rPr>
              <w:t>18</w:t>
            </w:r>
            <w:r w:rsidR="00F22458" w:rsidRPr="003D4C83">
              <w:rPr>
                <w:rFonts w:ascii="Arial" w:hAnsi="Arial" w:cs="Arial"/>
                <w:noProof/>
                <w:webHidden/>
                <w:sz w:val="24"/>
                <w:szCs w:val="24"/>
              </w:rPr>
              <w:fldChar w:fldCharType="end"/>
            </w:r>
          </w:hyperlink>
        </w:p>
        <w:p w14:paraId="75E973A1" w14:textId="4818E9AD" w:rsidR="00F22458" w:rsidRPr="003D4C83" w:rsidRDefault="00313027">
          <w:pPr>
            <w:pStyle w:val="TOC2"/>
            <w:tabs>
              <w:tab w:val="left" w:pos="960"/>
              <w:tab w:val="right" w:leader="dot" w:pos="9060"/>
            </w:tabs>
            <w:rPr>
              <w:rFonts w:ascii="Arial" w:eastAsiaTheme="minorEastAsia" w:hAnsi="Arial" w:cs="Arial"/>
              <w:b w:val="0"/>
              <w:noProof/>
              <w:sz w:val="24"/>
              <w:szCs w:val="24"/>
            </w:rPr>
          </w:pPr>
          <w:hyperlink w:anchor="_Toc491958013" w:history="1">
            <w:r w:rsidR="00F22458" w:rsidRPr="003D4C83">
              <w:rPr>
                <w:rStyle w:val="Hyperlink"/>
                <w:rFonts w:ascii="Arial" w:hAnsi="Arial" w:cs="Arial"/>
                <w:noProof/>
                <w:sz w:val="24"/>
                <w:szCs w:val="24"/>
              </w:rPr>
              <w:t>12.2</w:t>
            </w:r>
            <w:r w:rsidR="00F22458" w:rsidRPr="003D4C83">
              <w:rPr>
                <w:rFonts w:ascii="Arial" w:eastAsiaTheme="minorEastAsia" w:hAnsi="Arial" w:cs="Arial"/>
                <w:b w:val="0"/>
                <w:noProof/>
                <w:sz w:val="24"/>
                <w:szCs w:val="24"/>
              </w:rPr>
              <w:tab/>
            </w:r>
            <w:r w:rsidR="00F22458" w:rsidRPr="003D4C83">
              <w:rPr>
                <w:rStyle w:val="Hyperlink"/>
                <w:rFonts w:ascii="Arial" w:hAnsi="Arial" w:cs="Arial"/>
                <w:noProof/>
                <w:sz w:val="24"/>
                <w:szCs w:val="24"/>
              </w:rPr>
              <w:t>International relations</w:t>
            </w:r>
            <w:r w:rsidR="00F22458" w:rsidRPr="003D4C83">
              <w:rPr>
                <w:rFonts w:ascii="Arial" w:hAnsi="Arial" w:cs="Arial"/>
                <w:noProof/>
                <w:webHidden/>
                <w:sz w:val="24"/>
                <w:szCs w:val="24"/>
              </w:rPr>
              <w:tab/>
            </w:r>
            <w:r w:rsidR="00F22458" w:rsidRPr="003D4C83">
              <w:rPr>
                <w:rFonts w:ascii="Arial" w:hAnsi="Arial" w:cs="Arial"/>
                <w:noProof/>
                <w:webHidden/>
                <w:sz w:val="24"/>
                <w:szCs w:val="24"/>
              </w:rPr>
              <w:fldChar w:fldCharType="begin"/>
            </w:r>
            <w:r w:rsidR="00F22458" w:rsidRPr="003D4C83">
              <w:rPr>
                <w:rFonts w:ascii="Arial" w:hAnsi="Arial" w:cs="Arial"/>
                <w:noProof/>
                <w:webHidden/>
                <w:sz w:val="24"/>
                <w:szCs w:val="24"/>
              </w:rPr>
              <w:instrText xml:space="preserve"> PAGEREF _Toc491958013 \h </w:instrText>
            </w:r>
            <w:r w:rsidR="00F22458" w:rsidRPr="003D4C83">
              <w:rPr>
                <w:rFonts w:ascii="Arial" w:hAnsi="Arial" w:cs="Arial"/>
                <w:noProof/>
                <w:webHidden/>
                <w:sz w:val="24"/>
                <w:szCs w:val="24"/>
              </w:rPr>
            </w:r>
            <w:r w:rsidR="00F22458" w:rsidRPr="003D4C83">
              <w:rPr>
                <w:rFonts w:ascii="Arial" w:hAnsi="Arial" w:cs="Arial"/>
                <w:noProof/>
                <w:webHidden/>
                <w:sz w:val="24"/>
                <w:szCs w:val="24"/>
              </w:rPr>
              <w:fldChar w:fldCharType="separate"/>
            </w:r>
            <w:r>
              <w:rPr>
                <w:rFonts w:ascii="Arial" w:hAnsi="Arial" w:cs="Arial"/>
                <w:noProof/>
                <w:webHidden/>
                <w:sz w:val="24"/>
                <w:szCs w:val="24"/>
              </w:rPr>
              <w:t>19</w:t>
            </w:r>
            <w:r w:rsidR="00F22458" w:rsidRPr="003D4C83">
              <w:rPr>
                <w:rFonts w:ascii="Arial" w:hAnsi="Arial" w:cs="Arial"/>
                <w:noProof/>
                <w:webHidden/>
                <w:sz w:val="24"/>
                <w:szCs w:val="24"/>
              </w:rPr>
              <w:fldChar w:fldCharType="end"/>
            </w:r>
          </w:hyperlink>
        </w:p>
        <w:p w14:paraId="1805EEF6" w14:textId="11F85C4F" w:rsidR="00F22458" w:rsidRPr="003D4C83" w:rsidRDefault="00313027">
          <w:pPr>
            <w:pStyle w:val="TOC1"/>
            <w:tabs>
              <w:tab w:val="left" w:pos="480"/>
              <w:tab w:val="right" w:leader="dot" w:pos="9060"/>
            </w:tabs>
            <w:rPr>
              <w:rFonts w:ascii="Arial" w:eastAsiaTheme="minorEastAsia" w:hAnsi="Arial" w:cs="Arial"/>
              <w:b w:val="0"/>
              <w:noProof/>
              <w:sz w:val="24"/>
            </w:rPr>
          </w:pPr>
          <w:hyperlink w:anchor="_Toc491958014" w:history="1">
            <w:r w:rsidR="00F22458" w:rsidRPr="003D4C83">
              <w:rPr>
                <w:rStyle w:val="Hyperlink"/>
                <w:rFonts w:ascii="Arial" w:hAnsi="Arial" w:cs="Arial"/>
                <w:noProof/>
                <w:sz w:val="24"/>
              </w:rPr>
              <w:t>13</w:t>
            </w:r>
            <w:r w:rsidR="00F22458" w:rsidRPr="003D4C83">
              <w:rPr>
                <w:rFonts w:ascii="Arial" w:eastAsiaTheme="minorEastAsia" w:hAnsi="Arial" w:cs="Arial"/>
                <w:b w:val="0"/>
                <w:noProof/>
                <w:sz w:val="24"/>
              </w:rPr>
              <w:tab/>
            </w:r>
            <w:r w:rsidR="00F22458" w:rsidRPr="003D4C83">
              <w:rPr>
                <w:rStyle w:val="Hyperlink"/>
                <w:rFonts w:ascii="Arial" w:hAnsi="Arial" w:cs="Arial"/>
                <w:noProof/>
                <w:sz w:val="24"/>
              </w:rPr>
              <w:t>Duty of confidence</w:t>
            </w:r>
            <w:r w:rsidR="00F22458" w:rsidRPr="003D4C83">
              <w:rPr>
                <w:rFonts w:ascii="Arial" w:hAnsi="Arial" w:cs="Arial"/>
                <w:noProof/>
                <w:webHidden/>
                <w:sz w:val="24"/>
              </w:rPr>
              <w:tab/>
            </w:r>
            <w:r w:rsidR="00F22458" w:rsidRPr="003D4C83">
              <w:rPr>
                <w:rFonts w:ascii="Arial" w:hAnsi="Arial" w:cs="Arial"/>
                <w:noProof/>
                <w:webHidden/>
                <w:sz w:val="24"/>
              </w:rPr>
              <w:fldChar w:fldCharType="begin"/>
            </w:r>
            <w:r w:rsidR="00F22458" w:rsidRPr="003D4C83">
              <w:rPr>
                <w:rFonts w:ascii="Arial" w:hAnsi="Arial" w:cs="Arial"/>
                <w:noProof/>
                <w:webHidden/>
                <w:sz w:val="24"/>
              </w:rPr>
              <w:instrText xml:space="preserve"> PAGEREF _Toc491958014 \h </w:instrText>
            </w:r>
            <w:r w:rsidR="00F22458" w:rsidRPr="003D4C83">
              <w:rPr>
                <w:rFonts w:ascii="Arial" w:hAnsi="Arial" w:cs="Arial"/>
                <w:noProof/>
                <w:webHidden/>
                <w:sz w:val="24"/>
              </w:rPr>
            </w:r>
            <w:r w:rsidR="00F22458" w:rsidRPr="003D4C83">
              <w:rPr>
                <w:rFonts w:ascii="Arial" w:hAnsi="Arial" w:cs="Arial"/>
                <w:noProof/>
                <w:webHidden/>
                <w:sz w:val="24"/>
              </w:rPr>
              <w:fldChar w:fldCharType="separate"/>
            </w:r>
            <w:r>
              <w:rPr>
                <w:rFonts w:ascii="Arial" w:hAnsi="Arial" w:cs="Arial"/>
                <w:noProof/>
                <w:webHidden/>
                <w:sz w:val="24"/>
              </w:rPr>
              <w:t>20</w:t>
            </w:r>
            <w:r w:rsidR="00F22458" w:rsidRPr="003D4C83">
              <w:rPr>
                <w:rFonts w:ascii="Arial" w:hAnsi="Arial" w:cs="Arial"/>
                <w:noProof/>
                <w:webHidden/>
                <w:sz w:val="24"/>
              </w:rPr>
              <w:fldChar w:fldCharType="end"/>
            </w:r>
          </w:hyperlink>
        </w:p>
        <w:p w14:paraId="36AD166E" w14:textId="341DE5BE" w:rsidR="00F22458" w:rsidRPr="003D4C83" w:rsidRDefault="00313027">
          <w:pPr>
            <w:pStyle w:val="TOC1"/>
            <w:tabs>
              <w:tab w:val="left" w:pos="480"/>
              <w:tab w:val="right" w:leader="dot" w:pos="9060"/>
            </w:tabs>
            <w:rPr>
              <w:rFonts w:ascii="Arial" w:eastAsiaTheme="minorEastAsia" w:hAnsi="Arial" w:cs="Arial"/>
              <w:b w:val="0"/>
              <w:noProof/>
              <w:sz w:val="24"/>
            </w:rPr>
          </w:pPr>
          <w:hyperlink w:anchor="_Toc491958015" w:history="1">
            <w:r w:rsidR="00F22458" w:rsidRPr="003D4C83">
              <w:rPr>
                <w:rStyle w:val="Hyperlink"/>
                <w:rFonts w:ascii="Arial" w:hAnsi="Arial" w:cs="Arial"/>
                <w:noProof/>
                <w:sz w:val="24"/>
              </w:rPr>
              <w:t>14</w:t>
            </w:r>
            <w:r w:rsidR="00F22458" w:rsidRPr="003D4C83">
              <w:rPr>
                <w:rFonts w:ascii="Arial" w:eastAsiaTheme="minorEastAsia" w:hAnsi="Arial" w:cs="Arial"/>
                <w:b w:val="0"/>
                <w:noProof/>
                <w:sz w:val="24"/>
              </w:rPr>
              <w:tab/>
            </w:r>
            <w:r w:rsidR="00F22458" w:rsidRPr="003D4C83">
              <w:rPr>
                <w:rStyle w:val="Hyperlink"/>
                <w:rFonts w:ascii="Arial" w:hAnsi="Arial" w:cs="Arial"/>
                <w:noProof/>
                <w:sz w:val="24"/>
              </w:rPr>
              <w:t>Competitive detriment</w:t>
            </w:r>
            <w:r w:rsidR="00F22458" w:rsidRPr="003D4C83">
              <w:rPr>
                <w:rFonts w:ascii="Arial" w:hAnsi="Arial" w:cs="Arial"/>
                <w:noProof/>
                <w:webHidden/>
                <w:sz w:val="24"/>
              </w:rPr>
              <w:tab/>
            </w:r>
            <w:r w:rsidR="00F22458" w:rsidRPr="003D4C83">
              <w:rPr>
                <w:rFonts w:ascii="Arial" w:hAnsi="Arial" w:cs="Arial"/>
                <w:noProof/>
                <w:webHidden/>
                <w:sz w:val="24"/>
              </w:rPr>
              <w:fldChar w:fldCharType="begin"/>
            </w:r>
            <w:r w:rsidR="00F22458" w:rsidRPr="003D4C83">
              <w:rPr>
                <w:rFonts w:ascii="Arial" w:hAnsi="Arial" w:cs="Arial"/>
                <w:noProof/>
                <w:webHidden/>
                <w:sz w:val="24"/>
              </w:rPr>
              <w:instrText xml:space="preserve"> PAGEREF _Toc491958015 \h </w:instrText>
            </w:r>
            <w:r w:rsidR="00F22458" w:rsidRPr="003D4C83">
              <w:rPr>
                <w:rFonts w:ascii="Arial" w:hAnsi="Arial" w:cs="Arial"/>
                <w:noProof/>
                <w:webHidden/>
                <w:sz w:val="24"/>
              </w:rPr>
            </w:r>
            <w:r w:rsidR="00F22458" w:rsidRPr="003D4C83">
              <w:rPr>
                <w:rFonts w:ascii="Arial" w:hAnsi="Arial" w:cs="Arial"/>
                <w:noProof/>
                <w:webHidden/>
                <w:sz w:val="24"/>
              </w:rPr>
              <w:fldChar w:fldCharType="separate"/>
            </w:r>
            <w:r>
              <w:rPr>
                <w:rFonts w:ascii="Arial" w:hAnsi="Arial" w:cs="Arial"/>
                <w:noProof/>
                <w:webHidden/>
                <w:sz w:val="24"/>
              </w:rPr>
              <w:t>23</w:t>
            </w:r>
            <w:r w:rsidR="00F22458" w:rsidRPr="003D4C83">
              <w:rPr>
                <w:rFonts w:ascii="Arial" w:hAnsi="Arial" w:cs="Arial"/>
                <w:noProof/>
                <w:webHidden/>
                <w:sz w:val="24"/>
              </w:rPr>
              <w:fldChar w:fldCharType="end"/>
            </w:r>
          </w:hyperlink>
        </w:p>
        <w:p w14:paraId="2942433E" w14:textId="7492FF32" w:rsidR="00F22458" w:rsidRPr="003D4C83" w:rsidRDefault="00313027">
          <w:pPr>
            <w:pStyle w:val="TOC1"/>
            <w:tabs>
              <w:tab w:val="left" w:pos="480"/>
              <w:tab w:val="right" w:leader="dot" w:pos="9060"/>
            </w:tabs>
            <w:rPr>
              <w:rFonts w:ascii="Arial" w:eastAsiaTheme="minorEastAsia" w:hAnsi="Arial" w:cs="Arial"/>
              <w:b w:val="0"/>
              <w:noProof/>
              <w:sz w:val="24"/>
            </w:rPr>
          </w:pPr>
          <w:hyperlink w:anchor="_Toc491958016" w:history="1">
            <w:r w:rsidR="00F22458" w:rsidRPr="003D4C83">
              <w:rPr>
                <w:rStyle w:val="Hyperlink"/>
                <w:rFonts w:ascii="Arial" w:hAnsi="Arial" w:cs="Arial"/>
                <w:noProof/>
                <w:sz w:val="24"/>
              </w:rPr>
              <w:t>15</w:t>
            </w:r>
            <w:r w:rsidR="00F22458" w:rsidRPr="003D4C83">
              <w:rPr>
                <w:rFonts w:ascii="Arial" w:eastAsiaTheme="minorEastAsia" w:hAnsi="Arial" w:cs="Arial"/>
                <w:b w:val="0"/>
                <w:noProof/>
                <w:sz w:val="24"/>
              </w:rPr>
              <w:tab/>
            </w:r>
            <w:r w:rsidR="00F22458" w:rsidRPr="003D4C83">
              <w:rPr>
                <w:rStyle w:val="Hyperlink"/>
                <w:rFonts w:ascii="Arial" w:hAnsi="Arial" w:cs="Arial"/>
                <w:noProof/>
                <w:sz w:val="24"/>
              </w:rPr>
              <w:t>Deeming provisions</w:t>
            </w:r>
            <w:r w:rsidR="00F22458" w:rsidRPr="003D4C83">
              <w:rPr>
                <w:rFonts w:ascii="Arial" w:hAnsi="Arial" w:cs="Arial"/>
                <w:noProof/>
                <w:webHidden/>
                <w:sz w:val="24"/>
              </w:rPr>
              <w:tab/>
            </w:r>
            <w:r w:rsidR="00F22458" w:rsidRPr="003D4C83">
              <w:rPr>
                <w:rFonts w:ascii="Arial" w:hAnsi="Arial" w:cs="Arial"/>
                <w:noProof/>
                <w:webHidden/>
                <w:sz w:val="24"/>
              </w:rPr>
              <w:fldChar w:fldCharType="begin"/>
            </w:r>
            <w:r w:rsidR="00F22458" w:rsidRPr="003D4C83">
              <w:rPr>
                <w:rFonts w:ascii="Arial" w:hAnsi="Arial" w:cs="Arial"/>
                <w:noProof/>
                <w:webHidden/>
                <w:sz w:val="24"/>
              </w:rPr>
              <w:instrText xml:space="preserve"> PAGEREF _Toc491958016 \h </w:instrText>
            </w:r>
            <w:r w:rsidR="00F22458" w:rsidRPr="003D4C83">
              <w:rPr>
                <w:rFonts w:ascii="Arial" w:hAnsi="Arial" w:cs="Arial"/>
                <w:noProof/>
                <w:webHidden/>
                <w:sz w:val="24"/>
              </w:rPr>
            </w:r>
            <w:r w:rsidR="00F22458" w:rsidRPr="003D4C83">
              <w:rPr>
                <w:rFonts w:ascii="Arial" w:hAnsi="Arial" w:cs="Arial"/>
                <w:noProof/>
                <w:webHidden/>
                <w:sz w:val="24"/>
              </w:rPr>
              <w:fldChar w:fldCharType="separate"/>
            </w:r>
            <w:r>
              <w:rPr>
                <w:rFonts w:ascii="Arial" w:hAnsi="Arial" w:cs="Arial"/>
                <w:noProof/>
                <w:webHidden/>
                <w:sz w:val="24"/>
              </w:rPr>
              <w:t>24</w:t>
            </w:r>
            <w:r w:rsidR="00F22458" w:rsidRPr="003D4C83">
              <w:rPr>
                <w:rFonts w:ascii="Arial" w:hAnsi="Arial" w:cs="Arial"/>
                <w:noProof/>
                <w:webHidden/>
                <w:sz w:val="24"/>
              </w:rPr>
              <w:fldChar w:fldCharType="end"/>
            </w:r>
          </w:hyperlink>
        </w:p>
        <w:p w14:paraId="6E1A6DB9" w14:textId="485302E6" w:rsidR="00F22458" w:rsidRPr="003D4C83" w:rsidRDefault="00313027">
          <w:pPr>
            <w:pStyle w:val="TOC2"/>
            <w:tabs>
              <w:tab w:val="left" w:pos="960"/>
              <w:tab w:val="right" w:leader="dot" w:pos="9060"/>
            </w:tabs>
            <w:rPr>
              <w:rFonts w:ascii="Arial" w:eastAsiaTheme="minorEastAsia" w:hAnsi="Arial" w:cs="Arial"/>
              <w:b w:val="0"/>
              <w:noProof/>
              <w:sz w:val="24"/>
              <w:szCs w:val="24"/>
            </w:rPr>
          </w:pPr>
          <w:hyperlink w:anchor="_Toc491958017" w:history="1">
            <w:r w:rsidR="00F22458" w:rsidRPr="003D4C83">
              <w:rPr>
                <w:rStyle w:val="Hyperlink"/>
                <w:rFonts w:ascii="Arial" w:hAnsi="Arial" w:cs="Arial"/>
                <w:noProof/>
                <w:sz w:val="24"/>
                <w:szCs w:val="24"/>
              </w:rPr>
              <w:t>15.1</w:t>
            </w:r>
            <w:r w:rsidR="00F22458" w:rsidRPr="003D4C83">
              <w:rPr>
                <w:rFonts w:ascii="Arial" w:eastAsiaTheme="minorEastAsia" w:hAnsi="Arial" w:cs="Arial"/>
                <w:b w:val="0"/>
                <w:noProof/>
                <w:sz w:val="24"/>
                <w:szCs w:val="24"/>
              </w:rPr>
              <w:tab/>
            </w:r>
            <w:r w:rsidR="00F22458" w:rsidRPr="003D4C83">
              <w:rPr>
                <w:rStyle w:val="Hyperlink"/>
                <w:rFonts w:ascii="Arial" w:hAnsi="Arial" w:cs="Arial"/>
                <w:noProof/>
                <w:sz w:val="24"/>
                <w:szCs w:val="24"/>
              </w:rPr>
              <w:t>Security classification</w:t>
            </w:r>
            <w:r w:rsidR="00F22458" w:rsidRPr="003D4C83">
              <w:rPr>
                <w:rFonts w:ascii="Arial" w:hAnsi="Arial" w:cs="Arial"/>
                <w:noProof/>
                <w:webHidden/>
                <w:sz w:val="24"/>
                <w:szCs w:val="24"/>
              </w:rPr>
              <w:tab/>
            </w:r>
            <w:r w:rsidR="00F22458" w:rsidRPr="003D4C83">
              <w:rPr>
                <w:rFonts w:ascii="Arial" w:hAnsi="Arial" w:cs="Arial"/>
                <w:noProof/>
                <w:webHidden/>
                <w:sz w:val="24"/>
                <w:szCs w:val="24"/>
              </w:rPr>
              <w:fldChar w:fldCharType="begin"/>
            </w:r>
            <w:r w:rsidR="00F22458" w:rsidRPr="003D4C83">
              <w:rPr>
                <w:rFonts w:ascii="Arial" w:hAnsi="Arial" w:cs="Arial"/>
                <w:noProof/>
                <w:webHidden/>
                <w:sz w:val="24"/>
                <w:szCs w:val="24"/>
              </w:rPr>
              <w:instrText xml:space="preserve"> PAGEREF _Toc491958017 \h </w:instrText>
            </w:r>
            <w:r w:rsidR="00F22458" w:rsidRPr="003D4C83">
              <w:rPr>
                <w:rFonts w:ascii="Arial" w:hAnsi="Arial" w:cs="Arial"/>
                <w:noProof/>
                <w:webHidden/>
                <w:sz w:val="24"/>
                <w:szCs w:val="24"/>
              </w:rPr>
            </w:r>
            <w:r w:rsidR="00F22458" w:rsidRPr="003D4C83">
              <w:rPr>
                <w:rFonts w:ascii="Arial" w:hAnsi="Arial" w:cs="Arial"/>
                <w:noProof/>
                <w:webHidden/>
                <w:sz w:val="24"/>
                <w:szCs w:val="24"/>
              </w:rPr>
              <w:fldChar w:fldCharType="separate"/>
            </w:r>
            <w:r>
              <w:rPr>
                <w:rFonts w:ascii="Arial" w:hAnsi="Arial" w:cs="Arial"/>
                <w:noProof/>
                <w:webHidden/>
                <w:sz w:val="24"/>
                <w:szCs w:val="24"/>
              </w:rPr>
              <w:t>24</w:t>
            </w:r>
            <w:r w:rsidR="00F22458" w:rsidRPr="003D4C83">
              <w:rPr>
                <w:rFonts w:ascii="Arial" w:hAnsi="Arial" w:cs="Arial"/>
                <w:noProof/>
                <w:webHidden/>
                <w:sz w:val="24"/>
                <w:szCs w:val="24"/>
              </w:rPr>
              <w:fldChar w:fldCharType="end"/>
            </w:r>
          </w:hyperlink>
        </w:p>
        <w:p w14:paraId="0DFC036B" w14:textId="1B3C0797" w:rsidR="00342755" w:rsidRPr="00E75652" w:rsidRDefault="00F22458">
          <w:pPr>
            <w:rPr>
              <w:rFonts w:cs="Arial"/>
            </w:rPr>
          </w:pPr>
          <w:r w:rsidRPr="003D4C83">
            <w:rPr>
              <w:rFonts w:cs="Arial"/>
              <w:b/>
            </w:rPr>
            <w:fldChar w:fldCharType="end"/>
          </w:r>
        </w:p>
      </w:sdtContent>
    </w:sdt>
    <w:p w14:paraId="181BCB42" w14:textId="77777777" w:rsidR="00B34946" w:rsidRPr="00CB4A83" w:rsidRDefault="00B34946" w:rsidP="000A58A8">
      <w:pPr>
        <w:pStyle w:val="ListParagraph"/>
        <w:numPr>
          <w:ilvl w:val="0"/>
          <w:numId w:val="15"/>
        </w:numPr>
        <w:spacing w:before="0" w:after="0"/>
      </w:pPr>
      <w:r w:rsidRPr="00CB4A83">
        <w:br w:type="page"/>
      </w:r>
    </w:p>
    <w:p w14:paraId="7D515CF8" w14:textId="77777777" w:rsidR="007263A6" w:rsidRPr="002E2667" w:rsidRDefault="00B34946" w:rsidP="002E2667">
      <w:pPr>
        <w:pStyle w:val="Heading1"/>
      </w:pPr>
      <w:bookmarkStart w:id="18" w:name="_Toc207761830"/>
      <w:bookmarkStart w:id="19" w:name="_Toc209578266"/>
      <w:bookmarkStart w:id="20" w:name="_Toc365465895"/>
      <w:bookmarkStart w:id="21" w:name="_Toc491957996"/>
      <w:r w:rsidRPr="002E2667">
        <w:lastRenderedPageBreak/>
        <w:t>Introduction</w:t>
      </w:r>
      <w:bookmarkEnd w:id="18"/>
      <w:bookmarkEnd w:id="19"/>
      <w:bookmarkEnd w:id="20"/>
      <w:bookmarkEnd w:id="21"/>
    </w:p>
    <w:p w14:paraId="35688690" w14:textId="77777777" w:rsidR="00B34946" w:rsidRPr="00CB4A83" w:rsidRDefault="00B34946" w:rsidP="00D26F07">
      <w:pPr>
        <w:pStyle w:val="SubmissionNormal"/>
        <w:numPr>
          <w:ilvl w:val="0"/>
          <w:numId w:val="21"/>
        </w:numPr>
        <w:ind w:hanging="720"/>
      </w:pPr>
      <w:r w:rsidRPr="00CB4A83">
        <w:t>The Aust</w:t>
      </w:r>
      <w:r w:rsidR="00074319" w:rsidRPr="00CB4A83">
        <w:t>ralian Human Rights Commission</w:t>
      </w:r>
      <w:r w:rsidRPr="00CB4A83">
        <w:t xml:space="preserve"> </w:t>
      </w:r>
      <w:r w:rsidR="00AB5F6D" w:rsidRPr="00CB4A83">
        <w:t xml:space="preserve">(the Commission) </w:t>
      </w:r>
      <w:r w:rsidRPr="00CB4A83">
        <w:t xml:space="preserve">makes this submission to the </w:t>
      </w:r>
      <w:r w:rsidR="004A5BF4" w:rsidRPr="00CB4A83">
        <w:t xml:space="preserve">Senate Legal and Constitutional Affairs Legislation Committee </w:t>
      </w:r>
      <w:r w:rsidRPr="00CB4A83">
        <w:t xml:space="preserve">in its Inquiry into </w:t>
      </w:r>
      <w:r w:rsidR="004A5BF4" w:rsidRPr="00CB4A83">
        <w:t xml:space="preserve">the </w:t>
      </w:r>
      <w:r w:rsidR="00AE55A2" w:rsidRPr="00CB4A83">
        <w:t xml:space="preserve">Australian Border Force Amendment (Protected Information) Bill </w:t>
      </w:r>
      <w:r w:rsidR="004A5BF4" w:rsidRPr="00CB4A83">
        <w:t xml:space="preserve">2017 </w:t>
      </w:r>
      <w:r w:rsidR="00AE55A2" w:rsidRPr="00CB4A83">
        <w:t>(</w:t>
      </w:r>
      <w:proofErr w:type="spellStart"/>
      <w:r w:rsidR="00AE55A2" w:rsidRPr="00CB4A83">
        <w:t>Cth</w:t>
      </w:r>
      <w:proofErr w:type="spellEnd"/>
      <w:r w:rsidR="00AE55A2" w:rsidRPr="00CB4A83">
        <w:t>)</w:t>
      </w:r>
      <w:r w:rsidR="004A5BF4" w:rsidRPr="00CB4A83">
        <w:t xml:space="preserve"> </w:t>
      </w:r>
      <w:r w:rsidR="00AE55A2" w:rsidRPr="00CB4A83">
        <w:t xml:space="preserve">(the Bill) </w:t>
      </w:r>
      <w:r w:rsidR="004A5BF4" w:rsidRPr="00CB4A83">
        <w:t>introduced by the Australian Government</w:t>
      </w:r>
      <w:r w:rsidRPr="00CB4A83">
        <w:t>.</w:t>
      </w:r>
    </w:p>
    <w:p w14:paraId="05FF0E85" w14:textId="2A0B0D77" w:rsidR="007263A6" w:rsidRPr="00CB4A83" w:rsidRDefault="00AB5F6D" w:rsidP="00D26F07">
      <w:pPr>
        <w:pStyle w:val="SubmissionNormal"/>
        <w:numPr>
          <w:ilvl w:val="0"/>
          <w:numId w:val="21"/>
        </w:numPr>
        <w:ind w:hanging="720"/>
      </w:pPr>
      <w:r w:rsidRPr="00CB4A83">
        <w:t xml:space="preserve">The Commission welcomes the opportunity to provide a submission to this inquiry. The Commission also welcomes the </w:t>
      </w:r>
      <w:r w:rsidR="00944E5B" w:rsidRPr="00CB4A83">
        <w:t xml:space="preserve">introduction of </w:t>
      </w:r>
      <w:r w:rsidR="00137301" w:rsidRPr="00CB4A83">
        <w:t xml:space="preserve">the </w:t>
      </w:r>
      <w:r w:rsidR="00872582">
        <w:t xml:space="preserve">Bill, </w:t>
      </w:r>
      <w:r w:rsidR="00944E5B" w:rsidRPr="00CB4A83">
        <w:t xml:space="preserve">which proposes </w:t>
      </w:r>
      <w:r w:rsidR="00137301" w:rsidRPr="00CB4A83">
        <w:t xml:space="preserve">to </w:t>
      </w:r>
      <w:r w:rsidRPr="00CB4A83">
        <w:t xml:space="preserve">narrow the category of information subject to the secrecy provisions and </w:t>
      </w:r>
      <w:r w:rsidR="00E0773A">
        <w:t xml:space="preserve">consequent </w:t>
      </w:r>
      <w:r w:rsidRPr="00CB4A83">
        <w:t>criminal sanction</w:t>
      </w:r>
      <w:r w:rsidR="00137301" w:rsidRPr="00CB4A83">
        <w:t>s</w:t>
      </w:r>
      <w:r w:rsidRPr="00CB4A83">
        <w:t xml:space="preserve"> </w:t>
      </w:r>
      <w:r w:rsidR="000B0FA0">
        <w:t xml:space="preserve">in s 42 </w:t>
      </w:r>
      <w:r w:rsidRPr="00CB4A83">
        <w:t xml:space="preserve">of the </w:t>
      </w:r>
      <w:r w:rsidRPr="001755E1">
        <w:rPr>
          <w:i/>
        </w:rPr>
        <w:t>Australian Border Force Act 2015</w:t>
      </w:r>
      <w:r w:rsidRPr="00CB4A83">
        <w:t xml:space="preserve"> (</w:t>
      </w:r>
      <w:proofErr w:type="spellStart"/>
      <w:r w:rsidRPr="00CB4A83">
        <w:t>Cth</w:t>
      </w:r>
      <w:proofErr w:type="spellEnd"/>
      <w:r w:rsidRPr="00CB4A83">
        <w:t xml:space="preserve">) (ABF Act). </w:t>
      </w:r>
    </w:p>
    <w:p w14:paraId="24DCAD61" w14:textId="77777777" w:rsidR="007263A6" w:rsidRPr="002E2667" w:rsidRDefault="000B0FA0" w:rsidP="002E2667">
      <w:pPr>
        <w:pStyle w:val="Heading1"/>
      </w:pPr>
      <w:bookmarkStart w:id="22" w:name="_Toc162769290"/>
      <w:bookmarkStart w:id="23" w:name="_Toc207761831"/>
      <w:bookmarkStart w:id="24" w:name="_Toc209578267"/>
      <w:bookmarkStart w:id="25" w:name="_Toc365465896"/>
      <w:bookmarkStart w:id="26" w:name="_Toc491957997"/>
      <w:r w:rsidRPr="002E2667">
        <w:t>Background and s</w:t>
      </w:r>
      <w:r w:rsidR="00E105AD" w:rsidRPr="002E2667">
        <w:t>ummary</w:t>
      </w:r>
      <w:bookmarkEnd w:id="22"/>
      <w:bookmarkEnd w:id="23"/>
      <w:bookmarkEnd w:id="24"/>
      <w:bookmarkEnd w:id="25"/>
      <w:bookmarkEnd w:id="26"/>
    </w:p>
    <w:p w14:paraId="26C3C374" w14:textId="77777777" w:rsidR="00D26F07" w:rsidRDefault="00247AFA" w:rsidP="00D26F07">
      <w:pPr>
        <w:pStyle w:val="SubmissionNormal"/>
        <w:numPr>
          <w:ilvl w:val="0"/>
          <w:numId w:val="21"/>
        </w:numPr>
        <w:ind w:hanging="720"/>
      </w:pPr>
      <w:r w:rsidRPr="00CB4A83">
        <w:t>The ABF Act commenced on 1 July 2015 and established the Australian Border Force as a single frontline operational border control and enforcement entity, integrating functions previously performed by the Department of Immigration and Border Protection</w:t>
      </w:r>
      <w:r w:rsidR="00C65F30" w:rsidRPr="00CB4A83">
        <w:t xml:space="preserve"> (Department)</w:t>
      </w:r>
      <w:r w:rsidRPr="00CB4A83">
        <w:t xml:space="preserve"> and the Australian Customs and Border Protection Service. </w:t>
      </w:r>
    </w:p>
    <w:p w14:paraId="1860F54D" w14:textId="568AD2BF" w:rsidR="00D26F07" w:rsidRDefault="00247AFA" w:rsidP="00D26F07">
      <w:pPr>
        <w:pStyle w:val="SubmissionNormal"/>
        <w:numPr>
          <w:ilvl w:val="0"/>
          <w:numId w:val="21"/>
        </w:numPr>
        <w:ind w:hanging="720"/>
      </w:pPr>
      <w:r w:rsidRPr="00CB4A83">
        <w:t xml:space="preserve">The current secrecy and disclosure provisions in the ABF Act were adapted from the framework within the now repealed </w:t>
      </w:r>
      <w:r w:rsidRPr="00D26F07">
        <w:rPr>
          <w:i/>
        </w:rPr>
        <w:t>Customs Administration Act 1985</w:t>
      </w:r>
      <w:r w:rsidRPr="00CB4A83">
        <w:t xml:space="preserve"> </w:t>
      </w:r>
      <w:r w:rsidR="001755E1">
        <w:t>(</w:t>
      </w:r>
      <w:proofErr w:type="spellStart"/>
      <w:r w:rsidR="001755E1">
        <w:t>Cth</w:t>
      </w:r>
      <w:proofErr w:type="spellEnd"/>
      <w:r w:rsidR="001755E1">
        <w:t xml:space="preserve">) </w:t>
      </w:r>
      <w:r w:rsidRPr="00CB4A83">
        <w:t xml:space="preserve">which had governed secrecy and disclosure in the Australian Customs and Border Protection Service. </w:t>
      </w:r>
    </w:p>
    <w:p w14:paraId="33F4DE62" w14:textId="7F05B0EA" w:rsidR="007263A6" w:rsidRPr="00CB4A83" w:rsidRDefault="00776F40" w:rsidP="00D26F07">
      <w:pPr>
        <w:pStyle w:val="SubmissionNormal"/>
        <w:numPr>
          <w:ilvl w:val="0"/>
          <w:numId w:val="21"/>
        </w:numPr>
        <w:ind w:hanging="720"/>
      </w:pPr>
      <w:r>
        <w:t>T</w:t>
      </w:r>
      <w:r w:rsidR="00247AFA" w:rsidRPr="00CB4A83">
        <w:t xml:space="preserve">he Commission </w:t>
      </w:r>
      <w:r w:rsidR="000B784B">
        <w:t>i</w:t>
      </w:r>
      <w:r>
        <w:t xml:space="preserve">s </w:t>
      </w:r>
      <w:r w:rsidR="00C4227B" w:rsidRPr="00CB4A83">
        <w:t xml:space="preserve">concerned that </w:t>
      </w:r>
      <w:r w:rsidR="00A505E2" w:rsidRPr="00CB4A83">
        <w:t>the</w:t>
      </w:r>
      <w:r w:rsidR="00E8652B" w:rsidRPr="00CB4A83">
        <w:t xml:space="preserve"> </w:t>
      </w:r>
      <w:r w:rsidR="000B784B">
        <w:t xml:space="preserve">current </w:t>
      </w:r>
      <w:r w:rsidR="00E8652B" w:rsidRPr="00CB4A83">
        <w:t xml:space="preserve">blanket </w:t>
      </w:r>
      <w:r w:rsidR="0096490B" w:rsidRPr="00CB4A83">
        <w:t>secrecy provision in s</w:t>
      </w:r>
      <w:r w:rsidR="00E0773A">
        <w:t> </w:t>
      </w:r>
      <w:r w:rsidR="0096490B" w:rsidRPr="00CB4A83">
        <w:t xml:space="preserve">42 </w:t>
      </w:r>
      <w:r w:rsidR="001755E1">
        <w:t xml:space="preserve">of </w:t>
      </w:r>
      <w:r>
        <w:t xml:space="preserve">the ABF </w:t>
      </w:r>
      <w:r w:rsidR="001755E1">
        <w:t xml:space="preserve">Act </w:t>
      </w:r>
      <w:r w:rsidR="00C65F30" w:rsidRPr="00CB4A83">
        <w:t>unduly restrict</w:t>
      </w:r>
      <w:r w:rsidR="000B784B">
        <w:t>s</w:t>
      </w:r>
      <w:r w:rsidR="00C65F30" w:rsidRPr="00CB4A83">
        <w:t xml:space="preserve"> </w:t>
      </w:r>
      <w:r w:rsidR="00247AFA" w:rsidRPr="00CB4A83">
        <w:t xml:space="preserve">freedom of expression, </w:t>
      </w:r>
      <w:r w:rsidR="00A815CA">
        <w:t xml:space="preserve">freedom of </w:t>
      </w:r>
      <w:r w:rsidR="00247AFA" w:rsidRPr="00CB4A83">
        <w:t>political communication and the right</w:t>
      </w:r>
      <w:r w:rsidR="007263A6" w:rsidRPr="00CB4A83">
        <w:t xml:space="preserve"> to take part in public affairs.</w:t>
      </w:r>
      <w:r w:rsidR="00C65F30" w:rsidRPr="00CB4A83">
        <w:t xml:space="preserve"> </w:t>
      </w:r>
      <w:r w:rsidR="00E105AD" w:rsidRPr="00CB4A83">
        <w:t xml:space="preserve">This </w:t>
      </w:r>
      <w:proofErr w:type="gramStart"/>
      <w:r w:rsidR="00E105AD" w:rsidRPr="00CB4A83">
        <w:t>is because</w:t>
      </w:r>
      <w:r w:rsidR="00A815CA">
        <w:t>, subject to limited exceptions,</w:t>
      </w:r>
      <w:r w:rsidR="00E105AD" w:rsidRPr="00CB4A83">
        <w:t xml:space="preserve"> </w:t>
      </w:r>
      <w:r w:rsidR="00C65F30" w:rsidRPr="00CB4A83">
        <w:t xml:space="preserve">it </w:t>
      </w:r>
      <w:r w:rsidR="0096490B" w:rsidRPr="00CB4A83">
        <w:t xml:space="preserve">criminalises the unauthorised disclosure of </w:t>
      </w:r>
      <w:r w:rsidR="00A815CA">
        <w:t>any information obtained by an officer, contractor or consultant of the Department obtained</w:t>
      </w:r>
      <w:proofErr w:type="gramEnd"/>
      <w:r w:rsidR="009908DC">
        <w:t xml:space="preserve"> in the course of their duties.</w:t>
      </w:r>
      <w:r w:rsidR="00A815CA">
        <w:t xml:space="preserve"> That </w:t>
      </w:r>
      <w:r w:rsidR="0096490B" w:rsidRPr="00CB4A83">
        <w:t xml:space="preserve">information </w:t>
      </w:r>
      <w:r w:rsidR="009908DC">
        <w:t xml:space="preserve">may </w:t>
      </w:r>
      <w:r w:rsidR="0096490B" w:rsidRPr="00CB4A83">
        <w:t>include information that could h</w:t>
      </w:r>
      <w:r w:rsidR="002C5F8A" w:rsidRPr="00CB4A83">
        <w:t xml:space="preserve">arm essential public interests such as national security, defence, law enforcement and investigation and public safety. </w:t>
      </w:r>
      <w:r w:rsidR="00A947F6">
        <w:t xml:space="preserve">However, the prohibition also extends to disclosing information that would not have an adverse effect on any of these interests and which may in fact be in the public interest to disclose. </w:t>
      </w:r>
    </w:p>
    <w:p w14:paraId="13265606" w14:textId="77777777" w:rsidR="00D26F07" w:rsidRDefault="009852F6" w:rsidP="00D26F07">
      <w:pPr>
        <w:pStyle w:val="SubmissionNormal"/>
        <w:numPr>
          <w:ilvl w:val="0"/>
          <w:numId w:val="21"/>
        </w:numPr>
        <w:ind w:hanging="720"/>
      </w:pPr>
      <w:r w:rsidRPr="00CB4A83">
        <w:t xml:space="preserve">On </w:t>
      </w:r>
      <w:r w:rsidR="00A947F6">
        <w:t xml:space="preserve">9 September 2016, </w:t>
      </w:r>
      <w:r w:rsidRPr="00CB4A83">
        <w:t xml:space="preserve">the Commission </w:t>
      </w:r>
      <w:r w:rsidR="00A947F6">
        <w:t xml:space="preserve">wrote to the Attorney-General informing him that the Commission had decided to seek leave to appear as </w:t>
      </w:r>
      <w:r w:rsidR="00A947F6" w:rsidRPr="00A947F6">
        <w:rPr>
          <w:i/>
        </w:rPr>
        <w:t>amicus curiae</w:t>
      </w:r>
      <w:r w:rsidR="00A947F6">
        <w:t xml:space="preserve"> in a proceeding brought </w:t>
      </w:r>
      <w:proofErr w:type="gramStart"/>
      <w:r w:rsidR="00A947F6">
        <w:t xml:space="preserve">in </w:t>
      </w:r>
      <w:r w:rsidRPr="00CB4A83">
        <w:t xml:space="preserve">the High Court of Australia </w:t>
      </w:r>
      <w:r w:rsidR="00A947F6">
        <w:t xml:space="preserve">by </w:t>
      </w:r>
      <w:r w:rsidR="0014298A" w:rsidRPr="001755E1">
        <w:t>Doctors for Refugees Incorporated</w:t>
      </w:r>
      <w:r w:rsidR="00B37979">
        <w:t xml:space="preserve"> </w:t>
      </w:r>
      <w:r w:rsidR="009908DC">
        <w:t>(Doctors for Refugees)</w:t>
      </w:r>
      <w:proofErr w:type="gramEnd"/>
      <w:r w:rsidR="0014298A" w:rsidRPr="00CB4A83">
        <w:t xml:space="preserve">. Doctors for Refugees </w:t>
      </w:r>
      <w:r w:rsidR="009908DC">
        <w:t xml:space="preserve">sought to </w:t>
      </w:r>
      <w:r w:rsidR="0014298A" w:rsidRPr="00CB4A83">
        <w:t>challeng</w:t>
      </w:r>
      <w:r w:rsidR="009908DC">
        <w:t>e</w:t>
      </w:r>
      <w:r w:rsidR="0014298A" w:rsidRPr="00CB4A83">
        <w:t xml:space="preserve"> the </w:t>
      </w:r>
      <w:r w:rsidR="00F01231" w:rsidRPr="00CB4A83">
        <w:t xml:space="preserve">validity of </w:t>
      </w:r>
      <w:r w:rsidR="0014298A" w:rsidRPr="00CB4A83">
        <w:t>s 42 of the ABF Act as contrary to the implied freedom of political communication</w:t>
      </w:r>
      <w:r w:rsidR="00F01231" w:rsidRPr="00CB4A83">
        <w:t xml:space="preserve"> in the Australian </w:t>
      </w:r>
      <w:r w:rsidR="009908DC">
        <w:t>C</w:t>
      </w:r>
      <w:r w:rsidR="00D26F07">
        <w:t>onstitution.</w:t>
      </w:r>
    </w:p>
    <w:p w14:paraId="3C21BBD0" w14:textId="34148B07" w:rsidR="00016F62" w:rsidRPr="00CB4A83" w:rsidRDefault="00C4227B" w:rsidP="00D26F07">
      <w:pPr>
        <w:pStyle w:val="SubmissionNormal"/>
        <w:numPr>
          <w:ilvl w:val="0"/>
          <w:numId w:val="21"/>
        </w:numPr>
        <w:ind w:hanging="720"/>
      </w:pPr>
      <w:r w:rsidRPr="00CB4A83">
        <w:t>On 30 September 2016, following</w:t>
      </w:r>
      <w:r w:rsidR="00E8652B" w:rsidRPr="00CB4A83">
        <w:t xml:space="preserve"> the commencement of these proceedings, the Secretary of the Department </w:t>
      </w:r>
      <w:r w:rsidR="00E105AD" w:rsidRPr="00CB4A83">
        <w:t xml:space="preserve">amended </w:t>
      </w:r>
      <w:r w:rsidR="00E8652B" w:rsidRPr="00CB4A83">
        <w:t xml:space="preserve">a relevant </w:t>
      </w:r>
      <w:r w:rsidR="00776F40">
        <w:t>determination</w:t>
      </w:r>
      <w:r w:rsidR="00C65F30" w:rsidRPr="00CB4A83">
        <w:t xml:space="preserve"> to </w:t>
      </w:r>
      <w:r w:rsidR="00E8652B" w:rsidRPr="00CB4A83">
        <w:t xml:space="preserve">exclude </w:t>
      </w:r>
      <w:r w:rsidR="00976A93" w:rsidRPr="00CB4A83">
        <w:t>‘Health Practitioners’ from the scope of the secrecy provisions.</w:t>
      </w:r>
      <w:r w:rsidR="001D4042">
        <w:t xml:space="preserve"> ‘Health P</w:t>
      </w:r>
      <w:r w:rsidR="00976A93" w:rsidRPr="00CB4A83">
        <w:t xml:space="preserve">ractitioners’ </w:t>
      </w:r>
      <w:r w:rsidR="00C65F30" w:rsidRPr="00CB4A83">
        <w:t xml:space="preserve">is </w:t>
      </w:r>
      <w:r w:rsidR="00976A93" w:rsidRPr="00CB4A83">
        <w:t xml:space="preserve">defined broadly to include general practitioners, nurses, </w:t>
      </w:r>
      <w:r w:rsidR="00976A93" w:rsidRPr="00CB4A83">
        <w:lastRenderedPageBreak/>
        <w:t>mental health nurses, psychologists, psychiatrists and counsellors among other specialists.</w:t>
      </w:r>
      <w:r w:rsidR="00016F62" w:rsidRPr="009908DC">
        <w:rPr>
          <w:sz w:val="20"/>
          <w:vertAlign w:val="superscript"/>
        </w:rPr>
        <w:endnoteReference w:id="1"/>
      </w:r>
      <w:r w:rsidR="00016F62" w:rsidRPr="00CB4A83">
        <w:t xml:space="preserve"> </w:t>
      </w:r>
    </w:p>
    <w:p w14:paraId="752EFF7D" w14:textId="30B378BE" w:rsidR="00016F62" w:rsidRPr="00CB4A83" w:rsidRDefault="00016F62" w:rsidP="00D26F07">
      <w:pPr>
        <w:pStyle w:val="SubmissionNormal"/>
        <w:numPr>
          <w:ilvl w:val="0"/>
          <w:numId w:val="21"/>
        </w:numPr>
        <w:ind w:hanging="720"/>
      </w:pPr>
      <w:r w:rsidRPr="00CB4A83">
        <w:t>Doctors for Refugees remained concerned that the blanket secrecy provisions in s 42 of the ABF Act continue</w:t>
      </w:r>
      <w:r w:rsidR="00776F40">
        <w:t>d</w:t>
      </w:r>
      <w:r w:rsidRPr="00CB4A83">
        <w:t xml:space="preserve"> to apply too broadly to non-health professionals</w:t>
      </w:r>
      <w:r w:rsidR="00E73AF9">
        <w:t xml:space="preserve">, </w:t>
      </w:r>
      <w:r w:rsidR="00776F40">
        <w:t xml:space="preserve">including teachers and social workers, and </w:t>
      </w:r>
      <w:proofErr w:type="gramStart"/>
      <w:r w:rsidR="00776F40">
        <w:t>sought</w:t>
      </w:r>
      <w:proofErr w:type="gramEnd"/>
      <w:r w:rsidR="00776F40">
        <w:t xml:space="preserve"> to continue its proceeding</w:t>
      </w:r>
      <w:r w:rsidRPr="00CB4A83">
        <w:t xml:space="preserve">. </w:t>
      </w:r>
    </w:p>
    <w:p w14:paraId="270C51F4" w14:textId="77777777" w:rsidR="00016F62" w:rsidRPr="00CB4A83" w:rsidRDefault="00016F62" w:rsidP="00D26F07">
      <w:pPr>
        <w:pStyle w:val="SubmissionNormal"/>
        <w:numPr>
          <w:ilvl w:val="0"/>
          <w:numId w:val="21"/>
        </w:numPr>
        <w:ind w:hanging="720"/>
      </w:pPr>
      <w:r w:rsidRPr="00CB4A83">
        <w:t xml:space="preserve">On </w:t>
      </w:r>
      <w:r>
        <w:t>9 August 2017</w:t>
      </w:r>
      <w:r w:rsidRPr="00CB4A83">
        <w:t>, the Australian Government introduc</w:t>
      </w:r>
      <w:r>
        <w:t>ed</w:t>
      </w:r>
      <w:r w:rsidRPr="00CB4A83">
        <w:t xml:space="preserve"> the present Bill. </w:t>
      </w:r>
    </w:p>
    <w:p w14:paraId="1EB0B4B7" w14:textId="13494944" w:rsidR="00016F62" w:rsidRDefault="00016F62" w:rsidP="00D26F07">
      <w:pPr>
        <w:pStyle w:val="SubmissionNormal"/>
        <w:numPr>
          <w:ilvl w:val="0"/>
          <w:numId w:val="21"/>
        </w:numPr>
        <w:ind w:hanging="720"/>
      </w:pPr>
      <w:r>
        <w:t xml:space="preserve">Transparency and accountability in government are central pillars of a healthy democracy. </w:t>
      </w:r>
      <w:r w:rsidRPr="00CB4A83">
        <w:t xml:space="preserve">In order to be accountable, the conduct of government must be able to be </w:t>
      </w:r>
      <w:r>
        <w:t xml:space="preserve">regularly </w:t>
      </w:r>
      <w:r w:rsidRPr="00CB4A83">
        <w:t xml:space="preserve">scrutinised. </w:t>
      </w:r>
      <w:r w:rsidR="00E73AF9">
        <w:t>T</w:t>
      </w:r>
      <w:r>
        <w:t xml:space="preserve">here are also </w:t>
      </w:r>
      <w:r w:rsidRPr="00CB4A83">
        <w:t xml:space="preserve">circumstances where it is critical to keep </w:t>
      </w:r>
      <w:r>
        <w:t xml:space="preserve">sensitive </w:t>
      </w:r>
      <w:r w:rsidRPr="00CB4A83">
        <w:t>government information confidential</w:t>
      </w:r>
      <w:proofErr w:type="gramStart"/>
      <w:r w:rsidR="009F45CB">
        <w:t>;</w:t>
      </w:r>
      <w:proofErr w:type="gramEnd"/>
      <w:r w:rsidRPr="00CB4A83">
        <w:t xml:space="preserve"> for example, </w:t>
      </w:r>
      <w:r>
        <w:t xml:space="preserve">in matters relating to </w:t>
      </w:r>
      <w:r w:rsidRPr="00CB4A83">
        <w:t xml:space="preserve">intelligence and security information. </w:t>
      </w:r>
    </w:p>
    <w:p w14:paraId="4FB7CCBF" w14:textId="6A49E67F" w:rsidR="00722C96" w:rsidRDefault="00FD0556" w:rsidP="00D26F07">
      <w:pPr>
        <w:pStyle w:val="SubmissionNormal"/>
        <w:numPr>
          <w:ilvl w:val="0"/>
          <w:numId w:val="21"/>
        </w:numPr>
        <w:ind w:hanging="720"/>
      </w:pPr>
      <w:r>
        <w:t xml:space="preserve">The effective functioning of government </w:t>
      </w:r>
      <w:r w:rsidR="00DA3C06">
        <w:t xml:space="preserve">depends </w:t>
      </w:r>
      <w:r>
        <w:t xml:space="preserve">on </w:t>
      </w:r>
      <w:r w:rsidR="00DA3C06">
        <w:t>the correct handling of sensitive</w:t>
      </w:r>
      <w:r w:rsidR="003D4C83">
        <w:t xml:space="preserve"> information by its officers. As part of the spectrum of information handling in the public sector, secrecy laws may serve a legitimate role in generating personal responsibility for the handling of certain kind</w:t>
      </w:r>
      <w:r w:rsidR="002C225B">
        <w:t>s</w:t>
      </w:r>
      <w:r w:rsidR="003D4C83">
        <w:t xml:space="preserve"> of Commonwealth information</w:t>
      </w:r>
      <w:r w:rsidR="004F14E2">
        <w:t>.</w:t>
      </w:r>
      <w:r w:rsidR="004F14E2">
        <w:rPr>
          <w:rStyle w:val="EndnoteReference"/>
        </w:rPr>
        <w:endnoteReference w:id="2"/>
      </w:r>
      <w:r w:rsidR="004F14E2">
        <w:t xml:space="preserve"> </w:t>
      </w:r>
    </w:p>
    <w:p w14:paraId="7C11975C" w14:textId="50F90596" w:rsidR="00016F62" w:rsidRPr="00CB4A83" w:rsidRDefault="00016F62" w:rsidP="00D26F07">
      <w:pPr>
        <w:pStyle w:val="SubmissionNormal"/>
        <w:numPr>
          <w:ilvl w:val="0"/>
          <w:numId w:val="21"/>
        </w:numPr>
        <w:ind w:hanging="720"/>
      </w:pPr>
      <w:r w:rsidRPr="00CB4A83">
        <w:t xml:space="preserve">If passed, this Bill would ameliorate </w:t>
      </w:r>
      <w:r w:rsidR="00414E41">
        <w:t>many</w:t>
      </w:r>
      <w:r w:rsidR="00414E41" w:rsidRPr="00CB4A83">
        <w:t xml:space="preserve"> </w:t>
      </w:r>
      <w:r w:rsidRPr="00CB4A83">
        <w:t xml:space="preserve">of the Commission’s concerns about the restrictions on freedom of expression in the ABF Act. When compared to the current law, it strikes a better balance between recognising the need to protect sensitive government information and the importance of allowing legitimate public scrutiny. </w:t>
      </w:r>
    </w:p>
    <w:p w14:paraId="49E89E2E" w14:textId="1EC96FF0" w:rsidR="00016F62" w:rsidRDefault="00016F62" w:rsidP="00D26F07">
      <w:pPr>
        <w:pStyle w:val="SubmissionNormal"/>
        <w:numPr>
          <w:ilvl w:val="0"/>
          <w:numId w:val="21"/>
        </w:numPr>
        <w:ind w:hanging="720"/>
      </w:pPr>
      <w:r w:rsidRPr="00CB4A83">
        <w:t>However, in th</w:t>
      </w:r>
      <w:r w:rsidR="00414E41">
        <w:t>is</w:t>
      </w:r>
      <w:r w:rsidRPr="00CB4A83">
        <w:t xml:space="preserve"> submission, the Commission also makes a number of recommendations </w:t>
      </w:r>
      <w:r w:rsidR="00414E41">
        <w:t xml:space="preserve">that advance the Bill’s stated objective and </w:t>
      </w:r>
      <w:r w:rsidRPr="001755E1">
        <w:t>enhance the Bill’s compatibility with human rights.</w:t>
      </w:r>
    </w:p>
    <w:p w14:paraId="0439F779" w14:textId="77777777" w:rsidR="000534A7" w:rsidRPr="002E2667" w:rsidRDefault="000534A7" w:rsidP="002E2667">
      <w:pPr>
        <w:pStyle w:val="Heading1"/>
      </w:pPr>
      <w:bookmarkStart w:id="27" w:name="_Toc491957998"/>
      <w:r w:rsidRPr="002E2667">
        <w:t>Recommendations</w:t>
      </w:r>
      <w:bookmarkEnd w:id="27"/>
    </w:p>
    <w:p w14:paraId="3ED793F4" w14:textId="77777777" w:rsidR="000534A7" w:rsidRPr="00B10CAC" w:rsidRDefault="000534A7" w:rsidP="000534A7">
      <w:pPr>
        <w:pStyle w:val="SubmissionNormal"/>
        <w:ind w:left="720"/>
      </w:pPr>
      <w:r>
        <w:t>The Australian Human Rights Commission makes the following recommendations:</w:t>
      </w:r>
    </w:p>
    <w:p w14:paraId="6F53DDEA" w14:textId="77777777" w:rsidR="000534A7" w:rsidRPr="00F431BF" w:rsidRDefault="000534A7" w:rsidP="000534A7">
      <w:pPr>
        <w:pStyle w:val="SubmissionNormal"/>
        <w:keepNext/>
        <w:ind w:left="720"/>
        <w:rPr>
          <w:b/>
        </w:rPr>
      </w:pPr>
      <w:r w:rsidRPr="00F431BF">
        <w:rPr>
          <w:b/>
        </w:rPr>
        <w:t xml:space="preserve">Recommendation 1 </w:t>
      </w:r>
    </w:p>
    <w:p w14:paraId="7F7557E2" w14:textId="77777777" w:rsidR="000534A7" w:rsidRPr="00522101" w:rsidRDefault="000534A7" w:rsidP="000534A7">
      <w:pPr>
        <w:pStyle w:val="SubmissionNormal"/>
        <w:ind w:left="720"/>
      </w:pPr>
      <w:r>
        <w:t>The Commission recommends t</w:t>
      </w:r>
      <w:r w:rsidRPr="00CB4A83">
        <w:t xml:space="preserve">hat the Bill be passed with the amendments </w:t>
      </w:r>
      <w:r>
        <w:t xml:space="preserve">set out in Recommendations 2 to </w:t>
      </w:r>
      <w:proofErr w:type="gramStart"/>
      <w:r>
        <w:t>8</w:t>
      </w:r>
      <w:proofErr w:type="gramEnd"/>
      <w:r>
        <w:t xml:space="preserve">. </w:t>
      </w:r>
    </w:p>
    <w:p w14:paraId="53B97F4C" w14:textId="77777777" w:rsidR="000534A7" w:rsidRPr="00F431BF" w:rsidRDefault="000534A7" w:rsidP="000534A7">
      <w:pPr>
        <w:pStyle w:val="SubmissionNormal"/>
        <w:keepNext/>
        <w:ind w:left="720"/>
        <w:rPr>
          <w:b/>
        </w:rPr>
      </w:pPr>
      <w:r w:rsidRPr="00F431BF">
        <w:rPr>
          <w:b/>
        </w:rPr>
        <w:t>Recommendation 2</w:t>
      </w:r>
    </w:p>
    <w:p w14:paraId="0E556CBD" w14:textId="5F2994DE" w:rsidR="000534A7" w:rsidRDefault="000534A7" w:rsidP="000534A7">
      <w:pPr>
        <w:pStyle w:val="SubmissionNormal"/>
        <w:keepNext/>
        <w:ind w:left="720"/>
        <w:rPr>
          <w:b/>
        </w:rPr>
      </w:pPr>
      <w:r w:rsidRPr="00F431BF">
        <w:t xml:space="preserve">The Commission recommends that the </w:t>
      </w:r>
      <w:r>
        <w:t xml:space="preserve">proposed </w:t>
      </w:r>
      <w:r w:rsidRPr="00F431BF">
        <w:t xml:space="preserve">definition of </w:t>
      </w:r>
      <w:r w:rsidR="00A508B1" w:rsidRPr="00A508B1">
        <w:rPr>
          <w:i/>
        </w:rPr>
        <w:t>‘Immigration an</w:t>
      </w:r>
      <w:r w:rsidR="000F032F">
        <w:rPr>
          <w:i/>
        </w:rPr>
        <w:t>d Border Protection information</w:t>
      </w:r>
      <w:r>
        <w:t>’</w:t>
      </w:r>
      <w:r w:rsidRPr="00F431BF">
        <w:t xml:space="preserve"> in </w:t>
      </w:r>
      <w:r>
        <w:t xml:space="preserve">item 1 of the Bill be amended by deleting the </w:t>
      </w:r>
      <w:r>
        <w:lastRenderedPageBreak/>
        <w:t xml:space="preserve">words </w:t>
      </w:r>
      <w:r w:rsidRPr="00F431BF">
        <w:t>‘could reasonably be expected to’</w:t>
      </w:r>
      <w:r>
        <w:t xml:space="preserve"> in paragraphs (a) to (e), and replacing them with </w:t>
      </w:r>
      <w:r w:rsidRPr="00F431BF">
        <w:t>‘is reasonably likely to’</w:t>
      </w:r>
      <w:r>
        <w:t xml:space="preserve"> in each of those paragraphs</w:t>
      </w:r>
    </w:p>
    <w:p w14:paraId="7E39583C" w14:textId="77777777" w:rsidR="000534A7" w:rsidRPr="00F431BF" w:rsidRDefault="000534A7" w:rsidP="000534A7">
      <w:pPr>
        <w:pStyle w:val="SubmissionNormal"/>
        <w:keepNext/>
        <w:ind w:left="720"/>
        <w:rPr>
          <w:b/>
        </w:rPr>
      </w:pPr>
      <w:r w:rsidRPr="00F431BF">
        <w:rPr>
          <w:b/>
        </w:rPr>
        <w:t>Recommendation 3</w:t>
      </w:r>
    </w:p>
    <w:p w14:paraId="78FB043B" w14:textId="5F33D79E" w:rsidR="000534A7" w:rsidRPr="00F431BF" w:rsidRDefault="000534A7" w:rsidP="000534A7">
      <w:pPr>
        <w:pStyle w:val="SubmissionNormal"/>
        <w:ind w:left="720"/>
      </w:pPr>
      <w:proofErr w:type="gramStart"/>
      <w:r w:rsidRPr="00F431BF">
        <w:t xml:space="preserve">The Commission recommends that the </w:t>
      </w:r>
      <w:r>
        <w:t xml:space="preserve">proposed </w:t>
      </w:r>
      <w:r w:rsidRPr="00F431BF">
        <w:t xml:space="preserve">definition of </w:t>
      </w:r>
      <w:r w:rsidR="00A508B1" w:rsidRPr="00A508B1">
        <w:rPr>
          <w:i/>
        </w:rPr>
        <w:t>‘Immigration and Border Protection information’</w:t>
      </w:r>
      <w:r w:rsidRPr="00F431BF">
        <w:t xml:space="preserve"> </w:t>
      </w:r>
      <w:r>
        <w:t xml:space="preserve">in item 1, paragraph (a), </w:t>
      </w:r>
      <w:r w:rsidRPr="00F431BF">
        <w:t xml:space="preserve">of the Bill </w:t>
      </w:r>
      <w:r w:rsidR="00FC18CB">
        <w:t>be amended by deleting the words</w:t>
      </w:r>
      <w:r>
        <w:t xml:space="preserve"> </w:t>
      </w:r>
      <w:r w:rsidRPr="00F431BF">
        <w:t xml:space="preserve">‘would or could reasonably be expected to </w:t>
      </w:r>
      <w:r w:rsidRPr="0046678E">
        <w:rPr>
          <w:u w:val="single"/>
        </w:rPr>
        <w:t>prejudice</w:t>
      </w:r>
      <w:r w:rsidRPr="00F431BF">
        <w:t xml:space="preserve"> the security, defence or international relations of Australia’</w:t>
      </w:r>
      <w:r w:rsidR="00DB1032">
        <w:t>, and replacing them</w:t>
      </w:r>
      <w:r>
        <w:t xml:space="preserve"> with</w:t>
      </w:r>
      <w:r w:rsidRPr="00F431BF">
        <w:t xml:space="preserve"> ‘would or is reasonably likely to </w:t>
      </w:r>
      <w:r w:rsidRPr="0046678E">
        <w:rPr>
          <w:u w:val="single"/>
        </w:rPr>
        <w:t>damage</w:t>
      </w:r>
      <w:r w:rsidRPr="00F431BF">
        <w:t xml:space="preserve"> the security, defence or international relations of Australia’.</w:t>
      </w:r>
      <w:proofErr w:type="gramEnd"/>
      <w:r w:rsidRPr="00F431BF">
        <w:t xml:space="preserve">  </w:t>
      </w:r>
    </w:p>
    <w:p w14:paraId="50DE572D" w14:textId="77777777" w:rsidR="000534A7" w:rsidRPr="00F431BF" w:rsidRDefault="000534A7" w:rsidP="000534A7">
      <w:pPr>
        <w:pStyle w:val="SubmissionNormal"/>
        <w:keepNext/>
        <w:ind w:left="720"/>
        <w:rPr>
          <w:b/>
        </w:rPr>
      </w:pPr>
      <w:r w:rsidRPr="00F431BF">
        <w:rPr>
          <w:b/>
        </w:rPr>
        <w:t>Recommendation 4</w:t>
      </w:r>
    </w:p>
    <w:p w14:paraId="7CC32A0B" w14:textId="77777777" w:rsidR="000534A7" w:rsidRPr="00F431BF" w:rsidRDefault="000534A7" w:rsidP="000534A7">
      <w:pPr>
        <w:pStyle w:val="SubmissionNormal"/>
        <w:ind w:left="720"/>
      </w:pPr>
      <w:r w:rsidRPr="00F431BF">
        <w:t xml:space="preserve">The Commission recommends that the </w:t>
      </w:r>
      <w:r>
        <w:t xml:space="preserve">Bill be amended to define the term </w:t>
      </w:r>
      <w:r w:rsidRPr="00F431BF">
        <w:t xml:space="preserve">‘security’ by </w:t>
      </w:r>
      <w:r>
        <w:t xml:space="preserve">adopting </w:t>
      </w:r>
      <w:r w:rsidRPr="00F431BF">
        <w:t>the</w:t>
      </w:r>
      <w:r>
        <w:t xml:space="preserve"> definition of ‘security’ in the</w:t>
      </w:r>
      <w:r w:rsidRPr="00F431BF">
        <w:t xml:space="preserve"> </w:t>
      </w:r>
      <w:r w:rsidRPr="00F96503">
        <w:rPr>
          <w:i/>
        </w:rPr>
        <w:t xml:space="preserve">Australian Security Intelligence Organisation Act 1979 </w:t>
      </w:r>
      <w:r w:rsidRPr="00F431BF">
        <w:t>(</w:t>
      </w:r>
      <w:proofErr w:type="spellStart"/>
      <w:r w:rsidRPr="00F431BF">
        <w:t>Cth</w:t>
      </w:r>
      <w:proofErr w:type="spellEnd"/>
      <w:r w:rsidRPr="00F431BF">
        <w:t xml:space="preserve">). </w:t>
      </w:r>
    </w:p>
    <w:p w14:paraId="6630D9E3" w14:textId="77777777" w:rsidR="000534A7" w:rsidRPr="00F431BF" w:rsidRDefault="000534A7" w:rsidP="000534A7">
      <w:pPr>
        <w:pStyle w:val="SubmissionNormal"/>
        <w:keepNext/>
        <w:ind w:left="720"/>
        <w:rPr>
          <w:b/>
        </w:rPr>
      </w:pPr>
      <w:r w:rsidRPr="00F431BF">
        <w:rPr>
          <w:b/>
        </w:rPr>
        <w:t>Recommendation 5</w:t>
      </w:r>
    </w:p>
    <w:p w14:paraId="7B23B6E6" w14:textId="77777777" w:rsidR="000534A7" w:rsidRDefault="000534A7" w:rsidP="000534A7">
      <w:pPr>
        <w:pStyle w:val="SubmissionNormal"/>
        <w:ind w:left="720"/>
      </w:pPr>
      <w:r w:rsidRPr="00F431BF">
        <w:t xml:space="preserve">The Commission recommends that the </w:t>
      </w:r>
      <w:r>
        <w:t xml:space="preserve">Bill </w:t>
      </w:r>
      <w:proofErr w:type="gramStart"/>
      <w:r>
        <w:t>be amended</w:t>
      </w:r>
      <w:proofErr w:type="gramEnd"/>
      <w:r>
        <w:t xml:space="preserve"> to define the term </w:t>
      </w:r>
      <w:r w:rsidRPr="00F431BF">
        <w:t xml:space="preserve">‘international relations’ by </w:t>
      </w:r>
      <w:r>
        <w:t xml:space="preserve">adopting the definition of ‘international relations’ in </w:t>
      </w:r>
      <w:r w:rsidRPr="00F431BF">
        <w:t xml:space="preserve">the </w:t>
      </w:r>
      <w:r w:rsidRPr="00F53CB6">
        <w:rPr>
          <w:i/>
        </w:rPr>
        <w:t>National Security Information (Criminal and Civil Proceedings) Act 2004</w:t>
      </w:r>
      <w:r w:rsidRPr="00F431BF">
        <w:t xml:space="preserve"> (</w:t>
      </w:r>
      <w:proofErr w:type="spellStart"/>
      <w:r w:rsidRPr="00F431BF">
        <w:t>Cth</w:t>
      </w:r>
      <w:proofErr w:type="spellEnd"/>
      <w:r w:rsidRPr="00F431BF">
        <w:t>).</w:t>
      </w:r>
    </w:p>
    <w:p w14:paraId="242C82CD" w14:textId="77777777" w:rsidR="000534A7" w:rsidRDefault="000534A7" w:rsidP="000534A7">
      <w:pPr>
        <w:pStyle w:val="SubmissionNormal"/>
        <w:ind w:left="720"/>
        <w:rPr>
          <w:b/>
        </w:rPr>
      </w:pPr>
      <w:r w:rsidRPr="004E69A1">
        <w:rPr>
          <w:b/>
        </w:rPr>
        <w:t>Recommendation 6</w:t>
      </w:r>
    </w:p>
    <w:p w14:paraId="5AA2C604" w14:textId="27C15738" w:rsidR="000534A7" w:rsidRPr="00F431BF" w:rsidRDefault="000534A7" w:rsidP="000534A7">
      <w:pPr>
        <w:pStyle w:val="SubmissionNormal"/>
        <w:ind w:left="720"/>
      </w:pPr>
      <w:r w:rsidRPr="00F431BF">
        <w:t xml:space="preserve">The Commission recommends that the </w:t>
      </w:r>
      <w:r>
        <w:t xml:space="preserve">proposed </w:t>
      </w:r>
      <w:r w:rsidRPr="00F431BF">
        <w:t xml:space="preserve">definition of </w:t>
      </w:r>
      <w:r w:rsidR="00A508B1" w:rsidRPr="00A508B1">
        <w:rPr>
          <w:i/>
        </w:rPr>
        <w:t>‘Immigration and Border Protection information’</w:t>
      </w:r>
      <w:r w:rsidRPr="00F431BF">
        <w:t xml:space="preserve"> </w:t>
      </w:r>
      <w:r>
        <w:t xml:space="preserve">in item 1, paragraph (d), </w:t>
      </w:r>
      <w:r w:rsidRPr="00F431BF">
        <w:t xml:space="preserve">of the Bill </w:t>
      </w:r>
      <w:r>
        <w:t>be amended by inserting ‘</w:t>
      </w:r>
      <w:r w:rsidRPr="003D4C83">
        <w:t>and damage the regulatory function of the Department’</w:t>
      </w:r>
      <w:r>
        <w:t xml:space="preserve"> after ‘breach of a duty of confidence’.  </w:t>
      </w:r>
    </w:p>
    <w:p w14:paraId="5BDF6821" w14:textId="77777777" w:rsidR="000534A7" w:rsidRPr="00F431BF" w:rsidRDefault="000534A7" w:rsidP="000534A7">
      <w:pPr>
        <w:pStyle w:val="SubmissionNormal"/>
        <w:keepNext/>
        <w:ind w:left="720"/>
        <w:rPr>
          <w:b/>
        </w:rPr>
      </w:pPr>
      <w:r>
        <w:rPr>
          <w:b/>
        </w:rPr>
        <w:t>Recommendation 7</w:t>
      </w:r>
    </w:p>
    <w:p w14:paraId="24AAA105" w14:textId="0EA2CE65" w:rsidR="000534A7" w:rsidRPr="00F431BF" w:rsidRDefault="000534A7" w:rsidP="000534A7">
      <w:pPr>
        <w:pStyle w:val="SubmissionNormal"/>
        <w:ind w:left="720"/>
      </w:pPr>
      <w:r w:rsidRPr="00F431BF">
        <w:t xml:space="preserve">The Commission recommends that </w:t>
      </w:r>
      <w:r>
        <w:t xml:space="preserve">paragraph (e) of the </w:t>
      </w:r>
      <w:r w:rsidRPr="00F431BF">
        <w:t xml:space="preserve">proposed definition of </w:t>
      </w:r>
      <w:r w:rsidR="00A508B1" w:rsidRPr="00A508B1">
        <w:rPr>
          <w:i/>
        </w:rPr>
        <w:t>‘Immigration and Border Protection information’</w:t>
      </w:r>
      <w:r w:rsidRPr="00F431BF">
        <w:t xml:space="preserve"> </w:t>
      </w:r>
      <w:r>
        <w:t xml:space="preserve">in item 1 of the Bill, </w:t>
      </w:r>
      <w:r w:rsidRPr="00F431BF">
        <w:t>pertaining to the inclusion of ‘information the disclosure of which would or could reasonably be expected to cause competitive detriment to a person’</w:t>
      </w:r>
      <w:r>
        <w:t>,</w:t>
      </w:r>
      <w:r w:rsidRPr="00F431BF">
        <w:t xml:space="preserve"> </w:t>
      </w:r>
      <w:r>
        <w:t>be deleted</w:t>
      </w:r>
      <w:r w:rsidRPr="00F431BF">
        <w:t xml:space="preserve">. </w:t>
      </w:r>
    </w:p>
    <w:p w14:paraId="40EFF264" w14:textId="77777777" w:rsidR="000534A7" w:rsidRPr="00F431BF" w:rsidRDefault="000534A7" w:rsidP="000534A7">
      <w:pPr>
        <w:pStyle w:val="SubmissionNormal"/>
        <w:keepNext/>
        <w:ind w:left="720"/>
        <w:rPr>
          <w:b/>
        </w:rPr>
      </w:pPr>
      <w:r>
        <w:rPr>
          <w:b/>
        </w:rPr>
        <w:t>Recommendation 8</w:t>
      </w:r>
    </w:p>
    <w:p w14:paraId="5032BB4C" w14:textId="77777777" w:rsidR="000534A7" w:rsidRPr="000F2A43" w:rsidRDefault="000534A7" w:rsidP="000534A7">
      <w:pPr>
        <w:pStyle w:val="SubmissionNormal"/>
        <w:ind w:left="720"/>
      </w:pPr>
      <w:r w:rsidRPr="00352900">
        <w:t xml:space="preserve">The Commission recommends </w:t>
      </w:r>
      <w:r>
        <w:t>that the proposed s 4(5</w:t>
      </w:r>
      <w:proofErr w:type="gramStart"/>
      <w:r>
        <w:t>)(</w:t>
      </w:r>
      <w:proofErr w:type="gramEnd"/>
      <w:r>
        <w:t xml:space="preserve">a) in item 5 of the Bill, which would deem ‘information that has a security classification’ as being ‘information the disclosure of which would or could reasonably be expected to prejudice the security, defence or international relations of Australia’, be deleted. </w:t>
      </w:r>
    </w:p>
    <w:p w14:paraId="47684C5C" w14:textId="77777777" w:rsidR="00016F62" w:rsidRPr="002E2667" w:rsidRDefault="00016F62" w:rsidP="002E2667">
      <w:pPr>
        <w:pStyle w:val="Heading1"/>
      </w:pPr>
      <w:bookmarkStart w:id="28" w:name="_Toc365465897"/>
      <w:bookmarkStart w:id="29" w:name="_Toc491957999"/>
      <w:r w:rsidRPr="002E2667">
        <w:t>The current law</w:t>
      </w:r>
      <w:bookmarkEnd w:id="28"/>
      <w:bookmarkEnd w:id="29"/>
    </w:p>
    <w:p w14:paraId="07463107" w14:textId="77777777" w:rsidR="00016F62" w:rsidRPr="00FD5A45" w:rsidRDefault="00016F62" w:rsidP="00D752A7">
      <w:pPr>
        <w:pStyle w:val="SubmissionNormal"/>
        <w:numPr>
          <w:ilvl w:val="0"/>
          <w:numId w:val="21"/>
        </w:numPr>
        <w:ind w:hanging="720"/>
      </w:pPr>
      <w:r w:rsidRPr="00FD5A45">
        <w:t xml:space="preserve">Part 6 of the ABF Act contains the ‘secrecy and disclosure’ provisions. The main operative section is s 42 which relevantly provides: </w:t>
      </w:r>
    </w:p>
    <w:p w14:paraId="2AD39796" w14:textId="77777777" w:rsidR="00016F62" w:rsidRDefault="00016F62" w:rsidP="00AD1C50">
      <w:pPr>
        <w:pStyle w:val="ListParagraph"/>
        <w:ind w:firstLine="720"/>
        <w:contextualSpacing w:val="0"/>
        <w:rPr>
          <w:b/>
          <w:sz w:val="22"/>
          <w:szCs w:val="22"/>
          <w:lang w:val="en-US"/>
        </w:rPr>
      </w:pPr>
      <w:r w:rsidRPr="00FD5A45">
        <w:rPr>
          <w:b/>
          <w:sz w:val="22"/>
          <w:szCs w:val="22"/>
          <w:lang w:val="en-US"/>
        </w:rPr>
        <w:lastRenderedPageBreak/>
        <w:t xml:space="preserve">42 </w:t>
      </w:r>
      <w:r w:rsidR="00B904DD">
        <w:rPr>
          <w:b/>
          <w:sz w:val="22"/>
          <w:szCs w:val="22"/>
          <w:lang w:val="en-US"/>
        </w:rPr>
        <w:t xml:space="preserve">  </w:t>
      </w:r>
      <w:r w:rsidRPr="00FD5A45">
        <w:rPr>
          <w:b/>
          <w:sz w:val="22"/>
          <w:szCs w:val="22"/>
          <w:lang w:val="en-US"/>
        </w:rPr>
        <w:t>Secrecy</w:t>
      </w:r>
    </w:p>
    <w:p w14:paraId="126B1842" w14:textId="6BE88A8E" w:rsidR="00016F62" w:rsidRPr="00CB4A83" w:rsidRDefault="003D4C83" w:rsidP="00AD1C50">
      <w:pPr>
        <w:pStyle w:val="ListParagraph"/>
        <w:ind w:left="1418"/>
        <w:contextualSpacing w:val="0"/>
        <w:rPr>
          <w:sz w:val="22"/>
          <w:szCs w:val="22"/>
          <w:lang w:val="en-US"/>
        </w:rPr>
      </w:pPr>
      <w:r>
        <w:rPr>
          <w:sz w:val="22"/>
          <w:szCs w:val="22"/>
          <w:lang w:val="en-US"/>
        </w:rPr>
        <w:t>(1)</w:t>
      </w:r>
      <w:r w:rsidR="00FD5A45">
        <w:rPr>
          <w:sz w:val="22"/>
          <w:szCs w:val="22"/>
          <w:lang w:val="en-US"/>
        </w:rPr>
        <w:t xml:space="preserve"> </w:t>
      </w:r>
      <w:r w:rsidR="00FD5A45">
        <w:rPr>
          <w:sz w:val="22"/>
          <w:szCs w:val="22"/>
          <w:lang w:val="en-US"/>
        </w:rPr>
        <w:tab/>
      </w:r>
      <w:r w:rsidR="00016F62" w:rsidRPr="00CB4A83">
        <w:rPr>
          <w:sz w:val="22"/>
          <w:szCs w:val="22"/>
          <w:lang w:val="en-US"/>
        </w:rPr>
        <w:t>A person commits an offence if:</w:t>
      </w:r>
    </w:p>
    <w:p w14:paraId="318E4962" w14:textId="478CA69A" w:rsidR="00016F62" w:rsidRPr="00CB4A83" w:rsidRDefault="00016F62" w:rsidP="004554B8">
      <w:pPr>
        <w:pStyle w:val="ListParagraph"/>
        <w:numPr>
          <w:ilvl w:val="0"/>
          <w:numId w:val="44"/>
        </w:numPr>
        <w:contextualSpacing w:val="0"/>
        <w:rPr>
          <w:sz w:val="22"/>
          <w:szCs w:val="22"/>
          <w:lang w:val="en-US"/>
        </w:rPr>
      </w:pPr>
      <w:r w:rsidRPr="00CB4A83">
        <w:rPr>
          <w:sz w:val="22"/>
          <w:szCs w:val="22"/>
          <w:lang w:val="en-US"/>
        </w:rPr>
        <w:t>the person is, or has been, an entrusted person; and</w:t>
      </w:r>
    </w:p>
    <w:p w14:paraId="3AA2114A" w14:textId="2B32BE00" w:rsidR="00016F62" w:rsidRPr="00CB4A83" w:rsidRDefault="00B904DD" w:rsidP="004554B8">
      <w:pPr>
        <w:pStyle w:val="ListParagraph"/>
        <w:numPr>
          <w:ilvl w:val="0"/>
          <w:numId w:val="44"/>
        </w:numPr>
        <w:contextualSpacing w:val="0"/>
        <w:rPr>
          <w:sz w:val="22"/>
          <w:szCs w:val="22"/>
          <w:lang w:val="en-US"/>
        </w:rPr>
      </w:pPr>
      <w:r>
        <w:rPr>
          <w:sz w:val="22"/>
          <w:szCs w:val="22"/>
          <w:lang w:val="en-US"/>
        </w:rPr>
        <w:t>the person makes a record of,</w:t>
      </w:r>
      <w:r w:rsidR="00016F62" w:rsidRPr="00CB4A83">
        <w:rPr>
          <w:sz w:val="22"/>
          <w:szCs w:val="22"/>
          <w:lang w:val="en-US"/>
        </w:rPr>
        <w:t xml:space="preserve"> or discloses, information; and </w:t>
      </w:r>
    </w:p>
    <w:p w14:paraId="767E11CE" w14:textId="007AFD49" w:rsidR="00016F62" w:rsidRPr="00CB4A83" w:rsidRDefault="00016F62" w:rsidP="004554B8">
      <w:pPr>
        <w:pStyle w:val="ListParagraph"/>
        <w:numPr>
          <w:ilvl w:val="0"/>
          <w:numId w:val="44"/>
        </w:numPr>
        <w:contextualSpacing w:val="0"/>
        <w:rPr>
          <w:sz w:val="22"/>
          <w:szCs w:val="22"/>
          <w:lang w:val="en-US"/>
        </w:rPr>
      </w:pPr>
      <w:proofErr w:type="gramStart"/>
      <w:r w:rsidRPr="00CB4A83">
        <w:rPr>
          <w:sz w:val="22"/>
          <w:szCs w:val="22"/>
          <w:lang w:val="en-US"/>
        </w:rPr>
        <w:t>the</w:t>
      </w:r>
      <w:proofErr w:type="gramEnd"/>
      <w:r w:rsidRPr="00CB4A83">
        <w:rPr>
          <w:sz w:val="22"/>
          <w:szCs w:val="22"/>
          <w:lang w:val="en-US"/>
        </w:rPr>
        <w:t xml:space="preserve"> information is protected information.</w:t>
      </w:r>
    </w:p>
    <w:p w14:paraId="5D7E0871" w14:textId="77777777" w:rsidR="00016F62" w:rsidRPr="00B904DD" w:rsidRDefault="00016F62" w:rsidP="00D752A7">
      <w:pPr>
        <w:pStyle w:val="SubmissionNormal"/>
        <w:numPr>
          <w:ilvl w:val="0"/>
          <w:numId w:val="21"/>
        </w:numPr>
        <w:ind w:hanging="720"/>
      </w:pPr>
      <w:r w:rsidRPr="00CB4A83">
        <w:t xml:space="preserve">‘Protected information’ </w:t>
      </w:r>
      <w:proofErr w:type="gramStart"/>
      <w:r w:rsidRPr="00CB4A83">
        <w:t>is currently defined</w:t>
      </w:r>
      <w:proofErr w:type="gramEnd"/>
      <w:r w:rsidRPr="00CB4A83">
        <w:t xml:space="preserve"> in the A</w:t>
      </w:r>
      <w:r w:rsidR="00B904DD">
        <w:t>B</w:t>
      </w:r>
      <w:r w:rsidRPr="00CB4A83">
        <w:t>F Act to include any ‘information that was obtained by a person in the person’s capacity as an entrusted person’.</w:t>
      </w:r>
      <w:r w:rsidRPr="00B904DD">
        <w:rPr>
          <w:sz w:val="20"/>
          <w:vertAlign w:val="superscript"/>
        </w:rPr>
        <w:endnoteReference w:id="3"/>
      </w:r>
      <w:r w:rsidRPr="00CB4A83">
        <w:t xml:space="preserve"> There is no requirement that the information have any other distinguishing character. For example, the information could be highly sensitive and confidential or it could be entirely innocuous and administrative. The mere fact that it </w:t>
      </w:r>
      <w:proofErr w:type="gramStart"/>
      <w:r w:rsidRPr="00CB4A83">
        <w:t>is obtained</w:t>
      </w:r>
      <w:proofErr w:type="gramEnd"/>
      <w:r w:rsidRPr="00CB4A83">
        <w:t xml:space="preserve"> in the person’s capacity as an ‘entrusted person’ is enough for it to be considered ‘protected information’. If an entrusted person makes a record of protected information or discloses protected information, then (subject to certain narrow exceptions in the ABF Act) they may be liable for imprisonment for up to two years.</w:t>
      </w:r>
      <w:r w:rsidRPr="00B904DD">
        <w:rPr>
          <w:sz w:val="20"/>
          <w:vertAlign w:val="superscript"/>
        </w:rPr>
        <w:endnoteReference w:id="4"/>
      </w:r>
    </w:p>
    <w:p w14:paraId="4716B396" w14:textId="42DC4542" w:rsidR="00016F62" w:rsidRPr="00CB4A83" w:rsidRDefault="00016F62" w:rsidP="004F14E2">
      <w:pPr>
        <w:pStyle w:val="SubmissionNormal"/>
        <w:numPr>
          <w:ilvl w:val="0"/>
          <w:numId w:val="21"/>
        </w:numPr>
        <w:ind w:hanging="720"/>
      </w:pPr>
      <w:r w:rsidRPr="00CB4A83">
        <w:t xml:space="preserve">The definition of ‘entrusted person’ </w:t>
      </w:r>
      <w:proofErr w:type="gramStart"/>
      <w:r w:rsidRPr="00CB4A83">
        <w:t>is define</w:t>
      </w:r>
      <w:r w:rsidR="004D4427">
        <w:t>d</w:t>
      </w:r>
      <w:proofErr w:type="gramEnd"/>
      <w:r w:rsidR="004D4427">
        <w:t xml:space="preserve"> broadly in the ABF Act and </w:t>
      </w:r>
      <w:r w:rsidR="0071743C">
        <w:t xml:space="preserve">in subsequent </w:t>
      </w:r>
      <w:r w:rsidR="004D4427">
        <w:t>determination</w:t>
      </w:r>
      <w:r w:rsidR="0071743C">
        <w:t>s</w:t>
      </w:r>
      <w:r w:rsidRPr="00CB4A83">
        <w:t xml:space="preserve"> </w:t>
      </w:r>
      <w:r w:rsidR="004D4427">
        <w:t xml:space="preserve">made </w:t>
      </w:r>
      <w:r w:rsidR="0071743C">
        <w:t xml:space="preserve">by the Secretary of the Department (Secretary) </w:t>
      </w:r>
      <w:r w:rsidR="004D4427">
        <w:t xml:space="preserve">under the ABF Act. </w:t>
      </w:r>
      <w:r w:rsidRPr="00CB4A83">
        <w:t xml:space="preserve">It includes APS employees, customs officers, persons whose services </w:t>
      </w:r>
      <w:proofErr w:type="gramStart"/>
      <w:r w:rsidRPr="00CB4A83">
        <w:t>are made</w:t>
      </w:r>
      <w:proofErr w:type="gramEnd"/>
      <w:r w:rsidRPr="00CB4A83">
        <w:t xml:space="preserve"> available to the Department, as well as persons engaged as consultants or contractors by the Department and their employees.</w:t>
      </w:r>
      <w:r w:rsidRPr="00B904DD">
        <w:rPr>
          <w:sz w:val="20"/>
          <w:vertAlign w:val="superscript"/>
        </w:rPr>
        <w:endnoteReference w:id="5"/>
      </w:r>
      <w:r w:rsidRPr="00CB4A83">
        <w:t xml:space="preserve"> This broad definition of ‘entrusted person’ extends </w:t>
      </w:r>
      <w:proofErr w:type="gramStart"/>
      <w:r w:rsidRPr="00CB4A83">
        <w:t>to</w:t>
      </w:r>
      <w:proofErr w:type="gramEnd"/>
      <w:r w:rsidRPr="00CB4A83">
        <w:t xml:space="preserve"> many individuals working for the Department, both directly and indirectly.</w:t>
      </w:r>
    </w:p>
    <w:p w14:paraId="4CF467D8" w14:textId="7D518F7C" w:rsidR="00016F62" w:rsidRPr="00CB4A83" w:rsidRDefault="004D4427" w:rsidP="004F14E2">
      <w:pPr>
        <w:pStyle w:val="SubmissionNormal"/>
        <w:numPr>
          <w:ilvl w:val="0"/>
          <w:numId w:val="21"/>
        </w:numPr>
        <w:ind w:hanging="720"/>
      </w:pPr>
      <w:r>
        <w:t>As noted</w:t>
      </w:r>
      <w:r w:rsidR="00016F62" w:rsidRPr="00CB4A83">
        <w:t xml:space="preserve"> above, </w:t>
      </w:r>
      <w:r w:rsidR="00B904DD">
        <w:t xml:space="preserve">in September 2016 </w:t>
      </w:r>
      <w:r w:rsidR="00016F62" w:rsidRPr="00CB4A83">
        <w:t xml:space="preserve">the Secretary made a determination under the ABF Act that had the effect of exempting a wide range of health practitioners from the definition of ‘entrusted person’. </w:t>
      </w:r>
    </w:p>
    <w:p w14:paraId="5740A7F4" w14:textId="1AECD6CD" w:rsidR="00016F62" w:rsidRPr="00CB4A83" w:rsidRDefault="00016F62" w:rsidP="004F14E2">
      <w:pPr>
        <w:pStyle w:val="SubmissionNormal"/>
        <w:numPr>
          <w:ilvl w:val="0"/>
          <w:numId w:val="21"/>
        </w:numPr>
        <w:ind w:hanging="720"/>
      </w:pPr>
      <w:r w:rsidRPr="00CB4A83">
        <w:t xml:space="preserve">The Commission’s primary concern about the </w:t>
      </w:r>
      <w:r w:rsidR="00B904DD">
        <w:t>current secrecy provisions in s </w:t>
      </w:r>
      <w:r w:rsidRPr="00CB4A83">
        <w:t xml:space="preserve">42 of the ABF Act is that, given the broad nature of the definition of ‘entrusted person’ and the blanket definition of ‘protected information’, the ABF Act criminalises the disclosure of information that is not inherently sensitive or inimical to essential public interests. </w:t>
      </w:r>
      <w:r w:rsidR="00AD1C50">
        <w:t xml:space="preserve">In fact, it criminalises the disclosure of </w:t>
      </w:r>
      <w:proofErr w:type="gramStart"/>
      <w:r w:rsidR="00AD1C50">
        <w:t>information which</w:t>
      </w:r>
      <w:proofErr w:type="gramEnd"/>
      <w:r w:rsidR="00AD1C50">
        <w:t xml:space="preserve"> may </w:t>
      </w:r>
      <w:r w:rsidR="00277053">
        <w:t xml:space="preserve">be in the public interest to disclose. </w:t>
      </w:r>
      <w:r w:rsidR="0071743C">
        <w:t xml:space="preserve">This </w:t>
      </w:r>
      <w:proofErr w:type="gramStart"/>
      <w:r w:rsidR="0071743C">
        <w:t>may be considered</w:t>
      </w:r>
      <w:proofErr w:type="gramEnd"/>
      <w:r w:rsidR="0071743C">
        <w:t xml:space="preserve"> as impinging </w:t>
      </w:r>
      <w:r w:rsidR="00917F31">
        <w:t>disproportionately on</w:t>
      </w:r>
      <w:r w:rsidR="00917F31" w:rsidRPr="00CB4A83">
        <w:t xml:space="preserve"> </w:t>
      </w:r>
      <w:r w:rsidRPr="00CB4A83">
        <w:t xml:space="preserve">freedom of expression and political communication and has the potential to chill legitimate public debate. </w:t>
      </w:r>
    </w:p>
    <w:p w14:paraId="6678175A" w14:textId="77777777" w:rsidR="00016F62" w:rsidRPr="002E2667" w:rsidRDefault="00016F62" w:rsidP="002E2667">
      <w:pPr>
        <w:pStyle w:val="Heading1"/>
      </w:pPr>
      <w:bookmarkStart w:id="30" w:name="_Toc365465898"/>
      <w:bookmarkStart w:id="31" w:name="_Toc491958000"/>
      <w:r w:rsidRPr="002E2667">
        <w:t>The Bill</w:t>
      </w:r>
      <w:bookmarkEnd w:id="30"/>
      <w:bookmarkEnd w:id="31"/>
    </w:p>
    <w:p w14:paraId="2824BE20" w14:textId="77777777" w:rsidR="00016F62" w:rsidRPr="00CB4A83" w:rsidRDefault="00016F62" w:rsidP="004F14E2">
      <w:pPr>
        <w:pStyle w:val="SubmissionNormal"/>
        <w:numPr>
          <w:ilvl w:val="0"/>
          <w:numId w:val="21"/>
        </w:numPr>
        <w:ind w:hanging="720"/>
      </w:pPr>
      <w:r w:rsidRPr="00CB4A83">
        <w:t>The present Bill seeks to:</w:t>
      </w:r>
    </w:p>
    <w:p w14:paraId="249E90B7" w14:textId="090AA5D1" w:rsidR="00016F62" w:rsidRPr="00197E73" w:rsidRDefault="00016F62" w:rsidP="000A58A8">
      <w:pPr>
        <w:pStyle w:val="ListParagraph"/>
        <w:numPr>
          <w:ilvl w:val="0"/>
          <w:numId w:val="19"/>
        </w:numPr>
        <w:ind w:left="1434" w:hanging="357"/>
        <w:contextualSpacing w:val="0"/>
      </w:pPr>
      <w:r w:rsidRPr="00197E73">
        <w:t xml:space="preserve">repeal the definition of </w:t>
      </w:r>
      <w:r w:rsidR="00C879E2">
        <w:t>‘</w:t>
      </w:r>
      <w:r w:rsidRPr="00C879E2">
        <w:rPr>
          <w:iCs/>
        </w:rPr>
        <w:t>protected information</w:t>
      </w:r>
      <w:r w:rsidR="00C879E2">
        <w:rPr>
          <w:iCs/>
        </w:rPr>
        <w:t>’</w:t>
      </w:r>
      <w:r w:rsidRPr="00197E73">
        <w:rPr>
          <w:i/>
          <w:iCs/>
        </w:rPr>
        <w:t xml:space="preserve"> </w:t>
      </w:r>
      <w:r w:rsidR="0071743C">
        <w:t xml:space="preserve">in </w:t>
      </w:r>
      <w:r w:rsidR="00E81B52">
        <w:t>s</w:t>
      </w:r>
      <w:r w:rsidRPr="00197E73">
        <w:t xml:space="preserve"> 4(1) of the ABF Act</w:t>
      </w:r>
      <w:r w:rsidR="008316AD" w:rsidRPr="00197E73">
        <w:t xml:space="preserve"> and substitute a definition of </w:t>
      </w:r>
      <w:r w:rsidR="00A508B1" w:rsidRPr="00A508B1">
        <w:rPr>
          <w:i/>
        </w:rPr>
        <w:t>‘Immigration an</w:t>
      </w:r>
      <w:r w:rsidR="008F268E">
        <w:rPr>
          <w:i/>
        </w:rPr>
        <w:t>d Border Protection information</w:t>
      </w:r>
      <w:r w:rsidR="00C879E2">
        <w:t>’</w:t>
      </w:r>
      <w:r w:rsidR="008316AD" w:rsidRPr="00197E73">
        <w:t xml:space="preserve">, </w:t>
      </w:r>
      <w:r w:rsidRPr="00197E73">
        <w:t xml:space="preserve">so that only specific kinds of information are covered by the secrecy and </w:t>
      </w:r>
      <w:r w:rsidR="00760941">
        <w:t>non-</w:t>
      </w:r>
      <w:r w:rsidRPr="00197E73">
        <w:t xml:space="preserve">disclosure provisions in Part 6 of the ABF Act; </w:t>
      </w:r>
    </w:p>
    <w:p w14:paraId="72229412" w14:textId="77777777" w:rsidR="00016F62" w:rsidRPr="00197E73" w:rsidRDefault="00016F62" w:rsidP="000A58A8">
      <w:pPr>
        <w:pStyle w:val="ListParagraph"/>
        <w:numPr>
          <w:ilvl w:val="0"/>
          <w:numId w:val="19"/>
        </w:numPr>
        <w:ind w:left="1434" w:hanging="357"/>
        <w:contextualSpacing w:val="0"/>
      </w:pPr>
      <w:r w:rsidRPr="00197E73">
        <w:lastRenderedPageBreak/>
        <w:t xml:space="preserve">remove </w:t>
      </w:r>
      <w:r w:rsidR="00197E73">
        <w:t xml:space="preserve">certain </w:t>
      </w:r>
      <w:r w:rsidRPr="00197E73">
        <w:t xml:space="preserve">requirements regarding the </w:t>
      </w:r>
      <w:r w:rsidR="00197E73">
        <w:t xml:space="preserve">prescribing of bodies to which information may be disclosed, </w:t>
      </w:r>
      <w:r w:rsidRPr="00197E73">
        <w:t xml:space="preserve">in the name of operational and administrative efficiency; </w:t>
      </w:r>
    </w:p>
    <w:p w14:paraId="33975D57" w14:textId="77777777" w:rsidR="00016F62" w:rsidRPr="00197E73" w:rsidRDefault="00016F62" w:rsidP="000A58A8">
      <w:pPr>
        <w:pStyle w:val="ListParagraph"/>
        <w:numPr>
          <w:ilvl w:val="0"/>
          <w:numId w:val="19"/>
        </w:numPr>
        <w:ind w:left="1434" w:hanging="357"/>
        <w:contextualSpacing w:val="0"/>
      </w:pPr>
      <w:proofErr w:type="gramStart"/>
      <w:r w:rsidRPr="00197E73">
        <w:t>add</w:t>
      </w:r>
      <w:proofErr w:type="gramEnd"/>
      <w:r w:rsidRPr="00197E73">
        <w:t xml:space="preserve"> new permitted purposes for which information that contains personal information can be disclosed under the ABF Act.</w:t>
      </w:r>
      <w:r w:rsidRPr="00197E73">
        <w:rPr>
          <w:rStyle w:val="EndnoteReference"/>
          <w:szCs w:val="22"/>
        </w:rPr>
        <w:endnoteReference w:id="6"/>
      </w:r>
      <w:r w:rsidRPr="00197E73">
        <w:t xml:space="preserve"> </w:t>
      </w:r>
    </w:p>
    <w:p w14:paraId="50E4B489" w14:textId="27258160" w:rsidR="00016F62" w:rsidRPr="00CB4A83" w:rsidRDefault="00760941" w:rsidP="004F14E2">
      <w:pPr>
        <w:pStyle w:val="SubmissionNormal"/>
        <w:numPr>
          <w:ilvl w:val="0"/>
          <w:numId w:val="21"/>
        </w:numPr>
        <w:ind w:hanging="720"/>
      </w:pPr>
      <w:r>
        <w:t>T</w:t>
      </w:r>
      <w:r w:rsidR="00016F62" w:rsidRPr="00CB4A83">
        <w:t xml:space="preserve">he </w:t>
      </w:r>
      <w:r w:rsidR="00277053">
        <w:t xml:space="preserve">Commission’s </w:t>
      </w:r>
      <w:r w:rsidR="00016F62" w:rsidRPr="00CB4A83">
        <w:t>submission only address</w:t>
      </w:r>
      <w:r>
        <w:t>es</w:t>
      </w:r>
      <w:r w:rsidR="00016F62" w:rsidRPr="00CB4A83">
        <w:t xml:space="preserve"> the first of these proposed amendments relating to changing the definition of ‘protected information’.</w:t>
      </w:r>
    </w:p>
    <w:p w14:paraId="70EED51E" w14:textId="77B15365" w:rsidR="00016F62" w:rsidRPr="00CB4A83" w:rsidRDefault="00016F62" w:rsidP="004F14E2">
      <w:pPr>
        <w:pStyle w:val="SubmissionNormal"/>
        <w:numPr>
          <w:ilvl w:val="0"/>
          <w:numId w:val="21"/>
        </w:numPr>
        <w:ind w:hanging="720"/>
      </w:pPr>
      <w:r w:rsidRPr="00CB4A83">
        <w:t xml:space="preserve">If passed, the Bill will have the effect of narrowing the kinds of information that are subject to the secrecy provisions and </w:t>
      </w:r>
      <w:r w:rsidR="008D2689">
        <w:t xml:space="preserve">consequent </w:t>
      </w:r>
      <w:r w:rsidRPr="00CB4A83">
        <w:t xml:space="preserve">criminal sanctions of the ABF Act. </w:t>
      </w:r>
    </w:p>
    <w:p w14:paraId="6F857FCC" w14:textId="34F33BBD" w:rsidR="00016F62" w:rsidRPr="00210F85" w:rsidRDefault="00016F62" w:rsidP="00210F85">
      <w:pPr>
        <w:pStyle w:val="SubmissionNormal"/>
        <w:numPr>
          <w:ilvl w:val="0"/>
          <w:numId w:val="21"/>
        </w:numPr>
        <w:ind w:hanging="720"/>
      </w:pPr>
      <w:r w:rsidRPr="00210F85">
        <w:t>The Bill creates a new category of in</w:t>
      </w:r>
      <w:r w:rsidR="008D2689" w:rsidRPr="00210F85">
        <w:t>formation in proposed s 4</w:t>
      </w:r>
      <w:r w:rsidRPr="00210F85">
        <w:t xml:space="preserve">(1) called </w:t>
      </w:r>
      <w:r w:rsidR="00A508B1" w:rsidRPr="00210F85">
        <w:rPr>
          <w:i/>
        </w:rPr>
        <w:t>‘Immigration and Border Protection information’</w:t>
      </w:r>
      <w:r w:rsidR="00210F85" w:rsidRPr="00210F85">
        <w:t>. This is defined as i</w:t>
      </w:r>
      <w:r w:rsidRPr="00210F85">
        <w:t>nformation the disclosure of which would or could reasonably be expected to:</w:t>
      </w:r>
    </w:p>
    <w:p w14:paraId="6F84B17D" w14:textId="77777777" w:rsidR="00016F62" w:rsidRPr="00210F85" w:rsidRDefault="00C879E2" w:rsidP="00C879E2">
      <w:pPr>
        <w:ind w:left="2160" w:hanging="720"/>
      </w:pPr>
      <w:r w:rsidRPr="00C879E2">
        <w:rPr>
          <w:sz w:val="22"/>
        </w:rPr>
        <w:t>(a)</w:t>
      </w:r>
      <w:r w:rsidRPr="00C879E2">
        <w:rPr>
          <w:sz w:val="22"/>
        </w:rPr>
        <w:tab/>
      </w:r>
      <w:proofErr w:type="gramStart"/>
      <w:r w:rsidR="00016F62" w:rsidRPr="00210F85">
        <w:t>prejudice</w:t>
      </w:r>
      <w:proofErr w:type="gramEnd"/>
      <w:r w:rsidR="00016F62" w:rsidRPr="00210F85">
        <w:t xml:space="preserve"> the security, defence or international relations of Australia; </w:t>
      </w:r>
    </w:p>
    <w:p w14:paraId="5099F654" w14:textId="77777777" w:rsidR="00016F62" w:rsidRPr="00210F85" w:rsidRDefault="00C879E2" w:rsidP="00C879E2">
      <w:pPr>
        <w:ind w:left="2160" w:hanging="720"/>
      </w:pPr>
      <w:r w:rsidRPr="00210F85">
        <w:t>(b)</w:t>
      </w:r>
      <w:r w:rsidRPr="00210F85">
        <w:tab/>
      </w:r>
      <w:proofErr w:type="gramStart"/>
      <w:r w:rsidR="00016F62" w:rsidRPr="00210F85">
        <w:t>prejudice</w:t>
      </w:r>
      <w:proofErr w:type="gramEnd"/>
      <w:r w:rsidR="00016F62" w:rsidRPr="00210F85">
        <w:t xml:space="preserve"> the prevention, detection or investigation of, or the conduct of proceedings relating to, an offence or a contravention of a civil penalty provision;</w:t>
      </w:r>
    </w:p>
    <w:p w14:paraId="3D8BE057" w14:textId="77777777" w:rsidR="00016F62" w:rsidRPr="00210F85" w:rsidRDefault="00C879E2" w:rsidP="00C879E2">
      <w:pPr>
        <w:ind w:left="2160" w:hanging="720"/>
      </w:pPr>
      <w:r w:rsidRPr="00210F85">
        <w:t>(c)</w:t>
      </w:r>
      <w:r w:rsidRPr="00210F85">
        <w:tab/>
      </w:r>
      <w:proofErr w:type="gramStart"/>
      <w:r w:rsidR="00016F62" w:rsidRPr="00210F85">
        <w:t>prejudice</w:t>
      </w:r>
      <w:proofErr w:type="gramEnd"/>
      <w:r w:rsidR="00016F62" w:rsidRPr="00210F85">
        <w:t xml:space="preserve"> the protection of public health, or endanger the life or safety of an individual or group of individuals;</w:t>
      </w:r>
    </w:p>
    <w:p w14:paraId="3A2A2BB1" w14:textId="77777777" w:rsidR="00016F62" w:rsidRPr="00210F85" w:rsidRDefault="00C879E2" w:rsidP="00C879E2">
      <w:pPr>
        <w:ind w:left="2160" w:hanging="720"/>
      </w:pPr>
      <w:r w:rsidRPr="00210F85">
        <w:t>(d)</w:t>
      </w:r>
      <w:r w:rsidRPr="00210F85">
        <w:tab/>
      </w:r>
      <w:proofErr w:type="gramStart"/>
      <w:r w:rsidR="00016F62" w:rsidRPr="00210F85">
        <w:t>found</w:t>
      </w:r>
      <w:proofErr w:type="gramEnd"/>
      <w:r w:rsidR="00016F62" w:rsidRPr="00210F85">
        <w:t xml:space="preserve"> an action by a person (other than the Commonwealth) for breach of a duty of confidence</w:t>
      </w:r>
      <w:r w:rsidR="00E81B52" w:rsidRPr="00210F85">
        <w:t>;</w:t>
      </w:r>
    </w:p>
    <w:p w14:paraId="14AF1045" w14:textId="068EF5E2" w:rsidR="008D2689" w:rsidRPr="00210F85" w:rsidRDefault="00C879E2" w:rsidP="008D2689">
      <w:pPr>
        <w:ind w:left="2160" w:hanging="720"/>
      </w:pPr>
      <w:r w:rsidRPr="00210F85">
        <w:t>(e)</w:t>
      </w:r>
      <w:r w:rsidRPr="00210F85">
        <w:tab/>
      </w:r>
      <w:proofErr w:type="gramStart"/>
      <w:r w:rsidR="00016F62" w:rsidRPr="00210F85">
        <w:t>cause</w:t>
      </w:r>
      <w:proofErr w:type="gramEnd"/>
      <w:r w:rsidR="00016F62" w:rsidRPr="00210F85">
        <w:t xml:space="preserve"> competitive detrim</w:t>
      </w:r>
      <w:r w:rsidR="008D2689" w:rsidRPr="00210F85">
        <w:t xml:space="preserve">ent to a person; </w:t>
      </w:r>
      <w:r w:rsidR="00210F85">
        <w:t>or</w:t>
      </w:r>
    </w:p>
    <w:p w14:paraId="4EF5D1C4" w14:textId="7A33C4A2" w:rsidR="008D2689" w:rsidRPr="00210F85" w:rsidRDefault="008D2689" w:rsidP="00210F85">
      <w:pPr>
        <w:ind w:left="2160" w:hanging="720"/>
      </w:pPr>
      <w:r w:rsidRPr="00210F85">
        <w:t>(f)</w:t>
      </w:r>
      <w:r w:rsidRPr="00210F85">
        <w:tab/>
      </w:r>
      <w:proofErr w:type="gramStart"/>
      <w:r w:rsidRPr="00210F85">
        <w:t>information</w:t>
      </w:r>
      <w:proofErr w:type="gramEnd"/>
      <w:r w:rsidRPr="00210F85">
        <w:t xml:space="preserve"> of a kind prescribed in an instrument under subsection (7).</w:t>
      </w:r>
    </w:p>
    <w:p w14:paraId="33AB8C0B" w14:textId="6DFE63AD" w:rsidR="00016F62" w:rsidRPr="00CB4A83" w:rsidRDefault="0077380B" w:rsidP="004F14E2">
      <w:pPr>
        <w:pStyle w:val="SubmissionNormal"/>
        <w:numPr>
          <w:ilvl w:val="0"/>
          <w:numId w:val="21"/>
        </w:numPr>
        <w:ind w:hanging="720"/>
      </w:pPr>
      <w:r>
        <w:t>Item 5 of t</w:t>
      </w:r>
      <w:r w:rsidR="00016F62" w:rsidRPr="00C879E2">
        <w:t xml:space="preserve">he Bill proposes </w:t>
      </w:r>
      <w:r>
        <w:t xml:space="preserve">to insert a new </w:t>
      </w:r>
      <w:r w:rsidR="00E81B52">
        <w:t>s</w:t>
      </w:r>
      <w:r w:rsidR="003832C0">
        <w:t xml:space="preserve"> 4</w:t>
      </w:r>
      <w:r w:rsidR="00016F62" w:rsidRPr="00CB4A83">
        <w:t xml:space="preserve">(5) </w:t>
      </w:r>
      <w:r w:rsidR="003832C0">
        <w:t xml:space="preserve">into the </w:t>
      </w:r>
      <w:r w:rsidR="00016F62">
        <w:t>ABF Act</w:t>
      </w:r>
      <w:r>
        <w:t>. This</w:t>
      </w:r>
      <w:r w:rsidR="00016F62">
        <w:t xml:space="preserve"> </w:t>
      </w:r>
      <w:r>
        <w:t xml:space="preserve">subsection would </w:t>
      </w:r>
      <w:r w:rsidR="00016F62">
        <w:t>deem</w:t>
      </w:r>
      <w:r w:rsidR="00016F62" w:rsidRPr="00CB4A83">
        <w:t xml:space="preserve"> information that has a security classification or information that has originated with, or been received from, an intelligence agency as information the disclosure of which would or could reasonably be expected to prejudice the security, defence or international relations of Australia. </w:t>
      </w:r>
    </w:p>
    <w:p w14:paraId="57284C8C" w14:textId="26D75266" w:rsidR="00016F62" w:rsidRPr="00CB4A83" w:rsidRDefault="0077380B" w:rsidP="004F14E2">
      <w:pPr>
        <w:pStyle w:val="SubmissionNormal"/>
        <w:numPr>
          <w:ilvl w:val="0"/>
          <w:numId w:val="21"/>
        </w:numPr>
        <w:ind w:hanging="720"/>
      </w:pPr>
      <w:r>
        <w:t>Item 5 of t</w:t>
      </w:r>
      <w:r w:rsidR="00016F62">
        <w:t xml:space="preserve">he Bill </w:t>
      </w:r>
      <w:r>
        <w:t xml:space="preserve">also </w:t>
      </w:r>
      <w:r w:rsidR="00016F62">
        <w:t xml:space="preserve">proposes </w:t>
      </w:r>
      <w:r>
        <w:t xml:space="preserve">to insert a new </w:t>
      </w:r>
      <w:r w:rsidR="003832C0">
        <w:t>s 4(</w:t>
      </w:r>
      <w:r w:rsidR="00016F62">
        <w:t xml:space="preserve">6) </w:t>
      </w:r>
      <w:r>
        <w:t xml:space="preserve">into the </w:t>
      </w:r>
      <w:r w:rsidR="00016F62">
        <w:t>ABF</w:t>
      </w:r>
      <w:r w:rsidR="00016F62" w:rsidRPr="00CB4A83">
        <w:t xml:space="preserve"> </w:t>
      </w:r>
      <w:r w:rsidR="00016F62">
        <w:t>Act</w:t>
      </w:r>
      <w:r>
        <w:t>. This subsection would</w:t>
      </w:r>
      <w:r w:rsidR="00016F62">
        <w:t xml:space="preserve"> deem </w:t>
      </w:r>
      <w:r w:rsidR="00016F62" w:rsidRPr="00CB4A83">
        <w:t>information that was provided to the Commonwealth pursuant to a statutory obligation or otherwise by compulsion of law as information the disclosure of which would or could reasonably be expected to found an action by a person (other than the Commonwealth) for breach of a duty of confidence.</w:t>
      </w:r>
    </w:p>
    <w:p w14:paraId="400D8CCC" w14:textId="13F76155" w:rsidR="00016F62" w:rsidRPr="00CB4A83" w:rsidRDefault="00016F62" w:rsidP="004F14E2">
      <w:pPr>
        <w:pStyle w:val="SubmissionNormal"/>
        <w:numPr>
          <w:ilvl w:val="0"/>
          <w:numId w:val="21"/>
        </w:numPr>
        <w:ind w:hanging="720"/>
      </w:pPr>
      <w:r w:rsidRPr="00CB4A83">
        <w:t xml:space="preserve">For the purposes of </w:t>
      </w:r>
      <w:r>
        <w:t xml:space="preserve">proposed </w:t>
      </w:r>
      <w:proofErr w:type="spellStart"/>
      <w:r w:rsidR="004E4630">
        <w:t>s</w:t>
      </w:r>
      <w:r w:rsidR="005D3FAF">
        <w:t>s</w:t>
      </w:r>
      <w:proofErr w:type="spellEnd"/>
      <w:r w:rsidR="003832C0">
        <w:t xml:space="preserve"> </w:t>
      </w:r>
      <w:r w:rsidR="005D3FAF">
        <w:t>4</w:t>
      </w:r>
      <w:r w:rsidR="003832C0">
        <w:t xml:space="preserve">(5) and </w:t>
      </w:r>
      <w:r w:rsidRPr="00CB4A83">
        <w:t>(</w:t>
      </w:r>
      <w:proofErr w:type="gramStart"/>
      <w:r w:rsidRPr="00CB4A83">
        <w:t>6)</w:t>
      </w:r>
      <w:proofErr w:type="gramEnd"/>
      <w:r w:rsidR="003832C0">
        <w:t xml:space="preserve"> </w:t>
      </w:r>
      <w:r w:rsidRPr="00CB4A83">
        <w:t>the fault element of the offence is one of recklessness.</w:t>
      </w:r>
      <w:r w:rsidRPr="0077380B">
        <w:rPr>
          <w:sz w:val="20"/>
          <w:vertAlign w:val="superscript"/>
        </w:rPr>
        <w:endnoteReference w:id="7"/>
      </w:r>
      <w:r w:rsidRPr="00CB4A83">
        <w:t xml:space="preserve"> </w:t>
      </w:r>
    </w:p>
    <w:p w14:paraId="62DF4433" w14:textId="3738B404" w:rsidR="00016F62" w:rsidRPr="00CB4A83" w:rsidRDefault="00016F62" w:rsidP="004F14E2">
      <w:pPr>
        <w:pStyle w:val="SubmissionNormal"/>
        <w:numPr>
          <w:ilvl w:val="0"/>
          <w:numId w:val="21"/>
        </w:numPr>
        <w:ind w:hanging="720"/>
      </w:pPr>
      <w:r w:rsidRPr="00CB4A83">
        <w:lastRenderedPageBreak/>
        <w:t xml:space="preserve">Additional categories of information </w:t>
      </w:r>
      <w:proofErr w:type="gramStart"/>
      <w:r w:rsidRPr="00CB4A83">
        <w:t>are able to</w:t>
      </w:r>
      <w:proofErr w:type="gramEnd"/>
      <w:r w:rsidRPr="00CB4A83">
        <w:t xml:space="preserve"> be prescribed for protection in a legislative instrument if the Secretary of the Department is satisfied that the discl</w:t>
      </w:r>
      <w:r w:rsidR="005D3FAF">
        <w:t xml:space="preserve">osure of such information would, </w:t>
      </w:r>
      <w:r w:rsidRPr="00CB4A83">
        <w:t>or could reasonably be expected to</w:t>
      </w:r>
      <w:r w:rsidR="005D3FAF">
        <w:t xml:space="preserve">, </w:t>
      </w:r>
      <w:r w:rsidR="005D3FAF" w:rsidRPr="00CB4A83">
        <w:t>prejudice</w:t>
      </w:r>
      <w:r w:rsidRPr="00CB4A83">
        <w:t xml:space="preserve"> the effective working of the Department or otherwise harm the public interest.</w:t>
      </w:r>
      <w:r w:rsidRPr="003A7A26">
        <w:rPr>
          <w:sz w:val="20"/>
          <w:vertAlign w:val="superscript"/>
        </w:rPr>
        <w:endnoteReference w:id="8"/>
      </w:r>
      <w:r w:rsidRPr="00CB4A83">
        <w:t xml:space="preserve"> </w:t>
      </w:r>
    </w:p>
    <w:p w14:paraId="2A484D6B" w14:textId="235A2E2C" w:rsidR="00016F62" w:rsidRPr="00CB4A83" w:rsidRDefault="00016F62" w:rsidP="005A4A2A">
      <w:pPr>
        <w:pStyle w:val="SubmissionNormal"/>
        <w:numPr>
          <w:ilvl w:val="0"/>
          <w:numId w:val="21"/>
        </w:numPr>
        <w:ind w:hanging="720"/>
      </w:pPr>
      <w:r w:rsidRPr="00C879E2">
        <w:t xml:space="preserve">If passed, the changes in the Bill would </w:t>
      </w:r>
      <w:r w:rsidR="003B2FB5">
        <w:t>have retroactive operation from</w:t>
      </w:r>
      <w:r w:rsidRPr="00C879E2">
        <w:t xml:space="preserve"> the commencement of the ABF Act.</w:t>
      </w:r>
      <w:r w:rsidRPr="003A7A26">
        <w:rPr>
          <w:sz w:val="20"/>
          <w:vertAlign w:val="superscript"/>
        </w:rPr>
        <w:endnoteReference w:id="9"/>
      </w:r>
      <w:r w:rsidRPr="00C879E2">
        <w:t xml:space="preserve"> This means that a person who may have been liable under the former, broader provisions but not under the newer, narrower provisions would no longer be liable to prosecution.</w:t>
      </w:r>
      <w:r w:rsidR="00C127E7">
        <w:t xml:space="preserve"> T</w:t>
      </w:r>
      <w:r w:rsidR="00533B9B">
        <w:t>he</w:t>
      </w:r>
      <w:r w:rsidR="00C127E7">
        <w:t>re is a s</w:t>
      </w:r>
      <w:r w:rsidR="002B195D">
        <w:t>trong common law tradition of holding that retrospective criminal laws are</w:t>
      </w:r>
      <w:r w:rsidR="00611A97">
        <w:t xml:space="preserve"> </w:t>
      </w:r>
      <w:r w:rsidR="002B195D">
        <w:t xml:space="preserve">inconsistent </w:t>
      </w:r>
      <w:r w:rsidR="00611A97">
        <w:t xml:space="preserve">with the rule of law </w:t>
      </w:r>
      <w:r w:rsidR="005A4A2A">
        <w:t>if they broaden</w:t>
      </w:r>
      <w:r w:rsidR="00283A32">
        <w:t xml:space="preserve"> the scope of criminal liability</w:t>
      </w:r>
      <w:r w:rsidR="00C127E7">
        <w:t>.</w:t>
      </w:r>
      <w:r w:rsidR="00C127E7">
        <w:rPr>
          <w:rStyle w:val="EndnoteReference"/>
        </w:rPr>
        <w:endnoteReference w:id="10"/>
      </w:r>
      <w:r w:rsidR="005A4A2A">
        <w:t xml:space="preserve"> </w:t>
      </w:r>
      <w:r w:rsidR="002B195D">
        <w:t>The Commission commends the Bill’</w:t>
      </w:r>
      <w:r w:rsidR="0068528E">
        <w:t>s proposal to</w:t>
      </w:r>
      <w:r w:rsidR="002B195D">
        <w:t xml:space="preserve"> </w:t>
      </w:r>
      <w:r w:rsidR="005A4A2A">
        <w:t xml:space="preserve">narrow </w:t>
      </w:r>
      <w:r w:rsidR="0068528E">
        <w:t xml:space="preserve">retroactively </w:t>
      </w:r>
      <w:r w:rsidR="00611A97">
        <w:t>the scope of criminal liability</w:t>
      </w:r>
      <w:r w:rsidR="005A4A2A">
        <w:t xml:space="preserve"> </w:t>
      </w:r>
      <w:r w:rsidR="00611A97">
        <w:t>in s 42</w:t>
      </w:r>
      <w:r w:rsidR="0068528E">
        <w:t xml:space="preserve"> of the ABF Act as an expression of the policy and legislative intent of the law</w:t>
      </w:r>
      <w:r w:rsidR="005A4A2A">
        <w:t>.</w:t>
      </w:r>
      <w:r w:rsidR="0089706F">
        <w:rPr>
          <w:rStyle w:val="EndnoteReference"/>
        </w:rPr>
        <w:endnoteReference w:id="11"/>
      </w:r>
      <w:r w:rsidR="005A4A2A">
        <w:t xml:space="preserve"> </w:t>
      </w:r>
      <w:r w:rsidR="00611A97">
        <w:t xml:space="preserve">  </w:t>
      </w:r>
    </w:p>
    <w:p w14:paraId="32CEC323" w14:textId="51B16A6E" w:rsidR="00016F62" w:rsidRPr="00C879E2" w:rsidRDefault="00016F62" w:rsidP="004F14E2">
      <w:pPr>
        <w:pStyle w:val="SubmissionNormal"/>
        <w:numPr>
          <w:ilvl w:val="0"/>
          <w:numId w:val="21"/>
        </w:numPr>
        <w:ind w:hanging="720"/>
      </w:pPr>
      <w:r w:rsidRPr="00C879E2">
        <w:t xml:space="preserve">Under the Bill, the focus of the inquiry shifts from a simple assessment of whether someone is an ‘entrusted person’, in which case all of the information that </w:t>
      </w:r>
      <w:proofErr w:type="gramStart"/>
      <w:r w:rsidRPr="00C879E2">
        <w:t>they</w:t>
      </w:r>
      <w:proofErr w:type="gramEnd"/>
      <w:r w:rsidRPr="00C879E2">
        <w:t xml:space="preserve"> have obtaine</w:t>
      </w:r>
      <w:r w:rsidR="005D3FAF">
        <w:t>d</w:t>
      </w:r>
      <w:r w:rsidR="000E21FA">
        <w:t xml:space="preserve"> in this capacity is protected, </w:t>
      </w:r>
      <w:r w:rsidRPr="00C879E2">
        <w:t xml:space="preserve">to the specific nature of the information and the particular effects of its disclosure. </w:t>
      </w:r>
      <w:r w:rsidR="003B2FB5">
        <w:t>T</w:t>
      </w:r>
      <w:r w:rsidR="00F007F1">
        <w:t>he Commission</w:t>
      </w:r>
      <w:r w:rsidR="00A8310F">
        <w:t xml:space="preserve"> endorses this</w:t>
      </w:r>
      <w:r w:rsidR="003B2FB5">
        <w:t xml:space="preserve"> overarching policy approach as more likely to enable an appropriate balancing of competing </w:t>
      </w:r>
      <w:r w:rsidR="00A8310F">
        <w:t>human rights with</w:t>
      </w:r>
      <w:r w:rsidR="003B2FB5">
        <w:t xml:space="preserve"> democratic, national security and other considerations</w:t>
      </w:r>
      <w:r w:rsidRPr="00C879E2">
        <w:t>.</w:t>
      </w:r>
      <w:r w:rsidR="003B2FB5">
        <w:t xml:space="preserve"> This submission </w:t>
      </w:r>
      <w:r w:rsidR="00373284">
        <w:t xml:space="preserve">also </w:t>
      </w:r>
      <w:r w:rsidR="003B2FB5">
        <w:t>identifies</w:t>
      </w:r>
      <w:r w:rsidR="00A8310F">
        <w:t xml:space="preserve"> </w:t>
      </w:r>
      <w:r w:rsidR="003B2FB5">
        <w:t xml:space="preserve">areas in the Bill where </w:t>
      </w:r>
      <w:r w:rsidR="00A8310F">
        <w:t xml:space="preserve">the Commission suggests that </w:t>
      </w:r>
      <w:r w:rsidR="003B2FB5">
        <w:t xml:space="preserve">a better balance </w:t>
      </w:r>
      <w:proofErr w:type="gramStart"/>
      <w:r w:rsidR="003B2FB5">
        <w:t>could be struck</w:t>
      </w:r>
      <w:proofErr w:type="gramEnd"/>
      <w:r w:rsidR="003B2FB5">
        <w:t xml:space="preserve"> between those considerations.</w:t>
      </w:r>
    </w:p>
    <w:p w14:paraId="4120D135" w14:textId="77777777" w:rsidR="00016F62" w:rsidRPr="002E2667" w:rsidRDefault="00016F62" w:rsidP="002E2667">
      <w:pPr>
        <w:pStyle w:val="Heading1"/>
      </w:pPr>
      <w:bookmarkStart w:id="32" w:name="_Toc365465899"/>
      <w:bookmarkStart w:id="33" w:name="_Toc491958001"/>
      <w:r w:rsidRPr="002E2667">
        <w:t>The purpose of the Bill</w:t>
      </w:r>
      <w:bookmarkEnd w:id="32"/>
      <w:bookmarkEnd w:id="33"/>
    </w:p>
    <w:p w14:paraId="2306C0A3" w14:textId="77777777" w:rsidR="00016F62" w:rsidRPr="00CB4A83" w:rsidRDefault="00016F62" w:rsidP="004F14E2">
      <w:pPr>
        <w:pStyle w:val="SubmissionNormal"/>
        <w:numPr>
          <w:ilvl w:val="0"/>
          <w:numId w:val="21"/>
        </w:numPr>
        <w:ind w:hanging="720"/>
      </w:pPr>
      <w:r w:rsidRPr="00CB4A83">
        <w:t>The Statement of Compatibility with Human R</w:t>
      </w:r>
      <w:r w:rsidR="004E72A4">
        <w:t>ights, contained in the E</w:t>
      </w:r>
      <w:r w:rsidRPr="00CB4A83">
        <w:t xml:space="preserve">xplanatory </w:t>
      </w:r>
      <w:r w:rsidR="004E72A4">
        <w:t>M</w:t>
      </w:r>
      <w:r w:rsidRPr="00CB4A83">
        <w:t>emorandum to the Bill, states that:</w:t>
      </w:r>
    </w:p>
    <w:p w14:paraId="5518F3A5" w14:textId="77777777" w:rsidR="00016F62" w:rsidRPr="00CB4A83" w:rsidRDefault="00016F62" w:rsidP="00573660">
      <w:pPr>
        <w:pStyle w:val="ListParagraph"/>
        <w:spacing w:before="0" w:after="0"/>
        <w:ind w:left="1440"/>
        <w:rPr>
          <w:sz w:val="22"/>
          <w:szCs w:val="22"/>
        </w:rPr>
      </w:pPr>
      <w:r w:rsidRPr="00CB4A83">
        <w:rPr>
          <w:sz w:val="22"/>
          <w:szCs w:val="22"/>
        </w:rPr>
        <w:t xml:space="preserve">This Bill seeks to balance the need to protect certain information, where appropriate, against the Australian Government’s commitment to open government. This Bill clarifies the policy and legislative intent, which is to protect certain information from unauthorised disclosure to prevent harm to national and public interests, while meeting the expectations of the Australian community of transparency and accountability within the Australian Government. This balance </w:t>
      </w:r>
      <w:proofErr w:type="gramStart"/>
      <w:r w:rsidRPr="00CB4A83">
        <w:rPr>
          <w:sz w:val="22"/>
          <w:szCs w:val="22"/>
        </w:rPr>
        <w:t>is needed</w:t>
      </w:r>
      <w:proofErr w:type="gramEnd"/>
      <w:r w:rsidRPr="00CB4A83">
        <w:rPr>
          <w:sz w:val="22"/>
          <w:szCs w:val="22"/>
        </w:rPr>
        <w:t xml:space="preserve"> to appropriately manage information disclosures and preserve public confidence in government.</w:t>
      </w:r>
      <w:r w:rsidRPr="00CB4A83">
        <w:rPr>
          <w:rStyle w:val="EndnoteReference"/>
          <w:szCs w:val="22"/>
        </w:rPr>
        <w:endnoteReference w:id="12"/>
      </w:r>
    </w:p>
    <w:p w14:paraId="3947F741" w14:textId="77777777" w:rsidR="00016F62" w:rsidRPr="002E2667" w:rsidRDefault="00016F62" w:rsidP="002E2667">
      <w:pPr>
        <w:pStyle w:val="Heading1"/>
      </w:pPr>
      <w:bookmarkStart w:id="34" w:name="_Toc365465900"/>
      <w:bookmarkStart w:id="35" w:name="_Toc491958002"/>
      <w:bookmarkStart w:id="36" w:name="_Toc162769292"/>
      <w:bookmarkStart w:id="37" w:name="_Toc207761833"/>
      <w:bookmarkStart w:id="38" w:name="_Toc209578269"/>
      <w:r w:rsidRPr="002E2667">
        <w:t>Human rights implications</w:t>
      </w:r>
      <w:bookmarkEnd w:id="34"/>
      <w:bookmarkEnd w:id="35"/>
    </w:p>
    <w:p w14:paraId="18E54B30" w14:textId="0BF3E99B" w:rsidR="00016F62" w:rsidRDefault="00016F62" w:rsidP="004F14E2">
      <w:pPr>
        <w:pStyle w:val="SubmissionNormal"/>
        <w:numPr>
          <w:ilvl w:val="0"/>
          <w:numId w:val="21"/>
        </w:numPr>
        <w:ind w:hanging="720"/>
      </w:pPr>
      <w:r w:rsidRPr="00CB4A83">
        <w:t>Th</w:t>
      </w:r>
      <w:r w:rsidR="00985590">
        <w:t xml:space="preserve">e </w:t>
      </w:r>
      <w:r w:rsidR="00985590" w:rsidRPr="00CB4A83">
        <w:t>Statement of Compatibility with Human R</w:t>
      </w:r>
      <w:r w:rsidR="00985590">
        <w:t>ights</w:t>
      </w:r>
      <w:r w:rsidR="00985590" w:rsidRPr="00CB4A83">
        <w:t xml:space="preserve"> </w:t>
      </w:r>
      <w:r w:rsidR="00985590">
        <w:t xml:space="preserve">recognises that the Bill engages articles 17 and </w:t>
      </w:r>
      <w:r w:rsidRPr="00CB4A83">
        <w:t xml:space="preserve">19 </w:t>
      </w:r>
      <w:r w:rsidR="00E71622">
        <w:t xml:space="preserve">of the </w:t>
      </w:r>
      <w:r w:rsidRPr="00F007F1">
        <w:rPr>
          <w:i/>
        </w:rPr>
        <w:t xml:space="preserve">International Covenant on Civil and Political Rights </w:t>
      </w:r>
      <w:r w:rsidRPr="00CB4A83">
        <w:t>(ICCPR).</w:t>
      </w:r>
      <w:r w:rsidR="00E71622">
        <w:rPr>
          <w:rStyle w:val="EndnoteReference"/>
        </w:rPr>
        <w:endnoteReference w:id="13"/>
      </w:r>
      <w:r w:rsidRPr="00CB4A83">
        <w:t xml:space="preserve"> </w:t>
      </w:r>
      <w:r w:rsidR="00E71622">
        <w:t xml:space="preserve">The </w:t>
      </w:r>
      <w:r w:rsidR="00E71622" w:rsidRPr="0079638D">
        <w:t>Commission considers that</w:t>
      </w:r>
      <w:r w:rsidR="00E71622">
        <w:t xml:space="preserve"> it als</w:t>
      </w:r>
      <w:r w:rsidR="00210F85">
        <w:t>o engages article 25 but notes</w:t>
      </w:r>
      <w:r w:rsidR="00E71622">
        <w:t xml:space="preserve"> that articles 19 </w:t>
      </w:r>
      <w:r w:rsidRPr="00CB4A83">
        <w:t xml:space="preserve">and 25 are interrelated. </w:t>
      </w:r>
    </w:p>
    <w:p w14:paraId="27559CAD" w14:textId="77777777" w:rsidR="00E307B5" w:rsidRPr="00CB4A83" w:rsidRDefault="00E307B5" w:rsidP="00E307B5">
      <w:pPr>
        <w:pStyle w:val="SubmissionNormal"/>
        <w:ind w:left="720"/>
      </w:pPr>
    </w:p>
    <w:p w14:paraId="2F822A5C" w14:textId="77777777" w:rsidR="00016F62" w:rsidRPr="002E2667" w:rsidRDefault="00016F62" w:rsidP="002E2667">
      <w:pPr>
        <w:pStyle w:val="Heading2"/>
      </w:pPr>
      <w:bookmarkStart w:id="39" w:name="_Toc365465901"/>
      <w:bookmarkStart w:id="40" w:name="_Toc491958003"/>
      <w:r w:rsidRPr="002E2667">
        <w:lastRenderedPageBreak/>
        <w:t>Article 17 of the ICCPR</w:t>
      </w:r>
      <w:bookmarkEnd w:id="39"/>
      <w:bookmarkEnd w:id="40"/>
    </w:p>
    <w:p w14:paraId="2F9FCE8F" w14:textId="77777777" w:rsidR="00016F62" w:rsidRPr="00CB4A83" w:rsidRDefault="00016F62" w:rsidP="004F14E2">
      <w:pPr>
        <w:pStyle w:val="SubmissionNormal"/>
        <w:numPr>
          <w:ilvl w:val="0"/>
          <w:numId w:val="21"/>
        </w:numPr>
        <w:ind w:hanging="720"/>
      </w:pPr>
      <w:r w:rsidRPr="00CB4A83">
        <w:t>Article 17 of the ICCPR states:</w:t>
      </w:r>
    </w:p>
    <w:p w14:paraId="20C41433" w14:textId="77777777" w:rsidR="00016F62" w:rsidRPr="00F007F1" w:rsidRDefault="00F007F1" w:rsidP="00114741">
      <w:pPr>
        <w:ind w:left="1440" w:hanging="720"/>
        <w:rPr>
          <w:sz w:val="22"/>
        </w:rPr>
      </w:pPr>
      <w:r w:rsidRPr="00F007F1">
        <w:rPr>
          <w:sz w:val="22"/>
        </w:rPr>
        <w:t>(1)</w:t>
      </w:r>
      <w:r w:rsidRPr="00F007F1">
        <w:rPr>
          <w:sz w:val="22"/>
        </w:rPr>
        <w:tab/>
      </w:r>
      <w:r w:rsidR="00016F62" w:rsidRPr="00F007F1">
        <w:rPr>
          <w:sz w:val="22"/>
        </w:rPr>
        <w:t xml:space="preserve">No one </w:t>
      </w:r>
      <w:proofErr w:type="gramStart"/>
      <w:r w:rsidR="00016F62" w:rsidRPr="00F007F1">
        <w:rPr>
          <w:sz w:val="22"/>
        </w:rPr>
        <w:t>shall be subjected</w:t>
      </w:r>
      <w:proofErr w:type="gramEnd"/>
      <w:r w:rsidR="00016F62" w:rsidRPr="00F007F1">
        <w:rPr>
          <w:sz w:val="22"/>
        </w:rPr>
        <w:t xml:space="preserve"> to arbitrary or unlawful interference with his privacy, family, home or correspondence, nor to unlawful attacks on his honour and reputation.</w:t>
      </w:r>
    </w:p>
    <w:p w14:paraId="1D47B09C" w14:textId="77777777" w:rsidR="00016F62" w:rsidRPr="00F007F1" w:rsidRDefault="00F007F1" w:rsidP="00114741">
      <w:pPr>
        <w:ind w:left="1440" w:hanging="720"/>
        <w:rPr>
          <w:sz w:val="22"/>
        </w:rPr>
      </w:pPr>
      <w:r w:rsidRPr="00F007F1">
        <w:rPr>
          <w:sz w:val="22"/>
        </w:rPr>
        <w:t>(2)</w:t>
      </w:r>
      <w:r w:rsidRPr="00F007F1">
        <w:rPr>
          <w:sz w:val="22"/>
        </w:rPr>
        <w:tab/>
      </w:r>
      <w:r w:rsidR="00016F62" w:rsidRPr="00F007F1">
        <w:rPr>
          <w:sz w:val="22"/>
        </w:rPr>
        <w:t>Everyone has the right to the protection of the law against such interference or attacks.</w:t>
      </w:r>
    </w:p>
    <w:p w14:paraId="624F2078" w14:textId="4DD639B6" w:rsidR="00016F62" w:rsidRPr="00CB4A83" w:rsidRDefault="00016F62" w:rsidP="004F14E2">
      <w:pPr>
        <w:pStyle w:val="SubmissionNormal"/>
        <w:numPr>
          <w:ilvl w:val="0"/>
          <w:numId w:val="21"/>
        </w:numPr>
        <w:ind w:hanging="720"/>
      </w:pPr>
      <w:r w:rsidRPr="00CB4A83">
        <w:t xml:space="preserve">The Department collects and stores highly sensitive information, including information </w:t>
      </w:r>
      <w:r w:rsidR="00222120">
        <w:t>that is of a private and personal nature</w:t>
      </w:r>
      <w:r w:rsidRPr="00CB4A83">
        <w:t xml:space="preserve">. Laws relating to the protection and disclosure of such information engage the right to privacy contained in </w:t>
      </w:r>
      <w:r w:rsidR="00622311">
        <w:t>a</w:t>
      </w:r>
      <w:r w:rsidRPr="00CB4A83">
        <w:t xml:space="preserve">rticle 17 of the ICCPR. </w:t>
      </w:r>
    </w:p>
    <w:p w14:paraId="109D8698" w14:textId="77777777" w:rsidR="00016F62" w:rsidRPr="00CB4A83" w:rsidRDefault="00016F62" w:rsidP="004F14E2">
      <w:pPr>
        <w:pStyle w:val="SubmissionNormal"/>
        <w:numPr>
          <w:ilvl w:val="0"/>
          <w:numId w:val="21"/>
        </w:numPr>
        <w:ind w:hanging="720"/>
      </w:pPr>
      <w:r w:rsidRPr="00CB4A83">
        <w:t xml:space="preserve">The United Nations Human Rights Committee has stated that the obligations imposed by </w:t>
      </w:r>
      <w:r w:rsidR="00622311">
        <w:t>a</w:t>
      </w:r>
      <w:r w:rsidRPr="00CB4A83">
        <w:t xml:space="preserve">rticle 17 of the ICCPR require States to adopt legislative measures to give effect </w:t>
      </w:r>
      <w:proofErr w:type="gramStart"/>
      <w:r w:rsidRPr="00CB4A83">
        <w:t>to the prohibition against unlawful or arbitrary interference with the right to privacy</w:t>
      </w:r>
      <w:proofErr w:type="gramEnd"/>
      <w:r w:rsidRPr="00CB4A83">
        <w:t>.</w:t>
      </w:r>
      <w:r w:rsidRPr="00F007F1">
        <w:rPr>
          <w:sz w:val="20"/>
          <w:vertAlign w:val="superscript"/>
        </w:rPr>
        <w:endnoteReference w:id="14"/>
      </w:r>
      <w:r w:rsidRPr="00CB4A83">
        <w:t xml:space="preserve"> It provides:</w:t>
      </w:r>
    </w:p>
    <w:p w14:paraId="06413762" w14:textId="77777777" w:rsidR="00016F62" w:rsidRPr="00CB4A83" w:rsidRDefault="00016F62" w:rsidP="00622311">
      <w:pPr>
        <w:ind w:left="1440"/>
      </w:pPr>
      <w:r w:rsidRPr="00622311">
        <w:rPr>
          <w:sz w:val="22"/>
        </w:rPr>
        <w:t xml:space="preserve">Effective measures have to be taken by States to ensure that information concerning a person’s private life does not reach the hands of persons who are not authorized by law to </w:t>
      </w:r>
      <w:proofErr w:type="gramStart"/>
      <w:r w:rsidR="00CF4AA4" w:rsidRPr="00622311">
        <w:rPr>
          <w:sz w:val="22"/>
        </w:rPr>
        <w:t>receive</w:t>
      </w:r>
      <w:r w:rsidR="00CF4AA4">
        <w:rPr>
          <w:sz w:val="22"/>
        </w:rPr>
        <w:t>,</w:t>
      </w:r>
      <w:proofErr w:type="gramEnd"/>
      <w:r w:rsidR="00CF4AA4">
        <w:rPr>
          <w:sz w:val="22"/>
        </w:rPr>
        <w:t xml:space="preserve"> </w:t>
      </w:r>
      <w:r w:rsidRPr="00622311">
        <w:rPr>
          <w:sz w:val="22"/>
        </w:rPr>
        <w:t>process and use it, and is never used for purposes incompatible with the Covenant.</w:t>
      </w:r>
      <w:r w:rsidRPr="00622311">
        <w:rPr>
          <w:rStyle w:val="EndnoteReference"/>
          <w:szCs w:val="22"/>
        </w:rPr>
        <w:endnoteReference w:id="15"/>
      </w:r>
    </w:p>
    <w:p w14:paraId="0EF66CFE" w14:textId="77777777" w:rsidR="00016F62" w:rsidRPr="00CB4A83" w:rsidRDefault="00016F62" w:rsidP="004F14E2">
      <w:pPr>
        <w:pStyle w:val="SubmissionNormal"/>
        <w:numPr>
          <w:ilvl w:val="0"/>
          <w:numId w:val="21"/>
        </w:numPr>
        <w:ind w:hanging="720"/>
      </w:pPr>
      <w:r w:rsidRPr="00CB4A83">
        <w:t xml:space="preserve">The </w:t>
      </w:r>
      <w:r w:rsidRPr="00622311">
        <w:rPr>
          <w:i/>
        </w:rPr>
        <w:t>Privacy Act 1988</w:t>
      </w:r>
      <w:r w:rsidRPr="00CB4A83">
        <w:t xml:space="preserve"> (</w:t>
      </w:r>
      <w:proofErr w:type="spellStart"/>
      <w:r w:rsidRPr="00CB4A83">
        <w:t>Cth</w:t>
      </w:r>
      <w:proofErr w:type="spellEnd"/>
      <w:r w:rsidRPr="00CB4A83">
        <w:t xml:space="preserve">) (Privacy Act) is the principal piece of domestic legislation addressing </w:t>
      </w:r>
      <w:r w:rsidR="00622311">
        <w:t>Australia’s obligations under a</w:t>
      </w:r>
      <w:r w:rsidRPr="00CB4A83">
        <w:t>rticle 17 of the ICCPR. It sets out the extent to which an individual is entitled to a right to privacy in Australia and contains the Australian Privacy Principles. The Australian Privacy Principles guide government departments in ensuring the lawful collection, solicitation, storage, security, access, correction, use and disclosure of personal information.</w:t>
      </w:r>
      <w:r w:rsidR="00D6309A">
        <w:rPr>
          <w:rStyle w:val="EndnoteReference"/>
        </w:rPr>
        <w:endnoteReference w:id="16"/>
      </w:r>
      <w:r w:rsidRPr="00CB4A83">
        <w:t xml:space="preserve"> </w:t>
      </w:r>
    </w:p>
    <w:p w14:paraId="1EBFFD34" w14:textId="77777777" w:rsidR="00016F62" w:rsidRPr="00CB4A83" w:rsidRDefault="00016F62" w:rsidP="004F14E2">
      <w:pPr>
        <w:pStyle w:val="SubmissionNormal"/>
        <w:numPr>
          <w:ilvl w:val="0"/>
          <w:numId w:val="21"/>
        </w:numPr>
        <w:ind w:hanging="720"/>
      </w:pPr>
      <w:r w:rsidRPr="00CB4A83">
        <w:t xml:space="preserve">The Statement of Compatibility with Human Rights, contained in the </w:t>
      </w:r>
      <w:r w:rsidR="004E72A4">
        <w:t>E</w:t>
      </w:r>
      <w:r w:rsidRPr="00CB4A83">
        <w:t xml:space="preserve">xplanatory </w:t>
      </w:r>
      <w:r w:rsidR="004E72A4">
        <w:t>M</w:t>
      </w:r>
      <w:r w:rsidRPr="00CB4A83">
        <w:t>emorandum to this Bill</w:t>
      </w:r>
      <w:r w:rsidR="003227BE">
        <w:t>,</w:t>
      </w:r>
      <w:r w:rsidRPr="00CB4A83">
        <w:t xml:space="preserve"> explicitly states that it </w:t>
      </w:r>
      <w:proofErr w:type="gramStart"/>
      <w:r w:rsidRPr="00CB4A83">
        <w:t>is intended</w:t>
      </w:r>
      <w:proofErr w:type="gramEnd"/>
      <w:r w:rsidRPr="00CB4A83">
        <w:t xml:space="preserve"> that the Bill will align with the Privacy Act.</w:t>
      </w:r>
      <w:r w:rsidRPr="00622311">
        <w:rPr>
          <w:sz w:val="20"/>
          <w:vertAlign w:val="superscript"/>
        </w:rPr>
        <w:endnoteReference w:id="17"/>
      </w:r>
    </w:p>
    <w:p w14:paraId="46617ED2" w14:textId="41FE52D3" w:rsidR="00016F62" w:rsidRPr="00CB4A83" w:rsidRDefault="00016F62" w:rsidP="004F14E2">
      <w:pPr>
        <w:pStyle w:val="SubmissionNormal"/>
        <w:numPr>
          <w:ilvl w:val="0"/>
          <w:numId w:val="21"/>
        </w:numPr>
        <w:ind w:hanging="720"/>
      </w:pPr>
      <w:r w:rsidRPr="00CB4A83">
        <w:t xml:space="preserve">From a human rights perspective, the secrecy provisions in the ABF Act </w:t>
      </w:r>
      <w:proofErr w:type="gramStart"/>
      <w:r w:rsidRPr="00CB4A83">
        <w:t>can be viewed</w:t>
      </w:r>
      <w:proofErr w:type="gramEnd"/>
      <w:r w:rsidRPr="00CB4A83">
        <w:t xml:space="preserve"> as a legislative measure intended</w:t>
      </w:r>
      <w:r w:rsidR="00890D8E">
        <w:t>, at least in part,</w:t>
      </w:r>
      <w:r w:rsidRPr="00CB4A83">
        <w:t xml:space="preserve"> to protect individuals from unlawful or arbitrary interference with their privacy rights</w:t>
      </w:r>
      <w:r w:rsidR="003F3AF3">
        <w:t xml:space="preserve"> because they impose obligations on those who have access to private information</w:t>
      </w:r>
      <w:r w:rsidRPr="00CB4A83">
        <w:t>.</w:t>
      </w:r>
      <w:r w:rsidRPr="00622311">
        <w:rPr>
          <w:sz w:val="20"/>
          <w:vertAlign w:val="superscript"/>
        </w:rPr>
        <w:endnoteReference w:id="18"/>
      </w:r>
    </w:p>
    <w:p w14:paraId="254B0A58" w14:textId="77777777" w:rsidR="00016F62" w:rsidRPr="00CB4A83" w:rsidRDefault="00016F62" w:rsidP="004F14E2">
      <w:pPr>
        <w:pStyle w:val="SubmissionNormal"/>
        <w:numPr>
          <w:ilvl w:val="0"/>
          <w:numId w:val="21"/>
        </w:numPr>
        <w:ind w:hanging="720"/>
      </w:pPr>
      <w:r w:rsidRPr="00CB4A83">
        <w:t xml:space="preserve">As discussed below, this legislative measure </w:t>
      </w:r>
      <w:proofErr w:type="gramStart"/>
      <w:r w:rsidRPr="00CB4A83">
        <w:t>must be assessed</w:t>
      </w:r>
      <w:proofErr w:type="gramEnd"/>
      <w:r w:rsidRPr="00CB4A83">
        <w:t xml:space="preserve"> for proportionality and how it interacts with other relevant human rights considerations. </w:t>
      </w:r>
    </w:p>
    <w:p w14:paraId="4AD89375" w14:textId="77777777" w:rsidR="00016F62" w:rsidRPr="002E2667" w:rsidRDefault="00016F62" w:rsidP="002E2667">
      <w:pPr>
        <w:pStyle w:val="Heading2"/>
      </w:pPr>
      <w:bookmarkStart w:id="41" w:name="_Toc365465902"/>
      <w:bookmarkStart w:id="42" w:name="_Toc491958004"/>
      <w:r w:rsidRPr="002E2667">
        <w:t>Article 19 of the ICCPR</w:t>
      </w:r>
      <w:bookmarkEnd w:id="41"/>
      <w:bookmarkEnd w:id="42"/>
    </w:p>
    <w:p w14:paraId="719DBFE6" w14:textId="77777777" w:rsidR="00016F62" w:rsidRPr="00CB4A83" w:rsidRDefault="00016F62" w:rsidP="004F14E2">
      <w:pPr>
        <w:pStyle w:val="SubmissionNormal"/>
        <w:numPr>
          <w:ilvl w:val="0"/>
          <w:numId w:val="21"/>
        </w:numPr>
        <w:ind w:hanging="720"/>
      </w:pPr>
      <w:r w:rsidRPr="00CB4A83">
        <w:t>Article 19 of the ICCPR provides that:</w:t>
      </w:r>
    </w:p>
    <w:p w14:paraId="4BD7D6EF" w14:textId="77777777" w:rsidR="00016F62" w:rsidRPr="007B6A3F" w:rsidRDefault="007B6A3F" w:rsidP="00114741">
      <w:pPr>
        <w:ind w:left="1440" w:hanging="720"/>
        <w:rPr>
          <w:sz w:val="22"/>
        </w:rPr>
      </w:pPr>
      <w:r>
        <w:rPr>
          <w:sz w:val="22"/>
        </w:rPr>
        <w:t>(1)</w:t>
      </w:r>
      <w:r>
        <w:rPr>
          <w:sz w:val="22"/>
        </w:rPr>
        <w:tab/>
      </w:r>
      <w:r w:rsidR="00016F62" w:rsidRPr="007B6A3F">
        <w:rPr>
          <w:sz w:val="22"/>
        </w:rPr>
        <w:t>Everyone shall have the right to hold opinions without interference.</w:t>
      </w:r>
    </w:p>
    <w:p w14:paraId="325D7CBF" w14:textId="77777777" w:rsidR="00016F62" w:rsidRPr="007B6A3F" w:rsidRDefault="007B6A3F" w:rsidP="00114741">
      <w:pPr>
        <w:ind w:left="1440" w:hanging="720"/>
        <w:rPr>
          <w:sz w:val="22"/>
        </w:rPr>
      </w:pPr>
      <w:r>
        <w:rPr>
          <w:sz w:val="22"/>
        </w:rPr>
        <w:lastRenderedPageBreak/>
        <w:t>(2)</w:t>
      </w:r>
      <w:r>
        <w:rPr>
          <w:sz w:val="22"/>
        </w:rPr>
        <w:tab/>
      </w:r>
      <w:r w:rsidR="00016F62" w:rsidRPr="007B6A3F">
        <w:rPr>
          <w:sz w:val="22"/>
        </w:rPr>
        <w:t xml:space="preserve">Everyone shall have the right to freedom of expression; this right shall include freedom to seek, receive and impart information and ideas of all kinds, regardless of frontiers, </w:t>
      </w:r>
      <w:proofErr w:type="gramStart"/>
      <w:r w:rsidR="00016F62" w:rsidRPr="007B6A3F">
        <w:rPr>
          <w:sz w:val="22"/>
        </w:rPr>
        <w:t>either orally,</w:t>
      </w:r>
      <w:proofErr w:type="gramEnd"/>
      <w:r w:rsidR="00016F62" w:rsidRPr="007B6A3F">
        <w:rPr>
          <w:sz w:val="22"/>
        </w:rPr>
        <w:t xml:space="preserve"> in writing or in print, in the form of art, or through any other media of his choice.</w:t>
      </w:r>
    </w:p>
    <w:p w14:paraId="478770C5" w14:textId="77777777" w:rsidR="00016F62" w:rsidRPr="007B6A3F" w:rsidRDefault="007B6A3F" w:rsidP="00D76260">
      <w:pPr>
        <w:ind w:left="1440" w:hanging="720"/>
        <w:rPr>
          <w:sz w:val="22"/>
        </w:rPr>
      </w:pPr>
      <w:r>
        <w:rPr>
          <w:sz w:val="22"/>
        </w:rPr>
        <w:t>(3)</w:t>
      </w:r>
      <w:r>
        <w:rPr>
          <w:sz w:val="22"/>
        </w:rPr>
        <w:tab/>
      </w:r>
      <w:r w:rsidR="00016F62" w:rsidRPr="007B6A3F">
        <w:rPr>
          <w:sz w:val="22"/>
        </w:rPr>
        <w:t xml:space="preserve">The exercise of the rights provided for in paragraph 2 of this article carries with it special duties and responsibilities.  It may therefore be subject to certain restrictions, but these shall only be such as </w:t>
      </w:r>
      <w:proofErr w:type="gramStart"/>
      <w:r w:rsidR="00016F62" w:rsidRPr="007B6A3F">
        <w:rPr>
          <w:sz w:val="22"/>
        </w:rPr>
        <w:t>are provided</w:t>
      </w:r>
      <w:proofErr w:type="gramEnd"/>
      <w:r w:rsidR="00016F62" w:rsidRPr="007B6A3F">
        <w:rPr>
          <w:sz w:val="22"/>
        </w:rPr>
        <w:t xml:space="preserve"> by law and are necessary:</w:t>
      </w:r>
    </w:p>
    <w:p w14:paraId="31FE170D" w14:textId="77777777" w:rsidR="00016F62" w:rsidRPr="007B6A3F" w:rsidRDefault="007B6A3F" w:rsidP="007B6A3F">
      <w:pPr>
        <w:ind w:left="2160"/>
        <w:rPr>
          <w:sz w:val="22"/>
        </w:rPr>
      </w:pPr>
      <w:r>
        <w:rPr>
          <w:sz w:val="22"/>
        </w:rPr>
        <w:t>(a)</w:t>
      </w:r>
      <w:r>
        <w:rPr>
          <w:sz w:val="22"/>
        </w:rPr>
        <w:tab/>
      </w:r>
      <w:proofErr w:type="gramStart"/>
      <w:r w:rsidR="00016F62" w:rsidRPr="007B6A3F">
        <w:rPr>
          <w:sz w:val="22"/>
        </w:rPr>
        <w:t>for</w:t>
      </w:r>
      <w:proofErr w:type="gramEnd"/>
      <w:r w:rsidR="00016F62" w:rsidRPr="007B6A3F">
        <w:rPr>
          <w:sz w:val="22"/>
        </w:rPr>
        <w:t xml:space="preserve"> respect of the rights or reputations of others;</w:t>
      </w:r>
    </w:p>
    <w:p w14:paraId="7BC70D42" w14:textId="77777777" w:rsidR="00016F62" w:rsidRPr="007B6A3F" w:rsidRDefault="007B6A3F" w:rsidP="007B6A3F">
      <w:pPr>
        <w:ind w:left="2880" w:hanging="720"/>
        <w:rPr>
          <w:sz w:val="22"/>
        </w:rPr>
      </w:pPr>
      <w:r>
        <w:rPr>
          <w:sz w:val="22"/>
        </w:rPr>
        <w:t>(b)</w:t>
      </w:r>
      <w:r>
        <w:rPr>
          <w:sz w:val="22"/>
        </w:rPr>
        <w:tab/>
      </w:r>
      <w:proofErr w:type="gramStart"/>
      <w:r w:rsidR="00016F62" w:rsidRPr="007B6A3F">
        <w:rPr>
          <w:sz w:val="22"/>
        </w:rPr>
        <w:t>for</w:t>
      </w:r>
      <w:proofErr w:type="gramEnd"/>
      <w:r w:rsidR="00016F62" w:rsidRPr="007B6A3F">
        <w:rPr>
          <w:sz w:val="22"/>
        </w:rPr>
        <w:t xml:space="preserve"> the protection of national security or public order (</w:t>
      </w:r>
      <w:proofErr w:type="spellStart"/>
      <w:r w:rsidR="00016F62" w:rsidRPr="007B6A3F">
        <w:rPr>
          <w:i/>
          <w:sz w:val="22"/>
        </w:rPr>
        <w:t>ordre</w:t>
      </w:r>
      <w:proofErr w:type="spellEnd"/>
      <w:r w:rsidR="00016F62" w:rsidRPr="007B6A3F">
        <w:rPr>
          <w:i/>
          <w:sz w:val="22"/>
        </w:rPr>
        <w:t xml:space="preserve"> public</w:t>
      </w:r>
      <w:r w:rsidR="00016F62" w:rsidRPr="007B6A3F">
        <w:rPr>
          <w:sz w:val="22"/>
        </w:rPr>
        <w:t>), or of public health or morals.</w:t>
      </w:r>
    </w:p>
    <w:p w14:paraId="1E549E61" w14:textId="77777777" w:rsidR="00016F62" w:rsidRPr="00CB4A83" w:rsidRDefault="007B6A3F" w:rsidP="004F14E2">
      <w:pPr>
        <w:pStyle w:val="SubmissionNormal"/>
        <w:numPr>
          <w:ilvl w:val="0"/>
          <w:numId w:val="21"/>
        </w:numPr>
        <w:ind w:hanging="720"/>
      </w:pPr>
      <w:r>
        <w:t>I</w:t>
      </w:r>
      <w:r w:rsidR="00016F62" w:rsidRPr="00CB4A83">
        <w:t>mportantly, the right to freedom of expression includes both imparting and receiving information. The scope of the conduct protected includes political discourse</w:t>
      </w:r>
      <w:r w:rsidR="00016F62" w:rsidRPr="004E72A4">
        <w:rPr>
          <w:sz w:val="20"/>
          <w:vertAlign w:val="superscript"/>
        </w:rPr>
        <w:endnoteReference w:id="19"/>
      </w:r>
      <w:r w:rsidR="00016F62" w:rsidRPr="00CB4A83">
        <w:t xml:space="preserve"> and commentary </w:t>
      </w:r>
      <w:r>
        <w:t xml:space="preserve">on </w:t>
      </w:r>
      <w:r w:rsidR="00016F62" w:rsidRPr="00CB4A83">
        <w:t>public affairs.</w:t>
      </w:r>
      <w:r w:rsidR="00016F62" w:rsidRPr="007B6A3F">
        <w:rPr>
          <w:sz w:val="20"/>
          <w:vertAlign w:val="superscript"/>
        </w:rPr>
        <w:endnoteReference w:id="20"/>
      </w:r>
    </w:p>
    <w:p w14:paraId="2F4CBD64" w14:textId="787E5C32" w:rsidR="00016F62" w:rsidRPr="00CB4A83" w:rsidRDefault="003F3AF3" w:rsidP="004F14E2">
      <w:pPr>
        <w:pStyle w:val="SubmissionNormal"/>
        <w:numPr>
          <w:ilvl w:val="0"/>
          <w:numId w:val="21"/>
        </w:numPr>
        <w:ind w:hanging="720"/>
      </w:pPr>
      <w:r>
        <w:t>The United Nations Human Rights Committee (UNHRC) commented that a</w:t>
      </w:r>
      <w:r w:rsidR="00016F62" w:rsidRPr="00CB4A83">
        <w:t xml:space="preserve">ny restrictions on the right to freedom of expression </w:t>
      </w:r>
      <w:proofErr w:type="gramStart"/>
      <w:r w:rsidR="00016F62" w:rsidRPr="00CB4A83">
        <w:t>must be provided for</w:t>
      </w:r>
      <w:proofErr w:type="gramEnd"/>
      <w:r w:rsidR="00016F62" w:rsidRPr="00CB4A83">
        <w:t xml:space="preserve"> by law, must relate to one of the grounds in article 19(3) and must conform to the tests of necessity and proportionality.</w:t>
      </w:r>
      <w:r w:rsidR="00016F62" w:rsidRPr="007B6A3F">
        <w:rPr>
          <w:sz w:val="20"/>
          <w:vertAlign w:val="superscript"/>
        </w:rPr>
        <w:endnoteReference w:id="21"/>
      </w:r>
    </w:p>
    <w:p w14:paraId="2E0A6A1D" w14:textId="690811E3" w:rsidR="00016F62" w:rsidRPr="00CB4A83" w:rsidRDefault="00016F62" w:rsidP="004F14E2">
      <w:pPr>
        <w:pStyle w:val="SubmissionNormal"/>
        <w:numPr>
          <w:ilvl w:val="0"/>
          <w:numId w:val="21"/>
        </w:numPr>
        <w:ind w:hanging="720"/>
      </w:pPr>
      <w:r w:rsidRPr="00CB4A83">
        <w:t>One of the grounds in article 19(3) is national securi</w:t>
      </w:r>
      <w:r w:rsidR="003F3AF3">
        <w:t xml:space="preserve">ty and public order. The UNHCR </w:t>
      </w:r>
      <w:r w:rsidRPr="00CB4A83">
        <w:t>has said that it is not compatible with paragraph (3) to invoke national security or official secrets laws to suppress or withhold from the public information of legitimate public interest that does not harm national security, or to prosecute journalists, researchers, environmental activists, human rights defenders, or others, for having disseminated such information.</w:t>
      </w:r>
      <w:r w:rsidRPr="007B6A3F">
        <w:rPr>
          <w:sz w:val="20"/>
          <w:vertAlign w:val="superscript"/>
        </w:rPr>
        <w:endnoteReference w:id="22"/>
      </w:r>
    </w:p>
    <w:p w14:paraId="6095AAA2" w14:textId="20AF8C99" w:rsidR="00016F62" w:rsidRPr="00CB4A83" w:rsidRDefault="00016F62" w:rsidP="004F14E2">
      <w:pPr>
        <w:pStyle w:val="SubmissionNormal"/>
        <w:numPr>
          <w:ilvl w:val="0"/>
          <w:numId w:val="21"/>
        </w:numPr>
        <w:ind w:hanging="720"/>
      </w:pPr>
      <w:r w:rsidRPr="00CB4A83">
        <w:t xml:space="preserve">In terms of the requirement of proportionality, the </w:t>
      </w:r>
      <w:r w:rsidR="00551EE2">
        <w:t>U</w:t>
      </w:r>
      <w:r w:rsidR="00210F85">
        <w:t xml:space="preserve">NHRC </w:t>
      </w:r>
      <w:r w:rsidRPr="00CB4A83">
        <w:t>has provided the following guidance:</w:t>
      </w:r>
    </w:p>
    <w:p w14:paraId="68BFE95B" w14:textId="77777777" w:rsidR="00016F62" w:rsidRPr="007B6A3F" w:rsidRDefault="00016F62" w:rsidP="007B6A3F">
      <w:pPr>
        <w:ind w:left="1440"/>
        <w:rPr>
          <w:sz w:val="22"/>
          <w:szCs w:val="22"/>
        </w:rPr>
      </w:pPr>
      <w:r w:rsidRPr="007B6A3F">
        <w:rPr>
          <w:sz w:val="22"/>
          <w:szCs w:val="22"/>
        </w:rPr>
        <w:t xml:space="preserve">Restrictive measures must conform to the principle of proportionality; they must be appropriate to achieve their protective function; they must be the least intrusive instrument amongst </w:t>
      </w:r>
      <w:proofErr w:type="gramStart"/>
      <w:r w:rsidRPr="007B6A3F">
        <w:rPr>
          <w:sz w:val="22"/>
          <w:szCs w:val="22"/>
        </w:rPr>
        <w:t>those which</w:t>
      </w:r>
      <w:proofErr w:type="gramEnd"/>
      <w:r w:rsidRPr="007B6A3F">
        <w:rPr>
          <w:sz w:val="22"/>
          <w:szCs w:val="22"/>
        </w:rPr>
        <w:t xml:space="preserve"> might achieve the desired result; and they must be proportionate to the interest to be protected.</w:t>
      </w:r>
    </w:p>
    <w:p w14:paraId="25684677" w14:textId="77777777" w:rsidR="00016F62" w:rsidRPr="00CB4A83" w:rsidRDefault="00016F62" w:rsidP="007B6A3F">
      <w:pPr>
        <w:ind w:left="1440"/>
      </w:pPr>
      <w:r w:rsidRPr="007B6A3F">
        <w:rPr>
          <w:sz w:val="22"/>
          <w:szCs w:val="22"/>
        </w:rPr>
        <w:t xml:space="preserve">The principle of proportionality has to </w:t>
      </w:r>
      <w:proofErr w:type="gramStart"/>
      <w:r w:rsidRPr="007B6A3F">
        <w:rPr>
          <w:sz w:val="22"/>
          <w:szCs w:val="22"/>
        </w:rPr>
        <w:t>be respected</w:t>
      </w:r>
      <w:proofErr w:type="gramEnd"/>
      <w:r w:rsidRPr="007B6A3F">
        <w:rPr>
          <w:sz w:val="22"/>
          <w:szCs w:val="22"/>
        </w:rPr>
        <w:t xml:space="preserve"> not only in the law that frames the restrictions, but also by the administrative and judicial authorities in applying the law.</w:t>
      </w:r>
      <w:r w:rsidRPr="007B6A3F">
        <w:rPr>
          <w:rStyle w:val="EndnoteReference"/>
          <w:szCs w:val="22"/>
        </w:rPr>
        <w:endnoteReference w:id="23"/>
      </w:r>
    </w:p>
    <w:p w14:paraId="6EB56AEE" w14:textId="3E63CEFA" w:rsidR="00451C5D" w:rsidRPr="000B110D" w:rsidRDefault="00016F62" w:rsidP="00D26F07">
      <w:pPr>
        <w:pStyle w:val="SubmissionNormal"/>
        <w:numPr>
          <w:ilvl w:val="0"/>
          <w:numId w:val="21"/>
        </w:numPr>
        <w:ind w:hanging="720"/>
        <w:rPr>
          <w:rFonts w:ascii="TimesNewRomanPSMT" w:hAnsi="TimesNewRomanPSMT" w:cs="TimesNewRomanPSMT"/>
          <w:sz w:val="15"/>
          <w:szCs w:val="15"/>
        </w:rPr>
      </w:pPr>
      <w:r w:rsidRPr="000B110D">
        <w:t>Secrecy laws that carry criminal liabilities, such as the one in the present Bill, clearly restrict freedom of expression under article 19 of the ICCPR.</w:t>
      </w:r>
      <w:r w:rsidR="005454CF" w:rsidRPr="000B110D">
        <w:t xml:space="preserve"> Article</w:t>
      </w:r>
      <w:r w:rsidR="00EB1721" w:rsidRPr="000B110D">
        <w:t xml:space="preserve"> 19(3) recognises that freedom of speech may be restricted, but only where ‘necessary’</w:t>
      </w:r>
      <w:r w:rsidR="000E7812" w:rsidRPr="000B110D">
        <w:t xml:space="preserve">. </w:t>
      </w:r>
      <w:r w:rsidR="00C52100" w:rsidRPr="000B110D">
        <w:t xml:space="preserve">The </w:t>
      </w:r>
      <w:r w:rsidR="008A3983" w:rsidRPr="000B110D">
        <w:t>meaning of ‘necessary’</w:t>
      </w:r>
      <w:r w:rsidR="006F4EC0" w:rsidRPr="000B110D">
        <w:t xml:space="preserve"> and other terms used in article 19(3)</w:t>
      </w:r>
      <w:r w:rsidR="008A3983" w:rsidRPr="000B110D">
        <w:t xml:space="preserve"> </w:t>
      </w:r>
      <w:proofErr w:type="gramStart"/>
      <w:r w:rsidR="008A3983" w:rsidRPr="000B110D">
        <w:t>is elaborated</w:t>
      </w:r>
      <w:proofErr w:type="gramEnd"/>
      <w:r w:rsidR="008A3983" w:rsidRPr="000B110D">
        <w:t xml:space="preserve"> upon in the so-called ‘</w:t>
      </w:r>
      <w:proofErr w:type="spellStart"/>
      <w:r w:rsidR="00C52100" w:rsidRPr="000B110D">
        <w:t>Siracusa</w:t>
      </w:r>
      <w:proofErr w:type="spellEnd"/>
      <w:r w:rsidR="00C52100" w:rsidRPr="000B110D">
        <w:t xml:space="preserve"> Principles</w:t>
      </w:r>
      <w:r w:rsidR="00000E8A" w:rsidRPr="000B110D">
        <w:t>’</w:t>
      </w:r>
      <w:r w:rsidR="00451C5D" w:rsidRPr="000B110D">
        <w:t>,</w:t>
      </w:r>
      <w:r w:rsidR="008A3983" w:rsidRPr="000B110D">
        <w:t xml:space="preserve"> </w:t>
      </w:r>
      <w:r w:rsidR="00451C5D" w:rsidRPr="000B110D">
        <w:t>the object of which was to achieve a consistent interpretation and application of the limitation and restriction clauses in the ICCPR.</w:t>
      </w:r>
    </w:p>
    <w:p w14:paraId="33B9FCC2" w14:textId="5BFDF8D5" w:rsidR="00D422FF" w:rsidRPr="000B110D" w:rsidRDefault="00000E8A" w:rsidP="00D26F07">
      <w:pPr>
        <w:pStyle w:val="SubmissionNormal"/>
        <w:numPr>
          <w:ilvl w:val="0"/>
          <w:numId w:val="21"/>
        </w:numPr>
        <w:ind w:hanging="720"/>
        <w:rPr>
          <w:rFonts w:ascii="TimesNewRomanPSMT" w:hAnsi="TimesNewRomanPSMT" w:cs="TimesNewRomanPSMT"/>
          <w:sz w:val="15"/>
          <w:szCs w:val="15"/>
        </w:rPr>
      </w:pPr>
      <w:r w:rsidRPr="000B110D">
        <w:t>W</w:t>
      </w:r>
      <w:r w:rsidR="00D422FF" w:rsidRPr="000B110D">
        <w:t>hen reference is made to a limitation being ‘necessary’</w:t>
      </w:r>
      <w:r w:rsidRPr="000B110D">
        <w:t>,</w:t>
      </w:r>
      <w:r w:rsidR="00E62331" w:rsidRPr="000B110D">
        <w:t xml:space="preserve"> </w:t>
      </w:r>
      <w:r w:rsidR="00D422FF" w:rsidRPr="000B110D">
        <w:t xml:space="preserve">it implies that </w:t>
      </w:r>
      <w:r w:rsidR="00E62331" w:rsidRPr="000B110D">
        <w:t>the limitation:</w:t>
      </w:r>
    </w:p>
    <w:p w14:paraId="2052256A" w14:textId="5D12CC09" w:rsidR="00D422FF" w:rsidRPr="000B110D" w:rsidRDefault="00D422FF" w:rsidP="000C2D04">
      <w:pPr>
        <w:pStyle w:val="ListParagraph"/>
        <w:numPr>
          <w:ilvl w:val="0"/>
          <w:numId w:val="25"/>
        </w:numPr>
        <w:autoSpaceDE w:val="0"/>
        <w:autoSpaceDN w:val="0"/>
        <w:adjustRightInd w:val="0"/>
        <w:spacing w:before="0" w:after="0"/>
        <w:rPr>
          <w:rFonts w:cs="Arial"/>
          <w:sz w:val="22"/>
          <w:szCs w:val="22"/>
        </w:rPr>
      </w:pPr>
      <w:r w:rsidRPr="000B110D">
        <w:rPr>
          <w:rFonts w:cs="Arial"/>
          <w:sz w:val="22"/>
          <w:szCs w:val="22"/>
        </w:rPr>
        <w:lastRenderedPageBreak/>
        <w:t>is based on one of the grounds justifying limitations</w:t>
      </w:r>
      <w:r w:rsidR="000C2D04" w:rsidRPr="000B110D">
        <w:rPr>
          <w:rFonts w:cs="Arial"/>
          <w:sz w:val="22"/>
          <w:szCs w:val="22"/>
        </w:rPr>
        <w:t xml:space="preserve"> </w:t>
      </w:r>
      <w:r w:rsidRPr="000B110D">
        <w:rPr>
          <w:rFonts w:cs="Arial"/>
          <w:sz w:val="22"/>
          <w:szCs w:val="22"/>
        </w:rPr>
        <w:t>recognized by the relevant article of the Covenant;</w:t>
      </w:r>
    </w:p>
    <w:p w14:paraId="352A5A80" w14:textId="77777777" w:rsidR="000C2D04" w:rsidRPr="000B110D" w:rsidRDefault="000C2D04" w:rsidP="000C2D04">
      <w:pPr>
        <w:pStyle w:val="ListParagraph"/>
        <w:autoSpaceDE w:val="0"/>
        <w:autoSpaceDN w:val="0"/>
        <w:adjustRightInd w:val="0"/>
        <w:spacing w:before="0" w:after="0"/>
        <w:ind w:left="1800"/>
        <w:rPr>
          <w:rFonts w:cs="Arial"/>
          <w:sz w:val="22"/>
          <w:szCs w:val="22"/>
        </w:rPr>
      </w:pPr>
    </w:p>
    <w:p w14:paraId="0A720E08" w14:textId="768EB10C" w:rsidR="00D422FF" w:rsidRPr="000B110D" w:rsidRDefault="00D422FF" w:rsidP="000C2D04">
      <w:pPr>
        <w:pStyle w:val="SubmissionNormal"/>
        <w:numPr>
          <w:ilvl w:val="0"/>
          <w:numId w:val="25"/>
        </w:numPr>
        <w:autoSpaceDE w:val="0"/>
        <w:autoSpaceDN w:val="0"/>
        <w:adjustRightInd w:val="0"/>
        <w:spacing w:before="0" w:after="0"/>
        <w:rPr>
          <w:rFonts w:cs="Arial"/>
          <w:sz w:val="22"/>
          <w:szCs w:val="22"/>
        </w:rPr>
      </w:pPr>
      <w:r w:rsidRPr="000B110D">
        <w:rPr>
          <w:rFonts w:cs="Arial"/>
          <w:sz w:val="22"/>
          <w:szCs w:val="22"/>
        </w:rPr>
        <w:t>responds to a pressing public or social need;</w:t>
      </w:r>
    </w:p>
    <w:p w14:paraId="0D41B0C8" w14:textId="77777777" w:rsidR="000C2D04" w:rsidRPr="000B110D" w:rsidRDefault="000C2D04" w:rsidP="000C2D04">
      <w:pPr>
        <w:pStyle w:val="ListParagraph"/>
        <w:autoSpaceDE w:val="0"/>
        <w:autoSpaceDN w:val="0"/>
        <w:adjustRightInd w:val="0"/>
        <w:spacing w:before="0" w:after="0"/>
        <w:ind w:left="1800"/>
        <w:rPr>
          <w:rFonts w:cs="Arial"/>
          <w:sz w:val="22"/>
          <w:szCs w:val="22"/>
        </w:rPr>
      </w:pPr>
    </w:p>
    <w:p w14:paraId="54910290" w14:textId="280D1353" w:rsidR="00D422FF" w:rsidRPr="000B110D" w:rsidRDefault="000C2D04" w:rsidP="000C2D04">
      <w:pPr>
        <w:pStyle w:val="ListParagraph"/>
        <w:numPr>
          <w:ilvl w:val="0"/>
          <w:numId w:val="25"/>
        </w:numPr>
        <w:autoSpaceDE w:val="0"/>
        <w:autoSpaceDN w:val="0"/>
        <w:adjustRightInd w:val="0"/>
        <w:spacing w:before="0" w:after="0"/>
        <w:rPr>
          <w:rFonts w:cs="Arial"/>
          <w:sz w:val="22"/>
          <w:szCs w:val="22"/>
        </w:rPr>
      </w:pPr>
      <w:r w:rsidRPr="000B110D">
        <w:rPr>
          <w:rFonts w:cs="Arial"/>
          <w:sz w:val="22"/>
          <w:szCs w:val="22"/>
        </w:rPr>
        <w:t>pursues a legitimate aim; and</w:t>
      </w:r>
    </w:p>
    <w:p w14:paraId="5B5509BD" w14:textId="77777777" w:rsidR="000C2D04" w:rsidRPr="000B110D" w:rsidRDefault="000C2D04" w:rsidP="000C2D04">
      <w:pPr>
        <w:pStyle w:val="ListParagraph"/>
        <w:rPr>
          <w:rFonts w:cs="Arial"/>
          <w:sz w:val="22"/>
          <w:szCs w:val="22"/>
        </w:rPr>
      </w:pPr>
    </w:p>
    <w:p w14:paraId="39B62757" w14:textId="21801AC7" w:rsidR="00E62331" w:rsidRPr="000B110D" w:rsidRDefault="00E62331" w:rsidP="000C2D04">
      <w:pPr>
        <w:pStyle w:val="ListParagraph"/>
        <w:numPr>
          <w:ilvl w:val="0"/>
          <w:numId w:val="25"/>
        </w:numPr>
        <w:autoSpaceDE w:val="0"/>
        <w:autoSpaceDN w:val="0"/>
        <w:adjustRightInd w:val="0"/>
        <w:spacing w:before="0" w:after="0"/>
        <w:rPr>
          <w:rFonts w:cs="Arial"/>
          <w:sz w:val="22"/>
          <w:szCs w:val="22"/>
        </w:rPr>
      </w:pPr>
      <w:proofErr w:type="gramStart"/>
      <w:r w:rsidRPr="000B110D">
        <w:rPr>
          <w:rFonts w:cs="Arial"/>
          <w:sz w:val="22"/>
          <w:szCs w:val="22"/>
        </w:rPr>
        <w:t>is</w:t>
      </w:r>
      <w:proofErr w:type="gramEnd"/>
      <w:r w:rsidRPr="000B110D">
        <w:rPr>
          <w:rFonts w:cs="Arial"/>
          <w:sz w:val="22"/>
          <w:szCs w:val="22"/>
        </w:rPr>
        <w:t xml:space="preserve"> proportionate to that aim.</w:t>
      </w:r>
      <w:r w:rsidR="000C2D04" w:rsidRPr="000B110D">
        <w:rPr>
          <w:rStyle w:val="EndnoteReference"/>
          <w:rFonts w:cs="Arial"/>
          <w:szCs w:val="22"/>
        </w:rPr>
        <w:endnoteReference w:id="24"/>
      </w:r>
    </w:p>
    <w:p w14:paraId="3BCE81DC" w14:textId="601CAA8A" w:rsidR="00000E8A" w:rsidRPr="000B110D" w:rsidRDefault="00000E8A" w:rsidP="00D422FF">
      <w:pPr>
        <w:pStyle w:val="SubmissionNormal"/>
        <w:numPr>
          <w:ilvl w:val="0"/>
          <w:numId w:val="21"/>
        </w:numPr>
        <w:ind w:hanging="720"/>
      </w:pPr>
      <w:r w:rsidRPr="000B110D">
        <w:t xml:space="preserve">Further, it is </w:t>
      </w:r>
      <w:proofErr w:type="gramStart"/>
      <w:r w:rsidRPr="000B110D">
        <w:t>provided that</w:t>
      </w:r>
      <w:proofErr w:type="gramEnd"/>
      <w:r w:rsidRPr="000B110D">
        <w:t xml:space="preserve"> ‘a state shall use no more restrictive means than are required for the achievement of the purpose of the limitation’.</w:t>
      </w:r>
      <w:r w:rsidRPr="000B110D">
        <w:rPr>
          <w:rStyle w:val="EndnoteReference"/>
          <w:rFonts w:cs="Arial"/>
          <w:szCs w:val="22"/>
        </w:rPr>
        <w:endnoteReference w:id="25"/>
      </w:r>
      <w:r w:rsidR="00451C5D" w:rsidRPr="000B110D">
        <w:t xml:space="preserve"> Guidance with respect to the meaning of other expressions used in art</w:t>
      </w:r>
      <w:r w:rsidR="006F4EC0" w:rsidRPr="000B110D">
        <w:t>icle</w:t>
      </w:r>
      <w:r w:rsidR="00451C5D" w:rsidRPr="000B110D">
        <w:t xml:space="preserve"> 19(3) is also set </w:t>
      </w:r>
      <w:proofErr w:type="gramStart"/>
      <w:r w:rsidR="00451C5D" w:rsidRPr="000B110D">
        <w:t>out:</w:t>
      </w:r>
      <w:proofErr w:type="gramEnd"/>
      <w:r w:rsidR="00451C5D" w:rsidRPr="000B110D">
        <w:t xml:space="preserve"> namely, ‘public order’, ‘public health’, ‘public morals’ and ‘national security’ is also set out.</w:t>
      </w:r>
      <w:r w:rsidR="00451C5D" w:rsidRPr="000B110D">
        <w:rPr>
          <w:rStyle w:val="EndnoteReference"/>
          <w:rFonts w:cs="Arial"/>
          <w:szCs w:val="22"/>
        </w:rPr>
        <w:endnoteReference w:id="26"/>
      </w:r>
    </w:p>
    <w:p w14:paraId="2C64071E" w14:textId="64E51EAF" w:rsidR="00016F62" w:rsidRPr="000B110D" w:rsidRDefault="006F4EC0" w:rsidP="00D422FF">
      <w:pPr>
        <w:pStyle w:val="SubmissionNormal"/>
        <w:numPr>
          <w:ilvl w:val="0"/>
          <w:numId w:val="21"/>
        </w:numPr>
        <w:ind w:hanging="720"/>
      </w:pPr>
      <w:proofErr w:type="gramStart"/>
      <w:r w:rsidRPr="000B110D">
        <w:t>Applying this approach in the context of the proposed amendment of s 42,</w:t>
      </w:r>
      <w:proofErr w:type="gramEnd"/>
      <w:r w:rsidRPr="000B110D">
        <w:t xml:space="preserve"> </w:t>
      </w:r>
      <w:proofErr w:type="gramStart"/>
      <w:r w:rsidRPr="000B110D">
        <w:t>it</w:t>
      </w:r>
      <w:proofErr w:type="gramEnd"/>
      <w:r w:rsidRPr="000B110D">
        <w:t xml:space="preserve"> </w:t>
      </w:r>
      <w:r w:rsidR="00016F62" w:rsidRPr="000B110D">
        <w:t xml:space="preserve">is </w:t>
      </w:r>
      <w:r w:rsidR="00020CD3" w:rsidRPr="000B110D">
        <w:t xml:space="preserve">important to examine if the Bill is proportionate in the sense of being </w:t>
      </w:r>
      <w:r w:rsidR="00016F62" w:rsidRPr="000B110D">
        <w:t xml:space="preserve">the least </w:t>
      </w:r>
      <w:r w:rsidR="00050AD8" w:rsidRPr="000B110D">
        <w:t xml:space="preserve">restrictive </w:t>
      </w:r>
      <w:r w:rsidR="00020CD3" w:rsidRPr="000B110D">
        <w:t>means available to achieve its</w:t>
      </w:r>
      <w:r w:rsidR="00016F62" w:rsidRPr="000B110D">
        <w:t xml:space="preserve"> protective function. </w:t>
      </w:r>
    </w:p>
    <w:p w14:paraId="1471D31B" w14:textId="4350B575" w:rsidR="00016F62" w:rsidRPr="00CB4A83" w:rsidRDefault="00016F62" w:rsidP="004F14E2">
      <w:pPr>
        <w:pStyle w:val="SubmissionNormal"/>
        <w:numPr>
          <w:ilvl w:val="0"/>
          <w:numId w:val="21"/>
        </w:numPr>
        <w:ind w:hanging="720"/>
      </w:pPr>
      <w:r w:rsidRPr="00CB4A83">
        <w:t xml:space="preserve">In </w:t>
      </w:r>
      <w:r w:rsidR="007B6A3F">
        <w:t>the Commission’s</w:t>
      </w:r>
      <w:r w:rsidR="007B6A3F" w:rsidRPr="00CB4A83">
        <w:t xml:space="preserve"> </w:t>
      </w:r>
      <w:r w:rsidRPr="00CB4A83">
        <w:t xml:space="preserve">view, the present </w:t>
      </w:r>
      <w:r w:rsidR="00DF2E83">
        <w:t>B</w:t>
      </w:r>
      <w:r w:rsidRPr="00CB4A83">
        <w:t xml:space="preserve">ill is more compatible with article 19 of the ICCPR than the current secrecy </w:t>
      </w:r>
      <w:r w:rsidR="00DF2E83">
        <w:t xml:space="preserve">provision in s 42 </w:t>
      </w:r>
      <w:r w:rsidR="00050AD8">
        <w:t xml:space="preserve">of the ABF Act </w:t>
      </w:r>
      <w:r w:rsidR="00596CF4">
        <w:t>because the Bill</w:t>
      </w:r>
      <w:r w:rsidRPr="00CB4A83">
        <w:t xml:space="preserve"> narrows criminal liability and uses a more targeted measure to protect essential public interests. </w:t>
      </w:r>
      <w:r w:rsidR="00702878">
        <w:t>Nevertheless, the Commission also proposes further amendments to the Bill with a view to improving further the ABF Act’s compatibility with article 19 of the ICCPR.</w:t>
      </w:r>
    </w:p>
    <w:p w14:paraId="6DBC780A" w14:textId="77777777" w:rsidR="00016F62" w:rsidRPr="002E2667" w:rsidRDefault="00016F62" w:rsidP="002E2667">
      <w:pPr>
        <w:pStyle w:val="Heading2"/>
      </w:pPr>
      <w:bookmarkStart w:id="43" w:name="_Toc365465903"/>
      <w:bookmarkStart w:id="44" w:name="_Toc491958005"/>
      <w:r w:rsidRPr="002E2667">
        <w:t>Article 25</w:t>
      </w:r>
      <w:bookmarkEnd w:id="43"/>
      <w:r w:rsidR="00DF2E83" w:rsidRPr="002E2667">
        <w:t xml:space="preserve"> of the ICCPR</w:t>
      </w:r>
      <w:bookmarkEnd w:id="44"/>
    </w:p>
    <w:p w14:paraId="7256118A" w14:textId="77777777" w:rsidR="00016F62" w:rsidRPr="00CB4A83" w:rsidRDefault="00016F62" w:rsidP="004F14E2">
      <w:pPr>
        <w:pStyle w:val="SubmissionNormal"/>
        <w:numPr>
          <w:ilvl w:val="0"/>
          <w:numId w:val="21"/>
        </w:numPr>
        <w:ind w:hanging="720"/>
      </w:pPr>
      <w:r w:rsidRPr="00CB4A83">
        <w:t>Article 25 of the ICCPR relevantly provides that:</w:t>
      </w:r>
    </w:p>
    <w:p w14:paraId="6AEBC95A" w14:textId="77777777" w:rsidR="00016F62" w:rsidRPr="00CB4A83" w:rsidRDefault="00016F62" w:rsidP="00462C91">
      <w:pPr>
        <w:ind w:left="1440"/>
        <w:rPr>
          <w:sz w:val="22"/>
        </w:rPr>
      </w:pPr>
      <w:r w:rsidRPr="00CB4A83">
        <w:rPr>
          <w:sz w:val="22"/>
        </w:rPr>
        <w:t>Every citizen shall have the right and the opportunity, without any of the distinctions mentioned in article 2 and without unreasonable restrictions:</w:t>
      </w:r>
    </w:p>
    <w:p w14:paraId="72986306" w14:textId="77777777" w:rsidR="00016F62" w:rsidRPr="00462C91" w:rsidRDefault="00462C91" w:rsidP="00462C91">
      <w:pPr>
        <w:ind w:left="2160" w:hanging="720"/>
        <w:rPr>
          <w:sz w:val="22"/>
        </w:rPr>
      </w:pPr>
      <w:r>
        <w:rPr>
          <w:sz w:val="22"/>
        </w:rPr>
        <w:t>(a)</w:t>
      </w:r>
      <w:r>
        <w:rPr>
          <w:sz w:val="22"/>
        </w:rPr>
        <w:tab/>
      </w:r>
      <w:r w:rsidR="00016F62" w:rsidRPr="00462C91">
        <w:rPr>
          <w:sz w:val="22"/>
        </w:rPr>
        <w:t>To take part in the conduct of public affairs, directly or through freely chosen representatives</w:t>
      </w:r>
      <w:proofErr w:type="gramStart"/>
      <w:r w:rsidR="00016F62" w:rsidRPr="00462C91">
        <w:rPr>
          <w:sz w:val="22"/>
        </w:rPr>
        <w:t>;</w:t>
      </w:r>
      <w:proofErr w:type="gramEnd"/>
      <w:r w:rsidR="00016F62" w:rsidRPr="00462C91">
        <w:rPr>
          <w:sz w:val="22"/>
        </w:rPr>
        <w:t xml:space="preserve"> … </w:t>
      </w:r>
    </w:p>
    <w:p w14:paraId="5B1BDB95" w14:textId="77777777" w:rsidR="00016F62" w:rsidRPr="00CB4A83" w:rsidRDefault="00016F62" w:rsidP="004F14E2">
      <w:pPr>
        <w:pStyle w:val="SubmissionNormal"/>
        <w:numPr>
          <w:ilvl w:val="0"/>
          <w:numId w:val="21"/>
        </w:numPr>
        <w:ind w:hanging="720"/>
      </w:pPr>
      <w:r w:rsidRPr="00CB4A83">
        <w:t>Where citizens participate in the conduct of public affairs through freely chosen representatives, it is implicit in article 25 that those representatives are accountable through the electoral process for their exercise of that power.</w:t>
      </w:r>
      <w:r w:rsidRPr="00462C91">
        <w:rPr>
          <w:sz w:val="20"/>
          <w:vertAlign w:val="superscript"/>
        </w:rPr>
        <w:endnoteReference w:id="27"/>
      </w:r>
      <w:r w:rsidRPr="00CB4A83">
        <w:t xml:space="preserve"> Citizens also take part in the conduct of public affairs by exerting influence through public debate and dialogue with their representatives.</w:t>
      </w:r>
      <w:r w:rsidRPr="00462C91">
        <w:rPr>
          <w:sz w:val="20"/>
          <w:vertAlign w:val="superscript"/>
        </w:rPr>
        <w:endnoteReference w:id="28"/>
      </w:r>
      <w:r w:rsidRPr="00CB4A83">
        <w:t xml:space="preserve"> It is freedom of expression (</w:t>
      </w:r>
      <w:proofErr w:type="gramStart"/>
      <w:r w:rsidRPr="00CB4A83">
        <w:t>both in imparting and receiving</w:t>
      </w:r>
      <w:proofErr w:type="gramEnd"/>
      <w:r w:rsidRPr="00CB4A83">
        <w:t xml:space="preserve"> information) that allows this dialogue to occur. Unduly limiting freedom of expression will impair the rights of citizens to take part in the conduct of public affairs.</w:t>
      </w:r>
    </w:p>
    <w:p w14:paraId="56C3CD73" w14:textId="77777777" w:rsidR="00016F62" w:rsidRPr="002E2667" w:rsidRDefault="00016F62" w:rsidP="002E2667">
      <w:pPr>
        <w:pStyle w:val="Heading2"/>
      </w:pPr>
      <w:bookmarkStart w:id="45" w:name="_Toc365465904"/>
      <w:bookmarkStart w:id="46" w:name="_Toc491958006"/>
      <w:r w:rsidRPr="002E2667">
        <w:t>Implied freedom of political communication</w:t>
      </w:r>
      <w:bookmarkEnd w:id="45"/>
      <w:bookmarkEnd w:id="46"/>
    </w:p>
    <w:p w14:paraId="30ADAB51" w14:textId="1EBE435C" w:rsidR="00016F62" w:rsidRPr="00CB4A83" w:rsidRDefault="00016F62" w:rsidP="004F14E2">
      <w:pPr>
        <w:pStyle w:val="SubmissionNormal"/>
        <w:numPr>
          <w:ilvl w:val="0"/>
          <w:numId w:val="21"/>
        </w:numPr>
        <w:ind w:hanging="720"/>
      </w:pPr>
      <w:r w:rsidRPr="00CB4A83">
        <w:t xml:space="preserve">The freedom of political communication </w:t>
      </w:r>
      <w:proofErr w:type="gramStart"/>
      <w:r w:rsidR="00905A04">
        <w:t xml:space="preserve">is </w:t>
      </w:r>
      <w:r w:rsidR="00E90CDC">
        <w:t>constitutionally protected</w:t>
      </w:r>
      <w:proofErr w:type="gramEnd"/>
      <w:r w:rsidR="00E90CDC">
        <w:t xml:space="preserve"> under Australian law. That protection is</w:t>
      </w:r>
      <w:r w:rsidRPr="00CB4A83">
        <w:t xml:space="preserve"> derived </w:t>
      </w:r>
      <w:r w:rsidR="00E90CDC">
        <w:t xml:space="preserve">by implication, </w:t>
      </w:r>
      <w:r w:rsidRPr="00CB4A83">
        <w:t xml:space="preserve">in particular from </w:t>
      </w:r>
      <w:proofErr w:type="spellStart"/>
      <w:r w:rsidRPr="00CB4A83">
        <w:t>ss</w:t>
      </w:r>
      <w:proofErr w:type="spellEnd"/>
      <w:r w:rsidRPr="00CB4A83">
        <w:t xml:space="preserve"> 7 and 24 of the </w:t>
      </w:r>
      <w:proofErr w:type="gramStart"/>
      <w:r w:rsidRPr="00CB4A83">
        <w:t>Constitution which</w:t>
      </w:r>
      <w:proofErr w:type="gramEnd"/>
      <w:r w:rsidRPr="00CB4A83">
        <w:t xml:space="preserve"> provide, respectively, that the Senate and the House of Representatives shall be ‘directly chosen by the people’.</w:t>
      </w:r>
      <w:r w:rsidRPr="00462C91">
        <w:rPr>
          <w:sz w:val="20"/>
          <w:vertAlign w:val="superscript"/>
        </w:rPr>
        <w:endnoteReference w:id="29"/>
      </w:r>
      <w:r w:rsidRPr="00CB4A83">
        <w:t xml:space="preserve"> The content of the freedom has evolved through a series of High Court cases since </w:t>
      </w:r>
      <w:r w:rsidRPr="00CB4A83">
        <w:lastRenderedPageBreak/>
        <w:t xml:space="preserve">1992. </w:t>
      </w:r>
      <w:proofErr w:type="gramStart"/>
      <w:r w:rsidRPr="00CB4A83">
        <w:t xml:space="preserve">It is now settled that </w:t>
      </w:r>
      <w:r w:rsidR="00063D11">
        <w:t>the constitutional protection covers</w:t>
      </w:r>
      <w:r w:rsidRPr="00CB4A83">
        <w:t xml:space="preserve"> freedom of communication between the people concerning political or governmental matters which enables the people to exercise a free and informed choice as electors,</w:t>
      </w:r>
      <w:r w:rsidRPr="00462C91">
        <w:rPr>
          <w:sz w:val="20"/>
          <w:vertAlign w:val="superscript"/>
        </w:rPr>
        <w:endnoteReference w:id="30"/>
      </w:r>
      <w:r w:rsidRPr="00CB4A83">
        <w:t xml:space="preserve"> concerning information that might be relevant to the vote they cast at a referendum, or concerning the conduct of the executive branch of government throughout the life of a federal Parliament.</w:t>
      </w:r>
      <w:r w:rsidRPr="00462C91">
        <w:rPr>
          <w:sz w:val="20"/>
          <w:vertAlign w:val="superscript"/>
        </w:rPr>
        <w:endnoteReference w:id="31"/>
      </w:r>
      <w:proofErr w:type="gramEnd"/>
    </w:p>
    <w:p w14:paraId="1192038B" w14:textId="52913BF3" w:rsidR="00016F62" w:rsidRPr="00CB4A83" w:rsidRDefault="00016F62" w:rsidP="004F14E2">
      <w:pPr>
        <w:pStyle w:val="SubmissionNormal"/>
        <w:numPr>
          <w:ilvl w:val="0"/>
          <w:numId w:val="21"/>
        </w:numPr>
        <w:ind w:hanging="720"/>
      </w:pPr>
      <w:r w:rsidRPr="00CB4A83">
        <w:t xml:space="preserve">Importantly, the High Court </w:t>
      </w:r>
      <w:r w:rsidR="00063D11">
        <w:t xml:space="preserve">has </w:t>
      </w:r>
      <w:r w:rsidRPr="00CB4A83">
        <w:t xml:space="preserve">not </w:t>
      </w:r>
      <w:r w:rsidR="00063D11">
        <w:t xml:space="preserve">recognised </w:t>
      </w:r>
      <w:r w:rsidRPr="00CB4A83">
        <w:t>a personal right conferred on individuals. Rather, the implication precludes the curtailment of the protected freedom by the exercise of legislative or executive power.</w:t>
      </w:r>
      <w:r w:rsidRPr="00462C91">
        <w:rPr>
          <w:sz w:val="20"/>
          <w:vertAlign w:val="superscript"/>
        </w:rPr>
        <w:endnoteReference w:id="32"/>
      </w:r>
    </w:p>
    <w:p w14:paraId="299E990E" w14:textId="77777777" w:rsidR="00016F62" w:rsidRPr="00CB4A83" w:rsidRDefault="00016F62" w:rsidP="004F14E2">
      <w:pPr>
        <w:pStyle w:val="SubmissionNormal"/>
        <w:numPr>
          <w:ilvl w:val="0"/>
          <w:numId w:val="21"/>
        </w:numPr>
        <w:ind w:hanging="720"/>
      </w:pPr>
      <w:r w:rsidRPr="00CB4A83">
        <w:t xml:space="preserve">From the first cases on the implied freedom of political communication, there has been recognition of the relationship between the </w:t>
      </w:r>
      <w:r>
        <w:t xml:space="preserve">said </w:t>
      </w:r>
      <w:r w:rsidRPr="00CB4A83">
        <w:t xml:space="preserve">freedom and </w:t>
      </w:r>
      <w:r>
        <w:t>a government that is open and accountable</w:t>
      </w:r>
      <w:r w:rsidRPr="00CB4A83">
        <w:t xml:space="preserve">.  In </w:t>
      </w:r>
      <w:r w:rsidRPr="00462C91">
        <w:rPr>
          <w:i/>
        </w:rPr>
        <w:t>ACTV v Commonwealth</w:t>
      </w:r>
      <w:r w:rsidRPr="00CB4A83">
        <w:t>, Mason CJ said:</w:t>
      </w:r>
    </w:p>
    <w:p w14:paraId="44627258" w14:textId="77777777" w:rsidR="00016F62" w:rsidRPr="00462C91" w:rsidRDefault="00016F62" w:rsidP="00462C91">
      <w:pPr>
        <w:pStyle w:val="SubmissionNormal"/>
        <w:ind w:left="1440"/>
        <w:rPr>
          <w:sz w:val="22"/>
        </w:rPr>
      </w:pPr>
      <w:r w:rsidRPr="00462C91">
        <w:rPr>
          <w:sz w:val="22"/>
        </w:rPr>
        <w:t xml:space="preserve">Indispensable to that accountability and that responsibility is freedom of communication, at least in relation to public affairs and political discussion. Only by exercising that freedom can the citizen communicate his or her views on the wide range of matters that may call for, or are relevant to, political action or decision. Only by exercising that freedom can the citizen criticize government decisions and actions, seek to bring about change, call for action where none </w:t>
      </w:r>
      <w:proofErr w:type="gramStart"/>
      <w:r w:rsidRPr="00462C91">
        <w:rPr>
          <w:sz w:val="22"/>
        </w:rPr>
        <w:t>has been taken</w:t>
      </w:r>
      <w:proofErr w:type="gramEnd"/>
      <w:r w:rsidRPr="00462C91">
        <w:rPr>
          <w:sz w:val="22"/>
        </w:rPr>
        <w:t xml:space="preserve"> and in this way influence the elected representatives.</w:t>
      </w:r>
      <w:r w:rsidRPr="00462C91">
        <w:rPr>
          <w:sz w:val="20"/>
          <w:vertAlign w:val="superscript"/>
        </w:rPr>
        <w:endnoteReference w:id="33"/>
      </w:r>
    </w:p>
    <w:p w14:paraId="0FC98605" w14:textId="77777777" w:rsidR="00016F62" w:rsidRPr="00CB4A83" w:rsidRDefault="00016F62" w:rsidP="004F14E2">
      <w:pPr>
        <w:pStyle w:val="SubmissionNormal"/>
        <w:numPr>
          <w:ilvl w:val="0"/>
          <w:numId w:val="21"/>
        </w:numPr>
        <w:ind w:hanging="720"/>
      </w:pPr>
      <w:r w:rsidRPr="00CB4A83">
        <w:t xml:space="preserve">More recently, in </w:t>
      </w:r>
      <w:r w:rsidRPr="00462C91">
        <w:rPr>
          <w:i/>
        </w:rPr>
        <w:t>Unions NSW v New South Wales</w:t>
      </w:r>
      <w:r w:rsidRPr="00CB4A83">
        <w:t>, the High Court held that the efficacy of Australia’s system of representative and responsible government ‘depends upon free communication between all persons and groups in the community’, with an elector’s judgment on many issues turning ‘upon free public discussion, often in the media, of the views of all those interested’.</w:t>
      </w:r>
      <w:r w:rsidRPr="00462C91">
        <w:rPr>
          <w:sz w:val="20"/>
          <w:vertAlign w:val="superscript"/>
        </w:rPr>
        <w:endnoteReference w:id="34"/>
      </w:r>
    </w:p>
    <w:p w14:paraId="41271E72" w14:textId="0B39B721" w:rsidR="00016F62" w:rsidRPr="00CB4A83" w:rsidRDefault="00063D11" w:rsidP="004F14E2">
      <w:pPr>
        <w:pStyle w:val="SubmissionNormal"/>
        <w:numPr>
          <w:ilvl w:val="0"/>
          <w:numId w:val="21"/>
        </w:numPr>
        <w:ind w:hanging="720"/>
      </w:pPr>
      <w:r>
        <w:t xml:space="preserve">Freedom of political communication </w:t>
      </w:r>
      <w:proofErr w:type="gramStart"/>
      <w:r>
        <w:t>has not been held</w:t>
      </w:r>
      <w:proofErr w:type="gramEnd"/>
      <w:r>
        <w:t xml:space="preserve"> to be absolute under the Australian Constitution. </w:t>
      </w:r>
      <w:r w:rsidR="00016F62" w:rsidRPr="00CB4A83">
        <w:t>A law that burdens</w:t>
      </w:r>
      <w:r>
        <w:t>, or impinges on,</w:t>
      </w:r>
      <w:r w:rsidR="00016F62" w:rsidRPr="00CB4A83">
        <w:t xml:space="preserve"> political communication will be invalid </w:t>
      </w:r>
      <w:r>
        <w:t>only if one or more of the following conditions cannot be met</w:t>
      </w:r>
      <w:r w:rsidR="00016F62" w:rsidRPr="00CB4A83">
        <w:t>:</w:t>
      </w:r>
    </w:p>
    <w:p w14:paraId="14C7D0D6" w14:textId="4033148D" w:rsidR="00016F62" w:rsidRPr="00CB4A83" w:rsidRDefault="00063D11" w:rsidP="000A58A8">
      <w:pPr>
        <w:pStyle w:val="ListParagraph"/>
        <w:numPr>
          <w:ilvl w:val="0"/>
          <w:numId w:val="16"/>
        </w:numPr>
        <w:ind w:left="1434" w:hanging="357"/>
        <w:contextualSpacing w:val="0"/>
      </w:pPr>
      <w:r>
        <w:t xml:space="preserve">the law </w:t>
      </w:r>
      <w:r w:rsidR="00016F62" w:rsidRPr="00CB4A83">
        <w:t xml:space="preserve">serves a legitimate purpose; </w:t>
      </w:r>
    </w:p>
    <w:p w14:paraId="50A357EA" w14:textId="77777777" w:rsidR="00016F62" w:rsidRPr="00CB4A83" w:rsidRDefault="00016F62" w:rsidP="000A58A8">
      <w:pPr>
        <w:pStyle w:val="ListParagraph"/>
        <w:numPr>
          <w:ilvl w:val="0"/>
          <w:numId w:val="16"/>
        </w:numPr>
        <w:ind w:left="1434" w:hanging="357"/>
        <w:contextualSpacing w:val="0"/>
      </w:pPr>
      <w:r w:rsidRPr="00CB4A83">
        <w:t xml:space="preserve">the </w:t>
      </w:r>
      <w:r w:rsidR="00063D11">
        <w:t xml:space="preserve">law’s </w:t>
      </w:r>
      <w:r w:rsidRPr="00CB4A83">
        <w:t xml:space="preserve">purpose and the means adopted to achieve that purpose are compatible with Australia’s system of representative and responsible government; </w:t>
      </w:r>
      <w:r w:rsidR="00063D11">
        <w:t>and</w:t>
      </w:r>
    </w:p>
    <w:p w14:paraId="2570925D" w14:textId="02A83B78" w:rsidR="00016F62" w:rsidRPr="00CB4A83" w:rsidRDefault="00063D11" w:rsidP="000A58A8">
      <w:pPr>
        <w:pStyle w:val="ListParagraph"/>
        <w:numPr>
          <w:ilvl w:val="0"/>
          <w:numId w:val="16"/>
        </w:numPr>
        <w:ind w:left="1434" w:hanging="357"/>
        <w:contextualSpacing w:val="0"/>
      </w:pPr>
      <w:proofErr w:type="gramStart"/>
      <w:r>
        <w:t>the</w:t>
      </w:r>
      <w:proofErr w:type="gramEnd"/>
      <w:r>
        <w:t xml:space="preserve"> law </w:t>
      </w:r>
      <w:r w:rsidR="00016F62" w:rsidRPr="00CB4A83">
        <w:t xml:space="preserve">is </w:t>
      </w:r>
      <w:r>
        <w:t xml:space="preserve">a </w:t>
      </w:r>
      <w:r w:rsidR="00016F62" w:rsidRPr="00CB4A83">
        <w:t xml:space="preserve">proportionate </w:t>
      </w:r>
      <w:r>
        <w:t xml:space="preserve">means of achieving its legitimate purpose, </w:t>
      </w:r>
      <w:r w:rsidR="00016F62" w:rsidRPr="00CB4A83">
        <w:t>in the sense of being reasonably appropriate and adapted to advancing the legitimate purpose.</w:t>
      </w:r>
      <w:r w:rsidR="00016F62" w:rsidRPr="00CB4A83">
        <w:rPr>
          <w:rStyle w:val="EndnoteReference"/>
        </w:rPr>
        <w:endnoteReference w:id="35"/>
      </w:r>
    </w:p>
    <w:p w14:paraId="6AABB1E7" w14:textId="77777777" w:rsidR="00016F62" w:rsidRPr="00CB4A83" w:rsidRDefault="00016F62" w:rsidP="004F14E2">
      <w:pPr>
        <w:pStyle w:val="SubmissionNormal"/>
        <w:numPr>
          <w:ilvl w:val="0"/>
          <w:numId w:val="21"/>
        </w:numPr>
        <w:ind w:hanging="720"/>
      </w:pPr>
      <w:r w:rsidRPr="00CB4A83">
        <w:t xml:space="preserve">The Department has jurisdiction over the implementation of Commonwealth policy that has been the subject of significant political debate during successive parliaments and federal elections. This includes policy in relation to asylum seekers and refugees, mandatory detention and offshore detention. </w:t>
      </w:r>
    </w:p>
    <w:p w14:paraId="57D4ECFE" w14:textId="295DF142" w:rsidR="00016F62" w:rsidRPr="00CB4A83" w:rsidRDefault="00922B36" w:rsidP="004F14E2">
      <w:pPr>
        <w:pStyle w:val="SubmissionNormal"/>
        <w:numPr>
          <w:ilvl w:val="0"/>
          <w:numId w:val="21"/>
        </w:numPr>
        <w:ind w:hanging="720"/>
      </w:pPr>
      <w:r>
        <w:lastRenderedPageBreak/>
        <w:t>As such, t</w:t>
      </w:r>
      <w:r w:rsidR="00016F62" w:rsidRPr="00CB4A83">
        <w:t>he Commission is concerned that the current secrecy provision in s</w:t>
      </w:r>
      <w:r w:rsidR="0058590E">
        <w:t> </w:t>
      </w:r>
      <w:r w:rsidR="00016F62" w:rsidRPr="00CB4A83">
        <w:t>42 of the ABF Act unduly inhibits political communication because it prevents or restricts</w:t>
      </w:r>
      <w:r w:rsidR="00C16EA5">
        <w:t xml:space="preserve"> </w:t>
      </w:r>
      <w:r w:rsidR="00016F62" w:rsidRPr="00CB4A83">
        <w:t>the disclosure of information even if:</w:t>
      </w:r>
    </w:p>
    <w:p w14:paraId="1E94B2B4" w14:textId="77777777" w:rsidR="00016F62" w:rsidRPr="00CB4A83" w:rsidRDefault="00016F62" w:rsidP="000A58A8">
      <w:pPr>
        <w:pStyle w:val="ListParagraph"/>
        <w:numPr>
          <w:ilvl w:val="0"/>
          <w:numId w:val="16"/>
        </w:numPr>
        <w:ind w:left="1434" w:hanging="357"/>
        <w:contextualSpacing w:val="0"/>
      </w:pPr>
      <w:r w:rsidRPr="00CB4A83">
        <w:t xml:space="preserve">the information is relevant to political or electoral choices to be made by the Australian public; </w:t>
      </w:r>
    </w:p>
    <w:p w14:paraId="4998627B" w14:textId="77777777" w:rsidR="00016F62" w:rsidRPr="00CB4A83" w:rsidRDefault="00016F62" w:rsidP="000A58A8">
      <w:pPr>
        <w:pStyle w:val="ListParagraph"/>
        <w:numPr>
          <w:ilvl w:val="0"/>
          <w:numId w:val="16"/>
        </w:numPr>
        <w:ind w:left="1434" w:hanging="357"/>
        <w:contextualSpacing w:val="0"/>
      </w:pPr>
      <w:r w:rsidRPr="00CB4A83">
        <w:t xml:space="preserve">it would otherwise be reasonable or in the public interest for that information to be disclosed and; </w:t>
      </w:r>
    </w:p>
    <w:p w14:paraId="7606E046" w14:textId="77777777" w:rsidR="00016F62" w:rsidRPr="00CB4A83" w:rsidRDefault="00016F62" w:rsidP="000A58A8">
      <w:pPr>
        <w:pStyle w:val="ListParagraph"/>
        <w:numPr>
          <w:ilvl w:val="0"/>
          <w:numId w:val="16"/>
        </w:numPr>
        <w:ind w:left="1434" w:hanging="357"/>
        <w:contextualSpacing w:val="0"/>
      </w:pPr>
      <w:proofErr w:type="gramStart"/>
      <w:r w:rsidRPr="00CB4A83">
        <w:t>it</w:t>
      </w:r>
      <w:proofErr w:type="gramEnd"/>
      <w:r w:rsidRPr="00CB4A83">
        <w:t xml:space="preserve"> would not harm any essential public interest.</w:t>
      </w:r>
    </w:p>
    <w:p w14:paraId="00D6C43C" w14:textId="77777777" w:rsidR="00016F62" w:rsidRPr="002E2667" w:rsidRDefault="00016F62" w:rsidP="002E2667">
      <w:pPr>
        <w:pStyle w:val="Heading1"/>
      </w:pPr>
      <w:bookmarkStart w:id="47" w:name="_Toc365465905"/>
      <w:bookmarkStart w:id="48" w:name="_Toc491958007"/>
      <w:r w:rsidRPr="002E2667">
        <w:t>A harm-based approach to secrecy laws</w:t>
      </w:r>
      <w:bookmarkEnd w:id="47"/>
      <w:bookmarkEnd w:id="48"/>
    </w:p>
    <w:p w14:paraId="4A32ED5D" w14:textId="6BC8A6B4" w:rsidR="00016F62" w:rsidRPr="0058590E" w:rsidRDefault="00016F62" w:rsidP="004F14E2">
      <w:pPr>
        <w:pStyle w:val="SubmissionNormal"/>
        <w:numPr>
          <w:ilvl w:val="0"/>
          <w:numId w:val="21"/>
        </w:numPr>
        <w:ind w:hanging="720"/>
      </w:pPr>
      <w:r w:rsidRPr="0058590E">
        <w:t xml:space="preserve">In 2010, the Australian Law Reform Commission (ALRC) </w:t>
      </w:r>
      <w:r w:rsidR="005B21A9">
        <w:t xml:space="preserve">published </w:t>
      </w:r>
      <w:r w:rsidR="00922B36">
        <w:t xml:space="preserve">its </w:t>
      </w:r>
      <w:r w:rsidRPr="0058590E">
        <w:t xml:space="preserve">final report arising </w:t>
      </w:r>
      <w:r w:rsidR="00922B36">
        <w:t xml:space="preserve">from </w:t>
      </w:r>
      <w:r w:rsidRPr="0058590E">
        <w:t>its inquiry into secrecy laws and open government in Australia.</w:t>
      </w:r>
      <w:r w:rsidRPr="0058590E">
        <w:rPr>
          <w:sz w:val="20"/>
          <w:vertAlign w:val="superscript"/>
        </w:rPr>
        <w:endnoteReference w:id="36"/>
      </w:r>
      <w:r w:rsidRPr="0058590E">
        <w:t xml:space="preserve"> </w:t>
      </w:r>
      <w:r w:rsidR="00922B36">
        <w:t xml:space="preserve">The ALRC’s </w:t>
      </w:r>
      <w:r w:rsidRPr="0058590E">
        <w:t>mandate was to conduct an inquiry into the options for ensuring a ‘consistent approach across government to the protection of Commonwealth information, balanced against the need to maintain an open and accountable government’.</w:t>
      </w:r>
      <w:r w:rsidRPr="005B21A9">
        <w:rPr>
          <w:sz w:val="20"/>
          <w:vertAlign w:val="superscript"/>
        </w:rPr>
        <w:endnoteReference w:id="37"/>
      </w:r>
      <w:r w:rsidRPr="0058590E">
        <w:t xml:space="preserve"> It explored many of the same institutional, public policy and human rights issues that arise in the present circumstances. </w:t>
      </w:r>
    </w:p>
    <w:p w14:paraId="1EC8F223" w14:textId="77777777" w:rsidR="00016F62" w:rsidRPr="0058590E" w:rsidRDefault="00016F62" w:rsidP="004F14E2">
      <w:pPr>
        <w:pStyle w:val="SubmissionNormal"/>
        <w:numPr>
          <w:ilvl w:val="0"/>
          <w:numId w:val="21"/>
        </w:numPr>
        <w:ind w:hanging="720"/>
      </w:pPr>
      <w:r w:rsidRPr="0058590E">
        <w:t>The final report recognised that secrecy laws that expose government employees to criminal liability for the unauthorised disclosure of official information, like those contained in the present Bill, can ‘sit uneasily’ with open and accountable government.</w:t>
      </w:r>
      <w:r w:rsidRPr="005B21A9">
        <w:rPr>
          <w:sz w:val="20"/>
          <w:vertAlign w:val="superscript"/>
        </w:rPr>
        <w:endnoteReference w:id="38"/>
      </w:r>
      <w:r w:rsidRPr="0058590E">
        <w:t xml:space="preserve"> </w:t>
      </w:r>
    </w:p>
    <w:p w14:paraId="1DFDF67E" w14:textId="77777777" w:rsidR="00016F62" w:rsidRPr="00CB4A83" w:rsidRDefault="00016F62" w:rsidP="004F14E2">
      <w:pPr>
        <w:pStyle w:val="SubmissionNormal"/>
        <w:numPr>
          <w:ilvl w:val="0"/>
          <w:numId w:val="21"/>
        </w:numPr>
        <w:ind w:hanging="720"/>
      </w:pPr>
      <w:r w:rsidRPr="00CB4A83">
        <w:t>After canvassing international approaches to secrecy laws, and exploring various options for protecting official information, the ALRC formed the view that, subject to a few narrow exceptions, an approach based on harm to essential public interests should underpin the secrecy laws carrying criminal liability in Australia.</w:t>
      </w:r>
      <w:r w:rsidRPr="005B21A9">
        <w:rPr>
          <w:sz w:val="20"/>
          <w:vertAlign w:val="superscript"/>
        </w:rPr>
        <w:endnoteReference w:id="39"/>
      </w:r>
    </w:p>
    <w:p w14:paraId="32E60815" w14:textId="77777777" w:rsidR="00016F62" w:rsidRPr="00CB4A83" w:rsidRDefault="00016F62" w:rsidP="004F14E2">
      <w:pPr>
        <w:pStyle w:val="SubmissionNormal"/>
        <w:numPr>
          <w:ilvl w:val="0"/>
          <w:numId w:val="21"/>
        </w:numPr>
        <w:ind w:hanging="720"/>
      </w:pPr>
      <w:r w:rsidRPr="00CB4A83">
        <w:t>It found that this approach struck the best balance between protecting sensitive official information and protecting the public interest in open and accountable government.</w:t>
      </w:r>
      <w:r w:rsidRPr="005B21A9">
        <w:rPr>
          <w:sz w:val="20"/>
          <w:vertAlign w:val="superscript"/>
        </w:rPr>
        <w:endnoteReference w:id="40"/>
      </w:r>
      <w:r w:rsidRPr="00CB4A83">
        <w:t xml:space="preserve"> </w:t>
      </w:r>
    </w:p>
    <w:p w14:paraId="3DD0CBF8" w14:textId="7FA13E9F" w:rsidR="00016F62" w:rsidRPr="00CB4A83" w:rsidRDefault="00016F62" w:rsidP="004F14E2">
      <w:pPr>
        <w:pStyle w:val="SubmissionNormal"/>
        <w:numPr>
          <w:ilvl w:val="0"/>
          <w:numId w:val="21"/>
        </w:numPr>
        <w:ind w:hanging="720"/>
      </w:pPr>
      <w:r w:rsidRPr="00CB4A83">
        <w:t xml:space="preserve">A harm-based approach is also evident in the case of </w:t>
      </w:r>
      <w:r w:rsidRPr="005B21A9">
        <w:rPr>
          <w:i/>
        </w:rPr>
        <w:t>Bennett v President, Human Rights and Equal Opportunity Commission</w:t>
      </w:r>
      <w:r w:rsidRPr="0058590E">
        <w:t>.</w:t>
      </w:r>
      <w:r w:rsidRPr="005B21A9">
        <w:rPr>
          <w:sz w:val="20"/>
          <w:vertAlign w:val="superscript"/>
        </w:rPr>
        <w:endnoteReference w:id="41"/>
      </w:r>
      <w:r w:rsidRPr="0058590E">
        <w:t xml:space="preserve"> </w:t>
      </w:r>
      <w:r w:rsidRPr="00CB4A83">
        <w:t xml:space="preserve">In </w:t>
      </w:r>
      <w:r w:rsidRPr="005B21A9">
        <w:rPr>
          <w:i/>
        </w:rPr>
        <w:t>Bennett</w:t>
      </w:r>
      <w:r w:rsidRPr="0058590E">
        <w:t xml:space="preserve">, </w:t>
      </w:r>
      <w:r w:rsidRPr="00CB4A83">
        <w:t>Finn J found that a blanket secrecy provision in the Public Service Regulations 1999 (</w:t>
      </w:r>
      <w:proofErr w:type="spellStart"/>
      <w:r w:rsidRPr="00CB4A83">
        <w:t>Cth</w:t>
      </w:r>
      <w:proofErr w:type="spellEnd"/>
      <w:r w:rsidRPr="00CB4A83">
        <w:t xml:space="preserve">) was inconsistent with the implied freedom of political communication in the Australian </w:t>
      </w:r>
      <w:r w:rsidR="005B21A9">
        <w:t>C</w:t>
      </w:r>
      <w:r w:rsidRPr="00CB4A83">
        <w:t xml:space="preserve">onstitution. </w:t>
      </w:r>
      <w:r w:rsidR="005B21A9">
        <w:t>His Honour</w:t>
      </w:r>
      <w:r w:rsidR="005B21A9" w:rsidRPr="00CB4A83">
        <w:t xml:space="preserve"> </w:t>
      </w:r>
      <w:r w:rsidRPr="00CB4A83">
        <w:t>held</w:t>
      </w:r>
      <w:r>
        <w:t xml:space="preserve"> that</w:t>
      </w:r>
      <w:r w:rsidRPr="00CB4A83">
        <w:t>:</w:t>
      </w:r>
    </w:p>
    <w:p w14:paraId="0E2DC7BB" w14:textId="77777777" w:rsidR="00016F62" w:rsidRPr="005B21A9" w:rsidRDefault="00016F62" w:rsidP="005B21A9">
      <w:pPr>
        <w:ind w:left="1440"/>
        <w:rPr>
          <w:sz w:val="22"/>
          <w:szCs w:val="22"/>
        </w:rPr>
      </w:pPr>
      <w:r w:rsidRPr="005B21A9">
        <w:rPr>
          <w:sz w:val="22"/>
          <w:szCs w:val="22"/>
        </w:rPr>
        <w:t xml:space="preserve">The dimensions of the control it imposes impedes quite unreasonably the possible flow of information to the community – </w:t>
      </w:r>
      <w:r w:rsidRPr="005B21A9">
        <w:rPr>
          <w:sz w:val="22"/>
          <w:szCs w:val="22"/>
          <w:u w:val="single"/>
        </w:rPr>
        <w:t>information which, without possibly prejudicing the interests of the Commonwealth</w:t>
      </w:r>
      <w:r w:rsidRPr="005B21A9">
        <w:rPr>
          <w:sz w:val="22"/>
          <w:szCs w:val="22"/>
        </w:rPr>
        <w:t>, could only serve to enlarge the public’s knowledge and understanding of the operation, practices and policies of executive government. …</w:t>
      </w:r>
    </w:p>
    <w:p w14:paraId="0D541439" w14:textId="77777777" w:rsidR="005B21A9" w:rsidRDefault="00016F62" w:rsidP="005B21A9">
      <w:pPr>
        <w:ind w:left="1440"/>
        <w:rPr>
          <w:sz w:val="22"/>
          <w:szCs w:val="22"/>
        </w:rPr>
      </w:pPr>
      <w:r w:rsidRPr="005B21A9">
        <w:rPr>
          <w:sz w:val="22"/>
          <w:szCs w:val="22"/>
        </w:rPr>
        <w:t xml:space="preserve">It is one thing to regulate the disclosure of particular information for legitimate reasons relating to that information and/or to the effects of its disclosure. It is another to adopt the </w:t>
      </w:r>
      <w:proofErr w:type="gramStart"/>
      <w:r w:rsidRPr="005B21A9">
        <w:rPr>
          <w:sz w:val="22"/>
          <w:szCs w:val="22"/>
        </w:rPr>
        <w:t>catch-all</w:t>
      </w:r>
      <w:proofErr w:type="gramEnd"/>
      <w:r w:rsidRPr="005B21A9">
        <w:rPr>
          <w:sz w:val="22"/>
          <w:szCs w:val="22"/>
        </w:rPr>
        <w:t xml:space="preserve"> approach of </w:t>
      </w:r>
      <w:proofErr w:type="spellStart"/>
      <w:r w:rsidRPr="005B21A9">
        <w:rPr>
          <w:sz w:val="22"/>
          <w:szCs w:val="22"/>
        </w:rPr>
        <w:t>reg</w:t>
      </w:r>
      <w:proofErr w:type="spellEnd"/>
      <w:r w:rsidRPr="005B21A9">
        <w:rPr>
          <w:sz w:val="22"/>
          <w:szCs w:val="22"/>
        </w:rPr>
        <w:t xml:space="preserve"> 7(13) which does not purport </w:t>
      </w:r>
      <w:r w:rsidRPr="005B21A9">
        <w:rPr>
          <w:sz w:val="22"/>
          <w:szCs w:val="22"/>
        </w:rPr>
        <w:lastRenderedPageBreak/>
        <w:t>either to differentiate between species of information or the consequences of disclosure.</w:t>
      </w:r>
      <w:r w:rsidRPr="005B21A9">
        <w:rPr>
          <w:rStyle w:val="EndnoteReference"/>
          <w:szCs w:val="22"/>
        </w:rPr>
        <w:endnoteReference w:id="42"/>
      </w:r>
      <w:r w:rsidRPr="005B21A9">
        <w:rPr>
          <w:sz w:val="22"/>
          <w:szCs w:val="22"/>
        </w:rPr>
        <w:t xml:space="preserve"> </w:t>
      </w:r>
    </w:p>
    <w:p w14:paraId="6D988687" w14:textId="77777777" w:rsidR="00016F62" w:rsidRPr="00CB4A83" w:rsidRDefault="00016F62" w:rsidP="005B21A9">
      <w:pPr>
        <w:ind w:left="1440"/>
      </w:pPr>
      <w:r w:rsidRPr="005B21A9">
        <w:rPr>
          <w:sz w:val="22"/>
          <w:szCs w:val="22"/>
        </w:rPr>
        <w:t>[</w:t>
      </w:r>
      <w:proofErr w:type="gramStart"/>
      <w:r w:rsidRPr="005B21A9">
        <w:rPr>
          <w:sz w:val="22"/>
          <w:szCs w:val="22"/>
        </w:rPr>
        <w:t>emphasis</w:t>
      </w:r>
      <w:proofErr w:type="gramEnd"/>
      <w:r w:rsidRPr="005B21A9">
        <w:rPr>
          <w:sz w:val="22"/>
          <w:szCs w:val="22"/>
        </w:rPr>
        <w:t xml:space="preserve"> added]</w:t>
      </w:r>
    </w:p>
    <w:p w14:paraId="0F6DCF40" w14:textId="56EA8C31" w:rsidR="00016F62" w:rsidRPr="00CB4A83" w:rsidRDefault="00016F62" w:rsidP="004F14E2">
      <w:pPr>
        <w:pStyle w:val="SubmissionNormal"/>
        <w:numPr>
          <w:ilvl w:val="0"/>
          <w:numId w:val="21"/>
        </w:numPr>
        <w:ind w:hanging="720"/>
      </w:pPr>
      <w:r w:rsidRPr="005B21A9">
        <w:t>The ALRC ultimately recommended that the Commonwealth enact a ‘general secrecy offence’</w:t>
      </w:r>
      <w:r w:rsidR="00905A04">
        <w:t xml:space="preserve"> to replace s 70 of the </w:t>
      </w:r>
      <w:r w:rsidR="00905A04" w:rsidRPr="00905A04">
        <w:rPr>
          <w:i/>
        </w:rPr>
        <w:t>Crimes Act 1914</w:t>
      </w:r>
      <w:r w:rsidR="00905A04">
        <w:t xml:space="preserve"> (</w:t>
      </w:r>
      <w:proofErr w:type="spellStart"/>
      <w:r w:rsidR="00905A04">
        <w:t>Cth</w:t>
      </w:r>
      <w:proofErr w:type="spellEnd"/>
      <w:r w:rsidR="00905A04">
        <w:t xml:space="preserve">) </w:t>
      </w:r>
      <w:r w:rsidR="00B31F48">
        <w:t xml:space="preserve">and </w:t>
      </w:r>
      <w:r w:rsidR="00905A04">
        <w:t xml:space="preserve">to apply to all Commonwealth information and to all present and former Commonwealth officers. It </w:t>
      </w:r>
      <w:r w:rsidR="00D45E00">
        <w:t xml:space="preserve">also </w:t>
      </w:r>
      <w:r w:rsidRPr="005B21A9">
        <w:t xml:space="preserve">gave careful consideration to what essential public interests </w:t>
      </w:r>
      <w:proofErr w:type="gramStart"/>
      <w:r w:rsidRPr="005B21A9">
        <w:t>should be protected</w:t>
      </w:r>
      <w:proofErr w:type="gramEnd"/>
      <w:r w:rsidRPr="005B21A9">
        <w:t xml:space="preserve"> by it.</w:t>
      </w:r>
      <w:r w:rsidRPr="005B21A9">
        <w:rPr>
          <w:sz w:val="20"/>
          <w:vertAlign w:val="superscript"/>
        </w:rPr>
        <w:endnoteReference w:id="43"/>
      </w:r>
      <w:r w:rsidRPr="005B21A9">
        <w:t xml:space="preserve"> </w:t>
      </w:r>
    </w:p>
    <w:p w14:paraId="02B47470" w14:textId="77777777" w:rsidR="00016F62" w:rsidRPr="005B21A9" w:rsidRDefault="00016F62" w:rsidP="004F14E2">
      <w:pPr>
        <w:pStyle w:val="SubmissionNormal"/>
        <w:numPr>
          <w:ilvl w:val="0"/>
          <w:numId w:val="21"/>
        </w:numPr>
        <w:ind w:hanging="720"/>
      </w:pPr>
      <w:r w:rsidRPr="005B21A9">
        <w:t>Following consultation with numerous stakeholders, the ALRC recommended that the Commonwealth enact a ‘general secrecy offence’ in the following terms:</w:t>
      </w:r>
    </w:p>
    <w:p w14:paraId="5FE3AA47" w14:textId="77777777" w:rsidR="00016F62" w:rsidRPr="00CB4A83" w:rsidRDefault="00016F62" w:rsidP="003C5C8F">
      <w:pPr>
        <w:ind w:left="720"/>
        <w:rPr>
          <w:sz w:val="22"/>
          <w:szCs w:val="22"/>
        </w:rPr>
      </w:pPr>
      <w:r w:rsidRPr="00CB4A83">
        <w:rPr>
          <w:sz w:val="22"/>
          <w:szCs w:val="22"/>
        </w:rPr>
        <w:t>The general secrecy offence should require that the disclosure of Commonwealth information did, or was reasonably likely to, or intended to:</w:t>
      </w:r>
    </w:p>
    <w:p w14:paraId="3C084B79" w14:textId="3EFFCBEE" w:rsidR="00016F62" w:rsidRDefault="00016F62" w:rsidP="003F2A49">
      <w:pPr>
        <w:pStyle w:val="ListParagraph"/>
        <w:numPr>
          <w:ilvl w:val="0"/>
          <w:numId w:val="38"/>
        </w:numPr>
        <w:rPr>
          <w:sz w:val="22"/>
          <w:szCs w:val="22"/>
        </w:rPr>
      </w:pPr>
      <w:r w:rsidRPr="003F2A49">
        <w:rPr>
          <w:sz w:val="22"/>
          <w:szCs w:val="22"/>
        </w:rPr>
        <w:t>damage the security, defence or international relations of the Commonwealth;</w:t>
      </w:r>
    </w:p>
    <w:p w14:paraId="763F3968" w14:textId="77777777" w:rsidR="003F2A49" w:rsidRPr="003F2A49" w:rsidRDefault="003F2A49" w:rsidP="003F2A49">
      <w:pPr>
        <w:pStyle w:val="ListParagraph"/>
        <w:ind w:left="2160"/>
        <w:rPr>
          <w:sz w:val="22"/>
          <w:szCs w:val="22"/>
        </w:rPr>
      </w:pPr>
    </w:p>
    <w:p w14:paraId="25443E18" w14:textId="6438FD39" w:rsidR="00016F62" w:rsidRDefault="00016F62" w:rsidP="003F2A49">
      <w:pPr>
        <w:pStyle w:val="ListParagraph"/>
        <w:numPr>
          <w:ilvl w:val="0"/>
          <w:numId w:val="38"/>
        </w:numPr>
        <w:rPr>
          <w:sz w:val="22"/>
          <w:szCs w:val="22"/>
        </w:rPr>
      </w:pPr>
      <w:r w:rsidRPr="003F2A49">
        <w:rPr>
          <w:sz w:val="22"/>
          <w:szCs w:val="22"/>
        </w:rPr>
        <w:t>prejudice the prevention, detection, investigation, prosecution or punishment of criminal offences;</w:t>
      </w:r>
    </w:p>
    <w:p w14:paraId="0AFB0522" w14:textId="77777777" w:rsidR="003F2A49" w:rsidRPr="003F2A49" w:rsidRDefault="003F2A49" w:rsidP="003F2A49">
      <w:pPr>
        <w:pStyle w:val="ListParagraph"/>
        <w:rPr>
          <w:sz w:val="22"/>
          <w:szCs w:val="22"/>
        </w:rPr>
      </w:pPr>
    </w:p>
    <w:p w14:paraId="460EF017" w14:textId="20AC7782" w:rsidR="00016F62" w:rsidRDefault="00016F62" w:rsidP="003F2A49">
      <w:pPr>
        <w:pStyle w:val="ListParagraph"/>
        <w:numPr>
          <w:ilvl w:val="0"/>
          <w:numId w:val="38"/>
        </w:numPr>
        <w:rPr>
          <w:sz w:val="22"/>
          <w:szCs w:val="22"/>
        </w:rPr>
      </w:pPr>
      <w:r w:rsidRPr="003F2A49">
        <w:rPr>
          <w:sz w:val="22"/>
          <w:szCs w:val="22"/>
        </w:rPr>
        <w:t>endanger the life or physical safety of any person; or</w:t>
      </w:r>
    </w:p>
    <w:p w14:paraId="6F18C894" w14:textId="77777777" w:rsidR="003F2A49" w:rsidRPr="003F2A49" w:rsidRDefault="003F2A49" w:rsidP="003F2A49">
      <w:pPr>
        <w:pStyle w:val="ListParagraph"/>
        <w:rPr>
          <w:sz w:val="22"/>
          <w:szCs w:val="22"/>
        </w:rPr>
      </w:pPr>
    </w:p>
    <w:p w14:paraId="461D863C" w14:textId="141376DB" w:rsidR="00016F62" w:rsidRPr="003F2A49" w:rsidRDefault="00016F62" w:rsidP="003F2A49">
      <w:pPr>
        <w:pStyle w:val="ListParagraph"/>
        <w:numPr>
          <w:ilvl w:val="0"/>
          <w:numId w:val="38"/>
        </w:numPr>
        <w:rPr>
          <w:sz w:val="22"/>
          <w:szCs w:val="22"/>
        </w:rPr>
      </w:pPr>
      <w:proofErr w:type="gramStart"/>
      <w:r w:rsidRPr="003F2A49">
        <w:rPr>
          <w:sz w:val="22"/>
          <w:szCs w:val="22"/>
        </w:rPr>
        <w:t>prejudice</w:t>
      </w:r>
      <w:proofErr w:type="gramEnd"/>
      <w:r w:rsidRPr="003F2A49">
        <w:rPr>
          <w:sz w:val="22"/>
          <w:szCs w:val="22"/>
        </w:rPr>
        <w:t xml:space="preserve"> the protection of public safety.</w:t>
      </w:r>
      <w:r w:rsidRPr="00CB4A83">
        <w:rPr>
          <w:rStyle w:val="EndnoteReference"/>
          <w:rFonts w:cs="Arial"/>
          <w:szCs w:val="22"/>
        </w:rPr>
        <w:endnoteReference w:id="44"/>
      </w:r>
    </w:p>
    <w:p w14:paraId="75B38A81" w14:textId="6E3DB933" w:rsidR="00016F62" w:rsidRPr="00CB4A83" w:rsidRDefault="008B2C50" w:rsidP="004F14E2">
      <w:pPr>
        <w:pStyle w:val="SubmissionNormal"/>
        <w:numPr>
          <w:ilvl w:val="0"/>
          <w:numId w:val="21"/>
        </w:numPr>
        <w:ind w:hanging="720"/>
      </w:pPr>
      <w:r>
        <w:t>Paragraphs</w:t>
      </w:r>
      <w:r w:rsidR="00016F62" w:rsidRPr="00CB4A83">
        <w:t xml:space="preserve"> (a) – (c) in the definition of </w:t>
      </w:r>
      <w:r w:rsidR="00A508B1" w:rsidRPr="00A508B1">
        <w:rPr>
          <w:i/>
        </w:rPr>
        <w:t>‘Immigration and Border Protection information’</w:t>
      </w:r>
      <w:r w:rsidR="00016F62" w:rsidRPr="00CB4A83">
        <w:t xml:space="preserve"> in </w:t>
      </w:r>
      <w:r>
        <w:t xml:space="preserve">item 1 of </w:t>
      </w:r>
      <w:r w:rsidR="00016F62">
        <w:t xml:space="preserve">the </w:t>
      </w:r>
      <w:r w:rsidR="00016F62" w:rsidRPr="00CB4A83">
        <w:t>present Bill broadly correlate to the essential public interests identified by the ALRC in its final report. They protect i</w:t>
      </w:r>
      <w:r w:rsidR="00016F62" w:rsidRPr="008B2C50">
        <w:t>nformation the disclosure of which would or could reasonably be expected to:</w:t>
      </w:r>
    </w:p>
    <w:p w14:paraId="03D5677C" w14:textId="58EE91BC" w:rsidR="00016F62" w:rsidRPr="003C5C8F" w:rsidRDefault="00016F62" w:rsidP="003C5C8F">
      <w:pPr>
        <w:pStyle w:val="ListParagraph"/>
        <w:numPr>
          <w:ilvl w:val="0"/>
          <w:numId w:val="45"/>
        </w:numPr>
        <w:ind w:left="1800"/>
        <w:rPr>
          <w:rFonts w:cs="Arial"/>
          <w:sz w:val="22"/>
          <w:szCs w:val="22"/>
        </w:rPr>
      </w:pPr>
      <w:r w:rsidRPr="003C5C8F">
        <w:rPr>
          <w:rFonts w:cs="Arial"/>
          <w:sz w:val="22"/>
          <w:szCs w:val="22"/>
        </w:rPr>
        <w:t xml:space="preserve">prejudice the security, defence or international relations of Australia; </w:t>
      </w:r>
    </w:p>
    <w:p w14:paraId="5359B6CE" w14:textId="77777777" w:rsidR="003F2A49" w:rsidRPr="003F2A49" w:rsidRDefault="003F2A49" w:rsidP="003C5C8F">
      <w:pPr>
        <w:pStyle w:val="ListParagraph"/>
        <w:ind w:left="3240"/>
        <w:rPr>
          <w:rFonts w:cs="Arial"/>
          <w:sz w:val="22"/>
          <w:szCs w:val="22"/>
        </w:rPr>
      </w:pPr>
    </w:p>
    <w:p w14:paraId="2CEFB3D3" w14:textId="583CD808" w:rsidR="00016F62" w:rsidRPr="003C5C8F" w:rsidRDefault="00016F62" w:rsidP="003C5C8F">
      <w:pPr>
        <w:pStyle w:val="ListParagraph"/>
        <w:numPr>
          <w:ilvl w:val="0"/>
          <w:numId w:val="45"/>
        </w:numPr>
        <w:ind w:left="1800"/>
        <w:rPr>
          <w:rFonts w:cs="Arial"/>
          <w:sz w:val="22"/>
          <w:szCs w:val="22"/>
        </w:rPr>
      </w:pPr>
      <w:r w:rsidRPr="003C5C8F">
        <w:rPr>
          <w:rFonts w:cs="Arial"/>
          <w:sz w:val="22"/>
          <w:szCs w:val="22"/>
        </w:rPr>
        <w:t>prejudice the prevention, detection or investigation of, or the conduct of proceedings relating to, an offence or a contravention of a civil penalty provision;</w:t>
      </w:r>
    </w:p>
    <w:p w14:paraId="5EF2B7CF" w14:textId="77777777" w:rsidR="003F2A49" w:rsidRPr="003F2A49" w:rsidRDefault="003F2A49" w:rsidP="003C5C8F">
      <w:pPr>
        <w:pStyle w:val="ListParagraph"/>
        <w:ind w:left="1800"/>
        <w:rPr>
          <w:rFonts w:cs="Arial"/>
          <w:sz w:val="22"/>
          <w:szCs w:val="22"/>
        </w:rPr>
      </w:pPr>
    </w:p>
    <w:p w14:paraId="02D26CD7" w14:textId="508399A5" w:rsidR="00016F62" w:rsidRPr="003C5C8F" w:rsidRDefault="00016F62" w:rsidP="003C5C8F">
      <w:pPr>
        <w:pStyle w:val="ListParagraph"/>
        <w:numPr>
          <w:ilvl w:val="0"/>
          <w:numId w:val="45"/>
        </w:numPr>
        <w:ind w:left="1800"/>
        <w:rPr>
          <w:rFonts w:cs="Arial"/>
          <w:sz w:val="22"/>
          <w:szCs w:val="22"/>
        </w:rPr>
      </w:pPr>
      <w:r w:rsidRPr="003C5C8F">
        <w:rPr>
          <w:rFonts w:cs="Arial"/>
          <w:sz w:val="22"/>
          <w:szCs w:val="22"/>
        </w:rPr>
        <w:t>prejudice the protection of public health, or endanger the life or safety of an individual or group of individuals;</w:t>
      </w:r>
    </w:p>
    <w:p w14:paraId="5DA616A5" w14:textId="3195C5A3" w:rsidR="00016F62" w:rsidRPr="008B2C50" w:rsidRDefault="008B2C50" w:rsidP="004F14E2">
      <w:pPr>
        <w:pStyle w:val="SubmissionNormal"/>
        <w:numPr>
          <w:ilvl w:val="0"/>
          <w:numId w:val="21"/>
        </w:numPr>
        <w:ind w:hanging="720"/>
      </w:pPr>
      <w:r>
        <w:t>Paragraphs</w:t>
      </w:r>
      <w:r w:rsidR="00016F62" w:rsidRPr="008B2C50">
        <w:t xml:space="preserve"> (d) – (e) </w:t>
      </w:r>
      <w:r w:rsidR="00016F62" w:rsidRPr="00CB4A83">
        <w:t xml:space="preserve">in the definition of </w:t>
      </w:r>
      <w:r w:rsidR="00A508B1" w:rsidRPr="00A508B1">
        <w:rPr>
          <w:i/>
        </w:rPr>
        <w:t>‘Immigration and Border Protection information’</w:t>
      </w:r>
      <w:r w:rsidR="00016F62" w:rsidRPr="00CB4A83">
        <w:t xml:space="preserve"> </w:t>
      </w:r>
      <w:r w:rsidR="000B6DFC">
        <w:t xml:space="preserve">in item 1 of the Bill </w:t>
      </w:r>
      <w:r w:rsidR="00016F62" w:rsidRPr="008B2C50">
        <w:t xml:space="preserve">go beyond the recommendations made by the ALRC, extending to </w:t>
      </w:r>
      <w:r w:rsidR="00016F62" w:rsidRPr="00CB4A83">
        <w:t>i</w:t>
      </w:r>
      <w:r w:rsidR="00016F62" w:rsidRPr="008B2C50">
        <w:t>nformation the disclosure of which would or could reasonably be expected to:</w:t>
      </w:r>
    </w:p>
    <w:p w14:paraId="47BFAE08" w14:textId="6C9AD7EA" w:rsidR="00016F62" w:rsidRPr="003C5C8F" w:rsidRDefault="00016F62" w:rsidP="003C5C8F">
      <w:pPr>
        <w:pStyle w:val="ListParagraph"/>
        <w:numPr>
          <w:ilvl w:val="0"/>
          <w:numId w:val="45"/>
        </w:numPr>
        <w:ind w:left="1800"/>
        <w:rPr>
          <w:sz w:val="22"/>
          <w:szCs w:val="22"/>
        </w:rPr>
      </w:pPr>
      <w:r w:rsidRPr="003C5C8F">
        <w:rPr>
          <w:sz w:val="22"/>
          <w:szCs w:val="22"/>
        </w:rPr>
        <w:t>found an action by a person (other than the Commonwealth) for breach of a duty of confidence</w:t>
      </w:r>
      <w:r w:rsidR="000B6DFC" w:rsidRPr="003C5C8F">
        <w:rPr>
          <w:sz w:val="22"/>
          <w:szCs w:val="22"/>
        </w:rPr>
        <w:t>;</w:t>
      </w:r>
    </w:p>
    <w:p w14:paraId="0B5A2F70" w14:textId="77777777" w:rsidR="003F2A49" w:rsidRPr="003F2A49" w:rsidRDefault="003F2A49" w:rsidP="003C5C8F">
      <w:pPr>
        <w:pStyle w:val="ListParagraph"/>
        <w:ind w:left="3240"/>
        <w:rPr>
          <w:sz w:val="22"/>
          <w:szCs w:val="22"/>
        </w:rPr>
      </w:pPr>
    </w:p>
    <w:p w14:paraId="1F843D94" w14:textId="7189D8F7" w:rsidR="00016F62" w:rsidRPr="003C5C8F" w:rsidRDefault="00016F62" w:rsidP="003C5C8F">
      <w:pPr>
        <w:pStyle w:val="ListParagraph"/>
        <w:numPr>
          <w:ilvl w:val="0"/>
          <w:numId w:val="45"/>
        </w:numPr>
        <w:ind w:left="1800"/>
        <w:rPr>
          <w:sz w:val="22"/>
          <w:szCs w:val="22"/>
        </w:rPr>
      </w:pPr>
      <w:proofErr w:type="gramStart"/>
      <w:r w:rsidRPr="003C5C8F">
        <w:rPr>
          <w:sz w:val="22"/>
          <w:szCs w:val="22"/>
        </w:rPr>
        <w:t>cause</w:t>
      </w:r>
      <w:proofErr w:type="gramEnd"/>
      <w:r w:rsidRPr="003C5C8F">
        <w:rPr>
          <w:sz w:val="22"/>
          <w:szCs w:val="22"/>
        </w:rPr>
        <w:t xml:space="preserve"> competitive detriment to a person.</w:t>
      </w:r>
    </w:p>
    <w:p w14:paraId="2F3B13FC" w14:textId="77777777" w:rsidR="00016F62" w:rsidRPr="002E2667" w:rsidRDefault="00016F62" w:rsidP="002E2667">
      <w:pPr>
        <w:pStyle w:val="Heading1"/>
      </w:pPr>
      <w:bookmarkStart w:id="49" w:name="_Toc365465906"/>
      <w:bookmarkStart w:id="50" w:name="_Toc491958008"/>
      <w:r w:rsidRPr="002E2667">
        <w:lastRenderedPageBreak/>
        <w:t>Criminal sanction</w:t>
      </w:r>
      <w:r w:rsidR="00E75652" w:rsidRPr="002E2667">
        <w:t>s</w:t>
      </w:r>
      <w:r w:rsidRPr="002E2667">
        <w:t xml:space="preserve"> for unauthorised disclosure</w:t>
      </w:r>
      <w:bookmarkEnd w:id="49"/>
      <w:bookmarkEnd w:id="50"/>
    </w:p>
    <w:p w14:paraId="087A6D63" w14:textId="0E0CF9C5" w:rsidR="00016F62" w:rsidRPr="000B6DFC" w:rsidRDefault="00016F62" w:rsidP="004F14E2">
      <w:pPr>
        <w:pStyle w:val="SubmissionNormal"/>
        <w:numPr>
          <w:ilvl w:val="0"/>
          <w:numId w:val="21"/>
        </w:numPr>
        <w:ind w:hanging="720"/>
      </w:pPr>
      <w:r w:rsidRPr="000B6DFC">
        <w:t>The unauthorised disclosure of information under s 42 of the ABF Act carries a penalty of up to two years imprisonment.</w:t>
      </w:r>
      <w:r w:rsidR="005C34FA">
        <w:rPr>
          <w:rStyle w:val="EndnoteReference"/>
        </w:rPr>
        <w:endnoteReference w:id="45"/>
      </w:r>
      <w:r w:rsidRPr="000B6DFC">
        <w:t xml:space="preserve"> </w:t>
      </w:r>
    </w:p>
    <w:p w14:paraId="5BC32357" w14:textId="77777777" w:rsidR="00016F62" w:rsidRPr="000B6DFC" w:rsidRDefault="00016F62" w:rsidP="004F14E2">
      <w:pPr>
        <w:pStyle w:val="SubmissionNormal"/>
        <w:numPr>
          <w:ilvl w:val="0"/>
          <w:numId w:val="21"/>
        </w:numPr>
        <w:ind w:hanging="720"/>
      </w:pPr>
      <w:r w:rsidRPr="000B6DFC">
        <w:t>Unlike the imposition of administrative sanctions, such as termination of employment, a reduction in salary or a formal reprimand, criminal sanction is a judicial act that alters a person’s legal status.</w:t>
      </w:r>
      <w:r w:rsidRPr="000B6DFC">
        <w:rPr>
          <w:sz w:val="20"/>
          <w:vertAlign w:val="superscript"/>
        </w:rPr>
        <w:endnoteReference w:id="46"/>
      </w:r>
      <w:r w:rsidRPr="000B6DFC">
        <w:t xml:space="preserve"> In addition to the deprivation of liberty associated with any period of incarceration, it can have serious ongoing consequences. As noted by the ALRC</w:t>
      </w:r>
      <w:r w:rsidR="000B6DFC">
        <w:t>,</w:t>
      </w:r>
      <w:r w:rsidRPr="000B6DFC">
        <w:rPr>
          <w:sz w:val="20"/>
          <w:vertAlign w:val="superscript"/>
        </w:rPr>
        <w:endnoteReference w:id="47"/>
      </w:r>
      <w:r w:rsidRPr="000B6DFC">
        <w:t xml:space="preserve"> a person convicted of certain offences may be:</w:t>
      </w:r>
    </w:p>
    <w:p w14:paraId="682F992B" w14:textId="77777777" w:rsidR="00016F62" w:rsidRPr="000B6DFC" w:rsidRDefault="00016F62" w:rsidP="003F2A49">
      <w:pPr>
        <w:pStyle w:val="ListParagraph"/>
        <w:numPr>
          <w:ilvl w:val="0"/>
          <w:numId w:val="41"/>
        </w:numPr>
        <w:contextualSpacing w:val="0"/>
      </w:pPr>
      <w:r w:rsidRPr="000B6DFC">
        <w:t>ineligible to hold public office;</w:t>
      </w:r>
    </w:p>
    <w:p w14:paraId="0513FB4A" w14:textId="77777777" w:rsidR="00016F62" w:rsidRPr="000B6DFC" w:rsidRDefault="00016F62" w:rsidP="003F2A49">
      <w:pPr>
        <w:pStyle w:val="ListParagraph"/>
        <w:numPr>
          <w:ilvl w:val="0"/>
          <w:numId w:val="41"/>
        </w:numPr>
        <w:contextualSpacing w:val="0"/>
      </w:pPr>
      <w:r w:rsidRPr="000B6DFC">
        <w:t>ineligible to manage a corporation, or be a director or principal executive officer of a company;</w:t>
      </w:r>
    </w:p>
    <w:p w14:paraId="6A9BF23D" w14:textId="77777777" w:rsidR="00016F62" w:rsidRPr="000B6DFC" w:rsidRDefault="00016F62" w:rsidP="003F2A49">
      <w:pPr>
        <w:pStyle w:val="ListParagraph"/>
        <w:numPr>
          <w:ilvl w:val="0"/>
          <w:numId w:val="41"/>
        </w:numPr>
        <w:contextualSpacing w:val="0"/>
      </w:pPr>
      <w:r w:rsidRPr="000B6DFC">
        <w:t>required to disclose the fact of his or her criminal conviction in a number of circumstances, for example, in obtaining a driver’s licence or in seeking employment in certain positions; and</w:t>
      </w:r>
    </w:p>
    <w:p w14:paraId="7BA8FC60" w14:textId="77777777" w:rsidR="00016F62" w:rsidRPr="000B6DFC" w:rsidRDefault="00016F62" w:rsidP="003F2A49">
      <w:pPr>
        <w:pStyle w:val="ListParagraph"/>
        <w:numPr>
          <w:ilvl w:val="0"/>
          <w:numId w:val="41"/>
        </w:numPr>
        <w:contextualSpacing w:val="0"/>
      </w:pPr>
      <w:proofErr w:type="gramStart"/>
      <w:r w:rsidRPr="000B6DFC">
        <w:t>deported</w:t>
      </w:r>
      <w:proofErr w:type="gramEnd"/>
      <w:r w:rsidRPr="000B6DFC">
        <w:t>, if he or she is a non-citizen</w:t>
      </w:r>
      <w:r w:rsidR="000B6DFC">
        <w:t>.</w:t>
      </w:r>
    </w:p>
    <w:p w14:paraId="1CE6F67F" w14:textId="77777777" w:rsidR="00016F62" w:rsidRPr="000B6DFC" w:rsidRDefault="00016F62" w:rsidP="004F14E2">
      <w:pPr>
        <w:pStyle w:val="SubmissionNormal"/>
        <w:numPr>
          <w:ilvl w:val="0"/>
          <w:numId w:val="21"/>
        </w:numPr>
        <w:ind w:hanging="720"/>
      </w:pPr>
      <w:r w:rsidRPr="000B6DFC">
        <w:t xml:space="preserve">The Commission acknowledges that criminal penalties have deterrent value and accepts that, in serious cases, they are appropriate. The Department </w:t>
      </w:r>
      <w:proofErr w:type="gramStart"/>
      <w:r w:rsidRPr="000B6DFC">
        <w:t>is entrusted</w:t>
      </w:r>
      <w:proofErr w:type="gramEnd"/>
      <w:r w:rsidRPr="000B6DFC">
        <w:t xml:space="preserve"> with highly sensitive information across numerous portfolios and criminal penalties act as an assurance to the community, both domestic and international, that private information provided to the Australian Government will be adequately protected. However, it is also important to ensure that secrecy provisions carrying criminal sanction</w:t>
      </w:r>
      <w:r w:rsidR="00EF167B">
        <w:t>s</w:t>
      </w:r>
      <w:r w:rsidRPr="000B6DFC">
        <w:t xml:space="preserve"> are not overly broad. </w:t>
      </w:r>
    </w:p>
    <w:p w14:paraId="638B3748" w14:textId="2F8A7DB0" w:rsidR="00016F62" w:rsidRPr="000B6DFC" w:rsidRDefault="00016F62" w:rsidP="004F14E2">
      <w:pPr>
        <w:pStyle w:val="SubmissionNormal"/>
        <w:numPr>
          <w:ilvl w:val="0"/>
          <w:numId w:val="21"/>
        </w:numPr>
        <w:ind w:hanging="720"/>
      </w:pPr>
      <w:r w:rsidRPr="000B6DFC">
        <w:t>Given the adverse consequences associated with criminal conviction, the Commission recommend</w:t>
      </w:r>
      <w:r w:rsidR="00EF167B">
        <w:t>s</w:t>
      </w:r>
      <w:r w:rsidRPr="000B6DFC">
        <w:t xml:space="preserve"> that criminal penalties should only attach to the unauthorised disclosure of official information when it harms, or is reasonably likely to harm, essential public interests. </w:t>
      </w:r>
      <w:r w:rsidR="00EF167B">
        <w:t xml:space="preserve">This is consistent with </w:t>
      </w:r>
      <w:r w:rsidR="003F14CE">
        <w:t xml:space="preserve">the application of a </w:t>
      </w:r>
      <w:r w:rsidR="00EF167B">
        <w:t>proportionality analysis</w:t>
      </w:r>
      <w:r w:rsidR="00D45E00">
        <w:t xml:space="preserve"> as embodied in the </w:t>
      </w:r>
      <w:proofErr w:type="spellStart"/>
      <w:r w:rsidR="00D45E00">
        <w:t>Siracusa</w:t>
      </w:r>
      <w:proofErr w:type="spellEnd"/>
      <w:r w:rsidR="00D45E00">
        <w:t xml:space="preserve"> Principles</w:t>
      </w:r>
      <w:r w:rsidR="003F14CE">
        <w:t>. It is appropriate for criminal sanctions to attach to intentional conduct reasonably likely to cause harm to others or to the public.</w:t>
      </w:r>
      <w:r w:rsidR="00EF167B">
        <w:t xml:space="preserve"> </w:t>
      </w:r>
      <w:r w:rsidR="003F14CE">
        <w:t xml:space="preserve">Less serious conduct </w:t>
      </w:r>
      <w:proofErr w:type="gramStart"/>
      <w:r w:rsidR="003F14CE">
        <w:t>can be addressed</w:t>
      </w:r>
      <w:proofErr w:type="gramEnd"/>
      <w:r w:rsidR="003F14CE">
        <w:t xml:space="preserve"> </w:t>
      </w:r>
      <w:r w:rsidR="00EF167B">
        <w:t xml:space="preserve">by less restrictive measures. </w:t>
      </w:r>
      <w:r w:rsidRPr="000B6DFC">
        <w:t xml:space="preserve">For misconduct that </w:t>
      </w:r>
      <w:r w:rsidR="003F14CE">
        <w:t>is not reasonably likely to harm essential public interests</w:t>
      </w:r>
      <w:r w:rsidRPr="000B6DFC">
        <w:t xml:space="preserve">, </w:t>
      </w:r>
      <w:r w:rsidR="00EF167B">
        <w:t xml:space="preserve">the Commission considers that </w:t>
      </w:r>
      <w:r w:rsidR="00D45E00">
        <w:t xml:space="preserve">the </w:t>
      </w:r>
      <w:r w:rsidR="00B31F48">
        <w:t xml:space="preserve">pursuit </w:t>
      </w:r>
      <w:r w:rsidR="00D45E00">
        <w:t xml:space="preserve">of </w:t>
      </w:r>
      <w:r w:rsidRPr="000B6DFC">
        <w:t xml:space="preserve">administrative </w:t>
      </w:r>
      <w:r w:rsidR="00B31F48">
        <w:t xml:space="preserve">or </w:t>
      </w:r>
      <w:r w:rsidRPr="000B6DFC">
        <w:t>contractual remedie</w:t>
      </w:r>
      <w:r w:rsidR="00D45E00">
        <w:t>s is more appropriate</w:t>
      </w:r>
      <w:r w:rsidRPr="000B6DFC">
        <w:t xml:space="preserve">. </w:t>
      </w:r>
    </w:p>
    <w:p w14:paraId="6ED4BA7E" w14:textId="7771AF80" w:rsidR="00016F62" w:rsidRPr="000B6DFC" w:rsidRDefault="00016F62" w:rsidP="004F14E2">
      <w:pPr>
        <w:pStyle w:val="SubmissionNormal"/>
        <w:numPr>
          <w:ilvl w:val="0"/>
          <w:numId w:val="21"/>
        </w:numPr>
        <w:ind w:hanging="720"/>
      </w:pPr>
      <w:r w:rsidRPr="000B6DFC">
        <w:t>This position informs the Commission’s assess</w:t>
      </w:r>
      <w:r w:rsidR="00D45E00">
        <w:t>ment of the present Bill and the</w:t>
      </w:r>
      <w:r w:rsidRPr="000B6DFC">
        <w:t xml:space="preserve"> recommendations below. </w:t>
      </w:r>
    </w:p>
    <w:p w14:paraId="72035ED8" w14:textId="77777777" w:rsidR="00016F62" w:rsidRPr="002E2667" w:rsidRDefault="00016F62" w:rsidP="002E2667">
      <w:pPr>
        <w:pStyle w:val="Heading1"/>
      </w:pPr>
      <w:bookmarkStart w:id="51" w:name="_Toc365465907"/>
      <w:bookmarkStart w:id="52" w:name="_Toc491958009"/>
      <w:r w:rsidRPr="002E2667">
        <w:t>‘Would or could reasonably be expected to’</w:t>
      </w:r>
      <w:bookmarkEnd w:id="51"/>
      <w:bookmarkEnd w:id="52"/>
    </w:p>
    <w:p w14:paraId="065A740A" w14:textId="1D80A49A" w:rsidR="00016F62" w:rsidRPr="00CB4A83" w:rsidRDefault="00016F62" w:rsidP="004F14E2">
      <w:pPr>
        <w:pStyle w:val="SubmissionNormal"/>
        <w:numPr>
          <w:ilvl w:val="0"/>
          <w:numId w:val="21"/>
        </w:numPr>
        <w:ind w:hanging="720"/>
      </w:pPr>
      <w:r w:rsidRPr="00CB4A83">
        <w:t xml:space="preserve">If the Bill is passed, the secrecy provisions would apply to information the disclosure of which ‘would or could reasonably be expected to’ prejudice the categories of information set out in the definition of </w:t>
      </w:r>
      <w:r w:rsidR="00A508B1" w:rsidRPr="00A508B1">
        <w:rPr>
          <w:i/>
        </w:rPr>
        <w:t>‘Immigration and Border Protection information’</w:t>
      </w:r>
      <w:r w:rsidRPr="00CB4A83">
        <w:t xml:space="preserve">. </w:t>
      </w:r>
    </w:p>
    <w:p w14:paraId="572268F1" w14:textId="77777777" w:rsidR="00016F62" w:rsidRPr="00CB4A83" w:rsidRDefault="00016F62" w:rsidP="004F14E2">
      <w:pPr>
        <w:pStyle w:val="SubmissionNormal"/>
        <w:numPr>
          <w:ilvl w:val="0"/>
          <w:numId w:val="21"/>
        </w:numPr>
        <w:ind w:hanging="720"/>
      </w:pPr>
      <w:r w:rsidRPr="00CB4A83">
        <w:lastRenderedPageBreak/>
        <w:t xml:space="preserve">The term ‘would or could reasonably be expected to prejudice’ appears in other federal legislation, such as the </w:t>
      </w:r>
      <w:r w:rsidRPr="00151F44">
        <w:rPr>
          <w:i/>
        </w:rPr>
        <w:t>Freedom of Information Act 1982</w:t>
      </w:r>
      <w:r w:rsidRPr="00CB4A83">
        <w:t xml:space="preserve"> (</w:t>
      </w:r>
      <w:proofErr w:type="spellStart"/>
      <w:r w:rsidRPr="00CB4A83">
        <w:t>Cth</w:t>
      </w:r>
      <w:proofErr w:type="spellEnd"/>
      <w:r w:rsidRPr="00CB4A83">
        <w:t xml:space="preserve">) (FOI Act) and has been judicially considered. </w:t>
      </w:r>
    </w:p>
    <w:p w14:paraId="5E20C010" w14:textId="67EC5A7D" w:rsidR="00016F62" w:rsidRPr="00CB4A83" w:rsidRDefault="00151F44" w:rsidP="004F14E2">
      <w:pPr>
        <w:pStyle w:val="SubmissionNormal"/>
        <w:numPr>
          <w:ilvl w:val="0"/>
          <w:numId w:val="21"/>
        </w:numPr>
        <w:ind w:hanging="720"/>
      </w:pPr>
      <w:r>
        <w:t xml:space="preserve">In </w:t>
      </w:r>
      <w:r w:rsidR="00016F62" w:rsidRPr="00151F44">
        <w:rPr>
          <w:i/>
        </w:rPr>
        <w:t>Attorney-General’s Department v Cockcroft</w:t>
      </w:r>
      <w:r w:rsidR="00016F62" w:rsidRPr="00151F44">
        <w:t xml:space="preserve">, </w:t>
      </w:r>
      <w:r w:rsidR="00016F62" w:rsidRPr="00CB4A83">
        <w:t>Bowen CJ and Beaumont J construed</w:t>
      </w:r>
      <w:r>
        <w:t xml:space="preserve"> the phrase ‘could reasonably be expected to’</w:t>
      </w:r>
      <w:r w:rsidR="00D744B2">
        <w:t>,</w:t>
      </w:r>
      <w:r w:rsidR="00016F62" w:rsidRPr="00CB4A83">
        <w:t xml:space="preserve"> stating</w:t>
      </w:r>
      <w:r>
        <w:t xml:space="preserve"> that the words</w:t>
      </w:r>
    </w:p>
    <w:p w14:paraId="29750FD6" w14:textId="77777777" w:rsidR="00016F62" w:rsidRPr="00CB4A83" w:rsidRDefault="00016F62" w:rsidP="00151F44">
      <w:pPr>
        <w:ind w:left="1440"/>
      </w:pPr>
      <w:proofErr w:type="gramStart"/>
      <w:r w:rsidRPr="00151F44">
        <w:rPr>
          <w:sz w:val="22"/>
        </w:rPr>
        <w:t>were</w:t>
      </w:r>
      <w:proofErr w:type="gramEnd"/>
      <w:r w:rsidRPr="00151F44">
        <w:rPr>
          <w:sz w:val="22"/>
        </w:rPr>
        <w:t xml:space="preserve"> intended to receive their ordinary meaning. That is to say, they require a judgment to be made by the decision-maker as to whether it is reasonable, as distinct from </w:t>
      </w:r>
      <w:proofErr w:type="gramStart"/>
      <w:r w:rsidRPr="00151F44">
        <w:rPr>
          <w:sz w:val="22"/>
        </w:rPr>
        <w:t>something</w:t>
      </w:r>
      <w:proofErr w:type="gramEnd"/>
      <w:r w:rsidRPr="00151F44">
        <w:rPr>
          <w:sz w:val="22"/>
        </w:rPr>
        <w:t xml:space="preserve"> that is irrational, absurd or ridiculous ... It is undesirable to attempt any paraphrase of these words. In particular, it is undesirable to consider the operation of the provision in terms of probabilities or possibilities or the like</w:t>
      </w:r>
      <w:r w:rsidR="00151F44">
        <w:rPr>
          <w:sz w:val="22"/>
        </w:rPr>
        <w:t xml:space="preserve"> </w:t>
      </w:r>
      <w:r w:rsidRPr="00151F44">
        <w:rPr>
          <w:sz w:val="22"/>
        </w:rPr>
        <w:t>…</w:t>
      </w:r>
      <w:r w:rsidR="00151F44">
        <w:rPr>
          <w:sz w:val="22"/>
        </w:rPr>
        <w:t xml:space="preserve"> </w:t>
      </w:r>
      <w:r w:rsidRPr="00151F44">
        <w:rPr>
          <w:sz w:val="22"/>
        </w:rPr>
        <w:t>it is preferable to confine the inquiry to whether the expectation claimed was reasonably based.</w:t>
      </w:r>
      <w:r w:rsidRPr="00151F44">
        <w:rPr>
          <w:rStyle w:val="EndnoteReference"/>
          <w:iCs/>
          <w:szCs w:val="22"/>
        </w:rPr>
        <w:endnoteReference w:id="48"/>
      </w:r>
    </w:p>
    <w:p w14:paraId="0AED5F69" w14:textId="77777777" w:rsidR="00016F62" w:rsidRPr="00CC29F6" w:rsidRDefault="00016F62" w:rsidP="004F14E2">
      <w:pPr>
        <w:pStyle w:val="SubmissionNormal"/>
        <w:numPr>
          <w:ilvl w:val="0"/>
          <w:numId w:val="21"/>
        </w:numPr>
        <w:ind w:hanging="720"/>
      </w:pPr>
      <w:r w:rsidRPr="00CC29F6">
        <w:t>Accordingly, the relevant expectation must be based on reason, or agreeable to reason, and not fanciful, imaginary or contrived.</w:t>
      </w:r>
      <w:r w:rsidRPr="00506D96">
        <w:rPr>
          <w:sz w:val="20"/>
          <w:vertAlign w:val="superscript"/>
        </w:rPr>
        <w:endnoteReference w:id="49"/>
      </w:r>
      <w:r w:rsidRPr="00CC29F6">
        <w:t xml:space="preserve"> An expectation of an occurrence that is speculative, conjectural or a mere possibility </w:t>
      </w:r>
      <w:proofErr w:type="gramStart"/>
      <w:r w:rsidRPr="00CC29F6">
        <w:t>will not be considered</w:t>
      </w:r>
      <w:proofErr w:type="gramEnd"/>
      <w:r w:rsidRPr="00CC29F6">
        <w:t xml:space="preserve"> reasonable.</w:t>
      </w:r>
      <w:r w:rsidRPr="00506D96">
        <w:rPr>
          <w:sz w:val="20"/>
          <w:vertAlign w:val="superscript"/>
        </w:rPr>
        <w:endnoteReference w:id="50"/>
      </w:r>
      <w:r w:rsidRPr="00CC29F6">
        <w:t xml:space="preserve"> However, it is not necessary for the decision maker to be satisfied on the balance of probabilities that the expectation will occur.</w:t>
      </w:r>
      <w:r w:rsidRPr="00506D96">
        <w:rPr>
          <w:sz w:val="20"/>
          <w:vertAlign w:val="superscript"/>
        </w:rPr>
        <w:endnoteReference w:id="51"/>
      </w:r>
      <w:r w:rsidRPr="00CC29F6">
        <w:t xml:space="preserve"> A possibility of prejudice that is real, significant or material, and based on reasonable grounds, will be sufficient.</w:t>
      </w:r>
      <w:r w:rsidRPr="00506D96">
        <w:rPr>
          <w:sz w:val="20"/>
          <w:vertAlign w:val="superscript"/>
        </w:rPr>
        <w:endnoteReference w:id="52"/>
      </w:r>
      <w:r w:rsidRPr="00CC29F6">
        <w:t xml:space="preserve"> </w:t>
      </w:r>
    </w:p>
    <w:p w14:paraId="4F71EA61" w14:textId="77777777" w:rsidR="00016F62" w:rsidRPr="00CC29F6" w:rsidRDefault="00016F62" w:rsidP="004F14E2">
      <w:pPr>
        <w:pStyle w:val="SubmissionNormal"/>
        <w:numPr>
          <w:ilvl w:val="0"/>
          <w:numId w:val="21"/>
        </w:numPr>
        <w:ind w:hanging="720"/>
      </w:pPr>
      <w:r w:rsidRPr="00CC29F6">
        <w:t xml:space="preserve">The term ‘would or could reasonably be expected to’ in the Bill potentially criminalises the unauthorised disclosure of information where there is the reasonable possibility, </w:t>
      </w:r>
      <w:r w:rsidR="00506D96">
        <w:t xml:space="preserve">but </w:t>
      </w:r>
      <w:r w:rsidRPr="00CC29F6">
        <w:t xml:space="preserve">not the reasonable likelihood, of prejudice. </w:t>
      </w:r>
    </w:p>
    <w:p w14:paraId="60395DA8" w14:textId="1352DED0" w:rsidR="00016F62" w:rsidRPr="00CC29F6" w:rsidRDefault="00016F62" w:rsidP="004F14E2">
      <w:pPr>
        <w:pStyle w:val="SubmissionNormal"/>
        <w:numPr>
          <w:ilvl w:val="0"/>
          <w:numId w:val="21"/>
        </w:numPr>
        <w:ind w:hanging="720"/>
      </w:pPr>
      <w:r w:rsidRPr="00CC29F6">
        <w:t xml:space="preserve">As discussed above, the Commission </w:t>
      </w:r>
      <w:r w:rsidR="004B675B">
        <w:t xml:space="preserve">considers </w:t>
      </w:r>
      <w:r w:rsidRPr="00CC29F6">
        <w:t xml:space="preserve">that, in the absence of any actual or likely harm to public interests, the unauthorised disclosure of Commonwealth information should not be subject to criminal sanction and </w:t>
      </w:r>
      <w:proofErr w:type="gramStart"/>
      <w:r w:rsidRPr="00CC29F6">
        <w:t>is more suitably dealt with</w:t>
      </w:r>
      <w:proofErr w:type="gramEnd"/>
      <w:r w:rsidRPr="00CC29F6">
        <w:t xml:space="preserve"> by way of administrative or contractual remedies.</w:t>
      </w:r>
      <w:r w:rsidRPr="00506D96">
        <w:rPr>
          <w:sz w:val="20"/>
          <w:vertAlign w:val="superscript"/>
        </w:rPr>
        <w:endnoteReference w:id="53"/>
      </w:r>
      <w:r w:rsidR="00506D96">
        <w:t xml:space="preserve"> </w:t>
      </w:r>
      <w:r w:rsidR="000D6EBC">
        <w:t>T</w:t>
      </w:r>
      <w:r w:rsidR="008B50CA">
        <w:t>he Commission’s view is that a</w:t>
      </w:r>
      <w:r w:rsidR="00506D96">
        <w:t xml:space="preserve">pplying criminal sanctions to </w:t>
      </w:r>
      <w:r w:rsidR="00BD62C2">
        <w:t xml:space="preserve">a broader range of expression would be disproportionate to </w:t>
      </w:r>
      <w:r w:rsidR="00B07467">
        <w:t xml:space="preserve">the </w:t>
      </w:r>
      <w:r w:rsidR="008B50CA">
        <w:t xml:space="preserve">aim of preventing harm to relevant public interests. </w:t>
      </w:r>
    </w:p>
    <w:p w14:paraId="13CAEEBE" w14:textId="77777777" w:rsidR="00016F62" w:rsidRPr="008B50CA" w:rsidRDefault="00016F62" w:rsidP="008B50CA">
      <w:pPr>
        <w:keepNext/>
        <w:ind w:left="720"/>
        <w:rPr>
          <w:b/>
        </w:rPr>
      </w:pPr>
      <w:r w:rsidRPr="008B50CA">
        <w:rPr>
          <w:b/>
        </w:rPr>
        <w:t>Recommendation 2</w:t>
      </w:r>
    </w:p>
    <w:p w14:paraId="6B35BA66" w14:textId="73084E8B" w:rsidR="000D6EBC" w:rsidRPr="00F431BF" w:rsidRDefault="000D6EBC" w:rsidP="000D6EBC">
      <w:pPr>
        <w:pStyle w:val="SubmissionNormal"/>
        <w:ind w:left="720"/>
      </w:pPr>
      <w:r w:rsidRPr="00F431BF">
        <w:t xml:space="preserve">The Commission recommends that the </w:t>
      </w:r>
      <w:r>
        <w:t xml:space="preserve">proposed </w:t>
      </w:r>
      <w:r w:rsidRPr="00F431BF">
        <w:t xml:space="preserve">definition of </w:t>
      </w:r>
      <w:r w:rsidR="00A508B1" w:rsidRPr="00A508B1">
        <w:rPr>
          <w:i/>
        </w:rPr>
        <w:t>‘Immigration an</w:t>
      </w:r>
      <w:r w:rsidR="00A478F3">
        <w:rPr>
          <w:i/>
        </w:rPr>
        <w:t>d Border Protection information</w:t>
      </w:r>
      <w:r w:rsidR="00B07467">
        <w:t>’</w:t>
      </w:r>
      <w:r w:rsidRPr="00F431BF">
        <w:t xml:space="preserve"> in </w:t>
      </w:r>
      <w:r>
        <w:t xml:space="preserve">item 1 of the Bill </w:t>
      </w:r>
      <w:r w:rsidR="00B07467">
        <w:t xml:space="preserve">be amended by deleting the words </w:t>
      </w:r>
      <w:r w:rsidRPr="00F431BF">
        <w:t>‘could reasonably be expected to’</w:t>
      </w:r>
      <w:r w:rsidR="00B07467">
        <w:t xml:space="preserve"> in paragraphs (a) to (e), and replacing them with </w:t>
      </w:r>
      <w:r w:rsidRPr="00F431BF">
        <w:t>‘is reasonably likely to’</w:t>
      </w:r>
      <w:r w:rsidR="00B07467">
        <w:t xml:space="preserve"> in each of those paragraphs</w:t>
      </w:r>
      <w:r w:rsidRPr="00F431BF">
        <w:t xml:space="preserve">. </w:t>
      </w:r>
    </w:p>
    <w:p w14:paraId="073CD0EC" w14:textId="77777777" w:rsidR="00016F62" w:rsidRPr="002E2667" w:rsidRDefault="00016F62" w:rsidP="002E2667">
      <w:pPr>
        <w:pStyle w:val="Heading1"/>
      </w:pPr>
      <w:bookmarkStart w:id="53" w:name="_Toc365465908"/>
      <w:bookmarkStart w:id="54" w:name="_Toc491958010"/>
      <w:r w:rsidRPr="002E2667">
        <w:t>‘Prejudice’ or ‘damage’ to the security, defence or international relations of Australia?</w:t>
      </w:r>
      <w:bookmarkEnd w:id="53"/>
      <w:bookmarkEnd w:id="54"/>
    </w:p>
    <w:p w14:paraId="43279692" w14:textId="77777777" w:rsidR="00016F62" w:rsidRPr="000D6EBC" w:rsidRDefault="00016F62" w:rsidP="004F14E2">
      <w:pPr>
        <w:pStyle w:val="SubmissionNormal"/>
        <w:numPr>
          <w:ilvl w:val="0"/>
          <w:numId w:val="21"/>
        </w:numPr>
        <w:ind w:hanging="720"/>
      </w:pPr>
      <w:r w:rsidRPr="000D6EBC">
        <w:t xml:space="preserve">In the proposed ALRC secrecy offence, the </w:t>
      </w:r>
      <w:r w:rsidRPr="00CB4A83">
        <w:t xml:space="preserve">unauthorised disclosure of information would attract criminal liability if the disclosure of </w:t>
      </w:r>
      <w:r w:rsidRPr="000D6EBC">
        <w:t xml:space="preserve">information did, or was reasonably likely to, or intended to </w:t>
      </w:r>
      <w:r w:rsidRPr="000D6EBC">
        <w:rPr>
          <w:u w:val="single"/>
        </w:rPr>
        <w:t>damage</w:t>
      </w:r>
      <w:r w:rsidRPr="000D6EBC">
        <w:t xml:space="preserve"> the security, defence or international relations of the Commonwealth. </w:t>
      </w:r>
    </w:p>
    <w:p w14:paraId="60C838A7" w14:textId="77777777" w:rsidR="00016F62" w:rsidRPr="000D6EBC" w:rsidRDefault="00016F62" w:rsidP="004F14E2">
      <w:pPr>
        <w:pStyle w:val="SubmissionNormal"/>
        <w:numPr>
          <w:ilvl w:val="0"/>
          <w:numId w:val="21"/>
        </w:numPr>
        <w:ind w:hanging="720"/>
      </w:pPr>
      <w:r w:rsidRPr="000D6EBC">
        <w:lastRenderedPageBreak/>
        <w:t xml:space="preserve">Similarly, </w:t>
      </w:r>
      <w:r w:rsidR="000D6EBC">
        <w:t>s</w:t>
      </w:r>
      <w:r w:rsidR="002B5CE0">
        <w:t xml:space="preserve"> </w:t>
      </w:r>
      <w:r w:rsidRPr="000D6EBC">
        <w:t xml:space="preserve">33 of the FOI Act exempts documents from disclosure if the disclosure ‘would, or could reasonably be expected to, </w:t>
      </w:r>
      <w:r w:rsidRPr="000D6EBC">
        <w:rPr>
          <w:u w:val="single"/>
        </w:rPr>
        <w:t>cause damage</w:t>
      </w:r>
      <w:r w:rsidR="000D6EBC">
        <w:t>’</w:t>
      </w:r>
      <w:r w:rsidRPr="000D6EBC">
        <w:t xml:space="preserve"> to the Commonwealth’s security, defence or international relations. </w:t>
      </w:r>
    </w:p>
    <w:p w14:paraId="7C3241CB" w14:textId="43906FCA" w:rsidR="00016F62" w:rsidRPr="000D6EBC" w:rsidRDefault="00016F62" w:rsidP="004F14E2">
      <w:pPr>
        <w:pStyle w:val="SubmissionNormal"/>
        <w:numPr>
          <w:ilvl w:val="0"/>
          <w:numId w:val="21"/>
        </w:numPr>
        <w:ind w:hanging="720"/>
      </w:pPr>
      <w:r w:rsidRPr="00CB4A83">
        <w:t xml:space="preserve">In </w:t>
      </w:r>
      <w:r w:rsidR="000D6EBC">
        <w:t xml:space="preserve">paragraph (a) of the definition of </w:t>
      </w:r>
      <w:r w:rsidR="00A508B1" w:rsidRPr="00A508B1">
        <w:rPr>
          <w:i/>
        </w:rPr>
        <w:t>‘Immigration and Border Protection information’</w:t>
      </w:r>
      <w:r w:rsidR="000D6EBC">
        <w:t xml:space="preserve"> in item 1 of </w:t>
      </w:r>
      <w:r w:rsidRPr="00CB4A83">
        <w:t xml:space="preserve">the present Bill, the unauthorised disclosure of information attracts criminal liability if the </w:t>
      </w:r>
      <w:r w:rsidR="000D6EBC">
        <w:t xml:space="preserve">disclosure of the </w:t>
      </w:r>
      <w:r w:rsidRPr="00CB4A83">
        <w:t xml:space="preserve">information </w:t>
      </w:r>
      <w:r w:rsidR="000D6EBC">
        <w:t>‘</w:t>
      </w:r>
      <w:r w:rsidRPr="000D6EBC">
        <w:t xml:space="preserve">would or could reasonably be expected to </w:t>
      </w:r>
      <w:r w:rsidRPr="000D6EBC">
        <w:rPr>
          <w:u w:val="single"/>
        </w:rPr>
        <w:t>prejudice</w:t>
      </w:r>
      <w:r w:rsidRPr="000D6EBC">
        <w:t xml:space="preserve"> the security, defence or international relations of Australia’</w:t>
      </w:r>
      <w:r w:rsidR="00232626">
        <w:t>.</w:t>
      </w:r>
    </w:p>
    <w:p w14:paraId="2F1314DD" w14:textId="77777777" w:rsidR="00016F62" w:rsidRPr="00CB4A83" w:rsidRDefault="00016F62" w:rsidP="004F14E2">
      <w:pPr>
        <w:pStyle w:val="SubmissionNormal"/>
        <w:numPr>
          <w:ilvl w:val="0"/>
          <w:numId w:val="21"/>
        </w:numPr>
        <w:ind w:hanging="720"/>
      </w:pPr>
      <w:r w:rsidRPr="00CB4A83">
        <w:t xml:space="preserve">‘Prejudice’ </w:t>
      </w:r>
      <w:proofErr w:type="gramStart"/>
      <w:r w:rsidRPr="00CB4A83">
        <w:t>is not defined</w:t>
      </w:r>
      <w:proofErr w:type="gramEnd"/>
      <w:r w:rsidRPr="00CB4A83">
        <w:t xml:space="preserve"> in either the ABF Act or the FOI Act. The guidelines to the FOI Act produced by the Office of the Australian Information Commissioner (FOI guidelines) refer to the Macquarie Dictionary definition of prejudice as requiring:</w:t>
      </w:r>
    </w:p>
    <w:p w14:paraId="0A142F8A" w14:textId="77777777" w:rsidR="00016F62" w:rsidRPr="00CB4A83" w:rsidRDefault="00016F62" w:rsidP="000A58A8">
      <w:pPr>
        <w:pStyle w:val="ListParagraph"/>
        <w:numPr>
          <w:ilvl w:val="0"/>
          <w:numId w:val="16"/>
        </w:numPr>
        <w:ind w:left="1434" w:hanging="357"/>
        <w:contextualSpacing w:val="0"/>
      </w:pPr>
      <w:r w:rsidRPr="00CB4A83">
        <w:t xml:space="preserve">disadvantage resulting from some judgement or action of another; </w:t>
      </w:r>
    </w:p>
    <w:p w14:paraId="43707F06" w14:textId="77777777" w:rsidR="00016F62" w:rsidRPr="00CB4A83" w:rsidRDefault="00016F62" w:rsidP="000A58A8">
      <w:pPr>
        <w:pStyle w:val="ListParagraph"/>
        <w:numPr>
          <w:ilvl w:val="0"/>
          <w:numId w:val="16"/>
        </w:numPr>
        <w:ind w:left="1434" w:hanging="357"/>
        <w:contextualSpacing w:val="0"/>
      </w:pPr>
      <w:proofErr w:type="gramStart"/>
      <w:r w:rsidRPr="00CB4A83">
        <w:t>resulting</w:t>
      </w:r>
      <w:proofErr w:type="gramEnd"/>
      <w:r w:rsidRPr="00CB4A83">
        <w:t xml:space="preserve"> injury or detriment.</w:t>
      </w:r>
      <w:r w:rsidRPr="00232626">
        <w:rPr>
          <w:sz w:val="20"/>
          <w:vertAlign w:val="superscript"/>
        </w:rPr>
        <w:endnoteReference w:id="54"/>
      </w:r>
    </w:p>
    <w:p w14:paraId="4DC5E45E" w14:textId="77777777" w:rsidR="00016F62" w:rsidRPr="00CB4A83" w:rsidRDefault="00016F62" w:rsidP="004F14E2">
      <w:pPr>
        <w:pStyle w:val="SubmissionNormal"/>
        <w:numPr>
          <w:ilvl w:val="0"/>
          <w:numId w:val="21"/>
        </w:numPr>
        <w:ind w:hanging="720"/>
      </w:pPr>
      <w:r w:rsidRPr="00CB4A83">
        <w:t>The FOI guidelines further clarify that a prejudicial effect is ‘one which would cause a bias or change to the expected results leading to detrimental or disadvantageous outcomes’</w:t>
      </w:r>
      <w:r w:rsidR="00232626">
        <w:t>.</w:t>
      </w:r>
      <w:r w:rsidRPr="00232626">
        <w:rPr>
          <w:sz w:val="20"/>
          <w:vertAlign w:val="superscript"/>
        </w:rPr>
        <w:endnoteReference w:id="55"/>
      </w:r>
      <w:r w:rsidRPr="00CB4A83">
        <w:t xml:space="preserve"> The expected outcome does not need to have an impact that is ‘substantial and adverse’.</w:t>
      </w:r>
      <w:r w:rsidRPr="00232626">
        <w:rPr>
          <w:sz w:val="20"/>
          <w:vertAlign w:val="superscript"/>
        </w:rPr>
        <w:endnoteReference w:id="56"/>
      </w:r>
    </w:p>
    <w:p w14:paraId="3BD6C629" w14:textId="39B3CDAA" w:rsidR="00016F62" w:rsidRPr="00CB4A83" w:rsidRDefault="00016F62" w:rsidP="004F14E2">
      <w:pPr>
        <w:pStyle w:val="SubmissionNormal"/>
        <w:numPr>
          <w:ilvl w:val="0"/>
          <w:numId w:val="21"/>
        </w:numPr>
        <w:ind w:hanging="720"/>
      </w:pPr>
      <w:r w:rsidRPr="00CB4A83">
        <w:t xml:space="preserve">In </w:t>
      </w:r>
      <w:r w:rsidR="00A62A98">
        <w:t>the Commission’s</w:t>
      </w:r>
      <w:r w:rsidR="00A62A98" w:rsidRPr="00CB4A83">
        <w:t xml:space="preserve"> </w:t>
      </w:r>
      <w:r w:rsidRPr="00CB4A83">
        <w:t xml:space="preserve">view, </w:t>
      </w:r>
      <w:r w:rsidR="00B07467">
        <w:t>the use of the word</w:t>
      </w:r>
      <w:r w:rsidRPr="00CB4A83">
        <w:t xml:space="preserve"> ‘prejudice’ in the present Bill</w:t>
      </w:r>
      <w:r w:rsidR="00B07467">
        <w:t>, as distinct from ‘damage’,</w:t>
      </w:r>
      <w:r w:rsidRPr="00CB4A83">
        <w:t xml:space="preserve"> potentially broadens the application of the provision to include disclosures that simply disadvantage, rather than harm or damage, </w:t>
      </w:r>
      <w:r w:rsidR="00CA0AB0">
        <w:t xml:space="preserve">particular </w:t>
      </w:r>
      <w:r w:rsidRPr="00CB4A83">
        <w:t>public interests</w:t>
      </w:r>
      <w:r w:rsidR="00CA0AB0">
        <w:t xml:space="preserve"> in a way that may not be substantial or adverse</w:t>
      </w:r>
      <w:r w:rsidRPr="00CB4A83">
        <w:t xml:space="preserve">. </w:t>
      </w:r>
    </w:p>
    <w:p w14:paraId="397CEED5" w14:textId="77777777" w:rsidR="00016F62" w:rsidRDefault="00016F62" w:rsidP="004F14E2">
      <w:pPr>
        <w:pStyle w:val="SubmissionNormal"/>
        <w:numPr>
          <w:ilvl w:val="0"/>
          <w:numId w:val="21"/>
        </w:numPr>
        <w:ind w:hanging="720"/>
      </w:pPr>
      <w:r w:rsidRPr="00CB4A83">
        <w:t xml:space="preserve">Given </w:t>
      </w:r>
      <w:r w:rsidR="00A62A98">
        <w:t>the Commission’s</w:t>
      </w:r>
      <w:r w:rsidR="00A62A98" w:rsidRPr="00CB4A83">
        <w:t xml:space="preserve"> </w:t>
      </w:r>
      <w:r w:rsidRPr="00CB4A83">
        <w:t xml:space="preserve">view that criminal liability should only attach to </w:t>
      </w:r>
      <w:r w:rsidR="00A62A98">
        <w:t>disclosures</w:t>
      </w:r>
      <w:r w:rsidR="00A62A98" w:rsidRPr="00CB4A83">
        <w:t xml:space="preserve"> </w:t>
      </w:r>
      <w:r w:rsidRPr="00CB4A83">
        <w:t xml:space="preserve">that </w:t>
      </w:r>
      <w:r w:rsidR="00A62A98">
        <w:t xml:space="preserve">will or are likely to </w:t>
      </w:r>
      <w:r w:rsidRPr="00CB4A83">
        <w:t xml:space="preserve">harm essential public interests, </w:t>
      </w:r>
      <w:r w:rsidR="00A62A98">
        <w:t xml:space="preserve">the Commission </w:t>
      </w:r>
      <w:r w:rsidRPr="00CB4A83">
        <w:t>recommend</w:t>
      </w:r>
      <w:r w:rsidR="00A62A98">
        <w:t>s</w:t>
      </w:r>
      <w:r w:rsidRPr="00CB4A83">
        <w:t xml:space="preserve"> that the present Bill be amended to only criminalise disclosures that</w:t>
      </w:r>
      <w:r w:rsidR="00A62A98">
        <w:t xml:space="preserve"> would be reasonably likely to</w:t>
      </w:r>
      <w:r w:rsidRPr="00CB4A83">
        <w:t xml:space="preserve"> </w:t>
      </w:r>
      <w:r w:rsidR="00A62A98">
        <w:t>‘</w:t>
      </w:r>
      <w:r w:rsidRPr="00CB4A83">
        <w:t>damage</w:t>
      </w:r>
      <w:r w:rsidR="00A62A98">
        <w:t>’</w:t>
      </w:r>
      <w:r w:rsidRPr="00CB4A83">
        <w:t xml:space="preserve"> the security, defence or international relations of Australia. </w:t>
      </w:r>
    </w:p>
    <w:p w14:paraId="08E3365A" w14:textId="77777777" w:rsidR="00016F62" w:rsidRPr="00A62A98" w:rsidRDefault="00016F62" w:rsidP="00A62A98">
      <w:pPr>
        <w:keepNext/>
        <w:ind w:left="720"/>
        <w:rPr>
          <w:b/>
        </w:rPr>
      </w:pPr>
      <w:r w:rsidRPr="00A62A98">
        <w:rPr>
          <w:b/>
        </w:rPr>
        <w:t>Recommendation 3</w:t>
      </w:r>
    </w:p>
    <w:p w14:paraId="0FA8CD6D" w14:textId="22ABC4E1" w:rsidR="00A62A98" w:rsidRPr="00F431BF" w:rsidRDefault="00A62A98" w:rsidP="00A62A98">
      <w:pPr>
        <w:pStyle w:val="SubmissionNormal"/>
        <w:ind w:left="720"/>
      </w:pPr>
      <w:proofErr w:type="gramStart"/>
      <w:r w:rsidRPr="00F431BF">
        <w:t xml:space="preserve">The Commission recommends that the </w:t>
      </w:r>
      <w:r>
        <w:t xml:space="preserve">proposed </w:t>
      </w:r>
      <w:r w:rsidRPr="00F431BF">
        <w:t xml:space="preserve">definition of </w:t>
      </w:r>
      <w:r w:rsidR="00A508B1" w:rsidRPr="00A508B1">
        <w:rPr>
          <w:i/>
        </w:rPr>
        <w:t>‘Immigration and Border Protection information’</w:t>
      </w:r>
      <w:r w:rsidRPr="00F431BF">
        <w:t xml:space="preserve"> </w:t>
      </w:r>
      <w:r>
        <w:t>in item 1</w:t>
      </w:r>
      <w:r w:rsidR="00B07467">
        <w:t>, paragraph (a),</w:t>
      </w:r>
      <w:r>
        <w:t xml:space="preserve"> </w:t>
      </w:r>
      <w:r w:rsidRPr="00F431BF">
        <w:t xml:space="preserve">of the Bill </w:t>
      </w:r>
      <w:r w:rsidR="00B07467">
        <w:t xml:space="preserve">be amended by deleting the term </w:t>
      </w:r>
      <w:r w:rsidRPr="00F431BF">
        <w:t xml:space="preserve">‘would or could reasonably be expected to </w:t>
      </w:r>
      <w:r w:rsidRPr="0046678E">
        <w:rPr>
          <w:u w:val="single"/>
        </w:rPr>
        <w:t>prejudice</w:t>
      </w:r>
      <w:r w:rsidRPr="00F431BF">
        <w:t xml:space="preserve"> the security, defence or international relations of Australia’</w:t>
      </w:r>
      <w:r w:rsidR="00B07467">
        <w:t>, and replacing it with</w:t>
      </w:r>
      <w:r w:rsidRPr="00F431BF">
        <w:t xml:space="preserve"> ‘would or is reasonably likely to </w:t>
      </w:r>
      <w:r w:rsidRPr="0046678E">
        <w:rPr>
          <w:u w:val="single"/>
        </w:rPr>
        <w:t>damage</w:t>
      </w:r>
      <w:r w:rsidRPr="00F431BF">
        <w:t xml:space="preserve"> the security, defence or international relations of Australia’.</w:t>
      </w:r>
      <w:proofErr w:type="gramEnd"/>
      <w:r w:rsidRPr="00F431BF">
        <w:t xml:space="preserve">  </w:t>
      </w:r>
    </w:p>
    <w:p w14:paraId="59DD80F3" w14:textId="77777777" w:rsidR="00016F62" w:rsidRPr="002E2667" w:rsidRDefault="00016F62" w:rsidP="002E2667">
      <w:pPr>
        <w:pStyle w:val="Heading1"/>
      </w:pPr>
      <w:bookmarkStart w:id="55" w:name="_Toc491958011"/>
      <w:r w:rsidRPr="002E2667">
        <w:t>Defining ‘security’ and ‘international relations’</w:t>
      </w:r>
      <w:bookmarkEnd w:id="55"/>
    </w:p>
    <w:p w14:paraId="21A8C684" w14:textId="77777777" w:rsidR="00016F62" w:rsidRPr="00CA0AB0" w:rsidRDefault="00016F62" w:rsidP="004F14E2">
      <w:pPr>
        <w:pStyle w:val="SubmissionNormal"/>
        <w:numPr>
          <w:ilvl w:val="0"/>
          <w:numId w:val="21"/>
        </w:numPr>
        <w:ind w:hanging="720"/>
      </w:pPr>
      <w:r w:rsidRPr="00CA0AB0">
        <w:t xml:space="preserve">Clarity in the law is always desirable. </w:t>
      </w:r>
      <w:r w:rsidR="00CA0AB0">
        <w:t>I</w:t>
      </w:r>
      <w:r w:rsidRPr="00CA0AB0">
        <w:t>t is particularly important in the context of criminal law, as a person should be able to assess with reasonable certainty what constitutes criminal conduct before engaging in it.</w:t>
      </w:r>
      <w:r w:rsidRPr="00CA0AB0">
        <w:rPr>
          <w:sz w:val="20"/>
          <w:vertAlign w:val="superscript"/>
        </w:rPr>
        <w:endnoteReference w:id="57"/>
      </w:r>
      <w:r w:rsidRPr="00CA0AB0">
        <w:t xml:space="preserve"> This is made more difficult when operative terms in criminal offences are not </w:t>
      </w:r>
      <w:proofErr w:type="gramStart"/>
      <w:r w:rsidRPr="00CA0AB0">
        <w:t>well-defined</w:t>
      </w:r>
      <w:proofErr w:type="gramEnd"/>
      <w:r w:rsidRPr="00CA0AB0">
        <w:t xml:space="preserve">, such as in the present Bill. </w:t>
      </w:r>
    </w:p>
    <w:p w14:paraId="62D4806E" w14:textId="77777777" w:rsidR="00016F62" w:rsidRPr="002E2667" w:rsidRDefault="00016F62" w:rsidP="002E2667">
      <w:pPr>
        <w:pStyle w:val="Heading2"/>
      </w:pPr>
      <w:bookmarkStart w:id="56" w:name="_Toc365465909"/>
      <w:bookmarkStart w:id="57" w:name="_Toc491958012"/>
      <w:r w:rsidRPr="002E2667">
        <w:lastRenderedPageBreak/>
        <w:t>Security</w:t>
      </w:r>
      <w:bookmarkEnd w:id="56"/>
      <w:bookmarkEnd w:id="57"/>
      <w:r w:rsidRPr="002E2667">
        <w:t xml:space="preserve"> </w:t>
      </w:r>
    </w:p>
    <w:p w14:paraId="0D4FEAEF" w14:textId="77777777" w:rsidR="00016F62" w:rsidRPr="00CA0AB0" w:rsidRDefault="00016F62" w:rsidP="004F14E2">
      <w:pPr>
        <w:pStyle w:val="SubmissionNormal"/>
        <w:numPr>
          <w:ilvl w:val="0"/>
          <w:numId w:val="21"/>
        </w:numPr>
        <w:ind w:hanging="720"/>
      </w:pPr>
      <w:r w:rsidRPr="00CA0AB0">
        <w:t xml:space="preserve">The term ‘security’ </w:t>
      </w:r>
      <w:proofErr w:type="gramStart"/>
      <w:r w:rsidRPr="00CA0AB0">
        <w:t>is not defined</w:t>
      </w:r>
      <w:proofErr w:type="gramEnd"/>
      <w:r w:rsidRPr="00CA0AB0">
        <w:t xml:space="preserve"> in the ABF Act. The concept of ‘national security’ as it appears in multiple pieces of federal legislation </w:t>
      </w:r>
      <w:proofErr w:type="gramStart"/>
      <w:r w:rsidRPr="00CA0AB0">
        <w:t>was given</w:t>
      </w:r>
      <w:proofErr w:type="gramEnd"/>
      <w:r w:rsidRPr="00CA0AB0">
        <w:t xml:space="preserve"> careful consideration by the ALRC during its inquiry</w:t>
      </w:r>
      <w:r w:rsidR="00CA0AB0">
        <w:t xml:space="preserve"> into secrecy laws and open government in Australia</w:t>
      </w:r>
      <w:r w:rsidRPr="00CA0AB0">
        <w:t>.</w:t>
      </w:r>
      <w:r w:rsidRPr="00CA0AB0">
        <w:rPr>
          <w:sz w:val="20"/>
          <w:vertAlign w:val="superscript"/>
        </w:rPr>
        <w:endnoteReference w:id="58"/>
      </w:r>
      <w:r w:rsidRPr="00CA0AB0">
        <w:t xml:space="preserve"> </w:t>
      </w:r>
    </w:p>
    <w:p w14:paraId="4DF486AD" w14:textId="6E8B6DAE" w:rsidR="00016F62" w:rsidRDefault="00016F62" w:rsidP="004F14E2">
      <w:pPr>
        <w:pStyle w:val="SubmissionNormal"/>
        <w:numPr>
          <w:ilvl w:val="0"/>
          <w:numId w:val="21"/>
        </w:numPr>
        <w:ind w:hanging="720"/>
      </w:pPr>
      <w:r w:rsidRPr="00CA0AB0">
        <w:t>Ultimately, the ALRC formed the view that including a definition of the term ‘security’ in its general secrecy offence would assist Commonwealth officers and the courts to understand the scope of the offence.</w:t>
      </w:r>
      <w:r w:rsidRPr="00CA0AB0">
        <w:rPr>
          <w:sz w:val="20"/>
          <w:vertAlign w:val="superscript"/>
        </w:rPr>
        <w:endnoteReference w:id="59"/>
      </w:r>
      <w:r w:rsidRPr="00CA0AB0">
        <w:t xml:space="preserve"> It recommended the definition currently set out in the </w:t>
      </w:r>
      <w:r w:rsidRPr="00CA0AB0">
        <w:rPr>
          <w:i/>
        </w:rPr>
        <w:t>Australian Security Intelligence Organisation Act 1979</w:t>
      </w:r>
      <w:r w:rsidRPr="00CA0AB0">
        <w:t xml:space="preserve"> (</w:t>
      </w:r>
      <w:proofErr w:type="spellStart"/>
      <w:r w:rsidRPr="00CA0AB0">
        <w:t>Cth</w:t>
      </w:r>
      <w:proofErr w:type="spellEnd"/>
      <w:r w:rsidRPr="00CA0AB0">
        <w:t xml:space="preserve">) (ASIO Act). This definition is also consistent with the provisions of the </w:t>
      </w:r>
      <w:r w:rsidRPr="00CA0AB0">
        <w:rPr>
          <w:i/>
        </w:rPr>
        <w:t xml:space="preserve">National Security Information (Criminal and Civil Proceedings) Act 2004 </w:t>
      </w:r>
      <w:r w:rsidRPr="00CA0AB0">
        <w:t>(</w:t>
      </w:r>
      <w:proofErr w:type="spellStart"/>
      <w:r w:rsidRPr="00CA0AB0">
        <w:t>Cth</w:t>
      </w:r>
      <w:proofErr w:type="spellEnd"/>
      <w:r w:rsidRPr="00CA0AB0">
        <w:t>).</w:t>
      </w:r>
    </w:p>
    <w:p w14:paraId="75FB91BC" w14:textId="77777777" w:rsidR="00C66E58" w:rsidRPr="00CA0AB0" w:rsidRDefault="00C66E58" w:rsidP="00C66E58">
      <w:pPr>
        <w:pStyle w:val="SubmissionNormal"/>
        <w:ind w:left="720"/>
      </w:pPr>
    </w:p>
    <w:p w14:paraId="38DF6900" w14:textId="77777777" w:rsidR="00016F62" w:rsidRPr="00CA0AB0" w:rsidRDefault="00016F62" w:rsidP="004F14E2">
      <w:pPr>
        <w:pStyle w:val="SubmissionNormal"/>
        <w:numPr>
          <w:ilvl w:val="0"/>
          <w:numId w:val="21"/>
        </w:numPr>
        <w:ind w:hanging="720"/>
      </w:pPr>
      <w:r w:rsidRPr="00CA0AB0">
        <w:t xml:space="preserve">Section 4 of the ASIO Act defines </w:t>
      </w:r>
      <w:r w:rsidR="00CA0AB0">
        <w:t>‘</w:t>
      </w:r>
      <w:bookmarkStart w:id="58" w:name="paragraph"/>
      <w:r w:rsidR="00CA0AB0">
        <w:t xml:space="preserve">security’ </w:t>
      </w:r>
      <w:r w:rsidRPr="00CA0AB0">
        <w:t>as:</w:t>
      </w:r>
    </w:p>
    <w:p w14:paraId="6DCBE9C8" w14:textId="7A4F3729" w:rsidR="00016F62" w:rsidRPr="009115AD" w:rsidRDefault="009115AD" w:rsidP="00FC07C4">
      <w:pPr>
        <w:ind w:left="1440" w:hanging="720"/>
        <w:rPr>
          <w:rFonts w:cs="Arial"/>
          <w:sz w:val="22"/>
          <w:szCs w:val="22"/>
        </w:rPr>
      </w:pPr>
      <w:r w:rsidRPr="009115AD">
        <w:rPr>
          <w:rFonts w:cs="Arial"/>
          <w:sz w:val="22"/>
          <w:szCs w:val="22"/>
        </w:rPr>
        <w:t>(a)</w:t>
      </w:r>
      <w:r w:rsidRPr="009115AD">
        <w:rPr>
          <w:rFonts w:cs="Arial"/>
          <w:sz w:val="22"/>
          <w:szCs w:val="22"/>
        </w:rPr>
        <w:tab/>
      </w:r>
      <w:proofErr w:type="gramStart"/>
      <w:r w:rsidR="00016F62" w:rsidRPr="009115AD">
        <w:rPr>
          <w:rFonts w:cs="Arial"/>
          <w:sz w:val="22"/>
          <w:szCs w:val="22"/>
        </w:rPr>
        <w:t>the</w:t>
      </w:r>
      <w:proofErr w:type="gramEnd"/>
      <w:r w:rsidR="00016F62" w:rsidRPr="009115AD">
        <w:rPr>
          <w:rFonts w:cs="Arial"/>
          <w:sz w:val="22"/>
          <w:szCs w:val="22"/>
        </w:rPr>
        <w:t xml:space="preserve"> protection of, and of the people of, the Commonwealth and the several States and Territories from:</w:t>
      </w:r>
    </w:p>
    <w:p w14:paraId="42D4941E" w14:textId="77777777" w:rsidR="00016F62" w:rsidRPr="009115AD" w:rsidRDefault="00016F62" w:rsidP="000A58A8">
      <w:pPr>
        <w:pStyle w:val="ListParagraph"/>
        <w:numPr>
          <w:ilvl w:val="0"/>
          <w:numId w:val="17"/>
        </w:numPr>
        <w:spacing w:before="0" w:after="0"/>
        <w:ind w:left="2880"/>
        <w:rPr>
          <w:rFonts w:cs="Arial"/>
          <w:sz w:val="22"/>
        </w:rPr>
      </w:pPr>
      <w:bookmarkStart w:id="59" w:name="paragraphsub"/>
      <w:r w:rsidRPr="009115AD">
        <w:rPr>
          <w:rFonts w:cs="Arial"/>
          <w:sz w:val="22"/>
        </w:rPr>
        <w:t>espionage;</w:t>
      </w:r>
    </w:p>
    <w:p w14:paraId="7043237A" w14:textId="77777777" w:rsidR="00016F62" w:rsidRPr="009115AD" w:rsidRDefault="00016F62" w:rsidP="000A58A8">
      <w:pPr>
        <w:pStyle w:val="ListParagraph"/>
        <w:numPr>
          <w:ilvl w:val="0"/>
          <w:numId w:val="17"/>
        </w:numPr>
        <w:spacing w:before="0" w:after="0"/>
        <w:ind w:left="2880"/>
        <w:rPr>
          <w:rFonts w:cs="Arial"/>
          <w:sz w:val="22"/>
        </w:rPr>
      </w:pPr>
      <w:r w:rsidRPr="009115AD">
        <w:rPr>
          <w:rFonts w:cs="Arial"/>
          <w:sz w:val="22"/>
        </w:rPr>
        <w:t>sabotage;</w:t>
      </w:r>
    </w:p>
    <w:p w14:paraId="5AB504B1" w14:textId="77777777" w:rsidR="00016F62" w:rsidRPr="009115AD" w:rsidRDefault="00016F62" w:rsidP="000A58A8">
      <w:pPr>
        <w:pStyle w:val="ListParagraph"/>
        <w:numPr>
          <w:ilvl w:val="0"/>
          <w:numId w:val="17"/>
        </w:numPr>
        <w:spacing w:before="0" w:after="0"/>
        <w:ind w:left="2880"/>
        <w:rPr>
          <w:rFonts w:cs="Arial"/>
          <w:sz w:val="22"/>
        </w:rPr>
      </w:pPr>
      <w:r w:rsidRPr="009115AD">
        <w:rPr>
          <w:rFonts w:cs="Arial"/>
          <w:sz w:val="22"/>
        </w:rPr>
        <w:t>politically motivated violence;</w:t>
      </w:r>
    </w:p>
    <w:p w14:paraId="6D81E06D" w14:textId="77777777" w:rsidR="00016F62" w:rsidRPr="009115AD" w:rsidRDefault="00016F62" w:rsidP="000A58A8">
      <w:pPr>
        <w:pStyle w:val="ListParagraph"/>
        <w:numPr>
          <w:ilvl w:val="0"/>
          <w:numId w:val="17"/>
        </w:numPr>
        <w:spacing w:before="0" w:after="0"/>
        <w:ind w:left="2880"/>
        <w:rPr>
          <w:rFonts w:cs="Arial"/>
          <w:sz w:val="22"/>
        </w:rPr>
      </w:pPr>
      <w:r w:rsidRPr="009115AD">
        <w:rPr>
          <w:rFonts w:cs="Arial"/>
          <w:sz w:val="22"/>
        </w:rPr>
        <w:t xml:space="preserve">promotion of communal violence; </w:t>
      </w:r>
    </w:p>
    <w:p w14:paraId="2A8BA58B" w14:textId="77777777" w:rsidR="00016F62" w:rsidRPr="009115AD" w:rsidRDefault="00016F62" w:rsidP="000A58A8">
      <w:pPr>
        <w:pStyle w:val="ListParagraph"/>
        <w:numPr>
          <w:ilvl w:val="0"/>
          <w:numId w:val="17"/>
        </w:numPr>
        <w:spacing w:before="0" w:after="0"/>
        <w:ind w:left="2880"/>
        <w:rPr>
          <w:rFonts w:cs="Arial"/>
          <w:sz w:val="22"/>
        </w:rPr>
      </w:pPr>
      <w:r w:rsidRPr="009115AD">
        <w:rPr>
          <w:rFonts w:cs="Arial"/>
          <w:sz w:val="22"/>
        </w:rPr>
        <w:t>attacks on Australia's defence system; or</w:t>
      </w:r>
      <w:bookmarkEnd w:id="59"/>
    </w:p>
    <w:p w14:paraId="4A5A875C" w14:textId="77777777" w:rsidR="00016F62" w:rsidRPr="009115AD" w:rsidRDefault="00016F62" w:rsidP="000A58A8">
      <w:pPr>
        <w:pStyle w:val="ListParagraph"/>
        <w:numPr>
          <w:ilvl w:val="0"/>
          <w:numId w:val="17"/>
        </w:numPr>
        <w:spacing w:before="0" w:after="0"/>
        <w:ind w:left="2880"/>
        <w:rPr>
          <w:rFonts w:cs="Arial"/>
          <w:sz w:val="22"/>
        </w:rPr>
      </w:pPr>
      <w:r w:rsidRPr="009115AD">
        <w:rPr>
          <w:rFonts w:cs="Arial"/>
          <w:sz w:val="22"/>
        </w:rPr>
        <w:t>acts of foreign interference;</w:t>
      </w:r>
    </w:p>
    <w:p w14:paraId="0E07A14D" w14:textId="77777777" w:rsidR="00016F62" w:rsidRPr="009115AD" w:rsidRDefault="00016F62" w:rsidP="00FC07C4">
      <w:pPr>
        <w:ind w:left="720" w:firstLine="720"/>
        <w:rPr>
          <w:sz w:val="22"/>
        </w:rPr>
      </w:pPr>
      <w:proofErr w:type="gramStart"/>
      <w:r w:rsidRPr="009115AD">
        <w:rPr>
          <w:sz w:val="22"/>
        </w:rPr>
        <w:t>whether</w:t>
      </w:r>
      <w:proofErr w:type="gramEnd"/>
      <w:r w:rsidRPr="009115AD">
        <w:rPr>
          <w:sz w:val="22"/>
        </w:rPr>
        <w:t xml:space="preserve"> directed from, or committed within, Australia or not; and</w:t>
      </w:r>
    </w:p>
    <w:p w14:paraId="55C3C862" w14:textId="77777777" w:rsidR="00016F62" w:rsidRPr="009115AD" w:rsidRDefault="00016F62" w:rsidP="00FC07C4">
      <w:pPr>
        <w:ind w:left="1440" w:hanging="720"/>
        <w:rPr>
          <w:sz w:val="22"/>
        </w:rPr>
      </w:pPr>
      <w:r w:rsidRPr="009115AD">
        <w:rPr>
          <w:sz w:val="22"/>
        </w:rPr>
        <w:t>(</w:t>
      </w:r>
      <w:proofErr w:type="gramStart"/>
      <w:r w:rsidRPr="009115AD">
        <w:rPr>
          <w:sz w:val="22"/>
        </w:rPr>
        <w:t>aa</w:t>
      </w:r>
      <w:proofErr w:type="gramEnd"/>
      <w:r w:rsidRPr="009115AD">
        <w:rPr>
          <w:sz w:val="22"/>
        </w:rPr>
        <w:t>)</w:t>
      </w:r>
      <w:r w:rsidR="009115AD" w:rsidRPr="009115AD">
        <w:rPr>
          <w:sz w:val="22"/>
        </w:rPr>
        <w:t xml:space="preserve"> </w:t>
      </w:r>
      <w:r w:rsidR="009115AD" w:rsidRPr="009115AD">
        <w:rPr>
          <w:sz w:val="22"/>
        </w:rPr>
        <w:tab/>
      </w:r>
      <w:r w:rsidR="009115AD">
        <w:rPr>
          <w:sz w:val="22"/>
        </w:rPr>
        <w:t>the protection of Australia’</w:t>
      </w:r>
      <w:r w:rsidRPr="009115AD">
        <w:rPr>
          <w:sz w:val="22"/>
        </w:rPr>
        <w:t>s territorial and border integrity from serious threats; and</w:t>
      </w:r>
      <w:bookmarkEnd w:id="58"/>
    </w:p>
    <w:p w14:paraId="52EB4765" w14:textId="77777777" w:rsidR="00016F62" w:rsidRPr="009115AD" w:rsidRDefault="00016F62" w:rsidP="00FC07C4">
      <w:pPr>
        <w:ind w:left="1440" w:hanging="720"/>
        <w:rPr>
          <w:sz w:val="22"/>
        </w:rPr>
      </w:pPr>
      <w:r w:rsidRPr="009115AD">
        <w:rPr>
          <w:sz w:val="22"/>
        </w:rPr>
        <w:t xml:space="preserve">(b) </w:t>
      </w:r>
      <w:r w:rsidR="009115AD" w:rsidRPr="009115AD">
        <w:rPr>
          <w:sz w:val="22"/>
        </w:rPr>
        <w:tab/>
      </w:r>
      <w:proofErr w:type="gramStart"/>
      <w:r w:rsidR="009115AD">
        <w:rPr>
          <w:sz w:val="22"/>
        </w:rPr>
        <w:t>the</w:t>
      </w:r>
      <w:proofErr w:type="gramEnd"/>
      <w:r w:rsidR="009115AD">
        <w:rPr>
          <w:sz w:val="22"/>
        </w:rPr>
        <w:t xml:space="preserve"> carrying out of Australia’</w:t>
      </w:r>
      <w:r w:rsidRPr="009115AD">
        <w:rPr>
          <w:sz w:val="22"/>
        </w:rPr>
        <w:t>s responsibilities to any foreign country in relation to a matter mentioned in any of the subparag</w:t>
      </w:r>
      <w:r w:rsidR="009115AD">
        <w:rPr>
          <w:sz w:val="22"/>
        </w:rPr>
        <w:t xml:space="preserve">raphs of </w:t>
      </w:r>
      <w:r w:rsidRPr="009115AD">
        <w:rPr>
          <w:rFonts w:cs="Arial"/>
          <w:sz w:val="22"/>
        </w:rPr>
        <w:t>paragraph</w:t>
      </w:r>
      <w:r w:rsidR="009115AD">
        <w:rPr>
          <w:sz w:val="22"/>
        </w:rPr>
        <w:t xml:space="preserve"> (a) or the matter mentioned in </w:t>
      </w:r>
      <w:r w:rsidRPr="009115AD">
        <w:rPr>
          <w:rFonts w:cs="Arial"/>
          <w:sz w:val="22"/>
        </w:rPr>
        <w:t>paragraph</w:t>
      </w:r>
      <w:r w:rsidR="009115AD">
        <w:rPr>
          <w:sz w:val="22"/>
        </w:rPr>
        <w:t xml:space="preserve"> </w:t>
      </w:r>
      <w:r w:rsidRPr="009115AD">
        <w:rPr>
          <w:sz w:val="22"/>
        </w:rPr>
        <w:t>(aa).</w:t>
      </w:r>
    </w:p>
    <w:p w14:paraId="271EC7D5" w14:textId="77777777" w:rsidR="00016F62" w:rsidRPr="009115AD" w:rsidRDefault="00016F62" w:rsidP="004F14E2">
      <w:pPr>
        <w:pStyle w:val="SubmissionNormal"/>
        <w:numPr>
          <w:ilvl w:val="0"/>
          <w:numId w:val="21"/>
        </w:numPr>
        <w:ind w:hanging="720"/>
      </w:pPr>
      <w:r w:rsidRPr="009115AD">
        <w:t>It further defines ‘attacks on Australia’s defence system’ to mean:</w:t>
      </w:r>
    </w:p>
    <w:p w14:paraId="62E4FD8F" w14:textId="77777777" w:rsidR="00016F62" w:rsidRPr="009115AD" w:rsidRDefault="00016F62" w:rsidP="009115AD">
      <w:pPr>
        <w:ind w:left="1440"/>
        <w:rPr>
          <w:sz w:val="22"/>
        </w:rPr>
      </w:pPr>
      <w:r w:rsidRPr="009115AD">
        <w:rPr>
          <w:sz w:val="22"/>
        </w:rPr>
        <w:t>activities that are intended to, and are likely to, obstruct, hinder or interfere with the performance by the Defence Force of its functions or with the carrying out of other activities by or for the Commonwealth for the purposes of the defence or safety of the Commonwealth.</w:t>
      </w:r>
    </w:p>
    <w:p w14:paraId="05E04639" w14:textId="77777777" w:rsidR="00016F62" w:rsidRPr="009115AD" w:rsidRDefault="00016F62" w:rsidP="004F14E2">
      <w:pPr>
        <w:pStyle w:val="SubmissionNormal"/>
        <w:numPr>
          <w:ilvl w:val="0"/>
          <w:numId w:val="21"/>
        </w:numPr>
        <w:ind w:hanging="720"/>
      </w:pPr>
      <w:r w:rsidRPr="009115AD">
        <w:t xml:space="preserve">Given the multiple definitions of ‘security’ appearing in federal legislation, the Commission </w:t>
      </w:r>
      <w:r w:rsidR="009115AD">
        <w:t>considers</w:t>
      </w:r>
      <w:r w:rsidR="009115AD" w:rsidRPr="009115AD">
        <w:t xml:space="preserve"> </w:t>
      </w:r>
      <w:r w:rsidRPr="009115AD">
        <w:t xml:space="preserve">that, for the sake of clarity and consistency, the term ‘security’ in the ABF </w:t>
      </w:r>
      <w:r w:rsidR="004B675B">
        <w:t>A</w:t>
      </w:r>
      <w:r w:rsidRPr="009115AD">
        <w:t xml:space="preserve">ct </w:t>
      </w:r>
      <w:proofErr w:type="gramStart"/>
      <w:r w:rsidRPr="009115AD">
        <w:t>should be defined</w:t>
      </w:r>
      <w:proofErr w:type="gramEnd"/>
      <w:r w:rsidRPr="009115AD">
        <w:t xml:space="preserve"> by reference to the definition in the ASIO Act. This definition describes in specific terms the activities and interests that offence </w:t>
      </w:r>
      <w:proofErr w:type="gramStart"/>
      <w:r w:rsidRPr="009115AD">
        <w:t>is designed</w:t>
      </w:r>
      <w:proofErr w:type="gramEnd"/>
      <w:r w:rsidRPr="009115AD">
        <w:t xml:space="preserve"> to protect. </w:t>
      </w:r>
      <w:proofErr w:type="gramStart"/>
      <w:r w:rsidR="009115AD">
        <w:t>It is a definition against which the proportionality of the criminal sanctions attaching to disclosure of information can be properly assessed</w:t>
      </w:r>
      <w:proofErr w:type="gramEnd"/>
      <w:r w:rsidR="009115AD">
        <w:t>.</w:t>
      </w:r>
    </w:p>
    <w:p w14:paraId="07F2A212" w14:textId="77777777" w:rsidR="00016F62" w:rsidRPr="009115AD" w:rsidRDefault="00016F62" w:rsidP="009115AD">
      <w:pPr>
        <w:keepNext/>
        <w:ind w:left="720"/>
        <w:rPr>
          <w:b/>
        </w:rPr>
      </w:pPr>
      <w:r w:rsidRPr="009115AD">
        <w:rPr>
          <w:b/>
        </w:rPr>
        <w:lastRenderedPageBreak/>
        <w:t>Recommendation 4</w:t>
      </w:r>
    </w:p>
    <w:p w14:paraId="02404A36" w14:textId="2B1299AE" w:rsidR="00F00FF6" w:rsidRPr="00F431BF" w:rsidRDefault="00F00FF6" w:rsidP="00F00FF6">
      <w:pPr>
        <w:pStyle w:val="SubmissionNormal"/>
        <w:ind w:left="720"/>
      </w:pPr>
      <w:bookmarkStart w:id="60" w:name="_Toc365465911"/>
      <w:r w:rsidRPr="00F431BF">
        <w:t xml:space="preserve">The Commission recommends that the </w:t>
      </w:r>
      <w:r w:rsidR="00C276EE">
        <w:t xml:space="preserve">Bill be amended to define the </w:t>
      </w:r>
      <w:r>
        <w:t xml:space="preserve">term </w:t>
      </w:r>
      <w:r w:rsidRPr="00F431BF">
        <w:t xml:space="preserve">‘security’ by </w:t>
      </w:r>
      <w:r w:rsidR="00C276EE">
        <w:t xml:space="preserve">adopting </w:t>
      </w:r>
      <w:r w:rsidRPr="00F431BF">
        <w:t>the</w:t>
      </w:r>
      <w:r>
        <w:t xml:space="preserve"> definition of ‘security’ in the</w:t>
      </w:r>
      <w:r w:rsidRPr="00F431BF">
        <w:t xml:space="preserve"> </w:t>
      </w:r>
      <w:r w:rsidRPr="00F96503">
        <w:rPr>
          <w:i/>
        </w:rPr>
        <w:t xml:space="preserve">Australian Security Intelligence Organisation Act 1979 </w:t>
      </w:r>
      <w:r w:rsidRPr="00F431BF">
        <w:t>(</w:t>
      </w:r>
      <w:proofErr w:type="spellStart"/>
      <w:r w:rsidRPr="00F431BF">
        <w:t>Cth</w:t>
      </w:r>
      <w:proofErr w:type="spellEnd"/>
      <w:r w:rsidRPr="00F431BF">
        <w:t xml:space="preserve">). </w:t>
      </w:r>
    </w:p>
    <w:p w14:paraId="776B9989" w14:textId="77777777" w:rsidR="00016F62" w:rsidRPr="002E2667" w:rsidRDefault="00016F62" w:rsidP="002E2667">
      <w:pPr>
        <w:pStyle w:val="Heading2"/>
      </w:pPr>
      <w:bookmarkStart w:id="61" w:name="_Toc491958013"/>
      <w:r w:rsidRPr="002E2667">
        <w:t>International relations</w:t>
      </w:r>
      <w:bookmarkEnd w:id="60"/>
      <w:bookmarkEnd w:id="61"/>
    </w:p>
    <w:p w14:paraId="75EE0525" w14:textId="77777777" w:rsidR="00016F62" w:rsidRPr="00F00FF6" w:rsidRDefault="00016F62" w:rsidP="004F14E2">
      <w:pPr>
        <w:pStyle w:val="SubmissionNormal"/>
        <w:numPr>
          <w:ilvl w:val="0"/>
          <w:numId w:val="21"/>
        </w:numPr>
        <w:ind w:hanging="720"/>
      </w:pPr>
      <w:r w:rsidRPr="00F00FF6">
        <w:t xml:space="preserve">The term ‘international relations’ is also undefined in the ABF Act. </w:t>
      </w:r>
    </w:p>
    <w:p w14:paraId="47484E42" w14:textId="77777777" w:rsidR="00016F62" w:rsidRPr="00F00FF6" w:rsidRDefault="00016F62" w:rsidP="004F14E2">
      <w:pPr>
        <w:pStyle w:val="SubmissionNormal"/>
        <w:numPr>
          <w:ilvl w:val="0"/>
          <w:numId w:val="21"/>
        </w:numPr>
        <w:ind w:hanging="720"/>
      </w:pPr>
      <w:r w:rsidRPr="00F00FF6">
        <w:t>The FOI guidelines define ‘international relations’ as relating to ‘the ability of the Australian Government to maintain good working relations with other governments and international organisations and to protect the flow of information between them’</w:t>
      </w:r>
      <w:r w:rsidR="00F00FF6">
        <w:t>.</w:t>
      </w:r>
      <w:r w:rsidRPr="00F00FF6">
        <w:rPr>
          <w:sz w:val="20"/>
          <w:vertAlign w:val="superscript"/>
        </w:rPr>
        <w:endnoteReference w:id="60"/>
      </w:r>
      <w:r w:rsidRPr="00F00FF6">
        <w:t xml:space="preserve"> It is not limited to interactions at the formal diplomatic or ministerial level and extends to the relations of individual federal agencies and their international counterparts.</w:t>
      </w:r>
      <w:r w:rsidRPr="00F00FF6">
        <w:rPr>
          <w:sz w:val="20"/>
          <w:vertAlign w:val="superscript"/>
        </w:rPr>
        <w:endnoteReference w:id="61"/>
      </w:r>
      <w:r w:rsidRPr="00F00FF6">
        <w:t xml:space="preserve">  </w:t>
      </w:r>
    </w:p>
    <w:p w14:paraId="3BEF1085" w14:textId="77777777" w:rsidR="00016F62" w:rsidRPr="00F00FF6" w:rsidRDefault="00016F62" w:rsidP="004F14E2">
      <w:pPr>
        <w:pStyle w:val="SubmissionNormal"/>
        <w:numPr>
          <w:ilvl w:val="0"/>
          <w:numId w:val="21"/>
        </w:numPr>
        <w:ind w:hanging="720"/>
      </w:pPr>
      <w:r w:rsidRPr="00F00FF6">
        <w:t>The term ‘damage to international relations’ can also comprehend intangible or speculative damage, such as the loss of trust and confidence in the Australian government or damage to Australia’s reputation.</w:t>
      </w:r>
      <w:r w:rsidRPr="00F00FF6">
        <w:rPr>
          <w:sz w:val="20"/>
          <w:vertAlign w:val="superscript"/>
        </w:rPr>
        <w:endnoteReference w:id="62"/>
      </w:r>
      <w:r w:rsidRPr="00F00FF6">
        <w:t xml:space="preserve"> In </w:t>
      </w:r>
      <w:r w:rsidR="00F00FF6">
        <w:rPr>
          <w:i/>
        </w:rPr>
        <w:t>Re Maher and Attorney-</w:t>
      </w:r>
      <w:r w:rsidRPr="00F00FF6">
        <w:rPr>
          <w:i/>
        </w:rPr>
        <w:t>General</w:t>
      </w:r>
      <w:r w:rsidR="00F00FF6">
        <w:rPr>
          <w:i/>
        </w:rPr>
        <w:t>’</w:t>
      </w:r>
      <w:r w:rsidRPr="00F00FF6">
        <w:rPr>
          <w:i/>
        </w:rPr>
        <w:t>s Department</w:t>
      </w:r>
      <w:r w:rsidRPr="00F00FF6">
        <w:t xml:space="preserve">, the AAT found that, although such damage might be difficult to assess, it </w:t>
      </w:r>
      <w:proofErr w:type="gramStart"/>
      <w:r w:rsidRPr="00F00FF6">
        <w:t>is still contemplated</w:t>
      </w:r>
      <w:proofErr w:type="gramEnd"/>
      <w:r w:rsidRPr="00F00FF6">
        <w:t xml:space="preserve"> by the term.</w:t>
      </w:r>
      <w:r w:rsidRPr="00F00FF6">
        <w:rPr>
          <w:sz w:val="20"/>
          <w:vertAlign w:val="superscript"/>
        </w:rPr>
        <w:endnoteReference w:id="63"/>
      </w:r>
    </w:p>
    <w:p w14:paraId="5D599049" w14:textId="039E78B0" w:rsidR="00016F62" w:rsidRPr="00F00FF6" w:rsidRDefault="00016F62" w:rsidP="004F14E2">
      <w:pPr>
        <w:pStyle w:val="SubmissionNormal"/>
        <w:numPr>
          <w:ilvl w:val="0"/>
          <w:numId w:val="21"/>
        </w:numPr>
        <w:ind w:hanging="720"/>
      </w:pPr>
      <w:r w:rsidRPr="00F00FF6">
        <w:t>While the ALRC ultimately recommended the inclusion of ‘international relations’ in the list of essential public interests subject to criminal sanction, it initially expressed concern that, given its opaque definition, imposing this liability on Commonwealth officers may be too broad.</w:t>
      </w:r>
      <w:r w:rsidRPr="00F00FF6">
        <w:rPr>
          <w:sz w:val="20"/>
          <w:vertAlign w:val="superscript"/>
        </w:rPr>
        <w:endnoteReference w:id="64"/>
      </w:r>
      <w:r w:rsidRPr="00F00FF6">
        <w:t xml:space="preserve"> In an effort to ameliorate this concern it recommended that the term ‘international relations’ be given the definition provided in s 10 of the </w:t>
      </w:r>
      <w:r w:rsidRPr="00F00FF6">
        <w:rPr>
          <w:i/>
        </w:rPr>
        <w:t>National Security Information (Criminal and Civil Proceedings) Act 2004</w:t>
      </w:r>
      <w:r w:rsidRPr="00F00FF6">
        <w:t xml:space="preserve"> (</w:t>
      </w:r>
      <w:proofErr w:type="spellStart"/>
      <w:r w:rsidRPr="00F00FF6">
        <w:t>Cth</w:t>
      </w:r>
      <w:proofErr w:type="spellEnd"/>
      <w:r w:rsidRPr="00F00FF6">
        <w:t>)</w:t>
      </w:r>
      <w:r w:rsidR="00C276EE">
        <w:t>;</w:t>
      </w:r>
      <w:r w:rsidRPr="00F00FF6">
        <w:t xml:space="preserve"> that is, the ‘political, military and economic relations with foreign governments and international organisations’. </w:t>
      </w:r>
      <w:r w:rsidRPr="00CB4A83">
        <w:t xml:space="preserve">This </w:t>
      </w:r>
      <w:r>
        <w:t>would lessen</w:t>
      </w:r>
      <w:r w:rsidRPr="00CB4A83">
        <w:t xml:space="preserve"> the chance that unauthorised disclosures that merely embarrass the Australian Government, without causing or threateni</w:t>
      </w:r>
      <w:r>
        <w:t xml:space="preserve">ng any real damage, would </w:t>
      </w:r>
      <w:r w:rsidRPr="00CB4A83">
        <w:t xml:space="preserve">fall within the scope of the offence. </w:t>
      </w:r>
    </w:p>
    <w:p w14:paraId="500135C8" w14:textId="77777777" w:rsidR="00016F62" w:rsidRPr="00F00FF6" w:rsidRDefault="00016F62" w:rsidP="004F14E2">
      <w:pPr>
        <w:pStyle w:val="SubmissionNormal"/>
        <w:numPr>
          <w:ilvl w:val="0"/>
          <w:numId w:val="21"/>
        </w:numPr>
        <w:ind w:hanging="720"/>
      </w:pPr>
      <w:r w:rsidRPr="00F00FF6">
        <w:t xml:space="preserve">The Commission </w:t>
      </w:r>
      <w:r w:rsidR="00F00FF6">
        <w:t>considers</w:t>
      </w:r>
      <w:r w:rsidR="00F00FF6" w:rsidRPr="00F00FF6">
        <w:t xml:space="preserve"> </w:t>
      </w:r>
      <w:r w:rsidRPr="00F00FF6">
        <w:t>that, f</w:t>
      </w:r>
      <w:r w:rsidR="00F00FF6">
        <w:t xml:space="preserve">or the purpose of the ABF Act, </w:t>
      </w:r>
      <w:r w:rsidRPr="00F00FF6">
        <w:t xml:space="preserve">‘international relations’ should be given the definition provided in s 10 of the </w:t>
      </w:r>
      <w:r w:rsidRPr="00F00FF6">
        <w:rPr>
          <w:i/>
        </w:rPr>
        <w:t>National Security Information (Criminal and Civil Proceedings) Act 2004</w:t>
      </w:r>
      <w:r w:rsidRPr="00F00FF6">
        <w:t xml:space="preserve"> (</w:t>
      </w:r>
      <w:proofErr w:type="spellStart"/>
      <w:r w:rsidRPr="00F00FF6">
        <w:t>Cth</w:t>
      </w:r>
      <w:proofErr w:type="spellEnd"/>
      <w:r w:rsidRPr="00F00FF6">
        <w:t xml:space="preserve">). In this manner, the criminal provision would be limited to unauthorised disclosures that damage, or are reasonably likely to damage, Australia’s political, military or economic relations with other countries or international organisations. </w:t>
      </w:r>
    </w:p>
    <w:p w14:paraId="59791DC2" w14:textId="77777777" w:rsidR="00016F62" w:rsidRPr="00F00FF6" w:rsidRDefault="00016F62" w:rsidP="00F00FF6">
      <w:pPr>
        <w:ind w:left="720"/>
        <w:rPr>
          <w:b/>
        </w:rPr>
      </w:pPr>
      <w:r w:rsidRPr="00F00FF6">
        <w:rPr>
          <w:b/>
        </w:rPr>
        <w:t>Recommendation 5</w:t>
      </w:r>
    </w:p>
    <w:p w14:paraId="16778F18" w14:textId="251EF1A9" w:rsidR="00F00FF6" w:rsidRDefault="00F00FF6" w:rsidP="00F00FF6">
      <w:pPr>
        <w:pStyle w:val="SubmissionNormal"/>
        <w:ind w:left="720"/>
      </w:pPr>
      <w:bookmarkStart w:id="62" w:name="_Toc365465912"/>
      <w:r w:rsidRPr="00F431BF">
        <w:t xml:space="preserve">The Commission recommends that the </w:t>
      </w:r>
      <w:r w:rsidR="00C276EE">
        <w:t xml:space="preserve">Bill </w:t>
      </w:r>
      <w:proofErr w:type="gramStart"/>
      <w:r w:rsidR="00C276EE">
        <w:t>be amended</w:t>
      </w:r>
      <w:proofErr w:type="gramEnd"/>
      <w:r w:rsidR="00C276EE">
        <w:t xml:space="preserve"> to define the </w:t>
      </w:r>
      <w:r>
        <w:t xml:space="preserve">term </w:t>
      </w:r>
      <w:r w:rsidRPr="00F431BF">
        <w:t xml:space="preserve">‘international relations’ by </w:t>
      </w:r>
      <w:r w:rsidR="00C276EE">
        <w:t xml:space="preserve">adopting </w:t>
      </w:r>
      <w:r>
        <w:t>the definition of ‘</w:t>
      </w:r>
      <w:r w:rsidR="009A5636">
        <w:t>international relations</w:t>
      </w:r>
      <w:r>
        <w:t xml:space="preserve">’ in </w:t>
      </w:r>
      <w:r w:rsidRPr="00F431BF">
        <w:t xml:space="preserve">the </w:t>
      </w:r>
      <w:r w:rsidRPr="00F53CB6">
        <w:rPr>
          <w:i/>
        </w:rPr>
        <w:t>National Security Information (Criminal and Civil Proceedings) Act 2004</w:t>
      </w:r>
      <w:r w:rsidRPr="00F431BF">
        <w:t xml:space="preserve"> (</w:t>
      </w:r>
      <w:proofErr w:type="spellStart"/>
      <w:r w:rsidRPr="00F431BF">
        <w:t>Cth</w:t>
      </w:r>
      <w:proofErr w:type="spellEnd"/>
      <w:r w:rsidRPr="00F431BF">
        <w:t>).</w:t>
      </w:r>
    </w:p>
    <w:p w14:paraId="2AD5CBE4" w14:textId="01A0FBF3" w:rsidR="009277CA" w:rsidRPr="003E6E9C" w:rsidRDefault="003E6E9C" w:rsidP="003E6E9C">
      <w:pPr>
        <w:pStyle w:val="Heading1"/>
      </w:pPr>
      <w:bookmarkStart w:id="63" w:name="_Toc491958014"/>
      <w:r w:rsidRPr="003E6E9C">
        <w:lastRenderedPageBreak/>
        <w:t>Duty of confidence</w:t>
      </w:r>
      <w:bookmarkEnd w:id="63"/>
    </w:p>
    <w:p w14:paraId="66FBAEFC" w14:textId="30F32B61" w:rsidR="009277CA" w:rsidRDefault="009277CA" w:rsidP="009277CA">
      <w:pPr>
        <w:pStyle w:val="SubmissionNormal"/>
        <w:numPr>
          <w:ilvl w:val="0"/>
          <w:numId w:val="21"/>
        </w:numPr>
        <w:ind w:hanging="720"/>
      </w:pPr>
      <w:r>
        <w:t xml:space="preserve">The Bill includes within the definition of </w:t>
      </w:r>
      <w:r w:rsidR="00A508B1" w:rsidRPr="00A508B1">
        <w:rPr>
          <w:i/>
          <w:iCs/>
        </w:rPr>
        <w:t>‘Immigration and Border Protection information’</w:t>
      </w:r>
      <w:r>
        <w:t xml:space="preserve"> information the ‘disclosure of which would or could be reasonably expected to found an action by a person (other than the Commonwealth) for breach of a duty of confidence’. </w:t>
      </w:r>
    </w:p>
    <w:p w14:paraId="6074EC7C" w14:textId="77777777" w:rsidR="009277CA" w:rsidRDefault="009277CA" w:rsidP="00D752A7">
      <w:pPr>
        <w:pStyle w:val="SubmissionNormal"/>
        <w:numPr>
          <w:ilvl w:val="0"/>
          <w:numId w:val="21"/>
        </w:numPr>
        <w:ind w:hanging="720"/>
      </w:pPr>
      <w:r>
        <w:t xml:space="preserve">‘Duty of confidence’ </w:t>
      </w:r>
      <w:proofErr w:type="gramStart"/>
      <w:r>
        <w:t>is defined</w:t>
      </w:r>
      <w:proofErr w:type="gramEnd"/>
      <w:r>
        <w:t xml:space="preserve"> in item 1 of the Bill to mean ‘any duty or obligation arising under the common law or at equity pursuant to which a person is obliged not to disclose information’. </w:t>
      </w:r>
    </w:p>
    <w:p w14:paraId="00A14351" w14:textId="0E5536F8" w:rsidR="009277CA" w:rsidRDefault="009277CA" w:rsidP="00D752A7">
      <w:pPr>
        <w:pStyle w:val="SubmissionNormal"/>
        <w:numPr>
          <w:ilvl w:val="0"/>
          <w:numId w:val="21"/>
        </w:numPr>
        <w:ind w:hanging="720"/>
      </w:pPr>
      <w:r>
        <w:t xml:space="preserve">Unlike paragraphs (a) - (c) of the definition of </w:t>
      </w:r>
      <w:r w:rsidR="00A508B1" w:rsidRPr="00A508B1">
        <w:rPr>
          <w:i/>
        </w:rPr>
        <w:t>‘Immigration and Border Protection information’</w:t>
      </w:r>
      <w:r>
        <w:t xml:space="preserve">, there is no requirement that the disclosure of information falling within paragraph (d) have harmful or prejudicial effects. </w:t>
      </w:r>
    </w:p>
    <w:p w14:paraId="45A02DFA" w14:textId="44D6FE82" w:rsidR="009277CA" w:rsidRDefault="009277CA" w:rsidP="00D752A7">
      <w:pPr>
        <w:pStyle w:val="SubmissionNormal"/>
        <w:numPr>
          <w:ilvl w:val="0"/>
          <w:numId w:val="21"/>
        </w:numPr>
        <w:ind w:hanging="720"/>
      </w:pPr>
      <w:r>
        <w:t xml:space="preserve">The Commission </w:t>
      </w:r>
      <w:r w:rsidR="00F31666" w:rsidRPr="004B1BD5">
        <w:t xml:space="preserve">considers </w:t>
      </w:r>
      <w:r w:rsidRPr="004B1BD5">
        <w:t>t</w:t>
      </w:r>
      <w:r>
        <w:t>hat there must be compelling justification to support secrecy provisions that criminalise the unauthorised disclosure of information that is not reasonably likely to harm essential public interests. This is because, consi</w:t>
      </w:r>
      <w:bookmarkStart w:id="64" w:name="_GoBack"/>
      <w:bookmarkEnd w:id="64"/>
      <w:r>
        <w:t xml:space="preserve">stent with the proportionality analysis noted above, a legislative measure should represent the least restrictive means available to achieve its protective function. Without additional justification, the inclusion of information that does not harm essential public interests raises the same concerns about disproportionate restrictions on freedom of expression and freedom of political communication as the current s 42 of the ABF Act. </w:t>
      </w:r>
    </w:p>
    <w:p w14:paraId="2D10A877" w14:textId="74DB3E9A" w:rsidR="009277CA" w:rsidRDefault="009277CA" w:rsidP="00D752A7">
      <w:pPr>
        <w:pStyle w:val="SubmissionNormal"/>
        <w:numPr>
          <w:ilvl w:val="0"/>
          <w:numId w:val="21"/>
        </w:numPr>
        <w:ind w:hanging="720"/>
      </w:pPr>
      <w:r>
        <w:t xml:space="preserve">Consequently, it is necessary to examine whether information received pursuant to a duty of confidence has a special character </w:t>
      </w:r>
      <w:r w:rsidR="00872582">
        <w:t xml:space="preserve">warranting </w:t>
      </w:r>
      <w:r>
        <w:t xml:space="preserve">its protection beyond the remedies available at general law. </w:t>
      </w:r>
    </w:p>
    <w:p w14:paraId="731B9799" w14:textId="3E20E1AF" w:rsidR="009277CA" w:rsidRDefault="009277CA" w:rsidP="00D752A7">
      <w:pPr>
        <w:pStyle w:val="SubmissionNormal"/>
        <w:numPr>
          <w:ilvl w:val="0"/>
          <w:numId w:val="21"/>
        </w:numPr>
        <w:ind w:hanging="720"/>
      </w:pPr>
      <w:r>
        <w:t>The Explanatory Memorandum to the Bill provides that the purpose of including this kind of information</w:t>
      </w:r>
    </w:p>
    <w:p w14:paraId="0493B588" w14:textId="77777777" w:rsidR="009277CA" w:rsidRDefault="009277CA" w:rsidP="009277CA">
      <w:pPr>
        <w:pStyle w:val="SubmissionNormal"/>
        <w:suppressAutoHyphens/>
        <w:ind w:left="1440"/>
        <w:rPr>
          <w:sz w:val="22"/>
          <w:szCs w:val="22"/>
        </w:rPr>
      </w:pPr>
      <w:r>
        <w:t>…</w:t>
      </w:r>
      <w:r>
        <w:rPr>
          <w:sz w:val="22"/>
          <w:szCs w:val="22"/>
        </w:rPr>
        <w:t xml:space="preserve"> </w:t>
      </w:r>
      <w:proofErr w:type="gramStart"/>
      <w:r>
        <w:rPr>
          <w:sz w:val="22"/>
          <w:szCs w:val="22"/>
        </w:rPr>
        <w:t>is</w:t>
      </w:r>
      <w:proofErr w:type="gramEnd"/>
      <w:r>
        <w:rPr>
          <w:sz w:val="22"/>
          <w:szCs w:val="22"/>
        </w:rPr>
        <w:t xml:space="preserve"> to recognise that individuals who provide information to the Department on the understanding that it will be kept confidential have a right to expect that it will be protected under Part 6 of the ABF Act. The Department’s ability to function effectively depends on this information and any breakdown of trust between the Department and the client in this context will have adverse repercussions for the Department and the Government generally.</w:t>
      </w:r>
      <w:r>
        <w:rPr>
          <w:rStyle w:val="EndnoteReference"/>
          <w:szCs w:val="22"/>
        </w:rPr>
        <w:endnoteReference w:id="65"/>
      </w:r>
    </w:p>
    <w:p w14:paraId="31A7DA14" w14:textId="77777777" w:rsidR="009277CA" w:rsidRDefault="009277CA" w:rsidP="00D752A7">
      <w:pPr>
        <w:pStyle w:val="SubmissionNormal"/>
        <w:numPr>
          <w:ilvl w:val="0"/>
          <w:numId w:val="21"/>
        </w:numPr>
        <w:ind w:hanging="720"/>
      </w:pPr>
      <w:r>
        <w:t>It also identifies specific kinds of information that ‘could be covered by this paragraph’,</w:t>
      </w:r>
      <w:r>
        <w:rPr>
          <w:sz w:val="20"/>
          <w:szCs w:val="20"/>
          <w:vertAlign w:val="superscript"/>
        </w:rPr>
        <w:endnoteReference w:id="66"/>
      </w:r>
      <w:r>
        <w:t xml:space="preserve"> including:</w:t>
      </w:r>
    </w:p>
    <w:p w14:paraId="0F660989" w14:textId="77777777" w:rsidR="009277CA" w:rsidRDefault="009277CA" w:rsidP="009277CA">
      <w:pPr>
        <w:pStyle w:val="SubmissionNormal"/>
        <w:numPr>
          <w:ilvl w:val="0"/>
          <w:numId w:val="32"/>
        </w:numPr>
        <w:pBdr>
          <w:top w:val="nil"/>
          <w:left w:val="nil"/>
          <w:bottom w:val="nil"/>
          <w:right w:val="nil"/>
          <w:between w:val="nil"/>
          <w:bar w:val="nil"/>
        </w:pBdr>
        <w:suppressAutoHyphens/>
        <w:rPr>
          <w:sz w:val="22"/>
          <w:szCs w:val="22"/>
        </w:rPr>
      </w:pPr>
      <w:r>
        <w:rPr>
          <w:sz w:val="22"/>
          <w:szCs w:val="22"/>
        </w:rPr>
        <w:t xml:space="preserve">information that identifies an informant who reports breaches of sponsorship obligations under the Migration Act; and </w:t>
      </w:r>
    </w:p>
    <w:p w14:paraId="58887F32" w14:textId="77777777" w:rsidR="009277CA" w:rsidRDefault="009277CA" w:rsidP="009277CA">
      <w:pPr>
        <w:pStyle w:val="SubmissionNormal"/>
        <w:numPr>
          <w:ilvl w:val="0"/>
          <w:numId w:val="32"/>
        </w:numPr>
        <w:pBdr>
          <w:top w:val="nil"/>
          <w:left w:val="nil"/>
          <w:bottom w:val="nil"/>
          <w:right w:val="nil"/>
          <w:between w:val="nil"/>
          <w:bar w:val="nil"/>
        </w:pBdr>
        <w:suppressAutoHyphens/>
        <w:rPr>
          <w:sz w:val="22"/>
          <w:szCs w:val="22"/>
        </w:rPr>
      </w:pPr>
      <w:proofErr w:type="gramStart"/>
      <w:r>
        <w:rPr>
          <w:sz w:val="22"/>
          <w:szCs w:val="22"/>
        </w:rPr>
        <w:t>information</w:t>
      </w:r>
      <w:proofErr w:type="gramEnd"/>
      <w:r>
        <w:rPr>
          <w:sz w:val="22"/>
          <w:szCs w:val="22"/>
        </w:rPr>
        <w:t xml:space="preserve"> from a sponsor of an applicant for a partner visa to the effect that they no longer wish to sponsor their partner for the grant of that visa, in the context of family violence. </w:t>
      </w:r>
    </w:p>
    <w:p w14:paraId="0784845F" w14:textId="77777777" w:rsidR="009277CA" w:rsidRDefault="009277CA" w:rsidP="00D752A7">
      <w:pPr>
        <w:pStyle w:val="SubmissionNormal"/>
        <w:numPr>
          <w:ilvl w:val="0"/>
          <w:numId w:val="21"/>
        </w:numPr>
        <w:ind w:hanging="720"/>
      </w:pPr>
      <w:r>
        <w:t xml:space="preserve">The Explanatory Memorandum makes clear that paragraph (d) has been included to promote community confidence in the Department’s ability to protect confidential information. It states that a ‘lack of client confidence in the </w:t>
      </w:r>
      <w:r>
        <w:lastRenderedPageBreak/>
        <w:t>Department’s ability to protect confidential information could result in such information being withheld’.</w:t>
      </w:r>
      <w:r>
        <w:rPr>
          <w:vertAlign w:val="superscript"/>
        </w:rPr>
        <w:endnoteReference w:id="67"/>
      </w:r>
      <w:r>
        <w:t xml:space="preserve"> </w:t>
      </w:r>
    </w:p>
    <w:p w14:paraId="01D6F6E0" w14:textId="712C2AFF" w:rsidR="009277CA" w:rsidRDefault="009277CA" w:rsidP="00D752A7">
      <w:pPr>
        <w:pStyle w:val="SubmissionNormal"/>
        <w:numPr>
          <w:ilvl w:val="0"/>
          <w:numId w:val="21"/>
        </w:numPr>
        <w:ind w:hanging="720"/>
      </w:pPr>
      <w:r>
        <w:t xml:space="preserve">Section 45(1) of the FOI Act </w:t>
      </w:r>
      <w:r w:rsidR="00766177">
        <w:t xml:space="preserve">contains an </w:t>
      </w:r>
      <w:r>
        <w:t>exempt</w:t>
      </w:r>
      <w:r w:rsidR="00766177">
        <w:t>ion</w:t>
      </w:r>
      <w:r>
        <w:t xml:space="preserve"> </w:t>
      </w:r>
      <w:r w:rsidR="00766177">
        <w:t xml:space="preserve">from the obligation to disclose a </w:t>
      </w:r>
      <w:r>
        <w:t xml:space="preserve">document if its disclosure would found an action by a person (other than an agency or the Commonwealth) for breach of confidence. </w:t>
      </w:r>
      <w:r w:rsidR="00766177">
        <w:t xml:space="preserve">This description adopts similar words to </w:t>
      </w:r>
      <w:r w:rsidR="00374CD0">
        <w:t xml:space="preserve">paragraph (d) in the Bill and thus aims to </w:t>
      </w:r>
      <w:r w:rsidR="00872582">
        <w:t xml:space="preserve">protect </w:t>
      </w:r>
      <w:r>
        <w:t>confidentiality where that confidentiality would be actionable at common law or in equity.</w:t>
      </w:r>
      <w:r>
        <w:rPr>
          <w:vertAlign w:val="superscript"/>
        </w:rPr>
        <w:endnoteReference w:id="68"/>
      </w:r>
      <w:r w:rsidR="00374CD0">
        <w:t xml:space="preserve"> Crucially, </w:t>
      </w:r>
      <w:r w:rsidR="00BD67CD">
        <w:t xml:space="preserve">unlike the Bill, </w:t>
      </w:r>
      <w:r w:rsidR="00374CD0">
        <w:t xml:space="preserve">the FOI Act does </w:t>
      </w:r>
      <w:r w:rsidR="00374CD0">
        <w:rPr>
          <w:i/>
        </w:rPr>
        <w:t xml:space="preserve">not </w:t>
      </w:r>
      <w:r w:rsidR="00374CD0">
        <w:t>criminalise a disclosure that wou</w:t>
      </w:r>
      <w:r w:rsidR="00BD67CD">
        <w:t xml:space="preserve">ld found an action by a person </w:t>
      </w:r>
      <w:r w:rsidR="00374CD0">
        <w:t>for breach of confidence.</w:t>
      </w:r>
    </w:p>
    <w:p w14:paraId="2EC991FE" w14:textId="77777777" w:rsidR="009277CA" w:rsidRDefault="009277CA" w:rsidP="00D752A7">
      <w:pPr>
        <w:pStyle w:val="SubmissionNormal"/>
        <w:numPr>
          <w:ilvl w:val="0"/>
          <w:numId w:val="21"/>
        </w:numPr>
        <w:ind w:hanging="720"/>
      </w:pPr>
      <w:r>
        <w:t>In FOI jurisprudence, it has been established that to found an action for breach of confidence, the following five criteria must be satisfied in relation to the information:</w:t>
      </w:r>
    </w:p>
    <w:p w14:paraId="05F293F9" w14:textId="77777777" w:rsidR="009277CA" w:rsidRDefault="009277CA" w:rsidP="00902667">
      <w:pPr>
        <w:pStyle w:val="SubmissionNormal"/>
        <w:numPr>
          <w:ilvl w:val="2"/>
          <w:numId w:val="36"/>
        </w:numPr>
        <w:pBdr>
          <w:top w:val="nil"/>
          <w:left w:val="nil"/>
          <w:bottom w:val="nil"/>
          <w:right w:val="nil"/>
          <w:between w:val="nil"/>
          <w:bar w:val="nil"/>
        </w:pBdr>
        <w:suppressAutoHyphens/>
        <w:ind w:hanging="742"/>
      </w:pPr>
      <w:r>
        <w:t>it must be specifically identified;</w:t>
      </w:r>
    </w:p>
    <w:p w14:paraId="462361A4" w14:textId="77777777" w:rsidR="009277CA" w:rsidRDefault="009277CA" w:rsidP="00902667">
      <w:pPr>
        <w:pStyle w:val="SubmissionNormal"/>
        <w:numPr>
          <w:ilvl w:val="2"/>
          <w:numId w:val="36"/>
        </w:numPr>
        <w:pBdr>
          <w:top w:val="nil"/>
          <w:left w:val="nil"/>
          <w:bottom w:val="nil"/>
          <w:right w:val="nil"/>
          <w:between w:val="nil"/>
          <w:bar w:val="nil"/>
        </w:pBdr>
        <w:suppressAutoHyphens/>
        <w:ind w:hanging="742"/>
      </w:pPr>
      <w:r>
        <w:t>it must have the necessary quality of confidentiality;</w:t>
      </w:r>
    </w:p>
    <w:p w14:paraId="5665B488" w14:textId="77777777" w:rsidR="009277CA" w:rsidRDefault="009277CA" w:rsidP="00AB6039">
      <w:pPr>
        <w:pStyle w:val="SubmissionNormal"/>
        <w:numPr>
          <w:ilvl w:val="2"/>
          <w:numId w:val="36"/>
        </w:numPr>
        <w:pBdr>
          <w:top w:val="nil"/>
          <w:left w:val="nil"/>
          <w:bottom w:val="nil"/>
          <w:right w:val="nil"/>
          <w:between w:val="nil"/>
          <w:bar w:val="nil"/>
        </w:pBdr>
        <w:suppressAutoHyphens/>
      </w:pPr>
      <w:r>
        <w:t>it must have been communicated and received on the basis of a mutual understanding of confidence;</w:t>
      </w:r>
    </w:p>
    <w:p w14:paraId="16CBAB16" w14:textId="77777777" w:rsidR="009277CA" w:rsidRDefault="009277CA" w:rsidP="00AB6039">
      <w:pPr>
        <w:pStyle w:val="SubmissionNormal"/>
        <w:numPr>
          <w:ilvl w:val="2"/>
          <w:numId w:val="36"/>
        </w:numPr>
        <w:pBdr>
          <w:top w:val="nil"/>
          <w:left w:val="nil"/>
          <w:bottom w:val="nil"/>
          <w:right w:val="nil"/>
          <w:between w:val="nil"/>
          <w:bar w:val="nil"/>
        </w:pBdr>
        <w:suppressAutoHyphens/>
      </w:pPr>
      <w:r>
        <w:t>it must have been disclosed or threatened to be disclosed, without authority;</w:t>
      </w:r>
    </w:p>
    <w:p w14:paraId="1E6F3121" w14:textId="77777777" w:rsidR="009277CA" w:rsidRDefault="009277CA" w:rsidP="00AB6039">
      <w:pPr>
        <w:pStyle w:val="SubmissionNormal"/>
        <w:numPr>
          <w:ilvl w:val="2"/>
          <w:numId w:val="36"/>
        </w:numPr>
        <w:pBdr>
          <w:top w:val="nil"/>
          <w:left w:val="nil"/>
          <w:bottom w:val="nil"/>
          <w:right w:val="nil"/>
          <w:between w:val="nil"/>
          <w:bar w:val="nil"/>
        </w:pBdr>
        <w:suppressAutoHyphens/>
      </w:pPr>
      <w:proofErr w:type="gramStart"/>
      <w:r>
        <w:t>unauthorised</w:t>
      </w:r>
      <w:proofErr w:type="gramEnd"/>
      <w:r>
        <w:t xml:space="preserve"> disclosure of the information has or will cause detriment.</w:t>
      </w:r>
      <w:r>
        <w:rPr>
          <w:vertAlign w:val="superscript"/>
        </w:rPr>
        <w:endnoteReference w:id="69"/>
      </w:r>
    </w:p>
    <w:p w14:paraId="2ABC7311" w14:textId="77777777" w:rsidR="009277CA" w:rsidRDefault="009277CA" w:rsidP="00D752A7">
      <w:pPr>
        <w:pStyle w:val="SubmissionNormal"/>
        <w:numPr>
          <w:ilvl w:val="0"/>
          <w:numId w:val="21"/>
        </w:numPr>
        <w:ind w:hanging="720"/>
      </w:pPr>
      <w:r>
        <w:t xml:space="preserve">The application of these criteria indicates that not </w:t>
      </w:r>
      <w:proofErr w:type="gramStart"/>
      <w:r>
        <w:t>all personal</w:t>
      </w:r>
      <w:proofErr w:type="gramEnd"/>
      <w:r>
        <w:t xml:space="preserve"> or commercial information will be protected by paragraph (d). ‘Duty of confidence’ is a specific legal term that provides its own limiting factors. </w:t>
      </w:r>
    </w:p>
    <w:p w14:paraId="1A970FDF" w14:textId="15189BAC" w:rsidR="009277CA" w:rsidRDefault="004C1FAF" w:rsidP="00D752A7">
      <w:pPr>
        <w:pStyle w:val="SubmissionNormal"/>
        <w:numPr>
          <w:ilvl w:val="0"/>
          <w:numId w:val="21"/>
        </w:numPr>
        <w:ind w:hanging="720"/>
      </w:pPr>
      <w:r>
        <w:t>The ALRC considered</w:t>
      </w:r>
      <w:r w:rsidR="009277CA">
        <w:t xml:space="preserve"> that material received in confidence </w:t>
      </w:r>
      <w:proofErr w:type="gramStart"/>
      <w:r w:rsidR="009277CA">
        <w:t>should not be protected</w:t>
      </w:r>
      <w:proofErr w:type="gramEnd"/>
      <w:r w:rsidR="009277CA">
        <w:t xml:space="preserve"> under its general secrecy offence. It decided that, as s 45 of the FOI Act describes a category of information, rather than an essential public interest, it was not consistent with the harm-based approach to public interests that it had adopted.</w:t>
      </w:r>
      <w:r w:rsidR="009277CA">
        <w:rPr>
          <w:rFonts w:eastAsia="Arial" w:cs="Arial"/>
          <w:vertAlign w:val="superscript"/>
        </w:rPr>
        <w:endnoteReference w:id="70"/>
      </w:r>
      <w:r w:rsidR="009277CA">
        <w:t xml:space="preserve"> It recommended that ‘information that would found such an action should be dealt with under the general law dealing with a breach of confidence, or under administrative provisions’.</w:t>
      </w:r>
      <w:r w:rsidR="009277CA">
        <w:rPr>
          <w:rFonts w:eastAsia="Arial" w:cs="Arial"/>
          <w:vertAlign w:val="superscript"/>
        </w:rPr>
        <w:endnoteReference w:id="71"/>
      </w:r>
      <w:r w:rsidR="009277CA">
        <w:t xml:space="preserve"> </w:t>
      </w:r>
    </w:p>
    <w:p w14:paraId="3048966F" w14:textId="3230D4EB" w:rsidR="009277CA" w:rsidRDefault="009277CA" w:rsidP="00D26F07">
      <w:pPr>
        <w:pStyle w:val="SubmissionNormal"/>
        <w:numPr>
          <w:ilvl w:val="0"/>
          <w:numId w:val="21"/>
        </w:numPr>
        <w:ind w:hanging="720"/>
      </w:pPr>
      <w:r>
        <w:t xml:space="preserve">There are various contractual, common law and equitable remedies available to injured parties at general law if information </w:t>
      </w:r>
      <w:proofErr w:type="gramStart"/>
      <w:r>
        <w:t>is disclosed</w:t>
      </w:r>
      <w:proofErr w:type="gramEnd"/>
      <w:r>
        <w:t xml:space="preserve"> in breach of a duty of confidence. These include damages and injunctions at common law, as well as compensation, an account of profits, injunctions and declarations at equity.</w:t>
      </w:r>
      <w:r>
        <w:rPr>
          <w:rFonts w:eastAsia="Arial" w:cs="Arial"/>
          <w:vertAlign w:val="superscript"/>
        </w:rPr>
        <w:endnoteReference w:id="72"/>
      </w:r>
      <w:r>
        <w:t xml:space="preserve">  Employees in the public sector may also face disciplinary action if they improperly disclose official information. Under the </w:t>
      </w:r>
      <w:r w:rsidR="00316800">
        <w:t xml:space="preserve">Privacy Act, </w:t>
      </w:r>
      <w:r>
        <w:t xml:space="preserve">individuals are able to complain to the Office of the Australian Information Commissioner if personal information </w:t>
      </w:r>
      <w:proofErr w:type="gramStart"/>
      <w:r>
        <w:t>is disclosed</w:t>
      </w:r>
      <w:proofErr w:type="gramEnd"/>
      <w:r>
        <w:t xml:space="preserve"> by government agencies in breach of the Australian Privacy Principles. </w:t>
      </w:r>
    </w:p>
    <w:p w14:paraId="6BBFF18B" w14:textId="254BABF3" w:rsidR="009277CA" w:rsidRDefault="009277CA" w:rsidP="00D26F07">
      <w:pPr>
        <w:pStyle w:val="SubmissionNormal"/>
        <w:numPr>
          <w:ilvl w:val="0"/>
          <w:numId w:val="21"/>
        </w:numPr>
        <w:ind w:hanging="720"/>
      </w:pPr>
      <w:r>
        <w:t xml:space="preserve">In the private sector, criminal sanctions will generally not attach to the unauthorised disclosure of information unless, for instance, another element </w:t>
      </w:r>
      <w:r>
        <w:lastRenderedPageBreak/>
        <w:t xml:space="preserve">such </w:t>
      </w:r>
      <w:r w:rsidR="00766177">
        <w:t xml:space="preserve">as </w:t>
      </w:r>
      <w:r>
        <w:t>fraud is involved.</w:t>
      </w:r>
      <w:r>
        <w:rPr>
          <w:rStyle w:val="EndnoteReference"/>
        </w:rPr>
        <w:endnoteReference w:id="73"/>
      </w:r>
      <w:r>
        <w:t xml:space="preserve"> As such, it is necessary to examine if the unauthorised disclosure of information released pursuant to a duty of confidence in the public sector should attract heightened sanction, namely the application of the criminal law. </w:t>
      </w:r>
    </w:p>
    <w:p w14:paraId="3DA25DCD" w14:textId="0399C494" w:rsidR="009277CA" w:rsidRDefault="009277CA" w:rsidP="00D26F07">
      <w:pPr>
        <w:pStyle w:val="SubmissionNormal"/>
        <w:numPr>
          <w:ilvl w:val="0"/>
          <w:numId w:val="21"/>
        </w:numPr>
        <w:ind w:hanging="720"/>
      </w:pPr>
      <w:r>
        <w:t xml:space="preserve">The ALRC acknowledged that, in narrow circumstances, it might be appropriate to criminalise the disclosure of personal or </w:t>
      </w:r>
      <w:r w:rsidR="008A7C3C">
        <w:t>commercial</w:t>
      </w:r>
      <w:r>
        <w:t xml:space="preserve"> information without an explicit requirement to demonstrate harm or the likelihood of harm.</w:t>
      </w:r>
      <w:r w:rsidR="007173C3">
        <w:rPr>
          <w:rStyle w:val="EndnoteReference"/>
        </w:rPr>
        <w:endnoteReference w:id="74"/>
      </w:r>
      <w:r>
        <w:t xml:space="preserve"> This was a response to concerns expressed by many government departments that a harm-based approach would lessen public confidence in their ability to protect personal and </w:t>
      </w:r>
      <w:r w:rsidR="002F6009">
        <w:t xml:space="preserve">commercial information and that, </w:t>
      </w:r>
      <w:r>
        <w:t>if the public lost confidence</w:t>
      </w:r>
      <w:r w:rsidR="002F6009">
        <w:t xml:space="preserve"> in the integrity of the system, </w:t>
      </w:r>
      <w:r>
        <w:t>it could prejudice the future supply of information.</w:t>
      </w:r>
      <w:r>
        <w:rPr>
          <w:rStyle w:val="EndnoteReference"/>
        </w:rPr>
        <w:endnoteReference w:id="75"/>
      </w:r>
      <w:r>
        <w:t xml:space="preserve"> </w:t>
      </w:r>
    </w:p>
    <w:p w14:paraId="18F56880" w14:textId="35159F1C" w:rsidR="009277CA" w:rsidRDefault="009277CA" w:rsidP="00D26F07">
      <w:pPr>
        <w:pStyle w:val="SubmissionNormal"/>
        <w:numPr>
          <w:ilvl w:val="0"/>
          <w:numId w:val="21"/>
        </w:numPr>
        <w:ind w:hanging="720"/>
      </w:pPr>
      <w:r>
        <w:t>The</w:t>
      </w:r>
      <w:r w:rsidR="00A919C5">
        <w:t xml:space="preserve"> ALRC considered</w:t>
      </w:r>
      <w:r w:rsidR="005904C6">
        <w:t xml:space="preserve"> that, in certain </w:t>
      </w:r>
      <w:r>
        <w:t>regulatory contexts</w:t>
      </w:r>
      <w:r w:rsidR="008A7C3C">
        <w:t xml:space="preserve"> where agencies require sensitive information</w:t>
      </w:r>
      <w:r w:rsidR="002F6009">
        <w:t xml:space="preserve"> to perform their</w:t>
      </w:r>
      <w:r w:rsidR="00A919C5">
        <w:t xml:space="preserve"> functions</w:t>
      </w:r>
      <w:r w:rsidR="008A7C3C">
        <w:t>,</w:t>
      </w:r>
      <w:r>
        <w:t xml:space="preserve"> the ability to impose criminal penalties for the unauthorised disclosure of information is necessary to support community confidence in the ability of the government to protect the information.</w:t>
      </w:r>
      <w:r>
        <w:rPr>
          <w:rFonts w:eastAsia="Arial" w:cs="Arial"/>
          <w:vertAlign w:val="superscript"/>
        </w:rPr>
        <w:endnoteReference w:id="76"/>
      </w:r>
      <w:r>
        <w:t xml:space="preserve"> In this manner, harm to private or commercial interests </w:t>
      </w:r>
      <w:proofErr w:type="gramStart"/>
      <w:r>
        <w:t>can also be viewed</w:t>
      </w:r>
      <w:proofErr w:type="gramEnd"/>
      <w:r>
        <w:t xml:space="preserve"> as h</w:t>
      </w:r>
      <w:r w:rsidR="002F6009">
        <w:t>arm to a public interest, specifically</w:t>
      </w:r>
      <w:r>
        <w:t xml:space="preserve"> the ability of the regulatory agency to effectively perform its regulatory function. The ALRC accepted that this </w:t>
      </w:r>
      <w:proofErr w:type="gramStart"/>
      <w:r>
        <w:t>will</w:t>
      </w:r>
      <w:proofErr w:type="gramEnd"/>
      <w:r>
        <w:t xml:space="preserve"> particularly be the case where regulators require sensitive information from individuals and entities for matters such as social security, taxation or health.</w:t>
      </w:r>
      <w:r>
        <w:rPr>
          <w:rFonts w:eastAsia="Arial" w:cs="Arial"/>
          <w:vertAlign w:val="superscript"/>
        </w:rPr>
        <w:endnoteReference w:id="77"/>
      </w:r>
      <w:r>
        <w:t xml:space="preserve"> </w:t>
      </w:r>
    </w:p>
    <w:p w14:paraId="19B6C6FA" w14:textId="77777777" w:rsidR="009277CA" w:rsidRDefault="009277CA" w:rsidP="00D26F07">
      <w:pPr>
        <w:pStyle w:val="SubmissionNormal"/>
        <w:numPr>
          <w:ilvl w:val="0"/>
          <w:numId w:val="21"/>
        </w:numPr>
        <w:ind w:hanging="720"/>
      </w:pPr>
      <w:r>
        <w:t xml:space="preserve">The Commission accepts that some functions of the Department require individuals and companies to provide sensitive information in circumstances where they expect the Department to keep this information confidential. This </w:t>
      </w:r>
      <w:proofErr w:type="gramStart"/>
      <w:r>
        <w:t>is reflected</w:t>
      </w:r>
      <w:proofErr w:type="gramEnd"/>
      <w:r>
        <w:t xml:space="preserve"> in the example given in the Explanatory Memorandum regarding a sponsor wanting to withdraw sponsorship in the context of family violence. Viewed in this manner, paragraph (d) </w:t>
      </w:r>
      <w:proofErr w:type="gramStart"/>
      <w:r>
        <w:t>can be read</w:t>
      </w:r>
      <w:proofErr w:type="gramEnd"/>
      <w:r>
        <w:t xml:space="preserve"> as a specific secrecy offence designed to protect the Department’s ability to perform its function regulating Australia’s immigration and border protection policy. </w:t>
      </w:r>
    </w:p>
    <w:p w14:paraId="17FC73D3" w14:textId="526094B8" w:rsidR="00A919C5" w:rsidRDefault="009277CA" w:rsidP="00D26F07">
      <w:pPr>
        <w:pStyle w:val="SubmissionNormal"/>
        <w:numPr>
          <w:ilvl w:val="0"/>
          <w:numId w:val="21"/>
        </w:numPr>
        <w:ind w:hanging="720"/>
      </w:pPr>
      <w:r>
        <w:t xml:space="preserve">In the context of agency-specific secrecy laws, the ALRC emphasises that they </w:t>
      </w:r>
      <w:proofErr w:type="gramStart"/>
      <w:r>
        <w:t>should not be expressed</w:t>
      </w:r>
      <w:proofErr w:type="gramEnd"/>
      <w:r>
        <w:t xml:space="preserve"> in broad terms.</w:t>
      </w:r>
      <w:r>
        <w:rPr>
          <w:rStyle w:val="EndnoteReference"/>
        </w:rPr>
        <w:endnoteReference w:id="78"/>
      </w:r>
      <w:r w:rsidR="00A919C5">
        <w:t xml:space="preserve"> Instead:</w:t>
      </w:r>
    </w:p>
    <w:p w14:paraId="13FC1B72" w14:textId="0BA3375D" w:rsidR="009277CA" w:rsidRDefault="009277CA" w:rsidP="00A919C5">
      <w:pPr>
        <w:pStyle w:val="SubmissionNormal"/>
        <w:ind w:left="1440"/>
      </w:pPr>
      <w:proofErr w:type="gramStart"/>
      <w:r w:rsidRPr="00A919C5">
        <w:rPr>
          <w:sz w:val="22"/>
          <w:szCs w:val="22"/>
        </w:rPr>
        <w:t>the</w:t>
      </w:r>
      <w:proofErr w:type="gramEnd"/>
      <w:r w:rsidRPr="00A919C5">
        <w:rPr>
          <w:sz w:val="22"/>
          <w:szCs w:val="22"/>
        </w:rPr>
        <w:t xml:space="preserve"> category of information protected should be narrowly defined, so that the secrecy provisions is not so wide as to cover information that would not harm the regulatory functio</w:t>
      </w:r>
      <w:r w:rsidR="00316800">
        <w:rPr>
          <w:sz w:val="22"/>
          <w:szCs w:val="22"/>
        </w:rPr>
        <w:t>n of the agency</w:t>
      </w:r>
      <w:r>
        <w:t>.</w:t>
      </w:r>
      <w:r>
        <w:rPr>
          <w:rStyle w:val="EndnoteReference"/>
        </w:rPr>
        <w:endnoteReference w:id="79"/>
      </w:r>
      <w:r>
        <w:t xml:space="preserve"> </w:t>
      </w:r>
    </w:p>
    <w:p w14:paraId="49B5A7D9" w14:textId="467A7A90" w:rsidR="009277CA" w:rsidRDefault="009277CA" w:rsidP="00D26F07">
      <w:pPr>
        <w:pStyle w:val="SubmissionNormal"/>
        <w:numPr>
          <w:ilvl w:val="0"/>
          <w:numId w:val="21"/>
        </w:numPr>
        <w:ind w:hanging="720"/>
      </w:pPr>
      <w:r>
        <w:t xml:space="preserve">While the Explanatory Memorandum of the Bill identifies loss of public confidence in the Department’s ability to protect confidential information as the reason for the inclusion of paragraph (d), this rationale is not reflected in the express terms of the </w:t>
      </w:r>
      <w:r w:rsidR="00BD67CD">
        <w:t>offence provision</w:t>
      </w:r>
      <w:r>
        <w:t xml:space="preserve">. </w:t>
      </w:r>
    </w:p>
    <w:p w14:paraId="58F51BF4" w14:textId="77777777" w:rsidR="009277CA" w:rsidRDefault="009277CA" w:rsidP="00D26F07">
      <w:pPr>
        <w:pStyle w:val="SubmissionNormal"/>
        <w:numPr>
          <w:ilvl w:val="0"/>
          <w:numId w:val="21"/>
        </w:numPr>
        <w:ind w:hanging="720"/>
      </w:pPr>
      <w:r>
        <w:t xml:space="preserve">To be more consistent with the Bill’s stated objective and </w:t>
      </w:r>
      <w:r w:rsidRPr="001755E1">
        <w:t>enhance the Bill’s compatibility with human rights</w:t>
      </w:r>
      <w:r>
        <w:t>, the Commission recommends that paragraph (d) be amended to read:</w:t>
      </w:r>
    </w:p>
    <w:p w14:paraId="4E3E3D9A" w14:textId="06021C9A" w:rsidR="009277CA" w:rsidRDefault="009277CA" w:rsidP="009277CA">
      <w:pPr>
        <w:pStyle w:val="SubmissionNormal"/>
        <w:suppressAutoHyphens/>
        <w:ind w:left="1440"/>
        <w:rPr>
          <w:sz w:val="22"/>
        </w:rPr>
      </w:pPr>
      <w:proofErr w:type="gramStart"/>
      <w:r w:rsidRPr="00D51874">
        <w:rPr>
          <w:sz w:val="22"/>
        </w:rPr>
        <w:t>information</w:t>
      </w:r>
      <w:proofErr w:type="gramEnd"/>
      <w:r w:rsidRPr="00D51874">
        <w:rPr>
          <w:sz w:val="22"/>
        </w:rPr>
        <w:t xml:space="preserve"> the disclosure of which would, or is reasonably likely to, found an action by a person (other than the Commonwealth) for breach </w:t>
      </w:r>
      <w:r w:rsidR="00645634">
        <w:rPr>
          <w:sz w:val="22"/>
        </w:rPr>
        <w:t>of a duty of confidence and damage</w:t>
      </w:r>
      <w:r w:rsidRPr="00D51874">
        <w:rPr>
          <w:sz w:val="22"/>
        </w:rPr>
        <w:t xml:space="preserve"> the regulatory function of the Department. </w:t>
      </w:r>
    </w:p>
    <w:p w14:paraId="3E7008B7" w14:textId="409D6CAC" w:rsidR="00645634" w:rsidRPr="00645634" w:rsidRDefault="00645634" w:rsidP="005E4A65">
      <w:pPr>
        <w:pStyle w:val="SubmissionNormal"/>
        <w:ind w:left="720"/>
        <w:rPr>
          <w:b/>
        </w:rPr>
      </w:pPr>
      <w:r w:rsidRPr="00645634">
        <w:rPr>
          <w:b/>
        </w:rPr>
        <w:lastRenderedPageBreak/>
        <w:t xml:space="preserve">Recommendation 6 </w:t>
      </w:r>
    </w:p>
    <w:p w14:paraId="6494782E" w14:textId="25CE3379" w:rsidR="00645634" w:rsidRPr="00F431BF" w:rsidRDefault="00645634" w:rsidP="00645634">
      <w:pPr>
        <w:pStyle w:val="SubmissionNormal"/>
        <w:ind w:left="720"/>
      </w:pPr>
      <w:r w:rsidRPr="00F431BF">
        <w:t xml:space="preserve">The Commission recommends that the </w:t>
      </w:r>
      <w:r>
        <w:t xml:space="preserve">proposed </w:t>
      </w:r>
      <w:r w:rsidRPr="00F431BF">
        <w:t xml:space="preserve">definition of </w:t>
      </w:r>
      <w:r w:rsidR="00A508B1" w:rsidRPr="00A508B1">
        <w:rPr>
          <w:i/>
        </w:rPr>
        <w:t>‘</w:t>
      </w:r>
      <w:r w:rsidR="00A508B1" w:rsidRPr="00742487">
        <w:rPr>
          <w:i/>
        </w:rPr>
        <w:t>Immigration and Border Protection information’</w:t>
      </w:r>
      <w:r w:rsidRPr="00BD67CD">
        <w:t xml:space="preserve"> </w:t>
      </w:r>
      <w:r>
        <w:t xml:space="preserve">in item 1, paragraph (d), </w:t>
      </w:r>
      <w:r w:rsidRPr="00F431BF">
        <w:t xml:space="preserve">of the Bill </w:t>
      </w:r>
      <w:r>
        <w:t>be amended by inserting ‘</w:t>
      </w:r>
      <w:r w:rsidRPr="00FC20FA">
        <w:t>and damage the regulatory function of the Department’</w:t>
      </w:r>
      <w:r>
        <w:t xml:space="preserve"> after ‘breach of a duty of confidence’.  </w:t>
      </w:r>
    </w:p>
    <w:p w14:paraId="03B9499D" w14:textId="77777777" w:rsidR="00016F62" w:rsidRPr="00AB6039" w:rsidRDefault="00016F62" w:rsidP="00AB6039">
      <w:pPr>
        <w:pStyle w:val="Heading1"/>
      </w:pPr>
      <w:bookmarkStart w:id="65" w:name="_Toc491958015"/>
      <w:r w:rsidRPr="00AB6039">
        <w:t>Competitive detriment</w:t>
      </w:r>
      <w:bookmarkEnd w:id="62"/>
      <w:bookmarkEnd w:id="65"/>
    </w:p>
    <w:bookmarkEnd w:id="36"/>
    <w:bookmarkEnd w:id="37"/>
    <w:bookmarkEnd w:id="38"/>
    <w:p w14:paraId="7649C0DB" w14:textId="5DE97B5A" w:rsidR="00016F62" w:rsidRPr="00CB4A83" w:rsidRDefault="00016F62" w:rsidP="004F14E2">
      <w:pPr>
        <w:pStyle w:val="SubmissionNormal"/>
        <w:numPr>
          <w:ilvl w:val="0"/>
          <w:numId w:val="21"/>
        </w:numPr>
        <w:ind w:hanging="720"/>
      </w:pPr>
      <w:r>
        <w:t>Under the Bill, i</w:t>
      </w:r>
      <w:r w:rsidRPr="00CB4A83">
        <w:t xml:space="preserve">nformation will be protected </w:t>
      </w:r>
      <w:r w:rsidR="00A508B1" w:rsidRPr="00A508B1">
        <w:rPr>
          <w:i/>
        </w:rPr>
        <w:t>‘Immigration and Border Protection information’</w:t>
      </w:r>
      <w:r w:rsidRPr="00CB4A83">
        <w:t xml:space="preserve"> if it is information the disclosure of which would or could reasonably be expected to cause competitive detriment to a person. </w:t>
      </w:r>
    </w:p>
    <w:p w14:paraId="067893F0" w14:textId="77777777" w:rsidR="00016F62" w:rsidRPr="00CB4A83" w:rsidRDefault="00016F62" w:rsidP="004F14E2">
      <w:pPr>
        <w:pStyle w:val="SubmissionNormal"/>
        <w:numPr>
          <w:ilvl w:val="0"/>
          <w:numId w:val="21"/>
        </w:numPr>
        <w:ind w:hanging="720"/>
      </w:pPr>
      <w:r w:rsidRPr="00CB4A83">
        <w:t xml:space="preserve">The phrase ‘competitive detriment’ </w:t>
      </w:r>
      <w:proofErr w:type="gramStart"/>
      <w:r w:rsidRPr="00CB4A83">
        <w:t>is not defined</w:t>
      </w:r>
      <w:proofErr w:type="gramEnd"/>
      <w:r w:rsidRPr="00CB4A83">
        <w:t xml:space="preserve"> in the Bill and does not appear to have been the subject of judicial consideration in case law</w:t>
      </w:r>
      <w:r w:rsidR="001945E4">
        <w:t xml:space="preserve"> about relevantly similar provisions</w:t>
      </w:r>
      <w:r w:rsidRPr="00CB4A83">
        <w:t xml:space="preserve">. </w:t>
      </w:r>
    </w:p>
    <w:p w14:paraId="5AD013C3" w14:textId="47BE860C" w:rsidR="00016F62" w:rsidRPr="00CB4A83" w:rsidRDefault="00016F62" w:rsidP="004F14E2">
      <w:pPr>
        <w:pStyle w:val="SubmissionNormal"/>
        <w:numPr>
          <w:ilvl w:val="0"/>
          <w:numId w:val="21"/>
        </w:numPr>
        <w:ind w:hanging="720"/>
      </w:pPr>
      <w:r w:rsidRPr="00CB4A83">
        <w:t xml:space="preserve">The </w:t>
      </w:r>
      <w:r w:rsidR="00F31666">
        <w:t>E</w:t>
      </w:r>
      <w:r w:rsidR="00F31666" w:rsidRPr="00CB4A83">
        <w:t xml:space="preserve">xplanatory </w:t>
      </w:r>
      <w:r w:rsidR="00F31666">
        <w:t>M</w:t>
      </w:r>
      <w:r w:rsidR="00F31666" w:rsidRPr="00CB4A83">
        <w:t xml:space="preserve">emorandum </w:t>
      </w:r>
      <w:r w:rsidRPr="00CB4A83">
        <w:t>to the Bill provides that:</w:t>
      </w:r>
    </w:p>
    <w:p w14:paraId="7B92F4CE" w14:textId="77777777" w:rsidR="00016F62" w:rsidRPr="00CB4A83" w:rsidRDefault="00016F62" w:rsidP="001945E4">
      <w:pPr>
        <w:ind w:left="1440"/>
      </w:pPr>
      <w:r w:rsidRPr="001945E4">
        <w:rPr>
          <w:sz w:val="22"/>
        </w:rPr>
        <w:t xml:space="preserve">This paragraph is concerned with protecting commercial information that </w:t>
      </w:r>
      <w:proofErr w:type="gramStart"/>
      <w:r w:rsidRPr="001945E4">
        <w:rPr>
          <w:sz w:val="22"/>
        </w:rPr>
        <w:t>is provided</w:t>
      </w:r>
      <w:proofErr w:type="gramEnd"/>
      <w:r w:rsidRPr="001945E4">
        <w:rPr>
          <w:sz w:val="22"/>
        </w:rPr>
        <w:t xml:space="preserve"> to the Department. This recognises that disclosing such information could cause significant damage to an entity’s business interests where the information provides a commercial advantage to a competitor or potential competitor. For example, the unauthorised disclosure of such information may result in competitors of a commercial entity undercutting the service it provides or counterfeiting its product.</w:t>
      </w:r>
      <w:r>
        <w:rPr>
          <w:rStyle w:val="EndnoteReference"/>
          <w:szCs w:val="22"/>
        </w:rPr>
        <w:endnoteReference w:id="80"/>
      </w:r>
      <w:r w:rsidRPr="00CB4A83">
        <w:t xml:space="preserve"> </w:t>
      </w:r>
    </w:p>
    <w:p w14:paraId="4FC6824A" w14:textId="77777777" w:rsidR="00016F62" w:rsidRPr="00CB4A83" w:rsidRDefault="00016F62" w:rsidP="004F14E2">
      <w:pPr>
        <w:pStyle w:val="SubmissionNormal"/>
        <w:numPr>
          <w:ilvl w:val="0"/>
          <w:numId w:val="21"/>
        </w:numPr>
        <w:ind w:hanging="720"/>
      </w:pPr>
      <w:r w:rsidRPr="00CB4A83">
        <w:t xml:space="preserve">While acknowledging the importance of protecting confidential commercial information, the Commission considers it is inappropriate to extend criminal liability to the unauthorised disclosure of information that would or could cause ‘competitive detriment’. </w:t>
      </w:r>
    </w:p>
    <w:p w14:paraId="705AE0E0" w14:textId="7329632E" w:rsidR="00CF6853" w:rsidRDefault="00016F62" w:rsidP="004F14E2">
      <w:pPr>
        <w:pStyle w:val="SubmissionNormal"/>
        <w:numPr>
          <w:ilvl w:val="0"/>
          <w:numId w:val="21"/>
        </w:numPr>
        <w:ind w:hanging="720"/>
      </w:pPr>
      <w:r w:rsidRPr="00CB4A83">
        <w:t xml:space="preserve">‘Competitive detriment’ has the potential </w:t>
      </w:r>
      <w:r w:rsidR="00CF6853">
        <w:t xml:space="preserve">to </w:t>
      </w:r>
      <w:proofErr w:type="gramStart"/>
      <w:r w:rsidR="00CF6853">
        <w:t>be interpreted</w:t>
      </w:r>
      <w:proofErr w:type="gramEnd"/>
      <w:r w:rsidR="00CF6853">
        <w:t xml:space="preserve"> very broadly. If the proposed </w:t>
      </w:r>
      <w:r w:rsidR="00CF6853" w:rsidRPr="00F431BF">
        <w:t xml:space="preserve">definition of </w:t>
      </w:r>
      <w:r w:rsidR="00CF6853">
        <w:t>‘</w:t>
      </w:r>
      <w:r w:rsidR="00CF6853" w:rsidRPr="00A508B1">
        <w:rPr>
          <w:i/>
        </w:rPr>
        <w:t>Immigration and Border Protection information</w:t>
      </w:r>
      <w:r w:rsidR="00CF6853">
        <w:t>’</w:t>
      </w:r>
      <w:r w:rsidR="00CF6853" w:rsidRPr="00F431BF">
        <w:t xml:space="preserve"> </w:t>
      </w:r>
      <w:r w:rsidR="00CF6853">
        <w:t xml:space="preserve">in </w:t>
      </w:r>
      <w:r w:rsidR="00F31666">
        <w:t>item </w:t>
      </w:r>
      <w:r w:rsidR="00CF6853">
        <w:t xml:space="preserve">1, paragraph (d), </w:t>
      </w:r>
      <w:r w:rsidR="00CF6853" w:rsidRPr="00F431BF">
        <w:t xml:space="preserve">of the Bill </w:t>
      </w:r>
      <w:r w:rsidR="00CF6853">
        <w:t xml:space="preserve">is retained, </w:t>
      </w:r>
      <w:r w:rsidR="00A919C5">
        <w:t>c</w:t>
      </w:r>
      <w:r>
        <w:t xml:space="preserve">ommercial information </w:t>
      </w:r>
      <w:r w:rsidRPr="00CB4A83">
        <w:t>that has been communicated to the Department in circumstances where disclosure of such information would or could reasonably be expected to found a duty for breac</w:t>
      </w:r>
      <w:r>
        <w:t>h of confidence is</w:t>
      </w:r>
      <w:r w:rsidRPr="00CB4A83">
        <w:t xml:space="preserve"> already protected</w:t>
      </w:r>
      <w:r w:rsidR="00CF6853">
        <w:t xml:space="preserve">. </w:t>
      </w:r>
    </w:p>
    <w:p w14:paraId="2F288EB1" w14:textId="71408C44" w:rsidR="00016F62" w:rsidRDefault="00016F62" w:rsidP="004F14E2">
      <w:pPr>
        <w:pStyle w:val="SubmissionNormal"/>
        <w:numPr>
          <w:ilvl w:val="0"/>
          <w:numId w:val="21"/>
        </w:numPr>
        <w:ind w:hanging="720"/>
      </w:pPr>
      <w:r w:rsidRPr="00CB4A83">
        <w:t xml:space="preserve">The Commission is not convinced that protecting </w:t>
      </w:r>
      <w:r w:rsidR="00FC20FA">
        <w:t xml:space="preserve">private </w:t>
      </w:r>
      <w:r w:rsidRPr="00CB4A83">
        <w:t>entities from ‘competitive detriment’ is a public interest of the same essential character as national sec</w:t>
      </w:r>
      <w:r w:rsidR="00CF6853">
        <w:t xml:space="preserve">urity, defence, law enforcement, </w:t>
      </w:r>
      <w:r w:rsidRPr="00CB4A83">
        <w:t xml:space="preserve">public safety </w:t>
      </w:r>
      <w:r w:rsidR="00CF6853">
        <w:t xml:space="preserve">or the effective regulatory function of an agency </w:t>
      </w:r>
      <w:r w:rsidRPr="00CB4A83">
        <w:t>such that the unauthorised disclosure of information relating to it should attract criminal sanction</w:t>
      </w:r>
      <w:r w:rsidR="005C54DB">
        <w:t>s</w:t>
      </w:r>
      <w:r w:rsidRPr="00CB4A83">
        <w:t xml:space="preserve">. </w:t>
      </w:r>
      <w:r w:rsidR="00CF6853">
        <w:t xml:space="preserve">As </w:t>
      </w:r>
      <w:proofErr w:type="gramStart"/>
      <w:r w:rsidR="00CF6853">
        <w:t>previously</w:t>
      </w:r>
      <w:proofErr w:type="gramEnd"/>
      <w:r w:rsidR="00CF6853">
        <w:t xml:space="preserve"> noted, </w:t>
      </w:r>
      <w:r w:rsidR="00174988">
        <w:t xml:space="preserve">civil law is available to address the problem of improper disclosure of </w:t>
      </w:r>
      <w:r w:rsidRPr="00CB4A83">
        <w:t>commercial information</w:t>
      </w:r>
      <w:r w:rsidR="00174988">
        <w:t xml:space="preserve">. The remedies available under civil law – </w:t>
      </w:r>
      <w:r w:rsidRPr="00CB4A83">
        <w:t>such as contractual, common law and equitable remedies</w:t>
      </w:r>
      <w:r w:rsidR="00174988">
        <w:t xml:space="preserve"> – also are more effective at assisting a person who has suffered detriment </w:t>
      </w:r>
      <w:proofErr w:type="gramStart"/>
      <w:r w:rsidR="00174988">
        <w:t>as a result</w:t>
      </w:r>
      <w:proofErr w:type="gramEnd"/>
      <w:r w:rsidR="00174988">
        <w:t xml:space="preserve"> of this form of improper disclosure</w:t>
      </w:r>
      <w:r w:rsidRPr="00CB4A83">
        <w:t>.</w:t>
      </w:r>
    </w:p>
    <w:p w14:paraId="41F6E2A9" w14:textId="46387ACA" w:rsidR="00016F62" w:rsidRPr="001945E4" w:rsidRDefault="00645634" w:rsidP="001945E4">
      <w:pPr>
        <w:keepNext/>
        <w:ind w:left="720"/>
        <w:rPr>
          <w:b/>
        </w:rPr>
      </w:pPr>
      <w:r>
        <w:rPr>
          <w:b/>
        </w:rPr>
        <w:lastRenderedPageBreak/>
        <w:t>Recommendation 7</w:t>
      </w:r>
    </w:p>
    <w:p w14:paraId="37623660" w14:textId="01D020D1" w:rsidR="005C54DB" w:rsidRPr="00F431BF" w:rsidRDefault="005C54DB" w:rsidP="005C54DB">
      <w:pPr>
        <w:pStyle w:val="SubmissionNormal"/>
        <w:ind w:left="720"/>
      </w:pPr>
      <w:bookmarkStart w:id="66" w:name="_Toc365465913"/>
      <w:r w:rsidRPr="00F431BF">
        <w:t xml:space="preserve">The Commission recommends that </w:t>
      </w:r>
      <w:r>
        <w:t xml:space="preserve">paragraph (e) of the </w:t>
      </w:r>
      <w:r w:rsidRPr="00F431BF">
        <w:t xml:space="preserve">proposed definition of </w:t>
      </w:r>
      <w:r w:rsidR="00A508B1" w:rsidRPr="00A508B1">
        <w:rPr>
          <w:i/>
        </w:rPr>
        <w:t>‘Immigration and Border Protection information’</w:t>
      </w:r>
      <w:r w:rsidRPr="00F431BF">
        <w:t xml:space="preserve"> </w:t>
      </w:r>
      <w:r>
        <w:t xml:space="preserve">in item 1 of the Bill, </w:t>
      </w:r>
      <w:r w:rsidRPr="00F431BF">
        <w:t>pertaining to the inclusion of ‘information the disclosure of which would or could reasonably be expected to cause competitive detriment to a person’</w:t>
      </w:r>
      <w:r>
        <w:t>,</w:t>
      </w:r>
      <w:r w:rsidRPr="00F431BF">
        <w:t xml:space="preserve"> </w:t>
      </w:r>
      <w:r>
        <w:t>be deleted</w:t>
      </w:r>
      <w:r w:rsidRPr="00F431BF">
        <w:t xml:space="preserve">. </w:t>
      </w:r>
    </w:p>
    <w:p w14:paraId="4DCCD791" w14:textId="77777777" w:rsidR="00016F62" w:rsidRPr="00AB6039" w:rsidRDefault="00016F62" w:rsidP="00AB6039">
      <w:pPr>
        <w:pStyle w:val="Heading1"/>
      </w:pPr>
      <w:bookmarkStart w:id="67" w:name="_Toc491958016"/>
      <w:r w:rsidRPr="00AB6039">
        <w:t>Deeming provisions</w:t>
      </w:r>
      <w:bookmarkEnd w:id="66"/>
      <w:bookmarkEnd w:id="67"/>
    </w:p>
    <w:p w14:paraId="4676B595" w14:textId="5D156066" w:rsidR="00016F62" w:rsidRPr="00CB4A83" w:rsidRDefault="00016F62" w:rsidP="004F14E2">
      <w:pPr>
        <w:pStyle w:val="SubmissionNormal"/>
        <w:numPr>
          <w:ilvl w:val="0"/>
          <w:numId w:val="21"/>
        </w:numPr>
        <w:ind w:hanging="720"/>
      </w:pPr>
      <w:r w:rsidRPr="00CB4A83">
        <w:t xml:space="preserve">The Bill deems that the following kinds of information </w:t>
      </w:r>
      <w:r>
        <w:t>are</w:t>
      </w:r>
      <w:r w:rsidR="0002342D">
        <w:t xml:space="preserve"> </w:t>
      </w:r>
      <w:r w:rsidRPr="00CB4A83">
        <w:t xml:space="preserve">included within the definition of </w:t>
      </w:r>
      <w:r w:rsidR="00A508B1" w:rsidRPr="00A508B1">
        <w:rPr>
          <w:i/>
        </w:rPr>
        <w:t>‘Immigration and Border Protection information’</w:t>
      </w:r>
      <w:r w:rsidRPr="00CB4A83">
        <w:t xml:space="preserve">: </w:t>
      </w:r>
    </w:p>
    <w:p w14:paraId="53210226" w14:textId="68B4DFE1" w:rsidR="00016F62" w:rsidRDefault="00016F62" w:rsidP="00902667">
      <w:pPr>
        <w:pStyle w:val="ListParagraph"/>
        <w:numPr>
          <w:ilvl w:val="0"/>
          <w:numId w:val="43"/>
        </w:numPr>
        <w:rPr>
          <w:rFonts w:cs="Arial"/>
          <w:szCs w:val="22"/>
        </w:rPr>
      </w:pPr>
      <w:r w:rsidRPr="00902667">
        <w:rPr>
          <w:rFonts w:cs="Arial"/>
          <w:szCs w:val="22"/>
        </w:rPr>
        <w:t>information that has a security classification;</w:t>
      </w:r>
    </w:p>
    <w:p w14:paraId="7DFDA5E2" w14:textId="77777777" w:rsidR="00902667" w:rsidRPr="00902667" w:rsidRDefault="00902667" w:rsidP="00902667">
      <w:pPr>
        <w:pStyle w:val="ListParagraph"/>
        <w:rPr>
          <w:rFonts w:cs="Arial"/>
          <w:szCs w:val="22"/>
        </w:rPr>
      </w:pPr>
    </w:p>
    <w:p w14:paraId="345C50A9" w14:textId="2133376F" w:rsidR="00016F62" w:rsidRDefault="00016F62" w:rsidP="00902667">
      <w:pPr>
        <w:pStyle w:val="ListParagraph"/>
        <w:numPr>
          <w:ilvl w:val="0"/>
          <w:numId w:val="43"/>
        </w:numPr>
        <w:rPr>
          <w:rFonts w:cs="Arial"/>
          <w:szCs w:val="22"/>
        </w:rPr>
      </w:pPr>
      <w:r w:rsidRPr="00902667">
        <w:rPr>
          <w:rFonts w:cs="Arial"/>
          <w:szCs w:val="22"/>
        </w:rPr>
        <w:t>information that has originated with, or was received from, an intelligence agency;</w:t>
      </w:r>
    </w:p>
    <w:p w14:paraId="7947E079" w14:textId="77777777" w:rsidR="00902667" w:rsidRPr="00902667" w:rsidRDefault="00902667" w:rsidP="00902667">
      <w:pPr>
        <w:pStyle w:val="ListParagraph"/>
        <w:rPr>
          <w:rFonts w:cs="Arial"/>
          <w:szCs w:val="22"/>
        </w:rPr>
      </w:pPr>
    </w:p>
    <w:p w14:paraId="548F299A" w14:textId="0B2A38D6" w:rsidR="00016F62" w:rsidRPr="00902667" w:rsidRDefault="00016F62" w:rsidP="00902667">
      <w:pPr>
        <w:pStyle w:val="ListParagraph"/>
        <w:numPr>
          <w:ilvl w:val="0"/>
          <w:numId w:val="43"/>
        </w:numPr>
        <w:rPr>
          <w:rFonts w:cs="Arial"/>
          <w:szCs w:val="22"/>
        </w:rPr>
      </w:pPr>
      <w:proofErr w:type="gramStart"/>
      <w:r w:rsidRPr="00902667">
        <w:rPr>
          <w:rFonts w:cs="Arial"/>
          <w:szCs w:val="22"/>
        </w:rPr>
        <w:t>information</w:t>
      </w:r>
      <w:proofErr w:type="gramEnd"/>
      <w:r w:rsidRPr="00902667">
        <w:rPr>
          <w:rFonts w:cs="Arial"/>
          <w:szCs w:val="22"/>
        </w:rPr>
        <w:t xml:space="preserve"> that was provided to the Commonwealth pursuant to a statutory obligation or otherwise by compulsion of law.</w:t>
      </w:r>
      <w:r w:rsidRPr="005C54DB">
        <w:rPr>
          <w:sz w:val="20"/>
          <w:vertAlign w:val="superscript"/>
        </w:rPr>
        <w:endnoteReference w:id="81"/>
      </w:r>
      <w:r w:rsidRPr="00902667">
        <w:rPr>
          <w:rFonts w:cs="Arial"/>
          <w:szCs w:val="22"/>
        </w:rPr>
        <w:t xml:space="preserve"> </w:t>
      </w:r>
    </w:p>
    <w:p w14:paraId="133BDA5B" w14:textId="77777777" w:rsidR="00016F62" w:rsidRPr="00CB4A83" w:rsidRDefault="00016F62" w:rsidP="004F14E2">
      <w:pPr>
        <w:pStyle w:val="SubmissionNormal"/>
        <w:numPr>
          <w:ilvl w:val="0"/>
          <w:numId w:val="21"/>
        </w:numPr>
        <w:ind w:hanging="720"/>
      </w:pPr>
      <w:r w:rsidRPr="00CB4A83">
        <w:t xml:space="preserve">Accordingly, any information that falls into one of the three categories above </w:t>
      </w:r>
      <w:r w:rsidR="0016109E">
        <w:t>would be</w:t>
      </w:r>
      <w:r w:rsidR="0016109E" w:rsidRPr="00CB4A83">
        <w:t xml:space="preserve"> </w:t>
      </w:r>
      <w:r w:rsidRPr="00CB4A83">
        <w:t xml:space="preserve">subject to criminal sanction upon unauthorised disclosure. This applies equally to </w:t>
      </w:r>
      <w:r>
        <w:t>both innocuous and</w:t>
      </w:r>
      <w:r w:rsidRPr="00CB4A83">
        <w:t xml:space="preserve"> highly sensitive information. </w:t>
      </w:r>
    </w:p>
    <w:p w14:paraId="7A348DA0" w14:textId="77777777" w:rsidR="00016F62" w:rsidRPr="00CB4A83" w:rsidRDefault="00016F62" w:rsidP="004F14E2">
      <w:pPr>
        <w:pStyle w:val="SubmissionNormal"/>
        <w:numPr>
          <w:ilvl w:val="0"/>
          <w:numId w:val="21"/>
        </w:numPr>
        <w:ind w:hanging="720"/>
      </w:pPr>
      <w:r>
        <w:t xml:space="preserve">It is not </w:t>
      </w:r>
      <w:r w:rsidR="0016109E">
        <w:t xml:space="preserve">necessary </w:t>
      </w:r>
      <w:r>
        <w:t xml:space="preserve">that a person intend to make </w:t>
      </w:r>
      <w:r w:rsidRPr="00CB4A83">
        <w:t>an unauthorised disclosure under these sections to be guilty of the criminal offence. It will be sufficient if he or she is reckless as to whether or not the information falls into one of these categories.</w:t>
      </w:r>
      <w:r w:rsidRPr="0016109E">
        <w:rPr>
          <w:sz w:val="20"/>
          <w:vertAlign w:val="superscript"/>
        </w:rPr>
        <w:endnoteReference w:id="82"/>
      </w:r>
      <w:r w:rsidRPr="00CB4A83">
        <w:t xml:space="preserve"> </w:t>
      </w:r>
    </w:p>
    <w:p w14:paraId="4D2A38A6" w14:textId="77777777" w:rsidR="00016F62" w:rsidRPr="00CB4A83" w:rsidRDefault="0016109E" w:rsidP="004F14E2">
      <w:pPr>
        <w:pStyle w:val="SubmissionNormal"/>
        <w:numPr>
          <w:ilvl w:val="0"/>
          <w:numId w:val="21"/>
        </w:numPr>
        <w:ind w:hanging="720"/>
      </w:pPr>
      <w:r>
        <w:t xml:space="preserve">The Commission supports the shift in </w:t>
      </w:r>
      <w:r w:rsidR="00016F62" w:rsidRPr="00CB4A83">
        <w:t xml:space="preserve">this Bill away from ‘catch-all’ secrecy provisions </w:t>
      </w:r>
      <w:r w:rsidR="0023638E">
        <w:t xml:space="preserve">and towards provisions that </w:t>
      </w:r>
      <w:r w:rsidR="00016F62" w:rsidRPr="00CB4A83">
        <w:t xml:space="preserve">focus attention on the specific nature of the information </w:t>
      </w:r>
      <w:r w:rsidR="0023638E">
        <w:t xml:space="preserve">that requires protection </w:t>
      </w:r>
      <w:r w:rsidR="00016F62" w:rsidRPr="00CB4A83">
        <w:t xml:space="preserve">and the specific </w:t>
      </w:r>
      <w:r>
        <w:t xml:space="preserve">harms </w:t>
      </w:r>
      <w:r w:rsidR="0023638E">
        <w:t>that are likely to result</w:t>
      </w:r>
      <w:r>
        <w:t xml:space="preserve"> from </w:t>
      </w:r>
      <w:r w:rsidR="00016F62" w:rsidRPr="00CB4A83">
        <w:t xml:space="preserve">its disclosure. </w:t>
      </w:r>
      <w:r w:rsidR="0023638E">
        <w:t xml:space="preserve">However, the effect of these deeming provisions is to focus on the form of the information rather than either its content or the likely consequences of disclosure. </w:t>
      </w:r>
    </w:p>
    <w:p w14:paraId="1914FBCF" w14:textId="77777777" w:rsidR="00016F62" w:rsidRPr="00CB4A83" w:rsidRDefault="00016F62" w:rsidP="004F14E2">
      <w:pPr>
        <w:pStyle w:val="SubmissionNormal"/>
        <w:numPr>
          <w:ilvl w:val="0"/>
          <w:numId w:val="21"/>
        </w:numPr>
        <w:ind w:hanging="720"/>
      </w:pPr>
      <w:r w:rsidRPr="00CB4A83">
        <w:t xml:space="preserve">The Commission has particular concerns about the deeming provision </w:t>
      </w:r>
      <w:r w:rsidR="0023638E">
        <w:t xml:space="preserve">that </w:t>
      </w:r>
      <w:r w:rsidRPr="00CB4A83">
        <w:t xml:space="preserve">relates to security classification. </w:t>
      </w:r>
    </w:p>
    <w:p w14:paraId="550CEE6B" w14:textId="77777777" w:rsidR="00016F62" w:rsidRPr="00AB6039" w:rsidRDefault="00016F62" w:rsidP="00AB6039">
      <w:pPr>
        <w:pStyle w:val="Heading2"/>
      </w:pPr>
      <w:bookmarkStart w:id="68" w:name="_Toc365465914"/>
      <w:bookmarkStart w:id="69" w:name="_Toc491958017"/>
      <w:r w:rsidRPr="00AB6039">
        <w:t>Security classification</w:t>
      </w:r>
      <w:bookmarkEnd w:id="68"/>
      <w:bookmarkEnd w:id="69"/>
    </w:p>
    <w:p w14:paraId="6C235DE1" w14:textId="33930E69" w:rsidR="00016F62" w:rsidRPr="00CB4A83" w:rsidRDefault="00016F62" w:rsidP="004F14E2">
      <w:pPr>
        <w:pStyle w:val="SubmissionNormal"/>
        <w:numPr>
          <w:ilvl w:val="0"/>
          <w:numId w:val="21"/>
        </w:numPr>
        <w:ind w:hanging="720"/>
      </w:pPr>
      <w:r w:rsidRPr="00CB4A83">
        <w:t xml:space="preserve">The Commonwealth classifies information in accordance with the Australian Government’s </w:t>
      </w:r>
      <w:r w:rsidRPr="00DD38D9">
        <w:t>Protective Security Policy Framework</w:t>
      </w:r>
      <w:r w:rsidRPr="00CB4A83">
        <w:t xml:space="preserve">. This Framework provides a system for identifying official information the disclosure of which could have a business impact level of </w:t>
      </w:r>
      <w:r w:rsidR="005E38D0">
        <w:t>‘</w:t>
      </w:r>
      <w:r w:rsidRPr="00CB4A83">
        <w:t>high</w:t>
      </w:r>
      <w:r w:rsidR="005E38D0">
        <w:t>’</w:t>
      </w:r>
      <w:r w:rsidRPr="00CB4A83">
        <w:t xml:space="preserve"> or above for the government. The </w:t>
      </w:r>
      <w:r w:rsidRPr="00914A7B">
        <w:rPr>
          <w:i/>
        </w:rPr>
        <w:t xml:space="preserve">Australian Government </w:t>
      </w:r>
      <w:proofErr w:type="gramStart"/>
      <w:r w:rsidRPr="00914A7B">
        <w:rPr>
          <w:i/>
        </w:rPr>
        <w:t>information security management guidelines</w:t>
      </w:r>
      <w:proofErr w:type="gramEnd"/>
      <w:r w:rsidRPr="00914A7B">
        <w:rPr>
          <w:i/>
        </w:rPr>
        <w:t xml:space="preserve"> – Australian Government security classification system</w:t>
      </w:r>
      <w:r w:rsidRPr="00CB4A83">
        <w:t xml:space="preserve"> (Information security</w:t>
      </w:r>
      <w:r w:rsidR="0002342D">
        <w:t xml:space="preserve"> management guidelines) provide</w:t>
      </w:r>
      <w:r w:rsidRPr="00CB4A83">
        <w:t xml:space="preserve"> guidance on how to identify and classify this official information.</w:t>
      </w:r>
      <w:r w:rsidRPr="00DD38D9">
        <w:rPr>
          <w:sz w:val="20"/>
          <w:vertAlign w:val="superscript"/>
        </w:rPr>
        <w:endnoteReference w:id="83"/>
      </w:r>
      <w:r w:rsidRPr="00CB4A83">
        <w:t xml:space="preserve"> </w:t>
      </w:r>
    </w:p>
    <w:p w14:paraId="23D566DE" w14:textId="77777777" w:rsidR="00016F62" w:rsidRPr="00CB4A83" w:rsidRDefault="00016F62" w:rsidP="004F14E2">
      <w:pPr>
        <w:pStyle w:val="SubmissionNormal"/>
        <w:numPr>
          <w:ilvl w:val="0"/>
          <w:numId w:val="21"/>
        </w:numPr>
        <w:ind w:hanging="720"/>
      </w:pPr>
      <w:r w:rsidRPr="00CB4A83">
        <w:lastRenderedPageBreak/>
        <w:t>There are four levels of security classification, each corresponding to a level of damage to ‘the national interest, organisations and individuals’ of unauthorised disclosure. These are protected, confidential, secret and top secret.</w:t>
      </w:r>
      <w:r w:rsidRPr="00DD38D9">
        <w:rPr>
          <w:sz w:val="20"/>
          <w:vertAlign w:val="superscript"/>
        </w:rPr>
        <w:endnoteReference w:id="84"/>
      </w:r>
      <w:r w:rsidRPr="00CB4A83">
        <w:t xml:space="preserve"> </w:t>
      </w:r>
    </w:p>
    <w:p w14:paraId="4CD81C4D" w14:textId="77777777" w:rsidR="00016F62" w:rsidRPr="00CB4A83" w:rsidRDefault="00016F62" w:rsidP="004F14E2">
      <w:pPr>
        <w:pStyle w:val="SubmissionNormal"/>
        <w:numPr>
          <w:ilvl w:val="0"/>
          <w:numId w:val="21"/>
        </w:numPr>
        <w:ind w:hanging="720"/>
      </w:pPr>
      <w:r w:rsidRPr="00CB4A83">
        <w:t xml:space="preserve">The </w:t>
      </w:r>
      <w:r>
        <w:t>‘</w:t>
      </w:r>
      <w:r w:rsidRPr="00CB4A83">
        <w:t>national interest</w:t>
      </w:r>
      <w:r>
        <w:t>’</w:t>
      </w:r>
      <w:r w:rsidRPr="00CB4A83">
        <w:t xml:space="preserve"> is defined broadly as a matter which has or could have impact on Australia, including</w:t>
      </w:r>
      <w:r w:rsidR="00DD38D9">
        <w:t>:</w:t>
      </w:r>
      <w:r w:rsidRPr="00DD38D9">
        <w:rPr>
          <w:sz w:val="20"/>
          <w:vertAlign w:val="superscript"/>
        </w:rPr>
        <w:endnoteReference w:id="85"/>
      </w:r>
    </w:p>
    <w:p w14:paraId="19C2A505" w14:textId="77777777" w:rsidR="00016F62" w:rsidRPr="00CB4A83" w:rsidRDefault="00016F62" w:rsidP="00EE2554">
      <w:pPr>
        <w:pStyle w:val="ListParagraph"/>
        <w:numPr>
          <w:ilvl w:val="0"/>
          <w:numId w:val="16"/>
        </w:numPr>
        <w:contextualSpacing w:val="0"/>
      </w:pPr>
      <w:r w:rsidRPr="00CB4A83">
        <w:t>national security</w:t>
      </w:r>
    </w:p>
    <w:p w14:paraId="5B416BA2" w14:textId="77777777" w:rsidR="00016F62" w:rsidRPr="00CB4A83" w:rsidRDefault="00016F62" w:rsidP="000A58A8">
      <w:pPr>
        <w:pStyle w:val="ListParagraph"/>
        <w:numPr>
          <w:ilvl w:val="0"/>
          <w:numId w:val="16"/>
        </w:numPr>
        <w:ind w:left="1434" w:hanging="357"/>
        <w:contextualSpacing w:val="0"/>
      </w:pPr>
      <w:r w:rsidRPr="00CB4A83">
        <w:t>international relations</w:t>
      </w:r>
    </w:p>
    <w:p w14:paraId="77CB163E" w14:textId="77777777" w:rsidR="00016F62" w:rsidRPr="00CB4A83" w:rsidRDefault="00016F62" w:rsidP="000A58A8">
      <w:pPr>
        <w:pStyle w:val="ListParagraph"/>
        <w:numPr>
          <w:ilvl w:val="0"/>
          <w:numId w:val="16"/>
        </w:numPr>
        <w:ind w:left="1434" w:hanging="357"/>
        <w:contextualSpacing w:val="0"/>
      </w:pPr>
      <w:r>
        <w:t>law and governance including:</w:t>
      </w:r>
    </w:p>
    <w:p w14:paraId="4521340C" w14:textId="77777777" w:rsidR="00016F62" w:rsidRPr="00CB4A83" w:rsidRDefault="00016F62" w:rsidP="000A58A8">
      <w:pPr>
        <w:pStyle w:val="ListParagraph"/>
        <w:numPr>
          <w:ilvl w:val="1"/>
          <w:numId w:val="16"/>
        </w:numPr>
        <w:contextualSpacing w:val="0"/>
      </w:pPr>
      <w:r w:rsidRPr="00CB4A83">
        <w:t>inter-state/territory relations</w:t>
      </w:r>
    </w:p>
    <w:p w14:paraId="25D67D03" w14:textId="77777777" w:rsidR="00016F62" w:rsidRPr="00CB4A83" w:rsidRDefault="00016F62" w:rsidP="000A58A8">
      <w:pPr>
        <w:pStyle w:val="ListParagraph"/>
        <w:numPr>
          <w:ilvl w:val="1"/>
          <w:numId w:val="16"/>
        </w:numPr>
        <w:contextualSpacing w:val="0"/>
      </w:pPr>
      <w:r w:rsidRPr="00CB4A83">
        <w:t>law enforcement operation</w:t>
      </w:r>
      <w:r>
        <w:t xml:space="preserve">s where compromise could hamper </w:t>
      </w:r>
      <w:r w:rsidRPr="00CB4A83">
        <w:t>or prevent national crime prevention strategies or investigation</w:t>
      </w:r>
      <w:r>
        <w:t>s, or endanger personal safety</w:t>
      </w:r>
    </w:p>
    <w:p w14:paraId="3086AEF6" w14:textId="77777777" w:rsidR="00016F62" w:rsidRPr="00CB4A83" w:rsidRDefault="00016F62" w:rsidP="000A58A8">
      <w:pPr>
        <w:pStyle w:val="ListParagraph"/>
        <w:numPr>
          <w:ilvl w:val="0"/>
          <w:numId w:val="16"/>
        </w:numPr>
        <w:ind w:left="1434" w:hanging="357"/>
        <w:contextualSpacing w:val="0"/>
      </w:pPr>
      <w:r w:rsidRPr="00CB4A83">
        <w:t>economic wellbeing</w:t>
      </w:r>
    </w:p>
    <w:p w14:paraId="39F2E929" w14:textId="77777777" w:rsidR="00016F62" w:rsidRPr="00CB4A83" w:rsidRDefault="00016F62" w:rsidP="000A58A8">
      <w:pPr>
        <w:pStyle w:val="ListParagraph"/>
        <w:numPr>
          <w:ilvl w:val="0"/>
          <w:numId w:val="16"/>
        </w:numPr>
        <w:ind w:left="1434" w:hanging="357"/>
        <w:contextualSpacing w:val="0"/>
      </w:pPr>
      <w:proofErr w:type="gramStart"/>
      <w:r w:rsidRPr="00CB4A83">
        <w:t>heritage</w:t>
      </w:r>
      <w:proofErr w:type="gramEnd"/>
      <w:r w:rsidRPr="00CB4A83">
        <w:t xml:space="preserve"> or culture</w:t>
      </w:r>
      <w:r w:rsidR="005E38D0">
        <w:t>.</w:t>
      </w:r>
    </w:p>
    <w:p w14:paraId="36E7A2E9" w14:textId="77777777" w:rsidR="00016F62" w:rsidRPr="00CB4A83" w:rsidRDefault="00016F62" w:rsidP="004F14E2">
      <w:pPr>
        <w:pStyle w:val="SubmissionNormal"/>
        <w:numPr>
          <w:ilvl w:val="0"/>
          <w:numId w:val="21"/>
        </w:numPr>
        <w:ind w:hanging="720"/>
      </w:pPr>
      <w:r w:rsidRPr="00CB4A83">
        <w:t xml:space="preserve">Security classifications do not only attach to information that </w:t>
      </w:r>
      <w:proofErr w:type="gramStart"/>
      <w:r w:rsidRPr="00CB4A83">
        <w:t>could be expected</w:t>
      </w:r>
      <w:proofErr w:type="gramEnd"/>
      <w:r w:rsidRPr="00CB4A83">
        <w:t xml:space="preserve"> to cause damage to national interests. The guidelines provide that they </w:t>
      </w:r>
      <w:proofErr w:type="gramStart"/>
      <w:r w:rsidRPr="00CB4A83">
        <w:t>should also be used</w:t>
      </w:r>
      <w:proofErr w:type="gramEnd"/>
      <w:r w:rsidRPr="00CB4A83">
        <w:t xml:space="preserve"> if disclosure could be expected to cause damage to ‘organisations or individuals’. This has the potential to </w:t>
      </w:r>
      <w:proofErr w:type="gramStart"/>
      <w:r w:rsidRPr="00CB4A83">
        <w:t>be interpreted</w:t>
      </w:r>
      <w:proofErr w:type="gramEnd"/>
      <w:r w:rsidRPr="00CB4A83">
        <w:t xml:space="preserve"> expansively by each of the different federal agencies charged with classifying its own information. </w:t>
      </w:r>
    </w:p>
    <w:p w14:paraId="6F619664" w14:textId="77777777" w:rsidR="00016F62" w:rsidRPr="00CB4A83" w:rsidRDefault="00016F62" w:rsidP="004F14E2">
      <w:pPr>
        <w:pStyle w:val="SubmissionNormal"/>
        <w:numPr>
          <w:ilvl w:val="0"/>
          <w:numId w:val="21"/>
        </w:numPr>
        <w:ind w:hanging="720"/>
      </w:pPr>
      <w:r w:rsidRPr="00CB4A83">
        <w:t xml:space="preserve">The PROTECTED security classification is to </w:t>
      </w:r>
      <w:proofErr w:type="gramStart"/>
      <w:r w:rsidRPr="00CB4A83">
        <w:t>be used</w:t>
      </w:r>
      <w:proofErr w:type="gramEnd"/>
      <w:r w:rsidRPr="00CB4A83">
        <w:t xml:space="preserve"> when the </w:t>
      </w:r>
      <w:r w:rsidR="00742667" w:rsidRPr="00CB4A83">
        <w:t xml:space="preserve">compromise of the confidentiality </w:t>
      </w:r>
      <w:r w:rsidRPr="00CB4A83">
        <w:t xml:space="preserve">of information could be expected to cause </w:t>
      </w:r>
      <w:r w:rsidRPr="005E38D0">
        <w:t>damage</w:t>
      </w:r>
      <w:r w:rsidRPr="00CB4A83">
        <w:t xml:space="preserve"> to the national interest, organisations or individuals.</w:t>
      </w:r>
      <w:r w:rsidRPr="00742667">
        <w:rPr>
          <w:sz w:val="20"/>
          <w:vertAlign w:val="superscript"/>
        </w:rPr>
        <w:endnoteReference w:id="86"/>
      </w:r>
      <w:r w:rsidRPr="00CB4A83">
        <w:t xml:space="preserve"> </w:t>
      </w:r>
    </w:p>
    <w:p w14:paraId="0DD35AB0" w14:textId="77777777" w:rsidR="00016F62" w:rsidRPr="00CB4A83" w:rsidRDefault="00016F62" w:rsidP="004F14E2">
      <w:pPr>
        <w:pStyle w:val="SubmissionNormal"/>
        <w:numPr>
          <w:ilvl w:val="0"/>
          <w:numId w:val="21"/>
        </w:numPr>
        <w:ind w:hanging="720"/>
      </w:pPr>
      <w:r w:rsidRPr="00CB4A83">
        <w:t xml:space="preserve">The CONFIDENTIAL security classification is to </w:t>
      </w:r>
      <w:proofErr w:type="gramStart"/>
      <w:r w:rsidRPr="00CB4A83">
        <w:t>be used</w:t>
      </w:r>
      <w:proofErr w:type="gramEnd"/>
      <w:r w:rsidRPr="00CB4A83">
        <w:t xml:space="preserve"> when the compromise of the confidentiality of information could be expected to cause </w:t>
      </w:r>
      <w:r w:rsidRPr="005E38D0">
        <w:t>significant damage</w:t>
      </w:r>
      <w:r w:rsidRPr="00CB4A83">
        <w:t xml:space="preserve"> to the national interest, organisations or individuals.</w:t>
      </w:r>
      <w:r w:rsidRPr="00742667">
        <w:rPr>
          <w:sz w:val="20"/>
          <w:vertAlign w:val="superscript"/>
        </w:rPr>
        <w:endnoteReference w:id="87"/>
      </w:r>
    </w:p>
    <w:p w14:paraId="004ADC32" w14:textId="77777777" w:rsidR="00016F62" w:rsidRPr="00CB4A83" w:rsidRDefault="00016F62" w:rsidP="004F14E2">
      <w:pPr>
        <w:pStyle w:val="SubmissionNormal"/>
        <w:numPr>
          <w:ilvl w:val="0"/>
          <w:numId w:val="21"/>
        </w:numPr>
        <w:ind w:hanging="720"/>
      </w:pPr>
      <w:r w:rsidRPr="00CB4A83">
        <w:t xml:space="preserve">The SECRET security classification is to </w:t>
      </w:r>
      <w:proofErr w:type="gramStart"/>
      <w:r w:rsidRPr="00CB4A83">
        <w:t>be used</w:t>
      </w:r>
      <w:proofErr w:type="gramEnd"/>
      <w:r w:rsidRPr="00CB4A83">
        <w:t xml:space="preserve"> when compromise of the confidentiality of information could be expected to cause </w:t>
      </w:r>
      <w:r w:rsidRPr="005E38D0">
        <w:t>serious damage</w:t>
      </w:r>
      <w:r w:rsidRPr="00CB4A83">
        <w:t xml:space="preserve"> to the national interest, organisations or individuals.</w:t>
      </w:r>
      <w:r w:rsidRPr="00742667">
        <w:rPr>
          <w:sz w:val="20"/>
          <w:vertAlign w:val="superscript"/>
        </w:rPr>
        <w:endnoteReference w:id="88"/>
      </w:r>
      <w:r w:rsidRPr="00CB4A83">
        <w:t xml:space="preserve"> </w:t>
      </w:r>
    </w:p>
    <w:p w14:paraId="52EE1DDD" w14:textId="77777777" w:rsidR="00A505E2" w:rsidRPr="00CB4A83" w:rsidRDefault="00016F62" w:rsidP="004F14E2">
      <w:pPr>
        <w:pStyle w:val="SubmissionNormal"/>
        <w:numPr>
          <w:ilvl w:val="0"/>
          <w:numId w:val="21"/>
        </w:numPr>
        <w:ind w:hanging="720"/>
      </w:pPr>
      <w:r w:rsidRPr="00CB4A83">
        <w:t xml:space="preserve">The TOP SECRET security classification requires the highest degree of protection as compromise of the confidentiality of this information </w:t>
      </w:r>
      <w:proofErr w:type="gramStart"/>
      <w:r w:rsidRPr="00CB4A83">
        <w:t>could be expected</w:t>
      </w:r>
      <w:proofErr w:type="gramEnd"/>
      <w:r w:rsidRPr="00CB4A83">
        <w:t xml:space="preserve"> to cause </w:t>
      </w:r>
      <w:r w:rsidRPr="005E38D0">
        <w:t>exceptionally grave damage</w:t>
      </w:r>
      <w:r w:rsidRPr="00CB4A83">
        <w:t xml:space="preserve"> to the national interest</w:t>
      </w:r>
      <w:r>
        <w:t>.</w:t>
      </w:r>
      <w:r w:rsidRPr="00742667">
        <w:rPr>
          <w:sz w:val="20"/>
          <w:vertAlign w:val="superscript"/>
        </w:rPr>
        <w:endnoteReference w:id="89"/>
      </w:r>
      <w:r>
        <w:t xml:space="preserve"> </w:t>
      </w:r>
    </w:p>
    <w:p w14:paraId="13FC8DDE" w14:textId="77777777" w:rsidR="00A505E2" w:rsidRPr="00CB4A83" w:rsidRDefault="00A505E2" w:rsidP="004F14E2">
      <w:pPr>
        <w:pStyle w:val="SubmissionNormal"/>
        <w:numPr>
          <w:ilvl w:val="0"/>
          <w:numId w:val="21"/>
        </w:numPr>
        <w:ind w:hanging="720"/>
      </w:pPr>
      <w:r w:rsidRPr="00CB4A83">
        <w:t>If correctly applied, any information with a security classification should have already been subject to an assessment that the</w:t>
      </w:r>
      <w:r w:rsidR="00474640">
        <w:t xml:space="preserve"> compromise of the information c</w:t>
      </w:r>
      <w:r w:rsidRPr="00CB4A83">
        <w:t xml:space="preserve">ould, at the very least, cause </w:t>
      </w:r>
      <w:r w:rsidRPr="005E38D0">
        <w:t xml:space="preserve">damage </w:t>
      </w:r>
      <w:r w:rsidRPr="00CB4A83">
        <w:t xml:space="preserve">to the national interest, organisations or individuals. </w:t>
      </w:r>
    </w:p>
    <w:p w14:paraId="5ADB32B2" w14:textId="77777777" w:rsidR="00A505E2" w:rsidRPr="00CB4A83" w:rsidRDefault="00460CED" w:rsidP="004F14E2">
      <w:pPr>
        <w:pStyle w:val="SubmissionNormal"/>
        <w:numPr>
          <w:ilvl w:val="0"/>
          <w:numId w:val="21"/>
        </w:numPr>
        <w:ind w:hanging="720"/>
      </w:pPr>
      <w:r>
        <w:t xml:space="preserve">This may </w:t>
      </w:r>
      <w:r w:rsidR="005B494A" w:rsidRPr="00CB4A83">
        <w:t xml:space="preserve">go some way </w:t>
      </w:r>
      <w:r w:rsidR="00A505E2" w:rsidRPr="00CB4A83">
        <w:t xml:space="preserve">towards alleviating concerns that the deeming provision is overly broad and will capture innocuous information. </w:t>
      </w:r>
    </w:p>
    <w:p w14:paraId="2634C795" w14:textId="77777777" w:rsidR="00A505E2" w:rsidRDefault="00460CED" w:rsidP="004F14E2">
      <w:pPr>
        <w:pStyle w:val="SubmissionNormal"/>
        <w:numPr>
          <w:ilvl w:val="0"/>
          <w:numId w:val="21"/>
        </w:numPr>
        <w:ind w:hanging="720"/>
      </w:pPr>
      <w:r>
        <w:lastRenderedPageBreak/>
        <w:t xml:space="preserve">However, this </w:t>
      </w:r>
      <w:r w:rsidR="005B494A" w:rsidRPr="00CB4A83">
        <w:t xml:space="preserve">will only be the </w:t>
      </w:r>
      <w:r>
        <w:t xml:space="preserve">case </w:t>
      </w:r>
      <w:r w:rsidR="00A505E2" w:rsidRPr="00CB4A83">
        <w:t xml:space="preserve">if the information </w:t>
      </w:r>
      <w:proofErr w:type="gramStart"/>
      <w:r w:rsidR="00A505E2" w:rsidRPr="00CB4A83">
        <w:t>is properly classified</w:t>
      </w:r>
      <w:proofErr w:type="gramEnd"/>
      <w:r w:rsidR="00A505E2" w:rsidRPr="00CB4A83">
        <w:t xml:space="preserve"> in accordance with the guidelines. As drafted, the Bill capture</w:t>
      </w:r>
      <w:r w:rsidR="002C61A4">
        <w:t>s</w:t>
      </w:r>
      <w:r w:rsidR="00A505E2" w:rsidRPr="00CB4A83">
        <w:t xml:space="preserve"> any information that </w:t>
      </w:r>
      <w:r w:rsidR="00A505E2" w:rsidRPr="005E38D0">
        <w:t>has</w:t>
      </w:r>
      <w:r w:rsidR="00A505E2" w:rsidRPr="00CB4A83">
        <w:t xml:space="preserve"> a security classification, regardless of whether or not the information </w:t>
      </w:r>
      <w:proofErr w:type="gramStart"/>
      <w:r w:rsidR="00A505E2" w:rsidRPr="005E38D0">
        <w:t>should</w:t>
      </w:r>
      <w:r w:rsidR="00A505E2" w:rsidRPr="00CB4A83">
        <w:t xml:space="preserve"> have been given</w:t>
      </w:r>
      <w:proofErr w:type="gramEnd"/>
      <w:r w:rsidR="00A505E2" w:rsidRPr="00CB4A83">
        <w:t xml:space="preserve"> a security classification. </w:t>
      </w:r>
    </w:p>
    <w:p w14:paraId="51D96EB4" w14:textId="3F66E0AD" w:rsidR="00A505E2" w:rsidRPr="00CB4A83" w:rsidRDefault="00A505E2" w:rsidP="004F14E2">
      <w:pPr>
        <w:pStyle w:val="SubmissionNormal"/>
        <w:numPr>
          <w:ilvl w:val="0"/>
          <w:numId w:val="21"/>
        </w:numPr>
        <w:ind w:hanging="720"/>
      </w:pPr>
      <w:proofErr w:type="gramStart"/>
      <w:r w:rsidRPr="00CB4A83">
        <w:t>The guidelines make clear that Government policy is to keep classified information to a minimum and that i</w:t>
      </w:r>
      <w:r w:rsidR="00742667">
        <w:t>n no case</w:t>
      </w:r>
      <w:r w:rsidRPr="00CB4A83">
        <w:t xml:space="preserve"> should information be classified</w:t>
      </w:r>
      <w:proofErr w:type="gramEnd"/>
      <w:r w:rsidRPr="00CB4A83">
        <w:t xml:space="preserve"> to hide violations of law, inefficiency or administrative error.</w:t>
      </w:r>
      <w:r w:rsidR="00AA663C">
        <w:rPr>
          <w:rStyle w:val="EndnoteReference"/>
        </w:rPr>
        <w:endnoteReference w:id="90"/>
      </w:r>
      <w:r w:rsidRPr="00CB4A83">
        <w:t xml:space="preserve"> It is also inappropriate to classify documents to prevent embarrassment, restrain </w:t>
      </w:r>
      <w:proofErr w:type="gramStart"/>
      <w:r w:rsidRPr="00CB4A83">
        <w:t>competition or prevent</w:t>
      </w:r>
      <w:proofErr w:type="gramEnd"/>
      <w:r w:rsidRPr="00CB4A83">
        <w:t xml:space="preserve"> or delay the release of information that does not need protection in the national interest. The guidelines also make clear that information should not be </w:t>
      </w:r>
      <w:proofErr w:type="spellStart"/>
      <w:r w:rsidRPr="00CB4A83">
        <w:t>overclassified</w:t>
      </w:r>
      <w:proofErr w:type="spellEnd"/>
      <w:r w:rsidRPr="00CB4A83">
        <w:t xml:space="preserve">. </w:t>
      </w:r>
    </w:p>
    <w:p w14:paraId="1D78C57C" w14:textId="77777777" w:rsidR="00A505E2" w:rsidRDefault="00A505E2" w:rsidP="004F14E2">
      <w:pPr>
        <w:pStyle w:val="SubmissionNormal"/>
        <w:numPr>
          <w:ilvl w:val="0"/>
          <w:numId w:val="21"/>
        </w:numPr>
        <w:ind w:hanging="720"/>
      </w:pPr>
      <w:r w:rsidRPr="00CB4A83">
        <w:t>However, it is not difficult to contemplate a situation where</w:t>
      </w:r>
      <w:r w:rsidR="00CD55B5">
        <w:t>by</w:t>
      </w:r>
      <w:r w:rsidRPr="00CB4A83">
        <w:t xml:space="preserve"> information </w:t>
      </w:r>
      <w:proofErr w:type="gramStart"/>
      <w:r w:rsidRPr="00CB4A83">
        <w:t xml:space="preserve">might inadvertently </w:t>
      </w:r>
      <w:r w:rsidR="004F5141">
        <w:t xml:space="preserve">be </w:t>
      </w:r>
      <w:r w:rsidRPr="00CB4A83">
        <w:t>misclassified</w:t>
      </w:r>
      <w:proofErr w:type="gramEnd"/>
      <w:r w:rsidRPr="00CB4A83">
        <w:t xml:space="preserve"> by an agency. Moreover, as already noted, the guidelines allow for the security classification of information that goes beyond damage to the national interest and extends broadly to damage to ‘organisations or individuals’. </w:t>
      </w:r>
    </w:p>
    <w:p w14:paraId="3D3CF492" w14:textId="77777777" w:rsidR="00474640" w:rsidRPr="00CB4A83" w:rsidRDefault="00474640" w:rsidP="004F14E2">
      <w:pPr>
        <w:pStyle w:val="SubmissionNormal"/>
        <w:numPr>
          <w:ilvl w:val="0"/>
          <w:numId w:val="21"/>
        </w:numPr>
        <w:ind w:hanging="720"/>
      </w:pPr>
      <w:r>
        <w:t>Additionally, the test for whether a document is to be security classified relates to an assessment as to whether it ‘could</w:t>
      </w:r>
      <w:r w:rsidR="00EF29CF">
        <w:t>’</w:t>
      </w:r>
      <w:r>
        <w:t xml:space="preserve"> be expected to cause d</w:t>
      </w:r>
      <w:r w:rsidR="00EF29CF">
        <w:t>amage</w:t>
      </w:r>
      <w:r w:rsidR="006F6899">
        <w:t>. T</w:t>
      </w:r>
      <w:r w:rsidR="007C47A6">
        <w:t xml:space="preserve">his assessment </w:t>
      </w:r>
      <w:r w:rsidR="00EF29CF">
        <w:t xml:space="preserve">of ‘could’ </w:t>
      </w:r>
      <w:proofErr w:type="gramStart"/>
      <w:r w:rsidR="007C47A6">
        <w:t xml:space="preserve">is </w:t>
      </w:r>
      <w:r w:rsidR="006F6899">
        <w:t>not qualified</w:t>
      </w:r>
      <w:proofErr w:type="gramEnd"/>
      <w:r w:rsidR="006F6899">
        <w:t xml:space="preserve"> by</w:t>
      </w:r>
      <w:r>
        <w:t xml:space="preserve"> </w:t>
      </w:r>
      <w:r w:rsidR="006F6899">
        <w:t>a</w:t>
      </w:r>
      <w:r w:rsidR="00EF29CF">
        <w:t>ny requirement that the</w:t>
      </w:r>
      <w:r w:rsidR="007C47A6">
        <w:t xml:space="preserve"> </w:t>
      </w:r>
      <w:r>
        <w:t xml:space="preserve">expectation </w:t>
      </w:r>
      <w:r w:rsidR="007C47A6">
        <w:t xml:space="preserve">be </w:t>
      </w:r>
      <w:r>
        <w:t xml:space="preserve">reasonable. </w:t>
      </w:r>
    </w:p>
    <w:p w14:paraId="667F6CAA" w14:textId="2103F3CA" w:rsidR="00A505E2" w:rsidRPr="00CB4A83" w:rsidRDefault="00A505E2" w:rsidP="004F14E2">
      <w:pPr>
        <w:pStyle w:val="SubmissionNormal"/>
        <w:numPr>
          <w:ilvl w:val="0"/>
          <w:numId w:val="21"/>
        </w:numPr>
        <w:ind w:hanging="720"/>
      </w:pPr>
      <w:proofErr w:type="gramStart"/>
      <w:r w:rsidRPr="00CB4A83">
        <w:t xml:space="preserve">Recalling the Commission’s position that </w:t>
      </w:r>
      <w:r w:rsidRPr="005E38D0">
        <w:t xml:space="preserve">criminal penalties should only attach to the unauthorised disclosure of official information when </w:t>
      </w:r>
      <w:r w:rsidR="00474640" w:rsidRPr="005E38D0">
        <w:t>it would or is reasonably likely to harm</w:t>
      </w:r>
      <w:r w:rsidR="005B494A" w:rsidRPr="005E38D0">
        <w:t xml:space="preserve"> </w:t>
      </w:r>
      <w:r w:rsidRPr="005E38D0">
        <w:t>essential public interests,</w:t>
      </w:r>
      <w:proofErr w:type="gramEnd"/>
      <w:r w:rsidRPr="005E38D0">
        <w:t xml:space="preserve"> </w:t>
      </w:r>
      <w:proofErr w:type="gramStart"/>
      <w:r w:rsidR="00F671F2">
        <w:t>it</w:t>
      </w:r>
      <w:proofErr w:type="gramEnd"/>
      <w:r w:rsidR="00F671F2">
        <w:t xml:space="preserve"> is suggested that </w:t>
      </w:r>
      <w:r w:rsidRPr="005E38D0">
        <w:t>the dee</w:t>
      </w:r>
      <w:r w:rsidR="005B494A" w:rsidRPr="005E38D0">
        <w:t xml:space="preserve">ming provision as it relates to </w:t>
      </w:r>
      <w:r w:rsidRPr="005E38D0">
        <w:t>secur</w:t>
      </w:r>
      <w:r w:rsidR="00F671F2">
        <w:t>ity classified information is</w:t>
      </w:r>
      <w:r w:rsidRPr="005E38D0">
        <w:t xml:space="preserve"> too broad. </w:t>
      </w:r>
    </w:p>
    <w:p w14:paraId="4178979D" w14:textId="5F2D1396" w:rsidR="005B494A" w:rsidRPr="00CB4A83" w:rsidRDefault="00F671F2" w:rsidP="004F14E2">
      <w:pPr>
        <w:pStyle w:val="SubmissionNormal"/>
        <w:numPr>
          <w:ilvl w:val="0"/>
          <w:numId w:val="21"/>
        </w:numPr>
        <w:ind w:hanging="720"/>
      </w:pPr>
      <w:proofErr w:type="gramStart"/>
      <w:r>
        <w:t xml:space="preserve">The Commission considers that </w:t>
      </w:r>
      <w:r w:rsidR="005B494A" w:rsidRPr="005E38D0">
        <w:t xml:space="preserve">the deeming of information </w:t>
      </w:r>
      <w:r w:rsidR="002C61A4">
        <w:t xml:space="preserve">with a security classification </w:t>
      </w:r>
      <w:r w:rsidR="005B494A" w:rsidRPr="005E38D0">
        <w:t xml:space="preserve">as </w:t>
      </w:r>
      <w:r w:rsidR="002C61A4">
        <w:t xml:space="preserve">requiring </w:t>
      </w:r>
      <w:r w:rsidR="005B494A" w:rsidRPr="005E38D0">
        <w:t>protect</w:t>
      </w:r>
      <w:r w:rsidR="002C61A4">
        <w:t>ion</w:t>
      </w:r>
      <w:r w:rsidR="005B494A" w:rsidRPr="005E38D0">
        <w:t>, without any consideration of the content of the information, whether it has been correctly classified or whether it is, in fact, information th</w:t>
      </w:r>
      <w:r>
        <w:t xml:space="preserve">e disclosure of which would, </w:t>
      </w:r>
      <w:r w:rsidR="008A62B9" w:rsidRPr="005E38D0">
        <w:t>or is reasonably likely to</w:t>
      </w:r>
      <w:r>
        <w:t>,</w:t>
      </w:r>
      <w:r w:rsidR="008A62B9" w:rsidRPr="005E38D0">
        <w:t xml:space="preserve"> </w:t>
      </w:r>
      <w:r w:rsidR="005B494A" w:rsidRPr="005E38D0">
        <w:t>harm essential public interests remains a ‘blanket provision’ that unduly restricts freedom of expression, political communication and legitimate public scrutiny.</w:t>
      </w:r>
      <w:proofErr w:type="gramEnd"/>
      <w:r w:rsidR="005B494A" w:rsidRPr="005E38D0">
        <w:t xml:space="preserve"> </w:t>
      </w:r>
    </w:p>
    <w:p w14:paraId="4A5D446A" w14:textId="77777777" w:rsidR="00766BA0" w:rsidRDefault="004F5141" w:rsidP="004F14E2">
      <w:pPr>
        <w:pStyle w:val="SubmissionNormal"/>
        <w:numPr>
          <w:ilvl w:val="0"/>
          <w:numId w:val="21"/>
        </w:numPr>
        <w:ind w:hanging="720"/>
      </w:pPr>
      <w:r>
        <w:t>The fact t</w:t>
      </w:r>
      <w:r w:rsidR="00A505E2" w:rsidRPr="00CB4A83">
        <w:t xml:space="preserve">hat information has a security classification should be a relevant consideration for a decision-maker in determining </w:t>
      </w:r>
      <w:proofErr w:type="gramStart"/>
      <w:r w:rsidR="00A505E2" w:rsidRPr="00CB4A83">
        <w:t>whether or not</w:t>
      </w:r>
      <w:proofErr w:type="gramEnd"/>
      <w:r w:rsidR="00A505E2" w:rsidRPr="00CB4A83">
        <w:t xml:space="preserve"> the information would, or could reasonably be expected to harm the security, defence or international relations of Australia. However, it should not be the determinative factor. </w:t>
      </w:r>
    </w:p>
    <w:p w14:paraId="7716834D" w14:textId="29BD57F7" w:rsidR="00352900" w:rsidRPr="004F5141" w:rsidRDefault="00645634" w:rsidP="002C61A4">
      <w:pPr>
        <w:keepNext/>
        <w:ind w:left="720"/>
        <w:rPr>
          <w:b/>
        </w:rPr>
      </w:pPr>
      <w:r>
        <w:rPr>
          <w:b/>
        </w:rPr>
        <w:t>Recommendation 8</w:t>
      </w:r>
    </w:p>
    <w:p w14:paraId="35B81749" w14:textId="5A094F3B" w:rsidR="004F5141" w:rsidRPr="000F2A43" w:rsidRDefault="004F5141" w:rsidP="004F5141">
      <w:pPr>
        <w:pStyle w:val="SubmissionNormal"/>
        <w:ind w:left="720"/>
      </w:pPr>
      <w:r w:rsidRPr="00352900">
        <w:t xml:space="preserve">The Commission recommends </w:t>
      </w:r>
      <w:r w:rsidR="009A5636">
        <w:t xml:space="preserve">that the proposed </w:t>
      </w:r>
      <w:r w:rsidR="00F671F2">
        <w:t>s</w:t>
      </w:r>
      <w:r>
        <w:t xml:space="preserve"> </w:t>
      </w:r>
      <w:r w:rsidR="009A5636">
        <w:t>4(</w:t>
      </w:r>
      <w:r>
        <w:t>5</w:t>
      </w:r>
      <w:proofErr w:type="gramStart"/>
      <w:r w:rsidR="009A5636">
        <w:t>)</w:t>
      </w:r>
      <w:r>
        <w:t>(</w:t>
      </w:r>
      <w:proofErr w:type="gramEnd"/>
      <w:r>
        <w:t xml:space="preserve">a) in item 5 of the Bill, which would deem ‘information that has a security classification’ as being ‘information the disclosure of which would or could reasonably be expected to prejudice the security, defence or international relations of Australia’, be deleted. </w:t>
      </w:r>
    </w:p>
    <w:p w14:paraId="72621E2A" w14:textId="77777777" w:rsidR="001B67A3" w:rsidRPr="000F2A43" w:rsidRDefault="001B67A3" w:rsidP="004F5141">
      <w:pPr>
        <w:ind w:left="720"/>
      </w:pPr>
    </w:p>
    <w:sectPr w:rsidR="001B67A3" w:rsidRPr="000F2A43" w:rsidSect="00B63D24">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4AEBF" w14:textId="77777777" w:rsidR="008A3983" w:rsidRDefault="008A3983" w:rsidP="00F14C6D">
      <w:r>
        <w:separator/>
      </w:r>
    </w:p>
  </w:endnote>
  <w:endnote w:type="continuationSeparator" w:id="0">
    <w:p w14:paraId="2DACF8B8" w14:textId="77777777" w:rsidR="008A3983" w:rsidRDefault="008A3983" w:rsidP="00F14C6D">
      <w:r>
        <w:continuationSeparator/>
      </w:r>
    </w:p>
  </w:endnote>
  <w:endnote w:id="1">
    <w:p w14:paraId="563708C3"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t xml:space="preserve">Secretary, Department of Immigration and Border Protection, </w:t>
      </w:r>
      <w:r w:rsidRPr="00942419">
        <w:rPr>
          <w:rFonts w:cs="Arial"/>
          <w:i/>
          <w:lang w:val="en-US"/>
        </w:rPr>
        <w:t>Determination of Immigration and Border Protection Workers – Amendment No. 1</w:t>
      </w:r>
      <w:r w:rsidRPr="00942419">
        <w:rPr>
          <w:rFonts w:cs="Arial"/>
          <w:lang w:val="en-US"/>
        </w:rPr>
        <w:t>,</w:t>
      </w:r>
      <w:r w:rsidRPr="00942419">
        <w:rPr>
          <w:rFonts w:cs="Arial"/>
          <w:i/>
          <w:lang w:val="en-US"/>
        </w:rPr>
        <w:t xml:space="preserve"> </w:t>
      </w:r>
      <w:r w:rsidRPr="00942419">
        <w:rPr>
          <w:rFonts w:cs="Arial"/>
          <w:lang w:val="en-US"/>
        </w:rPr>
        <w:t xml:space="preserve">30 September 2016. </w:t>
      </w:r>
    </w:p>
  </w:endnote>
  <w:endnote w:id="2">
    <w:p w14:paraId="014D96C5" w14:textId="678D151A" w:rsidR="008A3983" w:rsidRPr="00942419" w:rsidRDefault="008A3983" w:rsidP="004F14E2">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shd w:val="clear" w:color="auto" w:fill="FFFFFF"/>
        </w:rPr>
        <w:t>Australian Law Reform Commission, </w:t>
      </w:r>
      <w:r w:rsidRPr="00942419">
        <w:rPr>
          <w:rFonts w:cs="Arial"/>
          <w:i/>
          <w:iCs/>
          <w:shd w:val="clear" w:color="auto" w:fill="FFFFFF"/>
        </w:rPr>
        <w:t>Secrecy Laws and Open Government in Australia,</w:t>
      </w:r>
      <w:r w:rsidRPr="00942419">
        <w:rPr>
          <w:rFonts w:cs="Arial"/>
          <w:iCs/>
          <w:shd w:val="clear" w:color="auto" w:fill="FFFFFF"/>
        </w:rPr>
        <w:t xml:space="preserve"> Report No 112 (2009), p 22. </w:t>
      </w:r>
    </w:p>
  </w:endnote>
  <w:endnote w:id="3">
    <w:p w14:paraId="185804CC" w14:textId="77777777" w:rsidR="008A3983" w:rsidRPr="00942419" w:rsidRDefault="008A3983" w:rsidP="00ED64AC">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i/>
        </w:rPr>
        <w:t>Australian Border Force Act 2015</w:t>
      </w:r>
      <w:r w:rsidRPr="00942419">
        <w:rPr>
          <w:rFonts w:cs="Arial"/>
        </w:rPr>
        <w:t xml:space="preserve"> (</w:t>
      </w:r>
      <w:proofErr w:type="spellStart"/>
      <w:r w:rsidRPr="00942419">
        <w:rPr>
          <w:rFonts w:cs="Arial"/>
        </w:rPr>
        <w:t>Cth</w:t>
      </w:r>
      <w:proofErr w:type="spellEnd"/>
      <w:r w:rsidRPr="00942419">
        <w:rPr>
          <w:rFonts w:cs="Arial"/>
        </w:rPr>
        <w:t>), s 4(1).</w:t>
      </w:r>
    </w:p>
  </w:endnote>
  <w:endnote w:id="4">
    <w:p w14:paraId="03BCC56E"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r>
      <w:r w:rsidRPr="00942419">
        <w:rPr>
          <w:rFonts w:cs="Arial"/>
          <w:i/>
        </w:rPr>
        <w:t>Australian Border Force Act 2015</w:t>
      </w:r>
      <w:r w:rsidRPr="00942419">
        <w:rPr>
          <w:rFonts w:cs="Arial"/>
        </w:rPr>
        <w:t xml:space="preserve"> (</w:t>
      </w:r>
      <w:proofErr w:type="spellStart"/>
      <w:r w:rsidRPr="00942419">
        <w:rPr>
          <w:rFonts w:cs="Arial"/>
        </w:rPr>
        <w:t>Cth</w:t>
      </w:r>
      <w:proofErr w:type="spellEnd"/>
      <w:r w:rsidRPr="00942419">
        <w:rPr>
          <w:rFonts w:cs="Arial"/>
        </w:rPr>
        <w:t xml:space="preserve">), s 42. </w:t>
      </w:r>
    </w:p>
  </w:endnote>
  <w:endnote w:id="5">
    <w:p w14:paraId="7BEEACBA"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r>
      <w:r w:rsidRPr="00942419">
        <w:rPr>
          <w:rFonts w:cs="Arial"/>
          <w:i/>
        </w:rPr>
        <w:t>Australian Border Force Act 2015</w:t>
      </w:r>
      <w:r w:rsidRPr="00942419">
        <w:rPr>
          <w:rFonts w:cs="Arial"/>
        </w:rPr>
        <w:t xml:space="preserve"> (</w:t>
      </w:r>
      <w:proofErr w:type="spellStart"/>
      <w:r w:rsidRPr="00942419">
        <w:rPr>
          <w:rFonts w:cs="Arial"/>
        </w:rPr>
        <w:t>Cth</w:t>
      </w:r>
      <w:proofErr w:type="spellEnd"/>
      <w:r w:rsidRPr="00942419">
        <w:rPr>
          <w:rFonts w:cs="Arial"/>
        </w:rPr>
        <w:t xml:space="preserve">), s 4; Secretary, Department of Immigration and Border Protection, </w:t>
      </w:r>
      <w:r w:rsidRPr="00942419">
        <w:rPr>
          <w:rFonts w:cs="Arial"/>
          <w:i/>
          <w:lang w:val="en-US"/>
        </w:rPr>
        <w:t>Determination of Immigration and Border Protection Workers</w:t>
      </w:r>
      <w:r w:rsidRPr="00942419">
        <w:rPr>
          <w:rFonts w:cs="Arial"/>
          <w:lang w:val="en-US"/>
        </w:rPr>
        <w:t>,</w:t>
      </w:r>
      <w:r w:rsidRPr="00942419">
        <w:rPr>
          <w:rFonts w:cs="Arial"/>
          <w:i/>
          <w:lang w:val="en-US"/>
        </w:rPr>
        <w:t xml:space="preserve"> </w:t>
      </w:r>
      <w:r w:rsidRPr="00942419">
        <w:rPr>
          <w:rFonts w:cs="Arial"/>
          <w:lang w:val="en-US"/>
        </w:rPr>
        <w:t>29 June 2015</w:t>
      </w:r>
      <w:r w:rsidRPr="00942419">
        <w:rPr>
          <w:rFonts w:cs="Arial"/>
          <w:i/>
          <w:lang w:val="en-US"/>
        </w:rPr>
        <w:t xml:space="preserve">. </w:t>
      </w:r>
    </w:p>
  </w:endnote>
  <w:endnote w:id="6">
    <w:p w14:paraId="0E655C60"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r>
      <w:r w:rsidRPr="00942419">
        <w:rPr>
          <w:rFonts w:cs="Arial"/>
          <w:lang w:val="en-US"/>
        </w:rPr>
        <w:t>Explanatory Memorandum, Australian Border Force Amendment (Protected Information) Bill 2017 (</w:t>
      </w:r>
      <w:proofErr w:type="spellStart"/>
      <w:r w:rsidRPr="00942419">
        <w:rPr>
          <w:rFonts w:cs="Arial"/>
          <w:lang w:val="en-US"/>
        </w:rPr>
        <w:t>Cth</w:t>
      </w:r>
      <w:proofErr w:type="spellEnd"/>
      <w:r w:rsidRPr="00942419">
        <w:rPr>
          <w:rFonts w:cs="Arial"/>
          <w:lang w:val="en-US"/>
        </w:rPr>
        <w:t xml:space="preserve">), p 2. </w:t>
      </w:r>
    </w:p>
  </w:endnote>
  <w:endnote w:id="7">
    <w:p w14:paraId="61958BA4"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t xml:space="preserve">Proposed </w:t>
      </w:r>
      <w:r w:rsidRPr="00942419">
        <w:rPr>
          <w:rFonts w:cs="Arial"/>
          <w:lang w:val="en-US"/>
        </w:rPr>
        <w:t xml:space="preserve">s 42(1A), item 8, Australian Border Force Amendment (Protected Information) Bill 2017. </w:t>
      </w:r>
    </w:p>
  </w:endnote>
  <w:endnote w:id="8">
    <w:p w14:paraId="411AF855"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t>Proposed s 4(7), item</w:t>
      </w:r>
      <w:r w:rsidRPr="00942419">
        <w:rPr>
          <w:rFonts w:cs="Arial"/>
          <w:lang w:val="en-US"/>
        </w:rPr>
        <w:t xml:space="preserve"> </w:t>
      </w:r>
      <w:proofErr w:type="gramStart"/>
      <w:r w:rsidRPr="00942419">
        <w:rPr>
          <w:rFonts w:cs="Arial"/>
          <w:lang w:val="en-US"/>
        </w:rPr>
        <w:t>5</w:t>
      </w:r>
      <w:proofErr w:type="gramEnd"/>
      <w:r w:rsidRPr="00942419">
        <w:rPr>
          <w:rFonts w:cs="Arial"/>
          <w:lang w:val="en-US"/>
        </w:rPr>
        <w:t xml:space="preserve">, Australian Border Force Amendment (Protected Information) Bill 2017. </w:t>
      </w:r>
    </w:p>
  </w:endnote>
  <w:endnote w:id="9">
    <w:p w14:paraId="42B5A1FB"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t xml:space="preserve">Clause 2, Commencement, </w:t>
      </w:r>
      <w:r w:rsidRPr="00942419">
        <w:rPr>
          <w:rFonts w:cs="Arial"/>
          <w:lang w:val="en-US"/>
        </w:rPr>
        <w:t xml:space="preserve">Australian Border Force Amendment (Protected Information) Bill 2017. </w:t>
      </w:r>
    </w:p>
  </w:endnote>
  <w:endnote w:id="10">
    <w:p w14:paraId="7C7060E6" w14:textId="2E591D64" w:rsidR="008A3983" w:rsidRPr="00942419" w:rsidRDefault="008A3983" w:rsidP="00964801">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2B195D">
        <w:rPr>
          <w:rFonts w:cs="Arial"/>
          <w:i/>
        </w:rPr>
        <w:t>PGA v The Queen</w:t>
      </w:r>
      <w:r>
        <w:rPr>
          <w:rFonts w:cs="Arial"/>
        </w:rPr>
        <w:t xml:space="preserve"> (2012) 245 CLR 355, 245. </w:t>
      </w:r>
    </w:p>
  </w:endnote>
  <w:endnote w:id="11">
    <w:p w14:paraId="55AA19E3" w14:textId="1D13B22B" w:rsidR="008A3983" w:rsidRDefault="008A3983" w:rsidP="0089706F">
      <w:pPr>
        <w:pStyle w:val="EndnoteText"/>
        <w:ind w:left="284" w:hanging="284"/>
      </w:pPr>
      <w:r>
        <w:rPr>
          <w:rStyle w:val="EndnoteReference"/>
        </w:rPr>
        <w:endnoteRef/>
      </w:r>
      <w:r>
        <w:t xml:space="preserve"> </w:t>
      </w:r>
      <w:r>
        <w:tab/>
      </w:r>
      <w:r w:rsidRPr="00942419">
        <w:rPr>
          <w:rFonts w:cs="Arial"/>
          <w:lang w:val="en-US"/>
        </w:rPr>
        <w:t>Statement of Compatibility with Human Rights, Explanatory Memorandum, Australian Border Force Amendment (Protected Information) Bill 2017 (</w:t>
      </w:r>
      <w:proofErr w:type="spellStart"/>
      <w:r w:rsidRPr="00942419">
        <w:rPr>
          <w:rFonts w:cs="Arial"/>
          <w:lang w:val="en-US"/>
        </w:rPr>
        <w:t>Cth</w:t>
      </w:r>
      <w:proofErr w:type="spellEnd"/>
      <w:r w:rsidRPr="00942419">
        <w:rPr>
          <w:rFonts w:cs="Arial"/>
          <w:lang w:val="en-US"/>
        </w:rPr>
        <w:t>),</w:t>
      </w:r>
      <w:r>
        <w:rPr>
          <w:rFonts w:cs="Arial"/>
          <w:lang w:val="en-US"/>
        </w:rPr>
        <w:t xml:space="preserve"> p 4. </w:t>
      </w:r>
    </w:p>
  </w:endnote>
  <w:endnote w:id="12">
    <w:p w14:paraId="4D13F080"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r>
      <w:r w:rsidRPr="00942419">
        <w:rPr>
          <w:rFonts w:cs="Arial"/>
          <w:lang w:val="en-US"/>
        </w:rPr>
        <w:t>Explanatory Memorandum, Australian Border Force Amendment (Protected Information) Bill 2017 (</w:t>
      </w:r>
      <w:proofErr w:type="spellStart"/>
      <w:r w:rsidRPr="00942419">
        <w:rPr>
          <w:rFonts w:cs="Arial"/>
          <w:lang w:val="en-US"/>
        </w:rPr>
        <w:t>Cth</w:t>
      </w:r>
      <w:proofErr w:type="spellEnd"/>
      <w:r w:rsidRPr="00942419">
        <w:rPr>
          <w:rFonts w:cs="Arial"/>
          <w:lang w:val="en-US"/>
        </w:rPr>
        <w:t>), p 4.</w:t>
      </w:r>
    </w:p>
  </w:endnote>
  <w:endnote w:id="13">
    <w:p w14:paraId="340179B7" w14:textId="2DFF25A8" w:rsidR="008A3983" w:rsidRPr="00942419" w:rsidRDefault="008A3983" w:rsidP="00E71622">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lang w:val="en-US"/>
        </w:rPr>
        <w:t>Statement of Compatibility with Human Rights, Explanatory Memorandum, Australian Border Force Amendment (Protected Information) Bill 2017 (</w:t>
      </w:r>
      <w:proofErr w:type="spellStart"/>
      <w:r w:rsidRPr="00942419">
        <w:rPr>
          <w:rFonts w:cs="Arial"/>
          <w:lang w:val="en-US"/>
        </w:rPr>
        <w:t>Cth</w:t>
      </w:r>
      <w:proofErr w:type="spellEnd"/>
      <w:r w:rsidRPr="00942419">
        <w:rPr>
          <w:rFonts w:cs="Arial"/>
          <w:lang w:val="en-US"/>
        </w:rPr>
        <w:t xml:space="preserve">), p 5 - 6. </w:t>
      </w:r>
    </w:p>
  </w:endnote>
  <w:endnote w:id="14">
    <w:p w14:paraId="10FE41EF" w14:textId="77777777" w:rsidR="008A3983" w:rsidRPr="00942419" w:rsidRDefault="008A3983" w:rsidP="00ED64AC">
      <w:pPr>
        <w:spacing w:before="0" w:after="0"/>
        <w:ind w:left="284" w:hanging="284"/>
        <w:rPr>
          <w:rFonts w:eastAsia="Times New Roman" w:cs="Arial"/>
          <w:sz w:val="20"/>
          <w:szCs w:val="20"/>
          <w:lang w:eastAsia="en-US"/>
        </w:rPr>
      </w:pPr>
      <w:r w:rsidRPr="00942419">
        <w:rPr>
          <w:rStyle w:val="EndnoteReference"/>
          <w:rFonts w:cs="Arial"/>
          <w:szCs w:val="20"/>
        </w:rPr>
        <w:endnoteRef/>
      </w:r>
      <w:r w:rsidRPr="00942419">
        <w:rPr>
          <w:rFonts w:cs="Arial"/>
          <w:sz w:val="20"/>
          <w:szCs w:val="20"/>
        </w:rPr>
        <w:t xml:space="preserve"> </w:t>
      </w:r>
      <w:r w:rsidRPr="00942419">
        <w:rPr>
          <w:rFonts w:cs="Arial"/>
          <w:sz w:val="20"/>
          <w:szCs w:val="20"/>
        </w:rPr>
        <w:tab/>
        <w:t xml:space="preserve">UN Committee on Human Rights, </w:t>
      </w:r>
      <w:r w:rsidRPr="00942419">
        <w:rPr>
          <w:rFonts w:eastAsia="Times New Roman" w:cs="Arial"/>
          <w:i/>
          <w:sz w:val="20"/>
          <w:szCs w:val="20"/>
          <w:lang w:eastAsia="en-US"/>
        </w:rPr>
        <w:t>General Comment 16:</w:t>
      </w:r>
      <w:r w:rsidRPr="00942419">
        <w:rPr>
          <w:rFonts w:eastAsia="Times New Roman" w:cs="Arial"/>
          <w:sz w:val="20"/>
          <w:szCs w:val="20"/>
          <w:lang w:eastAsia="en-US"/>
        </w:rPr>
        <w:t xml:space="preserve"> </w:t>
      </w:r>
      <w:r w:rsidRPr="00942419">
        <w:rPr>
          <w:rFonts w:eastAsia="Times New Roman" w:cs="Arial"/>
          <w:i/>
          <w:sz w:val="20"/>
          <w:szCs w:val="20"/>
          <w:lang w:eastAsia="en-US"/>
        </w:rPr>
        <w:t xml:space="preserve">Article 17 (Right to Privacy), </w:t>
      </w:r>
      <w:proofErr w:type="gramStart"/>
      <w:r w:rsidRPr="00942419">
        <w:rPr>
          <w:rFonts w:eastAsia="Times New Roman" w:cs="Arial"/>
          <w:i/>
          <w:sz w:val="20"/>
          <w:szCs w:val="20"/>
          <w:lang w:eastAsia="en-US"/>
        </w:rPr>
        <w:t>The</w:t>
      </w:r>
      <w:proofErr w:type="gramEnd"/>
      <w:r w:rsidRPr="00942419">
        <w:rPr>
          <w:rFonts w:eastAsia="Times New Roman" w:cs="Arial"/>
          <w:i/>
          <w:sz w:val="20"/>
          <w:szCs w:val="20"/>
          <w:lang w:eastAsia="en-US"/>
        </w:rPr>
        <w:t xml:space="preserve"> Right to Respect of Privacy, Family, Home and Correspondence, and Protection of Honour and Reputation</w:t>
      </w:r>
      <w:r w:rsidRPr="00942419">
        <w:rPr>
          <w:rFonts w:eastAsia="Times New Roman" w:cs="Arial"/>
          <w:sz w:val="20"/>
          <w:szCs w:val="20"/>
          <w:lang w:eastAsia="en-US"/>
        </w:rPr>
        <w:t xml:space="preserve"> (1988), [1]. </w:t>
      </w:r>
    </w:p>
  </w:endnote>
  <w:endnote w:id="15">
    <w:p w14:paraId="053422BA"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t xml:space="preserve">UN Committee on Human Rights, </w:t>
      </w:r>
      <w:r w:rsidRPr="00942419">
        <w:rPr>
          <w:rFonts w:eastAsia="Times New Roman" w:cs="Arial"/>
          <w:i/>
          <w:lang w:eastAsia="en-US"/>
        </w:rPr>
        <w:t>General Comment 16:</w:t>
      </w:r>
      <w:r w:rsidRPr="00942419">
        <w:rPr>
          <w:rFonts w:eastAsia="Times New Roman" w:cs="Arial"/>
          <w:lang w:eastAsia="en-US"/>
        </w:rPr>
        <w:t xml:space="preserve"> </w:t>
      </w:r>
      <w:r w:rsidRPr="00942419">
        <w:rPr>
          <w:rFonts w:eastAsia="Times New Roman" w:cs="Arial"/>
          <w:i/>
          <w:lang w:eastAsia="en-US"/>
        </w:rPr>
        <w:t xml:space="preserve">Article 17 (Right to Privacy), </w:t>
      </w:r>
      <w:proofErr w:type="gramStart"/>
      <w:r w:rsidRPr="00942419">
        <w:rPr>
          <w:rFonts w:eastAsia="Times New Roman" w:cs="Arial"/>
          <w:i/>
          <w:lang w:eastAsia="en-US"/>
        </w:rPr>
        <w:t>The</w:t>
      </w:r>
      <w:proofErr w:type="gramEnd"/>
      <w:r w:rsidRPr="00942419">
        <w:rPr>
          <w:rFonts w:eastAsia="Times New Roman" w:cs="Arial"/>
          <w:i/>
          <w:lang w:eastAsia="en-US"/>
        </w:rPr>
        <w:t xml:space="preserve"> Right to Respect of Privacy, Family, Home and Correspondence, and Protection of Honour and Reputation</w:t>
      </w:r>
      <w:r w:rsidRPr="00942419">
        <w:rPr>
          <w:rFonts w:eastAsia="Times New Roman" w:cs="Arial"/>
          <w:lang w:eastAsia="en-US"/>
        </w:rPr>
        <w:t xml:space="preserve"> (1988), [10]. </w:t>
      </w:r>
    </w:p>
  </w:endnote>
  <w:endnote w:id="16">
    <w:p w14:paraId="3C24F630" w14:textId="77777777" w:rsidR="008A3983" w:rsidRPr="00942419" w:rsidRDefault="008A3983">
      <w:pPr>
        <w:pStyle w:val="EndnoteText"/>
        <w:rPr>
          <w:rFonts w:cs="Arial"/>
        </w:rPr>
      </w:pPr>
      <w:r w:rsidRPr="00942419">
        <w:rPr>
          <w:rStyle w:val="EndnoteReference"/>
          <w:rFonts w:cs="Arial"/>
        </w:rPr>
        <w:endnoteRef/>
      </w:r>
      <w:r w:rsidRPr="00942419">
        <w:rPr>
          <w:rFonts w:cs="Arial"/>
        </w:rPr>
        <w:t xml:space="preserve">   </w:t>
      </w:r>
      <w:r w:rsidRPr="00942419">
        <w:rPr>
          <w:rFonts w:cs="Arial"/>
          <w:i/>
        </w:rPr>
        <w:t xml:space="preserve">Privacy Act 1988 </w:t>
      </w:r>
      <w:r w:rsidRPr="00942419">
        <w:rPr>
          <w:rFonts w:cs="Arial"/>
        </w:rPr>
        <w:t>(</w:t>
      </w:r>
      <w:proofErr w:type="spellStart"/>
      <w:r w:rsidRPr="00942419">
        <w:rPr>
          <w:rFonts w:cs="Arial"/>
        </w:rPr>
        <w:t>Cth</w:t>
      </w:r>
      <w:proofErr w:type="spellEnd"/>
      <w:r w:rsidRPr="00942419">
        <w:rPr>
          <w:rFonts w:cs="Arial"/>
        </w:rPr>
        <w:t xml:space="preserve">), Schedule 1. </w:t>
      </w:r>
    </w:p>
  </w:endnote>
  <w:endnote w:id="17">
    <w:p w14:paraId="71056740"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r>
      <w:r w:rsidRPr="00942419">
        <w:rPr>
          <w:rFonts w:cs="Arial"/>
          <w:lang w:val="en-US"/>
        </w:rPr>
        <w:t>Explanatory Memorandum, Australian Border Force Amendment (Protected Information) Bill 2017 (</w:t>
      </w:r>
      <w:proofErr w:type="spellStart"/>
      <w:r w:rsidRPr="00942419">
        <w:rPr>
          <w:rFonts w:cs="Arial"/>
          <w:lang w:val="en-US"/>
        </w:rPr>
        <w:t>Cth</w:t>
      </w:r>
      <w:proofErr w:type="spellEnd"/>
      <w:r w:rsidRPr="00942419">
        <w:rPr>
          <w:rFonts w:cs="Arial"/>
          <w:lang w:val="en-US"/>
        </w:rPr>
        <w:t xml:space="preserve">), p 5. </w:t>
      </w:r>
    </w:p>
  </w:endnote>
  <w:endnote w:id="18">
    <w:p w14:paraId="7756FDF4"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r>
      <w:r w:rsidRPr="00942419">
        <w:rPr>
          <w:rFonts w:cs="Arial"/>
          <w:lang w:val="en-US"/>
        </w:rPr>
        <w:t>Statement of Compatibility with Human Rights, Explanatory Memorandum, Australian Border Force Amendment (Protected Information) Bill 2017 (</w:t>
      </w:r>
      <w:proofErr w:type="spellStart"/>
      <w:r w:rsidRPr="00942419">
        <w:rPr>
          <w:rFonts w:cs="Arial"/>
          <w:lang w:val="en-US"/>
        </w:rPr>
        <w:t>Cth</w:t>
      </w:r>
      <w:proofErr w:type="spellEnd"/>
      <w:r w:rsidRPr="00942419">
        <w:rPr>
          <w:rFonts w:cs="Arial"/>
          <w:lang w:val="en-US"/>
        </w:rPr>
        <w:t xml:space="preserve">), p 6. </w:t>
      </w:r>
    </w:p>
  </w:endnote>
  <w:endnote w:id="19">
    <w:p w14:paraId="5F5975A5" w14:textId="77777777" w:rsidR="008A3983" w:rsidRPr="00942419" w:rsidRDefault="008A3983" w:rsidP="00090F08">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i/>
        </w:rPr>
        <w:t xml:space="preserve">Mika </w:t>
      </w:r>
      <w:proofErr w:type="spellStart"/>
      <w:r w:rsidRPr="00942419">
        <w:rPr>
          <w:rFonts w:cs="Arial"/>
          <w:i/>
        </w:rPr>
        <w:t>Miha</w:t>
      </w:r>
      <w:proofErr w:type="spellEnd"/>
      <w:r w:rsidRPr="00942419">
        <w:rPr>
          <w:rFonts w:cs="Arial"/>
          <w:i/>
        </w:rPr>
        <w:t xml:space="preserve"> v Equatorial Guinea</w:t>
      </w:r>
      <w:r w:rsidRPr="00942419">
        <w:rPr>
          <w:rFonts w:cs="Arial"/>
        </w:rPr>
        <w:t xml:space="preserve">, Communication No. 414/1990, UN Doc CCPR/C/51/D/414/1990 (10 August 1994). The author of the communication to the Human Rights Committee was arrested and detained solely or primarily because of his membership in, and activities for, a political party in opposition to the regime of President </w:t>
      </w:r>
      <w:proofErr w:type="spellStart"/>
      <w:r w:rsidRPr="00942419">
        <w:rPr>
          <w:rFonts w:cs="Arial"/>
        </w:rPr>
        <w:t>Obiang</w:t>
      </w:r>
      <w:proofErr w:type="spellEnd"/>
      <w:r w:rsidRPr="00942419">
        <w:rPr>
          <w:rFonts w:cs="Arial"/>
        </w:rPr>
        <w:t xml:space="preserve"> </w:t>
      </w:r>
      <w:proofErr w:type="spellStart"/>
      <w:r w:rsidRPr="00942419">
        <w:rPr>
          <w:rFonts w:cs="Arial"/>
        </w:rPr>
        <w:t>Nguema</w:t>
      </w:r>
      <w:proofErr w:type="spellEnd"/>
      <w:r w:rsidRPr="00942419">
        <w:rPr>
          <w:rFonts w:cs="Arial"/>
        </w:rPr>
        <w:t>. Among other breaches, his arrest constituted an unlawful interference with his right to freedom of expression.</w:t>
      </w:r>
    </w:p>
  </w:endnote>
  <w:endnote w:id="20">
    <w:p w14:paraId="06032C76" w14:textId="77777777" w:rsidR="008A3983" w:rsidRPr="00942419" w:rsidRDefault="008A3983" w:rsidP="00090F08">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i/>
        </w:rPr>
        <w:t>Coleman v Australia</w:t>
      </w:r>
      <w:r w:rsidRPr="00942419">
        <w:rPr>
          <w:rFonts w:cs="Arial"/>
        </w:rPr>
        <w:t xml:space="preserve">, Communication No. 1157/2003, UN Doc CCPR/C/87/D/1157/2003 (10 August 2005), [7.3]. </w:t>
      </w:r>
    </w:p>
  </w:endnote>
  <w:endnote w:id="21">
    <w:p w14:paraId="42CD6576" w14:textId="77777777" w:rsidR="008A3983" w:rsidRPr="00942419" w:rsidRDefault="008A3983" w:rsidP="00090F08">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t xml:space="preserve">United Nations Human Rights Committee, </w:t>
      </w:r>
      <w:r w:rsidRPr="00942419">
        <w:rPr>
          <w:rFonts w:cs="Arial"/>
          <w:i/>
        </w:rPr>
        <w:t>General Comment No. 34, Article 19: Freedom of opinion and expression</w:t>
      </w:r>
      <w:r w:rsidRPr="00942419">
        <w:rPr>
          <w:rFonts w:cs="Arial"/>
        </w:rPr>
        <w:t>, UN Doc CCPR/C/GC/34 (12 September 2011), [22].</w:t>
      </w:r>
    </w:p>
  </w:endnote>
  <w:endnote w:id="22">
    <w:p w14:paraId="5CBA3B5A" w14:textId="77777777" w:rsidR="008A3983" w:rsidRPr="00942419" w:rsidRDefault="008A3983" w:rsidP="00090F08">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t xml:space="preserve">United Nations Human Rights Committee, </w:t>
      </w:r>
      <w:r w:rsidRPr="00942419">
        <w:rPr>
          <w:rFonts w:cs="Arial"/>
          <w:i/>
        </w:rPr>
        <w:t>General Comment No. 34, Article 19: Freedom of opinion and expression</w:t>
      </w:r>
      <w:r w:rsidRPr="00942419">
        <w:rPr>
          <w:rFonts w:cs="Arial"/>
        </w:rPr>
        <w:t>, UN Doc CCPR/C/GC/34 (12 September 2011), [30], referring to the Committee’s Concluding observations on the Russian Federation, UN Doc CCPR/CO/79/RUS (1 December 2003, [21].</w:t>
      </w:r>
    </w:p>
  </w:endnote>
  <w:endnote w:id="23">
    <w:p w14:paraId="6F83E394" w14:textId="77777777" w:rsidR="008A3983" w:rsidRPr="00942419" w:rsidRDefault="008A3983" w:rsidP="00090F08">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t xml:space="preserve">United Nations Human Rights Committee, General Comment No. 27, </w:t>
      </w:r>
      <w:r w:rsidRPr="00942419">
        <w:rPr>
          <w:rFonts w:cs="Arial"/>
          <w:i/>
        </w:rPr>
        <w:t>Freedom of movement (article 12)</w:t>
      </w:r>
      <w:r w:rsidRPr="00942419">
        <w:rPr>
          <w:rFonts w:cs="Arial"/>
        </w:rPr>
        <w:t xml:space="preserve">, UN Doc CCPR/C/21/Rev.1/Add.9 (1 November 1999), [14]-[15]; cited in General Comment 34 on </w:t>
      </w:r>
      <w:r w:rsidRPr="00942419">
        <w:rPr>
          <w:rFonts w:cs="Arial"/>
          <w:i/>
        </w:rPr>
        <w:t>Freedom of opinion and expression</w:t>
      </w:r>
      <w:r w:rsidRPr="00942419">
        <w:rPr>
          <w:rFonts w:cs="Arial"/>
        </w:rPr>
        <w:t xml:space="preserve"> at [34] as also applicable to article 19.</w:t>
      </w:r>
    </w:p>
  </w:endnote>
  <w:endnote w:id="24">
    <w:p w14:paraId="26B40963" w14:textId="77777777" w:rsidR="008A3983" w:rsidRPr="00942419" w:rsidRDefault="008A3983" w:rsidP="00C52100">
      <w:pPr>
        <w:pStyle w:val="EndnoteText"/>
        <w:ind w:left="284" w:hanging="284"/>
        <w:rPr>
          <w:rFonts w:cs="Arial"/>
          <w:i/>
          <w:iCs/>
        </w:rPr>
      </w:pPr>
      <w:r w:rsidRPr="00942419">
        <w:rPr>
          <w:rStyle w:val="EndnoteReference"/>
          <w:rFonts w:cs="Arial"/>
        </w:rPr>
        <w:endnoteRef/>
      </w:r>
      <w:r w:rsidRPr="00942419">
        <w:rPr>
          <w:rFonts w:cs="Arial"/>
        </w:rPr>
        <w:t xml:space="preserve"> </w:t>
      </w:r>
      <w:r w:rsidRPr="00942419">
        <w:rPr>
          <w:rFonts w:cs="Arial"/>
        </w:rPr>
        <w:tab/>
        <w:t xml:space="preserve">United Nations Economic and Social Council, </w:t>
      </w:r>
      <w:proofErr w:type="spellStart"/>
      <w:r w:rsidRPr="00942419">
        <w:rPr>
          <w:rFonts w:cs="Arial"/>
          <w:i/>
          <w:iCs/>
        </w:rPr>
        <w:t>Siracusa</w:t>
      </w:r>
      <w:proofErr w:type="spellEnd"/>
      <w:r w:rsidRPr="00942419">
        <w:rPr>
          <w:rFonts w:cs="Arial"/>
          <w:i/>
          <w:iCs/>
        </w:rPr>
        <w:t xml:space="preserve"> Principles on the Limitation and Derogation</w:t>
      </w:r>
    </w:p>
    <w:p w14:paraId="4A9018F6" w14:textId="4A0067CD" w:rsidR="008A3983" w:rsidRPr="00942419" w:rsidRDefault="008A3983" w:rsidP="00C52100">
      <w:pPr>
        <w:pStyle w:val="EndnoteText"/>
        <w:ind w:left="284"/>
        <w:rPr>
          <w:rFonts w:cs="Arial"/>
        </w:rPr>
      </w:pPr>
      <w:r w:rsidRPr="00942419">
        <w:rPr>
          <w:rFonts w:cs="Arial"/>
          <w:i/>
          <w:iCs/>
        </w:rPr>
        <w:t>Provisions in the International Covenant on Civil and Political Rights</w:t>
      </w:r>
      <w:r>
        <w:rPr>
          <w:rFonts w:cs="Arial"/>
        </w:rPr>
        <w:t xml:space="preserve">, UN Doc E/CN.4/1985/4, </w:t>
      </w:r>
      <w:r w:rsidRPr="00C1559B">
        <w:rPr>
          <w:rFonts w:cs="Arial"/>
        </w:rPr>
        <w:t>Annex, [10].</w:t>
      </w:r>
      <w:r w:rsidRPr="00942419">
        <w:rPr>
          <w:rFonts w:cs="Arial"/>
        </w:rPr>
        <w:t xml:space="preserve"> </w:t>
      </w:r>
    </w:p>
  </w:endnote>
  <w:endnote w:id="25">
    <w:p w14:paraId="11AE9F35" w14:textId="77777777" w:rsidR="00000E8A" w:rsidRPr="00942419" w:rsidRDefault="00000E8A" w:rsidP="00000E8A">
      <w:pPr>
        <w:pStyle w:val="EndnoteText"/>
        <w:ind w:left="284" w:hanging="284"/>
        <w:rPr>
          <w:rFonts w:cs="Arial"/>
          <w:i/>
          <w:iCs/>
        </w:rPr>
      </w:pPr>
      <w:r w:rsidRPr="00942419">
        <w:rPr>
          <w:rStyle w:val="EndnoteReference"/>
          <w:rFonts w:cs="Arial"/>
        </w:rPr>
        <w:endnoteRef/>
      </w:r>
      <w:r w:rsidRPr="00942419">
        <w:rPr>
          <w:rFonts w:cs="Arial"/>
        </w:rPr>
        <w:t xml:space="preserve"> </w:t>
      </w:r>
      <w:r w:rsidRPr="00942419">
        <w:rPr>
          <w:rFonts w:cs="Arial"/>
        </w:rPr>
        <w:tab/>
        <w:t xml:space="preserve">United Nations Economic and Social Council, </w:t>
      </w:r>
      <w:proofErr w:type="spellStart"/>
      <w:r w:rsidRPr="00942419">
        <w:rPr>
          <w:rFonts w:cs="Arial"/>
          <w:i/>
          <w:iCs/>
        </w:rPr>
        <w:t>Siracusa</w:t>
      </w:r>
      <w:proofErr w:type="spellEnd"/>
      <w:r w:rsidRPr="00942419">
        <w:rPr>
          <w:rFonts w:cs="Arial"/>
          <w:i/>
          <w:iCs/>
        </w:rPr>
        <w:t xml:space="preserve"> Principles on the Limitation and Derogation</w:t>
      </w:r>
    </w:p>
    <w:p w14:paraId="731E68ED" w14:textId="6988AF69" w:rsidR="00000E8A" w:rsidRPr="00942419" w:rsidRDefault="00000E8A" w:rsidP="00000E8A">
      <w:pPr>
        <w:pStyle w:val="EndnoteText"/>
        <w:ind w:left="284"/>
        <w:rPr>
          <w:rFonts w:cs="Arial"/>
        </w:rPr>
      </w:pPr>
      <w:r w:rsidRPr="00942419">
        <w:rPr>
          <w:rFonts w:cs="Arial"/>
          <w:i/>
          <w:iCs/>
        </w:rPr>
        <w:t>Provisions in the International Covenant on Civil and Political Rights</w:t>
      </w:r>
      <w:r>
        <w:rPr>
          <w:rFonts w:cs="Arial"/>
        </w:rPr>
        <w:t xml:space="preserve">, UN Doc E/CN.4/1985/4, </w:t>
      </w:r>
      <w:r w:rsidRPr="00C1559B">
        <w:rPr>
          <w:rFonts w:cs="Arial"/>
        </w:rPr>
        <w:t>Annex, [</w:t>
      </w:r>
      <w:r w:rsidR="00451C5D">
        <w:rPr>
          <w:rFonts w:cs="Arial"/>
        </w:rPr>
        <w:t>11</w:t>
      </w:r>
      <w:r w:rsidRPr="00C1559B">
        <w:rPr>
          <w:rFonts w:cs="Arial"/>
        </w:rPr>
        <w:t>].</w:t>
      </w:r>
      <w:r w:rsidRPr="00942419">
        <w:rPr>
          <w:rFonts w:cs="Arial"/>
        </w:rPr>
        <w:t xml:space="preserve"> </w:t>
      </w:r>
    </w:p>
  </w:endnote>
  <w:endnote w:id="26">
    <w:p w14:paraId="7F4B4583" w14:textId="77777777" w:rsidR="00451C5D" w:rsidRPr="00942419" w:rsidRDefault="00451C5D" w:rsidP="00451C5D">
      <w:pPr>
        <w:pStyle w:val="EndnoteText"/>
        <w:ind w:left="284" w:hanging="284"/>
        <w:rPr>
          <w:rFonts w:cs="Arial"/>
          <w:i/>
          <w:iCs/>
        </w:rPr>
      </w:pPr>
      <w:r w:rsidRPr="00942419">
        <w:rPr>
          <w:rStyle w:val="EndnoteReference"/>
          <w:rFonts w:cs="Arial"/>
        </w:rPr>
        <w:endnoteRef/>
      </w:r>
      <w:r w:rsidRPr="00942419">
        <w:rPr>
          <w:rFonts w:cs="Arial"/>
        </w:rPr>
        <w:t xml:space="preserve"> </w:t>
      </w:r>
      <w:r w:rsidRPr="00942419">
        <w:rPr>
          <w:rFonts w:cs="Arial"/>
        </w:rPr>
        <w:tab/>
        <w:t xml:space="preserve">United Nations Economic and Social Council, </w:t>
      </w:r>
      <w:proofErr w:type="spellStart"/>
      <w:r w:rsidRPr="00942419">
        <w:rPr>
          <w:rFonts w:cs="Arial"/>
          <w:i/>
          <w:iCs/>
        </w:rPr>
        <w:t>Siracusa</w:t>
      </w:r>
      <w:proofErr w:type="spellEnd"/>
      <w:r w:rsidRPr="00942419">
        <w:rPr>
          <w:rFonts w:cs="Arial"/>
          <w:i/>
          <w:iCs/>
        </w:rPr>
        <w:t xml:space="preserve"> Principles on the Limitation and Derogation</w:t>
      </w:r>
    </w:p>
    <w:p w14:paraId="05B6B93D" w14:textId="23BAE5E1" w:rsidR="00451C5D" w:rsidRPr="00942419" w:rsidRDefault="00451C5D" w:rsidP="00451C5D">
      <w:pPr>
        <w:pStyle w:val="EndnoteText"/>
        <w:ind w:left="284"/>
        <w:rPr>
          <w:rFonts w:cs="Arial"/>
        </w:rPr>
      </w:pPr>
      <w:r w:rsidRPr="00942419">
        <w:rPr>
          <w:rFonts w:cs="Arial"/>
          <w:i/>
          <w:iCs/>
        </w:rPr>
        <w:t>Provisions in the International Covenant on Civil and Political Rights</w:t>
      </w:r>
      <w:r>
        <w:rPr>
          <w:rFonts w:cs="Arial"/>
        </w:rPr>
        <w:t xml:space="preserve">, UN Doc E/CN.4/1985/4, </w:t>
      </w:r>
      <w:r w:rsidRPr="00C1559B">
        <w:rPr>
          <w:rFonts w:cs="Arial"/>
        </w:rPr>
        <w:t>Annex, [</w:t>
      </w:r>
      <w:r>
        <w:rPr>
          <w:rFonts w:cs="Arial"/>
        </w:rPr>
        <w:t>22</w:t>
      </w:r>
      <w:r w:rsidRPr="00C1559B">
        <w:rPr>
          <w:rFonts w:cs="Arial"/>
        </w:rPr>
        <w:t>]</w:t>
      </w:r>
      <w:r>
        <w:rPr>
          <w:rFonts w:cs="Arial"/>
        </w:rPr>
        <w:t>–[32]</w:t>
      </w:r>
      <w:r w:rsidRPr="00C1559B">
        <w:rPr>
          <w:rFonts w:cs="Arial"/>
        </w:rPr>
        <w:t>.</w:t>
      </w:r>
      <w:r w:rsidRPr="00942419">
        <w:rPr>
          <w:rFonts w:cs="Arial"/>
        </w:rPr>
        <w:t xml:space="preserve"> </w:t>
      </w:r>
    </w:p>
  </w:endnote>
  <w:endnote w:id="27">
    <w:p w14:paraId="31BE9695" w14:textId="1E4D53E1" w:rsidR="008A3983" w:rsidRPr="00942419" w:rsidRDefault="008A3983" w:rsidP="00090F08">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t xml:space="preserve">United Nations Human Rights Committee, </w:t>
      </w:r>
      <w:r w:rsidRPr="00942419">
        <w:rPr>
          <w:rFonts w:cs="Arial"/>
          <w:i/>
        </w:rPr>
        <w:t>General Comment No. 25</w:t>
      </w:r>
      <w:r w:rsidRPr="00942419">
        <w:rPr>
          <w:rFonts w:cs="Arial"/>
        </w:rPr>
        <w:t>, UN Doc CCPR/C/</w:t>
      </w:r>
      <w:r>
        <w:rPr>
          <w:rFonts w:cs="Arial"/>
        </w:rPr>
        <w:t xml:space="preserve">21/Rev.1/Add.7 (27 August 1996), [7]. </w:t>
      </w:r>
    </w:p>
  </w:endnote>
  <w:endnote w:id="28">
    <w:p w14:paraId="77A3A8AB" w14:textId="5C38B391" w:rsidR="008A3983" w:rsidRPr="00942419" w:rsidRDefault="008A3983" w:rsidP="00090F08">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t xml:space="preserve">United Nations Human Rights Committee, </w:t>
      </w:r>
      <w:r w:rsidRPr="00942419">
        <w:rPr>
          <w:rFonts w:cs="Arial"/>
          <w:i/>
        </w:rPr>
        <w:t>General Comment No. 25</w:t>
      </w:r>
      <w:r w:rsidRPr="00942419">
        <w:rPr>
          <w:rFonts w:cs="Arial"/>
        </w:rPr>
        <w:t>, UN Doc CCPR/C/</w:t>
      </w:r>
      <w:r>
        <w:rPr>
          <w:rFonts w:cs="Arial"/>
        </w:rPr>
        <w:t xml:space="preserve">21/Rev.1/Add.7 (27 August 1996), [8]. </w:t>
      </w:r>
    </w:p>
  </w:endnote>
  <w:endnote w:id="29">
    <w:p w14:paraId="5C8AA074" w14:textId="77777777" w:rsidR="008A3983" w:rsidRPr="00942419" w:rsidRDefault="008A3983" w:rsidP="005466D9">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i/>
          <w:lang w:val="en-US"/>
        </w:rPr>
        <w:t xml:space="preserve">Lange v Australian Broadcasting Corporation </w:t>
      </w:r>
      <w:r w:rsidRPr="00942419">
        <w:rPr>
          <w:rFonts w:cs="Arial"/>
          <w:lang w:val="en-US"/>
        </w:rPr>
        <w:t>(1997) 189 CLR 520 (</w:t>
      </w:r>
      <w:r w:rsidRPr="00942419">
        <w:rPr>
          <w:rFonts w:cs="Arial"/>
          <w:i/>
          <w:lang w:val="en-US"/>
        </w:rPr>
        <w:t>Lange</w:t>
      </w:r>
      <w:r w:rsidRPr="00942419">
        <w:rPr>
          <w:rFonts w:cs="Arial"/>
          <w:lang w:val="en-US"/>
        </w:rPr>
        <w:t>) at 559.</w:t>
      </w:r>
    </w:p>
  </w:endnote>
  <w:endnote w:id="30">
    <w:p w14:paraId="4D3A778E" w14:textId="77777777" w:rsidR="008A3983" w:rsidRPr="00942419" w:rsidRDefault="008A3983" w:rsidP="005466D9">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i/>
          <w:lang w:val="en-US"/>
        </w:rPr>
        <w:t xml:space="preserve">Lange </w:t>
      </w:r>
      <w:r w:rsidRPr="00942419">
        <w:rPr>
          <w:rFonts w:cs="Arial"/>
          <w:lang w:val="en-US"/>
        </w:rPr>
        <w:t>at 560.</w:t>
      </w:r>
    </w:p>
  </w:endnote>
  <w:endnote w:id="31">
    <w:p w14:paraId="57094E43" w14:textId="77777777" w:rsidR="008A3983" w:rsidRPr="00942419" w:rsidRDefault="008A3983" w:rsidP="005466D9">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i/>
          <w:lang w:val="en-US"/>
        </w:rPr>
        <w:t xml:space="preserve">Lange </w:t>
      </w:r>
      <w:r w:rsidRPr="00942419">
        <w:rPr>
          <w:rFonts w:cs="Arial"/>
          <w:lang w:val="en-US"/>
        </w:rPr>
        <w:t>at 561.</w:t>
      </w:r>
    </w:p>
  </w:endnote>
  <w:endnote w:id="32">
    <w:p w14:paraId="1B0C4BB7" w14:textId="77777777" w:rsidR="008A3983" w:rsidRPr="00942419" w:rsidRDefault="008A3983" w:rsidP="00D57C73">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i/>
          <w:lang w:val="en-US"/>
        </w:rPr>
        <w:t xml:space="preserve">Lange </w:t>
      </w:r>
      <w:r w:rsidRPr="00942419">
        <w:rPr>
          <w:rFonts w:cs="Arial"/>
          <w:lang w:val="en-US"/>
        </w:rPr>
        <w:t>at 560.</w:t>
      </w:r>
    </w:p>
  </w:endnote>
  <w:endnote w:id="33">
    <w:p w14:paraId="41C16A1F" w14:textId="77777777" w:rsidR="008A3983" w:rsidRPr="00942419" w:rsidRDefault="008A3983" w:rsidP="0087796C">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i/>
        </w:rPr>
        <w:t>Australian Capital Television Pty Ltd v Commonwealth</w:t>
      </w:r>
      <w:r w:rsidRPr="00942419">
        <w:rPr>
          <w:rFonts w:cs="Arial"/>
        </w:rPr>
        <w:t xml:space="preserve"> (1992) 177 CLR 106, 138.</w:t>
      </w:r>
    </w:p>
  </w:endnote>
  <w:endnote w:id="34">
    <w:p w14:paraId="3410FB68" w14:textId="69804543" w:rsidR="008A3983" w:rsidRPr="00942419" w:rsidRDefault="008A3983" w:rsidP="0087796C">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i/>
        </w:rPr>
        <w:t xml:space="preserve">Unions NSW v New South Wales </w:t>
      </w:r>
      <w:r>
        <w:rPr>
          <w:rFonts w:cs="Arial"/>
        </w:rPr>
        <w:t xml:space="preserve">(2013) 252 CLR 530, 551 </w:t>
      </w:r>
      <w:r w:rsidRPr="00942419">
        <w:rPr>
          <w:rFonts w:cs="Arial"/>
        </w:rPr>
        <w:t xml:space="preserve">(French CJ, Hayne, </w:t>
      </w:r>
      <w:proofErr w:type="spellStart"/>
      <w:r w:rsidRPr="00942419">
        <w:rPr>
          <w:rFonts w:cs="Arial"/>
        </w:rPr>
        <w:t>Crennan</w:t>
      </w:r>
      <w:proofErr w:type="spellEnd"/>
      <w:r w:rsidRPr="00942419">
        <w:rPr>
          <w:rFonts w:cs="Arial"/>
        </w:rPr>
        <w:t xml:space="preserve">, </w:t>
      </w:r>
      <w:proofErr w:type="spellStart"/>
      <w:r w:rsidRPr="00942419">
        <w:rPr>
          <w:rFonts w:cs="Arial"/>
        </w:rPr>
        <w:t>Kiefel</w:t>
      </w:r>
      <w:proofErr w:type="spellEnd"/>
      <w:r w:rsidRPr="00942419">
        <w:rPr>
          <w:rFonts w:cs="Arial"/>
        </w:rPr>
        <w:t xml:space="preserve"> and Bell JJ).</w:t>
      </w:r>
    </w:p>
  </w:endnote>
  <w:endnote w:id="35">
    <w:p w14:paraId="0A899DF3"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t xml:space="preserve">See </w:t>
      </w:r>
      <w:r w:rsidRPr="00942419">
        <w:rPr>
          <w:rFonts w:cs="Arial"/>
          <w:i/>
        </w:rPr>
        <w:t>McCloy v New South Wales</w:t>
      </w:r>
      <w:r w:rsidRPr="00942419">
        <w:rPr>
          <w:rFonts w:cs="Arial"/>
        </w:rPr>
        <w:t xml:space="preserve"> (2015) 257 CLR </w:t>
      </w:r>
      <w:r w:rsidRPr="00623492">
        <w:rPr>
          <w:rFonts w:cs="Arial"/>
        </w:rPr>
        <w:t>178</w:t>
      </w:r>
      <w:r w:rsidRPr="00942419">
        <w:rPr>
          <w:rFonts w:cs="Arial"/>
        </w:rPr>
        <w:t xml:space="preserve"> (French CJ, </w:t>
      </w:r>
      <w:proofErr w:type="spellStart"/>
      <w:r w:rsidRPr="00942419">
        <w:rPr>
          <w:rFonts w:cs="Arial"/>
        </w:rPr>
        <w:t>Kiefel</w:t>
      </w:r>
      <w:proofErr w:type="spellEnd"/>
      <w:r w:rsidRPr="00942419">
        <w:rPr>
          <w:rFonts w:cs="Arial"/>
        </w:rPr>
        <w:t>, Bell and Keane JJ) for the comprehensive test.</w:t>
      </w:r>
    </w:p>
  </w:endnote>
  <w:endnote w:id="36">
    <w:p w14:paraId="5C7D2C99" w14:textId="77777777" w:rsidR="008A3983" w:rsidRPr="00942419" w:rsidRDefault="008A3983" w:rsidP="00ED64AC">
      <w:pPr>
        <w:pStyle w:val="EndnoteText"/>
        <w:ind w:left="284" w:hanging="284"/>
        <w:rPr>
          <w:rFonts w:cs="Arial"/>
        </w:rPr>
      </w:pPr>
      <w:r w:rsidRPr="00942419">
        <w:rPr>
          <w:rStyle w:val="EndnoteReference"/>
          <w:rFonts w:cs="Arial"/>
        </w:rPr>
        <w:endnoteRef/>
      </w:r>
      <w:r w:rsidRPr="00942419">
        <w:rPr>
          <w:rFonts w:cs="Arial"/>
          <w:shd w:val="clear" w:color="auto" w:fill="FFFFFF"/>
        </w:rPr>
        <w:t xml:space="preserve"> </w:t>
      </w:r>
      <w:r w:rsidRPr="00942419">
        <w:rPr>
          <w:rFonts w:cs="Arial"/>
          <w:shd w:val="clear" w:color="auto" w:fill="FFFFFF"/>
        </w:rPr>
        <w:tab/>
        <w:t>Australian Law Reform Commission, </w:t>
      </w:r>
      <w:r w:rsidRPr="00942419">
        <w:rPr>
          <w:rFonts w:cs="Arial"/>
          <w:i/>
          <w:iCs/>
          <w:shd w:val="clear" w:color="auto" w:fill="FFFFFF"/>
        </w:rPr>
        <w:t>Secrecy Laws and Open Government in Australia,</w:t>
      </w:r>
      <w:r w:rsidRPr="00942419">
        <w:rPr>
          <w:rFonts w:cs="Arial"/>
          <w:iCs/>
          <w:shd w:val="clear" w:color="auto" w:fill="FFFFFF"/>
        </w:rPr>
        <w:t xml:space="preserve"> Report No 112 (2009). </w:t>
      </w:r>
    </w:p>
  </w:endnote>
  <w:endnote w:id="37">
    <w:p w14:paraId="4924C1B3" w14:textId="77777777" w:rsidR="008A3983" w:rsidRPr="00942419" w:rsidRDefault="008A3983" w:rsidP="00ED64AC">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shd w:val="clear" w:color="auto" w:fill="FFFFFF"/>
        </w:rPr>
        <w:t>Australian Law Reform Commission, </w:t>
      </w:r>
      <w:r w:rsidRPr="00942419">
        <w:rPr>
          <w:rFonts w:cs="Arial"/>
          <w:i/>
          <w:iCs/>
          <w:shd w:val="clear" w:color="auto" w:fill="FFFFFF"/>
        </w:rPr>
        <w:t>Secrecy Laws and Open Government in Australia,</w:t>
      </w:r>
      <w:r w:rsidRPr="00942419">
        <w:rPr>
          <w:rFonts w:cs="Arial"/>
          <w:iCs/>
          <w:shd w:val="clear" w:color="auto" w:fill="FFFFFF"/>
        </w:rPr>
        <w:t xml:space="preserve"> Report No 112 (2009), p 21. </w:t>
      </w:r>
    </w:p>
  </w:endnote>
  <w:endnote w:id="38">
    <w:p w14:paraId="2227BAE2" w14:textId="77777777" w:rsidR="008A3983" w:rsidRPr="00942419" w:rsidRDefault="008A3983" w:rsidP="00ED64AC">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shd w:val="clear" w:color="auto" w:fill="FFFFFF"/>
        </w:rPr>
        <w:t>Australian Law Reform Commission, </w:t>
      </w:r>
      <w:r w:rsidRPr="00942419">
        <w:rPr>
          <w:rFonts w:cs="Arial"/>
          <w:i/>
          <w:iCs/>
          <w:shd w:val="clear" w:color="auto" w:fill="FFFFFF"/>
        </w:rPr>
        <w:t>Secrecy Laws and Open Government in Australia,</w:t>
      </w:r>
      <w:r w:rsidRPr="00942419">
        <w:rPr>
          <w:rFonts w:cs="Arial"/>
          <w:iCs/>
          <w:shd w:val="clear" w:color="auto" w:fill="FFFFFF"/>
        </w:rPr>
        <w:t xml:space="preserve"> Report No 112 (2009), p 21. </w:t>
      </w:r>
    </w:p>
  </w:endnote>
  <w:endnote w:id="39">
    <w:p w14:paraId="6939352F"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r>
      <w:r w:rsidRPr="00942419">
        <w:rPr>
          <w:rFonts w:cs="Arial"/>
          <w:shd w:val="clear" w:color="auto" w:fill="FFFFFF"/>
        </w:rPr>
        <w:t>Australian Law Reform Commission, </w:t>
      </w:r>
      <w:r w:rsidRPr="00942419">
        <w:rPr>
          <w:rFonts w:cs="Arial"/>
          <w:i/>
          <w:iCs/>
          <w:shd w:val="clear" w:color="auto" w:fill="FFFFFF"/>
        </w:rPr>
        <w:t>Secrecy Laws and Open Government in Australia,</w:t>
      </w:r>
      <w:r w:rsidRPr="00942419">
        <w:rPr>
          <w:rFonts w:cs="Arial"/>
          <w:iCs/>
          <w:shd w:val="clear" w:color="auto" w:fill="FFFFFF"/>
        </w:rPr>
        <w:t xml:space="preserve"> Report No 112 (2009), p 23. </w:t>
      </w:r>
    </w:p>
  </w:endnote>
  <w:endnote w:id="40">
    <w:p w14:paraId="52BA380C" w14:textId="77777777" w:rsidR="008A3983" w:rsidRPr="00942419" w:rsidRDefault="008A3983" w:rsidP="00ED64AC">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shd w:val="clear" w:color="auto" w:fill="FFFFFF"/>
        </w:rPr>
        <w:t>Australian Law Reform Commission, </w:t>
      </w:r>
      <w:r w:rsidRPr="00942419">
        <w:rPr>
          <w:rFonts w:cs="Arial"/>
          <w:i/>
          <w:iCs/>
          <w:shd w:val="clear" w:color="auto" w:fill="FFFFFF"/>
        </w:rPr>
        <w:t>Secrecy Laws and Open Government in Australia,</w:t>
      </w:r>
      <w:r w:rsidRPr="00942419">
        <w:rPr>
          <w:rFonts w:cs="Arial"/>
          <w:iCs/>
          <w:shd w:val="clear" w:color="auto" w:fill="FFFFFF"/>
        </w:rPr>
        <w:t xml:space="preserve"> Report No 112 (2009), p 138. </w:t>
      </w:r>
    </w:p>
  </w:endnote>
  <w:endnote w:id="41">
    <w:p w14:paraId="4D04F462" w14:textId="77777777" w:rsidR="008A3983" w:rsidRPr="00942419" w:rsidRDefault="008A3983" w:rsidP="00ED64AC">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i/>
        </w:rPr>
        <w:t>Bennett v President, Human Rights and Equal Opportunity Commission</w:t>
      </w:r>
      <w:r w:rsidRPr="00942419">
        <w:rPr>
          <w:rFonts w:cs="Arial"/>
        </w:rPr>
        <w:t xml:space="preserve"> (2003) 134 FCR 334.</w:t>
      </w:r>
    </w:p>
  </w:endnote>
  <w:endnote w:id="42">
    <w:p w14:paraId="52202D24" w14:textId="77777777" w:rsidR="008A3983" w:rsidRPr="00942419" w:rsidRDefault="008A3983" w:rsidP="00ED64AC">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i/>
        </w:rPr>
        <w:t>Bennett v President, Human Rights and Equal Opportunity Commission</w:t>
      </w:r>
      <w:r w:rsidRPr="00942419">
        <w:rPr>
          <w:rFonts w:cs="Arial"/>
        </w:rPr>
        <w:t xml:space="preserve"> (2003) 134 FCR 334, [99]. </w:t>
      </w:r>
    </w:p>
  </w:endnote>
  <w:endnote w:id="43">
    <w:p w14:paraId="37709A3E"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r>
      <w:r w:rsidRPr="00942419">
        <w:rPr>
          <w:rFonts w:cs="Arial"/>
          <w:shd w:val="clear" w:color="auto" w:fill="FFFFFF"/>
        </w:rPr>
        <w:t>Australian Law Reform Commission, </w:t>
      </w:r>
      <w:r w:rsidRPr="00942419">
        <w:rPr>
          <w:rFonts w:cs="Arial"/>
          <w:i/>
          <w:iCs/>
          <w:shd w:val="clear" w:color="auto" w:fill="FFFFFF"/>
        </w:rPr>
        <w:t>Secrecy Laws and Open Government in Australia,</w:t>
      </w:r>
      <w:r w:rsidRPr="00942419">
        <w:rPr>
          <w:rFonts w:cs="Arial"/>
          <w:iCs/>
          <w:shd w:val="clear" w:color="auto" w:fill="FFFFFF"/>
        </w:rPr>
        <w:t xml:space="preserve"> Report No 112 (2009), pp 143-161. </w:t>
      </w:r>
    </w:p>
  </w:endnote>
  <w:endnote w:id="44">
    <w:p w14:paraId="75DA0008"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r>
      <w:r w:rsidRPr="00942419">
        <w:rPr>
          <w:rFonts w:cs="Arial"/>
          <w:shd w:val="clear" w:color="auto" w:fill="FFFFFF"/>
        </w:rPr>
        <w:t>Australian Law Reform Commission, </w:t>
      </w:r>
      <w:r w:rsidRPr="00942419">
        <w:rPr>
          <w:rFonts w:cs="Arial"/>
          <w:i/>
          <w:iCs/>
          <w:shd w:val="clear" w:color="auto" w:fill="FFFFFF"/>
        </w:rPr>
        <w:t>Secrecy Laws and Open Government in Australia,</w:t>
      </w:r>
      <w:r w:rsidRPr="00942419">
        <w:rPr>
          <w:rFonts w:cs="Arial"/>
          <w:iCs/>
          <w:shd w:val="clear" w:color="auto" w:fill="FFFFFF"/>
        </w:rPr>
        <w:t xml:space="preserve"> Report No 112 (2009), p 160. </w:t>
      </w:r>
    </w:p>
  </w:endnote>
  <w:endnote w:id="45">
    <w:p w14:paraId="474025FF" w14:textId="77777777" w:rsidR="008A3983" w:rsidRPr="00942419" w:rsidRDefault="008A3983" w:rsidP="005C34FA">
      <w:pPr>
        <w:pStyle w:val="EndnoteText"/>
        <w:rPr>
          <w:rFonts w:cs="Arial"/>
        </w:rPr>
      </w:pPr>
      <w:r w:rsidRPr="00942419">
        <w:rPr>
          <w:rStyle w:val="EndnoteReference"/>
          <w:rFonts w:cs="Arial"/>
        </w:rPr>
        <w:endnoteRef/>
      </w:r>
      <w:r w:rsidRPr="00942419">
        <w:rPr>
          <w:rFonts w:cs="Arial"/>
        </w:rPr>
        <w:t xml:space="preserve">   </w:t>
      </w:r>
      <w:r w:rsidRPr="00942419">
        <w:rPr>
          <w:rFonts w:cs="Arial"/>
          <w:i/>
        </w:rPr>
        <w:t>Australian Border Force Act 2015</w:t>
      </w:r>
      <w:r w:rsidRPr="00942419">
        <w:rPr>
          <w:rFonts w:cs="Arial"/>
        </w:rPr>
        <w:t xml:space="preserve"> (</w:t>
      </w:r>
      <w:proofErr w:type="spellStart"/>
      <w:r w:rsidRPr="00942419">
        <w:rPr>
          <w:rFonts w:cs="Arial"/>
        </w:rPr>
        <w:t>Cth</w:t>
      </w:r>
      <w:proofErr w:type="spellEnd"/>
      <w:r w:rsidRPr="00942419">
        <w:rPr>
          <w:rFonts w:cs="Arial"/>
        </w:rPr>
        <w:t>), s 42.</w:t>
      </w:r>
    </w:p>
  </w:endnote>
  <w:endnote w:id="46">
    <w:p w14:paraId="02FE817B" w14:textId="77777777" w:rsidR="008A3983" w:rsidRPr="00942419" w:rsidRDefault="008A3983" w:rsidP="00ED64AC">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t xml:space="preserve">R Fox and A Freiberg, ‘Sentences </w:t>
      </w:r>
      <w:proofErr w:type="gramStart"/>
      <w:r w:rsidRPr="00942419">
        <w:rPr>
          <w:rFonts w:cs="Arial"/>
        </w:rPr>
        <w:t>Without</w:t>
      </w:r>
      <w:proofErr w:type="gramEnd"/>
      <w:r w:rsidRPr="00942419">
        <w:rPr>
          <w:rFonts w:cs="Arial"/>
        </w:rPr>
        <w:t xml:space="preserve"> Conviction: From Status to Contract in Sentencing’ (1989) 13 </w:t>
      </w:r>
      <w:r w:rsidRPr="00942419">
        <w:rPr>
          <w:rFonts w:cs="Arial"/>
          <w:i/>
        </w:rPr>
        <w:t>Criminal Law Journal</w:t>
      </w:r>
      <w:r w:rsidRPr="00942419">
        <w:rPr>
          <w:rFonts w:cs="Arial"/>
        </w:rPr>
        <w:t xml:space="preserve"> 297, 300. </w:t>
      </w:r>
    </w:p>
  </w:endnote>
  <w:endnote w:id="47">
    <w:p w14:paraId="78B9F6FD" w14:textId="77777777" w:rsidR="008A3983" w:rsidRPr="00942419" w:rsidRDefault="008A3983" w:rsidP="00ED64AC">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shd w:val="clear" w:color="auto" w:fill="FFFFFF"/>
        </w:rPr>
        <w:t>Australian Law Reform Commission, </w:t>
      </w:r>
      <w:r w:rsidRPr="00942419">
        <w:rPr>
          <w:rFonts w:cs="Arial"/>
          <w:i/>
          <w:iCs/>
          <w:shd w:val="clear" w:color="auto" w:fill="FFFFFF"/>
        </w:rPr>
        <w:t>Secrecy Laws and Open Government in Australia,</w:t>
      </w:r>
      <w:r w:rsidRPr="00942419">
        <w:rPr>
          <w:rFonts w:cs="Arial"/>
          <w:iCs/>
          <w:shd w:val="clear" w:color="auto" w:fill="FFFFFF"/>
        </w:rPr>
        <w:t xml:space="preserve"> Report No 112 (2009), p 113. </w:t>
      </w:r>
    </w:p>
  </w:endnote>
  <w:endnote w:id="48">
    <w:p w14:paraId="114547AB" w14:textId="77777777" w:rsidR="008A3983" w:rsidRPr="00942419" w:rsidRDefault="008A3983" w:rsidP="00ED64AC">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i/>
        </w:rPr>
        <w:t xml:space="preserve">Attorney-General’s Department v Cockcroft </w:t>
      </w:r>
      <w:r w:rsidRPr="00942419">
        <w:rPr>
          <w:rFonts w:cs="Arial"/>
          <w:shd w:val="clear" w:color="auto" w:fill="FFFFFF"/>
        </w:rPr>
        <w:t>(1986)</w:t>
      </w:r>
      <w:r w:rsidRPr="00942419">
        <w:rPr>
          <w:rFonts w:cs="Arial"/>
          <w:i/>
          <w:shd w:val="clear" w:color="auto" w:fill="FFFFFF"/>
        </w:rPr>
        <w:t xml:space="preserve"> </w:t>
      </w:r>
      <w:r w:rsidRPr="00942419">
        <w:rPr>
          <w:rFonts w:cs="Arial"/>
          <w:shd w:val="clear" w:color="auto" w:fill="FFFFFF"/>
        </w:rPr>
        <w:t>64 ALR 97, 106</w:t>
      </w:r>
      <w:r w:rsidRPr="00942419">
        <w:rPr>
          <w:rFonts w:cs="Arial"/>
          <w:i/>
          <w:shd w:val="clear" w:color="auto" w:fill="FFFFFF"/>
        </w:rPr>
        <w:t>.</w:t>
      </w:r>
    </w:p>
  </w:endnote>
  <w:endnote w:id="49">
    <w:p w14:paraId="29DB29FD" w14:textId="77777777" w:rsidR="008A3983" w:rsidRPr="00942419" w:rsidRDefault="008A3983" w:rsidP="00ED64AC">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i/>
        </w:rPr>
        <w:t>Re David McKnight and Australian Archives</w:t>
      </w:r>
      <w:r w:rsidRPr="00942419">
        <w:rPr>
          <w:rFonts w:cs="Arial"/>
        </w:rPr>
        <w:t xml:space="preserve"> [1992] AATA 225, [27]. </w:t>
      </w:r>
    </w:p>
  </w:endnote>
  <w:endnote w:id="50">
    <w:p w14:paraId="57E69198" w14:textId="77777777" w:rsidR="008A3983" w:rsidRPr="00942419" w:rsidRDefault="008A3983" w:rsidP="00ED64AC">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i/>
        </w:rPr>
        <w:t>Murphy and Treasury Department (1995)</w:t>
      </w:r>
      <w:r w:rsidRPr="00942419">
        <w:rPr>
          <w:rFonts w:cs="Arial"/>
        </w:rPr>
        <w:t xml:space="preserve"> </w:t>
      </w:r>
      <w:proofErr w:type="gramStart"/>
      <w:r w:rsidRPr="00942419">
        <w:rPr>
          <w:rFonts w:cs="Arial"/>
        </w:rPr>
        <w:t>2</w:t>
      </w:r>
      <w:proofErr w:type="gramEnd"/>
      <w:r w:rsidRPr="00942419">
        <w:rPr>
          <w:rFonts w:cs="Arial"/>
        </w:rPr>
        <w:t xml:space="preserve"> QAR 744, [44], citing </w:t>
      </w:r>
      <w:r w:rsidRPr="00942419">
        <w:rPr>
          <w:rFonts w:cs="Arial"/>
          <w:i/>
        </w:rPr>
        <w:t>Re B and Brisbane North Regional Heath Authority</w:t>
      </w:r>
      <w:r w:rsidRPr="00942419">
        <w:rPr>
          <w:rFonts w:cs="Arial"/>
        </w:rPr>
        <w:t xml:space="preserve"> (1994) 1 QAR 279, [160].</w:t>
      </w:r>
    </w:p>
  </w:endnote>
  <w:endnote w:id="51">
    <w:p w14:paraId="436C6762" w14:textId="77777777" w:rsidR="008A3983" w:rsidRPr="00942419" w:rsidRDefault="008A3983" w:rsidP="00ED64AC">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i/>
        </w:rPr>
        <w:t xml:space="preserve">Attorney-General’s Department v Cockcroft </w:t>
      </w:r>
      <w:r w:rsidRPr="00942419">
        <w:rPr>
          <w:rFonts w:cs="Arial"/>
          <w:shd w:val="clear" w:color="auto" w:fill="FFFFFF"/>
        </w:rPr>
        <w:t>(1986)</w:t>
      </w:r>
      <w:r w:rsidRPr="00942419">
        <w:rPr>
          <w:rFonts w:cs="Arial"/>
          <w:i/>
          <w:shd w:val="clear" w:color="auto" w:fill="FFFFFF"/>
        </w:rPr>
        <w:t xml:space="preserve"> </w:t>
      </w:r>
      <w:r w:rsidRPr="00942419">
        <w:rPr>
          <w:rFonts w:cs="Arial"/>
          <w:shd w:val="clear" w:color="auto" w:fill="FFFFFF"/>
        </w:rPr>
        <w:t>64 ALR 97, 106</w:t>
      </w:r>
      <w:r w:rsidRPr="00942419">
        <w:rPr>
          <w:rFonts w:cs="Arial"/>
          <w:i/>
          <w:shd w:val="clear" w:color="auto" w:fill="FFFFFF"/>
        </w:rPr>
        <w:t>.</w:t>
      </w:r>
    </w:p>
  </w:endnote>
  <w:endnote w:id="52">
    <w:p w14:paraId="30C6FB69" w14:textId="77777777" w:rsidR="008A3983" w:rsidRPr="00942419" w:rsidRDefault="008A3983" w:rsidP="00ED64AC">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i/>
        </w:rPr>
        <w:t xml:space="preserve">Chemical Trustee Limited and </w:t>
      </w:r>
      <w:proofErr w:type="spellStart"/>
      <w:r w:rsidRPr="00942419">
        <w:rPr>
          <w:rFonts w:cs="Arial"/>
          <w:i/>
        </w:rPr>
        <w:t>Ors</w:t>
      </w:r>
      <w:proofErr w:type="spellEnd"/>
      <w:r w:rsidRPr="00942419">
        <w:rPr>
          <w:rFonts w:cs="Arial"/>
          <w:i/>
        </w:rPr>
        <w:t xml:space="preserve"> and Commissioner of Taxation and Chief Executive Officer, AUSTRAC (Joined Party)</w:t>
      </w:r>
      <w:r w:rsidRPr="00942419">
        <w:rPr>
          <w:rFonts w:cs="Arial"/>
        </w:rPr>
        <w:t xml:space="preserve"> [2013] AATA 623, [79]. </w:t>
      </w:r>
    </w:p>
  </w:endnote>
  <w:endnote w:id="53">
    <w:p w14:paraId="5CA7B8B2" w14:textId="1850C13C" w:rsidR="008A3983" w:rsidRPr="00942419" w:rsidRDefault="008A3983" w:rsidP="00ED64AC">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shd w:val="clear" w:color="auto" w:fill="FFFFFF"/>
        </w:rPr>
        <w:t>Australian Law Reform Commission, </w:t>
      </w:r>
      <w:r w:rsidRPr="00942419">
        <w:rPr>
          <w:rFonts w:cs="Arial"/>
          <w:i/>
          <w:iCs/>
          <w:shd w:val="clear" w:color="auto" w:fill="FFFFFF"/>
        </w:rPr>
        <w:t>Secrecy Laws and Open Government in Australia,</w:t>
      </w:r>
      <w:r w:rsidRPr="00942419">
        <w:rPr>
          <w:rFonts w:cs="Arial"/>
          <w:iCs/>
          <w:shd w:val="clear" w:color="auto" w:fill="FFFFFF"/>
        </w:rPr>
        <w:t xml:space="preserve"> Report No 112 (2009), </w:t>
      </w:r>
      <w:r>
        <w:rPr>
          <w:rFonts w:cs="Arial"/>
          <w:iCs/>
          <w:shd w:val="clear" w:color="auto" w:fill="FFFFFF"/>
        </w:rPr>
        <w:t xml:space="preserve">p </w:t>
      </w:r>
      <w:r w:rsidRPr="00942419">
        <w:rPr>
          <w:rFonts w:cs="Arial"/>
          <w:iCs/>
          <w:shd w:val="clear" w:color="auto" w:fill="FFFFFF"/>
        </w:rPr>
        <w:t xml:space="preserve">100. </w:t>
      </w:r>
    </w:p>
  </w:endnote>
  <w:endnote w:id="54">
    <w:p w14:paraId="29655E6E"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r>
      <w:r w:rsidRPr="00942419">
        <w:rPr>
          <w:rFonts w:cs="Arial"/>
          <w:spacing w:val="-1"/>
        </w:rPr>
        <w:t>Office of the Australian Information Commissioner,</w:t>
      </w:r>
      <w:r w:rsidRPr="00942419">
        <w:rPr>
          <w:rFonts w:cs="Arial"/>
        </w:rPr>
        <w:t xml:space="preserve"> </w:t>
      </w:r>
      <w:r w:rsidRPr="00942419">
        <w:rPr>
          <w:rFonts w:cs="Arial"/>
          <w:i/>
          <w:spacing w:val="-1"/>
        </w:rPr>
        <w:t>Guidelines</w:t>
      </w:r>
      <w:r w:rsidRPr="00942419">
        <w:rPr>
          <w:rFonts w:cs="Arial"/>
          <w:i/>
        </w:rPr>
        <w:t xml:space="preserve"> </w:t>
      </w:r>
      <w:r w:rsidRPr="00942419">
        <w:rPr>
          <w:rFonts w:cs="Arial"/>
          <w:i/>
          <w:spacing w:val="-1"/>
        </w:rPr>
        <w:t xml:space="preserve">issued </w:t>
      </w:r>
      <w:r w:rsidRPr="00942419">
        <w:rPr>
          <w:rFonts w:cs="Arial"/>
          <w:i/>
        </w:rPr>
        <w:t>by</w:t>
      </w:r>
      <w:r w:rsidRPr="00942419">
        <w:rPr>
          <w:rFonts w:cs="Arial"/>
          <w:i/>
          <w:spacing w:val="-1"/>
        </w:rPr>
        <w:t xml:space="preserve"> </w:t>
      </w:r>
      <w:r w:rsidRPr="00942419">
        <w:rPr>
          <w:rFonts w:cs="Arial"/>
          <w:i/>
        </w:rPr>
        <w:t>the</w:t>
      </w:r>
      <w:r w:rsidRPr="00942419">
        <w:rPr>
          <w:rFonts w:cs="Arial"/>
          <w:i/>
          <w:spacing w:val="-1"/>
        </w:rPr>
        <w:t xml:space="preserve"> Australian</w:t>
      </w:r>
      <w:r w:rsidRPr="00942419">
        <w:rPr>
          <w:rFonts w:cs="Arial"/>
          <w:i/>
          <w:spacing w:val="39"/>
        </w:rPr>
        <w:t xml:space="preserve"> </w:t>
      </w:r>
      <w:r w:rsidRPr="00942419">
        <w:rPr>
          <w:rFonts w:cs="Arial"/>
          <w:i/>
          <w:spacing w:val="-1"/>
        </w:rPr>
        <w:t>Information Commissioner</w:t>
      </w:r>
      <w:r w:rsidRPr="00942419">
        <w:rPr>
          <w:rFonts w:cs="Arial"/>
          <w:i/>
          <w:spacing w:val="-2"/>
        </w:rPr>
        <w:t xml:space="preserve"> </w:t>
      </w:r>
      <w:r w:rsidRPr="00942419">
        <w:rPr>
          <w:rFonts w:cs="Arial"/>
          <w:i/>
          <w:spacing w:val="-1"/>
        </w:rPr>
        <w:t xml:space="preserve">under </w:t>
      </w:r>
      <w:r w:rsidRPr="00942419">
        <w:rPr>
          <w:rFonts w:cs="Arial"/>
          <w:i/>
        </w:rPr>
        <w:t>s</w:t>
      </w:r>
      <w:r w:rsidRPr="00942419">
        <w:rPr>
          <w:rFonts w:cs="Arial"/>
          <w:i/>
          <w:spacing w:val="-1"/>
        </w:rPr>
        <w:t xml:space="preserve"> </w:t>
      </w:r>
      <w:r w:rsidRPr="00942419">
        <w:rPr>
          <w:rFonts w:cs="Arial"/>
          <w:i/>
        </w:rPr>
        <w:t>93A</w:t>
      </w:r>
      <w:r w:rsidRPr="00942419">
        <w:rPr>
          <w:rFonts w:cs="Arial"/>
          <w:i/>
          <w:spacing w:val="-2"/>
        </w:rPr>
        <w:t xml:space="preserve"> </w:t>
      </w:r>
      <w:r w:rsidRPr="00942419">
        <w:rPr>
          <w:rFonts w:cs="Arial"/>
          <w:i/>
        </w:rPr>
        <w:t>of</w:t>
      </w:r>
      <w:r w:rsidRPr="00942419">
        <w:rPr>
          <w:rFonts w:cs="Arial"/>
          <w:i/>
          <w:spacing w:val="-1"/>
        </w:rPr>
        <w:t xml:space="preserve"> </w:t>
      </w:r>
      <w:r w:rsidRPr="00942419">
        <w:rPr>
          <w:rFonts w:cs="Arial"/>
          <w:i/>
        </w:rPr>
        <w:t>the</w:t>
      </w:r>
      <w:r w:rsidRPr="00942419">
        <w:rPr>
          <w:rFonts w:cs="Arial"/>
          <w:i/>
          <w:spacing w:val="-1"/>
        </w:rPr>
        <w:t xml:space="preserve"> Freedom</w:t>
      </w:r>
      <w:r w:rsidRPr="00942419">
        <w:rPr>
          <w:rFonts w:cs="Arial"/>
          <w:i/>
          <w:spacing w:val="-2"/>
        </w:rPr>
        <w:t xml:space="preserve"> </w:t>
      </w:r>
      <w:r w:rsidRPr="00942419">
        <w:rPr>
          <w:rFonts w:cs="Arial"/>
          <w:i/>
        </w:rPr>
        <w:t xml:space="preserve">of </w:t>
      </w:r>
      <w:r w:rsidRPr="00942419">
        <w:rPr>
          <w:rFonts w:cs="Arial"/>
          <w:i/>
          <w:spacing w:val="-1"/>
        </w:rPr>
        <w:t xml:space="preserve">Information </w:t>
      </w:r>
      <w:r w:rsidRPr="00942419">
        <w:rPr>
          <w:rFonts w:cs="Arial"/>
          <w:i/>
        </w:rPr>
        <w:t>Act</w:t>
      </w:r>
      <w:r w:rsidRPr="00942419">
        <w:rPr>
          <w:rFonts w:cs="Arial"/>
          <w:i/>
          <w:spacing w:val="-1"/>
        </w:rPr>
        <w:t xml:space="preserve"> </w:t>
      </w:r>
      <w:r w:rsidRPr="00942419">
        <w:rPr>
          <w:rFonts w:cs="Arial"/>
          <w:i/>
        </w:rPr>
        <w:t xml:space="preserve">1982, </w:t>
      </w:r>
      <w:r w:rsidRPr="00942419">
        <w:rPr>
          <w:rFonts w:cs="Arial"/>
          <w:lang w:val="en-US"/>
        </w:rPr>
        <w:t>[5.22].</w:t>
      </w:r>
    </w:p>
  </w:endnote>
  <w:endnote w:id="55">
    <w:p w14:paraId="30E46CAA" w14:textId="77777777" w:rsidR="008A3983" w:rsidRPr="00942419" w:rsidRDefault="008A3983" w:rsidP="00ED64AC">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spacing w:val="-1"/>
        </w:rPr>
        <w:t>Office of the Australian Information Commissioner,</w:t>
      </w:r>
      <w:r w:rsidRPr="00942419">
        <w:rPr>
          <w:rFonts w:cs="Arial"/>
        </w:rPr>
        <w:t xml:space="preserve"> </w:t>
      </w:r>
      <w:r w:rsidRPr="00942419">
        <w:rPr>
          <w:rFonts w:cs="Arial"/>
          <w:i/>
          <w:spacing w:val="-1"/>
        </w:rPr>
        <w:t>Guidelines</w:t>
      </w:r>
      <w:r w:rsidRPr="00942419">
        <w:rPr>
          <w:rFonts w:cs="Arial"/>
          <w:i/>
        </w:rPr>
        <w:t xml:space="preserve"> </w:t>
      </w:r>
      <w:r w:rsidRPr="00942419">
        <w:rPr>
          <w:rFonts w:cs="Arial"/>
          <w:i/>
          <w:spacing w:val="-1"/>
        </w:rPr>
        <w:t xml:space="preserve">issued </w:t>
      </w:r>
      <w:r w:rsidRPr="00942419">
        <w:rPr>
          <w:rFonts w:cs="Arial"/>
          <w:i/>
        </w:rPr>
        <w:t>by</w:t>
      </w:r>
      <w:r w:rsidRPr="00942419">
        <w:rPr>
          <w:rFonts w:cs="Arial"/>
          <w:i/>
          <w:spacing w:val="-1"/>
        </w:rPr>
        <w:t xml:space="preserve"> </w:t>
      </w:r>
      <w:r w:rsidRPr="00942419">
        <w:rPr>
          <w:rFonts w:cs="Arial"/>
          <w:i/>
        </w:rPr>
        <w:t>the</w:t>
      </w:r>
      <w:r w:rsidRPr="00942419">
        <w:rPr>
          <w:rFonts w:cs="Arial"/>
          <w:i/>
          <w:spacing w:val="-1"/>
        </w:rPr>
        <w:t xml:space="preserve"> Australian</w:t>
      </w:r>
      <w:r w:rsidRPr="00942419">
        <w:rPr>
          <w:rFonts w:cs="Arial"/>
          <w:i/>
          <w:spacing w:val="39"/>
        </w:rPr>
        <w:t xml:space="preserve"> </w:t>
      </w:r>
      <w:r w:rsidRPr="00942419">
        <w:rPr>
          <w:rFonts w:cs="Arial"/>
          <w:i/>
          <w:spacing w:val="-1"/>
        </w:rPr>
        <w:t>Information Commissioner</w:t>
      </w:r>
      <w:r w:rsidRPr="00942419">
        <w:rPr>
          <w:rFonts w:cs="Arial"/>
          <w:i/>
          <w:spacing w:val="-2"/>
        </w:rPr>
        <w:t xml:space="preserve"> </w:t>
      </w:r>
      <w:r w:rsidRPr="00942419">
        <w:rPr>
          <w:rFonts w:cs="Arial"/>
          <w:i/>
          <w:spacing w:val="-1"/>
        </w:rPr>
        <w:t xml:space="preserve">under </w:t>
      </w:r>
      <w:r w:rsidRPr="00942419">
        <w:rPr>
          <w:rFonts w:cs="Arial"/>
          <w:i/>
        </w:rPr>
        <w:t>s</w:t>
      </w:r>
      <w:r w:rsidRPr="00942419">
        <w:rPr>
          <w:rFonts w:cs="Arial"/>
          <w:i/>
          <w:spacing w:val="-1"/>
        </w:rPr>
        <w:t xml:space="preserve"> </w:t>
      </w:r>
      <w:r w:rsidRPr="00942419">
        <w:rPr>
          <w:rFonts w:cs="Arial"/>
          <w:i/>
        </w:rPr>
        <w:t>93A</w:t>
      </w:r>
      <w:r w:rsidRPr="00942419">
        <w:rPr>
          <w:rFonts w:cs="Arial"/>
          <w:i/>
          <w:spacing w:val="-2"/>
        </w:rPr>
        <w:t xml:space="preserve"> </w:t>
      </w:r>
      <w:r w:rsidRPr="00942419">
        <w:rPr>
          <w:rFonts w:cs="Arial"/>
          <w:i/>
        </w:rPr>
        <w:t>of</w:t>
      </w:r>
      <w:r w:rsidRPr="00942419">
        <w:rPr>
          <w:rFonts w:cs="Arial"/>
          <w:i/>
          <w:spacing w:val="-1"/>
        </w:rPr>
        <w:t xml:space="preserve"> </w:t>
      </w:r>
      <w:r w:rsidRPr="00942419">
        <w:rPr>
          <w:rFonts w:cs="Arial"/>
          <w:i/>
        </w:rPr>
        <w:t>the</w:t>
      </w:r>
      <w:r w:rsidRPr="00942419">
        <w:rPr>
          <w:rFonts w:cs="Arial"/>
          <w:i/>
          <w:spacing w:val="-1"/>
        </w:rPr>
        <w:t xml:space="preserve"> Freedom</w:t>
      </w:r>
      <w:r w:rsidRPr="00942419">
        <w:rPr>
          <w:rFonts w:cs="Arial"/>
          <w:i/>
          <w:spacing w:val="-2"/>
        </w:rPr>
        <w:t xml:space="preserve"> </w:t>
      </w:r>
      <w:r w:rsidRPr="00942419">
        <w:rPr>
          <w:rFonts w:cs="Arial"/>
          <w:i/>
        </w:rPr>
        <w:t xml:space="preserve">of </w:t>
      </w:r>
      <w:r w:rsidRPr="00942419">
        <w:rPr>
          <w:rFonts w:cs="Arial"/>
          <w:i/>
          <w:spacing w:val="-1"/>
        </w:rPr>
        <w:t xml:space="preserve">Information </w:t>
      </w:r>
      <w:r w:rsidRPr="00942419">
        <w:rPr>
          <w:rFonts w:cs="Arial"/>
          <w:i/>
        </w:rPr>
        <w:t>Act</w:t>
      </w:r>
      <w:r w:rsidRPr="00942419">
        <w:rPr>
          <w:rFonts w:cs="Arial"/>
          <w:i/>
          <w:spacing w:val="-1"/>
        </w:rPr>
        <w:t xml:space="preserve"> </w:t>
      </w:r>
      <w:r w:rsidRPr="00942419">
        <w:rPr>
          <w:rFonts w:cs="Arial"/>
          <w:i/>
        </w:rPr>
        <w:t>1982,</w:t>
      </w:r>
      <w:r w:rsidRPr="00942419">
        <w:rPr>
          <w:rFonts w:cs="Arial"/>
          <w:lang w:val="en-US"/>
        </w:rPr>
        <w:t xml:space="preserve"> </w:t>
      </w:r>
      <w:r w:rsidRPr="00942419">
        <w:rPr>
          <w:rFonts w:cs="Arial"/>
        </w:rPr>
        <w:t xml:space="preserve">[5.23]. </w:t>
      </w:r>
    </w:p>
  </w:endnote>
  <w:endnote w:id="56">
    <w:p w14:paraId="46299345" w14:textId="77777777" w:rsidR="008A3983" w:rsidRPr="00942419" w:rsidRDefault="008A3983" w:rsidP="00ED64AC">
      <w:pPr>
        <w:spacing w:before="0" w:after="0"/>
        <w:ind w:left="284" w:hanging="284"/>
        <w:rPr>
          <w:rFonts w:cs="Arial"/>
          <w:sz w:val="20"/>
          <w:szCs w:val="20"/>
        </w:rPr>
      </w:pPr>
      <w:r w:rsidRPr="00942419">
        <w:rPr>
          <w:rStyle w:val="EndnoteReference"/>
          <w:rFonts w:cs="Arial"/>
          <w:szCs w:val="20"/>
        </w:rPr>
        <w:endnoteRef/>
      </w:r>
      <w:r w:rsidRPr="00942419">
        <w:rPr>
          <w:rFonts w:cs="Arial"/>
          <w:sz w:val="20"/>
          <w:szCs w:val="20"/>
        </w:rPr>
        <w:t xml:space="preserve"> </w:t>
      </w:r>
      <w:r w:rsidRPr="00942419">
        <w:rPr>
          <w:rFonts w:cs="Arial"/>
          <w:sz w:val="20"/>
          <w:szCs w:val="20"/>
        </w:rPr>
        <w:tab/>
        <w:t xml:space="preserve">Office of the Australian Information Commissioner, </w:t>
      </w:r>
      <w:r w:rsidRPr="00942419">
        <w:rPr>
          <w:rFonts w:cs="Arial"/>
          <w:i/>
          <w:sz w:val="20"/>
          <w:szCs w:val="20"/>
        </w:rPr>
        <w:t>Guidelines issued by the Australian Information Commissioner under s 93A of the Freedom of Information Act 1982,</w:t>
      </w:r>
      <w:r w:rsidRPr="00942419">
        <w:rPr>
          <w:rFonts w:cs="Arial"/>
          <w:sz w:val="20"/>
          <w:szCs w:val="20"/>
          <w:lang w:val="en-US"/>
        </w:rPr>
        <w:t xml:space="preserve"> </w:t>
      </w:r>
      <w:r w:rsidRPr="00942419">
        <w:rPr>
          <w:rFonts w:cs="Arial"/>
          <w:sz w:val="20"/>
          <w:szCs w:val="20"/>
        </w:rPr>
        <w:t xml:space="preserve">[5.23]. </w:t>
      </w:r>
    </w:p>
  </w:endnote>
  <w:endnote w:id="57">
    <w:p w14:paraId="44038BEB"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i/>
        </w:rPr>
        <w:t xml:space="preserve"> </w:t>
      </w:r>
      <w:r w:rsidRPr="00942419">
        <w:rPr>
          <w:rFonts w:cs="Arial"/>
          <w:i/>
        </w:rPr>
        <w:tab/>
        <w:t xml:space="preserve">R v </w:t>
      </w:r>
      <w:proofErr w:type="spellStart"/>
      <w:r w:rsidRPr="00942419">
        <w:rPr>
          <w:rFonts w:cs="Arial"/>
          <w:i/>
        </w:rPr>
        <w:t>Tjanara</w:t>
      </w:r>
      <w:proofErr w:type="spellEnd"/>
      <w:r w:rsidRPr="00942419">
        <w:rPr>
          <w:rFonts w:cs="Arial"/>
          <w:i/>
        </w:rPr>
        <w:t xml:space="preserve"> Goreng </w:t>
      </w:r>
      <w:proofErr w:type="spellStart"/>
      <w:r w:rsidRPr="00942419">
        <w:rPr>
          <w:rFonts w:cs="Arial"/>
          <w:i/>
        </w:rPr>
        <w:t>Goreng</w:t>
      </w:r>
      <w:proofErr w:type="spellEnd"/>
      <w:r w:rsidRPr="00942419">
        <w:rPr>
          <w:rFonts w:cs="Arial"/>
        </w:rPr>
        <w:t xml:space="preserve"> [2008] ACTSC 74 (18 August 2008), [52].  </w:t>
      </w:r>
    </w:p>
  </w:endnote>
  <w:endnote w:id="58">
    <w:p w14:paraId="571B85A5" w14:textId="77777777" w:rsidR="008A3983" w:rsidRPr="00942419" w:rsidRDefault="008A3983" w:rsidP="00ED64AC">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shd w:val="clear" w:color="auto" w:fill="FFFFFF"/>
        </w:rPr>
        <w:t>Australian Law Reform Commission, </w:t>
      </w:r>
      <w:r w:rsidRPr="00942419">
        <w:rPr>
          <w:rFonts w:cs="Arial"/>
          <w:i/>
          <w:iCs/>
          <w:shd w:val="clear" w:color="auto" w:fill="FFFFFF"/>
        </w:rPr>
        <w:t>Secrecy Laws and Open Government in Australia,</w:t>
      </w:r>
      <w:r w:rsidRPr="00942419">
        <w:rPr>
          <w:rFonts w:cs="Arial"/>
          <w:iCs/>
          <w:shd w:val="clear" w:color="auto" w:fill="FFFFFF"/>
        </w:rPr>
        <w:t xml:space="preserve"> Report No 112 (2009), pp 146-151. </w:t>
      </w:r>
    </w:p>
  </w:endnote>
  <w:endnote w:id="59">
    <w:p w14:paraId="55E2EB86" w14:textId="7F10A7FA"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r>
      <w:r w:rsidRPr="00942419">
        <w:rPr>
          <w:rFonts w:cs="Arial"/>
          <w:shd w:val="clear" w:color="auto" w:fill="FFFFFF"/>
        </w:rPr>
        <w:t>Australian Law Reform Commission, </w:t>
      </w:r>
      <w:r w:rsidRPr="00942419">
        <w:rPr>
          <w:rFonts w:cs="Arial"/>
          <w:i/>
          <w:iCs/>
          <w:shd w:val="clear" w:color="auto" w:fill="FFFFFF"/>
        </w:rPr>
        <w:t>Secrecy Laws and Open Government in Australia,</w:t>
      </w:r>
      <w:r w:rsidRPr="00942419">
        <w:rPr>
          <w:rFonts w:cs="Arial"/>
          <w:iCs/>
          <w:shd w:val="clear" w:color="auto" w:fill="FFFFFF"/>
        </w:rPr>
        <w:t xml:space="preserve"> Report No 112 (2009), </w:t>
      </w:r>
      <w:r>
        <w:rPr>
          <w:rFonts w:cs="Arial"/>
          <w:iCs/>
          <w:shd w:val="clear" w:color="auto" w:fill="FFFFFF"/>
        </w:rPr>
        <w:t xml:space="preserve">p </w:t>
      </w:r>
      <w:r w:rsidRPr="00942419">
        <w:rPr>
          <w:rFonts w:cs="Arial"/>
          <w:iCs/>
          <w:shd w:val="clear" w:color="auto" w:fill="FFFFFF"/>
        </w:rPr>
        <w:t xml:space="preserve">150. </w:t>
      </w:r>
    </w:p>
  </w:endnote>
  <w:endnote w:id="60">
    <w:p w14:paraId="7D7252AF" w14:textId="77777777" w:rsidR="008A3983" w:rsidRPr="00942419" w:rsidRDefault="008A3983" w:rsidP="00ED64AC">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spacing w:val="-1"/>
        </w:rPr>
        <w:t>Office of the Australian Information Commissioner,</w:t>
      </w:r>
      <w:r w:rsidRPr="00942419">
        <w:rPr>
          <w:rFonts w:cs="Arial"/>
        </w:rPr>
        <w:t xml:space="preserve"> </w:t>
      </w:r>
      <w:r w:rsidRPr="00942419">
        <w:rPr>
          <w:rFonts w:cs="Arial"/>
          <w:i/>
          <w:spacing w:val="-1"/>
        </w:rPr>
        <w:t>Guidelines</w:t>
      </w:r>
      <w:r w:rsidRPr="00942419">
        <w:rPr>
          <w:rFonts w:cs="Arial"/>
          <w:i/>
        </w:rPr>
        <w:t xml:space="preserve"> </w:t>
      </w:r>
      <w:r w:rsidRPr="00942419">
        <w:rPr>
          <w:rFonts w:cs="Arial"/>
          <w:i/>
          <w:spacing w:val="-1"/>
        </w:rPr>
        <w:t xml:space="preserve">issued </w:t>
      </w:r>
      <w:r w:rsidRPr="00942419">
        <w:rPr>
          <w:rFonts w:cs="Arial"/>
          <w:i/>
        </w:rPr>
        <w:t>by</w:t>
      </w:r>
      <w:r w:rsidRPr="00942419">
        <w:rPr>
          <w:rFonts w:cs="Arial"/>
          <w:i/>
          <w:spacing w:val="-1"/>
        </w:rPr>
        <w:t xml:space="preserve"> </w:t>
      </w:r>
      <w:r w:rsidRPr="00942419">
        <w:rPr>
          <w:rFonts w:cs="Arial"/>
          <w:i/>
        </w:rPr>
        <w:t>the</w:t>
      </w:r>
      <w:r w:rsidRPr="00942419">
        <w:rPr>
          <w:rFonts w:cs="Arial"/>
          <w:i/>
          <w:spacing w:val="-1"/>
        </w:rPr>
        <w:t xml:space="preserve"> Australian</w:t>
      </w:r>
      <w:r w:rsidRPr="00942419">
        <w:rPr>
          <w:rFonts w:cs="Arial"/>
          <w:i/>
          <w:spacing w:val="39"/>
        </w:rPr>
        <w:t xml:space="preserve"> </w:t>
      </w:r>
      <w:r w:rsidRPr="00942419">
        <w:rPr>
          <w:rFonts w:cs="Arial"/>
          <w:i/>
          <w:spacing w:val="-1"/>
        </w:rPr>
        <w:t>Information Commissioner</w:t>
      </w:r>
      <w:r w:rsidRPr="00942419">
        <w:rPr>
          <w:rFonts w:cs="Arial"/>
          <w:i/>
          <w:spacing w:val="-2"/>
        </w:rPr>
        <w:t xml:space="preserve"> </w:t>
      </w:r>
      <w:r w:rsidRPr="00942419">
        <w:rPr>
          <w:rFonts w:cs="Arial"/>
          <w:i/>
          <w:spacing w:val="-1"/>
        </w:rPr>
        <w:t xml:space="preserve">under </w:t>
      </w:r>
      <w:r w:rsidRPr="00942419">
        <w:rPr>
          <w:rFonts w:cs="Arial"/>
          <w:i/>
        </w:rPr>
        <w:t>s</w:t>
      </w:r>
      <w:r w:rsidRPr="00942419">
        <w:rPr>
          <w:rFonts w:cs="Arial"/>
          <w:i/>
          <w:spacing w:val="-1"/>
        </w:rPr>
        <w:t xml:space="preserve"> </w:t>
      </w:r>
      <w:r w:rsidRPr="00942419">
        <w:rPr>
          <w:rFonts w:cs="Arial"/>
          <w:i/>
        </w:rPr>
        <w:t>93A</w:t>
      </w:r>
      <w:r w:rsidRPr="00942419">
        <w:rPr>
          <w:rFonts w:cs="Arial"/>
          <w:i/>
          <w:spacing w:val="-2"/>
        </w:rPr>
        <w:t xml:space="preserve"> </w:t>
      </w:r>
      <w:r w:rsidRPr="00942419">
        <w:rPr>
          <w:rFonts w:cs="Arial"/>
          <w:i/>
        </w:rPr>
        <w:t>of</w:t>
      </w:r>
      <w:r w:rsidRPr="00942419">
        <w:rPr>
          <w:rFonts w:cs="Arial"/>
          <w:i/>
          <w:spacing w:val="-1"/>
        </w:rPr>
        <w:t xml:space="preserve"> </w:t>
      </w:r>
      <w:r w:rsidRPr="00942419">
        <w:rPr>
          <w:rFonts w:cs="Arial"/>
          <w:i/>
        </w:rPr>
        <w:t>the</w:t>
      </w:r>
      <w:r w:rsidRPr="00942419">
        <w:rPr>
          <w:rFonts w:cs="Arial"/>
          <w:i/>
          <w:spacing w:val="-1"/>
        </w:rPr>
        <w:t xml:space="preserve"> Freedom</w:t>
      </w:r>
      <w:r w:rsidRPr="00942419">
        <w:rPr>
          <w:rFonts w:cs="Arial"/>
          <w:i/>
          <w:spacing w:val="-2"/>
        </w:rPr>
        <w:t xml:space="preserve"> </w:t>
      </w:r>
      <w:r w:rsidRPr="00942419">
        <w:rPr>
          <w:rFonts w:cs="Arial"/>
          <w:i/>
        </w:rPr>
        <w:t xml:space="preserve">of </w:t>
      </w:r>
      <w:r w:rsidRPr="00942419">
        <w:rPr>
          <w:rFonts w:cs="Arial"/>
          <w:i/>
          <w:spacing w:val="-1"/>
        </w:rPr>
        <w:t xml:space="preserve">Information </w:t>
      </w:r>
      <w:r w:rsidRPr="00942419">
        <w:rPr>
          <w:rFonts w:cs="Arial"/>
          <w:i/>
        </w:rPr>
        <w:t>Act</w:t>
      </w:r>
      <w:r w:rsidRPr="00942419">
        <w:rPr>
          <w:rFonts w:cs="Arial"/>
          <w:lang w:val="en-US"/>
        </w:rPr>
        <w:t xml:space="preserve">, </w:t>
      </w:r>
      <w:r w:rsidRPr="00942419">
        <w:rPr>
          <w:rFonts w:cs="Arial"/>
        </w:rPr>
        <w:t>[5.36].</w:t>
      </w:r>
    </w:p>
  </w:endnote>
  <w:endnote w:id="61">
    <w:p w14:paraId="25DB1011" w14:textId="77777777" w:rsidR="008A3983" w:rsidRPr="00942419" w:rsidRDefault="008A3983" w:rsidP="00ED64AC">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spacing w:val="-1"/>
        </w:rPr>
        <w:t>Office of the Australian Information Commissioner,</w:t>
      </w:r>
      <w:r w:rsidRPr="00942419">
        <w:rPr>
          <w:rFonts w:cs="Arial"/>
        </w:rPr>
        <w:t xml:space="preserve"> </w:t>
      </w:r>
      <w:r w:rsidRPr="00942419">
        <w:rPr>
          <w:rFonts w:cs="Arial"/>
          <w:i/>
          <w:spacing w:val="-1"/>
        </w:rPr>
        <w:t>Guidelines</w:t>
      </w:r>
      <w:r w:rsidRPr="00942419">
        <w:rPr>
          <w:rFonts w:cs="Arial"/>
          <w:i/>
        </w:rPr>
        <w:t xml:space="preserve"> </w:t>
      </w:r>
      <w:r w:rsidRPr="00942419">
        <w:rPr>
          <w:rFonts w:cs="Arial"/>
          <w:i/>
          <w:spacing w:val="-1"/>
        </w:rPr>
        <w:t xml:space="preserve">issued </w:t>
      </w:r>
      <w:r w:rsidRPr="00942419">
        <w:rPr>
          <w:rFonts w:cs="Arial"/>
          <w:i/>
        </w:rPr>
        <w:t>by</w:t>
      </w:r>
      <w:r w:rsidRPr="00942419">
        <w:rPr>
          <w:rFonts w:cs="Arial"/>
          <w:i/>
          <w:spacing w:val="-1"/>
        </w:rPr>
        <w:t xml:space="preserve"> </w:t>
      </w:r>
      <w:r w:rsidRPr="00942419">
        <w:rPr>
          <w:rFonts w:cs="Arial"/>
          <w:i/>
        </w:rPr>
        <w:t>the</w:t>
      </w:r>
      <w:r w:rsidRPr="00942419">
        <w:rPr>
          <w:rFonts w:cs="Arial"/>
          <w:i/>
          <w:spacing w:val="-1"/>
        </w:rPr>
        <w:t xml:space="preserve"> Australian</w:t>
      </w:r>
      <w:r w:rsidRPr="00942419">
        <w:rPr>
          <w:rFonts w:cs="Arial"/>
          <w:i/>
          <w:spacing w:val="39"/>
        </w:rPr>
        <w:t xml:space="preserve"> </w:t>
      </w:r>
      <w:r w:rsidRPr="00942419">
        <w:rPr>
          <w:rFonts w:cs="Arial"/>
          <w:i/>
          <w:spacing w:val="-1"/>
        </w:rPr>
        <w:t>Information Commissioner</w:t>
      </w:r>
      <w:r w:rsidRPr="00942419">
        <w:rPr>
          <w:rFonts w:cs="Arial"/>
          <w:i/>
          <w:spacing w:val="-2"/>
        </w:rPr>
        <w:t xml:space="preserve"> </w:t>
      </w:r>
      <w:r w:rsidRPr="00942419">
        <w:rPr>
          <w:rFonts w:cs="Arial"/>
          <w:i/>
          <w:spacing w:val="-1"/>
        </w:rPr>
        <w:t xml:space="preserve">under </w:t>
      </w:r>
      <w:r w:rsidRPr="00942419">
        <w:rPr>
          <w:rFonts w:cs="Arial"/>
          <w:i/>
        </w:rPr>
        <w:t>s</w:t>
      </w:r>
      <w:r w:rsidRPr="00942419">
        <w:rPr>
          <w:rFonts w:cs="Arial"/>
          <w:i/>
          <w:spacing w:val="-1"/>
        </w:rPr>
        <w:t xml:space="preserve"> </w:t>
      </w:r>
      <w:r w:rsidRPr="00942419">
        <w:rPr>
          <w:rFonts w:cs="Arial"/>
          <w:i/>
        </w:rPr>
        <w:t>93A</w:t>
      </w:r>
      <w:r w:rsidRPr="00942419">
        <w:rPr>
          <w:rFonts w:cs="Arial"/>
          <w:i/>
          <w:spacing w:val="-2"/>
        </w:rPr>
        <w:t xml:space="preserve"> </w:t>
      </w:r>
      <w:r w:rsidRPr="00942419">
        <w:rPr>
          <w:rFonts w:cs="Arial"/>
          <w:i/>
        </w:rPr>
        <w:t>of</w:t>
      </w:r>
      <w:r w:rsidRPr="00942419">
        <w:rPr>
          <w:rFonts w:cs="Arial"/>
          <w:i/>
          <w:spacing w:val="-1"/>
        </w:rPr>
        <w:t xml:space="preserve"> </w:t>
      </w:r>
      <w:r w:rsidRPr="00942419">
        <w:rPr>
          <w:rFonts w:cs="Arial"/>
          <w:i/>
        </w:rPr>
        <w:t>the</w:t>
      </w:r>
      <w:r w:rsidRPr="00942419">
        <w:rPr>
          <w:rFonts w:cs="Arial"/>
          <w:i/>
          <w:spacing w:val="-1"/>
        </w:rPr>
        <w:t xml:space="preserve"> Freedom</w:t>
      </w:r>
      <w:r w:rsidRPr="00942419">
        <w:rPr>
          <w:rFonts w:cs="Arial"/>
          <w:i/>
          <w:spacing w:val="-2"/>
        </w:rPr>
        <w:t xml:space="preserve"> </w:t>
      </w:r>
      <w:r w:rsidRPr="00942419">
        <w:rPr>
          <w:rFonts w:cs="Arial"/>
          <w:i/>
        </w:rPr>
        <w:t xml:space="preserve">of </w:t>
      </w:r>
      <w:r w:rsidRPr="00942419">
        <w:rPr>
          <w:rFonts w:cs="Arial"/>
          <w:i/>
          <w:spacing w:val="-1"/>
        </w:rPr>
        <w:t xml:space="preserve">Information </w:t>
      </w:r>
      <w:r w:rsidRPr="00942419">
        <w:rPr>
          <w:rFonts w:cs="Arial"/>
          <w:i/>
        </w:rPr>
        <w:t>Act</w:t>
      </w:r>
      <w:r w:rsidRPr="00942419">
        <w:rPr>
          <w:rFonts w:cs="Arial"/>
          <w:i/>
          <w:spacing w:val="-1"/>
        </w:rPr>
        <w:t xml:space="preserve"> </w:t>
      </w:r>
      <w:r w:rsidRPr="00942419">
        <w:rPr>
          <w:rFonts w:cs="Arial"/>
          <w:i/>
        </w:rPr>
        <w:t>1982</w:t>
      </w:r>
      <w:r w:rsidRPr="00942419">
        <w:rPr>
          <w:rFonts w:cs="Arial"/>
          <w:lang w:val="en-US"/>
        </w:rPr>
        <w:t xml:space="preserve">, </w:t>
      </w:r>
      <w:r w:rsidRPr="00942419">
        <w:rPr>
          <w:rFonts w:cs="Arial"/>
        </w:rPr>
        <w:t>[5.36].</w:t>
      </w:r>
    </w:p>
  </w:endnote>
  <w:endnote w:id="62">
    <w:p w14:paraId="600425D4" w14:textId="77777777" w:rsidR="008A3983" w:rsidRPr="00942419" w:rsidRDefault="008A3983" w:rsidP="00ED64AC">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spacing w:val="-1"/>
        </w:rPr>
        <w:t>Office of the Australian Information Commissioner,</w:t>
      </w:r>
      <w:r w:rsidRPr="00942419">
        <w:rPr>
          <w:rFonts w:cs="Arial"/>
        </w:rPr>
        <w:t xml:space="preserve"> </w:t>
      </w:r>
      <w:r w:rsidRPr="00942419">
        <w:rPr>
          <w:rFonts w:cs="Arial"/>
          <w:i/>
          <w:spacing w:val="-1"/>
        </w:rPr>
        <w:t>Guidelines</w:t>
      </w:r>
      <w:r w:rsidRPr="00942419">
        <w:rPr>
          <w:rFonts w:cs="Arial"/>
          <w:i/>
        </w:rPr>
        <w:t xml:space="preserve"> </w:t>
      </w:r>
      <w:r w:rsidRPr="00942419">
        <w:rPr>
          <w:rFonts w:cs="Arial"/>
          <w:i/>
          <w:spacing w:val="-1"/>
        </w:rPr>
        <w:t xml:space="preserve">issued </w:t>
      </w:r>
      <w:r w:rsidRPr="00942419">
        <w:rPr>
          <w:rFonts w:cs="Arial"/>
          <w:i/>
        </w:rPr>
        <w:t>by</w:t>
      </w:r>
      <w:r w:rsidRPr="00942419">
        <w:rPr>
          <w:rFonts w:cs="Arial"/>
          <w:i/>
          <w:spacing w:val="-1"/>
        </w:rPr>
        <w:t xml:space="preserve"> </w:t>
      </w:r>
      <w:r w:rsidRPr="00942419">
        <w:rPr>
          <w:rFonts w:cs="Arial"/>
          <w:i/>
        </w:rPr>
        <w:t>the</w:t>
      </w:r>
      <w:r w:rsidRPr="00942419">
        <w:rPr>
          <w:rFonts w:cs="Arial"/>
          <w:i/>
          <w:spacing w:val="-1"/>
        </w:rPr>
        <w:t xml:space="preserve"> Australian</w:t>
      </w:r>
      <w:r w:rsidRPr="00942419">
        <w:rPr>
          <w:rFonts w:cs="Arial"/>
          <w:i/>
          <w:spacing w:val="39"/>
        </w:rPr>
        <w:t xml:space="preserve"> </w:t>
      </w:r>
      <w:r w:rsidRPr="00942419">
        <w:rPr>
          <w:rFonts w:cs="Arial"/>
          <w:i/>
          <w:spacing w:val="-1"/>
        </w:rPr>
        <w:t>Information Commissioner</w:t>
      </w:r>
      <w:r w:rsidRPr="00942419">
        <w:rPr>
          <w:rFonts w:cs="Arial"/>
          <w:i/>
          <w:spacing w:val="-2"/>
        </w:rPr>
        <w:t xml:space="preserve"> </w:t>
      </w:r>
      <w:r w:rsidRPr="00942419">
        <w:rPr>
          <w:rFonts w:cs="Arial"/>
          <w:i/>
          <w:spacing w:val="-1"/>
        </w:rPr>
        <w:t xml:space="preserve">under </w:t>
      </w:r>
      <w:r w:rsidRPr="00942419">
        <w:rPr>
          <w:rFonts w:cs="Arial"/>
          <w:i/>
        </w:rPr>
        <w:t>s</w:t>
      </w:r>
      <w:r w:rsidRPr="00942419">
        <w:rPr>
          <w:rFonts w:cs="Arial"/>
          <w:i/>
          <w:spacing w:val="-1"/>
        </w:rPr>
        <w:t xml:space="preserve"> </w:t>
      </w:r>
      <w:r w:rsidRPr="00942419">
        <w:rPr>
          <w:rFonts w:cs="Arial"/>
          <w:i/>
        </w:rPr>
        <w:t>93A</w:t>
      </w:r>
      <w:r w:rsidRPr="00942419">
        <w:rPr>
          <w:rFonts w:cs="Arial"/>
          <w:i/>
          <w:spacing w:val="-2"/>
        </w:rPr>
        <w:t xml:space="preserve"> </w:t>
      </w:r>
      <w:r w:rsidRPr="00942419">
        <w:rPr>
          <w:rFonts w:cs="Arial"/>
          <w:i/>
        </w:rPr>
        <w:t>of</w:t>
      </w:r>
      <w:r w:rsidRPr="00942419">
        <w:rPr>
          <w:rFonts w:cs="Arial"/>
          <w:i/>
          <w:spacing w:val="-1"/>
        </w:rPr>
        <w:t xml:space="preserve"> </w:t>
      </w:r>
      <w:r w:rsidRPr="00942419">
        <w:rPr>
          <w:rFonts w:cs="Arial"/>
          <w:i/>
        </w:rPr>
        <w:t>the</w:t>
      </w:r>
      <w:r w:rsidRPr="00942419">
        <w:rPr>
          <w:rFonts w:cs="Arial"/>
          <w:i/>
          <w:spacing w:val="-1"/>
        </w:rPr>
        <w:t xml:space="preserve"> Freedom</w:t>
      </w:r>
      <w:r w:rsidRPr="00942419">
        <w:rPr>
          <w:rFonts w:cs="Arial"/>
          <w:i/>
          <w:spacing w:val="-2"/>
        </w:rPr>
        <w:t xml:space="preserve"> </w:t>
      </w:r>
      <w:r w:rsidRPr="00942419">
        <w:rPr>
          <w:rFonts w:cs="Arial"/>
          <w:i/>
        </w:rPr>
        <w:t xml:space="preserve">of </w:t>
      </w:r>
      <w:r w:rsidRPr="00942419">
        <w:rPr>
          <w:rFonts w:cs="Arial"/>
          <w:i/>
          <w:spacing w:val="-1"/>
        </w:rPr>
        <w:t xml:space="preserve">Information </w:t>
      </w:r>
      <w:r w:rsidRPr="00942419">
        <w:rPr>
          <w:rFonts w:cs="Arial"/>
          <w:i/>
        </w:rPr>
        <w:t>Act</w:t>
      </w:r>
      <w:r w:rsidRPr="00942419">
        <w:rPr>
          <w:rFonts w:cs="Arial"/>
          <w:i/>
          <w:spacing w:val="-1"/>
        </w:rPr>
        <w:t xml:space="preserve"> </w:t>
      </w:r>
      <w:r w:rsidRPr="00942419">
        <w:rPr>
          <w:rFonts w:cs="Arial"/>
          <w:i/>
        </w:rPr>
        <w:t>1982</w:t>
      </w:r>
      <w:r w:rsidRPr="00942419">
        <w:rPr>
          <w:rFonts w:cs="Arial"/>
          <w:lang w:val="en-US"/>
        </w:rPr>
        <w:t xml:space="preserve">, </w:t>
      </w:r>
      <w:r w:rsidRPr="00942419">
        <w:rPr>
          <w:rFonts w:cs="Arial"/>
        </w:rPr>
        <w:t xml:space="preserve">[5.37]. </w:t>
      </w:r>
    </w:p>
  </w:endnote>
  <w:endnote w:id="63">
    <w:p w14:paraId="1A2C2510" w14:textId="77777777" w:rsidR="008A3983" w:rsidRPr="00942419" w:rsidRDefault="008A3983" w:rsidP="00ED64AC">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Style w:val="Emphasis"/>
          <w:rFonts w:cs="Arial"/>
        </w:rPr>
        <w:t>Re Maher and Attorney-General's Department</w:t>
      </w:r>
      <w:r w:rsidRPr="00942419">
        <w:rPr>
          <w:rFonts w:cs="Arial"/>
        </w:rPr>
        <w:t xml:space="preserve"> (1985) </w:t>
      </w:r>
      <w:proofErr w:type="gramStart"/>
      <w:r w:rsidRPr="00942419">
        <w:rPr>
          <w:rFonts w:cs="Arial"/>
        </w:rPr>
        <w:t>7</w:t>
      </w:r>
      <w:proofErr w:type="gramEnd"/>
      <w:r w:rsidRPr="00942419">
        <w:rPr>
          <w:rFonts w:cs="Arial"/>
        </w:rPr>
        <w:t xml:space="preserve"> ALD 721, [40]. </w:t>
      </w:r>
    </w:p>
  </w:endnote>
  <w:endnote w:id="64">
    <w:p w14:paraId="2A9691A2" w14:textId="77777777" w:rsidR="008A3983" w:rsidRPr="00942419" w:rsidRDefault="008A3983" w:rsidP="00ED64AC">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shd w:val="clear" w:color="auto" w:fill="FFFFFF"/>
        </w:rPr>
        <w:t>Australian Law Reform Commission, </w:t>
      </w:r>
      <w:r w:rsidRPr="00942419">
        <w:rPr>
          <w:rFonts w:cs="Arial"/>
          <w:i/>
          <w:iCs/>
          <w:shd w:val="clear" w:color="auto" w:fill="FFFFFF"/>
        </w:rPr>
        <w:t>Secrecy Laws and Open Government in Australia,</w:t>
      </w:r>
      <w:r w:rsidRPr="00942419">
        <w:rPr>
          <w:rFonts w:cs="Arial"/>
          <w:iCs/>
          <w:shd w:val="clear" w:color="auto" w:fill="FFFFFF"/>
        </w:rPr>
        <w:t xml:space="preserve"> Report No 112 (2009), p </w:t>
      </w:r>
      <w:r w:rsidRPr="00942419">
        <w:rPr>
          <w:rFonts w:cs="Arial"/>
        </w:rPr>
        <w:t xml:space="preserve">152. </w:t>
      </w:r>
    </w:p>
  </w:endnote>
  <w:endnote w:id="65">
    <w:p w14:paraId="30053D70" w14:textId="77777777" w:rsidR="008A3983" w:rsidRPr="00942419" w:rsidRDefault="008A3983" w:rsidP="009277CA">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t>Explanatory Memorandum, Australian Border Force Amendment (Protected Information) Bill 2017 (</w:t>
      </w:r>
      <w:proofErr w:type="spellStart"/>
      <w:r w:rsidRPr="00942419">
        <w:rPr>
          <w:rFonts w:cs="Arial"/>
        </w:rPr>
        <w:t>Cth</w:t>
      </w:r>
      <w:proofErr w:type="spellEnd"/>
      <w:r w:rsidRPr="00942419">
        <w:rPr>
          <w:rFonts w:cs="Arial"/>
        </w:rPr>
        <w:t>), p 13.</w:t>
      </w:r>
    </w:p>
  </w:endnote>
  <w:endnote w:id="66">
    <w:p w14:paraId="5412AE27" w14:textId="77777777" w:rsidR="008A3983" w:rsidRPr="00942419" w:rsidRDefault="008A3983" w:rsidP="009277CA">
      <w:pPr>
        <w:pStyle w:val="EndnoteText"/>
        <w:ind w:left="284" w:hanging="284"/>
        <w:rPr>
          <w:rFonts w:cs="Arial"/>
        </w:rPr>
      </w:pPr>
      <w:r w:rsidRPr="00942419">
        <w:rPr>
          <w:rFonts w:cs="Arial"/>
          <w:vertAlign w:val="superscript"/>
        </w:rPr>
        <w:endnoteRef/>
      </w:r>
      <w:r w:rsidRPr="00942419">
        <w:rPr>
          <w:rFonts w:cs="Arial"/>
        </w:rPr>
        <w:t xml:space="preserve"> </w:t>
      </w:r>
      <w:r w:rsidRPr="00942419">
        <w:rPr>
          <w:rFonts w:cs="Arial"/>
        </w:rPr>
        <w:tab/>
        <w:t>Explanatory Memorandum, Australian Border Force Amendment (Protected Information) Bill 2017 (</w:t>
      </w:r>
      <w:proofErr w:type="spellStart"/>
      <w:r w:rsidRPr="00942419">
        <w:rPr>
          <w:rFonts w:cs="Arial"/>
        </w:rPr>
        <w:t>Cth</w:t>
      </w:r>
      <w:proofErr w:type="spellEnd"/>
      <w:r w:rsidRPr="00942419">
        <w:rPr>
          <w:rFonts w:cs="Arial"/>
        </w:rPr>
        <w:t>), p 13.</w:t>
      </w:r>
    </w:p>
  </w:endnote>
  <w:endnote w:id="67">
    <w:p w14:paraId="6BAFFE69" w14:textId="77777777" w:rsidR="008A3983" w:rsidRPr="00942419" w:rsidRDefault="008A3983" w:rsidP="009277CA">
      <w:pPr>
        <w:pStyle w:val="EndnoteText"/>
        <w:ind w:left="284" w:hanging="284"/>
        <w:rPr>
          <w:rFonts w:cs="Arial"/>
        </w:rPr>
      </w:pPr>
      <w:r w:rsidRPr="00942419">
        <w:rPr>
          <w:rFonts w:cs="Arial"/>
          <w:vertAlign w:val="superscript"/>
        </w:rPr>
        <w:endnoteRef/>
      </w:r>
      <w:r w:rsidRPr="00942419">
        <w:rPr>
          <w:rFonts w:cs="Arial"/>
        </w:rPr>
        <w:tab/>
        <w:t>Explanatory Memorandum, Australian Border Force Amendment (Protected Information) Bill 2017 (</w:t>
      </w:r>
      <w:proofErr w:type="spellStart"/>
      <w:r w:rsidRPr="00942419">
        <w:rPr>
          <w:rFonts w:cs="Arial"/>
        </w:rPr>
        <w:t>Cth</w:t>
      </w:r>
      <w:proofErr w:type="spellEnd"/>
      <w:r w:rsidRPr="00942419">
        <w:rPr>
          <w:rFonts w:cs="Arial"/>
        </w:rPr>
        <w:t>), p 13.</w:t>
      </w:r>
    </w:p>
  </w:endnote>
  <w:endnote w:id="68">
    <w:p w14:paraId="59BFDFBB" w14:textId="77777777" w:rsidR="008A3983" w:rsidRPr="00942419" w:rsidRDefault="008A3983" w:rsidP="009277CA">
      <w:pPr>
        <w:pStyle w:val="EndnoteText"/>
        <w:ind w:left="284" w:hanging="284"/>
        <w:rPr>
          <w:rFonts w:cs="Arial"/>
        </w:rPr>
      </w:pPr>
      <w:r w:rsidRPr="00942419">
        <w:rPr>
          <w:rFonts w:cs="Arial"/>
          <w:vertAlign w:val="superscript"/>
        </w:rPr>
        <w:endnoteRef/>
      </w:r>
      <w:r w:rsidRPr="00942419">
        <w:rPr>
          <w:rFonts w:cs="Arial"/>
        </w:rPr>
        <w:t xml:space="preserve"> </w:t>
      </w:r>
      <w:r w:rsidRPr="00942419">
        <w:rPr>
          <w:rFonts w:cs="Arial"/>
        </w:rPr>
        <w:tab/>
      </w:r>
      <w:r w:rsidRPr="00942419">
        <w:rPr>
          <w:rFonts w:cs="Arial"/>
          <w:spacing w:val="-1"/>
        </w:rPr>
        <w:t>Office of the Australian Information Commissioner,</w:t>
      </w:r>
      <w:r w:rsidRPr="00942419">
        <w:rPr>
          <w:rFonts w:cs="Arial"/>
        </w:rPr>
        <w:t xml:space="preserve"> </w:t>
      </w:r>
      <w:r w:rsidRPr="00942419">
        <w:rPr>
          <w:rFonts w:cs="Arial"/>
          <w:i/>
          <w:spacing w:val="-1"/>
        </w:rPr>
        <w:t>Guidelines</w:t>
      </w:r>
      <w:r w:rsidRPr="00942419">
        <w:rPr>
          <w:rFonts w:cs="Arial"/>
          <w:i/>
        </w:rPr>
        <w:t xml:space="preserve"> </w:t>
      </w:r>
      <w:r w:rsidRPr="00942419">
        <w:rPr>
          <w:rFonts w:cs="Arial"/>
          <w:i/>
          <w:spacing w:val="-1"/>
        </w:rPr>
        <w:t xml:space="preserve">issued </w:t>
      </w:r>
      <w:r w:rsidRPr="00942419">
        <w:rPr>
          <w:rFonts w:cs="Arial"/>
          <w:i/>
        </w:rPr>
        <w:t>by</w:t>
      </w:r>
      <w:r w:rsidRPr="00942419">
        <w:rPr>
          <w:rFonts w:cs="Arial"/>
          <w:i/>
          <w:spacing w:val="-1"/>
        </w:rPr>
        <w:t xml:space="preserve"> </w:t>
      </w:r>
      <w:r w:rsidRPr="00942419">
        <w:rPr>
          <w:rFonts w:cs="Arial"/>
          <w:i/>
        </w:rPr>
        <w:t>the</w:t>
      </w:r>
      <w:r w:rsidRPr="00942419">
        <w:rPr>
          <w:rFonts w:cs="Arial"/>
          <w:i/>
          <w:spacing w:val="-1"/>
        </w:rPr>
        <w:t xml:space="preserve"> Australian</w:t>
      </w:r>
      <w:r w:rsidRPr="00942419">
        <w:rPr>
          <w:rFonts w:cs="Arial"/>
          <w:i/>
          <w:spacing w:val="39"/>
        </w:rPr>
        <w:t xml:space="preserve"> </w:t>
      </w:r>
      <w:r w:rsidRPr="00942419">
        <w:rPr>
          <w:rFonts w:cs="Arial"/>
          <w:i/>
          <w:spacing w:val="-1"/>
        </w:rPr>
        <w:t>Information Commissioner</w:t>
      </w:r>
      <w:r w:rsidRPr="00942419">
        <w:rPr>
          <w:rFonts w:cs="Arial"/>
          <w:i/>
          <w:spacing w:val="-2"/>
        </w:rPr>
        <w:t xml:space="preserve"> </w:t>
      </w:r>
      <w:r w:rsidRPr="00942419">
        <w:rPr>
          <w:rFonts w:cs="Arial"/>
          <w:i/>
          <w:spacing w:val="-1"/>
        </w:rPr>
        <w:t xml:space="preserve">under </w:t>
      </w:r>
      <w:r w:rsidRPr="00942419">
        <w:rPr>
          <w:rFonts w:cs="Arial"/>
          <w:i/>
        </w:rPr>
        <w:t>s</w:t>
      </w:r>
      <w:r w:rsidRPr="00942419">
        <w:rPr>
          <w:rFonts w:cs="Arial"/>
          <w:i/>
          <w:spacing w:val="-1"/>
        </w:rPr>
        <w:t xml:space="preserve"> </w:t>
      </w:r>
      <w:r w:rsidRPr="00942419">
        <w:rPr>
          <w:rFonts w:cs="Arial"/>
          <w:i/>
        </w:rPr>
        <w:t>93A</w:t>
      </w:r>
      <w:r w:rsidRPr="00942419">
        <w:rPr>
          <w:rFonts w:cs="Arial"/>
          <w:i/>
          <w:spacing w:val="-2"/>
        </w:rPr>
        <w:t xml:space="preserve"> </w:t>
      </w:r>
      <w:r w:rsidRPr="00942419">
        <w:rPr>
          <w:rFonts w:cs="Arial"/>
          <w:i/>
        </w:rPr>
        <w:t>of</w:t>
      </w:r>
      <w:r w:rsidRPr="00942419">
        <w:rPr>
          <w:rFonts w:cs="Arial"/>
          <w:i/>
          <w:spacing w:val="-1"/>
        </w:rPr>
        <w:t xml:space="preserve"> </w:t>
      </w:r>
      <w:r w:rsidRPr="00942419">
        <w:rPr>
          <w:rFonts w:cs="Arial"/>
          <w:i/>
        </w:rPr>
        <w:t>the</w:t>
      </w:r>
      <w:r w:rsidRPr="00942419">
        <w:rPr>
          <w:rFonts w:cs="Arial"/>
          <w:i/>
          <w:spacing w:val="-1"/>
        </w:rPr>
        <w:t xml:space="preserve"> Freedom</w:t>
      </w:r>
      <w:r w:rsidRPr="00942419">
        <w:rPr>
          <w:rFonts w:cs="Arial"/>
          <w:i/>
          <w:spacing w:val="-2"/>
        </w:rPr>
        <w:t xml:space="preserve"> </w:t>
      </w:r>
      <w:r w:rsidRPr="00942419">
        <w:rPr>
          <w:rFonts w:cs="Arial"/>
          <w:i/>
        </w:rPr>
        <w:t xml:space="preserve">of </w:t>
      </w:r>
      <w:r w:rsidRPr="00942419">
        <w:rPr>
          <w:rFonts w:cs="Arial"/>
          <w:i/>
          <w:spacing w:val="-1"/>
        </w:rPr>
        <w:t xml:space="preserve">Information </w:t>
      </w:r>
      <w:r w:rsidRPr="00942419">
        <w:rPr>
          <w:rFonts w:cs="Arial"/>
          <w:i/>
        </w:rPr>
        <w:t>Act</w:t>
      </w:r>
      <w:r w:rsidRPr="00942419">
        <w:rPr>
          <w:rFonts w:cs="Arial"/>
          <w:i/>
          <w:spacing w:val="-1"/>
        </w:rPr>
        <w:t xml:space="preserve"> </w:t>
      </w:r>
      <w:r w:rsidRPr="00942419">
        <w:rPr>
          <w:rFonts w:cs="Arial"/>
          <w:i/>
        </w:rPr>
        <w:t>1982,</w:t>
      </w:r>
      <w:r w:rsidRPr="00942419">
        <w:rPr>
          <w:rFonts w:cs="Arial"/>
        </w:rPr>
        <w:t xml:space="preserve"> [5.158], citing </w:t>
      </w:r>
      <w:r w:rsidRPr="00942419">
        <w:rPr>
          <w:rFonts w:cs="Arial"/>
          <w:i/>
          <w:iCs/>
          <w:lang w:val="en-GB"/>
        </w:rPr>
        <w:t xml:space="preserve">Re </w:t>
      </w:r>
      <w:proofErr w:type="spellStart"/>
      <w:r w:rsidRPr="00942419">
        <w:rPr>
          <w:rFonts w:cs="Arial"/>
          <w:i/>
          <w:iCs/>
          <w:lang w:val="en-GB"/>
        </w:rPr>
        <w:t>Petroulias</w:t>
      </w:r>
      <w:proofErr w:type="spellEnd"/>
      <w:r w:rsidRPr="00942419">
        <w:rPr>
          <w:rFonts w:cs="Arial"/>
          <w:i/>
          <w:iCs/>
          <w:lang w:val="en-GB"/>
        </w:rPr>
        <w:t xml:space="preserve"> and Others and Commissioner of Taxation</w:t>
      </w:r>
      <w:r w:rsidRPr="00942419">
        <w:rPr>
          <w:rFonts w:cs="Arial"/>
          <w:lang w:val="en-GB"/>
        </w:rPr>
        <w:t xml:space="preserve"> [2006] AATA 333</w:t>
      </w:r>
      <w:r w:rsidRPr="00942419">
        <w:rPr>
          <w:rFonts w:cs="Arial"/>
        </w:rPr>
        <w:t xml:space="preserve">. </w:t>
      </w:r>
    </w:p>
  </w:endnote>
  <w:endnote w:id="69">
    <w:p w14:paraId="30F6DDD4" w14:textId="77777777" w:rsidR="008A3983" w:rsidRPr="00942419" w:rsidRDefault="008A3983" w:rsidP="009277CA">
      <w:pPr>
        <w:pStyle w:val="EndnoteText"/>
        <w:ind w:left="284" w:hanging="284"/>
        <w:rPr>
          <w:rFonts w:cs="Arial"/>
        </w:rPr>
      </w:pPr>
      <w:r w:rsidRPr="00942419">
        <w:rPr>
          <w:rFonts w:cs="Arial"/>
          <w:vertAlign w:val="superscript"/>
        </w:rPr>
        <w:endnoteRef/>
      </w:r>
      <w:r w:rsidRPr="00942419">
        <w:rPr>
          <w:rFonts w:cs="Arial"/>
        </w:rPr>
        <w:t xml:space="preserve"> </w:t>
      </w:r>
      <w:r w:rsidRPr="00942419">
        <w:rPr>
          <w:rFonts w:cs="Arial"/>
        </w:rPr>
        <w:tab/>
      </w:r>
      <w:r w:rsidRPr="00942419">
        <w:rPr>
          <w:rFonts w:cs="Arial"/>
          <w:spacing w:val="-1"/>
        </w:rPr>
        <w:t>Office of the Australian Information Commissioner,</w:t>
      </w:r>
      <w:r w:rsidRPr="00942419">
        <w:rPr>
          <w:rFonts w:cs="Arial"/>
        </w:rPr>
        <w:t xml:space="preserve"> </w:t>
      </w:r>
      <w:r w:rsidRPr="00942419">
        <w:rPr>
          <w:rFonts w:cs="Arial"/>
          <w:i/>
          <w:spacing w:val="-1"/>
        </w:rPr>
        <w:t>Guidelines</w:t>
      </w:r>
      <w:r w:rsidRPr="00942419">
        <w:rPr>
          <w:rFonts w:cs="Arial"/>
          <w:i/>
        </w:rPr>
        <w:t xml:space="preserve"> </w:t>
      </w:r>
      <w:r w:rsidRPr="00942419">
        <w:rPr>
          <w:rFonts w:cs="Arial"/>
          <w:i/>
          <w:spacing w:val="-1"/>
        </w:rPr>
        <w:t xml:space="preserve">issued </w:t>
      </w:r>
      <w:r w:rsidRPr="00942419">
        <w:rPr>
          <w:rFonts w:cs="Arial"/>
          <w:i/>
        </w:rPr>
        <w:t>by</w:t>
      </w:r>
      <w:r w:rsidRPr="00942419">
        <w:rPr>
          <w:rFonts w:cs="Arial"/>
          <w:i/>
          <w:spacing w:val="-1"/>
        </w:rPr>
        <w:t xml:space="preserve"> </w:t>
      </w:r>
      <w:r w:rsidRPr="00942419">
        <w:rPr>
          <w:rFonts w:cs="Arial"/>
          <w:i/>
        </w:rPr>
        <w:t>the</w:t>
      </w:r>
      <w:r w:rsidRPr="00942419">
        <w:rPr>
          <w:rFonts w:cs="Arial"/>
          <w:i/>
          <w:spacing w:val="-1"/>
        </w:rPr>
        <w:t xml:space="preserve"> Australian</w:t>
      </w:r>
      <w:r w:rsidRPr="00942419">
        <w:rPr>
          <w:rFonts w:cs="Arial"/>
          <w:i/>
          <w:spacing w:val="39"/>
        </w:rPr>
        <w:t xml:space="preserve"> </w:t>
      </w:r>
      <w:r w:rsidRPr="00942419">
        <w:rPr>
          <w:rFonts w:cs="Arial"/>
          <w:i/>
          <w:spacing w:val="-1"/>
        </w:rPr>
        <w:t>Information Commissioner</w:t>
      </w:r>
      <w:r w:rsidRPr="00942419">
        <w:rPr>
          <w:rFonts w:cs="Arial"/>
          <w:i/>
          <w:spacing w:val="-2"/>
        </w:rPr>
        <w:t xml:space="preserve"> </w:t>
      </w:r>
      <w:r w:rsidRPr="00942419">
        <w:rPr>
          <w:rFonts w:cs="Arial"/>
          <w:i/>
          <w:spacing w:val="-1"/>
        </w:rPr>
        <w:t xml:space="preserve">under </w:t>
      </w:r>
      <w:r w:rsidRPr="00942419">
        <w:rPr>
          <w:rFonts w:cs="Arial"/>
          <w:i/>
        </w:rPr>
        <w:t>s</w:t>
      </w:r>
      <w:r w:rsidRPr="00942419">
        <w:rPr>
          <w:rFonts w:cs="Arial"/>
          <w:i/>
          <w:spacing w:val="-1"/>
        </w:rPr>
        <w:t xml:space="preserve"> </w:t>
      </w:r>
      <w:r w:rsidRPr="00942419">
        <w:rPr>
          <w:rFonts w:cs="Arial"/>
          <w:i/>
        </w:rPr>
        <w:t>93A</w:t>
      </w:r>
      <w:r w:rsidRPr="00942419">
        <w:rPr>
          <w:rFonts w:cs="Arial"/>
          <w:i/>
          <w:spacing w:val="-2"/>
        </w:rPr>
        <w:t xml:space="preserve"> </w:t>
      </w:r>
      <w:r w:rsidRPr="00942419">
        <w:rPr>
          <w:rFonts w:cs="Arial"/>
          <w:i/>
        </w:rPr>
        <w:t>of</w:t>
      </w:r>
      <w:r w:rsidRPr="00942419">
        <w:rPr>
          <w:rFonts w:cs="Arial"/>
          <w:i/>
          <w:spacing w:val="-1"/>
        </w:rPr>
        <w:t xml:space="preserve"> </w:t>
      </w:r>
      <w:r w:rsidRPr="00942419">
        <w:rPr>
          <w:rFonts w:cs="Arial"/>
          <w:i/>
        </w:rPr>
        <w:t>the</w:t>
      </w:r>
      <w:r w:rsidRPr="00942419">
        <w:rPr>
          <w:rFonts w:cs="Arial"/>
          <w:i/>
          <w:spacing w:val="-1"/>
        </w:rPr>
        <w:t xml:space="preserve"> Freedom</w:t>
      </w:r>
      <w:r w:rsidRPr="00942419">
        <w:rPr>
          <w:rFonts w:cs="Arial"/>
          <w:i/>
          <w:spacing w:val="-2"/>
        </w:rPr>
        <w:t xml:space="preserve"> </w:t>
      </w:r>
      <w:r w:rsidRPr="00942419">
        <w:rPr>
          <w:rFonts w:cs="Arial"/>
          <w:i/>
        </w:rPr>
        <w:t xml:space="preserve">of </w:t>
      </w:r>
      <w:r w:rsidRPr="00942419">
        <w:rPr>
          <w:rFonts w:cs="Arial"/>
          <w:i/>
          <w:spacing w:val="-1"/>
        </w:rPr>
        <w:t xml:space="preserve">Information </w:t>
      </w:r>
      <w:r w:rsidRPr="00942419">
        <w:rPr>
          <w:rFonts w:cs="Arial"/>
          <w:i/>
        </w:rPr>
        <w:t>Act</w:t>
      </w:r>
      <w:r w:rsidRPr="00942419">
        <w:rPr>
          <w:rFonts w:cs="Arial"/>
          <w:i/>
          <w:spacing w:val="-1"/>
        </w:rPr>
        <w:t xml:space="preserve"> </w:t>
      </w:r>
      <w:r w:rsidRPr="00942419">
        <w:rPr>
          <w:rFonts w:cs="Arial"/>
          <w:i/>
        </w:rPr>
        <w:t>1982,</w:t>
      </w:r>
      <w:r w:rsidRPr="00942419">
        <w:rPr>
          <w:rFonts w:cs="Arial"/>
        </w:rPr>
        <w:t xml:space="preserve"> [5.159]. </w:t>
      </w:r>
    </w:p>
  </w:endnote>
  <w:endnote w:id="70">
    <w:p w14:paraId="09A8E024" w14:textId="77777777" w:rsidR="008A3983" w:rsidRPr="00942419" w:rsidRDefault="008A3983" w:rsidP="009277CA">
      <w:pPr>
        <w:pStyle w:val="EndnoteText"/>
        <w:ind w:left="284" w:hanging="284"/>
        <w:rPr>
          <w:rFonts w:cs="Arial"/>
        </w:rPr>
      </w:pPr>
      <w:r w:rsidRPr="00942419">
        <w:rPr>
          <w:rFonts w:cs="Arial"/>
          <w:vertAlign w:val="superscript"/>
        </w:rPr>
        <w:endnoteRef/>
      </w:r>
      <w:r w:rsidRPr="00942419">
        <w:rPr>
          <w:rFonts w:cs="Arial"/>
        </w:rPr>
        <w:t xml:space="preserve"> </w:t>
      </w:r>
      <w:r w:rsidRPr="00942419">
        <w:rPr>
          <w:rFonts w:cs="Arial"/>
        </w:rPr>
        <w:tab/>
      </w:r>
      <w:r w:rsidRPr="00942419">
        <w:rPr>
          <w:rFonts w:cs="Arial"/>
          <w:shd w:val="clear" w:color="auto" w:fill="FFFFFF"/>
        </w:rPr>
        <w:t>Australian Law Reform Commission, </w:t>
      </w:r>
      <w:r w:rsidRPr="00942419">
        <w:rPr>
          <w:rFonts w:cs="Arial"/>
          <w:i/>
          <w:iCs/>
          <w:shd w:val="clear" w:color="auto" w:fill="FFFFFF"/>
        </w:rPr>
        <w:t>Secrecy Laws and Open Government in Australia,</w:t>
      </w:r>
      <w:r w:rsidRPr="00942419">
        <w:rPr>
          <w:rFonts w:cs="Arial"/>
          <w:iCs/>
          <w:shd w:val="clear" w:color="auto" w:fill="FFFFFF"/>
        </w:rPr>
        <w:t xml:space="preserve"> Report No 112 (2009), </w:t>
      </w:r>
      <w:r w:rsidRPr="00942419">
        <w:rPr>
          <w:rFonts w:cs="Arial"/>
        </w:rPr>
        <w:t xml:space="preserve">p 169. </w:t>
      </w:r>
    </w:p>
  </w:endnote>
  <w:endnote w:id="71">
    <w:p w14:paraId="2EAB7B8D" w14:textId="77777777" w:rsidR="008A3983" w:rsidRPr="00942419" w:rsidRDefault="008A3983" w:rsidP="009277CA">
      <w:pPr>
        <w:pStyle w:val="EndnoteText"/>
        <w:ind w:left="284" w:hanging="284"/>
        <w:rPr>
          <w:rFonts w:cs="Arial"/>
        </w:rPr>
      </w:pPr>
      <w:r w:rsidRPr="00942419">
        <w:rPr>
          <w:rFonts w:cs="Arial"/>
          <w:vertAlign w:val="superscript"/>
        </w:rPr>
        <w:endnoteRef/>
      </w:r>
      <w:r w:rsidRPr="00942419">
        <w:rPr>
          <w:rFonts w:cs="Arial"/>
        </w:rPr>
        <w:t xml:space="preserve"> </w:t>
      </w:r>
      <w:r w:rsidRPr="00942419">
        <w:rPr>
          <w:rFonts w:cs="Arial"/>
        </w:rPr>
        <w:tab/>
      </w:r>
      <w:r w:rsidRPr="00942419">
        <w:rPr>
          <w:rFonts w:cs="Arial"/>
          <w:shd w:val="clear" w:color="auto" w:fill="FFFFFF"/>
        </w:rPr>
        <w:t>Australian Law Reform Commission, </w:t>
      </w:r>
      <w:r w:rsidRPr="00942419">
        <w:rPr>
          <w:rFonts w:cs="Arial"/>
          <w:i/>
          <w:iCs/>
          <w:shd w:val="clear" w:color="auto" w:fill="FFFFFF"/>
        </w:rPr>
        <w:t>Secrecy Laws and Open Government in Australia,</w:t>
      </w:r>
      <w:r w:rsidRPr="00942419">
        <w:rPr>
          <w:rFonts w:cs="Arial"/>
          <w:iCs/>
          <w:shd w:val="clear" w:color="auto" w:fill="FFFFFF"/>
        </w:rPr>
        <w:t xml:space="preserve"> Report No 112 (2009), </w:t>
      </w:r>
      <w:r w:rsidRPr="00942419">
        <w:rPr>
          <w:rFonts w:cs="Arial"/>
        </w:rPr>
        <w:t>p 169.</w:t>
      </w:r>
    </w:p>
  </w:endnote>
  <w:endnote w:id="72">
    <w:p w14:paraId="03AFAC17" w14:textId="77777777" w:rsidR="008A3983" w:rsidRPr="00942419" w:rsidRDefault="008A3983" w:rsidP="009277CA">
      <w:pPr>
        <w:pStyle w:val="EndnoteText"/>
        <w:ind w:left="284" w:hanging="284"/>
        <w:rPr>
          <w:rFonts w:cs="Arial"/>
        </w:rPr>
      </w:pPr>
      <w:r w:rsidRPr="00942419">
        <w:rPr>
          <w:rFonts w:cs="Arial"/>
          <w:vertAlign w:val="superscript"/>
        </w:rPr>
        <w:endnoteRef/>
      </w:r>
      <w:r w:rsidRPr="00942419">
        <w:rPr>
          <w:rFonts w:cs="Arial"/>
        </w:rPr>
        <w:t xml:space="preserve"> </w:t>
      </w:r>
      <w:r w:rsidRPr="00942419">
        <w:rPr>
          <w:rFonts w:cs="Arial"/>
        </w:rPr>
        <w:tab/>
      </w:r>
      <w:r w:rsidRPr="00942419">
        <w:rPr>
          <w:rFonts w:cs="Arial"/>
          <w:shd w:val="clear" w:color="auto" w:fill="FFFFFF"/>
        </w:rPr>
        <w:t xml:space="preserve">Australian Law Reform Commission, </w:t>
      </w:r>
      <w:r w:rsidRPr="00942419">
        <w:rPr>
          <w:rFonts w:cs="Arial"/>
          <w:i/>
          <w:shd w:val="clear" w:color="auto" w:fill="FFFFFF"/>
        </w:rPr>
        <w:t>For Your Information: Australian Privacy Law and Practice</w:t>
      </w:r>
      <w:r w:rsidRPr="00942419">
        <w:rPr>
          <w:rFonts w:cs="Arial"/>
          <w:i/>
          <w:iCs/>
          <w:shd w:val="clear" w:color="auto" w:fill="FFFFFF"/>
        </w:rPr>
        <w:t>,</w:t>
      </w:r>
      <w:r w:rsidRPr="00942419">
        <w:rPr>
          <w:rFonts w:cs="Arial"/>
          <w:iCs/>
          <w:shd w:val="clear" w:color="auto" w:fill="FFFFFF"/>
        </w:rPr>
        <w:t xml:space="preserve"> Report No 108 (2006), p 565.</w:t>
      </w:r>
    </w:p>
  </w:endnote>
  <w:endnote w:id="73">
    <w:p w14:paraId="056995FF" w14:textId="77777777" w:rsidR="008A3983" w:rsidRPr="00942419" w:rsidRDefault="008A3983" w:rsidP="009277CA">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shd w:val="clear" w:color="auto" w:fill="FFFFFF"/>
        </w:rPr>
        <w:t xml:space="preserve">Australian Law Reform Commission, </w:t>
      </w:r>
      <w:r w:rsidRPr="00942419">
        <w:rPr>
          <w:rFonts w:cs="Arial"/>
          <w:i/>
          <w:shd w:val="clear" w:color="auto" w:fill="FFFFFF"/>
        </w:rPr>
        <w:t>For Your Information: Australian Privacy Law and Practice</w:t>
      </w:r>
      <w:r w:rsidRPr="00942419">
        <w:rPr>
          <w:rFonts w:cs="Arial"/>
          <w:i/>
          <w:iCs/>
          <w:shd w:val="clear" w:color="auto" w:fill="FFFFFF"/>
        </w:rPr>
        <w:t>,</w:t>
      </w:r>
      <w:r w:rsidRPr="00942419">
        <w:rPr>
          <w:rFonts w:cs="Arial"/>
          <w:iCs/>
          <w:shd w:val="clear" w:color="auto" w:fill="FFFFFF"/>
        </w:rPr>
        <w:t xml:space="preserve"> Report No 108 (2006), p 176. </w:t>
      </w:r>
    </w:p>
  </w:endnote>
  <w:endnote w:id="74">
    <w:p w14:paraId="5362DBC0" w14:textId="64CBED61" w:rsidR="008A3983" w:rsidRDefault="008A3983" w:rsidP="007173C3">
      <w:pPr>
        <w:pStyle w:val="EndnoteText"/>
        <w:ind w:left="284" w:hanging="284"/>
      </w:pPr>
      <w:r>
        <w:rPr>
          <w:rStyle w:val="EndnoteReference"/>
        </w:rPr>
        <w:endnoteRef/>
      </w:r>
      <w:r>
        <w:t xml:space="preserve"> </w:t>
      </w:r>
      <w:r>
        <w:tab/>
      </w:r>
      <w:r w:rsidRPr="00942419">
        <w:rPr>
          <w:rFonts w:cs="Arial"/>
          <w:shd w:val="clear" w:color="auto" w:fill="FFFFFF"/>
        </w:rPr>
        <w:t>Australian Law Reform Commission, </w:t>
      </w:r>
      <w:r w:rsidRPr="00942419">
        <w:rPr>
          <w:rFonts w:cs="Arial"/>
          <w:i/>
          <w:iCs/>
          <w:shd w:val="clear" w:color="auto" w:fill="FFFFFF"/>
        </w:rPr>
        <w:t>Secrecy Laws and Open Government in Australia,</w:t>
      </w:r>
      <w:r w:rsidRPr="00942419">
        <w:rPr>
          <w:rFonts w:cs="Arial"/>
          <w:iCs/>
          <w:shd w:val="clear" w:color="auto" w:fill="FFFFFF"/>
        </w:rPr>
        <w:t xml:space="preserve"> Report No 112 (2009),</w:t>
      </w:r>
      <w:r>
        <w:rPr>
          <w:rFonts w:cs="Arial"/>
          <w:iCs/>
          <w:shd w:val="clear" w:color="auto" w:fill="FFFFFF"/>
        </w:rPr>
        <w:t xml:space="preserve"> p 302. </w:t>
      </w:r>
    </w:p>
  </w:endnote>
  <w:endnote w:id="75">
    <w:p w14:paraId="3EAC0E7C" w14:textId="77777777" w:rsidR="008A3983" w:rsidRPr="00942419" w:rsidRDefault="008A3983" w:rsidP="009277CA">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shd w:val="clear" w:color="auto" w:fill="FFFFFF"/>
        </w:rPr>
        <w:t>Australian Law Reform Commission, </w:t>
      </w:r>
      <w:r w:rsidRPr="00942419">
        <w:rPr>
          <w:rFonts w:cs="Arial"/>
          <w:i/>
          <w:iCs/>
          <w:shd w:val="clear" w:color="auto" w:fill="FFFFFF"/>
        </w:rPr>
        <w:t>Secrecy Laws and Open Government in Australia,</w:t>
      </w:r>
      <w:r w:rsidRPr="00942419">
        <w:rPr>
          <w:rFonts w:cs="Arial"/>
          <w:iCs/>
          <w:shd w:val="clear" w:color="auto" w:fill="FFFFFF"/>
        </w:rPr>
        <w:t xml:space="preserve"> Report No 112 (2009), </w:t>
      </w:r>
      <w:r w:rsidRPr="00942419">
        <w:rPr>
          <w:rFonts w:cs="Arial"/>
        </w:rPr>
        <w:t>p 298.</w:t>
      </w:r>
    </w:p>
  </w:endnote>
  <w:endnote w:id="76">
    <w:p w14:paraId="69B48363" w14:textId="77777777" w:rsidR="008A3983" w:rsidRPr="00942419" w:rsidRDefault="008A3983" w:rsidP="009277CA">
      <w:pPr>
        <w:pStyle w:val="EndnoteText"/>
        <w:ind w:left="284" w:hanging="284"/>
        <w:rPr>
          <w:rFonts w:cs="Arial"/>
        </w:rPr>
      </w:pPr>
      <w:r w:rsidRPr="00942419">
        <w:rPr>
          <w:rFonts w:cs="Arial"/>
          <w:vertAlign w:val="superscript"/>
        </w:rPr>
        <w:endnoteRef/>
      </w:r>
      <w:r w:rsidRPr="00942419">
        <w:rPr>
          <w:rFonts w:cs="Arial"/>
        </w:rPr>
        <w:t xml:space="preserve"> </w:t>
      </w:r>
      <w:r w:rsidRPr="00942419">
        <w:rPr>
          <w:rFonts w:cs="Arial"/>
        </w:rPr>
        <w:tab/>
      </w:r>
      <w:r w:rsidRPr="00942419">
        <w:rPr>
          <w:rFonts w:cs="Arial"/>
          <w:shd w:val="clear" w:color="auto" w:fill="FFFFFF"/>
        </w:rPr>
        <w:t>Australian Law Reform Commission, </w:t>
      </w:r>
      <w:r w:rsidRPr="00942419">
        <w:rPr>
          <w:rFonts w:cs="Arial"/>
          <w:i/>
          <w:iCs/>
          <w:shd w:val="clear" w:color="auto" w:fill="FFFFFF"/>
        </w:rPr>
        <w:t>Secrecy Laws and Open Government in Australia,</w:t>
      </w:r>
      <w:r w:rsidRPr="00942419">
        <w:rPr>
          <w:rFonts w:cs="Arial"/>
          <w:iCs/>
          <w:shd w:val="clear" w:color="auto" w:fill="FFFFFF"/>
        </w:rPr>
        <w:t xml:space="preserve"> Report No 112 (2009), </w:t>
      </w:r>
      <w:r w:rsidRPr="00942419">
        <w:rPr>
          <w:rFonts w:cs="Arial"/>
        </w:rPr>
        <w:t xml:space="preserve">p 301. </w:t>
      </w:r>
    </w:p>
  </w:endnote>
  <w:endnote w:id="77">
    <w:p w14:paraId="4D214CB9" w14:textId="12831D70" w:rsidR="008A3983" w:rsidRPr="00942419" w:rsidRDefault="008A3983" w:rsidP="009277CA">
      <w:pPr>
        <w:pStyle w:val="EndnoteText"/>
        <w:ind w:left="284" w:hanging="284"/>
        <w:rPr>
          <w:rFonts w:cs="Arial"/>
        </w:rPr>
      </w:pPr>
      <w:r w:rsidRPr="00942419">
        <w:rPr>
          <w:rFonts w:cs="Arial"/>
          <w:vertAlign w:val="superscript"/>
        </w:rPr>
        <w:endnoteRef/>
      </w:r>
      <w:r w:rsidRPr="00942419">
        <w:rPr>
          <w:rFonts w:cs="Arial"/>
        </w:rPr>
        <w:t xml:space="preserve"> </w:t>
      </w:r>
      <w:r w:rsidRPr="00942419">
        <w:rPr>
          <w:rFonts w:cs="Arial"/>
        </w:rPr>
        <w:tab/>
      </w:r>
      <w:r w:rsidRPr="00942419">
        <w:rPr>
          <w:rFonts w:cs="Arial"/>
          <w:shd w:val="clear" w:color="auto" w:fill="FFFFFF"/>
        </w:rPr>
        <w:t>Australian Law Reform Commission, </w:t>
      </w:r>
      <w:r w:rsidRPr="00942419">
        <w:rPr>
          <w:rFonts w:cs="Arial"/>
          <w:i/>
          <w:iCs/>
          <w:shd w:val="clear" w:color="auto" w:fill="FFFFFF"/>
        </w:rPr>
        <w:t>Secrecy Laws and Open Government in Australia,</w:t>
      </w:r>
      <w:r w:rsidRPr="00942419">
        <w:rPr>
          <w:rFonts w:cs="Arial"/>
          <w:iCs/>
          <w:shd w:val="clear" w:color="auto" w:fill="FFFFFF"/>
        </w:rPr>
        <w:t xml:space="preserve"> Report No 112 (2009), </w:t>
      </w:r>
      <w:r w:rsidRPr="00942419">
        <w:rPr>
          <w:rFonts w:cs="Arial"/>
        </w:rPr>
        <w:t>p 301</w:t>
      </w:r>
      <w:r>
        <w:rPr>
          <w:rFonts w:cs="Arial"/>
        </w:rPr>
        <w:t>.</w:t>
      </w:r>
    </w:p>
  </w:endnote>
  <w:endnote w:id="78">
    <w:p w14:paraId="1189344B" w14:textId="3FD19787" w:rsidR="008A3983" w:rsidRPr="00942419" w:rsidRDefault="008A3983" w:rsidP="009277CA">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shd w:val="clear" w:color="auto" w:fill="FFFFFF"/>
        </w:rPr>
        <w:t>Australian Law Reform Commission, </w:t>
      </w:r>
      <w:r w:rsidRPr="00942419">
        <w:rPr>
          <w:rFonts w:cs="Arial"/>
          <w:i/>
          <w:iCs/>
          <w:shd w:val="clear" w:color="auto" w:fill="FFFFFF"/>
        </w:rPr>
        <w:t>Secrecy Laws and Open Government in Australia,</w:t>
      </w:r>
      <w:r w:rsidRPr="00942419">
        <w:rPr>
          <w:rFonts w:cs="Arial"/>
          <w:iCs/>
          <w:shd w:val="clear" w:color="auto" w:fill="FFFFFF"/>
        </w:rPr>
        <w:t xml:space="preserve"> Report No 112 (2009), </w:t>
      </w:r>
      <w:r w:rsidRPr="00942419">
        <w:rPr>
          <w:rFonts w:cs="Arial"/>
        </w:rPr>
        <w:t>p 302</w:t>
      </w:r>
      <w:r>
        <w:rPr>
          <w:rFonts w:cs="Arial"/>
        </w:rPr>
        <w:t>.</w:t>
      </w:r>
    </w:p>
  </w:endnote>
  <w:endnote w:id="79">
    <w:p w14:paraId="57A7E7FA" w14:textId="54E702DC" w:rsidR="008A3983" w:rsidRPr="00942419" w:rsidRDefault="008A3983" w:rsidP="009277CA">
      <w:pPr>
        <w:pStyle w:val="EndnoteText"/>
        <w:ind w:left="284" w:hanging="284"/>
        <w:rPr>
          <w:rFonts w:cs="Arial"/>
        </w:rPr>
      </w:pPr>
      <w:r w:rsidRPr="00942419">
        <w:rPr>
          <w:rStyle w:val="EndnoteReference"/>
          <w:rFonts w:cs="Arial"/>
        </w:rPr>
        <w:endnoteRef/>
      </w:r>
      <w:r w:rsidRPr="00942419">
        <w:rPr>
          <w:rFonts w:cs="Arial"/>
        </w:rPr>
        <w:t xml:space="preserve"> </w:t>
      </w:r>
      <w:r w:rsidRPr="00942419">
        <w:rPr>
          <w:rFonts w:cs="Arial"/>
        </w:rPr>
        <w:tab/>
      </w:r>
      <w:r w:rsidRPr="00942419">
        <w:rPr>
          <w:rFonts w:cs="Arial"/>
          <w:shd w:val="clear" w:color="auto" w:fill="FFFFFF"/>
        </w:rPr>
        <w:t>Australian Law Reform Commission, </w:t>
      </w:r>
      <w:r w:rsidRPr="00942419">
        <w:rPr>
          <w:rFonts w:cs="Arial"/>
          <w:i/>
          <w:iCs/>
          <w:shd w:val="clear" w:color="auto" w:fill="FFFFFF"/>
        </w:rPr>
        <w:t>Secrecy Laws and Open Government in Australia,</w:t>
      </w:r>
      <w:r w:rsidRPr="00942419">
        <w:rPr>
          <w:rFonts w:cs="Arial"/>
          <w:iCs/>
          <w:shd w:val="clear" w:color="auto" w:fill="FFFFFF"/>
        </w:rPr>
        <w:t xml:space="preserve"> Report No 112 (2009), </w:t>
      </w:r>
      <w:r>
        <w:rPr>
          <w:rFonts w:cs="Arial"/>
        </w:rPr>
        <w:t>p 302.</w:t>
      </w:r>
    </w:p>
  </w:endnote>
  <w:endnote w:id="80">
    <w:p w14:paraId="6D5DBDE1"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r>
      <w:r w:rsidRPr="00942419">
        <w:rPr>
          <w:rFonts w:cs="Arial"/>
          <w:lang w:val="en-US"/>
        </w:rPr>
        <w:t>Explanatory Memorandum, Australian Border Force Amendment (Protected Information) Bill 2017 (</w:t>
      </w:r>
      <w:proofErr w:type="spellStart"/>
      <w:r w:rsidRPr="00942419">
        <w:rPr>
          <w:rFonts w:cs="Arial"/>
          <w:lang w:val="en-US"/>
        </w:rPr>
        <w:t>Cth</w:t>
      </w:r>
      <w:proofErr w:type="spellEnd"/>
      <w:r w:rsidRPr="00942419">
        <w:rPr>
          <w:rFonts w:cs="Arial"/>
          <w:lang w:val="en-US"/>
        </w:rPr>
        <w:t xml:space="preserve">), p 13. </w:t>
      </w:r>
    </w:p>
  </w:endnote>
  <w:endnote w:id="81">
    <w:p w14:paraId="404A4C43" w14:textId="12D30F9E"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t xml:space="preserve">Proposed </w:t>
      </w:r>
      <w:proofErr w:type="spellStart"/>
      <w:r w:rsidRPr="00942419">
        <w:rPr>
          <w:rFonts w:cs="Arial"/>
        </w:rPr>
        <w:t>ss</w:t>
      </w:r>
      <w:proofErr w:type="spellEnd"/>
      <w:r w:rsidRPr="00942419">
        <w:rPr>
          <w:rFonts w:cs="Arial"/>
        </w:rPr>
        <w:t xml:space="preserve"> 4(5) and </w:t>
      </w:r>
      <w:r>
        <w:rPr>
          <w:rFonts w:cs="Arial"/>
        </w:rPr>
        <w:t>4</w:t>
      </w:r>
      <w:r w:rsidRPr="00942419">
        <w:rPr>
          <w:rFonts w:cs="Arial"/>
        </w:rPr>
        <w:t>(6), item</w:t>
      </w:r>
      <w:r w:rsidRPr="00942419">
        <w:rPr>
          <w:rFonts w:cs="Arial"/>
          <w:lang w:val="en-US"/>
        </w:rPr>
        <w:t xml:space="preserve"> </w:t>
      </w:r>
      <w:proofErr w:type="gramStart"/>
      <w:r w:rsidRPr="00942419">
        <w:rPr>
          <w:rFonts w:cs="Arial"/>
          <w:lang w:val="en-US"/>
        </w:rPr>
        <w:t>5</w:t>
      </w:r>
      <w:proofErr w:type="gramEnd"/>
      <w:r w:rsidRPr="00942419">
        <w:rPr>
          <w:rFonts w:cs="Arial"/>
          <w:lang w:val="en-US"/>
        </w:rPr>
        <w:t>, Australian Border Force Amendment (Protected Information) Bill 2017.</w:t>
      </w:r>
    </w:p>
  </w:endnote>
  <w:endnote w:id="82">
    <w:p w14:paraId="7D5C72FD"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t>Item</w:t>
      </w:r>
      <w:r w:rsidRPr="00942419">
        <w:rPr>
          <w:rFonts w:cs="Arial"/>
          <w:lang w:val="en-US"/>
        </w:rPr>
        <w:t xml:space="preserve"> 8, Australian Border Force Amendment (Protected Information) Bill 2017.</w:t>
      </w:r>
    </w:p>
  </w:endnote>
  <w:endnote w:id="83">
    <w:p w14:paraId="5EB44D25"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t xml:space="preserve">Australian Government, </w:t>
      </w:r>
      <w:r w:rsidRPr="00942419">
        <w:rPr>
          <w:rFonts w:cs="Arial"/>
          <w:i/>
        </w:rPr>
        <w:t>Information security management guidelines: Australian Government security classification system</w:t>
      </w:r>
      <w:r w:rsidRPr="00942419">
        <w:rPr>
          <w:rFonts w:cs="Arial"/>
        </w:rPr>
        <w:t xml:space="preserve">, version 2.2, amended April 2015. </w:t>
      </w:r>
    </w:p>
  </w:endnote>
  <w:endnote w:id="84">
    <w:p w14:paraId="46005A62"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t xml:space="preserve">Australian Government, </w:t>
      </w:r>
      <w:r w:rsidRPr="00942419">
        <w:rPr>
          <w:rFonts w:cs="Arial"/>
          <w:i/>
        </w:rPr>
        <w:t>Information security management guidelines: Australian Government security classification system</w:t>
      </w:r>
      <w:r w:rsidRPr="00942419">
        <w:rPr>
          <w:rFonts w:cs="Arial"/>
        </w:rPr>
        <w:t xml:space="preserve">, version 2.2, amended April 2015, p 8-9. </w:t>
      </w:r>
    </w:p>
  </w:endnote>
  <w:endnote w:id="85">
    <w:p w14:paraId="1698488E"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t xml:space="preserve">Australian Government, </w:t>
      </w:r>
      <w:r w:rsidRPr="00942419">
        <w:rPr>
          <w:rFonts w:cs="Arial"/>
          <w:i/>
        </w:rPr>
        <w:t>Information security management guidelines: Australian Government security classification system</w:t>
      </w:r>
      <w:r w:rsidRPr="00942419">
        <w:rPr>
          <w:rFonts w:cs="Arial"/>
        </w:rPr>
        <w:t>, version 2.2, amended April 2015, p 6.</w:t>
      </w:r>
    </w:p>
  </w:endnote>
  <w:endnote w:id="86">
    <w:p w14:paraId="6B243917"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t xml:space="preserve">Australian Government, </w:t>
      </w:r>
      <w:r w:rsidRPr="00942419">
        <w:rPr>
          <w:rFonts w:cs="Arial"/>
          <w:i/>
        </w:rPr>
        <w:t>Information security management guidelines: Australian Government security classification system</w:t>
      </w:r>
      <w:r w:rsidRPr="00942419">
        <w:rPr>
          <w:rFonts w:cs="Arial"/>
        </w:rPr>
        <w:t xml:space="preserve">, version 2.2, amended April 2015, p 8. </w:t>
      </w:r>
    </w:p>
  </w:endnote>
  <w:endnote w:id="87">
    <w:p w14:paraId="67AF0876"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t xml:space="preserve">Australian Government, </w:t>
      </w:r>
      <w:r w:rsidRPr="00942419">
        <w:rPr>
          <w:rFonts w:cs="Arial"/>
          <w:i/>
        </w:rPr>
        <w:t>Information security management guidelines: Australian Government security classification system</w:t>
      </w:r>
      <w:r w:rsidRPr="00942419">
        <w:rPr>
          <w:rFonts w:cs="Arial"/>
        </w:rPr>
        <w:t xml:space="preserve">, version 2.2, amended April 2015, p 9. </w:t>
      </w:r>
    </w:p>
  </w:endnote>
  <w:endnote w:id="88">
    <w:p w14:paraId="40E4804B"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t xml:space="preserve">Australian Government, </w:t>
      </w:r>
      <w:r w:rsidRPr="00942419">
        <w:rPr>
          <w:rFonts w:cs="Arial"/>
          <w:i/>
        </w:rPr>
        <w:t>Information security management guidelines: Australian Government security classification system</w:t>
      </w:r>
      <w:r w:rsidRPr="00942419">
        <w:rPr>
          <w:rFonts w:cs="Arial"/>
        </w:rPr>
        <w:t xml:space="preserve">, version 2.2, amended April 2015, p 8. </w:t>
      </w:r>
    </w:p>
    <w:p w14:paraId="191A8687"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t xml:space="preserve">Australian Government, </w:t>
      </w:r>
      <w:r w:rsidRPr="00942419">
        <w:rPr>
          <w:rFonts w:cs="Arial"/>
          <w:i/>
        </w:rPr>
        <w:t>Information security management guidelines: Australian Government security classification system</w:t>
      </w:r>
      <w:r w:rsidRPr="00942419">
        <w:rPr>
          <w:rFonts w:cs="Arial"/>
        </w:rPr>
        <w:t>, version 2.2, amended April 2015, p 9.</w:t>
      </w:r>
    </w:p>
  </w:endnote>
  <w:endnote w:id="89">
    <w:p w14:paraId="29A7B53F" w14:textId="77777777" w:rsidR="008A3983" w:rsidRPr="00942419" w:rsidRDefault="008A3983" w:rsidP="00ED64AC">
      <w:pPr>
        <w:pStyle w:val="EndnoteText"/>
        <w:ind w:left="284" w:hanging="284"/>
        <w:rPr>
          <w:rFonts w:cs="Arial"/>
          <w:lang w:val="en-US"/>
        </w:rPr>
      </w:pPr>
      <w:r w:rsidRPr="00942419">
        <w:rPr>
          <w:rStyle w:val="EndnoteReference"/>
          <w:rFonts w:cs="Arial"/>
        </w:rPr>
        <w:endnoteRef/>
      </w:r>
      <w:r w:rsidRPr="00942419">
        <w:rPr>
          <w:rFonts w:cs="Arial"/>
        </w:rPr>
        <w:t xml:space="preserve"> </w:t>
      </w:r>
      <w:r w:rsidRPr="00942419">
        <w:rPr>
          <w:rFonts w:cs="Arial"/>
        </w:rPr>
        <w:tab/>
        <w:t xml:space="preserve">Australian Government, </w:t>
      </w:r>
      <w:r w:rsidRPr="00942419">
        <w:rPr>
          <w:rFonts w:cs="Arial"/>
          <w:i/>
        </w:rPr>
        <w:t>Information security management guidelines: Australian Government security classification system</w:t>
      </w:r>
      <w:r w:rsidRPr="00942419">
        <w:rPr>
          <w:rFonts w:cs="Arial"/>
        </w:rPr>
        <w:t>, version 2.2, amended April 2015, p 9.</w:t>
      </w:r>
    </w:p>
  </w:endnote>
  <w:endnote w:id="90">
    <w:p w14:paraId="68C612E7" w14:textId="0DABF116" w:rsidR="008A3983" w:rsidRDefault="008A3983" w:rsidP="00AA663C">
      <w:pPr>
        <w:pStyle w:val="EndnoteText"/>
        <w:ind w:left="284" w:hanging="284"/>
      </w:pPr>
      <w:r>
        <w:rPr>
          <w:rStyle w:val="EndnoteReference"/>
        </w:rPr>
        <w:endnoteRef/>
      </w:r>
      <w:r>
        <w:t xml:space="preserve"> </w:t>
      </w:r>
      <w:r>
        <w:tab/>
      </w:r>
      <w:r w:rsidRPr="00942419">
        <w:rPr>
          <w:rFonts w:cs="Arial"/>
        </w:rPr>
        <w:t xml:space="preserve">Australian Government, </w:t>
      </w:r>
      <w:r w:rsidRPr="00942419">
        <w:rPr>
          <w:rFonts w:cs="Arial"/>
          <w:i/>
        </w:rPr>
        <w:t>Information security management guidelines: Australian Government security classification system</w:t>
      </w:r>
      <w:r w:rsidRPr="00942419">
        <w:rPr>
          <w:rFonts w:cs="Arial"/>
        </w:rPr>
        <w:t>, version 2.2, amended April 2015</w:t>
      </w:r>
      <w:r>
        <w:rPr>
          <w:rFonts w:cs="Arial"/>
        </w:rPr>
        <w:t xml:space="preserve">, p 5.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F6EA6" w14:textId="77777777" w:rsidR="008A3983" w:rsidRPr="0090165F" w:rsidRDefault="008A3983"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3A88C" w14:textId="77777777" w:rsidR="008A3983" w:rsidRPr="004A187B" w:rsidRDefault="008A3983" w:rsidP="008B23BC">
    <w:pPr>
      <w:pStyle w:val="Footer"/>
    </w:pPr>
    <w:r>
      <w:rPr>
        <w:noProof/>
      </w:rPr>
      <mc:AlternateContent>
        <mc:Choice Requires="wps">
          <w:drawing>
            <wp:anchor distT="0" distB="0" distL="114300" distR="114300" simplePos="0" relativeHeight="251665408" behindDoc="0" locked="0" layoutInCell="1" allowOverlap="1" wp14:anchorId="142C4A08" wp14:editId="0220D653">
              <wp:simplePos x="0" y="0"/>
              <wp:positionH relativeFrom="column">
                <wp:posOffset>-548005</wp:posOffset>
              </wp:positionH>
              <wp:positionV relativeFrom="paragraph">
                <wp:posOffset>-1305560</wp:posOffset>
              </wp:positionV>
              <wp:extent cx="6071235" cy="971550"/>
              <wp:effectExtent l="0" t="0" r="571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71550"/>
                      </a:xfrm>
                      <a:prstGeom prst="rect">
                        <a:avLst/>
                      </a:prstGeom>
                      <a:noFill/>
                      <a:ln w="6350">
                        <a:noFill/>
                      </a:ln>
                      <a:effectLst/>
                    </wps:spPr>
                    <wps:txbx>
                      <w:txbxContent>
                        <w:p w14:paraId="7B786677" w14:textId="77777777" w:rsidR="008A3983" w:rsidRPr="0003606D" w:rsidRDefault="008A3983" w:rsidP="0003606D">
                          <w:pPr>
                            <w:pStyle w:val="coveraddresses"/>
                          </w:pPr>
                          <w:r w:rsidRPr="0003606D">
                            <w:t>ABN 47 996 232 602</w:t>
                          </w:r>
                        </w:p>
                        <w:p w14:paraId="54FFE60E" w14:textId="77777777" w:rsidR="008A3983" w:rsidRPr="0003606D" w:rsidRDefault="008A3983" w:rsidP="0003606D">
                          <w:pPr>
                            <w:pStyle w:val="coveraddresses"/>
                          </w:pPr>
                          <w:r w:rsidRPr="0003606D">
                            <w:t xml:space="preserve">Level </w:t>
                          </w:r>
                          <w:proofErr w:type="gramStart"/>
                          <w:r w:rsidRPr="0003606D">
                            <w:t>3</w:t>
                          </w:r>
                          <w:proofErr w:type="gramEnd"/>
                          <w:r w:rsidRPr="0003606D">
                            <w:t>, 175 Pitt Street, Sydney NSW 2000</w:t>
                          </w:r>
                        </w:p>
                        <w:p w14:paraId="7829869E" w14:textId="77777777" w:rsidR="008A3983" w:rsidRPr="0003606D" w:rsidRDefault="008A3983" w:rsidP="0003606D">
                          <w:pPr>
                            <w:pStyle w:val="coveraddresses"/>
                          </w:pPr>
                          <w:r w:rsidRPr="0003606D">
                            <w:t>GPO Box 5218, Sydney NSW 2001</w:t>
                          </w:r>
                        </w:p>
                        <w:p w14:paraId="6C1E4BF0" w14:textId="77777777" w:rsidR="008A3983" w:rsidRPr="0003606D" w:rsidRDefault="008A3983" w:rsidP="0003606D">
                          <w:pPr>
                            <w:pStyle w:val="coveraddresses"/>
                          </w:pPr>
                          <w:r w:rsidRPr="0003606D">
                            <w:t>General enquiries 1300 369 711</w:t>
                          </w:r>
                        </w:p>
                        <w:p w14:paraId="61542FCB" w14:textId="77777777" w:rsidR="008A3983" w:rsidRPr="0003606D" w:rsidRDefault="008A3983" w:rsidP="0003606D">
                          <w:pPr>
                            <w:pStyle w:val="coveraddresses"/>
                          </w:pPr>
                          <w:r w:rsidRPr="0003606D">
                            <w:t>Complaints info line 1300 656 419</w:t>
                          </w:r>
                        </w:p>
                        <w:p w14:paraId="75BA7774" w14:textId="77777777" w:rsidR="008A3983" w:rsidRPr="0003606D" w:rsidRDefault="008A3983" w:rsidP="0003606D">
                          <w:pPr>
                            <w:pStyle w:val="coveraddresses"/>
                          </w:pPr>
                          <w:r w:rsidRPr="0003606D">
                            <w:t>TTY 1800 620 241</w:t>
                          </w:r>
                        </w:p>
                        <w:p w14:paraId="0D858EE3" w14:textId="77777777" w:rsidR="008A3983" w:rsidRPr="00B63D24" w:rsidRDefault="008A3983"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C4A08" id="_x0000_t202" coordsize="21600,21600" o:spt="202" path="m,l,21600r21600,l21600,xe">
              <v:stroke joinstyle="miter"/>
              <v:path gradientshapeok="t" o:connecttype="rect"/>
            </v:shapetype>
            <v:shape id="Text Box 9" o:spid="_x0000_s1029" type="#_x0000_t202" style="position:absolute;margin-left:-43.15pt;margin-top:-102.8pt;width:478.0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" filled="f" stroked="f" strokeweight=".5pt">
              <v:path arrowok="t"/>
              <v:textbox inset="0,0,0,0">
                <w:txbxContent>
                  <w:p w14:paraId="7B786677" w14:textId="77777777" w:rsidR="008A3983" w:rsidRPr="0003606D" w:rsidRDefault="008A3983" w:rsidP="0003606D">
                    <w:pPr>
                      <w:pStyle w:val="coveraddresses"/>
                    </w:pPr>
                    <w:r w:rsidRPr="0003606D">
                      <w:t>ABN 47 996 232 602</w:t>
                    </w:r>
                  </w:p>
                  <w:p w14:paraId="54FFE60E" w14:textId="77777777" w:rsidR="008A3983" w:rsidRPr="0003606D" w:rsidRDefault="008A3983" w:rsidP="0003606D">
                    <w:pPr>
                      <w:pStyle w:val="coveraddresses"/>
                    </w:pPr>
                    <w:r w:rsidRPr="0003606D">
                      <w:t>Level 3, 175 Pitt Street, Sydney NSW 2000</w:t>
                    </w:r>
                  </w:p>
                  <w:p w14:paraId="7829869E" w14:textId="77777777" w:rsidR="008A3983" w:rsidRPr="0003606D" w:rsidRDefault="008A3983" w:rsidP="0003606D">
                    <w:pPr>
                      <w:pStyle w:val="coveraddresses"/>
                    </w:pPr>
                    <w:r w:rsidRPr="0003606D">
                      <w:t>GPO Box 5218, Sydney NSW 2001</w:t>
                    </w:r>
                  </w:p>
                  <w:p w14:paraId="6C1E4BF0" w14:textId="77777777" w:rsidR="008A3983" w:rsidRPr="0003606D" w:rsidRDefault="008A3983" w:rsidP="0003606D">
                    <w:pPr>
                      <w:pStyle w:val="coveraddresses"/>
                    </w:pPr>
                    <w:r w:rsidRPr="0003606D">
                      <w:t>General enquiries 1300 369 711</w:t>
                    </w:r>
                  </w:p>
                  <w:p w14:paraId="61542FCB" w14:textId="77777777" w:rsidR="008A3983" w:rsidRPr="0003606D" w:rsidRDefault="008A3983" w:rsidP="0003606D">
                    <w:pPr>
                      <w:pStyle w:val="coveraddresses"/>
                    </w:pPr>
                    <w:r w:rsidRPr="0003606D">
                      <w:t>Complaints info line 1300 656 419</w:t>
                    </w:r>
                  </w:p>
                  <w:p w14:paraId="75BA7774" w14:textId="77777777" w:rsidR="008A3983" w:rsidRPr="0003606D" w:rsidRDefault="008A3983" w:rsidP="0003606D">
                    <w:pPr>
                      <w:pStyle w:val="coveraddresses"/>
                    </w:pPr>
                    <w:r w:rsidRPr="0003606D">
                      <w:t>TTY 1800 620 241</w:t>
                    </w:r>
                  </w:p>
                  <w:p w14:paraId="0D858EE3" w14:textId="77777777" w:rsidR="008A3983" w:rsidRPr="00B63D24" w:rsidRDefault="008A3983"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44B2" w14:textId="7973BCB5" w:rsidR="008A3983" w:rsidRPr="0090165F" w:rsidRDefault="008A3983"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313027">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E1A19" w14:textId="77777777" w:rsidR="008A3983" w:rsidRDefault="008A3983" w:rsidP="00F14C6D">
      <w:r>
        <w:separator/>
      </w:r>
    </w:p>
  </w:footnote>
  <w:footnote w:type="continuationSeparator" w:id="0">
    <w:p w14:paraId="7D7A966E" w14:textId="77777777" w:rsidR="008A3983" w:rsidRDefault="008A3983"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1A01C" w14:textId="77777777" w:rsidR="008A3983" w:rsidRDefault="00313027">
    <w:pPr>
      <w:pStyle w:val="Header"/>
    </w:pPr>
    <w:r>
      <w:rPr>
        <w:noProof/>
      </w:rPr>
      <w:pict w14:anchorId="75872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E0E02" w14:textId="77777777" w:rsidR="008A3983" w:rsidRPr="00D27262" w:rsidRDefault="00313027" w:rsidP="002B1B65">
    <w:pPr>
      <w:spacing w:before="0" w:after="0"/>
      <w:jc w:val="right"/>
      <w:rPr>
        <w:sz w:val="22"/>
        <w:szCs w:val="22"/>
      </w:rPr>
    </w:pPr>
    <w:r>
      <w:rPr>
        <w:noProof/>
        <w:sz w:val="22"/>
        <w:szCs w:val="22"/>
      </w:rPr>
      <w:pict w14:anchorId="5D69C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8A3983" w:rsidRPr="00D27262">
      <w:rPr>
        <w:sz w:val="22"/>
        <w:szCs w:val="22"/>
      </w:rPr>
      <w:t>Au</w:t>
    </w:r>
    <w:r w:rsidR="008A3983">
      <w:rPr>
        <w:sz w:val="22"/>
        <w:szCs w:val="22"/>
      </w:rPr>
      <w:t>stralian Human Rights Commission</w:t>
    </w:r>
  </w:p>
  <w:p w14:paraId="660C4C60" w14:textId="77777777" w:rsidR="008A3983" w:rsidRDefault="008A3983"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8A3983" w:rsidRPr="00B85DD4" w14:paraId="5799CE3C" w14:textId="77777777" w:rsidTr="00165E3C">
      <w:trPr>
        <w:trHeight w:val="1276"/>
      </w:trPr>
      <w:tc>
        <w:tcPr>
          <w:tcW w:w="1508" w:type="dxa"/>
        </w:tcPr>
        <w:p w14:paraId="45E1A666" w14:textId="77777777" w:rsidR="008A3983" w:rsidRPr="00B85DD4" w:rsidRDefault="008A3983" w:rsidP="00B520BC">
          <w:pPr>
            <w:pStyle w:val="Header"/>
            <w:tabs>
              <w:tab w:val="left" w:pos="4686"/>
              <w:tab w:val="left" w:pos="7088"/>
              <w:tab w:val="left" w:pos="7242"/>
            </w:tabs>
            <w:ind w:left="-108"/>
            <w:rPr>
              <w:rFonts w:cs="ArialMT"/>
              <w:b/>
              <w:spacing w:val="-20"/>
            </w:rPr>
          </w:pPr>
        </w:p>
      </w:tc>
      <w:tc>
        <w:tcPr>
          <w:tcW w:w="2688" w:type="dxa"/>
          <w:vAlign w:val="center"/>
        </w:tcPr>
        <w:p w14:paraId="7CB974B6" w14:textId="77777777" w:rsidR="008A3983" w:rsidRPr="00B85DD4" w:rsidRDefault="008A3983" w:rsidP="002B1B65">
          <w:pPr>
            <w:spacing w:before="0" w:after="0"/>
            <w:rPr>
              <w:rFonts w:cs="ArialMT"/>
              <w:i/>
              <w:color w:val="808080"/>
              <w:sz w:val="17"/>
            </w:rPr>
          </w:pPr>
        </w:p>
      </w:tc>
      <w:tc>
        <w:tcPr>
          <w:tcW w:w="2302" w:type="dxa"/>
        </w:tcPr>
        <w:p w14:paraId="71BF6C44" w14:textId="77777777" w:rsidR="008A3983" w:rsidRPr="00B85DD4" w:rsidRDefault="008A3983" w:rsidP="00B520BC">
          <w:pPr>
            <w:pStyle w:val="HeaderFooter"/>
            <w:rPr>
              <w:b/>
              <w:spacing w:val="-20"/>
              <w:sz w:val="40"/>
            </w:rPr>
          </w:pPr>
        </w:p>
      </w:tc>
      <w:tc>
        <w:tcPr>
          <w:tcW w:w="2130" w:type="dxa"/>
        </w:tcPr>
        <w:p w14:paraId="57A95A2C" w14:textId="77777777" w:rsidR="008A3983" w:rsidRPr="00B85DD4" w:rsidRDefault="008A3983" w:rsidP="00B520BC">
          <w:pPr>
            <w:pStyle w:val="HeaderFooter"/>
            <w:rPr>
              <w:b/>
              <w:spacing w:val="-20"/>
              <w:sz w:val="40"/>
            </w:rPr>
          </w:pPr>
        </w:p>
      </w:tc>
      <w:tc>
        <w:tcPr>
          <w:tcW w:w="1721" w:type="dxa"/>
        </w:tcPr>
        <w:p w14:paraId="16F5325D" w14:textId="77777777" w:rsidR="008A3983" w:rsidRPr="00B85DD4" w:rsidRDefault="008A3983" w:rsidP="00B520BC">
          <w:pPr>
            <w:pStyle w:val="HeaderFooter"/>
            <w:spacing w:before="227" w:after="340"/>
            <w:rPr>
              <w:b/>
              <w:spacing w:val="-20"/>
              <w:sz w:val="40"/>
            </w:rPr>
          </w:pPr>
        </w:p>
      </w:tc>
    </w:tr>
  </w:tbl>
  <w:p w14:paraId="4289B355" w14:textId="77777777" w:rsidR="008A3983" w:rsidRDefault="00313027">
    <w:pPr>
      <w:pStyle w:val="Header"/>
    </w:pPr>
    <w:r>
      <w:rPr>
        <w:rFonts w:cs="ArialMT"/>
        <w:b/>
        <w:noProof/>
        <w:spacing w:val="-20"/>
      </w:rPr>
      <w:pict w14:anchorId="3E747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795D1" w14:textId="77777777" w:rsidR="008A3983" w:rsidRDefault="00313027">
    <w:pPr>
      <w:pStyle w:val="Header"/>
    </w:pPr>
    <w:r>
      <w:rPr>
        <w:noProof/>
      </w:rPr>
      <w:pict w14:anchorId="40CAD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458C6" w14:textId="77777777" w:rsidR="008A3983" w:rsidRPr="00D27262" w:rsidRDefault="008A3983" w:rsidP="00B34946">
    <w:pPr>
      <w:spacing w:before="0" w:after="60"/>
      <w:jc w:val="right"/>
      <w:rPr>
        <w:sz w:val="22"/>
        <w:szCs w:val="22"/>
      </w:rPr>
    </w:pPr>
    <w:r w:rsidRPr="00D27262">
      <w:rPr>
        <w:sz w:val="22"/>
        <w:szCs w:val="22"/>
      </w:rPr>
      <w:t>Au</w:t>
    </w:r>
    <w:r>
      <w:rPr>
        <w:sz w:val="22"/>
        <w:szCs w:val="22"/>
      </w:rPr>
      <w:t>stralian Human Rights Commission</w:t>
    </w:r>
  </w:p>
  <w:p w14:paraId="6F3E78F9" w14:textId="77777777" w:rsidR="008A3983" w:rsidRPr="00D729AD" w:rsidRDefault="008A3983" w:rsidP="002F4CE1">
    <w:pPr>
      <w:pStyle w:val="Footer"/>
      <w:spacing w:after="240"/>
      <w:jc w:val="right"/>
      <w:rPr>
        <w:i/>
        <w:szCs w:val="18"/>
      </w:rPr>
    </w:pPr>
    <w:r>
      <w:rPr>
        <w:b/>
        <w:i/>
        <w:szCs w:val="18"/>
      </w:rPr>
      <w:t>Australian Border Force Amendment (Protected Information) Bill 2017</w:t>
    </w:r>
    <w:r w:rsidRPr="00D729AD">
      <w:rPr>
        <w:i/>
        <w:szCs w:val="18"/>
      </w:rPr>
      <w:t xml:space="preserve">, </w:t>
    </w:r>
    <w:r>
      <w:rPr>
        <w:i/>
        <w:szCs w:val="18"/>
      </w:rPr>
      <w:t>Senate i</w:t>
    </w:r>
    <w:r w:rsidRPr="00D729AD">
      <w:rPr>
        <w:i/>
        <w:szCs w:val="18"/>
      </w:rPr>
      <w:t>nquiry</w:t>
    </w:r>
    <w:r>
      <w:rPr>
        <w:i/>
        <w:szCs w:val="18"/>
      </w:rPr>
      <w:t xml:space="preserve"> – </w:t>
    </w:r>
    <w:r w:rsidRPr="00F53559">
      <w:rPr>
        <w:i/>
        <w:szCs w:val="18"/>
      </w:rPr>
      <w:t>September</w:t>
    </w:r>
    <w:r>
      <w:rPr>
        <w:i/>
        <w:szCs w:val="18"/>
      </w:rPr>
      <w:t xml:space="preserve"> 2017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8A3983" w:rsidRPr="00B85DD4" w14:paraId="628B6746" w14:textId="77777777" w:rsidTr="002B1B65">
      <w:trPr>
        <w:trHeight w:val="1603"/>
      </w:trPr>
      <w:tc>
        <w:tcPr>
          <w:tcW w:w="1508" w:type="dxa"/>
        </w:tcPr>
        <w:p w14:paraId="5E6A3BD8" w14:textId="77777777" w:rsidR="008A3983" w:rsidRPr="00B85DD4" w:rsidRDefault="008A3983"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3FC92B7C" wp14:editId="2396123C">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2C86B685" w14:textId="77777777" w:rsidR="008A3983" w:rsidRPr="00D36BB2" w:rsidRDefault="008A3983" w:rsidP="002B1B65">
          <w:pPr>
            <w:pStyle w:val="LogoType"/>
            <w:pBdr>
              <w:bottom w:val="single" w:sz="4" w:space="1" w:color="808080"/>
            </w:pBdr>
            <w:spacing w:line="240" w:lineRule="auto"/>
          </w:pPr>
          <w:r w:rsidRPr="00D36BB2">
            <w:t>Australian</w:t>
          </w:r>
        </w:p>
        <w:p w14:paraId="4714D91E" w14:textId="77777777" w:rsidR="008A3983" w:rsidRPr="00D36BB2" w:rsidRDefault="008A3983" w:rsidP="002B1B65">
          <w:pPr>
            <w:pStyle w:val="LogoType"/>
            <w:pBdr>
              <w:bottom w:val="single" w:sz="4" w:space="1" w:color="808080"/>
            </w:pBdr>
            <w:spacing w:line="240" w:lineRule="auto"/>
          </w:pPr>
          <w:r w:rsidRPr="00D36BB2">
            <w:t>Human Rights</w:t>
          </w:r>
        </w:p>
        <w:p w14:paraId="05DA34B6" w14:textId="77777777" w:rsidR="008A3983" w:rsidRPr="00D36BB2" w:rsidRDefault="008A3983" w:rsidP="002B1B65">
          <w:pPr>
            <w:pStyle w:val="LogoType"/>
            <w:pBdr>
              <w:bottom w:val="single" w:sz="4" w:space="1" w:color="808080"/>
            </w:pBdr>
            <w:spacing w:line="240" w:lineRule="auto"/>
          </w:pPr>
          <w:r w:rsidRPr="00D36BB2">
            <w:t>Commission</w:t>
          </w:r>
        </w:p>
        <w:p w14:paraId="1F24D14F" w14:textId="77777777" w:rsidR="008A3983" w:rsidRPr="00B85DD4" w:rsidRDefault="008A3983"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627E7719" w14:textId="77777777" w:rsidR="008A3983" w:rsidRPr="00B85DD4" w:rsidRDefault="008A3983" w:rsidP="00B520BC">
          <w:pPr>
            <w:pStyle w:val="HeaderFooter"/>
            <w:rPr>
              <w:b/>
              <w:spacing w:val="-20"/>
              <w:sz w:val="40"/>
            </w:rPr>
          </w:pPr>
        </w:p>
      </w:tc>
      <w:tc>
        <w:tcPr>
          <w:tcW w:w="2130" w:type="dxa"/>
        </w:tcPr>
        <w:p w14:paraId="28ABEB27" w14:textId="77777777" w:rsidR="008A3983" w:rsidRPr="00B85DD4" w:rsidRDefault="008A3983" w:rsidP="00B520BC">
          <w:pPr>
            <w:pStyle w:val="HeaderFooter"/>
            <w:rPr>
              <w:b/>
              <w:spacing w:val="-20"/>
              <w:sz w:val="40"/>
            </w:rPr>
          </w:pPr>
        </w:p>
      </w:tc>
      <w:tc>
        <w:tcPr>
          <w:tcW w:w="1721" w:type="dxa"/>
        </w:tcPr>
        <w:p w14:paraId="6668EE50" w14:textId="77777777" w:rsidR="008A3983" w:rsidRPr="00B85DD4" w:rsidRDefault="008A3983" w:rsidP="00B520BC">
          <w:pPr>
            <w:pStyle w:val="HeaderFooter"/>
            <w:spacing w:before="227" w:after="340"/>
            <w:rPr>
              <w:b/>
              <w:spacing w:val="-20"/>
              <w:sz w:val="40"/>
            </w:rPr>
          </w:pPr>
        </w:p>
      </w:tc>
    </w:tr>
  </w:tbl>
  <w:p w14:paraId="1905DE12" w14:textId="77777777" w:rsidR="008A3983" w:rsidRDefault="00313027">
    <w:pPr>
      <w:pStyle w:val="Header"/>
    </w:pPr>
    <w:r>
      <w:rPr>
        <w:rFonts w:cs="ArialMT"/>
        <w:b/>
        <w:noProof/>
        <w:spacing w:val="-20"/>
      </w:rPr>
      <w:pict w14:anchorId="4F464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F0E41"/>
    <w:multiLevelType w:val="hybridMultilevel"/>
    <w:tmpl w:val="FFBEC416"/>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4876DE5"/>
    <w:multiLevelType w:val="hybridMultilevel"/>
    <w:tmpl w:val="F10E36C2"/>
    <w:lvl w:ilvl="0" w:tplc="D60C04C2">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C090017">
      <w:start w:val="1"/>
      <w:numFmt w:val="lowerLetter"/>
      <w:lvlText w:val="%2)"/>
      <w:lvlJc w:val="left"/>
      <w:pPr>
        <w:ind w:left="1440" w:hanging="720"/>
      </w:pPr>
      <w:rPr>
        <w:caps w:val="0"/>
        <w:smallCaps w:val="0"/>
        <w:strike w:val="0"/>
        <w:dstrike w:val="0"/>
        <w:outline w:val="0"/>
        <w:emboss w:val="0"/>
        <w:imprint w:val="0"/>
        <w:color w:val="000000"/>
        <w:spacing w:val="0"/>
        <w:w w:val="100"/>
        <w:kern w:val="0"/>
        <w:position w:val="0"/>
        <w:highlight w:val="none"/>
        <w:vertAlign w:val="baseline"/>
      </w:rPr>
    </w:lvl>
    <w:lvl w:ilvl="2" w:tplc="6F605334">
      <w:start w:val="1"/>
      <w:numFmt w:val="decimal"/>
      <w:lvlText w:val="%3."/>
      <w:lvlJc w:val="left"/>
      <w:pPr>
        <w:ind w:left="2160" w:hanging="654"/>
      </w:pPr>
      <w:rPr>
        <w:rFonts w:hint="default"/>
        <w:caps w:val="0"/>
        <w:smallCaps w:val="0"/>
        <w:strike w:val="0"/>
        <w:dstrike w:val="0"/>
        <w:outline w:val="0"/>
        <w:emboss w:val="0"/>
        <w:imprint w:val="0"/>
        <w:color w:val="auto"/>
        <w:spacing w:val="0"/>
        <w:w w:val="100"/>
        <w:kern w:val="0"/>
        <w:position w:val="0"/>
        <w:sz w:val="24"/>
        <w:szCs w:val="24"/>
        <w:highlight w:val="none"/>
        <w:vertAlign w:val="baseline"/>
      </w:rPr>
    </w:lvl>
    <w:lvl w:ilvl="3" w:tplc="30AE0F12">
      <w:start w:val="1"/>
      <w:numFmt w:val="decimal"/>
      <w:lvlText w:val="%4."/>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380FF8">
      <w:start w:val="1"/>
      <w:numFmt w:val="lowerLetter"/>
      <w:lvlText w:val="%5."/>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B4C7D70">
      <w:start w:val="1"/>
      <w:numFmt w:val="lowerRoman"/>
      <w:lvlText w:val="%6."/>
      <w:lvlJc w:val="left"/>
      <w:pPr>
        <w:ind w:left="4320"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F62F110">
      <w:start w:val="1"/>
      <w:numFmt w:val="decimal"/>
      <w:lvlText w:val="%7."/>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CD2EFC8">
      <w:start w:val="1"/>
      <w:numFmt w:val="lowerLetter"/>
      <w:lvlText w:val="%8."/>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8FCC862">
      <w:start w:val="1"/>
      <w:numFmt w:val="lowerRoman"/>
      <w:lvlText w:val="%9."/>
      <w:lvlJc w:val="left"/>
      <w:pPr>
        <w:ind w:left="6480"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06E351AF"/>
    <w:multiLevelType w:val="hybridMultilevel"/>
    <w:tmpl w:val="BFE092F6"/>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0AB21204"/>
    <w:multiLevelType w:val="multilevel"/>
    <w:tmpl w:val="6B9E2D9C"/>
    <w:numStyleLink w:val="ImportedStyle1"/>
  </w:abstractNum>
  <w:abstractNum w:abstractNumId="14" w15:restartNumberingAfterBreak="0">
    <w:nsid w:val="0AF8029A"/>
    <w:multiLevelType w:val="hybridMultilevel"/>
    <w:tmpl w:val="E8FA3DC6"/>
    <w:lvl w:ilvl="0" w:tplc="0409000F">
      <w:start w:val="1"/>
      <w:numFmt w:val="decimal"/>
      <w:lvlText w:val="%1."/>
      <w:lvlJc w:val="left"/>
      <w:pPr>
        <w:ind w:left="2160" w:hanging="360"/>
      </w:pPr>
      <w:rPr>
        <w:color w:val="auto"/>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15:restartNumberingAfterBreak="0">
    <w:nsid w:val="0FF55B26"/>
    <w:multiLevelType w:val="hybridMultilevel"/>
    <w:tmpl w:val="13E49938"/>
    <w:lvl w:ilvl="0" w:tplc="7A58F36C">
      <w:start w:val="1"/>
      <w:numFmt w:val="lowerLetter"/>
      <w:lvlText w:val="(%1)"/>
      <w:lvlJc w:val="left"/>
      <w:pPr>
        <w:ind w:left="720" w:hanging="360"/>
      </w:pPr>
      <w:rPr>
        <w:rFonts w:hint="default"/>
        <w:caps w:val="0"/>
        <w:smallCaps w:val="0"/>
        <w:strike w:val="0"/>
        <w:dstrike w:val="0"/>
        <w:outline w:val="0"/>
        <w:emboss w:val="0"/>
        <w:imprint w:val="0"/>
        <w:color w:val="000000"/>
        <w:spacing w:val="0"/>
        <w:w w:val="100"/>
        <w:kern w:val="0"/>
        <w:position w:val="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28697C"/>
    <w:multiLevelType w:val="hybridMultilevel"/>
    <w:tmpl w:val="BE904586"/>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D03405"/>
    <w:multiLevelType w:val="hybridMultilevel"/>
    <w:tmpl w:val="D0E8F2AC"/>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15:restartNumberingAfterBreak="0">
    <w:nsid w:val="142D2CF1"/>
    <w:multiLevelType w:val="hybridMultilevel"/>
    <w:tmpl w:val="DFAC7C1C"/>
    <w:lvl w:ilvl="0" w:tplc="7A58F36C">
      <w:start w:val="1"/>
      <w:numFmt w:val="lowerLetter"/>
      <w:lvlText w:val="(%1)"/>
      <w:lvlJc w:val="left"/>
      <w:pPr>
        <w:ind w:left="720" w:hanging="360"/>
      </w:pPr>
      <w:rPr>
        <w:rFonts w:hint="default"/>
        <w:caps w:val="0"/>
        <w:smallCaps w:val="0"/>
        <w:strike w:val="0"/>
        <w:dstrike w:val="0"/>
        <w:outline w:val="0"/>
        <w:emboss w:val="0"/>
        <w:imprint w:val="0"/>
        <w:color w:val="000000"/>
        <w:spacing w:val="0"/>
        <w:w w:val="100"/>
        <w:kern w:val="0"/>
        <w:position w:val="0"/>
        <w:vertAlign w:val="baseli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6B71660"/>
    <w:multiLevelType w:val="hybridMultilevel"/>
    <w:tmpl w:val="C95C5D96"/>
    <w:lvl w:ilvl="0" w:tplc="7A58F36C">
      <w:start w:val="1"/>
      <w:numFmt w:val="lowerLetter"/>
      <w:lvlText w:val="(%1)"/>
      <w:lvlJc w:val="left"/>
      <w:pPr>
        <w:ind w:left="1800" w:hanging="360"/>
      </w:pPr>
      <w:rPr>
        <w:rFonts w:hint="default"/>
        <w:caps w:val="0"/>
        <w:smallCaps w:val="0"/>
        <w:strike w:val="0"/>
        <w:dstrike w:val="0"/>
        <w:outline w:val="0"/>
        <w:emboss w:val="0"/>
        <w:imprint w:val="0"/>
        <w:color w:val="000000"/>
        <w:spacing w:val="0"/>
        <w:w w:val="100"/>
        <w:kern w:val="0"/>
        <w:position w:val="0"/>
        <w:vertAlign w:val="baseline"/>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19F04D98"/>
    <w:multiLevelType w:val="hybridMultilevel"/>
    <w:tmpl w:val="F09EA3F8"/>
    <w:lvl w:ilvl="0" w:tplc="D60C04C2">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C090017">
      <w:start w:val="1"/>
      <w:numFmt w:val="lowerLetter"/>
      <w:lvlText w:val="%2)"/>
      <w:lvlJc w:val="left"/>
      <w:pPr>
        <w:ind w:left="1440" w:hanging="720"/>
      </w:pPr>
      <w:rPr>
        <w:caps w:val="0"/>
        <w:smallCaps w:val="0"/>
        <w:strike w:val="0"/>
        <w:dstrike w:val="0"/>
        <w:outline w:val="0"/>
        <w:emboss w:val="0"/>
        <w:imprint w:val="0"/>
        <w:color w:val="000000"/>
        <w:spacing w:val="0"/>
        <w:w w:val="100"/>
        <w:kern w:val="0"/>
        <w:position w:val="0"/>
        <w:highlight w:val="none"/>
        <w:vertAlign w:val="baseline"/>
      </w:rPr>
    </w:lvl>
    <w:lvl w:ilvl="2" w:tplc="B8CAAD1A">
      <w:start w:val="1"/>
      <w:numFmt w:val="lowerRoman"/>
      <w:lvlText w:val="%3."/>
      <w:lvlJc w:val="left"/>
      <w:pPr>
        <w:ind w:left="2160"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0AE0F12">
      <w:start w:val="1"/>
      <w:numFmt w:val="decimal"/>
      <w:lvlText w:val="%4."/>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380FF8">
      <w:start w:val="1"/>
      <w:numFmt w:val="lowerLetter"/>
      <w:lvlText w:val="%5."/>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B4C7D70">
      <w:start w:val="1"/>
      <w:numFmt w:val="lowerRoman"/>
      <w:lvlText w:val="%6."/>
      <w:lvlJc w:val="left"/>
      <w:pPr>
        <w:ind w:left="4320"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F62F110">
      <w:start w:val="1"/>
      <w:numFmt w:val="decimal"/>
      <w:lvlText w:val="%7."/>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CD2EFC8">
      <w:start w:val="1"/>
      <w:numFmt w:val="lowerLetter"/>
      <w:lvlText w:val="%8."/>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8FCC862">
      <w:start w:val="1"/>
      <w:numFmt w:val="lowerRoman"/>
      <w:lvlText w:val="%9."/>
      <w:lvlJc w:val="left"/>
      <w:pPr>
        <w:ind w:left="6480"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1DA912D4"/>
    <w:multiLevelType w:val="hybridMultilevel"/>
    <w:tmpl w:val="105C1E9A"/>
    <w:lvl w:ilvl="0" w:tplc="0C090001">
      <w:start w:val="1"/>
      <w:numFmt w:val="bullet"/>
      <w:lvlText w:val=""/>
      <w:lvlJc w:val="left"/>
      <w:pPr>
        <w:ind w:left="-708" w:hanging="360"/>
      </w:pPr>
      <w:rPr>
        <w:rFonts w:ascii="Symbol" w:hAnsi="Symbol" w:hint="default"/>
      </w:rPr>
    </w:lvl>
    <w:lvl w:ilvl="1" w:tplc="0C090003" w:tentative="1">
      <w:start w:val="1"/>
      <w:numFmt w:val="bullet"/>
      <w:lvlText w:val="o"/>
      <w:lvlJc w:val="left"/>
      <w:pPr>
        <w:ind w:left="12" w:hanging="360"/>
      </w:pPr>
      <w:rPr>
        <w:rFonts w:ascii="Courier New" w:hAnsi="Courier New" w:cs="Courier New" w:hint="default"/>
      </w:rPr>
    </w:lvl>
    <w:lvl w:ilvl="2" w:tplc="0C090005" w:tentative="1">
      <w:start w:val="1"/>
      <w:numFmt w:val="bullet"/>
      <w:lvlText w:val=""/>
      <w:lvlJc w:val="left"/>
      <w:pPr>
        <w:ind w:left="732" w:hanging="360"/>
      </w:pPr>
      <w:rPr>
        <w:rFonts w:ascii="Wingdings" w:hAnsi="Wingdings" w:hint="default"/>
      </w:rPr>
    </w:lvl>
    <w:lvl w:ilvl="3" w:tplc="0C090001" w:tentative="1">
      <w:start w:val="1"/>
      <w:numFmt w:val="bullet"/>
      <w:lvlText w:val=""/>
      <w:lvlJc w:val="left"/>
      <w:pPr>
        <w:ind w:left="1452" w:hanging="360"/>
      </w:pPr>
      <w:rPr>
        <w:rFonts w:ascii="Symbol" w:hAnsi="Symbol" w:hint="default"/>
      </w:rPr>
    </w:lvl>
    <w:lvl w:ilvl="4" w:tplc="0C090003" w:tentative="1">
      <w:start w:val="1"/>
      <w:numFmt w:val="bullet"/>
      <w:lvlText w:val="o"/>
      <w:lvlJc w:val="left"/>
      <w:pPr>
        <w:ind w:left="2172" w:hanging="360"/>
      </w:pPr>
      <w:rPr>
        <w:rFonts w:ascii="Courier New" w:hAnsi="Courier New" w:cs="Courier New" w:hint="default"/>
      </w:rPr>
    </w:lvl>
    <w:lvl w:ilvl="5" w:tplc="0C090005" w:tentative="1">
      <w:start w:val="1"/>
      <w:numFmt w:val="bullet"/>
      <w:lvlText w:val=""/>
      <w:lvlJc w:val="left"/>
      <w:pPr>
        <w:ind w:left="2892" w:hanging="360"/>
      </w:pPr>
      <w:rPr>
        <w:rFonts w:ascii="Wingdings" w:hAnsi="Wingdings" w:hint="default"/>
      </w:rPr>
    </w:lvl>
    <w:lvl w:ilvl="6" w:tplc="0C090001" w:tentative="1">
      <w:start w:val="1"/>
      <w:numFmt w:val="bullet"/>
      <w:lvlText w:val=""/>
      <w:lvlJc w:val="left"/>
      <w:pPr>
        <w:ind w:left="3612" w:hanging="360"/>
      </w:pPr>
      <w:rPr>
        <w:rFonts w:ascii="Symbol" w:hAnsi="Symbol" w:hint="default"/>
      </w:rPr>
    </w:lvl>
    <w:lvl w:ilvl="7" w:tplc="0C090003" w:tentative="1">
      <w:start w:val="1"/>
      <w:numFmt w:val="bullet"/>
      <w:lvlText w:val="o"/>
      <w:lvlJc w:val="left"/>
      <w:pPr>
        <w:ind w:left="4332" w:hanging="360"/>
      </w:pPr>
      <w:rPr>
        <w:rFonts w:ascii="Courier New" w:hAnsi="Courier New" w:cs="Courier New" w:hint="default"/>
      </w:rPr>
    </w:lvl>
    <w:lvl w:ilvl="8" w:tplc="0C090005" w:tentative="1">
      <w:start w:val="1"/>
      <w:numFmt w:val="bullet"/>
      <w:lvlText w:val=""/>
      <w:lvlJc w:val="left"/>
      <w:pPr>
        <w:ind w:left="5052" w:hanging="360"/>
      </w:pPr>
      <w:rPr>
        <w:rFonts w:ascii="Wingdings" w:hAnsi="Wingdings" w:hint="default"/>
      </w:rPr>
    </w:lvl>
  </w:abstractNum>
  <w:abstractNum w:abstractNumId="22" w15:restartNumberingAfterBreak="0">
    <w:nsid w:val="1E4E54AF"/>
    <w:multiLevelType w:val="hybridMultilevel"/>
    <w:tmpl w:val="1E1EBA72"/>
    <w:lvl w:ilvl="0" w:tplc="04090001">
      <w:start w:val="1"/>
      <w:numFmt w:val="bullet"/>
      <w:lvlText w:val=""/>
      <w:lvlJc w:val="left"/>
      <w:pPr>
        <w:ind w:left="1800" w:hanging="360"/>
      </w:pPr>
      <w:rPr>
        <w:rFonts w:ascii="Symbol" w:hAnsi="Symbol" w:hint="default"/>
      </w:rPr>
    </w:lvl>
    <w:lvl w:ilvl="1" w:tplc="0C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1EB375E2"/>
    <w:multiLevelType w:val="hybridMultilevel"/>
    <w:tmpl w:val="28EEBC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28C25BAF"/>
    <w:multiLevelType w:val="multilevel"/>
    <w:tmpl w:val="6B9E2D9C"/>
    <w:styleLink w:val="ImportedStyle1"/>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97817C3"/>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B5A5BD5"/>
    <w:multiLevelType w:val="hybridMultilevel"/>
    <w:tmpl w:val="AD1CA754"/>
    <w:lvl w:ilvl="0" w:tplc="7A58F36C">
      <w:start w:val="1"/>
      <w:numFmt w:val="lowerLetter"/>
      <w:lvlText w:val="(%1)"/>
      <w:lvlJc w:val="left"/>
      <w:pPr>
        <w:ind w:left="1800" w:hanging="360"/>
      </w:pPr>
      <w:rPr>
        <w:rFonts w:hint="default"/>
        <w:caps w:val="0"/>
        <w:smallCaps w:val="0"/>
        <w:strike w:val="0"/>
        <w:dstrike w:val="0"/>
        <w:outline w:val="0"/>
        <w:emboss w:val="0"/>
        <w:imprint w:val="0"/>
        <w:color w:val="000000"/>
        <w:spacing w:val="0"/>
        <w:w w:val="100"/>
        <w:kern w:val="0"/>
        <w:position w:val="0"/>
        <w:vertAlign w:val="baseline"/>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2B6B6C85"/>
    <w:multiLevelType w:val="hybridMultilevel"/>
    <w:tmpl w:val="E41EDD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B69689B"/>
    <w:multiLevelType w:val="hybridMultilevel"/>
    <w:tmpl w:val="5C6AC77E"/>
    <w:lvl w:ilvl="0" w:tplc="BA8AD7A6">
      <w:start w:val="1"/>
      <w:numFmt w:val="decimal"/>
      <w:lvlText w:val="%1."/>
      <w:lvlJc w:val="left"/>
      <w:pPr>
        <w:ind w:left="720" w:hanging="360"/>
      </w:pPr>
      <w:rPr>
        <w:rFonts w:ascii="Arial" w:hAnsi="Arial" w:cs="Arial"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404BA3"/>
    <w:multiLevelType w:val="hybridMultilevel"/>
    <w:tmpl w:val="0804E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3" w15:restartNumberingAfterBreak="0">
    <w:nsid w:val="4A5E29FF"/>
    <w:multiLevelType w:val="hybridMultilevel"/>
    <w:tmpl w:val="01767D86"/>
    <w:lvl w:ilvl="0" w:tplc="7A58F36C">
      <w:start w:val="1"/>
      <w:numFmt w:val="lowerLetter"/>
      <w:lvlText w:val="(%1)"/>
      <w:lvlJc w:val="left"/>
      <w:pPr>
        <w:ind w:left="2880" w:hanging="360"/>
      </w:pPr>
      <w:rPr>
        <w:rFonts w:hint="default"/>
        <w:caps w:val="0"/>
        <w:smallCaps w:val="0"/>
        <w:strike w:val="0"/>
        <w:dstrike w:val="0"/>
        <w:outline w:val="0"/>
        <w:emboss w:val="0"/>
        <w:imprint w:val="0"/>
        <w:color w:val="000000"/>
        <w:spacing w:val="0"/>
        <w:w w:val="100"/>
        <w:kern w:val="0"/>
        <w:position w:val="0"/>
        <w:highlight w:val="none"/>
        <w:vertAlign w:val="baseline"/>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4" w15:restartNumberingAfterBreak="0">
    <w:nsid w:val="4AF71CE3"/>
    <w:multiLevelType w:val="hybridMultilevel"/>
    <w:tmpl w:val="B4AA91EA"/>
    <w:lvl w:ilvl="0" w:tplc="571E8F60">
      <w:start w:val="1"/>
      <w:numFmt w:val="lowerRoman"/>
      <w:lvlText w:val="(%1)"/>
      <w:lvlJc w:val="right"/>
      <w:pPr>
        <w:ind w:left="1440" w:hanging="360"/>
      </w:pPr>
      <w:rPr>
        <w:rFonts w:ascii="Arial" w:eastAsia="Times New Roman" w:hAnsi="Arial" w:cs="Arial"/>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BC1E29"/>
    <w:multiLevelType w:val="hybridMultilevel"/>
    <w:tmpl w:val="69C065CA"/>
    <w:lvl w:ilvl="0" w:tplc="04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DE34628"/>
    <w:multiLevelType w:val="hybridMultilevel"/>
    <w:tmpl w:val="18967B20"/>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6BEB5CD3"/>
    <w:multiLevelType w:val="hybridMultilevel"/>
    <w:tmpl w:val="9FD88B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216683"/>
    <w:multiLevelType w:val="hybridMultilevel"/>
    <w:tmpl w:val="11B6C6E0"/>
    <w:styleLink w:val="ImportedStyle3"/>
    <w:lvl w:ilvl="0" w:tplc="03984286">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E07722">
      <w:start w:val="1"/>
      <w:numFmt w:val="lowerLetter"/>
      <w:lvlText w:val="%2."/>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4A93C2">
      <w:start w:val="1"/>
      <w:numFmt w:val="lowerRoman"/>
      <w:lvlText w:val="%3."/>
      <w:lvlJc w:val="left"/>
      <w:pPr>
        <w:ind w:left="2160"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5C08536">
      <w:start w:val="1"/>
      <w:numFmt w:val="decimal"/>
      <w:lvlText w:val="%4."/>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44E6910">
      <w:start w:val="1"/>
      <w:numFmt w:val="lowerLetter"/>
      <w:lvlText w:val="%5."/>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6EA9A02">
      <w:start w:val="1"/>
      <w:numFmt w:val="lowerRoman"/>
      <w:lvlText w:val="%6."/>
      <w:lvlJc w:val="left"/>
      <w:pPr>
        <w:ind w:left="4320"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D84BAA8">
      <w:start w:val="1"/>
      <w:numFmt w:val="decimal"/>
      <w:lvlText w:val="%7."/>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1A0188">
      <w:start w:val="1"/>
      <w:numFmt w:val="lowerLetter"/>
      <w:lvlText w:val="%8."/>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B2A1DE2">
      <w:start w:val="1"/>
      <w:numFmt w:val="lowerRoman"/>
      <w:lvlText w:val="%9."/>
      <w:lvlJc w:val="left"/>
      <w:pPr>
        <w:ind w:left="6480"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710B09C8"/>
    <w:multiLevelType w:val="hybridMultilevel"/>
    <w:tmpl w:val="11B6C6E0"/>
    <w:numStyleLink w:val="ImportedStyle3"/>
  </w:abstractNum>
  <w:abstractNum w:abstractNumId="41" w15:restartNumberingAfterBreak="0">
    <w:nsid w:val="72167797"/>
    <w:multiLevelType w:val="hybridMultilevel"/>
    <w:tmpl w:val="F4786416"/>
    <w:lvl w:ilvl="0" w:tplc="7A58F36C">
      <w:start w:val="1"/>
      <w:numFmt w:val="lowerLetter"/>
      <w:lvlText w:val="(%1)"/>
      <w:lvlJc w:val="left"/>
      <w:pPr>
        <w:ind w:left="2160" w:hanging="360"/>
      </w:pPr>
      <w:rPr>
        <w:rFonts w:hint="default"/>
        <w:caps w:val="0"/>
        <w:smallCaps w:val="0"/>
        <w:strike w:val="0"/>
        <w:dstrike w:val="0"/>
        <w:outline w:val="0"/>
        <w:emboss w:val="0"/>
        <w:imprint w:val="0"/>
        <w:color w:val="000000"/>
        <w:spacing w:val="0"/>
        <w:w w:val="100"/>
        <w:kern w:val="0"/>
        <w:position w:val="0"/>
        <w:vertAlign w:val="baseline"/>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2" w15:restartNumberingAfterBreak="0">
    <w:nsid w:val="74083410"/>
    <w:multiLevelType w:val="hybridMultilevel"/>
    <w:tmpl w:val="F5988340"/>
    <w:lvl w:ilvl="0" w:tplc="0C090011">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15:restartNumberingAfterBreak="0">
    <w:nsid w:val="7F844DB6"/>
    <w:multiLevelType w:val="hybridMultilevel"/>
    <w:tmpl w:val="749AD2B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7"/>
  </w:num>
  <w:num w:numId="13">
    <w:abstractNumId w:val="30"/>
  </w:num>
  <w:num w:numId="14">
    <w:abstractNumId w:val="24"/>
  </w:num>
  <w:num w:numId="15">
    <w:abstractNumId w:val="36"/>
  </w:num>
  <w:num w:numId="16">
    <w:abstractNumId w:val="28"/>
  </w:num>
  <w:num w:numId="17">
    <w:abstractNumId w:val="34"/>
  </w:num>
  <w:num w:numId="18">
    <w:abstractNumId w:val="16"/>
  </w:num>
  <w:num w:numId="19">
    <w:abstractNumId w:val="21"/>
  </w:num>
  <w:num w:numId="20">
    <w:abstractNumId w:val="43"/>
  </w:num>
  <w:num w:numId="21">
    <w:abstractNumId w:val="29"/>
  </w:num>
  <w:num w:numId="22">
    <w:abstractNumId w:val="14"/>
  </w:num>
  <w:num w:numId="23">
    <w:abstractNumId w:val="31"/>
  </w:num>
  <w:num w:numId="24">
    <w:abstractNumId w:val="42"/>
  </w:num>
  <w:num w:numId="25">
    <w:abstractNumId w:val="27"/>
  </w:num>
  <w:num w:numId="26">
    <w:abstractNumId w:val="25"/>
  </w:num>
  <w:num w:numId="27">
    <w:abstractNumId w:val="13"/>
    <w:lvlOverride w:ilvl="0">
      <w:startOverride w:val="13"/>
    </w:lvlOverride>
  </w:num>
  <w:num w:numId="28">
    <w:abstractNumId w:val="39"/>
  </w:num>
  <w:num w:numId="29">
    <w:abstractNumId w:val="40"/>
  </w:num>
  <w:num w:numId="30">
    <w:abstractNumId w:val="40"/>
    <w:lvlOverride w:ilvl="0">
      <w:startOverride w:val="92"/>
    </w:lvlOverride>
  </w:num>
  <w:num w:numId="31">
    <w:abstractNumId w:val="40"/>
    <w:lvlOverride w:ilvl="0">
      <w:startOverride w:val="96"/>
    </w:lvlOverride>
  </w:num>
  <w:num w:numId="32">
    <w:abstractNumId w:val="23"/>
  </w:num>
  <w:num w:numId="33">
    <w:abstractNumId w:val="17"/>
  </w:num>
  <w:num w:numId="34">
    <w:abstractNumId w:val="26"/>
  </w:num>
  <w:num w:numId="35">
    <w:abstractNumId w:val="20"/>
  </w:num>
  <w:num w:numId="36">
    <w:abstractNumId w:val="11"/>
  </w:num>
  <w:num w:numId="37">
    <w:abstractNumId w:val="41"/>
  </w:num>
  <w:num w:numId="38">
    <w:abstractNumId w:val="19"/>
  </w:num>
  <w:num w:numId="39">
    <w:abstractNumId w:val="10"/>
  </w:num>
  <w:num w:numId="40">
    <w:abstractNumId w:val="35"/>
  </w:num>
  <w:num w:numId="41">
    <w:abstractNumId w:val="22"/>
  </w:num>
  <w:num w:numId="42">
    <w:abstractNumId w:val="38"/>
  </w:num>
  <w:num w:numId="43">
    <w:abstractNumId w:val="12"/>
  </w:num>
  <w:num w:numId="44">
    <w:abstractNumId w:val="33"/>
  </w:num>
  <w:num w:numId="45">
    <w:abstractNumId w:val="18"/>
  </w:num>
  <w:num w:numId="4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AE"/>
    <w:rsid w:val="00000E8A"/>
    <w:rsid w:val="0000272C"/>
    <w:rsid w:val="0000467C"/>
    <w:rsid w:val="000104A2"/>
    <w:rsid w:val="00010F32"/>
    <w:rsid w:val="000114D4"/>
    <w:rsid w:val="00015195"/>
    <w:rsid w:val="000160A0"/>
    <w:rsid w:val="00016F62"/>
    <w:rsid w:val="00020CD3"/>
    <w:rsid w:val="0002342D"/>
    <w:rsid w:val="0002510D"/>
    <w:rsid w:val="000270AA"/>
    <w:rsid w:val="0003392B"/>
    <w:rsid w:val="000344B1"/>
    <w:rsid w:val="000356E1"/>
    <w:rsid w:val="0003606D"/>
    <w:rsid w:val="000419AD"/>
    <w:rsid w:val="00044402"/>
    <w:rsid w:val="00044A94"/>
    <w:rsid w:val="0004785A"/>
    <w:rsid w:val="00050AD8"/>
    <w:rsid w:val="00050F2B"/>
    <w:rsid w:val="000534A7"/>
    <w:rsid w:val="000559D4"/>
    <w:rsid w:val="0005644A"/>
    <w:rsid w:val="0005679A"/>
    <w:rsid w:val="000579B1"/>
    <w:rsid w:val="000614CC"/>
    <w:rsid w:val="00063D11"/>
    <w:rsid w:val="000640A0"/>
    <w:rsid w:val="000652FA"/>
    <w:rsid w:val="00065E8C"/>
    <w:rsid w:val="00072D2F"/>
    <w:rsid w:val="0007325F"/>
    <w:rsid w:val="00074319"/>
    <w:rsid w:val="00075540"/>
    <w:rsid w:val="00082DF7"/>
    <w:rsid w:val="0008406A"/>
    <w:rsid w:val="000869AE"/>
    <w:rsid w:val="000879D9"/>
    <w:rsid w:val="00090F08"/>
    <w:rsid w:val="00093B7A"/>
    <w:rsid w:val="000A1607"/>
    <w:rsid w:val="000A1DB8"/>
    <w:rsid w:val="000A48AC"/>
    <w:rsid w:val="000A58A8"/>
    <w:rsid w:val="000B0A5D"/>
    <w:rsid w:val="000B0FA0"/>
    <w:rsid w:val="000B110D"/>
    <w:rsid w:val="000B33B0"/>
    <w:rsid w:val="000B6DFC"/>
    <w:rsid w:val="000B784B"/>
    <w:rsid w:val="000B7EF8"/>
    <w:rsid w:val="000C0FE8"/>
    <w:rsid w:val="000C282A"/>
    <w:rsid w:val="000C2D04"/>
    <w:rsid w:val="000C4DBC"/>
    <w:rsid w:val="000C7CFF"/>
    <w:rsid w:val="000D1B01"/>
    <w:rsid w:val="000D2D9C"/>
    <w:rsid w:val="000D6EBC"/>
    <w:rsid w:val="000E0C14"/>
    <w:rsid w:val="000E130A"/>
    <w:rsid w:val="000E21FA"/>
    <w:rsid w:val="000E6B2E"/>
    <w:rsid w:val="000E7812"/>
    <w:rsid w:val="000F032F"/>
    <w:rsid w:val="000F2A43"/>
    <w:rsid w:val="000F5693"/>
    <w:rsid w:val="000F78E6"/>
    <w:rsid w:val="000F7F7B"/>
    <w:rsid w:val="001073EB"/>
    <w:rsid w:val="00107BF2"/>
    <w:rsid w:val="00113940"/>
    <w:rsid w:val="00114741"/>
    <w:rsid w:val="00121FBC"/>
    <w:rsid w:val="00122CA3"/>
    <w:rsid w:val="001318A5"/>
    <w:rsid w:val="00132121"/>
    <w:rsid w:val="00132B79"/>
    <w:rsid w:val="00134774"/>
    <w:rsid w:val="0013667F"/>
    <w:rsid w:val="00136792"/>
    <w:rsid w:val="00137301"/>
    <w:rsid w:val="00137C0D"/>
    <w:rsid w:val="00140274"/>
    <w:rsid w:val="00140B1D"/>
    <w:rsid w:val="0014298A"/>
    <w:rsid w:val="001435C1"/>
    <w:rsid w:val="00145981"/>
    <w:rsid w:val="00147C57"/>
    <w:rsid w:val="00151263"/>
    <w:rsid w:val="00151F44"/>
    <w:rsid w:val="00153536"/>
    <w:rsid w:val="00154856"/>
    <w:rsid w:val="00155763"/>
    <w:rsid w:val="00156E62"/>
    <w:rsid w:val="0016109E"/>
    <w:rsid w:val="00162A8D"/>
    <w:rsid w:val="001631C4"/>
    <w:rsid w:val="001654CA"/>
    <w:rsid w:val="00165E3C"/>
    <w:rsid w:val="0016657B"/>
    <w:rsid w:val="00166E6B"/>
    <w:rsid w:val="00173415"/>
    <w:rsid w:val="00173856"/>
    <w:rsid w:val="00173FB5"/>
    <w:rsid w:val="00174664"/>
    <w:rsid w:val="00174988"/>
    <w:rsid w:val="001755E1"/>
    <w:rsid w:val="00175AC1"/>
    <w:rsid w:val="001763A1"/>
    <w:rsid w:val="00177468"/>
    <w:rsid w:val="00180B4D"/>
    <w:rsid w:val="00182715"/>
    <w:rsid w:val="001827F8"/>
    <w:rsid w:val="001830B2"/>
    <w:rsid w:val="00184402"/>
    <w:rsid w:val="0018454D"/>
    <w:rsid w:val="0018513C"/>
    <w:rsid w:val="001901F3"/>
    <w:rsid w:val="001945E4"/>
    <w:rsid w:val="001949DC"/>
    <w:rsid w:val="00197E73"/>
    <w:rsid w:val="001A63CF"/>
    <w:rsid w:val="001A6D6C"/>
    <w:rsid w:val="001B0353"/>
    <w:rsid w:val="001B19D6"/>
    <w:rsid w:val="001B2E89"/>
    <w:rsid w:val="001B30E1"/>
    <w:rsid w:val="001B3811"/>
    <w:rsid w:val="001B3D16"/>
    <w:rsid w:val="001B429E"/>
    <w:rsid w:val="001B67A3"/>
    <w:rsid w:val="001B7F2A"/>
    <w:rsid w:val="001C1F6F"/>
    <w:rsid w:val="001C1F8B"/>
    <w:rsid w:val="001C26CA"/>
    <w:rsid w:val="001C2F46"/>
    <w:rsid w:val="001C469B"/>
    <w:rsid w:val="001C7187"/>
    <w:rsid w:val="001C73CE"/>
    <w:rsid w:val="001D1C0E"/>
    <w:rsid w:val="001D4042"/>
    <w:rsid w:val="001D57EC"/>
    <w:rsid w:val="001E2A32"/>
    <w:rsid w:val="001E3198"/>
    <w:rsid w:val="001E4FDE"/>
    <w:rsid w:val="001E7D8F"/>
    <w:rsid w:val="001F2315"/>
    <w:rsid w:val="001F2BBB"/>
    <w:rsid w:val="001F2CBB"/>
    <w:rsid w:val="001F34FD"/>
    <w:rsid w:val="001F58C4"/>
    <w:rsid w:val="001F5B2D"/>
    <w:rsid w:val="001F6736"/>
    <w:rsid w:val="001F7ED9"/>
    <w:rsid w:val="00200677"/>
    <w:rsid w:val="002021C1"/>
    <w:rsid w:val="00207F5A"/>
    <w:rsid w:val="00210F85"/>
    <w:rsid w:val="002124DA"/>
    <w:rsid w:val="00213B7F"/>
    <w:rsid w:val="00222120"/>
    <w:rsid w:val="00224AA3"/>
    <w:rsid w:val="002308D2"/>
    <w:rsid w:val="00231ED1"/>
    <w:rsid w:val="00232626"/>
    <w:rsid w:val="002352C3"/>
    <w:rsid w:val="0023638E"/>
    <w:rsid w:val="00241B66"/>
    <w:rsid w:val="002420BB"/>
    <w:rsid w:val="00242624"/>
    <w:rsid w:val="00243146"/>
    <w:rsid w:val="00244275"/>
    <w:rsid w:val="0024557E"/>
    <w:rsid w:val="00247A82"/>
    <w:rsid w:val="00247AFA"/>
    <w:rsid w:val="00250979"/>
    <w:rsid w:val="00251EDD"/>
    <w:rsid w:val="002561F4"/>
    <w:rsid w:val="00256AB4"/>
    <w:rsid w:val="0026299E"/>
    <w:rsid w:val="00262B5E"/>
    <w:rsid w:val="00263C1B"/>
    <w:rsid w:val="002656A4"/>
    <w:rsid w:val="00271605"/>
    <w:rsid w:val="00271B27"/>
    <w:rsid w:val="00276710"/>
    <w:rsid w:val="00277053"/>
    <w:rsid w:val="00281DAA"/>
    <w:rsid w:val="00283A32"/>
    <w:rsid w:val="0028434F"/>
    <w:rsid w:val="0028545D"/>
    <w:rsid w:val="002863D7"/>
    <w:rsid w:val="00287268"/>
    <w:rsid w:val="00291EA2"/>
    <w:rsid w:val="00292637"/>
    <w:rsid w:val="00295311"/>
    <w:rsid w:val="002A1F5E"/>
    <w:rsid w:val="002A2156"/>
    <w:rsid w:val="002A3E3C"/>
    <w:rsid w:val="002A4831"/>
    <w:rsid w:val="002B0935"/>
    <w:rsid w:val="002B11CC"/>
    <w:rsid w:val="002B195D"/>
    <w:rsid w:val="002B1B65"/>
    <w:rsid w:val="002B5CE0"/>
    <w:rsid w:val="002B6691"/>
    <w:rsid w:val="002C1866"/>
    <w:rsid w:val="002C225B"/>
    <w:rsid w:val="002C24FC"/>
    <w:rsid w:val="002C4B4D"/>
    <w:rsid w:val="002C52C3"/>
    <w:rsid w:val="002C5F8A"/>
    <w:rsid w:val="002C61A4"/>
    <w:rsid w:val="002C693F"/>
    <w:rsid w:val="002D3C18"/>
    <w:rsid w:val="002D6127"/>
    <w:rsid w:val="002D614D"/>
    <w:rsid w:val="002D6909"/>
    <w:rsid w:val="002D7F8D"/>
    <w:rsid w:val="002E1F61"/>
    <w:rsid w:val="002E2667"/>
    <w:rsid w:val="002E2BE5"/>
    <w:rsid w:val="002E3532"/>
    <w:rsid w:val="002E430A"/>
    <w:rsid w:val="002E78D0"/>
    <w:rsid w:val="002F2376"/>
    <w:rsid w:val="002F350D"/>
    <w:rsid w:val="002F4CE1"/>
    <w:rsid w:val="002F6009"/>
    <w:rsid w:val="002F6D4C"/>
    <w:rsid w:val="00300F22"/>
    <w:rsid w:val="0030140C"/>
    <w:rsid w:val="00302ABF"/>
    <w:rsid w:val="00304A37"/>
    <w:rsid w:val="003058DE"/>
    <w:rsid w:val="003058EC"/>
    <w:rsid w:val="00310ED4"/>
    <w:rsid w:val="00311379"/>
    <w:rsid w:val="00312301"/>
    <w:rsid w:val="00313027"/>
    <w:rsid w:val="0031492A"/>
    <w:rsid w:val="00315FA0"/>
    <w:rsid w:val="003160CD"/>
    <w:rsid w:val="00316800"/>
    <w:rsid w:val="00316C1A"/>
    <w:rsid w:val="00322508"/>
    <w:rsid w:val="003227BE"/>
    <w:rsid w:val="0032365F"/>
    <w:rsid w:val="00323C73"/>
    <w:rsid w:val="0032554F"/>
    <w:rsid w:val="0032671B"/>
    <w:rsid w:val="00326B70"/>
    <w:rsid w:val="003277A8"/>
    <w:rsid w:val="003303CB"/>
    <w:rsid w:val="00331141"/>
    <w:rsid w:val="003311A7"/>
    <w:rsid w:val="00332F2A"/>
    <w:rsid w:val="00333D0C"/>
    <w:rsid w:val="00334290"/>
    <w:rsid w:val="00336A58"/>
    <w:rsid w:val="003373E6"/>
    <w:rsid w:val="003402AE"/>
    <w:rsid w:val="0034095B"/>
    <w:rsid w:val="003424EC"/>
    <w:rsid w:val="00342755"/>
    <w:rsid w:val="00344758"/>
    <w:rsid w:val="003451C6"/>
    <w:rsid w:val="00347142"/>
    <w:rsid w:val="00347259"/>
    <w:rsid w:val="003472E8"/>
    <w:rsid w:val="003526F5"/>
    <w:rsid w:val="00352900"/>
    <w:rsid w:val="00355C3C"/>
    <w:rsid w:val="00356347"/>
    <w:rsid w:val="003565A8"/>
    <w:rsid w:val="003566EA"/>
    <w:rsid w:val="003578A4"/>
    <w:rsid w:val="00367CEA"/>
    <w:rsid w:val="003711C1"/>
    <w:rsid w:val="00372C4E"/>
    <w:rsid w:val="00372C79"/>
    <w:rsid w:val="00373284"/>
    <w:rsid w:val="003745F8"/>
    <w:rsid w:val="00374CD0"/>
    <w:rsid w:val="0038168B"/>
    <w:rsid w:val="003832C0"/>
    <w:rsid w:val="003839B1"/>
    <w:rsid w:val="00383AA7"/>
    <w:rsid w:val="00391089"/>
    <w:rsid w:val="003949A3"/>
    <w:rsid w:val="003965F5"/>
    <w:rsid w:val="00397294"/>
    <w:rsid w:val="003A2BFD"/>
    <w:rsid w:val="003A71F4"/>
    <w:rsid w:val="003A7A26"/>
    <w:rsid w:val="003B028D"/>
    <w:rsid w:val="003B2FB5"/>
    <w:rsid w:val="003B5F85"/>
    <w:rsid w:val="003B685E"/>
    <w:rsid w:val="003B765E"/>
    <w:rsid w:val="003C3560"/>
    <w:rsid w:val="003C5C8F"/>
    <w:rsid w:val="003D0785"/>
    <w:rsid w:val="003D10EE"/>
    <w:rsid w:val="003D3FFC"/>
    <w:rsid w:val="003D42CA"/>
    <w:rsid w:val="003D4C83"/>
    <w:rsid w:val="003D4E51"/>
    <w:rsid w:val="003D605D"/>
    <w:rsid w:val="003E21F1"/>
    <w:rsid w:val="003E2F4E"/>
    <w:rsid w:val="003E4516"/>
    <w:rsid w:val="003E525E"/>
    <w:rsid w:val="003E54C5"/>
    <w:rsid w:val="003E6B4E"/>
    <w:rsid w:val="003E6E9C"/>
    <w:rsid w:val="003E73DD"/>
    <w:rsid w:val="003E766A"/>
    <w:rsid w:val="003F14CE"/>
    <w:rsid w:val="003F1B89"/>
    <w:rsid w:val="003F2A49"/>
    <w:rsid w:val="003F369A"/>
    <w:rsid w:val="003F3AF3"/>
    <w:rsid w:val="003F6B8E"/>
    <w:rsid w:val="00410A6F"/>
    <w:rsid w:val="004112E4"/>
    <w:rsid w:val="00414C1B"/>
    <w:rsid w:val="00414E41"/>
    <w:rsid w:val="00415D23"/>
    <w:rsid w:val="00416197"/>
    <w:rsid w:val="00416557"/>
    <w:rsid w:val="004169A7"/>
    <w:rsid w:val="00420A66"/>
    <w:rsid w:val="00422216"/>
    <w:rsid w:val="00422417"/>
    <w:rsid w:val="00424233"/>
    <w:rsid w:val="0042484C"/>
    <w:rsid w:val="00426323"/>
    <w:rsid w:val="00427EF4"/>
    <w:rsid w:val="004303B8"/>
    <w:rsid w:val="0043042B"/>
    <w:rsid w:val="004359A3"/>
    <w:rsid w:val="0043601E"/>
    <w:rsid w:val="00437EF1"/>
    <w:rsid w:val="004456B7"/>
    <w:rsid w:val="004460F3"/>
    <w:rsid w:val="00450674"/>
    <w:rsid w:val="00451C5D"/>
    <w:rsid w:val="0045259B"/>
    <w:rsid w:val="004554B8"/>
    <w:rsid w:val="00460CED"/>
    <w:rsid w:val="004610A5"/>
    <w:rsid w:val="00462C91"/>
    <w:rsid w:val="00467E1D"/>
    <w:rsid w:val="004712A1"/>
    <w:rsid w:val="00472145"/>
    <w:rsid w:val="0047265A"/>
    <w:rsid w:val="00472EFF"/>
    <w:rsid w:val="00474063"/>
    <w:rsid w:val="00474640"/>
    <w:rsid w:val="004764BA"/>
    <w:rsid w:val="00476793"/>
    <w:rsid w:val="004767E8"/>
    <w:rsid w:val="00481829"/>
    <w:rsid w:val="00483107"/>
    <w:rsid w:val="00486263"/>
    <w:rsid w:val="00497823"/>
    <w:rsid w:val="004A187B"/>
    <w:rsid w:val="004A2D3C"/>
    <w:rsid w:val="004A3AED"/>
    <w:rsid w:val="004A500E"/>
    <w:rsid w:val="004A5BF4"/>
    <w:rsid w:val="004B0B43"/>
    <w:rsid w:val="004B0CEA"/>
    <w:rsid w:val="004B1BD5"/>
    <w:rsid w:val="004B2D7D"/>
    <w:rsid w:val="004B3ADF"/>
    <w:rsid w:val="004B3FF3"/>
    <w:rsid w:val="004B675B"/>
    <w:rsid w:val="004C1272"/>
    <w:rsid w:val="004C1FAF"/>
    <w:rsid w:val="004C31B8"/>
    <w:rsid w:val="004C3B5D"/>
    <w:rsid w:val="004C443D"/>
    <w:rsid w:val="004C5480"/>
    <w:rsid w:val="004C58AF"/>
    <w:rsid w:val="004C605C"/>
    <w:rsid w:val="004C6704"/>
    <w:rsid w:val="004C7412"/>
    <w:rsid w:val="004D04BF"/>
    <w:rsid w:val="004D259E"/>
    <w:rsid w:val="004D25F6"/>
    <w:rsid w:val="004D2D51"/>
    <w:rsid w:val="004D4427"/>
    <w:rsid w:val="004D6E55"/>
    <w:rsid w:val="004D70AB"/>
    <w:rsid w:val="004D783B"/>
    <w:rsid w:val="004D7975"/>
    <w:rsid w:val="004E0DFF"/>
    <w:rsid w:val="004E4630"/>
    <w:rsid w:val="004E51C5"/>
    <w:rsid w:val="004E72A4"/>
    <w:rsid w:val="004F14E2"/>
    <w:rsid w:val="004F1C7C"/>
    <w:rsid w:val="004F441E"/>
    <w:rsid w:val="004F5141"/>
    <w:rsid w:val="004F5F17"/>
    <w:rsid w:val="004F6B7D"/>
    <w:rsid w:val="00500C10"/>
    <w:rsid w:val="005045CE"/>
    <w:rsid w:val="00506D96"/>
    <w:rsid w:val="00510575"/>
    <w:rsid w:val="00511BE8"/>
    <w:rsid w:val="005123F0"/>
    <w:rsid w:val="0051253C"/>
    <w:rsid w:val="00512D97"/>
    <w:rsid w:val="00513540"/>
    <w:rsid w:val="00513941"/>
    <w:rsid w:val="00522101"/>
    <w:rsid w:val="0053051D"/>
    <w:rsid w:val="0053240F"/>
    <w:rsid w:val="00533B9B"/>
    <w:rsid w:val="005352E8"/>
    <w:rsid w:val="0053790B"/>
    <w:rsid w:val="00542337"/>
    <w:rsid w:val="00543662"/>
    <w:rsid w:val="0054449C"/>
    <w:rsid w:val="0054526F"/>
    <w:rsid w:val="005454CF"/>
    <w:rsid w:val="005466D9"/>
    <w:rsid w:val="00546EF6"/>
    <w:rsid w:val="005507E0"/>
    <w:rsid w:val="00551EE2"/>
    <w:rsid w:val="00557829"/>
    <w:rsid w:val="005602F5"/>
    <w:rsid w:val="00563EE2"/>
    <w:rsid w:val="00564208"/>
    <w:rsid w:val="00565578"/>
    <w:rsid w:val="00570098"/>
    <w:rsid w:val="005702BC"/>
    <w:rsid w:val="00571B3E"/>
    <w:rsid w:val="00571CEB"/>
    <w:rsid w:val="00571CFD"/>
    <w:rsid w:val="00573660"/>
    <w:rsid w:val="00575B4E"/>
    <w:rsid w:val="00580224"/>
    <w:rsid w:val="00580BA1"/>
    <w:rsid w:val="00585267"/>
    <w:rsid w:val="0058590E"/>
    <w:rsid w:val="005904C6"/>
    <w:rsid w:val="00591951"/>
    <w:rsid w:val="00592372"/>
    <w:rsid w:val="00596CF4"/>
    <w:rsid w:val="00597374"/>
    <w:rsid w:val="005A4A2A"/>
    <w:rsid w:val="005A4DA1"/>
    <w:rsid w:val="005A4F36"/>
    <w:rsid w:val="005B1E0E"/>
    <w:rsid w:val="005B21A9"/>
    <w:rsid w:val="005B2CA4"/>
    <w:rsid w:val="005B494A"/>
    <w:rsid w:val="005B4F56"/>
    <w:rsid w:val="005B53BD"/>
    <w:rsid w:val="005C34FA"/>
    <w:rsid w:val="005C3606"/>
    <w:rsid w:val="005C45EF"/>
    <w:rsid w:val="005C4702"/>
    <w:rsid w:val="005C54DB"/>
    <w:rsid w:val="005C5D41"/>
    <w:rsid w:val="005C7603"/>
    <w:rsid w:val="005D1F34"/>
    <w:rsid w:val="005D23DA"/>
    <w:rsid w:val="005D3196"/>
    <w:rsid w:val="005D383D"/>
    <w:rsid w:val="005D3CDC"/>
    <w:rsid w:val="005D3FAF"/>
    <w:rsid w:val="005D4489"/>
    <w:rsid w:val="005D4FAE"/>
    <w:rsid w:val="005E243F"/>
    <w:rsid w:val="005E25B6"/>
    <w:rsid w:val="005E38D0"/>
    <w:rsid w:val="005E3B1F"/>
    <w:rsid w:val="005E3F2A"/>
    <w:rsid w:val="005E4A65"/>
    <w:rsid w:val="005E78F0"/>
    <w:rsid w:val="005F6D04"/>
    <w:rsid w:val="005F7693"/>
    <w:rsid w:val="005F76A7"/>
    <w:rsid w:val="006000A5"/>
    <w:rsid w:val="00601961"/>
    <w:rsid w:val="00602513"/>
    <w:rsid w:val="00603C96"/>
    <w:rsid w:val="00607287"/>
    <w:rsid w:val="00607600"/>
    <w:rsid w:val="006076C6"/>
    <w:rsid w:val="00611A97"/>
    <w:rsid w:val="00614E0A"/>
    <w:rsid w:val="00620432"/>
    <w:rsid w:val="00622311"/>
    <w:rsid w:val="0062348D"/>
    <w:rsid w:val="00623492"/>
    <w:rsid w:val="00634146"/>
    <w:rsid w:val="00637C3F"/>
    <w:rsid w:val="00643805"/>
    <w:rsid w:val="00645634"/>
    <w:rsid w:val="00646483"/>
    <w:rsid w:val="00650346"/>
    <w:rsid w:val="00652A3E"/>
    <w:rsid w:val="00654793"/>
    <w:rsid w:val="00654EBE"/>
    <w:rsid w:val="00656B73"/>
    <w:rsid w:val="00662033"/>
    <w:rsid w:val="00666174"/>
    <w:rsid w:val="00673F8F"/>
    <w:rsid w:val="00674928"/>
    <w:rsid w:val="00675479"/>
    <w:rsid w:val="00676123"/>
    <w:rsid w:val="006817CE"/>
    <w:rsid w:val="0068528E"/>
    <w:rsid w:val="00687E31"/>
    <w:rsid w:val="0069005E"/>
    <w:rsid w:val="00691910"/>
    <w:rsid w:val="00695A59"/>
    <w:rsid w:val="006A0E9C"/>
    <w:rsid w:val="006A37FD"/>
    <w:rsid w:val="006A615B"/>
    <w:rsid w:val="006A693C"/>
    <w:rsid w:val="006A6BB3"/>
    <w:rsid w:val="006B1BC2"/>
    <w:rsid w:val="006B351D"/>
    <w:rsid w:val="006B4A69"/>
    <w:rsid w:val="006B7897"/>
    <w:rsid w:val="006C337A"/>
    <w:rsid w:val="006C3DA6"/>
    <w:rsid w:val="006C423A"/>
    <w:rsid w:val="006D2F15"/>
    <w:rsid w:val="006D31BD"/>
    <w:rsid w:val="006D3906"/>
    <w:rsid w:val="006D4F13"/>
    <w:rsid w:val="006D5EE5"/>
    <w:rsid w:val="006E6888"/>
    <w:rsid w:val="006E6D2C"/>
    <w:rsid w:val="006F0208"/>
    <w:rsid w:val="006F04F5"/>
    <w:rsid w:val="006F2C09"/>
    <w:rsid w:val="006F47F0"/>
    <w:rsid w:val="006F4EC0"/>
    <w:rsid w:val="006F6899"/>
    <w:rsid w:val="007007EE"/>
    <w:rsid w:val="00702878"/>
    <w:rsid w:val="00705776"/>
    <w:rsid w:val="0071125F"/>
    <w:rsid w:val="00711779"/>
    <w:rsid w:val="007173C3"/>
    <w:rsid w:val="0071743C"/>
    <w:rsid w:val="00722C96"/>
    <w:rsid w:val="007263A6"/>
    <w:rsid w:val="00733E14"/>
    <w:rsid w:val="0073465A"/>
    <w:rsid w:val="00735036"/>
    <w:rsid w:val="00736279"/>
    <w:rsid w:val="00737920"/>
    <w:rsid w:val="00740BB0"/>
    <w:rsid w:val="00742487"/>
    <w:rsid w:val="00742667"/>
    <w:rsid w:val="0074326D"/>
    <w:rsid w:val="00743727"/>
    <w:rsid w:val="007445A1"/>
    <w:rsid w:val="00746DD4"/>
    <w:rsid w:val="00747AE7"/>
    <w:rsid w:val="00750CFA"/>
    <w:rsid w:val="00751C8C"/>
    <w:rsid w:val="007540BF"/>
    <w:rsid w:val="007572E7"/>
    <w:rsid w:val="00760941"/>
    <w:rsid w:val="007652DF"/>
    <w:rsid w:val="007659BD"/>
    <w:rsid w:val="00766177"/>
    <w:rsid w:val="00766BA0"/>
    <w:rsid w:val="00770BB0"/>
    <w:rsid w:val="00770DCB"/>
    <w:rsid w:val="0077380B"/>
    <w:rsid w:val="00775485"/>
    <w:rsid w:val="00776199"/>
    <w:rsid w:val="00776F40"/>
    <w:rsid w:val="007813E2"/>
    <w:rsid w:val="007823A6"/>
    <w:rsid w:val="0078584D"/>
    <w:rsid w:val="00787D70"/>
    <w:rsid w:val="007909D0"/>
    <w:rsid w:val="00791A4A"/>
    <w:rsid w:val="00794195"/>
    <w:rsid w:val="00794F3F"/>
    <w:rsid w:val="0079638D"/>
    <w:rsid w:val="007979FE"/>
    <w:rsid w:val="007A0BA7"/>
    <w:rsid w:val="007A1A55"/>
    <w:rsid w:val="007A1C05"/>
    <w:rsid w:val="007A335D"/>
    <w:rsid w:val="007A6D31"/>
    <w:rsid w:val="007A738D"/>
    <w:rsid w:val="007B6A3F"/>
    <w:rsid w:val="007C1C80"/>
    <w:rsid w:val="007C3A42"/>
    <w:rsid w:val="007C47A6"/>
    <w:rsid w:val="007D134E"/>
    <w:rsid w:val="007D1BC9"/>
    <w:rsid w:val="007D1CD4"/>
    <w:rsid w:val="007D1DD9"/>
    <w:rsid w:val="007D335B"/>
    <w:rsid w:val="007D4580"/>
    <w:rsid w:val="007D5487"/>
    <w:rsid w:val="007D6DDE"/>
    <w:rsid w:val="007E1680"/>
    <w:rsid w:val="007E5B88"/>
    <w:rsid w:val="007E5C99"/>
    <w:rsid w:val="007F0D0B"/>
    <w:rsid w:val="007F34AC"/>
    <w:rsid w:val="007F6468"/>
    <w:rsid w:val="007F6D3F"/>
    <w:rsid w:val="007F71C4"/>
    <w:rsid w:val="007F75A6"/>
    <w:rsid w:val="008007A8"/>
    <w:rsid w:val="008042D9"/>
    <w:rsid w:val="00812283"/>
    <w:rsid w:val="00814FC0"/>
    <w:rsid w:val="00817D39"/>
    <w:rsid w:val="00820AC2"/>
    <w:rsid w:val="008215D4"/>
    <w:rsid w:val="0082299A"/>
    <w:rsid w:val="008265E5"/>
    <w:rsid w:val="00830565"/>
    <w:rsid w:val="00830E1D"/>
    <w:rsid w:val="0083112D"/>
    <w:rsid w:val="008316AD"/>
    <w:rsid w:val="0083666B"/>
    <w:rsid w:val="00840FD1"/>
    <w:rsid w:val="008428CB"/>
    <w:rsid w:val="008535CE"/>
    <w:rsid w:val="0085451C"/>
    <w:rsid w:val="00863DD7"/>
    <w:rsid w:val="008665BB"/>
    <w:rsid w:val="0087088B"/>
    <w:rsid w:val="008709D8"/>
    <w:rsid w:val="008721B3"/>
    <w:rsid w:val="008724DE"/>
    <w:rsid w:val="00872582"/>
    <w:rsid w:val="008744E2"/>
    <w:rsid w:val="00875E0F"/>
    <w:rsid w:val="0087796C"/>
    <w:rsid w:val="00880063"/>
    <w:rsid w:val="00881CE6"/>
    <w:rsid w:val="008859E2"/>
    <w:rsid w:val="00890D8E"/>
    <w:rsid w:val="00891DFA"/>
    <w:rsid w:val="00892767"/>
    <w:rsid w:val="0089401B"/>
    <w:rsid w:val="0089706F"/>
    <w:rsid w:val="008A1E28"/>
    <w:rsid w:val="008A3983"/>
    <w:rsid w:val="008A3C80"/>
    <w:rsid w:val="008A3CF7"/>
    <w:rsid w:val="008A3D57"/>
    <w:rsid w:val="008A482F"/>
    <w:rsid w:val="008A62B9"/>
    <w:rsid w:val="008A7C3C"/>
    <w:rsid w:val="008B23BC"/>
    <w:rsid w:val="008B2C50"/>
    <w:rsid w:val="008B50CA"/>
    <w:rsid w:val="008B5FEB"/>
    <w:rsid w:val="008C1F94"/>
    <w:rsid w:val="008C4E76"/>
    <w:rsid w:val="008D0B59"/>
    <w:rsid w:val="008D1C1B"/>
    <w:rsid w:val="008D2689"/>
    <w:rsid w:val="008D3A41"/>
    <w:rsid w:val="008D5576"/>
    <w:rsid w:val="008D72C0"/>
    <w:rsid w:val="008E05C0"/>
    <w:rsid w:val="008E2B3E"/>
    <w:rsid w:val="008E3D60"/>
    <w:rsid w:val="008E3F4C"/>
    <w:rsid w:val="008E6BA7"/>
    <w:rsid w:val="008F1D63"/>
    <w:rsid w:val="008F20D1"/>
    <w:rsid w:val="008F268E"/>
    <w:rsid w:val="008F3FE6"/>
    <w:rsid w:val="008F52BC"/>
    <w:rsid w:val="008F60D3"/>
    <w:rsid w:val="008F698D"/>
    <w:rsid w:val="008F6A08"/>
    <w:rsid w:val="008F6B7B"/>
    <w:rsid w:val="008F7470"/>
    <w:rsid w:val="0090165F"/>
    <w:rsid w:val="00901B82"/>
    <w:rsid w:val="00902667"/>
    <w:rsid w:val="009058E2"/>
    <w:rsid w:val="00905A04"/>
    <w:rsid w:val="009115AD"/>
    <w:rsid w:val="00912B09"/>
    <w:rsid w:val="00914086"/>
    <w:rsid w:val="00914A7B"/>
    <w:rsid w:val="00914CFB"/>
    <w:rsid w:val="00915CBD"/>
    <w:rsid w:val="009163B0"/>
    <w:rsid w:val="009164E2"/>
    <w:rsid w:val="00917F31"/>
    <w:rsid w:val="00922B36"/>
    <w:rsid w:val="009255D0"/>
    <w:rsid w:val="00927650"/>
    <w:rsid w:val="009277CA"/>
    <w:rsid w:val="00933F36"/>
    <w:rsid w:val="00934E23"/>
    <w:rsid w:val="0093501F"/>
    <w:rsid w:val="00935221"/>
    <w:rsid w:val="00937999"/>
    <w:rsid w:val="00942324"/>
    <w:rsid w:val="00942419"/>
    <w:rsid w:val="009428E9"/>
    <w:rsid w:val="00943CA8"/>
    <w:rsid w:val="00944E5B"/>
    <w:rsid w:val="00950EC7"/>
    <w:rsid w:val="00951A07"/>
    <w:rsid w:val="00952F3A"/>
    <w:rsid w:val="009543D3"/>
    <w:rsid w:val="009556F0"/>
    <w:rsid w:val="0095668A"/>
    <w:rsid w:val="009577CB"/>
    <w:rsid w:val="009600DC"/>
    <w:rsid w:val="00961213"/>
    <w:rsid w:val="00964801"/>
    <w:rsid w:val="0096490B"/>
    <w:rsid w:val="00966C2F"/>
    <w:rsid w:val="00967579"/>
    <w:rsid w:val="009716FE"/>
    <w:rsid w:val="00973478"/>
    <w:rsid w:val="0097512B"/>
    <w:rsid w:val="009754E0"/>
    <w:rsid w:val="00975BEB"/>
    <w:rsid w:val="00976A93"/>
    <w:rsid w:val="00984475"/>
    <w:rsid w:val="0098451D"/>
    <w:rsid w:val="009852F6"/>
    <w:rsid w:val="00985590"/>
    <w:rsid w:val="0098569E"/>
    <w:rsid w:val="00985CAB"/>
    <w:rsid w:val="009908DC"/>
    <w:rsid w:val="00990C6C"/>
    <w:rsid w:val="0099138D"/>
    <w:rsid w:val="009914DC"/>
    <w:rsid w:val="009A2982"/>
    <w:rsid w:val="009A3123"/>
    <w:rsid w:val="009A38DB"/>
    <w:rsid w:val="009A4693"/>
    <w:rsid w:val="009A50A3"/>
    <w:rsid w:val="009A50E6"/>
    <w:rsid w:val="009A5636"/>
    <w:rsid w:val="009A5BFC"/>
    <w:rsid w:val="009B11B5"/>
    <w:rsid w:val="009B43D9"/>
    <w:rsid w:val="009B4F1C"/>
    <w:rsid w:val="009C2774"/>
    <w:rsid w:val="009C27D1"/>
    <w:rsid w:val="009C42FC"/>
    <w:rsid w:val="009C5AC8"/>
    <w:rsid w:val="009D3690"/>
    <w:rsid w:val="009D3F4B"/>
    <w:rsid w:val="009D67F6"/>
    <w:rsid w:val="009E0FE1"/>
    <w:rsid w:val="009E1140"/>
    <w:rsid w:val="009E3233"/>
    <w:rsid w:val="009F21CD"/>
    <w:rsid w:val="009F4271"/>
    <w:rsid w:val="009F45CB"/>
    <w:rsid w:val="00A0253C"/>
    <w:rsid w:val="00A0406E"/>
    <w:rsid w:val="00A04AA3"/>
    <w:rsid w:val="00A04BD1"/>
    <w:rsid w:val="00A0574E"/>
    <w:rsid w:val="00A058FB"/>
    <w:rsid w:val="00A07FA2"/>
    <w:rsid w:val="00A11307"/>
    <w:rsid w:val="00A114DE"/>
    <w:rsid w:val="00A133CA"/>
    <w:rsid w:val="00A13AF3"/>
    <w:rsid w:val="00A21388"/>
    <w:rsid w:val="00A2580C"/>
    <w:rsid w:val="00A27791"/>
    <w:rsid w:val="00A3359D"/>
    <w:rsid w:val="00A3364F"/>
    <w:rsid w:val="00A3547B"/>
    <w:rsid w:val="00A37AFC"/>
    <w:rsid w:val="00A41355"/>
    <w:rsid w:val="00A417AC"/>
    <w:rsid w:val="00A422C2"/>
    <w:rsid w:val="00A43B92"/>
    <w:rsid w:val="00A45481"/>
    <w:rsid w:val="00A4777C"/>
    <w:rsid w:val="00A478F3"/>
    <w:rsid w:val="00A47D81"/>
    <w:rsid w:val="00A505E2"/>
    <w:rsid w:val="00A508B1"/>
    <w:rsid w:val="00A54251"/>
    <w:rsid w:val="00A6179E"/>
    <w:rsid w:val="00A624A3"/>
    <w:rsid w:val="00A62A98"/>
    <w:rsid w:val="00A62BC9"/>
    <w:rsid w:val="00A64316"/>
    <w:rsid w:val="00A64DCE"/>
    <w:rsid w:val="00A65E5B"/>
    <w:rsid w:val="00A71226"/>
    <w:rsid w:val="00A73209"/>
    <w:rsid w:val="00A74014"/>
    <w:rsid w:val="00A75223"/>
    <w:rsid w:val="00A7628F"/>
    <w:rsid w:val="00A804D9"/>
    <w:rsid w:val="00A815CA"/>
    <w:rsid w:val="00A81797"/>
    <w:rsid w:val="00A823D2"/>
    <w:rsid w:val="00A82B9D"/>
    <w:rsid w:val="00A8310F"/>
    <w:rsid w:val="00A86D09"/>
    <w:rsid w:val="00A919C5"/>
    <w:rsid w:val="00A92F92"/>
    <w:rsid w:val="00A947F6"/>
    <w:rsid w:val="00A96892"/>
    <w:rsid w:val="00A9775A"/>
    <w:rsid w:val="00AA06E6"/>
    <w:rsid w:val="00AA2051"/>
    <w:rsid w:val="00AA360E"/>
    <w:rsid w:val="00AA663C"/>
    <w:rsid w:val="00AB0A99"/>
    <w:rsid w:val="00AB23CC"/>
    <w:rsid w:val="00AB2A72"/>
    <w:rsid w:val="00AB5753"/>
    <w:rsid w:val="00AB5B3C"/>
    <w:rsid w:val="00AB5CF6"/>
    <w:rsid w:val="00AB5F6D"/>
    <w:rsid w:val="00AB6039"/>
    <w:rsid w:val="00AB6637"/>
    <w:rsid w:val="00AB76DB"/>
    <w:rsid w:val="00AC2A38"/>
    <w:rsid w:val="00AC2A40"/>
    <w:rsid w:val="00AC6565"/>
    <w:rsid w:val="00AD1C50"/>
    <w:rsid w:val="00AD30DA"/>
    <w:rsid w:val="00AE0CAB"/>
    <w:rsid w:val="00AE3118"/>
    <w:rsid w:val="00AE3AB7"/>
    <w:rsid w:val="00AE55A2"/>
    <w:rsid w:val="00AF0970"/>
    <w:rsid w:val="00AF28DB"/>
    <w:rsid w:val="00AF361A"/>
    <w:rsid w:val="00AF4C8D"/>
    <w:rsid w:val="00AF73E3"/>
    <w:rsid w:val="00B05692"/>
    <w:rsid w:val="00B06D88"/>
    <w:rsid w:val="00B07467"/>
    <w:rsid w:val="00B10CAC"/>
    <w:rsid w:val="00B11188"/>
    <w:rsid w:val="00B13249"/>
    <w:rsid w:val="00B16CB9"/>
    <w:rsid w:val="00B2184A"/>
    <w:rsid w:val="00B231EC"/>
    <w:rsid w:val="00B24B1D"/>
    <w:rsid w:val="00B24C55"/>
    <w:rsid w:val="00B277E0"/>
    <w:rsid w:val="00B31F48"/>
    <w:rsid w:val="00B34946"/>
    <w:rsid w:val="00B37979"/>
    <w:rsid w:val="00B40C3A"/>
    <w:rsid w:val="00B43A91"/>
    <w:rsid w:val="00B46851"/>
    <w:rsid w:val="00B469E7"/>
    <w:rsid w:val="00B46E98"/>
    <w:rsid w:val="00B502FE"/>
    <w:rsid w:val="00B519FD"/>
    <w:rsid w:val="00B520BC"/>
    <w:rsid w:val="00B52A4F"/>
    <w:rsid w:val="00B5430D"/>
    <w:rsid w:val="00B558FF"/>
    <w:rsid w:val="00B632EA"/>
    <w:rsid w:val="00B63D24"/>
    <w:rsid w:val="00B64B37"/>
    <w:rsid w:val="00B66361"/>
    <w:rsid w:val="00B73FE6"/>
    <w:rsid w:val="00B76467"/>
    <w:rsid w:val="00B77BD3"/>
    <w:rsid w:val="00B82CEA"/>
    <w:rsid w:val="00B8725F"/>
    <w:rsid w:val="00B904DD"/>
    <w:rsid w:val="00B924E6"/>
    <w:rsid w:val="00B93C6E"/>
    <w:rsid w:val="00B94FBC"/>
    <w:rsid w:val="00BA0260"/>
    <w:rsid w:val="00BA18DA"/>
    <w:rsid w:val="00BA262D"/>
    <w:rsid w:val="00BA293A"/>
    <w:rsid w:val="00BA2C57"/>
    <w:rsid w:val="00BA4787"/>
    <w:rsid w:val="00BA5698"/>
    <w:rsid w:val="00BA7AB3"/>
    <w:rsid w:val="00BA7FAD"/>
    <w:rsid w:val="00BB39DA"/>
    <w:rsid w:val="00BC006D"/>
    <w:rsid w:val="00BC0CBF"/>
    <w:rsid w:val="00BC3BD7"/>
    <w:rsid w:val="00BC478A"/>
    <w:rsid w:val="00BC79EB"/>
    <w:rsid w:val="00BD2F9F"/>
    <w:rsid w:val="00BD32FC"/>
    <w:rsid w:val="00BD62C2"/>
    <w:rsid w:val="00BD67CD"/>
    <w:rsid w:val="00BD6C28"/>
    <w:rsid w:val="00BD7FCF"/>
    <w:rsid w:val="00BE0F28"/>
    <w:rsid w:val="00BE2746"/>
    <w:rsid w:val="00BE33AE"/>
    <w:rsid w:val="00BE53B7"/>
    <w:rsid w:val="00BF0FF6"/>
    <w:rsid w:val="00BF1072"/>
    <w:rsid w:val="00BF4FDC"/>
    <w:rsid w:val="00BF666A"/>
    <w:rsid w:val="00C1026C"/>
    <w:rsid w:val="00C127E7"/>
    <w:rsid w:val="00C13A33"/>
    <w:rsid w:val="00C1559B"/>
    <w:rsid w:val="00C16EA5"/>
    <w:rsid w:val="00C25AE3"/>
    <w:rsid w:val="00C25BDA"/>
    <w:rsid w:val="00C26458"/>
    <w:rsid w:val="00C276EE"/>
    <w:rsid w:val="00C32929"/>
    <w:rsid w:val="00C33104"/>
    <w:rsid w:val="00C41969"/>
    <w:rsid w:val="00C4227B"/>
    <w:rsid w:val="00C42747"/>
    <w:rsid w:val="00C44592"/>
    <w:rsid w:val="00C45233"/>
    <w:rsid w:val="00C45387"/>
    <w:rsid w:val="00C47309"/>
    <w:rsid w:val="00C479AA"/>
    <w:rsid w:val="00C52100"/>
    <w:rsid w:val="00C5220F"/>
    <w:rsid w:val="00C53A69"/>
    <w:rsid w:val="00C54703"/>
    <w:rsid w:val="00C54D31"/>
    <w:rsid w:val="00C600C3"/>
    <w:rsid w:val="00C60D73"/>
    <w:rsid w:val="00C617FE"/>
    <w:rsid w:val="00C62EEA"/>
    <w:rsid w:val="00C65F30"/>
    <w:rsid w:val="00C66E58"/>
    <w:rsid w:val="00C675B9"/>
    <w:rsid w:val="00C7027C"/>
    <w:rsid w:val="00C702FE"/>
    <w:rsid w:val="00C7250F"/>
    <w:rsid w:val="00C74318"/>
    <w:rsid w:val="00C76D30"/>
    <w:rsid w:val="00C80E50"/>
    <w:rsid w:val="00C82970"/>
    <w:rsid w:val="00C82AE5"/>
    <w:rsid w:val="00C83F00"/>
    <w:rsid w:val="00C854D4"/>
    <w:rsid w:val="00C879E2"/>
    <w:rsid w:val="00C90556"/>
    <w:rsid w:val="00C90AEE"/>
    <w:rsid w:val="00C913D1"/>
    <w:rsid w:val="00C937D7"/>
    <w:rsid w:val="00C942DA"/>
    <w:rsid w:val="00C952D1"/>
    <w:rsid w:val="00CA0AB0"/>
    <w:rsid w:val="00CA0D78"/>
    <w:rsid w:val="00CA1CC8"/>
    <w:rsid w:val="00CA2529"/>
    <w:rsid w:val="00CA4855"/>
    <w:rsid w:val="00CA4BF9"/>
    <w:rsid w:val="00CA534E"/>
    <w:rsid w:val="00CB24FE"/>
    <w:rsid w:val="00CB4A83"/>
    <w:rsid w:val="00CB5099"/>
    <w:rsid w:val="00CB5452"/>
    <w:rsid w:val="00CB6EDB"/>
    <w:rsid w:val="00CB7690"/>
    <w:rsid w:val="00CB7DE2"/>
    <w:rsid w:val="00CC11F3"/>
    <w:rsid w:val="00CC22FF"/>
    <w:rsid w:val="00CC29F6"/>
    <w:rsid w:val="00CC4F97"/>
    <w:rsid w:val="00CC70AA"/>
    <w:rsid w:val="00CC77D4"/>
    <w:rsid w:val="00CD55B5"/>
    <w:rsid w:val="00CD58FD"/>
    <w:rsid w:val="00CE0776"/>
    <w:rsid w:val="00CE11AB"/>
    <w:rsid w:val="00CE171C"/>
    <w:rsid w:val="00CE30E3"/>
    <w:rsid w:val="00CE3A64"/>
    <w:rsid w:val="00CE4162"/>
    <w:rsid w:val="00CF2655"/>
    <w:rsid w:val="00CF4337"/>
    <w:rsid w:val="00CF4AA4"/>
    <w:rsid w:val="00CF6853"/>
    <w:rsid w:val="00CF6E87"/>
    <w:rsid w:val="00D02573"/>
    <w:rsid w:val="00D04562"/>
    <w:rsid w:val="00D05F6A"/>
    <w:rsid w:val="00D07885"/>
    <w:rsid w:val="00D079D2"/>
    <w:rsid w:val="00D11CEC"/>
    <w:rsid w:val="00D20921"/>
    <w:rsid w:val="00D20ABE"/>
    <w:rsid w:val="00D21044"/>
    <w:rsid w:val="00D23D63"/>
    <w:rsid w:val="00D24FAE"/>
    <w:rsid w:val="00D26F07"/>
    <w:rsid w:val="00D30A61"/>
    <w:rsid w:val="00D30BB7"/>
    <w:rsid w:val="00D343FA"/>
    <w:rsid w:val="00D36473"/>
    <w:rsid w:val="00D37CDC"/>
    <w:rsid w:val="00D418FF"/>
    <w:rsid w:val="00D422FF"/>
    <w:rsid w:val="00D438E9"/>
    <w:rsid w:val="00D4445C"/>
    <w:rsid w:val="00D45E00"/>
    <w:rsid w:val="00D4769B"/>
    <w:rsid w:val="00D47CA3"/>
    <w:rsid w:val="00D50B78"/>
    <w:rsid w:val="00D50E2C"/>
    <w:rsid w:val="00D51E88"/>
    <w:rsid w:val="00D51F05"/>
    <w:rsid w:val="00D5699A"/>
    <w:rsid w:val="00D57C73"/>
    <w:rsid w:val="00D6222A"/>
    <w:rsid w:val="00D62C76"/>
    <w:rsid w:val="00D6309A"/>
    <w:rsid w:val="00D638C7"/>
    <w:rsid w:val="00D64AB1"/>
    <w:rsid w:val="00D65C76"/>
    <w:rsid w:val="00D70DFE"/>
    <w:rsid w:val="00D725DE"/>
    <w:rsid w:val="00D729AD"/>
    <w:rsid w:val="00D734C7"/>
    <w:rsid w:val="00D744B2"/>
    <w:rsid w:val="00D752A7"/>
    <w:rsid w:val="00D76260"/>
    <w:rsid w:val="00D77A4A"/>
    <w:rsid w:val="00D8191B"/>
    <w:rsid w:val="00D83E29"/>
    <w:rsid w:val="00D8448C"/>
    <w:rsid w:val="00D86A02"/>
    <w:rsid w:val="00D87C26"/>
    <w:rsid w:val="00D91B0C"/>
    <w:rsid w:val="00D923EE"/>
    <w:rsid w:val="00D9414C"/>
    <w:rsid w:val="00D94291"/>
    <w:rsid w:val="00D9530D"/>
    <w:rsid w:val="00D96CC1"/>
    <w:rsid w:val="00D97B5F"/>
    <w:rsid w:val="00D97C48"/>
    <w:rsid w:val="00DA0576"/>
    <w:rsid w:val="00DA2F73"/>
    <w:rsid w:val="00DA35AF"/>
    <w:rsid w:val="00DA3C06"/>
    <w:rsid w:val="00DA400E"/>
    <w:rsid w:val="00DB0F63"/>
    <w:rsid w:val="00DB1032"/>
    <w:rsid w:val="00DB5E26"/>
    <w:rsid w:val="00DB7F1E"/>
    <w:rsid w:val="00DC462F"/>
    <w:rsid w:val="00DD02CE"/>
    <w:rsid w:val="00DD38D9"/>
    <w:rsid w:val="00DD6444"/>
    <w:rsid w:val="00DD6A21"/>
    <w:rsid w:val="00DE3D9F"/>
    <w:rsid w:val="00DE5AC2"/>
    <w:rsid w:val="00DE60CA"/>
    <w:rsid w:val="00DE7692"/>
    <w:rsid w:val="00DF2A28"/>
    <w:rsid w:val="00DF2E83"/>
    <w:rsid w:val="00DF4F23"/>
    <w:rsid w:val="00DF6BDF"/>
    <w:rsid w:val="00E04451"/>
    <w:rsid w:val="00E057B2"/>
    <w:rsid w:val="00E05D63"/>
    <w:rsid w:val="00E0773A"/>
    <w:rsid w:val="00E105AD"/>
    <w:rsid w:val="00E10EA3"/>
    <w:rsid w:val="00E15743"/>
    <w:rsid w:val="00E16F01"/>
    <w:rsid w:val="00E20321"/>
    <w:rsid w:val="00E22C38"/>
    <w:rsid w:val="00E24FA3"/>
    <w:rsid w:val="00E25173"/>
    <w:rsid w:val="00E269DD"/>
    <w:rsid w:val="00E26B28"/>
    <w:rsid w:val="00E304B7"/>
    <w:rsid w:val="00E307B5"/>
    <w:rsid w:val="00E30B45"/>
    <w:rsid w:val="00E31465"/>
    <w:rsid w:val="00E31566"/>
    <w:rsid w:val="00E31A0E"/>
    <w:rsid w:val="00E328CD"/>
    <w:rsid w:val="00E32ABF"/>
    <w:rsid w:val="00E36B95"/>
    <w:rsid w:val="00E4003F"/>
    <w:rsid w:val="00E4072C"/>
    <w:rsid w:val="00E4305D"/>
    <w:rsid w:val="00E4421C"/>
    <w:rsid w:val="00E458F6"/>
    <w:rsid w:val="00E45954"/>
    <w:rsid w:val="00E47CDD"/>
    <w:rsid w:val="00E543E4"/>
    <w:rsid w:val="00E55CF5"/>
    <w:rsid w:val="00E5630B"/>
    <w:rsid w:val="00E57196"/>
    <w:rsid w:val="00E5767B"/>
    <w:rsid w:val="00E62331"/>
    <w:rsid w:val="00E71622"/>
    <w:rsid w:val="00E73AF9"/>
    <w:rsid w:val="00E75652"/>
    <w:rsid w:val="00E776AC"/>
    <w:rsid w:val="00E819C5"/>
    <w:rsid w:val="00E81B52"/>
    <w:rsid w:val="00E8652B"/>
    <w:rsid w:val="00E86E7A"/>
    <w:rsid w:val="00E90CDC"/>
    <w:rsid w:val="00E9117A"/>
    <w:rsid w:val="00E92316"/>
    <w:rsid w:val="00E97BD9"/>
    <w:rsid w:val="00EA2CD6"/>
    <w:rsid w:val="00EA44D9"/>
    <w:rsid w:val="00EB1721"/>
    <w:rsid w:val="00EB3504"/>
    <w:rsid w:val="00EB4C9F"/>
    <w:rsid w:val="00EB5333"/>
    <w:rsid w:val="00EB6A76"/>
    <w:rsid w:val="00EB7F10"/>
    <w:rsid w:val="00EC270D"/>
    <w:rsid w:val="00EC4AF4"/>
    <w:rsid w:val="00EC557E"/>
    <w:rsid w:val="00EC73B9"/>
    <w:rsid w:val="00ED1299"/>
    <w:rsid w:val="00ED5678"/>
    <w:rsid w:val="00ED64AC"/>
    <w:rsid w:val="00ED72CD"/>
    <w:rsid w:val="00ED764C"/>
    <w:rsid w:val="00EE0D42"/>
    <w:rsid w:val="00EE2554"/>
    <w:rsid w:val="00EE258F"/>
    <w:rsid w:val="00EE2FDE"/>
    <w:rsid w:val="00EE4A18"/>
    <w:rsid w:val="00EE4C77"/>
    <w:rsid w:val="00EE5FD4"/>
    <w:rsid w:val="00EF167B"/>
    <w:rsid w:val="00EF29CF"/>
    <w:rsid w:val="00EF6612"/>
    <w:rsid w:val="00F007F1"/>
    <w:rsid w:val="00F00FF6"/>
    <w:rsid w:val="00F0100C"/>
    <w:rsid w:val="00F01231"/>
    <w:rsid w:val="00F01551"/>
    <w:rsid w:val="00F101FF"/>
    <w:rsid w:val="00F12542"/>
    <w:rsid w:val="00F12B07"/>
    <w:rsid w:val="00F14AEA"/>
    <w:rsid w:val="00F14C6D"/>
    <w:rsid w:val="00F150A5"/>
    <w:rsid w:val="00F20B94"/>
    <w:rsid w:val="00F22458"/>
    <w:rsid w:val="00F237C2"/>
    <w:rsid w:val="00F26573"/>
    <w:rsid w:val="00F27053"/>
    <w:rsid w:val="00F27632"/>
    <w:rsid w:val="00F30BB3"/>
    <w:rsid w:val="00F31666"/>
    <w:rsid w:val="00F31DE1"/>
    <w:rsid w:val="00F33F2A"/>
    <w:rsid w:val="00F375D2"/>
    <w:rsid w:val="00F408A8"/>
    <w:rsid w:val="00F424BA"/>
    <w:rsid w:val="00F431BF"/>
    <w:rsid w:val="00F44185"/>
    <w:rsid w:val="00F45155"/>
    <w:rsid w:val="00F45EDB"/>
    <w:rsid w:val="00F51290"/>
    <w:rsid w:val="00F51595"/>
    <w:rsid w:val="00F53559"/>
    <w:rsid w:val="00F53AB3"/>
    <w:rsid w:val="00F53CB6"/>
    <w:rsid w:val="00F64F6F"/>
    <w:rsid w:val="00F65649"/>
    <w:rsid w:val="00F671F2"/>
    <w:rsid w:val="00F677B3"/>
    <w:rsid w:val="00F716BD"/>
    <w:rsid w:val="00F731AD"/>
    <w:rsid w:val="00F903AF"/>
    <w:rsid w:val="00F91BFA"/>
    <w:rsid w:val="00F93020"/>
    <w:rsid w:val="00F93FB3"/>
    <w:rsid w:val="00F9519C"/>
    <w:rsid w:val="00F961F8"/>
    <w:rsid w:val="00F96503"/>
    <w:rsid w:val="00FA4372"/>
    <w:rsid w:val="00FA4916"/>
    <w:rsid w:val="00FA603D"/>
    <w:rsid w:val="00FB106F"/>
    <w:rsid w:val="00FB3A65"/>
    <w:rsid w:val="00FB4E89"/>
    <w:rsid w:val="00FB55D1"/>
    <w:rsid w:val="00FB7547"/>
    <w:rsid w:val="00FC07C4"/>
    <w:rsid w:val="00FC093C"/>
    <w:rsid w:val="00FC18CB"/>
    <w:rsid w:val="00FC20FA"/>
    <w:rsid w:val="00FC7CC4"/>
    <w:rsid w:val="00FD01B5"/>
    <w:rsid w:val="00FD0556"/>
    <w:rsid w:val="00FD418A"/>
    <w:rsid w:val="00FD5139"/>
    <w:rsid w:val="00FD5491"/>
    <w:rsid w:val="00FD5A45"/>
    <w:rsid w:val="00FD5FA4"/>
    <w:rsid w:val="00FD64CC"/>
    <w:rsid w:val="00FE0580"/>
    <w:rsid w:val="00FE4E9A"/>
    <w:rsid w:val="00FE5ECB"/>
    <w:rsid w:val="00FE7D01"/>
    <w:rsid w:val="00FF1095"/>
    <w:rsid w:val="00FF61BA"/>
    <w:rsid w:val="00FF7B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0B0E6DBC"/>
  <w15:docId w15:val="{85F2FA7C-2B39-4B4D-929A-25DDDB0A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iPriority="99"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Cs w:val="26"/>
    </w:rPr>
  </w:style>
  <w:style w:type="character" w:customStyle="1" w:styleId="Heading4Char">
    <w:name w:val="Heading 4 Char"/>
    <w:link w:val="Heading4"/>
    <w:rsid w:val="008007A8"/>
    <w:rPr>
      <w:rFonts w:ascii="Arial" w:eastAsia="MS Mincho" w:hAnsi="Arial"/>
      <w:iCs/>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rPr>
  </w:style>
  <w:style w:type="character" w:customStyle="1" w:styleId="Heading6Char">
    <w:name w:val="Heading 6 Char"/>
    <w:link w:val="Heading6"/>
    <w:rsid w:val="008007A8"/>
    <w:rPr>
      <w:rFonts w:ascii="Cambria" w:eastAsia="MS Mincho" w:hAnsi="Cambria"/>
      <w:i/>
      <w:iCs/>
      <w:color w:val="243F60"/>
    </w:rPr>
  </w:style>
  <w:style w:type="character" w:customStyle="1" w:styleId="Heading7Char">
    <w:name w:val="Heading 7 Char"/>
    <w:link w:val="Heading7"/>
    <w:rsid w:val="008007A8"/>
    <w:rPr>
      <w:rFonts w:ascii="Cambria" w:eastAsia="MS Mincho" w:hAnsi="Cambria"/>
      <w:i/>
      <w:iCs/>
      <w:color w:val="404040"/>
    </w:rPr>
  </w:style>
  <w:style w:type="character" w:customStyle="1" w:styleId="Heading8Char">
    <w:name w:val="Heading 8 Char"/>
    <w:link w:val="Heading8"/>
    <w:rsid w:val="008007A8"/>
    <w:rPr>
      <w:rFonts w:ascii="Cambria" w:eastAsia="MS Mincho" w:hAnsi="Cambria"/>
      <w:color w:val="404040"/>
      <w:sz w:val="20"/>
      <w:szCs w:val="20"/>
    </w:rPr>
  </w:style>
  <w:style w:type="character" w:customStyle="1" w:styleId="Heading9Char">
    <w:name w:val="Heading 9 Char"/>
    <w:link w:val="Heading9"/>
    <w:rsid w:val="008007A8"/>
    <w:rPr>
      <w:rFonts w:ascii="Cambria" w:eastAsia="MS Mincho" w:hAnsi="Cambria"/>
      <w:i/>
      <w:iCs/>
      <w:color w:val="404040"/>
      <w:sz w:val="20"/>
      <w:szCs w:val="2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spacing w:before="0" w:after="0"/>
      <w:ind w:left="480"/>
    </w:pPr>
    <w:rPr>
      <w:rFonts w:asciiTheme="minorHAnsi" w:hAnsiTheme="minorHAnsi"/>
      <w:sz w:val="22"/>
      <w:szCs w:val="22"/>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F22458"/>
    <w:pPr>
      <w:spacing w:before="120" w:after="0"/>
    </w:pPr>
    <w:rPr>
      <w:rFonts w:asciiTheme="minorHAnsi" w:hAnsiTheme="minorHAnsi"/>
      <w:b/>
      <w:sz w:val="22"/>
    </w:rPr>
  </w:style>
  <w:style w:type="paragraph" w:styleId="TOC2">
    <w:name w:val="toc 2"/>
    <w:basedOn w:val="Normal"/>
    <w:next w:val="Normal"/>
    <w:autoRedefine/>
    <w:uiPriority w:val="39"/>
    <w:qFormat/>
    <w:locked/>
    <w:rsid w:val="00A92F92"/>
    <w:pPr>
      <w:spacing w:before="0" w:after="0"/>
      <w:ind w:left="240"/>
    </w:pPr>
    <w:rPr>
      <w:rFonts w:asciiTheme="minorHAnsi" w:hAnsiTheme="minorHAnsi"/>
      <w:b/>
      <w:sz w:val="22"/>
      <w:szCs w:val="22"/>
    </w:rPr>
  </w:style>
  <w:style w:type="paragraph" w:styleId="TOC4">
    <w:name w:val="toc 4"/>
    <w:basedOn w:val="Normal"/>
    <w:next w:val="Normal"/>
    <w:autoRedefine/>
    <w:uiPriority w:val="39"/>
    <w:semiHidden/>
    <w:locked/>
    <w:rsid w:val="00814FC0"/>
    <w:pPr>
      <w:spacing w:before="0" w:after="0"/>
      <w:ind w:left="720"/>
    </w:pPr>
    <w:rPr>
      <w:rFonts w:asciiTheme="minorHAnsi" w:hAnsiTheme="minorHAnsi"/>
      <w:sz w:val="20"/>
      <w:szCs w:val="20"/>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uiPriority w:val="99"/>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s refss"/>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single space Char"/>
    <w:basedOn w:val="Normal"/>
    <w:link w:val="FootnoteTextChar"/>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
    <w:basedOn w:val="Normal"/>
    <w:link w:val="SubmissionNormalChar"/>
    <w:rsid w:val="00B34946"/>
    <w:rPr>
      <w:rFonts w:eastAsia="Times New Roman"/>
    </w:rPr>
  </w:style>
  <w:style w:type="character" w:customStyle="1" w:styleId="SubmissionNormalChar">
    <w:name w:val="Submission Normal Char"/>
    <w:link w:val="SubmissionNormal"/>
    <w:rsid w:val="00B34946"/>
    <w:rPr>
      <w:rFonts w:ascii="Arial" w:hAnsi="Arial"/>
    </w:rPr>
  </w:style>
  <w:style w:type="paragraph" w:customStyle="1" w:styleId="coveraddresses">
    <w:name w:val="cover addresses"/>
    <w:basedOn w:val="Footer"/>
    <w:qFormat/>
    <w:rsid w:val="001F5B2D"/>
    <w:pPr>
      <w:spacing w:after="40"/>
    </w:pPr>
    <w:rPr>
      <w:sz w:val="24"/>
    </w:rPr>
  </w:style>
  <w:style w:type="paragraph" w:styleId="ListParagraph">
    <w:name w:val="List Paragraph"/>
    <w:basedOn w:val="Normal"/>
    <w:uiPriority w:val="34"/>
    <w:qFormat/>
    <w:rsid w:val="0002510D"/>
    <w:pPr>
      <w:ind w:left="720"/>
      <w:contextualSpacing/>
    </w:pPr>
    <w:rPr>
      <w:rFonts w:eastAsia="Times New Roman"/>
    </w:rPr>
  </w:style>
  <w:style w:type="character" w:styleId="CommentReference">
    <w:name w:val="annotation reference"/>
    <w:basedOn w:val="DefaultParagraphFont"/>
    <w:locked/>
    <w:rsid w:val="001C7187"/>
    <w:rPr>
      <w:sz w:val="16"/>
      <w:szCs w:val="16"/>
    </w:rPr>
  </w:style>
  <w:style w:type="paragraph" w:styleId="CommentText">
    <w:name w:val="annotation text"/>
    <w:basedOn w:val="Normal"/>
    <w:link w:val="CommentTextChar"/>
    <w:locked/>
    <w:rsid w:val="001C7187"/>
    <w:rPr>
      <w:sz w:val="20"/>
      <w:szCs w:val="20"/>
    </w:rPr>
  </w:style>
  <w:style w:type="character" w:customStyle="1" w:styleId="CommentTextChar">
    <w:name w:val="Comment Text Char"/>
    <w:basedOn w:val="DefaultParagraphFont"/>
    <w:link w:val="CommentText"/>
    <w:rsid w:val="001C7187"/>
    <w:rPr>
      <w:rFonts w:ascii="Arial" w:eastAsia="MS Mincho" w:hAnsi="Arial"/>
    </w:rPr>
  </w:style>
  <w:style w:type="paragraph" w:styleId="CommentSubject">
    <w:name w:val="annotation subject"/>
    <w:basedOn w:val="CommentText"/>
    <w:next w:val="CommentText"/>
    <w:link w:val="CommentSubjectChar"/>
    <w:locked/>
    <w:rsid w:val="001C7187"/>
    <w:rPr>
      <w:b/>
      <w:bCs/>
    </w:rPr>
  </w:style>
  <w:style w:type="character" w:customStyle="1" w:styleId="CommentSubjectChar">
    <w:name w:val="Comment Subject Char"/>
    <w:basedOn w:val="CommentTextChar"/>
    <w:link w:val="CommentSubject"/>
    <w:rsid w:val="001C7187"/>
    <w:rPr>
      <w:rFonts w:ascii="Arial" w:eastAsia="MS Mincho" w:hAnsi="Arial"/>
      <w:b/>
      <w:bCs/>
    </w:rPr>
  </w:style>
  <w:style w:type="paragraph" w:customStyle="1" w:styleId="Default">
    <w:name w:val="Default"/>
    <w:rsid w:val="002A1F5E"/>
    <w:pPr>
      <w:autoSpaceDE w:val="0"/>
      <w:autoSpaceDN w:val="0"/>
      <w:adjustRightInd w:val="0"/>
    </w:pPr>
    <w:rPr>
      <w:color w:val="00000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locked/>
    <w:rsid w:val="00AA360E"/>
    <w:rPr>
      <w:rFonts w:ascii="Arial" w:eastAsia="MS Mincho" w:hAnsi="Arial"/>
    </w:rPr>
  </w:style>
  <w:style w:type="paragraph" w:customStyle="1" w:styleId="gov-is-numbered-paragraph">
    <w:name w:val="gov-is-numbered-paragraph"/>
    <w:basedOn w:val="Normal"/>
    <w:rsid w:val="00D36473"/>
    <w:pPr>
      <w:spacing w:before="100" w:beforeAutospacing="1" w:after="100" w:afterAutospacing="1"/>
    </w:pPr>
    <w:rPr>
      <w:rFonts w:ascii="Times New Roman" w:eastAsia="Times New Roman" w:hAnsi="Times New Roman"/>
    </w:rPr>
  </w:style>
  <w:style w:type="paragraph" w:styleId="TOC5">
    <w:name w:val="toc 5"/>
    <w:basedOn w:val="Normal"/>
    <w:next w:val="Normal"/>
    <w:autoRedefine/>
    <w:locked/>
    <w:rsid w:val="00342755"/>
    <w:pPr>
      <w:spacing w:before="0" w:after="0"/>
      <w:ind w:left="960"/>
    </w:pPr>
    <w:rPr>
      <w:rFonts w:asciiTheme="minorHAnsi" w:hAnsiTheme="minorHAnsi"/>
      <w:sz w:val="20"/>
      <w:szCs w:val="20"/>
    </w:rPr>
  </w:style>
  <w:style w:type="paragraph" w:styleId="TOC6">
    <w:name w:val="toc 6"/>
    <w:basedOn w:val="Normal"/>
    <w:next w:val="Normal"/>
    <w:autoRedefine/>
    <w:locked/>
    <w:rsid w:val="00342755"/>
    <w:pPr>
      <w:spacing w:before="0" w:after="0"/>
      <w:ind w:left="1200"/>
    </w:pPr>
    <w:rPr>
      <w:rFonts w:asciiTheme="minorHAnsi" w:hAnsiTheme="minorHAnsi"/>
      <w:sz w:val="20"/>
      <w:szCs w:val="20"/>
    </w:rPr>
  </w:style>
  <w:style w:type="paragraph" w:styleId="TOC7">
    <w:name w:val="toc 7"/>
    <w:basedOn w:val="Normal"/>
    <w:next w:val="Normal"/>
    <w:autoRedefine/>
    <w:locked/>
    <w:rsid w:val="00342755"/>
    <w:pPr>
      <w:spacing w:before="0" w:after="0"/>
      <w:ind w:left="1440"/>
    </w:pPr>
    <w:rPr>
      <w:rFonts w:asciiTheme="minorHAnsi" w:hAnsiTheme="minorHAnsi"/>
      <w:sz w:val="20"/>
      <w:szCs w:val="20"/>
    </w:rPr>
  </w:style>
  <w:style w:type="paragraph" w:styleId="TOC8">
    <w:name w:val="toc 8"/>
    <w:basedOn w:val="Normal"/>
    <w:next w:val="Normal"/>
    <w:autoRedefine/>
    <w:locked/>
    <w:rsid w:val="00342755"/>
    <w:pPr>
      <w:spacing w:before="0" w:after="0"/>
      <w:ind w:left="1680"/>
    </w:pPr>
    <w:rPr>
      <w:rFonts w:asciiTheme="minorHAnsi" w:hAnsiTheme="minorHAnsi"/>
      <w:sz w:val="20"/>
      <w:szCs w:val="20"/>
    </w:rPr>
  </w:style>
  <w:style w:type="paragraph" w:styleId="TOC9">
    <w:name w:val="toc 9"/>
    <w:basedOn w:val="Normal"/>
    <w:next w:val="Normal"/>
    <w:autoRedefine/>
    <w:locked/>
    <w:rsid w:val="00342755"/>
    <w:pPr>
      <w:spacing w:before="0" w:after="0"/>
      <w:ind w:left="1920"/>
    </w:pPr>
    <w:rPr>
      <w:rFonts w:asciiTheme="minorHAnsi" w:hAnsiTheme="minorHAnsi"/>
      <w:sz w:val="20"/>
      <w:szCs w:val="20"/>
    </w:rPr>
  </w:style>
  <w:style w:type="paragraph" w:customStyle="1" w:styleId="Heading">
    <w:name w:val="Heading"/>
    <w:next w:val="Normal"/>
    <w:rsid w:val="009277CA"/>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u w:color="000000"/>
      <w:bdr w:val="nil"/>
      <w:lang w:val="en-US"/>
    </w:rPr>
  </w:style>
  <w:style w:type="numbering" w:customStyle="1" w:styleId="ImportedStyle1">
    <w:name w:val="Imported Style 1"/>
    <w:rsid w:val="009277CA"/>
    <w:pPr>
      <w:numPr>
        <w:numId w:val="26"/>
      </w:numPr>
    </w:pPr>
  </w:style>
  <w:style w:type="numbering" w:customStyle="1" w:styleId="ImportedStyle3">
    <w:name w:val="Imported Style 3"/>
    <w:rsid w:val="009277CA"/>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236">
      <w:bodyDiv w:val="1"/>
      <w:marLeft w:val="0"/>
      <w:marRight w:val="0"/>
      <w:marTop w:val="0"/>
      <w:marBottom w:val="0"/>
      <w:divBdr>
        <w:top w:val="none" w:sz="0" w:space="0" w:color="auto"/>
        <w:left w:val="none" w:sz="0" w:space="0" w:color="auto"/>
        <w:bottom w:val="none" w:sz="0" w:space="0" w:color="auto"/>
        <w:right w:val="none" w:sz="0" w:space="0" w:color="auto"/>
      </w:divBdr>
    </w:div>
    <w:div w:id="141970205">
      <w:bodyDiv w:val="1"/>
      <w:marLeft w:val="0"/>
      <w:marRight w:val="0"/>
      <w:marTop w:val="0"/>
      <w:marBottom w:val="0"/>
      <w:divBdr>
        <w:top w:val="none" w:sz="0" w:space="0" w:color="auto"/>
        <w:left w:val="none" w:sz="0" w:space="0" w:color="auto"/>
        <w:bottom w:val="none" w:sz="0" w:space="0" w:color="auto"/>
        <w:right w:val="none" w:sz="0" w:space="0" w:color="auto"/>
      </w:divBdr>
    </w:div>
    <w:div w:id="210579868">
      <w:bodyDiv w:val="1"/>
      <w:marLeft w:val="0"/>
      <w:marRight w:val="0"/>
      <w:marTop w:val="0"/>
      <w:marBottom w:val="0"/>
      <w:divBdr>
        <w:top w:val="none" w:sz="0" w:space="0" w:color="auto"/>
        <w:left w:val="none" w:sz="0" w:space="0" w:color="auto"/>
        <w:bottom w:val="none" w:sz="0" w:space="0" w:color="auto"/>
        <w:right w:val="none" w:sz="0" w:space="0" w:color="auto"/>
      </w:divBdr>
    </w:div>
    <w:div w:id="326326129">
      <w:bodyDiv w:val="1"/>
      <w:marLeft w:val="0"/>
      <w:marRight w:val="0"/>
      <w:marTop w:val="0"/>
      <w:marBottom w:val="0"/>
      <w:divBdr>
        <w:top w:val="none" w:sz="0" w:space="0" w:color="auto"/>
        <w:left w:val="none" w:sz="0" w:space="0" w:color="auto"/>
        <w:bottom w:val="none" w:sz="0" w:space="0" w:color="auto"/>
        <w:right w:val="none" w:sz="0" w:space="0" w:color="auto"/>
      </w:divBdr>
      <w:divsChild>
        <w:div w:id="1056972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2927938">
      <w:bodyDiv w:val="1"/>
      <w:marLeft w:val="0"/>
      <w:marRight w:val="0"/>
      <w:marTop w:val="0"/>
      <w:marBottom w:val="0"/>
      <w:divBdr>
        <w:top w:val="none" w:sz="0" w:space="0" w:color="auto"/>
        <w:left w:val="none" w:sz="0" w:space="0" w:color="auto"/>
        <w:bottom w:val="none" w:sz="0" w:space="0" w:color="auto"/>
        <w:right w:val="none" w:sz="0" w:space="0" w:color="auto"/>
      </w:divBdr>
    </w:div>
    <w:div w:id="456871663">
      <w:bodyDiv w:val="1"/>
      <w:marLeft w:val="0"/>
      <w:marRight w:val="0"/>
      <w:marTop w:val="0"/>
      <w:marBottom w:val="0"/>
      <w:divBdr>
        <w:top w:val="none" w:sz="0" w:space="0" w:color="auto"/>
        <w:left w:val="none" w:sz="0" w:space="0" w:color="auto"/>
        <w:bottom w:val="none" w:sz="0" w:space="0" w:color="auto"/>
        <w:right w:val="none" w:sz="0" w:space="0" w:color="auto"/>
      </w:divBdr>
    </w:div>
    <w:div w:id="704863977">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50808753">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48437880">
      <w:bodyDiv w:val="1"/>
      <w:marLeft w:val="0"/>
      <w:marRight w:val="0"/>
      <w:marTop w:val="0"/>
      <w:marBottom w:val="0"/>
      <w:divBdr>
        <w:top w:val="none" w:sz="0" w:space="0" w:color="auto"/>
        <w:left w:val="none" w:sz="0" w:space="0" w:color="auto"/>
        <w:bottom w:val="none" w:sz="0" w:space="0" w:color="auto"/>
        <w:right w:val="none" w:sz="0" w:space="0" w:color="auto"/>
      </w:divBdr>
    </w:div>
    <w:div w:id="957100328">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27565198">
      <w:bodyDiv w:val="1"/>
      <w:marLeft w:val="0"/>
      <w:marRight w:val="0"/>
      <w:marTop w:val="0"/>
      <w:marBottom w:val="0"/>
      <w:divBdr>
        <w:top w:val="none" w:sz="0" w:space="0" w:color="auto"/>
        <w:left w:val="none" w:sz="0" w:space="0" w:color="auto"/>
        <w:bottom w:val="none" w:sz="0" w:space="0" w:color="auto"/>
        <w:right w:val="none" w:sz="0" w:space="0" w:color="auto"/>
      </w:divBdr>
    </w:div>
    <w:div w:id="1108114831">
      <w:bodyDiv w:val="1"/>
      <w:marLeft w:val="0"/>
      <w:marRight w:val="0"/>
      <w:marTop w:val="0"/>
      <w:marBottom w:val="0"/>
      <w:divBdr>
        <w:top w:val="none" w:sz="0" w:space="0" w:color="auto"/>
        <w:left w:val="none" w:sz="0" w:space="0" w:color="auto"/>
        <w:bottom w:val="none" w:sz="0" w:space="0" w:color="auto"/>
        <w:right w:val="none" w:sz="0" w:space="0" w:color="auto"/>
      </w:divBdr>
    </w:div>
    <w:div w:id="1220285396">
      <w:bodyDiv w:val="1"/>
      <w:marLeft w:val="0"/>
      <w:marRight w:val="0"/>
      <w:marTop w:val="0"/>
      <w:marBottom w:val="0"/>
      <w:divBdr>
        <w:top w:val="none" w:sz="0" w:space="0" w:color="auto"/>
        <w:left w:val="none" w:sz="0" w:space="0" w:color="auto"/>
        <w:bottom w:val="none" w:sz="0" w:space="0" w:color="auto"/>
        <w:right w:val="none" w:sz="0" w:space="0" w:color="auto"/>
      </w:divBdr>
      <w:divsChild>
        <w:div w:id="109126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76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425556">
      <w:bodyDiv w:val="1"/>
      <w:marLeft w:val="0"/>
      <w:marRight w:val="0"/>
      <w:marTop w:val="0"/>
      <w:marBottom w:val="0"/>
      <w:divBdr>
        <w:top w:val="none" w:sz="0" w:space="0" w:color="auto"/>
        <w:left w:val="none" w:sz="0" w:space="0" w:color="auto"/>
        <w:bottom w:val="none" w:sz="0" w:space="0" w:color="auto"/>
        <w:right w:val="none" w:sz="0" w:space="0" w:color="auto"/>
      </w:divBdr>
    </w:div>
    <w:div w:id="1243225057">
      <w:bodyDiv w:val="1"/>
      <w:marLeft w:val="0"/>
      <w:marRight w:val="0"/>
      <w:marTop w:val="0"/>
      <w:marBottom w:val="0"/>
      <w:divBdr>
        <w:top w:val="none" w:sz="0" w:space="0" w:color="auto"/>
        <w:left w:val="none" w:sz="0" w:space="0" w:color="auto"/>
        <w:bottom w:val="none" w:sz="0" w:space="0" w:color="auto"/>
        <w:right w:val="none" w:sz="0" w:space="0" w:color="auto"/>
      </w:divBdr>
    </w:div>
    <w:div w:id="1498882673">
      <w:bodyDiv w:val="1"/>
      <w:marLeft w:val="0"/>
      <w:marRight w:val="0"/>
      <w:marTop w:val="0"/>
      <w:marBottom w:val="0"/>
      <w:divBdr>
        <w:top w:val="none" w:sz="0" w:space="0" w:color="auto"/>
        <w:left w:val="none" w:sz="0" w:space="0" w:color="auto"/>
        <w:bottom w:val="none" w:sz="0" w:space="0" w:color="auto"/>
        <w:right w:val="none" w:sz="0" w:space="0" w:color="auto"/>
      </w:divBdr>
    </w:div>
    <w:div w:id="1621450372">
      <w:bodyDiv w:val="1"/>
      <w:marLeft w:val="0"/>
      <w:marRight w:val="0"/>
      <w:marTop w:val="0"/>
      <w:marBottom w:val="0"/>
      <w:divBdr>
        <w:top w:val="none" w:sz="0" w:space="0" w:color="auto"/>
        <w:left w:val="none" w:sz="0" w:space="0" w:color="auto"/>
        <w:bottom w:val="none" w:sz="0" w:space="0" w:color="auto"/>
        <w:right w:val="none" w:sz="0" w:space="0" w:color="auto"/>
      </w:divBdr>
    </w:div>
    <w:div w:id="1715232796">
      <w:bodyDiv w:val="1"/>
      <w:marLeft w:val="0"/>
      <w:marRight w:val="0"/>
      <w:marTop w:val="0"/>
      <w:marBottom w:val="0"/>
      <w:divBdr>
        <w:top w:val="none" w:sz="0" w:space="0" w:color="auto"/>
        <w:left w:val="none" w:sz="0" w:space="0" w:color="auto"/>
        <w:bottom w:val="none" w:sz="0" w:space="0" w:color="auto"/>
        <w:right w:val="none" w:sz="0" w:space="0" w:color="auto"/>
      </w:divBdr>
    </w:div>
    <w:div w:id="1750616871">
      <w:bodyDiv w:val="1"/>
      <w:marLeft w:val="0"/>
      <w:marRight w:val="0"/>
      <w:marTop w:val="0"/>
      <w:marBottom w:val="0"/>
      <w:divBdr>
        <w:top w:val="none" w:sz="0" w:space="0" w:color="auto"/>
        <w:left w:val="none" w:sz="0" w:space="0" w:color="auto"/>
        <w:bottom w:val="none" w:sz="0" w:space="0" w:color="auto"/>
        <w:right w:val="none" w:sz="0" w:space="0" w:color="auto"/>
      </w:divBdr>
      <w:divsChild>
        <w:div w:id="2083602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138723">
      <w:bodyDiv w:val="1"/>
      <w:marLeft w:val="0"/>
      <w:marRight w:val="0"/>
      <w:marTop w:val="0"/>
      <w:marBottom w:val="0"/>
      <w:divBdr>
        <w:top w:val="none" w:sz="0" w:space="0" w:color="auto"/>
        <w:left w:val="none" w:sz="0" w:space="0" w:color="auto"/>
        <w:bottom w:val="none" w:sz="0" w:space="0" w:color="auto"/>
        <w:right w:val="none" w:sz="0" w:space="0" w:color="auto"/>
      </w:divBdr>
    </w:div>
    <w:div w:id="1891459051">
      <w:bodyDiv w:val="1"/>
      <w:marLeft w:val="0"/>
      <w:marRight w:val="0"/>
      <w:marTop w:val="0"/>
      <w:marBottom w:val="0"/>
      <w:divBdr>
        <w:top w:val="none" w:sz="0" w:space="0" w:color="auto"/>
        <w:left w:val="none" w:sz="0" w:space="0" w:color="auto"/>
        <w:bottom w:val="none" w:sz="0" w:space="0" w:color="auto"/>
        <w:right w:val="none" w:sz="0" w:space="0" w:color="auto"/>
      </w:divBdr>
    </w:div>
    <w:div w:id="1980458874">
      <w:bodyDiv w:val="1"/>
      <w:marLeft w:val="0"/>
      <w:marRight w:val="0"/>
      <w:marTop w:val="0"/>
      <w:marBottom w:val="0"/>
      <w:divBdr>
        <w:top w:val="none" w:sz="0" w:space="0" w:color="auto"/>
        <w:left w:val="none" w:sz="0" w:space="0" w:color="auto"/>
        <w:bottom w:val="none" w:sz="0" w:space="0" w:color="auto"/>
        <w:right w:val="none" w:sz="0" w:space="0" w:color="auto"/>
      </w:divBdr>
    </w:div>
    <w:div w:id="1983189385">
      <w:bodyDiv w:val="1"/>
      <w:marLeft w:val="0"/>
      <w:marRight w:val="0"/>
      <w:marTop w:val="0"/>
      <w:marBottom w:val="0"/>
      <w:divBdr>
        <w:top w:val="none" w:sz="0" w:space="0" w:color="auto"/>
        <w:left w:val="none" w:sz="0" w:space="0" w:color="auto"/>
        <w:bottom w:val="none" w:sz="0" w:space="0" w:color="auto"/>
        <w:right w:val="none" w:sz="0" w:space="0" w:color="auto"/>
      </w:divBdr>
    </w:div>
    <w:div w:id="20393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CDA1D-FF0F-461E-AF86-E92E71EC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89</TotalTime>
  <Pages>29</Pages>
  <Words>9548</Words>
  <Characters>53941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63363</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dc:description/>
  <cp:lastModifiedBy>Ella Kucharova</cp:lastModifiedBy>
  <cp:revision>13</cp:revision>
  <cp:lastPrinted>2017-09-01T06:10:00Z</cp:lastPrinted>
  <dcterms:created xsi:type="dcterms:W3CDTF">2017-09-01T02:44:00Z</dcterms:created>
  <dcterms:modified xsi:type="dcterms:W3CDTF">2017-09-01T06:11:00Z</dcterms:modified>
</cp:coreProperties>
</file>