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1" w:rsidRPr="00654793" w:rsidRDefault="00196CCB" w:rsidP="00CB47F9">
      <w:pPr>
        <w:tabs>
          <w:tab w:val="left" w:pos="3014"/>
        </w:tabs>
        <w:spacing w:after="3000"/>
        <w:jc w:val="both"/>
        <w:rPr>
          <w:rStyle w:val="FootnoteReference"/>
        </w:rPr>
      </w:pPr>
      <w:bookmarkStart w:id="0" w:name="_GoBack"/>
      <w:r>
        <w:rPr>
          <w:noProof/>
        </w:rPr>
        <mc:AlternateContent>
          <mc:Choice Requires="wps">
            <w:drawing>
              <wp:anchor distT="0" distB="0" distL="114300" distR="114300" simplePos="0" relativeHeight="251657728" behindDoc="0" locked="0" layoutInCell="1" allowOverlap="1" wp14:anchorId="6A03B8C1" wp14:editId="2BD3A90B">
                <wp:simplePos x="0" y="0"/>
                <wp:positionH relativeFrom="column">
                  <wp:posOffset>-405130</wp:posOffset>
                </wp:positionH>
                <wp:positionV relativeFrom="paragraph">
                  <wp:posOffset>1996440</wp:posOffset>
                </wp:positionV>
                <wp:extent cx="6142990" cy="11874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2990" cy="1187450"/>
                        </a:xfrm>
                        <a:prstGeom prst="rect">
                          <a:avLst/>
                        </a:prstGeom>
                        <a:noFill/>
                        <a:ln w="6350">
                          <a:noFill/>
                        </a:ln>
                        <a:effectLst/>
                      </wps:spPr>
                      <wps:txbx>
                        <w:txbxContent>
                          <w:p w:rsidR="00001B38" w:rsidRDefault="00001B38" w:rsidP="00A11307">
                            <w:pPr>
                              <w:pStyle w:val="Subtitle"/>
                            </w:pPr>
                          </w:p>
                          <w:p w:rsidR="00001B38" w:rsidRDefault="00001B38" w:rsidP="00A11307">
                            <w:pPr>
                              <w:pStyle w:val="Subtitle"/>
                            </w:pPr>
                          </w:p>
                          <w:p w:rsidR="00001B38" w:rsidRPr="00B74219" w:rsidRDefault="00001B38" w:rsidP="00A11307">
                            <w:pPr>
                              <w:pStyle w:val="Subtitle"/>
                            </w:pPr>
                            <w:bookmarkStart w:id="1" w:name="_Toc354472137"/>
                            <w:r w:rsidRPr="002863D7">
                              <w:t xml:space="preserve">Australian Human Rights Commission Submission to the </w:t>
                            </w:r>
                            <w:r>
                              <w:t>SENATE LEGAL and CONSTITUTIONAL AFFAIRS LEGISLATION COMMITTEE</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9pt;margin-top:157.2pt;width:483.7pt;height: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" filled="f" stroked="f" strokeweight=".5pt">
                <v:path arrowok="t"/>
                <v:textbox>
                  <w:txbxContent>
                    <w:p w:rsidR="00001B38" w:rsidRDefault="00001B38" w:rsidP="00A11307">
                      <w:pPr>
                        <w:pStyle w:val="Subtitle"/>
                      </w:pPr>
                    </w:p>
                    <w:p w:rsidR="00001B38" w:rsidRDefault="00001B38" w:rsidP="00A11307">
                      <w:pPr>
                        <w:pStyle w:val="Subtitle"/>
                      </w:pPr>
                    </w:p>
                    <w:p w:rsidR="00001B38" w:rsidRPr="00B74219" w:rsidRDefault="00001B38" w:rsidP="00A11307">
                      <w:pPr>
                        <w:pStyle w:val="Subtitle"/>
                      </w:pPr>
                      <w:bookmarkStart w:id="2" w:name="_Toc354472137"/>
                      <w:r w:rsidRPr="002863D7">
                        <w:t xml:space="preserve">Australian Human Rights Commission Submission to the </w:t>
                      </w:r>
                      <w:r>
                        <w:t>SENATE LEGAL and CONSTITUTIONAL AFFAIRS LEGISLATION COMMITTEE</w:t>
                      </w:r>
                      <w:bookmarkEnd w:id="2"/>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208D82B" wp14:editId="5859ED45">
                <wp:simplePos x="0" y="0"/>
                <wp:positionH relativeFrom="column">
                  <wp:posOffset>394970</wp:posOffset>
                </wp:positionH>
                <wp:positionV relativeFrom="paragraph">
                  <wp:posOffset>-48260</wp:posOffset>
                </wp:positionV>
                <wp:extent cx="5339715" cy="1962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9715" cy="1962150"/>
                        </a:xfrm>
                        <a:prstGeom prst="rect">
                          <a:avLst/>
                        </a:prstGeom>
                        <a:noFill/>
                        <a:ln w="6350">
                          <a:noFill/>
                        </a:ln>
                        <a:effectLst/>
                      </wps:spPr>
                      <wps:txbx>
                        <w:txbxContent>
                          <w:p w:rsidR="00001B38" w:rsidRDefault="00001B38" w:rsidP="00FD01B5">
                            <w:pPr>
                              <w:pStyle w:val="MainTitle"/>
                            </w:pPr>
                            <w:r>
                              <w:t>Sex Discrimination Amendment (Sexual Orientation, Gender Identity and Intersex Status) Bill 2013</w:t>
                            </w:r>
                          </w:p>
                          <w:p w:rsidR="00001B38" w:rsidRDefault="00001B38" w:rsidP="0085358C">
                            <w:pPr>
                              <w:pStyle w:val="MainTitle"/>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1.1pt;margin-top:-3.8pt;width:420.45pt;height:1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" filled="f" stroked="f" strokeweight=".5pt">
                <v:path arrowok="t"/>
                <v:textbox>
                  <w:txbxContent>
                    <w:p w:rsidR="00001B38" w:rsidRDefault="00001B38" w:rsidP="00FD01B5">
                      <w:pPr>
                        <w:pStyle w:val="MainTitle"/>
                      </w:pPr>
                      <w:r>
                        <w:t>Sex Discrimination Amendment (Sexual Orientation, Gender Identity and Intersex Status) Bill 2013</w:t>
                      </w:r>
                    </w:p>
                    <w:p w:rsidR="00001B38" w:rsidRDefault="00001B38" w:rsidP="0085358C">
                      <w:pPr>
                        <w:pStyle w:val="MainTitle"/>
                        <w:jc w:val="center"/>
                      </w:pPr>
                    </w:p>
                  </w:txbxContent>
                </v:textbox>
              </v:shape>
            </w:pict>
          </mc:Fallback>
        </mc:AlternateContent>
      </w:r>
      <w:r w:rsidR="009728B4">
        <w:rPr>
          <w:noProof/>
        </w:rPr>
        <mc:AlternateContent>
          <mc:Choice Requires="wps">
            <w:drawing>
              <wp:anchor distT="0" distB="0" distL="114300" distR="114300" simplePos="0" relativeHeight="251658752" behindDoc="0" locked="0" layoutInCell="1" allowOverlap="1" wp14:anchorId="0CF04F74" wp14:editId="7A24D161">
                <wp:simplePos x="0" y="0"/>
                <wp:positionH relativeFrom="column">
                  <wp:posOffset>1959610</wp:posOffset>
                </wp:positionH>
                <wp:positionV relativeFrom="paragraph">
                  <wp:posOffset>1996440</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001B38" w:rsidRPr="00B74219" w:rsidRDefault="00001B38" w:rsidP="002863D7">
                            <w:pPr>
                              <w:pStyle w:val="Date"/>
                            </w:pPr>
                            <w:r>
                              <w:t>April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54.3pt;margin-top:157.2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" filled="f" stroked="f" strokeweight=".5pt">
                <v:path arrowok="t"/>
                <v:textbox>
                  <w:txbxContent>
                    <w:p w:rsidR="00001B38" w:rsidRPr="00B74219" w:rsidRDefault="00001B38" w:rsidP="002863D7">
                      <w:pPr>
                        <w:pStyle w:val="Date"/>
                      </w:pPr>
                      <w:r>
                        <w:t>April 2013</w:t>
                      </w:r>
                    </w:p>
                  </w:txbxContent>
                </v:textbox>
              </v:shape>
            </w:pict>
          </mc:Fallback>
        </mc:AlternateContent>
      </w:r>
      <w:bookmarkEnd w:id="0"/>
    </w:p>
    <w:p w:rsidR="00B924E6" w:rsidRDefault="00B924E6" w:rsidP="00CB47F9">
      <w:pPr>
        <w:jc w:val="both"/>
        <w:sectPr w:rsidR="00B924E6" w:rsidSect="00B24B1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8" w:right="1700" w:bottom="1134" w:left="1418" w:header="277" w:footer="415" w:gutter="0"/>
          <w:cols w:space="708"/>
          <w:titlePg/>
          <w:docGrid w:linePitch="360"/>
        </w:sectPr>
      </w:pPr>
      <w:bookmarkStart w:id="3" w:name="_Toc209316062"/>
      <w:bookmarkEnd w:id="3"/>
    </w:p>
    <w:p w:rsidR="00D90A40" w:rsidRDefault="00D90A40" w:rsidP="00CB47F9">
      <w:pPr>
        <w:spacing w:before="0" w:after="0"/>
        <w:jc w:val="both"/>
        <w:rPr>
          <w:b/>
          <w:sz w:val="28"/>
          <w:szCs w:val="28"/>
        </w:rPr>
      </w:pPr>
      <w:bookmarkStart w:id="4" w:name="_Toc207761830"/>
      <w:bookmarkStart w:id="5" w:name="_Toc209578266"/>
      <w:bookmarkStart w:id="6" w:name="_Toc209941766"/>
      <w:r w:rsidRPr="00907336">
        <w:rPr>
          <w:b/>
          <w:sz w:val="28"/>
          <w:szCs w:val="28"/>
        </w:rPr>
        <w:lastRenderedPageBreak/>
        <w:t>Table of Contents</w:t>
      </w:r>
    </w:p>
    <w:p w:rsidR="00001B38" w:rsidRDefault="000F3A4C">
      <w:pPr>
        <w:pStyle w:val="TOC2"/>
        <w:rPr>
          <w:rFonts w:asciiTheme="minorHAnsi" w:eastAsiaTheme="minorEastAsia" w:hAnsiTheme="minorHAnsi" w:cstheme="minorBidi"/>
          <w:b w:val="0"/>
          <w:i w:val="0"/>
          <w:szCs w:val="22"/>
        </w:rPr>
      </w:pPr>
      <w:r>
        <w:rPr>
          <w:bCs/>
          <w:i w:val="0"/>
        </w:rPr>
        <w:fldChar w:fldCharType="begin"/>
      </w:r>
      <w:r>
        <w:rPr>
          <w:bCs/>
          <w:i w:val="0"/>
        </w:rPr>
        <w:instrText xml:space="preserve"> TOC \o "1-3" \h \z \u </w:instrText>
      </w:r>
      <w:r>
        <w:rPr>
          <w:bCs/>
          <w:i w:val="0"/>
        </w:rPr>
        <w:fldChar w:fldCharType="separate"/>
      </w:r>
      <w:hyperlink r:id="rId15" w:anchor="_Toc354472137" w:history="1">
        <w:r w:rsidR="00001B38" w:rsidRPr="00591055">
          <w:rPr>
            <w:rStyle w:val="Hyperlink"/>
          </w:rPr>
          <w:t>Australian Human Rights Commission Submission to the SENATE LEGAL and CONSTITUTIONAL AFFAIRS LEGISLATION COMMITTEE</w:t>
        </w:r>
        <w:r w:rsidR="00001B38">
          <w:rPr>
            <w:webHidden/>
          </w:rPr>
          <w:tab/>
        </w:r>
        <w:r w:rsidR="00001B38">
          <w:rPr>
            <w:webHidden/>
          </w:rPr>
          <w:fldChar w:fldCharType="begin"/>
        </w:r>
        <w:r w:rsidR="00001B38">
          <w:rPr>
            <w:webHidden/>
          </w:rPr>
          <w:instrText xml:space="preserve"> PAGEREF _Toc354472137 \h </w:instrText>
        </w:r>
        <w:r w:rsidR="00001B38">
          <w:rPr>
            <w:webHidden/>
          </w:rPr>
        </w:r>
        <w:r w:rsidR="00001B38">
          <w:rPr>
            <w:webHidden/>
          </w:rPr>
          <w:fldChar w:fldCharType="separate"/>
        </w:r>
        <w:r w:rsidR="009B2F41">
          <w:rPr>
            <w:webHidden/>
          </w:rPr>
          <w:t>1</w:t>
        </w:r>
        <w:r w:rsidR="00001B38">
          <w:rPr>
            <w:webHidden/>
          </w:rPr>
          <w:fldChar w:fldCharType="end"/>
        </w:r>
      </w:hyperlink>
    </w:p>
    <w:p w:rsidR="00001B38" w:rsidRDefault="009F58AE">
      <w:pPr>
        <w:pStyle w:val="TOC1"/>
        <w:rPr>
          <w:rFonts w:asciiTheme="minorHAnsi" w:eastAsiaTheme="minorEastAsia" w:hAnsiTheme="minorHAnsi" w:cstheme="minorBidi"/>
          <w:b w:val="0"/>
          <w:sz w:val="22"/>
          <w:szCs w:val="22"/>
        </w:rPr>
      </w:pPr>
      <w:hyperlink w:anchor="_Toc354472138" w:history="1">
        <w:r w:rsidR="00001B38" w:rsidRPr="00591055">
          <w:rPr>
            <w:rStyle w:val="Hyperlink"/>
          </w:rPr>
          <w:t>1</w:t>
        </w:r>
        <w:r w:rsidR="00001B38">
          <w:rPr>
            <w:rFonts w:asciiTheme="minorHAnsi" w:eastAsiaTheme="minorEastAsia" w:hAnsiTheme="minorHAnsi" w:cstheme="minorBidi"/>
            <w:b w:val="0"/>
            <w:sz w:val="22"/>
            <w:szCs w:val="22"/>
          </w:rPr>
          <w:tab/>
        </w:r>
        <w:r w:rsidR="00001B38" w:rsidRPr="00591055">
          <w:rPr>
            <w:rStyle w:val="Hyperlink"/>
          </w:rPr>
          <w:t>Introduction</w:t>
        </w:r>
        <w:r w:rsidR="00001B38">
          <w:rPr>
            <w:webHidden/>
          </w:rPr>
          <w:tab/>
        </w:r>
        <w:r w:rsidR="00001B38">
          <w:rPr>
            <w:webHidden/>
          </w:rPr>
          <w:fldChar w:fldCharType="begin"/>
        </w:r>
        <w:r w:rsidR="00001B38">
          <w:rPr>
            <w:webHidden/>
          </w:rPr>
          <w:instrText xml:space="preserve"> PAGEREF _Toc354472138 \h </w:instrText>
        </w:r>
        <w:r w:rsidR="00001B38">
          <w:rPr>
            <w:webHidden/>
          </w:rPr>
        </w:r>
        <w:r w:rsidR="00001B38">
          <w:rPr>
            <w:webHidden/>
          </w:rPr>
          <w:fldChar w:fldCharType="separate"/>
        </w:r>
        <w:r w:rsidR="009B2F41">
          <w:rPr>
            <w:webHidden/>
          </w:rPr>
          <w:t>3</w:t>
        </w:r>
        <w:r w:rsidR="00001B38">
          <w:rPr>
            <w:webHidden/>
          </w:rPr>
          <w:fldChar w:fldCharType="end"/>
        </w:r>
      </w:hyperlink>
    </w:p>
    <w:p w:rsidR="00001B38" w:rsidRDefault="009F58AE">
      <w:pPr>
        <w:pStyle w:val="TOC1"/>
        <w:rPr>
          <w:rFonts w:asciiTheme="minorHAnsi" w:eastAsiaTheme="minorEastAsia" w:hAnsiTheme="minorHAnsi" w:cstheme="minorBidi"/>
          <w:b w:val="0"/>
          <w:sz w:val="22"/>
          <w:szCs w:val="22"/>
        </w:rPr>
      </w:pPr>
      <w:hyperlink w:anchor="_Toc354472139" w:history="1">
        <w:r w:rsidR="00001B38" w:rsidRPr="00591055">
          <w:rPr>
            <w:rStyle w:val="Hyperlink"/>
          </w:rPr>
          <w:t>2</w:t>
        </w:r>
        <w:r w:rsidR="00001B38">
          <w:rPr>
            <w:rFonts w:asciiTheme="minorHAnsi" w:eastAsiaTheme="minorEastAsia" w:hAnsiTheme="minorHAnsi" w:cstheme="minorBidi"/>
            <w:b w:val="0"/>
            <w:sz w:val="22"/>
            <w:szCs w:val="22"/>
          </w:rPr>
          <w:tab/>
        </w:r>
        <w:r w:rsidR="00001B38" w:rsidRPr="00591055">
          <w:rPr>
            <w:rStyle w:val="Hyperlink"/>
          </w:rPr>
          <w:t>Summary</w:t>
        </w:r>
        <w:r w:rsidR="00001B38">
          <w:rPr>
            <w:webHidden/>
          </w:rPr>
          <w:tab/>
        </w:r>
        <w:r w:rsidR="00001B38">
          <w:rPr>
            <w:webHidden/>
          </w:rPr>
          <w:fldChar w:fldCharType="begin"/>
        </w:r>
        <w:r w:rsidR="00001B38">
          <w:rPr>
            <w:webHidden/>
          </w:rPr>
          <w:instrText xml:space="preserve"> PAGEREF _Toc354472139 \h </w:instrText>
        </w:r>
        <w:r w:rsidR="00001B38">
          <w:rPr>
            <w:webHidden/>
          </w:rPr>
        </w:r>
        <w:r w:rsidR="00001B38">
          <w:rPr>
            <w:webHidden/>
          </w:rPr>
          <w:fldChar w:fldCharType="separate"/>
        </w:r>
        <w:r w:rsidR="009B2F41">
          <w:rPr>
            <w:webHidden/>
          </w:rPr>
          <w:t>3</w:t>
        </w:r>
        <w:r w:rsidR="00001B38">
          <w:rPr>
            <w:webHidden/>
          </w:rPr>
          <w:fldChar w:fldCharType="end"/>
        </w:r>
      </w:hyperlink>
    </w:p>
    <w:p w:rsidR="00001B38" w:rsidRDefault="009F58AE">
      <w:pPr>
        <w:pStyle w:val="TOC1"/>
        <w:rPr>
          <w:rFonts w:asciiTheme="minorHAnsi" w:eastAsiaTheme="minorEastAsia" w:hAnsiTheme="minorHAnsi" w:cstheme="minorBidi"/>
          <w:b w:val="0"/>
          <w:sz w:val="22"/>
          <w:szCs w:val="22"/>
        </w:rPr>
      </w:pPr>
      <w:hyperlink w:anchor="_Toc354472140" w:history="1">
        <w:r w:rsidR="00001B38" w:rsidRPr="00591055">
          <w:rPr>
            <w:rStyle w:val="Hyperlink"/>
          </w:rPr>
          <w:t>3</w:t>
        </w:r>
        <w:r w:rsidR="00001B38">
          <w:rPr>
            <w:rFonts w:asciiTheme="minorHAnsi" w:eastAsiaTheme="minorEastAsia" w:hAnsiTheme="minorHAnsi" w:cstheme="minorBidi"/>
            <w:b w:val="0"/>
            <w:sz w:val="22"/>
            <w:szCs w:val="22"/>
          </w:rPr>
          <w:tab/>
        </w:r>
        <w:r w:rsidR="00001B38" w:rsidRPr="00591055">
          <w:rPr>
            <w:rStyle w:val="Hyperlink"/>
          </w:rPr>
          <w:t>Recommendations</w:t>
        </w:r>
        <w:r w:rsidR="00001B38">
          <w:rPr>
            <w:webHidden/>
          </w:rPr>
          <w:tab/>
        </w:r>
        <w:r w:rsidR="00001B38">
          <w:rPr>
            <w:webHidden/>
          </w:rPr>
          <w:fldChar w:fldCharType="begin"/>
        </w:r>
        <w:r w:rsidR="00001B38">
          <w:rPr>
            <w:webHidden/>
          </w:rPr>
          <w:instrText xml:space="preserve"> PAGEREF _Toc354472140 \h </w:instrText>
        </w:r>
        <w:r w:rsidR="00001B38">
          <w:rPr>
            <w:webHidden/>
          </w:rPr>
        </w:r>
        <w:r w:rsidR="00001B38">
          <w:rPr>
            <w:webHidden/>
          </w:rPr>
          <w:fldChar w:fldCharType="separate"/>
        </w:r>
        <w:r w:rsidR="009B2F41">
          <w:rPr>
            <w:webHidden/>
          </w:rPr>
          <w:t>4</w:t>
        </w:r>
        <w:r w:rsidR="00001B38">
          <w:rPr>
            <w:webHidden/>
          </w:rPr>
          <w:fldChar w:fldCharType="end"/>
        </w:r>
      </w:hyperlink>
    </w:p>
    <w:p w:rsidR="00001B38" w:rsidRDefault="009F58AE">
      <w:pPr>
        <w:pStyle w:val="TOC1"/>
        <w:rPr>
          <w:rFonts w:asciiTheme="minorHAnsi" w:eastAsiaTheme="minorEastAsia" w:hAnsiTheme="minorHAnsi" w:cstheme="minorBidi"/>
          <w:b w:val="0"/>
          <w:sz w:val="22"/>
          <w:szCs w:val="22"/>
        </w:rPr>
      </w:pPr>
      <w:hyperlink w:anchor="_Toc354472141" w:history="1">
        <w:r w:rsidR="00001B38" w:rsidRPr="00591055">
          <w:rPr>
            <w:rStyle w:val="Hyperlink"/>
          </w:rPr>
          <w:t>4</w:t>
        </w:r>
        <w:r w:rsidR="00001B38">
          <w:rPr>
            <w:rFonts w:asciiTheme="minorHAnsi" w:eastAsiaTheme="minorEastAsia" w:hAnsiTheme="minorHAnsi" w:cstheme="minorBidi"/>
            <w:b w:val="0"/>
            <w:sz w:val="22"/>
            <w:szCs w:val="22"/>
          </w:rPr>
          <w:tab/>
        </w:r>
        <w:r w:rsidR="00001B38" w:rsidRPr="00591055">
          <w:rPr>
            <w:rStyle w:val="Hyperlink"/>
          </w:rPr>
          <w:t>Improved protections for sexual orientation, gender identity and intersex status</w:t>
        </w:r>
        <w:r w:rsidR="00001B38">
          <w:rPr>
            <w:webHidden/>
          </w:rPr>
          <w:tab/>
        </w:r>
        <w:r w:rsidR="00001B38">
          <w:rPr>
            <w:webHidden/>
          </w:rPr>
          <w:fldChar w:fldCharType="begin"/>
        </w:r>
        <w:r w:rsidR="00001B38">
          <w:rPr>
            <w:webHidden/>
          </w:rPr>
          <w:instrText xml:space="preserve"> PAGEREF _Toc354472141 \h </w:instrText>
        </w:r>
        <w:r w:rsidR="00001B38">
          <w:rPr>
            <w:webHidden/>
          </w:rPr>
        </w:r>
        <w:r w:rsidR="00001B38">
          <w:rPr>
            <w:webHidden/>
          </w:rPr>
          <w:fldChar w:fldCharType="separate"/>
        </w:r>
        <w:r w:rsidR="009B2F41">
          <w:rPr>
            <w:webHidden/>
          </w:rPr>
          <w:t>4</w:t>
        </w:r>
        <w:r w:rsidR="00001B38">
          <w:rPr>
            <w:webHidden/>
          </w:rPr>
          <w:fldChar w:fldCharType="end"/>
        </w:r>
      </w:hyperlink>
    </w:p>
    <w:p w:rsidR="00001B38" w:rsidRDefault="009F58AE">
      <w:pPr>
        <w:pStyle w:val="TOC2"/>
        <w:rPr>
          <w:rFonts w:asciiTheme="minorHAnsi" w:eastAsiaTheme="minorEastAsia" w:hAnsiTheme="minorHAnsi" w:cstheme="minorBidi"/>
          <w:b w:val="0"/>
          <w:i w:val="0"/>
          <w:szCs w:val="22"/>
        </w:rPr>
      </w:pPr>
      <w:hyperlink w:anchor="_Toc354472142" w:history="1">
        <w:r w:rsidR="00001B38" w:rsidRPr="00591055">
          <w:rPr>
            <w:rStyle w:val="Hyperlink"/>
          </w:rPr>
          <w:t>4.1</w:t>
        </w:r>
        <w:r w:rsidR="00001B38">
          <w:rPr>
            <w:rFonts w:asciiTheme="minorHAnsi" w:eastAsiaTheme="minorEastAsia" w:hAnsiTheme="minorHAnsi" w:cstheme="minorBidi"/>
            <w:b w:val="0"/>
            <w:i w:val="0"/>
            <w:szCs w:val="22"/>
          </w:rPr>
          <w:tab/>
        </w:r>
        <w:r w:rsidR="00001B38" w:rsidRPr="00591055">
          <w:rPr>
            <w:rStyle w:val="Hyperlink"/>
          </w:rPr>
          <w:t>Commonwealth-funded aged care and exemptions for religious bodies</w:t>
        </w:r>
        <w:r w:rsidR="00001B38">
          <w:rPr>
            <w:webHidden/>
          </w:rPr>
          <w:tab/>
        </w:r>
        <w:r w:rsidR="00001B38">
          <w:rPr>
            <w:webHidden/>
          </w:rPr>
          <w:fldChar w:fldCharType="begin"/>
        </w:r>
        <w:r w:rsidR="00001B38">
          <w:rPr>
            <w:webHidden/>
          </w:rPr>
          <w:instrText xml:space="preserve"> PAGEREF _Toc354472142 \h </w:instrText>
        </w:r>
        <w:r w:rsidR="00001B38">
          <w:rPr>
            <w:webHidden/>
          </w:rPr>
        </w:r>
        <w:r w:rsidR="00001B38">
          <w:rPr>
            <w:webHidden/>
          </w:rPr>
          <w:fldChar w:fldCharType="separate"/>
        </w:r>
        <w:r w:rsidR="009B2F41">
          <w:rPr>
            <w:webHidden/>
          </w:rPr>
          <w:t>5</w:t>
        </w:r>
        <w:r w:rsidR="00001B38">
          <w:rPr>
            <w:webHidden/>
          </w:rPr>
          <w:fldChar w:fldCharType="end"/>
        </w:r>
      </w:hyperlink>
    </w:p>
    <w:p w:rsidR="00001B38" w:rsidRDefault="009F58AE">
      <w:pPr>
        <w:pStyle w:val="TOC2"/>
        <w:rPr>
          <w:rFonts w:asciiTheme="minorHAnsi" w:eastAsiaTheme="minorEastAsia" w:hAnsiTheme="minorHAnsi" w:cstheme="minorBidi"/>
          <w:b w:val="0"/>
          <w:i w:val="0"/>
          <w:szCs w:val="22"/>
        </w:rPr>
      </w:pPr>
      <w:hyperlink w:anchor="_Toc354472143" w:history="1">
        <w:r w:rsidR="00001B38" w:rsidRPr="00591055">
          <w:rPr>
            <w:rStyle w:val="Hyperlink"/>
          </w:rPr>
          <w:t>4.2</w:t>
        </w:r>
        <w:r w:rsidR="00001B38">
          <w:rPr>
            <w:rFonts w:asciiTheme="minorHAnsi" w:eastAsiaTheme="minorEastAsia" w:hAnsiTheme="minorHAnsi" w:cstheme="minorBidi"/>
            <w:b w:val="0"/>
            <w:i w:val="0"/>
            <w:szCs w:val="22"/>
          </w:rPr>
          <w:tab/>
        </w:r>
        <w:r w:rsidR="00001B38" w:rsidRPr="00591055">
          <w:rPr>
            <w:rStyle w:val="Hyperlink"/>
          </w:rPr>
          <w:t>Intersex status and religious exemptions</w:t>
        </w:r>
        <w:r w:rsidR="00001B38">
          <w:rPr>
            <w:webHidden/>
          </w:rPr>
          <w:tab/>
        </w:r>
        <w:r w:rsidR="00001B38">
          <w:rPr>
            <w:webHidden/>
          </w:rPr>
          <w:fldChar w:fldCharType="begin"/>
        </w:r>
        <w:r w:rsidR="00001B38">
          <w:rPr>
            <w:webHidden/>
          </w:rPr>
          <w:instrText xml:space="preserve"> PAGEREF _Toc354472143 \h </w:instrText>
        </w:r>
        <w:r w:rsidR="00001B38">
          <w:rPr>
            <w:webHidden/>
          </w:rPr>
        </w:r>
        <w:r w:rsidR="00001B38">
          <w:rPr>
            <w:webHidden/>
          </w:rPr>
          <w:fldChar w:fldCharType="separate"/>
        </w:r>
        <w:r w:rsidR="009B2F41">
          <w:rPr>
            <w:webHidden/>
          </w:rPr>
          <w:t>6</w:t>
        </w:r>
        <w:r w:rsidR="00001B38">
          <w:rPr>
            <w:webHidden/>
          </w:rPr>
          <w:fldChar w:fldCharType="end"/>
        </w:r>
      </w:hyperlink>
    </w:p>
    <w:p w:rsidR="00001B38" w:rsidRDefault="009F58AE">
      <w:pPr>
        <w:pStyle w:val="TOC2"/>
        <w:rPr>
          <w:rFonts w:asciiTheme="minorHAnsi" w:eastAsiaTheme="minorEastAsia" w:hAnsiTheme="minorHAnsi" w:cstheme="minorBidi"/>
          <w:b w:val="0"/>
          <w:i w:val="0"/>
          <w:szCs w:val="22"/>
        </w:rPr>
      </w:pPr>
      <w:hyperlink w:anchor="_Toc354472144" w:history="1">
        <w:r w:rsidR="00001B38" w:rsidRPr="00591055">
          <w:rPr>
            <w:rStyle w:val="Hyperlink"/>
          </w:rPr>
          <w:t>4.3</w:t>
        </w:r>
        <w:r w:rsidR="00001B38">
          <w:rPr>
            <w:rFonts w:asciiTheme="minorHAnsi" w:eastAsiaTheme="minorEastAsia" w:hAnsiTheme="minorHAnsi" w:cstheme="minorBidi"/>
            <w:b w:val="0"/>
            <w:i w:val="0"/>
            <w:szCs w:val="22"/>
          </w:rPr>
          <w:tab/>
        </w:r>
        <w:r w:rsidR="00001B38" w:rsidRPr="00591055">
          <w:rPr>
            <w:rStyle w:val="Hyperlink"/>
          </w:rPr>
          <w:t>Appropriate resourcing</w:t>
        </w:r>
        <w:r w:rsidR="00001B38">
          <w:rPr>
            <w:webHidden/>
          </w:rPr>
          <w:tab/>
        </w:r>
        <w:r w:rsidR="00001B38">
          <w:rPr>
            <w:webHidden/>
          </w:rPr>
          <w:fldChar w:fldCharType="begin"/>
        </w:r>
        <w:r w:rsidR="00001B38">
          <w:rPr>
            <w:webHidden/>
          </w:rPr>
          <w:instrText xml:space="preserve"> PAGEREF _Toc354472144 \h </w:instrText>
        </w:r>
        <w:r w:rsidR="00001B38">
          <w:rPr>
            <w:webHidden/>
          </w:rPr>
        </w:r>
        <w:r w:rsidR="00001B38">
          <w:rPr>
            <w:webHidden/>
          </w:rPr>
          <w:fldChar w:fldCharType="separate"/>
        </w:r>
        <w:r w:rsidR="009B2F41">
          <w:rPr>
            <w:webHidden/>
          </w:rPr>
          <w:t>7</w:t>
        </w:r>
        <w:r w:rsidR="00001B38">
          <w:rPr>
            <w:webHidden/>
          </w:rPr>
          <w:fldChar w:fldCharType="end"/>
        </w:r>
      </w:hyperlink>
    </w:p>
    <w:p w:rsidR="00001B38" w:rsidRDefault="009F58AE">
      <w:pPr>
        <w:pStyle w:val="TOC1"/>
        <w:rPr>
          <w:rFonts w:asciiTheme="minorHAnsi" w:eastAsiaTheme="minorEastAsia" w:hAnsiTheme="minorHAnsi" w:cstheme="minorBidi"/>
          <w:b w:val="0"/>
          <w:sz w:val="22"/>
          <w:szCs w:val="22"/>
        </w:rPr>
      </w:pPr>
      <w:hyperlink w:anchor="_Toc354472145" w:history="1">
        <w:r w:rsidR="00001B38" w:rsidRPr="00591055">
          <w:rPr>
            <w:rStyle w:val="Hyperlink"/>
          </w:rPr>
          <w:t>5</w:t>
        </w:r>
        <w:r w:rsidR="00001B38">
          <w:rPr>
            <w:rFonts w:asciiTheme="minorHAnsi" w:eastAsiaTheme="minorEastAsia" w:hAnsiTheme="minorHAnsi" w:cstheme="minorBidi"/>
            <w:b w:val="0"/>
            <w:sz w:val="22"/>
            <w:szCs w:val="22"/>
          </w:rPr>
          <w:tab/>
        </w:r>
        <w:r w:rsidR="00001B38" w:rsidRPr="00591055">
          <w:rPr>
            <w:rStyle w:val="Hyperlink"/>
          </w:rPr>
          <w:t>The SDA and sexual orientation, gender identity and intersex</w:t>
        </w:r>
        <w:r w:rsidR="00001B38">
          <w:rPr>
            <w:webHidden/>
          </w:rPr>
          <w:tab/>
        </w:r>
        <w:r w:rsidR="00001B38">
          <w:rPr>
            <w:webHidden/>
          </w:rPr>
          <w:fldChar w:fldCharType="begin"/>
        </w:r>
        <w:r w:rsidR="00001B38">
          <w:rPr>
            <w:webHidden/>
          </w:rPr>
          <w:instrText xml:space="preserve"> PAGEREF _Toc354472145 \h </w:instrText>
        </w:r>
        <w:r w:rsidR="00001B38">
          <w:rPr>
            <w:webHidden/>
          </w:rPr>
        </w:r>
        <w:r w:rsidR="00001B38">
          <w:rPr>
            <w:webHidden/>
          </w:rPr>
          <w:fldChar w:fldCharType="separate"/>
        </w:r>
        <w:r w:rsidR="009B2F41">
          <w:rPr>
            <w:webHidden/>
          </w:rPr>
          <w:t>8</w:t>
        </w:r>
        <w:r w:rsidR="00001B38">
          <w:rPr>
            <w:webHidden/>
          </w:rPr>
          <w:fldChar w:fldCharType="end"/>
        </w:r>
      </w:hyperlink>
    </w:p>
    <w:p w:rsidR="00001B38" w:rsidRDefault="009F58AE">
      <w:pPr>
        <w:pStyle w:val="TOC2"/>
        <w:rPr>
          <w:rFonts w:asciiTheme="minorHAnsi" w:eastAsiaTheme="minorEastAsia" w:hAnsiTheme="minorHAnsi" w:cstheme="minorBidi"/>
          <w:b w:val="0"/>
          <w:i w:val="0"/>
          <w:szCs w:val="22"/>
        </w:rPr>
      </w:pPr>
      <w:hyperlink w:anchor="_Toc354472146" w:history="1">
        <w:r w:rsidR="00001B38" w:rsidRPr="00591055">
          <w:rPr>
            <w:rStyle w:val="Hyperlink"/>
          </w:rPr>
          <w:t>5.1</w:t>
        </w:r>
        <w:r w:rsidR="00001B38">
          <w:rPr>
            <w:rFonts w:asciiTheme="minorHAnsi" w:eastAsiaTheme="minorEastAsia" w:hAnsiTheme="minorHAnsi" w:cstheme="minorBidi"/>
            <w:b w:val="0"/>
            <w:i w:val="0"/>
            <w:szCs w:val="22"/>
          </w:rPr>
          <w:tab/>
        </w:r>
        <w:r w:rsidR="00001B38" w:rsidRPr="00591055">
          <w:rPr>
            <w:rStyle w:val="Hyperlink"/>
          </w:rPr>
          <w:t>Additional exemptions for sexual orientation, gender identity and intersex</w:t>
        </w:r>
        <w:r w:rsidR="00001B38">
          <w:rPr>
            <w:webHidden/>
          </w:rPr>
          <w:tab/>
        </w:r>
        <w:r w:rsidR="00001B38">
          <w:rPr>
            <w:webHidden/>
          </w:rPr>
          <w:fldChar w:fldCharType="begin"/>
        </w:r>
        <w:r w:rsidR="00001B38">
          <w:rPr>
            <w:webHidden/>
          </w:rPr>
          <w:instrText xml:space="preserve"> PAGEREF _Toc354472146 \h </w:instrText>
        </w:r>
        <w:r w:rsidR="00001B38">
          <w:rPr>
            <w:webHidden/>
          </w:rPr>
        </w:r>
        <w:r w:rsidR="00001B38">
          <w:rPr>
            <w:webHidden/>
          </w:rPr>
          <w:fldChar w:fldCharType="separate"/>
        </w:r>
        <w:r w:rsidR="009B2F41">
          <w:rPr>
            <w:webHidden/>
          </w:rPr>
          <w:t>8</w:t>
        </w:r>
        <w:r w:rsidR="00001B38">
          <w:rPr>
            <w:webHidden/>
          </w:rPr>
          <w:fldChar w:fldCharType="end"/>
        </w:r>
      </w:hyperlink>
    </w:p>
    <w:p w:rsidR="00001B38" w:rsidRDefault="009F58AE">
      <w:pPr>
        <w:pStyle w:val="TOC3"/>
        <w:rPr>
          <w:rFonts w:asciiTheme="minorHAnsi" w:eastAsiaTheme="minorEastAsia" w:hAnsiTheme="minorHAnsi" w:cstheme="minorBidi"/>
          <w:i w:val="0"/>
          <w:szCs w:val="22"/>
        </w:rPr>
      </w:pPr>
      <w:hyperlink w:anchor="_Toc354472147" w:history="1">
        <w:r w:rsidR="00001B38" w:rsidRPr="00591055">
          <w:rPr>
            <w:rStyle w:val="Hyperlink"/>
          </w:rPr>
          <w:t>(a)</w:t>
        </w:r>
        <w:r w:rsidR="00001B38">
          <w:rPr>
            <w:rFonts w:asciiTheme="minorHAnsi" w:eastAsiaTheme="minorEastAsia" w:hAnsiTheme="minorHAnsi" w:cstheme="minorBidi"/>
            <w:i w:val="0"/>
            <w:szCs w:val="22"/>
          </w:rPr>
          <w:tab/>
        </w:r>
        <w:r w:rsidR="00001B38" w:rsidRPr="00591055">
          <w:rPr>
            <w:rStyle w:val="Hyperlink"/>
          </w:rPr>
          <w:t>Exemption for keeping records and requesting information</w:t>
        </w:r>
        <w:r w:rsidR="00001B38">
          <w:rPr>
            <w:webHidden/>
          </w:rPr>
          <w:tab/>
        </w:r>
        <w:r w:rsidR="00001B38">
          <w:rPr>
            <w:webHidden/>
          </w:rPr>
          <w:fldChar w:fldCharType="begin"/>
        </w:r>
        <w:r w:rsidR="00001B38">
          <w:rPr>
            <w:webHidden/>
          </w:rPr>
          <w:instrText xml:space="preserve"> PAGEREF _Toc354472147 \h </w:instrText>
        </w:r>
        <w:r w:rsidR="00001B38">
          <w:rPr>
            <w:webHidden/>
          </w:rPr>
        </w:r>
        <w:r w:rsidR="00001B38">
          <w:rPr>
            <w:webHidden/>
          </w:rPr>
          <w:fldChar w:fldCharType="separate"/>
        </w:r>
        <w:r w:rsidR="009B2F41">
          <w:rPr>
            <w:webHidden/>
          </w:rPr>
          <w:t>8</w:t>
        </w:r>
        <w:r w:rsidR="00001B38">
          <w:rPr>
            <w:webHidden/>
          </w:rPr>
          <w:fldChar w:fldCharType="end"/>
        </w:r>
      </w:hyperlink>
    </w:p>
    <w:p w:rsidR="00001B38" w:rsidRDefault="009F58AE">
      <w:pPr>
        <w:pStyle w:val="TOC3"/>
        <w:rPr>
          <w:rFonts w:asciiTheme="minorHAnsi" w:eastAsiaTheme="minorEastAsia" w:hAnsiTheme="minorHAnsi" w:cstheme="minorBidi"/>
          <w:i w:val="0"/>
          <w:szCs w:val="22"/>
        </w:rPr>
      </w:pPr>
      <w:hyperlink w:anchor="_Toc354472148" w:history="1">
        <w:r w:rsidR="00001B38" w:rsidRPr="00591055">
          <w:rPr>
            <w:rStyle w:val="Hyperlink"/>
          </w:rPr>
          <w:t>(b)</w:t>
        </w:r>
        <w:r w:rsidR="00001B38">
          <w:rPr>
            <w:rFonts w:asciiTheme="minorHAnsi" w:eastAsiaTheme="minorEastAsia" w:hAnsiTheme="minorHAnsi" w:cstheme="minorBidi"/>
            <w:i w:val="0"/>
            <w:szCs w:val="22"/>
          </w:rPr>
          <w:tab/>
        </w:r>
        <w:r w:rsidR="00001B38" w:rsidRPr="00591055">
          <w:rPr>
            <w:rStyle w:val="Hyperlink"/>
          </w:rPr>
          <w:t>Exemption of acts under prescribed laws</w:t>
        </w:r>
        <w:r w:rsidR="00001B38">
          <w:rPr>
            <w:webHidden/>
          </w:rPr>
          <w:tab/>
        </w:r>
        <w:r w:rsidR="00001B38">
          <w:rPr>
            <w:webHidden/>
          </w:rPr>
          <w:fldChar w:fldCharType="begin"/>
        </w:r>
        <w:r w:rsidR="00001B38">
          <w:rPr>
            <w:webHidden/>
          </w:rPr>
          <w:instrText xml:space="preserve"> PAGEREF _Toc354472148 \h </w:instrText>
        </w:r>
        <w:r w:rsidR="00001B38">
          <w:rPr>
            <w:webHidden/>
          </w:rPr>
        </w:r>
        <w:r w:rsidR="00001B38">
          <w:rPr>
            <w:webHidden/>
          </w:rPr>
          <w:fldChar w:fldCharType="separate"/>
        </w:r>
        <w:r w:rsidR="009B2F41">
          <w:rPr>
            <w:webHidden/>
          </w:rPr>
          <w:t>9</w:t>
        </w:r>
        <w:r w:rsidR="00001B38">
          <w:rPr>
            <w:webHidden/>
          </w:rPr>
          <w:fldChar w:fldCharType="end"/>
        </w:r>
      </w:hyperlink>
    </w:p>
    <w:p w:rsidR="00001B38" w:rsidRDefault="009F58AE">
      <w:pPr>
        <w:pStyle w:val="TOC2"/>
        <w:rPr>
          <w:rFonts w:asciiTheme="minorHAnsi" w:eastAsiaTheme="minorEastAsia" w:hAnsiTheme="minorHAnsi" w:cstheme="minorBidi"/>
          <w:b w:val="0"/>
          <w:i w:val="0"/>
          <w:szCs w:val="22"/>
        </w:rPr>
      </w:pPr>
      <w:hyperlink w:anchor="_Toc354472149" w:history="1">
        <w:r w:rsidR="00001B38" w:rsidRPr="00591055">
          <w:rPr>
            <w:rStyle w:val="Hyperlink"/>
          </w:rPr>
          <w:t>5.2</w:t>
        </w:r>
        <w:r w:rsidR="00001B38">
          <w:rPr>
            <w:rFonts w:asciiTheme="minorHAnsi" w:eastAsiaTheme="minorEastAsia" w:hAnsiTheme="minorHAnsi" w:cstheme="minorBidi"/>
            <w:b w:val="0"/>
            <w:i w:val="0"/>
            <w:szCs w:val="22"/>
          </w:rPr>
          <w:tab/>
        </w:r>
        <w:r w:rsidR="00001B38" w:rsidRPr="00591055">
          <w:rPr>
            <w:rStyle w:val="Hyperlink"/>
          </w:rPr>
          <w:t>Structural differences to the HRAD Bill</w:t>
        </w:r>
        <w:r w:rsidR="00001B38">
          <w:rPr>
            <w:webHidden/>
          </w:rPr>
          <w:tab/>
        </w:r>
        <w:r w:rsidR="00001B38">
          <w:rPr>
            <w:webHidden/>
          </w:rPr>
          <w:fldChar w:fldCharType="begin"/>
        </w:r>
        <w:r w:rsidR="00001B38">
          <w:rPr>
            <w:webHidden/>
          </w:rPr>
          <w:instrText xml:space="preserve"> PAGEREF _Toc354472149 \h </w:instrText>
        </w:r>
        <w:r w:rsidR="00001B38">
          <w:rPr>
            <w:webHidden/>
          </w:rPr>
        </w:r>
        <w:r w:rsidR="00001B38">
          <w:rPr>
            <w:webHidden/>
          </w:rPr>
          <w:fldChar w:fldCharType="separate"/>
        </w:r>
        <w:r w:rsidR="009B2F41">
          <w:rPr>
            <w:webHidden/>
          </w:rPr>
          <w:t>9</w:t>
        </w:r>
        <w:r w:rsidR="00001B38">
          <w:rPr>
            <w:webHidden/>
          </w:rPr>
          <w:fldChar w:fldCharType="end"/>
        </w:r>
      </w:hyperlink>
    </w:p>
    <w:p w:rsidR="00001B38" w:rsidRDefault="009F58AE">
      <w:pPr>
        <w:pStyle w:val="TOC3"/>
        <w:rPr>
          <w:rFonts w:asciiTheme="minorHAnsi" w:eastAsiaTheme="minorEastAsia" w:hAnsiTheme="minorHAnsi" w:cstheme="minorBidi"/>
          <w:i w:val="0"/>
          <w:szCs w:val="22"/>
        </w:rPr>
      </w:pPr>
      <w:hyperlink w:anchor="_Toc354472150" w:history="1">
        <w:r w:rsidR="00001B38" w:rsidRPr="00591055">
          <w:rPr>
            <w:rStyle w:val="Hyperlink"/>
          </w:rPr>
          <w:t>(a)</w:t>
        </w:r>
        <w:r w:rsidR="00001B38">
          <w:rPr>
            <w:rFonts w:asciiTheme="minorHAnsi" w:eastAsiaTheme="minorEastAsia" w:hAnsiTheme="minorHAnsi" w:cstheme="minorBidi"/>
            <w:i w:val="0"/>
            <w:szCs w:val="22"/>
          </w:rPr>
          <w:tab/>
        </w:r>
        <w:r w:rsidR="00001B38" w:rsidRPr="00591055">
          <w:rPr>
            <w:rStyle w:val="Hyperlink"/>
          </w:rPr>
          <w:t>Exemption for state and territory laws regarding amending official records</w:t>
        </w:r>
        <w:r w:rsidR="00001B38">
          <w:rPr>
            <w:webHidden/>
          </w:rPr>
          <w:tab/>
        </w:r>
        <w:r w:rsidR="00001B38">
          <w:rPr>
            <w:webHidden/>
          </w:rPr>
          <w:fldChar w:fldCharType="begin"/>
        </w:r>
        <w:r w:rsidR="00001B38">
          <w:rPr>
            <w:webHidden/>
          </w:rPr>
          <w:instrText xml:space="preserve"> PAGEREF _Toc354472150 \h </w:instrText>
        </w:r>
        <w:r w:rsidR="00001B38">
          <w:rPr>
            <w:webHidden/>
          </w:rPr>
        </w:r>
        <w:r w:rsidR="00001B38">
          <w:rPr>
            <w:webHidden/>
          </w:rPr>
          <w:fldChar w:fldCharType="separate"/>
        </w:r>
        <w:r w:rsidR="009B2F41">
          <w:rPr>
            <w:webHidden/>
          </w:rPr>
          <w:t>9</w:t>
        </w:r>
        <w:r w:rsidR="00001B38">
          <w:rPr>
            <w:webHidden/>
          </w:rPr>
          <w:fldChar w:fldCharType="end"/>
        </w:r>
      </w:hyperlink>
    </w:p>
    <w:p w:rsidR="00001B38" w:rsidRDefault="009F58AE">
      <w:pPr>
        <w:pStyle w:val="TOC3"/>
        <w:rPr>
          <w:rFonts w:asciiTheme="minorHAnsi" w:eastAsiaTheme="minorEastAsia" w:hAnsiTheme="minorHAnsi" w:cstheme="minorBidi"/>
          <w:i w:val="0"/>
          <w:szCs w:val="22"/>
        </w:rPr>
      </w:pPr>
      <w:hyperlink w:anchor="_Toc354472151" w:history="1">
        <w:r w:rsidR="00001B38" w:rsidRPr="00591055">
          <w:rPr>
            <w:rStyle w:val="Hyperlink"/>
          </w:rPr>
          <w:t>(b)</w:t>
        </w:r>
        <w:r w:rsidR="00001B38">
          <w:rPr>
            <w:rFonts w:asciiTheme="minorHAnsi" w:eastAsiaTheme="minorEastAsia" w:hAnsiTheme="minorHAnsi" w:cstheme="minorBidi"/>
            <w:i w:val="0"/>
            <w:szCs w:val="22"/>
          </w:rPr>
          <w:tab/>
        </w:r>
        <w:r w:rsidR="00001B38" w:rsidRPr="00591055">
          <w:rPr>
            <w:rStyle w:val="Hyperlink"/>
          </w:rPr>
          <w:t>Family responsibilities</w:t>
        </w:r>
        <w:r w:rsidR="00001B38">
          <w:rPr>
            <w:webHidden/>
          </w:rPr>
          <w:tab/>
        </w:r>
        <w:r w:rsidR="00001B38">
          <w:rPr>
            <w:webHidden/>
          </w:rPr>
          <w:fldChar w:fldCharType="begin"/>
        </w:r>
        <w:r w:rsidR="00001B38">
          <w:rPr>
            <w:webHidden/>
          </w:rPr>
          <w:instrText xml:space="preserve"> PAGEREF _Toc354472151 \h </w:instrText>
        </w:r>
        <w:r w:rsidR="00001B38">
          <w:rPr>
            <w:webHidden/>
          </w:rPr>
        </w:r>
        <w:r w:rsidR="00001B38">
          <w:rPr>
            <w:webHidden/>
          </w:rPr>
          <w:fldChar w:fldCharType="separate"/>
        </w:r>
        <w:r w:rsidR="009B2F41">
          <w:rPr>
            <w:webHidden/>
          </w:rPr>
          <w:t>10</w:t>
        </w:r>
        <w:r w:rsidR="00001B38">
          <w:rPr>
            <w:webHidden/>
          </w:rPr>
          <w:fldChar w:fldCharType="end"/>
        </w:r>
      </w:hyperlink>
    </w:p>
    <w:p w:rsidR="00001B38" w:rsidRDefault="009F58AE">
      <w:pPr>
        <w:pStyle w:val="TOC3"/>
        <w:rPr>
          <w:rFonts w:asciiTheme="minorHAnsi" w:eastAsiaTheme="minorEastAsia" w:hAnsiTheme="minorHAnsi" w:cstheme="minorBidi"/>
          <w:i w:val="0"/>
          <w:szCs w:val="22"/>
        </w:rPr>
      </w:pPr>
      <w:hyperlink w:anchor="_Toc354472152" w:history="1">
        <w:r w:rsidR="00001B38" w:rsidRPr="00591055">
          <w:rPr>
            <w:rStyle w:val="Hyperlink"/>
          </w:rPr>
          <w:t>(c)</w:t>
        </w:r>
        <w:r w:rsidR="00001B38">
          <w:rPr>
            <w:rFonts w:asciiTheme="minorHAnsi" w:eastAsiaTheme="minorEastAsia" w:hAnsiTheme="minorHAnsi" w:cstheme="minorBidi"/>
            <w:i w:val="0"/>
            <w:szCs w:val="22"/>
          </w:rPr>
          <w:tab/>
        </w:r>
        <w:r w:rsidR="00001B38" w:rsidRPr="00591055">
          <w:rPr>
            <w:rStyle w:val="Hyperlink"/>
          </w:rPr>
          <w:t>State instrumentalities</w:t>
        </w:r>
        <w:r w:rsidR="00001B38">
          <w:rPr>
            <w:webHidden/>
          </w:rPr>
          <w:tab/>
        </w:r>
        <w:r w:rsidR="00001B38">
          <w:rPr>
            <w:webHidden/>
          </w:rPr>
          <w:fldChar w:fldCharType="begin"/>
        </w:r>
        <w:r w:rsidR="00001B38">
          <w:rPr>
            <w:webHidden/>
          </w:rPr>
          <w:instrText xml:space="preserve"> PAGEREF _Toc354472152 \h </w:instrText>
        </w:r>
        <w:r w:rsidR="00001B38">
          <w:rPr>
            <w:webHidden/>
          </w:rPr>
        </w:r>
        <w:r w:rsidR="00001B38">
          <w:rPr>
            <w:webHidden/>
          </w:rPr>
          <w:fldChar w:fldCharType="separate"/>
        </w:r>
        <w:r w:rsidR="009B2F41">
          <w:rPr>
            <w:webHidden/>
          </w:rPr>
          <w:t>10</w:t>
        </w:r>
        <w:r w:rsidR="00001B38">
          <w:rPr>
            <w:webHidden/>
          </w:rPr>
          <w:fldChar w:fldCharType="end"/>
        </w:r>
      </w:hyperlink>
    </w:p>
    <w:p w:rsidR="00001B38" w:rsidRDefault="009F58AE">
      <w:pPr>
        <w:pStyle w:val="TOC3"/>
        <w:rPr>
          <w:rFonts w:asciiTheme="minorHAnsi" w:eastAsiaTheme="minorEastAsia" w:hAnsiTheme="minorHAnsi" w:cstheme="minorBidi"/>
          <w:i w:val="0"/>
          <w:szCs w:val="22"/>
        </w:rPr>
      </w:pPr>
      <w:hyperlink w:anchor="_Toc354472153" w:history="1">
        <w:r w:rsidR="00001B38" w:rsidRPr="00591055">
          <w:rPr>
            <w:rStyle w:val="Hyperlink"/>
          </w:rPr>
          <w:t>(d)</w:t>
        </w:r>
        <w:r w:rsidR="00001B38">
          <w:rPr>
            <w:rFonts w:asciiTheme="minorHAnsi" w:eastAsiaTheme="minorEastAsia" w:hAnsiTheme="minorHAnsi" w:cstheme="minorBidi"/>
            <w:i w:val="0"/>
            <w:szCs w:val="22"/>
          </w:rPr>
          <w:tab/>
        </w:r>
        <w:r w:rsidR="00001B38" w:rsidRPr="00591055">
          <w:rPr>
            <w:rStyle w:val="Hyperlink"/>
          </w:rPr>
          <w:t>Sexual preference in the AHRC Act</w:t>
        </w:r>
        <w:r w:rsidR="00001B38">
          <w:rPr>
            <w:webHidden/>
          </w:rPr>
          <w:tab/>
        </w:r>
        <w:r w:rsidR="00001B38">
          <w:rPr>
            <w:webHidden/>
          </w:rPr>
          <w:fldChar w:fldCharType="begin"/>
        </w:r>
        <w:r w:rsidR="00001B38">
          <w:rPr>
            <w:webHidden/>
          </w:rPr>
          <w:instrText xml:space="preserve"> PAGEREF _Toc354472153 \h </w:instrText>
        </w:r>
        <w:r w:rsidR="00001B38">
          <w:rPr>
            <w:webHidden/>
          </w:rPr>
        </w:r>
        <w:r w:rsidR="00001B38">
          <w:rPr>
            <w:webHidden/>
          </w:rPr>
          <w:fldChar w:fldCharType="separate"/>
        </w:r>
        <w:r w:rsidR="009B2F41">
          <w:rPr>
            <w:webHidden/>
          </w:rPr>
          <w:t>11</w:t>
        </w:r>
        <w:r w:rsidR="00001B38">
          <w:rPr>
            <w:webHidden/>
          </w:rPr>
          <w:fldChar w:fldCharType="end"/>
        </w:r>
      </w:hyperlink>
    </w:p>
    <w:p w:rsidR="005132AC" w:rsidRDefault="000F3A4C" w:rsidP="005132AC">
      <w:r>
        <w:rPr>
          <w:i/>
          <w:noProof/>
          <w:sz w:val="22"/>
        </w:rPr>
        <w:fldChar w:fldCharType="end"/>
      </w:r>
      <w:r w:rsidR="007D4107">
        <w:t xml:space="preserve"> </w:t>
      </w:r>
      <w:r w:rsidR="007411DF">
        <w:br w:type="page"/>
      </w:r>
    </w:p>
    <w:p w:rsidR="00D90A40" w:rsidRPr="005132AC" w:rsidRDefault="00D90A40" w:rsidP="005132AC">
      <w:pPr>
        <w:pStyle w:val="Heading1"/>
      </w:pPr>
      <w:bookmarkStart w:id="7" w:name="_Toc354472138"/>
      <w:r w:rsidRPr="005132AC">
        <w:lastRenderedPageBreak/>
        <w:t>Introduction</w:t>
      </w:r>
      <w:bookmarkEnd w:id="7"/>
      <w:r w:rsidRPr="005132AC">
        <w:t xml:space="preserve"> </w:t>
      </w:r>
    </w:p>
    <w:p w:rsidR="00B956B9" w:rsidRDefault="00874594" w:rsidP="00196CCB">
      <w:pPr>
        <w:pStyle w:val="SubmissionNormal"/>
        <w:ind w:left="1276" w:hanging="709"/>
        <w:jc w:val="both"/>
      </w:pPr>
      <w:r w:rsidRPr="00874594">
        <w:t xml:space="preserve">The </w:t>
      </w:r>
      <w:r w:rsidR="00144DE6">
        <w:t>Australian Human Rights Commission makes this submission to the Senate Legal and Constitutional Affairs Committee regarding the Sex Discrimination Amendment (Sexual Orientation, Gender Identity and I</w:t>
      </w:r>
      <w:r w:rsidR="00775F10">
        <w:t>ntersex Status) Bill 2013 (SD</w:t>
      </w:r>
      <w:r w:rsidR="000773C8">
        <w:t>A</w:t>
      </w:r>
      <w:r w:rsidR="00144DE6">
        <w:t xml:space="preserve"> Bill).</w:t>
      </w:r>
    </w:p>
    <w:p w:rsidR="00144DE6" w:rsidRDefault="00560EAB" w:rsidP="00196CCB">
      <w:pPr>
        <w:pStyle w:val="SubmissionNormal"/>
        <w:ind w:left="1276" w:hanging="709"/>
        <w:jc w:val="both"/>
      </w:pPr>
      <w:r>
        <w:t xml:space="preserve">The </w:t>
      </w:r>
      <w:r w:rsidR="00140136">
        <w:t xml:space="preserve">Commission </w:t>
      </w:r>
      <w:r>
        <w:t xml:space="preserve">commends the </w:t>
      </w:r>
      <w:r w:rsidR="006E1C7F">
        <w:t xml:space="preserve">Australian </w:t>
      </w:r>
      <w:r>
        <w:t xml:space="preserve">Government for </w:t>
      </w:r>
      <w:r w:rsidR="00140136">
        <w:t xml:space="preserve">proceeding with the introduction of these new protections for sexual orientation, gender identity and intersex </w:t>
      </w:r>
      <w:r w:rsidR="0042269A">
        <w:t>as an interim measure while</w:t>
      </w:r>
      <w:r w:rsidR="00140136">
        <w:t xml:space="preserve"> it considers the Human Rights and Anti-Discrimination Bill 2012 </w:t>
      </w:r>
      <w:r w:rsidR="006E1C7F">
        <w:t xml:space="preserve">(HRAD Bill) </w:t>
      </w:r>
      <w:r w:rsidR="00140136">
        <w:t xml:space="preserve">further. The Commission </w:t>
      </w:r>
      <w:r w:rsidR="006E1C7F">
        <w:t xml:space="preserve">strongly </w:t>
      </w:r>
      <w:r w:rsidR="002F69B2">
        <w:t xml:space="preserve">supports the passage of the SDA Bill and </w:t>
      </w:r>
      <w:r w:rsidR="00435C9F">
        <w:t xml:space="preserve">also </w:t>
      </w:r>
      <w:r w:rsidR="00F4281E">
        <w:t xml:space="preserve">strongly </w:t>
      </w:r>
      <w:r w:rsidR="002F69B2">
        <w:t xml:space="preserve">encourages </w:t>
      </w:r>
      <w:r w:rsidR="00140136">
        <w:t xml:space="preserve">the </w:t>
      </w:r>
      <w:r w:rsidR="006E1C7F">
        <w:t xml:space="preserve">Government to introduce the revised HRAD Bill in the </w:t>
      </w:r>
      <w:r w:rsidR="00435C9F">
        <w:t>Winter</w:t>
      </w:r>
      <w:r w:rsidR="00435C9F" w:rsidRPr="002F69B2">
        <w:t xml:space="preserve"> </w:t>
      </w:r>
      <w:r w:rsidR="006E1C7F" w:rsidRPr="002F69B2">
        <w:t>sittings</w:t>
      </w:r>
      <w:r w:rsidR="006E1C7F">
        <w:t xml:space="preserve"> of the federal parliament.</w:t>
      </w:r>
    </w:p>
    <w:p w:rsidR="00A62B84" w:rsidRDefault="00A62B84" w:rsidP="00A62B84">
      <w:pPr>
        <w:pStyle w:val="Heading1"/>
      </w:pPr>
      <w:bookmarkStart w:id="8" w:name="_Toc354472139"/>
      <w:r>
        <w:t>Summary</w:t>
      </w:r>
      <w:bookmarkEnd w:id="8"/>
    </w:p>
    <w:p w:rsidR="00F452F3" w:rsidRPr="00D33573" w:rsidRDefault="00F452F3" w:rsidP="00F452F3">
      <w:pPr>
        <w:pStyle w:val="SubmissionNormal"/>
        <w:ind w:hanging="717"/>
        <w:jc w:val="both"/>
        <w:rPr>
          <w:sz w:val="20"/>
          <w:szCs w:val="20"/>
        </w:rPr>
      </w:pPr>
      <w:r>
        <w:t xml:space="preserve">The SDA Bill will introduce </w:t>
      </w:r>
      <w:r w:rsidR="00F4281E">
        <w:t>essential</w:t>
      </w:r>
      <w:r>
        <w:t xml:space="preserve"> protections for sexual orientation, gender identity and intersex status in federal discrimination laws. The Commission agrees with the Government that these protections are ‘long overdue and too important to be delayed further’</w:t>
      </w:r>
      <w:r w:rsidR="00511F30">
        <w:rPr>
          <w:rStyle w:val="EndnoteReference"/>
        </w:rPr>
        <w:endnoteReference w:id="1"/>
      </w:r>
      <w:r>
        <w:t>. The Commission strongly supports the passage of this Bill as an interim measure prior to the introduction of a revised Human Rights and Anti-Discrimination Bill.</w:t>
      </w:r>
    </w:p>
    <w:p w:rsidR="00C231CC" w:rsidRPr="00C231CC" w:rsidRDefault="00400DAD" w:rsidP="00400DAD">
      <w:pPr>
        <w:pStyle w:val="SubmissionNormal"/>
        <w:ind w:hanging="717"/>
        <w:jc w:val="both"/>
        <w:rPr>
          <w:sz w:val="20"/>
          <w:szCs w:val="20"/>
        </w:rPr>
      </w:pPr>
      <w:r>
        <w:t>These positive developments are a major step forward for the Australian Government fulfilling its international human rights obligations towards lesbian, gay, bisexual, transgender and intersex (LGBTI) people.</w:t>
      </w:r>
      <w:r w:rsidR="00C231CC">
        <w:t xml:space="preserve"> </w:t>
      </w:r>
      <w:r>
        <w:t>However, t</w:t>
      </w:r>
      <w:r w:rsidRPr="00307F08">
        <w:t>here ar</w:t>
      </w:r>
      <w:r>
        <w:t>e other</w:t>
      </w:r>
      <w:r w:rsidRPr="00307F08">
        <w:t xml:space="preserve"> issues that were proposed to be addressed through the HRAD Bill </w:t>
      </w:r>
      <w:r w:rsidR="00F806AD">
        <w:t xml:space="preserve">or were raised during the consultation process </w:t>
      </w:r>
      <w:r w:rsidRPr="00307F08">
        <w:t xml:space="preserve">that would provide more effective protection against discrimination on the basis of sexual orientation, gender identity and intersex. </w:t>
      </w:r>
      <w:r w:rsidR="00C231CC" w:rsidRPr="00307F08">
        <w:t>A number of these provisions do not appear to have been incorporated into the proposed SDA Bill.</w:t>
      </w:r>
    </w:p>
    <w:p w:rsidR="00400DAD" w:rsidRPr="00E11568" w:rsidRDefault="00400DAD" w:rsidP="00C231CC">
      <w:pPr>
        <w:pStyle w:val="SubmissionNormal"/>
        <w:ind w:hanging="717"/>
        <w:jc w:val="both"/>
        <w:rPr>
          <w:sz w:val="20"/>
          <w:szCs w:val="20"/>
        </w:rPr>
      </w:pPr>
      <w:r w:rsidRPr="00307F08">
        <w:t xml:space="preserve">In the consultation process held by this committee on the exposure draft of </w:t>
      </w:r>
      <w:r w:rsidR="00F4281E">
        <w:t>the HRAD</w:t>
      </w:r>
      <w:r w:rsidR="00F4281E" w:rsidRPr="00307F08">
        <w:t xml:space="preserve"> </w:t>
      </w:r>
      <w:r w:rsidRPr="00307F08">
        <w:t xml:space="preserve">bill, a number of these issues were either broadly supported or did not attract opposition. </w:t>
      </w:r>
      <w:r w:rsidR="00C231CC">
        <w:t xml:space="preserve">These include </w:t>
      </w:r>
      <w:r>
        <w:t>the exclusion of Commonwealth-funded aged care services and intersex status from the operation of the exemptions</w:t>
      </w:r>
      <w:r w:rsidR="009969A8">
        <w:t xml:space="preserve"> for religious bodies</w:t>
      </w:r>
      <w:r>
        <w:t>.</w:t>
      </w:r>
      <w:r w:rsidR="003B0D5D">
        <w:t xml:space="preserve"> These should be addressed through the SDA Bill.</w:t>
      </w:r>
    </w:p>
    <w:p w:rsidR="00F4281E" w:rsidRDefault="00400DAD" w:rsidP="00400DAD">
      <w:pPr>
        <w:pStyle w:val="SubmissionNormal"/>
        <w:ind w:hanging="717"/>
        <w:jc w:val="both"/>
      </w:pPr>
      <w:r w:rsidRPr="007A198D">
        <w:t xml:space="preserve">The Commission notes that </w:t>
      </w:r>
      <w:r>
        <w:t xml:space="preserve">the </w:t>
      </w:r>
      <w:r w:rsidRPr="007A198D">
        <w:t xml:space="preserve">SDA was introduced to implement Australia’s obligations under the </w:t>
      </w:r>
      <w:r w:rsidRPr="00262F2E">
        <w:rPr>
          <w:i/>
        </w:rPr>
        <w:t xml:space="preserve">Convention on the Elimination of </w:t>
      </w:r>
      <w:r w:rsidR="00D26A2D">
        <w:rPr>
          <w:i/>
        </w:rPr>
        <w:t>A</w:t>
      </w:r>
      <w:r w:rsidR="00D26A2D" w:rsidRPr="00262F2E">
        <w:rPr>
          <w:i/>
        </w:rPr>
        <w:t xml:space="preserve">ll </w:t>
      </w:r>
      <w:r w:rsidRPr="00262F2E">
        <w:rPr>
          <w:i/>
        </w:rPr>
        <w:t xml:space="preserve">Forms of Discrimination </w:t>
      </w:r>
      <w:r w:rsidR="00D26A2D">
        <w:rPr>
          <w:i/>
        </w:rPr>
        <w:t>a</w:t>
      </w:r>
      <w:r w:rsidRPr="00262F2E">
        <w:rPr>
          <w:i/>
        </w:rPr>
        <w:t>gainst Women</w:t>
      </w:r>
      <w:r w:rsidRPr="007A198D">
        <w:t xml:space="preserve"> (CEDAW) and </w:t>
      </w:r>
      <w:r w:rsidRPr="00A313D5">
        <w:t>to promote substantive gender equality.</w:t>
      </w:r>
      <w:r w:rsidR="00F4281E" w:rsidRPr="00A313D5">
        <w:t xml:space="preserve"> The proposed amendments </w:t>
      </w:r>
      <w:r w:rsidR="00354BB6" w:rsidRPr="00A313D5">
        <w:t>do not</w:t>
      </w:r>
      <w:r w:rsidR="00F4281E" w:rsidRPr="00A313D5">
        <w:t xml:space="preserve"> </w:t>
      </w:r>
      <w:r w:rsidR="00354BB6" w:rsidRPr="00A313D5">
        <w:t xml:space="preserve">amend </w:t>
      </w:r>
      <w:r w:rsidR="00F4281E" w:rsidRPr="00A313D5">
        <w:t xml:space="preserve">the </w:t>
      </w:r>
      <w:r w:rsidR="00354BB6" w:rsidRPr="00A313D5">
        <w:t xml:space="preserve">existing SDA objects </w:t>
      </w:r>
      <w:r w:rsidR="00A313D5">
        <w:t xml:space="preserve">pertaining to </w:t>
      </w:r>
      <w:r w:rsidR="00F4281E" w:rsidRPr="00A313D5">
        <w:t>g</w:t>
      </w:r>
      <w:r w:rsidR="00354BB6" w:rsidRPr="00A313D5">
        <w:t>e</w:t>
      </w:r>
      <w:r w:rsidR="00F4281E" w:rsidRPr="00A313D5">
        <w:t>n</w:t>
      </w:r>
      <w:r w:rsidR="00354BB6" w:rsidRPr="00A313D5">
        <w:t>d</w:t>
      </w:r>
      <w:r w:rsidR="00F4281E" w:rsidRPr="00A313D5">
        <w:t>er equality</w:t>
      </w:r>
      <w:r w:rsidR="00354BB6" w:rsidRPr="00A313D5">
        <w:t xml:space="preserve"> or </w:t>
      </w:r>
      <w:r w:rsidR="00A313D5">
        <w:t xml:space="preserve">pertaining to </w:t>
      </w:r>
      <w:r w:rsidR="00354BB6" w:rsidRPr="00A313D5">
        <w:t>discr</w:t>
      </w:r>
      <w:r w:rsidR="00A313D5" w:rsidRPr="00A313D5">
        <w:t>im</w:t>
      </w:r>
      <w:r w:rsidR="00A313D5">
        <w:t>i</w:t>
      </w:r>
      <w:r w:rsidR="00354BB6" w:rsidRPr="00A313D5">
        <w:t>n</w:t>
      </w:r>
      <w:r w:rsidR="00A313D5">
        <w:t>a</w:t>
      </w:r>
      <w:r w:rsidR="00354BB6" w:rsidRPr="00A313D5">
        <w:t xml:space="preserve">tion </w:t>
      </w:r>
      <w:r w:rsidR="00A313D5">
        <w:t>on the grounds of</w:t>
      </w:r>
      <w:r w:rsidR="00354BB6" w:rsidRPr="00A313D5">
        <w:t xml:space="preserve"> </w:t>
      </w:r>
      <w:r w:rsidR="00354BB6" w:rsidRPr="00262F2E">
        <w:rPr>
          <w:rFonts w:cs="Arial"/>
        </w:rPr>
        <w:t>sex, marital status, pregnancy or potential pregnancy or breastfeeding</w:t>
      </w:r>
      <w:r w:rsidR="00A313D5" w:rsidRPr="00262F2E">
        <w:rPr>
          <w:rFonts w:cs="Arial"/>
        </w:rPr>
        <w:t>, family responsibilities and sexual harassment</w:t>
      </w:r>
      <w:r w:rsidR="00F4281E" w:rsidRPr="00A313D5">
        <w:t>.</w:t>
      </w:r>
    </w:p>
    <w:p w:rsidR="00400DAD" w:rsidRPr="007A198D" w:rsidRDefault="00F4281E" w:rsidP="00400DAD">
      <w:pPr>
        <w:pStyle w:val="SubmissionNormal"/>
        <w:ind w:hanging="717"/>
        <w:jc w:val="both"/>
      </w:pPr>
      <w:r>
        <w:lastRenderedPageBreak/>
        <w:t>The SDA</w:t>
      </w:r>
      <w:r w:rsidR="004C64BE">
        <w:t xml:space="preserve"> Bill</w:t>
      </w:r>
      <w:r>
        <w:t xml:space="preserve"> </w:t>
      </w:r>
      <w:r w:rsidR="00A313D5">
        <w:t>seek</w:t>
      </w:r>
      <w:r w:rsidR="004C64BE">
        <w:t>s</w:t>
      </w:r>
      <w:r w:rsidR="00A313D5">
        <w:t xml:space="preserve"> to prohibit discrim</w:t>
      </w:r>
      <w:r>
        <w:t>in</w:t>
      </w:r>
      <w:r w:rsidR="00A313D5">
        <w:t>a</w:t>
      </w:r>
      <w:r>
        <w:t>tion on three additional grounds of sexual orientation, gender identity and intersex under the SDA</w:t>
      </w:r>
      <w:r w:rsidR="00400DAD" w:rsidRPr="007A198D">
        <w:t xml:space="preserve">. </w:t>
      </w:r>
      <w:r w:rsidR="00A313D5">
        <w:t xml:space="preserve">However, </w:t>
      </w:r>
      <w:r w:rsidR="00400DAD" w:rsidRPr="007A198D">
        <w:t>there are some complexities and ambiguities that result from seeking to use the SDA as the vehicle for providing protection against discrimination on the grounds of sexual orientation, gender identity and inters</w:t>
      </w:r>
      <w:r w:rsidR="00400DAD">
        <w:t>e</w:t>
      </w:r>
      <w:r w:rsidR="00400DAD" w:rsidRPr="007A198D">
        <w:t>x status</w:t>
      </w:r>
      <w:r w:rsidR="00A313D5">
        <w:t>, rather than the HRAD Bill</w:t>
      </w:r>
      <w:r w:rsidR="00400DAD" w:rsidRPr="007A198D">
        <w:t>.</w:t>
      </w:r>
      <w:r w:rsidR="00400DAD">
        <w:t xml:space="preserve"> </w:t>
      </w:r>
    </w:p>
    <w:p w:rsidR="00F452F3" w:rsidRPr="006202FF" w:rsidRDefault="00400DAD" w:rsidP="00A62B84">
      <w:pPr>
        <w:pStyle w:val="SubmissionNormal"/>
        <w:ind w:left="1276" w:hanging="709"/>
        <w:jc w:val="both"/>
      </w:pPr>
      <w:r w:rsidRPr="00307F08">
        <w:t>We acknowledge that the Attorney-General has described the passage of the SDA Bill as an interim step towards a revised HRAD Bill.</w:t>
      </w:r>
      <w:r>
        <w:t xml:space="preserve"> </w:t>
      </w:r>
      <w:r w:rsidRPr="00014A92">
        <w:t>Any inconsistencies that are unable to be ad</w:t>
      </w:r>
      <w:r w:rsidR="00014A92" w:rsidRPr="00014A92">
        <w:t>dressed through this process could</w:t>
      </w:r>
      <w:r w:rsidRPr="00014A92">
        <w:t xml:space="preserve"> be addressed through the HRAD Bill or through subsequent amendments to the SDA.</w:t>
      </w:r>
      <w:r w:rsidR="00C231CC">
        <w:t xml:space="preserve"> </w:t>
      </w:r>
    </w:p>
    <w:p w:rsidR="00B956B9" w:rsidRPr="006202FF" w:rsidRDefault="00B956B9" w:rsidP="00286200">
      <w:pPr>
        <w:pStyle w:val="Heading1"/>
      </w:pPr>
      <w:bookmarkStart w:id="9" w:name="_Toc343004750"/>
      <w:bookmarkStart w:id="10" w:name="_Toc354472140"/>
      <w:bookmarkEnd w:id="9"/>
      <w:r w:rsidRPr="006202FF">
        <w:t>Recommendations</w:t>
      </w:r>
      <w:bookmarkEnd w:id="10"/>
    </w:p>
    <w:p w:rsidR="00B956B9" w:rsidRPr="006202FF" w:rsidRDefault="00B956B9" w:rsidP="000801AA">
      <w:pPr>
        <w:pStyle w:val="SubmissionNormal"/>
        <w:ind w:left="1276" w:hanging="709"/>
        <w:jc w:val="both"/>
      </w:pPr>
      <w:r w:rsidRPr="006202FF">
        <w:t xml:space="preserve">The </w:t>
      </w:r>
      <w:r w:rsidR="00A62B84" w:rsidRPr="006202FF">
        <w:t>Australian Human Rights Commission recommends that:</w:t>
      </w:r>
    </w:p>
    <w:p w:rsidR="00033FE5" w:rsidRPr="00033FE5" w:rsidRDefault="00A62B84" w:rsidP="00C90E5B">
      <w:pPr>
        <w:pStyle w:val="ListParagraph"/>
        <w:numPr>
          <w:ilvl w:val="0"/>
          <w:numId w:val="37"/>
        </w:numPr>
      </w:pPr>
      <w:r w:rsidRPr="006202FF">
        <w:t>The Committee support passage of the Bill</w:t>
      </w:r>
      <w:r w:rsidR="00C90E5B" w:rsidRPr="006202FF">
        <w:t xml:space="preserve"> </w:t>
      </w:r>
      <w:r w:rsidR="00B23967" w:rsidRPr="006202FF">
        <w:t xml:space="preserve">as an interim measure to the introduction of the Human Rights and Anti-Discrimination Bill 2012 </w:t>
      </w:r>
      <w:r w:rsidR="00ED6479" w:rsidRPr="006202FF">
        <w:rPr>
          <w:b/>
        </w:rPr>
        <w:t>[Recommendation 1</w:t>
      </w:r>
      <w:r w:rsidR="00C90E5B" w:rsidRPr="006202FF">
        <w:rPr>
          <w:b/>
        </w:rPr>
        <w:t>].</w:t>
      </w:r>
      <w:r w:rsidR="000B1C57">
        <w:rPr>
          <w:b/>
        </w:rPr>
        <w:br/>
      </w:r>
    </w:p>
    <w:p w:rsidR="00874594" w:rsidRPr="006202FF" w:rsidRDefault="00033FE5" w:rsidP="00C90E5B">
      <w:pPr>
        <w:pStyle w:val="ListParagraph"/>
        <w:numPr>
          <w:ilvl w:val="0"/>
          <w:numId w:val="37"/>
        </w:numPr>
      </w:pPr>
      <w:r>
        <w:t xml:space="preserve">The Committee recommend that the </w:t>
      </w:r>
      <w:r w:rsidR="00244EAC" w:rsidRPr="006202FF">
        <w:t xml:space="preserve">Australian Government introduce the revised Human Rights and Anti-Discrimination Bill 2012 in the </w:t>
      </w:r>
      <w:r w:rsidR="00537130">
        <w:t>Winter</w:t>
      </w:r>
      <w:r w:rsidR="00244EAC" w:rsidRPr="006202FF">
        <w:t xml:space="preserve"> sittings of federal parliament </w:t>
      </w:r>
      <w:r w:rsidR="00ED6479" w:rsidRPr="00033FE5">
        <w:rPr>
          <w:b/>
        </w:rPr>
        <w:t>[Recommendation 2</w:t>
      </w:r>
      <w:r w:rsidR="00874594" w:rsidRPr="00033FE5">
        <w:rPr>
          <w:b/>
        </w:rPr>
        <w:t>]</w:t>
      </w:r>
      <w:r w:rsidR="00C90E5B" w:rsidRPr="00033FE5">
        <w:rPr>
          <w:b/>
        </w:rPr>
        <w:t>.</w:t>
      </w:r>
      <w:r w:rsidR="000B1C57">
        <w:rPr>
          <w:b/>
        </w:rPr>
        <w:br/>
      </w:r>
    </w:p>
    <w:p w:rsidR="0066665E" w:rsidRDefault="00CB5288" w:rsidP="00C90E5B">
      <w:pPr>
        <w:pStyle w:val="ListParagraph"/>
        <w:numPr>
          <w:ilvl w:val="0"/>
          <w:numId w:val="37"/>
        </w:numPr>
      </w:pPr>
      <w:r>
        <w:t>The Committee recommend</w:t>
      </w:r>
      <w:r w:rsidR="000B1C57">
        <w:t xml:space="preserve"> that</w:t>
      </w:r>
      <w:r w:rsidR="0066665E">
        <w:t>:</w:t>
      </w:r>
    </w:p>
    <w:p w:rsidR="0066665E" w:rsidRDefault="00E96553" w:rsidP="0066665E">
      <w:pPr>
        <w:pStyle w:val="ListParagraph"/>
        <w:numPr>
          <w:ilvl w:val="1"/>
          <w:numId w:val="37"/>
        </w:numPr>
      </w:pPr>
      <w:r>
        <w:t>Commonwealth-funded aged care services</w:t>
      </w:r>
      <w:r w:rsidR="0066665E">
        <w:t xml:space="preserve"> and</w:t>
      </w:r>
    </w:p>
    <w:p w:rsidR="0066665E" w:rsidRDefault="0066665E" w:rsidP="0066665E">
      <w:pPr>
        <w:pStyle w:val="ListParagraph"/>
        <w:numPr>
          <w:ilvl w:val="1"/>
          <w:numId w:val="37"/>
        </w:numPr>
      </w:pPr>
      <w:r>
        <w:t>Intersex status</w:t>
      </w:r>
      <w:r w:rsidR="00EA6CB6">
        <w:t xml:space="preserve"> </w:t>
      </w:r>
    </w:p>
    <w:p w:rsidR="00E96553" w:rsidRPr="00E96553" w:rsidRDefault="00FE12E1" w:rsidP="0066665E">
      <w:pPr>
        <w:pStyle w:val="ListParagraph"/>
        <w:ind w:left="1636"/>
      </w:pPr>
      <w:r>
        <w:t>be</w:t>
      </w:r>
      <w:r w:rsidR="00E96553">
        <w:t xml:space="preserve"> excluded from the operation of s 37(d) of the SDA </w:t>
      </w:r>
      <w:r w:rsidR="0066665E">
        <w:t>[</w:t>
      </w:r>
      <w:r w:rsidR="00E96553">
        <w:rPr>
          <w:b/>
        </w:rPr>
        <w:t>Recommendation 3].</w:t>
      </w:r>
      <w:r w:rsidR="007C4CED">
        <w:rPr>
          <w:b/>
        </w:rPr>
        <w:br/>
      </w:r>
    </w:p>
    <w:p w:rsidR="004C7C79" w:rsidRDefault="00923C70" w:rsidP="003D4671">
      <w:pPr>
        <w:pStyle w:val="ListParagraph"/>
        <w:numPr>
          <w:ilvl w:val="0"/>
          <w:numId w:val="37"/>
        </w:numPr>
      </w:pPr>
      <w:r>
        <w:t>The Committee recommend that the exemption in clause</w:t>
      </w:r>
      <w:r w:rsidR="00855688">
        <w:t xml:space="preserve"> </w:t>
      </w:r>
      <w:r>
        <w:t xml:space="preserve">43A include a requirement that it be reviewed in three years </w:t>
      </w:r>
      <w:r w:rsidR="0066665E" w:rsidRPr="003D4671">
        <w:rPr>
          <w:b/>
        </w:rPr>
        <w:t>[Recommendation 4</w:t>
      </w:r>
      <w:r w:rsidRPr="003D4671">
        <w:rPr>
          <w:b/>
        </w:rPr>
        <w:t>].</w:t>
      </w:r>
      <w:r w:rsidRPr="003D4671">
        <w:rPr>
          <w:b/>
        </w:rPr>
        <w:br/>
      </w:r>
    </w:p>
    <w:p w:rsidR="00923C70" w:rsidRPr="00923C70" w:rsidRDefault="00923C70" w:rsidP="00C90E5B">
      <w:pPr>
        <w:pStyle w:val="ListParagraph"/>
        <w:numPr>
          <w:ilvl w:val="0"/>
          <w:numId w:val="37"/>
        </w:numPr>
      </w:pPr>
      <w:r>
        <w:t xml:space="preserve">The Committee recommend that the Australian Government consider removing clause 40(2B) from the SDA Bill </w:t>
      </w:r>
      <w:r w:rsidR="0066665E">
        <w:rPr>
          <w:b/>
        </w:rPr>
        <w:t xml:space="preserve">[Recommendation </w:t>
      </w:r>
      <w:r w:rsidR="00DB2841">
        <w:rPr>
          <w:b/>
        </w:rPr>
        <w:t>5</w:t>
      </w:r>
      <w:r>
        <w:rPr>
          <w:b/>
        </w:rPr>
        <w:t>].</w:t>
      </w:r>
      <w:r>
        <w:rPr>
          <w:b/>
        </w:rPr>
        <w:br/>
      </w:r>
    </w:p>
    <w:p w:rsidR="00923C70" w:rsidRPr="006202FF" w:rsidRDefault="00923C70" w:rsidP="00C90E5B">
      <w:pPr>
        <w:pStyle w:val="ListParagraph"/>
        <w:numPr>
          <w:ilvl w:val="0"/>
          <w:numId w:val="37"/>
        </w:numPr>
      </w:pPr>
      <w:r>
        <w:t xml:space="preserve">The Committee </w:t>
      </w:r>
      <w:r w:rsidR="0066665E">
        <w:t xml:space="preserve">give consideration to options for aligning the protections </w:t>
      </w:r>
      <w:r w:rsidR="00F356DA">
        <w:t xml:space="preserve">for </w:t>
      </w:r>
      <w:r w:rsidR="0066665E">
        <w:t>sexual orientation, gender identi</w:t>
      </w:r>
      <w:r w:rsidR="00F356DA">
        <w:t>ty and intersex in the SDA</w:t>
      </w:r>
      <w:r w:rsidR="0066665E">
        <w:t xml:space="preserve"> with</w:t>
      </w:r>
      <w:r w:rsidR="00F356DA">
        <w:t xml:space="preserve"> those in the HRAD Bill</w:t>
      </w:r>
      <w:r>
        <w:t xml:space="preserve"> </w:t>
      </w:r>
      <w:r w:rsidR="0066665E">
        <w:rPr>
          <w:b/>
        </w:rPr>
        <w:t xml:space="preserve">[Recommendation </w:t>
      </w:r>
      <w:r w:rsidR="00DB2841">
        <w:rPr>
          <w:b/>
        </w:rPr>
        <w:t>6</w:t>
      </w:r>
      <w:r>
        <w:rPr>
          <w:b/>
        </w:rPr>
        <w:t>].</w:t>
      </w:r>
    </w:p>
    <w:p w:rsidR="001B14FF" w:rsidRPr="001B14FF" w:rsidRDefault="00775F10" w:rsidP="002C51ED">
      <w:pPr>
        <w:pStyle w:val="Heading1"/>
      </w:pPr>
      <w:bookmarkStart w:id="11" w:name="_Toc354472141"/>
      <w:r>
        <w:t>Improved protections</w:t>
      </w:r>
      <w:r w:rsidR="002E2B5B">
        <w:t xml:space="preserve"> </w:t>
      </w:r>
      <w:r w:rsidR="00B01AB2">
        <w:t>for sexual orientation, gender identity and intersex status</w:t>
      </w:r>
      <w:bookmarkEnd w:id="11"/>
    </w:p>
    <w:bookmarkEnd w:id="4"/>
    <w:bookmarkEnd w:id="5"/>
    <w:bookmarkEnd w:id="6"/>
    <w:p w:rsidR="00D33573" w:rsidRPr="003A5F52" w:rsidRDefault="00775F10" w:rsidP="00D33573">
      <w:pPr>
        <w:pStyle w:val="SubmissionNormal"/>
        <w:ind w:hanging="717"/>
        <w:jc w:val="both"/>
        <w:rPr>
          <w:sz w:val="20"/>
          <w:szCs w:val="20"/>
        </w:rPr>
      </w:pPr>
      <w:r>
        <w:t>The SD</w:t>
      </w:r>
      <w:r w:rsidR="000773C8">
        <w:t>A</w:t>
      </w:r>
      <w:r>
        <w:t xml:space="preserve"> Bill will introduce </w:t>
      </w:r>
      <w:r w:rsidR="004C64BE">
        <w:t>essential</w:t>
      </w:r>
      <w:r>
        <w:t xml:space="preserve"> protections for sexual orientation, gender identity and intersex status in federal discrimination laws. </w:t>
      </w:r>
      <w:r w:rsidR="00435C9F">
        <w:t>T</w:t>
      </w:r>
      <w:r>
        <w:t xml:space="preserve">he Commission agrees with the Government that </w:t>
      </w:r>
      <w:r w:rsidR="000773C8">
        <w:t xml:space="preserve">these </w:t>
      </w:r>
      <w:r>
        <w:t>protections are ‘long overdue and too important to be delayed further’.</w:t>
      </w:r>
      <w:r w:rsidR="002D7283">
        <w:rPr>
          <w:rStyle w:val="EndnoteReference"/>
        </w:rPr>
        <w:endnoteReference w:id="2"/>
      </w:r>
      <w:r>
        <w:t xml:space="preserve"> The Commission </w:t>
      </w:r>
      <w:r w:rsidR="00FB1F13">
        <w:lastRenderedPageBreak/>
        <w:t xml:space="preserve">strongly </w:t>
      </w:r>
      <w:r>
        <w:t>supports</w:t>
      </w:r>
      <w:r w:rsidR="000773C8">
        <w:t xml:space="preserve"> the passage of this Bill as an interim measure </w:t>
      </w:r>
      <w:r w:rsidR="00435C9F">
        <w:t xml:space="preserve">prior </w:t>
      </w:r>
      <w:r w:rsidR="000773C8">
        <w:t>to the introduction of a revised Human Rights and Anti-Discrimination Bill.</w:t>
      </w:r>
    </w:p>
    <w:p w:rsidR="003A5F52" w:rsidRPr="003A5F52" w:rsidRDefault="003A5F52" w:rsidP="003A5F52">
      <w:pPr>
        <w:pStyle w:val="SubmissionNormal"/>
        <w:ind w:hanging="717"/>
        <w:jc w:val="both"/>
        <w:rPr>
          <w:b/>
          <w:sz w:val="20"/>
          <w:szCs w:val="20"/>
        </w:rPr>
      </w:pPr>
      <w:r w:rsidRPr="003A5F52">
        <w:rPr>
          <w:b/>
        </w:rPr>
        <w:t xml:space="preserve">The </w:t>
      </w:r>
      <w:r>
        <w:rPr>
          <w:b/>
        </w:rPr>
        <w:t xml:space="preserve">Commission </w:t>
      </w:r>
      <w:r w:rsidRPr="003A5F52">
        <w:rPr>
          <w:b/>
        </w:rPr>
        <w:t>support</w:t>
      </w:r>
      <w:r w:rsidR="002F6A52">
        <w:rPr>
          <w:b/>
        </w:rPr>
        <w:t>s</w:t>
      </w:r>
      <w:r w:rsidRPr="003A5F52">
        <w:rPr>
          <w:b/>
        </w:rPr>
        <w:t xml:space="preserve"> passage of the </w:t>
      </w:r>
      <w:r w:rsidR="002F6A52">
        <w:rPr>
          <w:b/>
        </w:rPr>
        <w:t xml:space="preserve">SDA </w:t>
      </w:r>
      <w:r w:rsidRPr="003A5F52">
        <w:rPr>
          <w:b/>
        </w:rPr>
        <w:t>Bill as an interim measure to the introduction of the Human Rights and Anti-Discrimination Bill 2012 [Recommendation 1].</w:t>
      </w:r>
    </w:p>
    <w:p w:rsidR="003A5F52" w:rsidRPr="003A5F52" w:rsidRDefault="003A5F52" w:rsidP="003A5F52">
      <w:pPr>
        <w:pStyle w:val="SubmissionNormal"/>
        <w:ind w:hanging="717"/>
        <w:jc w:val="both"/>
        <w:rPr>
          <w:b/>
          <w:sz w:val="20"/>
          <w:szCs w:val="20"/>
        </w:rPr>
      </w:pPr>
      <w:r w:rsidRPr="003A5F52">
        <w:rPr>
          <w:b/>
        </w:rPr>
        <w:t xml:space="preserve">The </w:t>
      </w:r>
      <w:r>
        <w:rPr>
          <w:b/>
        </w:rPr>
        <w:t xml:space="preserve">Commission recommends </w:t>
      </w:r>
      <w:r w:rsidR="002F6A52">
        <w:rPr>
          <w:b/>
        </w:rPr>
        <w:t xml:space="preserve">that </w:t>
      </w:r>
      <w:r w:rsidRPr="003A5F52">
        <w:rPr>
          <w:b/>
        </w:rPr>
        <w:t>the Australian Government introduce the revised Human Rights and Anti-Discrimination Bill 2012 in the Winter sittings of federal parliament [Recommendation 2].</w:t>
      </w:r>
    </w:p>
    <w:p w:rsidR="00D33573" w:rsidRPr="00D33573" w:rsidRDefault="00D33573" w:rsidP="00D33573">
      <w:pPr>
        <w:pStyle w:val="SubmissionNormal"/>
        <w:ind w:hanging="717"/>
        <w:jc w:val="both"/>
        <w:rPr>
          <w:sz w:val="20"/>
          <w:szCs w:val="20"/>
        </w:rPr>
      </w:pPr>
      <w:r>
        <w:t xml:space="preserve">The proposed definitions of sexual orientation, gender identity and intersex are best practice in Australia and are consistent with the most recently considered </w:t>
      </w:r>
      <w:r w:rsidR="00FB1F13">
        <w:t xml:space="preserve">proposed </w:t>
      </w:r>
      <w:r>
        <w:t xml:space="preserve">discrimination legislation, the </w:t>
      </w:r>
      <w:r w:rsidRPr="000B7B7D">
        <w:t>Anti-Discrimination Amendment Bill 2012</w:t>
      </w:r>
      <w:r w:rsidRPr="00D33573">
        <w:rPr>
          <w:i/>
        </w:rPr>
        <w:t xml:space="preserve"> </w:t>
      </w:r>
      <w:r>
        <w:t>(Tas). Further, marital status has been amended to include ‘marital or relationship status’ which includes same-sex de facto couples.</w:t>
      </w:r>
    </w:p>
    <w:p w:rsidR="00307F08" w:rsidRPr="00E11568" w:rsidRDefault="00D33573" w:rsidP="00307F08">
      <w:pPr>
        <w:pStyle w:val="SubmissionNormal"/>
        <w:ind w:hanging="717"/>
        <w:jc w:val="both"/>
        <w:rPr>
          <w:sz w:val="20"/>
          <w:szCs w:val="20"/>
        </w:rPr>
      </w:pPr>
      <w:r>
        <w:t>These positive developments are a major step forward for the Australia</w:t>
      </w:r>
      <w:r w:rsidR="0051441E">
        <w:t>n</w:t>
      </w:r>
      <w:r>
        <w:t xml:space="preserve"> Government fulfilling its international human rights obligations towards lesbian,</w:t>
      </w:r>
      <w:r w:rsidR="00435C9F">
        <w:t xml:space="preserve"> gay,</w:t>
      </w:r>
      <w:r>
        <w:t xml:space="preserve"> bisexual, transgender and intersex (LGBTI) people. </w:t>
      </w:r>
      <w:r w:rsidR="00E11568">
        <w:t>However, t</w:t>
      </w:r>
      <w:r w:rsidR="000D04B5" w:rsidRPr="00307F08">
        <w:t>here ar</w:t>
      </w:r>
      <w:r w:rsidR="00E11568">
        <w:t>e other</w:t>
      </w:r>
      <w:r w:rsidR="000D04B5" w:rsidRPr="00307F08">
        <w:t xml:space="preserve"> issues that were proposed to be addressed through the HRAD Bill</w:t>
      </w:r>
      <w:r w:rsidR="00F806AD">
        <w:t xml:space="preserve"> or were raised during the consultation process</w:t>
      </w:r>
      <w:r w:rsidR="000D04B5" w:rsidRPr="00307F08">
        <w:t xml:space="preserve"> that would provide more effective protection against discrimination on the basis of sexual orientation, gender identity and intersex. In the consultation process held by this committee on the exposure draft of that bill, a number of these issues were either broadly supported or did not attract opposition. </w:t>
      </w:r>
    </w:p>
    <w:p w:rsidR="00DD1773" w:rsidRPr="00DD1773" w:rsidRDefault="000D04B5" w:rsidP="00DD1773">
      <w:pPr>
        <w:pStyle w:val="SubmissionNormal"/>
        <w:ind w:hanging="717"/>
        <w:jc w:val="both"/>
        <w:rPr>
          <w:sz w:val="20"/>
          <w:szCs w:val="20"/>
        </w:rPr>
      </w:pPr>
      <w:r w:rsidRPr="00307F08">
        <w:t>A number of these provisions do not appear to have been incorporated into the proposed SDA Bill. The Commission contends that in order to guarantee more effective protection on the basis of sexual orientation, gender identity and intersex and to clarify any inconsistency, the Government should consider certain amendments to the SDA Bill as follows.</w:t>
      </w:r>
    </w:p>
    <w:p w:rsidR="00391EBB" w:rsidRDefault="00391EBB" w:rsidP="00391EBB">
      <w:pPr>
        <w:pStyle w:val="Heading2"/>
      </w:pPr>
      <w:bookmarkStart w:id="12" w:name="_Toc354472142"/>
      <w:r>
        <w:t>Commonwealth</w:t>
      </w:r>
      <w:r w:rsidR="009969A8">
        <w:t xml:space="preserve">-funded aged care and </w:t>
      </w:r>
      <w:r>
        <w:t>exemptions</w:t>
      </w:r>
      <w:r w:rsidR="009969A8">
        <w:t xml:space="preserve"> for religious bodies</w:t>
      </w:r>
      <w:bookmarkEnd w:id="12"/>
    </w:p>
    <w:p w:rsidR="00391EBB" w:rsidRDefault="00391EBB" w:rsidP="00391EBB">
      <w:pPr>
        <w:pStyle w:val="SubmissionNormal"/>
        <w:ind w:hanging="717"/>
        <w:jc w:val="both"/>
      </w:pPr>
      <w:r>
        <w:t>The Commission notes with concern that the SDA Bill has not retained the provision in the HRAD Bill which excludes the provision of Commonwealth-funded aged care from the operation of the exemptions</w:t>
      </w:r>
      <w:r w:rsidR="009969A8">
        <w:t xml:space="preserve"> for religious bodies</w:t>
      </w:r>
      <w:r>
        <w:t xml:space="preserve">. </w:t>
      </w:r>
      <w:r w:rsidR="00005156">
        <w:t>O</w:t>
      </w:r>
      <w:r w:rsidRPr="00A5758A">
        <w:t>lder LGBTI people should be able to access aged-care services without the fear of discrimination.</w:t>
      </w:r>
    </w:p>
    <w:p w:rsidR="00391EBB" w:rsidRDefault="00391EBB" w:rsidP="00391EBB">
      <w:pPr>
        <w:pStyle w:val="SubmissionNormal"/>
        <w:ind w:hanging="717"/>
        <w:jc w:val="both"/>
      </w:pPr>
      <w:r>
        <w:t xml:space="preserve">This provision enjoyed broad support in the consultation process. When providing reasons for the ‘aged-care’ qualification in the HRAD Bill the Government said ‘[t]here was significant feedback during consultations of the discrimination faced by older same-sex couples in accessing aged care services run by religious organisations, particularly when seeking to </w:t>
      </w:r>
      <w:r>
        <w:lastRenderedPageBreak/>
        <w:t>be recognised as a couple’.</w:t>
      </w:r>
      <w:r>
        <w:rPr>
          <w:rStyle w:val="EndnoteReference"/>
        </w:rPr>
        <w:endnoteReference w:id="3"/>
      </w:r>
      <w:r>
        <w:t xml:space="preserve"> The report of this committee agreed: ‘it is fundamentally important that all older Australians maintain the right to access aged care services on an equal basis’.</w:t>
      </w:r>
      <w:r>
        <w:rPr>
          <w:rStyle w:val="EndnoteReference"/>
        </w:rPr>
        <w:endnoteReference w:id="4"/>
      </w:r>
    </w:p>
    <w:p w:rsidR="00391EBB" w:rsidRDefault="00391EBB" w:rsidP="00391EBB">
      <w:pPr>
        <w:pStyle w:val="SubmissionNormal"/>
        <w:ind w:hanging="717"/>
        <w:jc w:val="both"/>
      </w:pPr>
      <w:r w:rsidRPr="00FB63BE">
        <w:t>In addition, many religious aged-care providers who engaged with the consultation process confirmed that they do not discriminate in who they provide care to, and were supportive of protection from discrimination for LGBTI people seeking to access their aged care services. UnitingCare Commun</w:t>
      </w:r>
      <w:r>
        <w:t>ity (which runs an Older Person</w:t>
      </w:r>
      <w:r w:rsidRPr="00FB63BE">
        <w:t>s Program funded by the Queensland Government) stated in its submission that it ‘strongly supports the prohibition of discrimination against LGBTI people receiving aged care services including those provided by federal funding and administered by religious aged care services.’</w:t>
      </w:r>
      <w:r w:rsidRPr="00FB63BE">
        <w:rPr>
          <w:vertAlign w:val="superscript"/>
        </w:rPr>
        <w:endnoteReference w:id="5"/>
      </w:r>
      <w:r w:rsidRPr="00FB63BE">
        <w:t xml:space="preserve"> Hammondcare, a non-denominational Christian aged-care services provider, gave evidence before the Senate Committee that it: </w:t>
      </w:r>
    </w:p>
    <w:p w:rsidR="00391EBB" w:rsidRPr="00FB63BE" w:rsidRDefault="00391EBB" w:rsidP="00391EBB">
      <w:pPr>
        <w:pStyle w:val="Default"/>
        <w:ind w:left="2004"/>
        <w:jc w:val="both"/>
        <w:rPr>
          <w:rFonts w:ascii="Arial" w:hAnsi="Arial" w:cs="Arial"/>
          <w:color w:val="auto"/>
          <w:sz w:val="22"/>
          <w:szCs w:val="22"/>
        </w:rPr>
      </w:pPr>
      <w:r w:rsidRPr="00FB63BE">
        <w:rPr>
          <w:rFonts w:ascii="Arial" w:hAnsi="Arial" w:cs="Arial"/>
          <w:color w:val="auto"/>
          <w:sz w:val="22"/>
          <w:szCs w:val="22"/>
        </w:rPr>
        <w:t>does not discriminate in provision of care on any basis, whether race, religion, gender or sexual orientation. HammondCare is currently and will continue to be an employer and a carer of people of all backgrounds, including people of the gay community.</w:t>
      </w:r>
      <w:r w:rsidRPr="00FB63BE">
        <w:rPr>
          <w:rFonts w:ascii="Arial" w:hAnsi="Arial" w:cs="Arial"/>
          <w:color w:val="auto"/>
          <w:sz w:val="22"/>
          <w:szCs w:val="22"/>
          <w:vertAlign w:val="superscript"/>
        </w:rPr>
        <w:endnoteReference w:id="6"/>
      </w:r>
      <w:r w:rsidRPr="00FB63BE">
        <w:rPr>
          <w:rFonts w:ascii="Arial" w:hAnsi="Arial" w:cs="Arial"/>
          <w:color w:val="auto"/>
          <w:sz w:val="22"/>
          <w:szCs w:val="22"/>
        </w:rPr>
        <w:t xml:space="preserve"> </w:t>
      </w:r>
    </w:p>
    <w:p w:rsidR="00391EBB" w:rsidRPr="0000309E" w:rsidRDefault="00391EBB" w:rsidP="00391EBB">
      <w:pPr>
        <w:pStyle w:val="SubmissionNormal"/>
        <w:ind w:hanging="717"/>
        <w:jc w:val="both"/>
      </w:pPr>
      <w:r w:rsidRPr="0000309E">
        <w:rPr>
          <w:rFonts w:cs="Arial"/>
        </w:rPr>
        <w:t>In its submission Catholic Health Australia stated that:</w:t>
      </w:r>
    </w:p>
    <w:p w:rsidR="00391EBB" w:rsidRPr="00FB63BE" w:rsidRDefault="00391EBB" w:rsidP="00391EBB">
      <w:pPr>
        <w:autoSpaceDE w:val="0"/>
        <w:autoSpaceDN w:val="0"/>
        <w:adjustRightInd w:val="0"/>
        <w:spacing w:before="0" w:after="0"/>
        <w:ind w:left="2004"/>
        <w:jc w:val="both"/>
        <w:rPr>
          <w:rFonts w:eastAsia="Times New Roman" w:cs="Arial"/>
          <w:sz w:val="22"/>
          <w:szCs w:val="22"/>
        </w:rPr>
      </w:pPr>
      <w:r w:rsidRPr="00FB63BE">
        <w:rPr>
          <w:rFonts w:eastAsia="Times New Roman" w:cs="Arial"/>
          <w:sz w:val="22"/>
          <w:szCs w:val="22"/>
        </w:rPr>
        <w:t>Catholic hospitals and aged care services do not discriminate against those who seek admission to hospital or aged care services; Catholic hospitals and aged care services will offer care to any person, regardless of ‘gender identity, marital or relationship status, potential pregnancy, pregnancy, religion or sexual orientation,’ where such person seeks care to be provided to them in a way that is consistent with Catholic teaching.</w:t>
      </w:r>
      <w:r w:rsidRPr="00FB63BE">
        <w:rPr>
          <w:rFonts w:eastAsia="Times New Roman" w:cs="Arial"/>
          <w:sz w:val="22"/>
          <w:szCs w:val="22"/>
          <w:vertAlign w:val="superscript"/>
        </w:rPr>
        <w:endnoteReference w:id="7"/>
      </w:r>
    </w:p>
    <w:p w:rsidR="00391EBB" w:rsidRPr="00B34A61" w:rsidRDefault="00391EBB" w:rsidP="00D33573">
      <w:pPr>
        <w:pStyle w:val="SubmissionNormal"/>
        <w:ind w:hanging="717"/>
        <w:jc w:val="both"/>
        <w:rPr>
          <w:sz w:val="20"/>
          <w:szCs w:val="20"/>
        </w:rPr>
      </w:pPr>
      <w:r>
        <w:t>Further, the Government said that when ‘such services are provided with Commonwealth funding, the Government does not consider that discrimination in the provision of those services is appropriate’.</w:t>
      </w:r>
      <w:r>
        <w:rPr>
          <w:rStyle w:val="EndnoteReference"/>
        </w:rPr>
        <w:endnoteReference w:id="8"/>
      </w:r>
      <w:r>
        <w:t xml:space="preserve"> The Government has also recognised older LGBTI people as a special needs group </w:t>
      </w:r>
      <w:r w:rsidR="00B4356C">
        <w:t xml:space="preserve">as part of its </w:t>
      </w:r>
      <w:r w:rsidR="00B4356C">
        <w:rPr>
          <w:i/>
        </w:rPr>
        <w:t xml:space="preserve">Living Longer, Living Better </w:t>
      </w:r>
      <w:r>
        <w:t>Strategy.</w:t>
      </w:r>
      <w:r>
        <w:rPr>
          <w:rStyle w:val="EndnoteReference"/>
        </w:rPr>
        <w:endnoteReference w:id="9"/>
      </w:r>
      <w:r>
        <w:t xml:space="preserve"> </w:t>
      </w:r>
      <w:r w:rsidR="0072568D">
        <w:t>Section</w:t>
      </w:r>
      <w:r>
        <w:t xml:space="preserve"> 37(d) of the </w:t>
      </w:r>
      <w:r w:rsidR="0029726D">
        <w:rPr>
          <w:i/>
        </w:rPr>
        <w:t xml:space="preserve">Sex Discrimination Act 1984 </w:t>
      </w:r>
      <w:r w:rsidR="0029726D">
        <w:t>(Cth) (</w:t>
      </w:r>
      <w:r>
        <w:t>SDA</w:t>
      </w:r>
      <w:r w:rsidR="0029726D">
        <w:t>)</w:t>
      </w:r>
      <w:r w:rsidR="0072568D">
        <w:t xml:space="preserve"> provides a broad exemption for acts for religious bodies. The Commission recommends that Commonwealth-funded aged care services are exclude</w:t>
      </w:r>
      <w:r w:rsidR="009969A8">
        <w:t>d from the operation of s 37(d) of the SDA.</w:t>
      </w:r>
    </w:p>
    <w:p w:rsidR="00B34A61" w:rsidRDefault="00B34A61" w:rsidP="00B34A61">
      <w:pPr>
        <w:pStyle w:val="SubmissionNormal"/>
        <w:ind w:hanging="717"/>
        <w:jc w:val="both"/>
      </w:pPr>
      <w:r>
        <w:t xml:space="preserve">While such </w:t>
      </w:r>
      <w:r w:rsidRPr="00162B30">
        <w:t xml:space="preserve">limitations </w:t>
      </w:r>
      <w:r>
        <w:t>c</w:t>
      </w:r>
      <w:r w:rsidRPr="00162B30">
        <w:t xml:space="preserve">ontribute towards better balancing </w:t>
      </w:r>
      <w:r>
        <w:t xml:space="preserve">of </w:t>
      </w:r>
      <w:r w:rsidRPr="00162B30">
        <w:t>the rights to non-discrim</w:t>
      </w:r>
      <w:r>
        <w:t xml:space="preserve">ination and freedom of religion, the </w:t>
      </w:r>
      <w:r w:rsidRPr="00162B30">
        <w:t xml:space="preserve">Commission </w:t>
      </w:r>
      <w:r>
        <w:t>is of the view</w:t>
      </w:r>
      <w:r w:rsidR="003E75D7">
        <w:t xml:space="preserve"> that ongoing</w:t>
      </w:r>
      <w:r w:rsidRPr="00162B30">
        <w:t xml:space="preserve"> consideration remains needed regarding means for achieving appropriate balancing</w:t>
      </w:r>
      <w:r>
        <w:t>.</w:t>
      </w:r>
      <w:r w:rsidRPr="00162B30">
        <w:t xml:space="preserve"> </w:t>
      </w:r>
    </w:p>
    <w:p w:rsidR="00790F20" w:rsidRPr="00162B30" w:rsidRDefault="00790F20" w:rsidP="00790F20">
      <w:pPr>
        <w:pStyle w:val="Heading2"/>
      </w:pPr>
      <w:bookmarkStart w:id="13" w:name="_Toc354472143"/>
      <w:r w:rsidRPr="00162B30">
        <w:t>Intersex</w:t>
      </w:r>
      <w:r w:rsidR="008E6890">
        <w:t xml:space="preserve"> status</w:t>
      </w:r>
      <w:r w:rsidR="003E75D7">
        <w:t xml:space="preserve"> and religious exemptions</w:t>
      </w:r>
      <w:bookmarkEnd w:id="13"/>
    </w:p>
    <w:p w:rsidR="00790F20" w:rsidRDefault="00790F20" w:rsidP="00790F20">
      <w:pPr>
        <w:pStyle w:val="SubmissionNormal"/>
        <w:ind w:hanging="717"/>
        <w:jc w:val="both"/>
      </w:pPr>
      <w:r w:rsidRPr="00162B30">
        <w:t>The Commission welcomes the introduction of intersex as a separate ground for protection against discrimination. The Government stated it ‘has not been informed of any religious doctrines which require discrimination on the ground of intersex status’.</w:t>
      </w:r>
      <w:r w:rsidRPr="00162B30">
        <w:rPr>
          <w:rStyle w:val="EndnoteReference"/>
        </w:rPr>
        <w:endnoteReference w:id="10"/>
      </w:r>
      <w:r w:rsidRPr="00162B30">
        <w:t xml:space="preserve"> As a result intersex </w:t>
      </w:r>
      <w:r w:rsidRPr="00162B30">
        <w:lastRenderedPageBreak/>
        <w:t>status has not</w:t>
      </w:r>
      <w:r w:rsidR="009969A8">
        <w:t xml:space="preserve"> been included in the </w:t>
      </w:r>
      <w:r w:rsidRPr="00162B30">
        <w:t xml:space="preserve">exemption for </w:t>
      </w:r>
      <w:r w:rsidR="009969A8">
        <w:t xml:space="preserve">religious </w:t>
      </w:r>
      <w:r w:rsidRPr="00162B30">
        <w:t>education institutions (s 38).</w:t>
      </w:r>
      <w:r>
        <w:t xml:space="preserve"> </w:t>
      </w:r>
      <w:r w:rsidRPr="00162B30">
        <w:t xml:space="preserve">The omission of intersex status from the exemption in s 38 is welcomed and contributes towards a better balancing of the rights of non-discrimination and freedom of religion. </w:t>
      </w:r>
    </w:p>
    <w:p w:rsidR="00790F20" w:rsidRPr="00162B30" w:rsidRDefault="00790F20" w:rsidP="00790F20">
      <w:pPr>
        <w:pStyle w:val="SubmissionNormal"/>
        <w:ind w:hanging="717"/>
        <w:jc w:val="both"/>
      </w:pPr>
      <w:r w:rsidRPr="00162B30">
        <w:t xml:space="preserve">However, the application of s 37(d) to intersex status is contrary to this. Section 37(d) provides a broad exemption for </w:t>
      </w:r>
      <w:r>
        <w:t xml:space="preserve">religious bodies and </w:t>
      </w:r>
      <w:r w:rsidRPr="00162B30">
        <w:t xml:space="preserve">arguably encompasses any act referred to in s 38. If intersex is not excluded from the operation of s 37(d) then the policy intent of the Government will potentially be undermined. </w:t>
      </w:r>
    </w:p>
    <w:p w:rsidR="00790F20" w:rsidRPr="00162B30" w:rsidRDefault="00790F20" w:rsidP="00790F20">
      <w:pPr>
        <w:pStyle w:val="SubmissionNormal"/>
        <w:ind w:hanging="717"/>
        <w:jc w:val="both"/>
      </w:pPr>
      <w:r w:rsidRPr="00162B30">
        <w:t xml:space="preserve">The application of section 37 to intersex people arises in the SDA </w:t>
      </w:r>
      <w:r>
        <w:t xml:space="preserve">because </w:t>
      </w:r>
      <w:r w:rsidRPr="00162B30">
        <w:t>s 37 has effect in relation to any matter in Division 1 or 2 of the SDA. Accordingly, this exemption automatically applies to all attributes covered by the SDA, whether they are necessary or not.  This includes existing grounds such as breastfeeding and family responsibilities, where it is not clear what doctrinal reasons could require discrimination on these grounds.</w:t>
      </w:r>
    </w:p>
    <w:p w:rsidR="00790F20" w:rsidRDefault="00790F20" w:rsidP="00790F20">
      <w:pPr>
        <w:pStyle w:val="SubmissionNormal"/>
        <w:ind w:hanging="717"/>
        <w:jc w:val="both"/>
      </w:pPr>
      <w:r w:rsidRPr="00162B30">
        <w:t xml:space="preserve">This is something that could be more easily addressed in the HRAD Bill, but </w:t>
      </w:r>
      <w:r>
        <w:t xml:space="preserve">on which </w:t>
      </w:r>
      <w:r w:rsidRPr="00162B30">
        <w:t xml:space="preserve">the SDA presents structural issues. </w:t>
      </w:r>
      <w:r>
        <w:t>A</w:t>
      </w:r>
      <w:r w:rsidRPr="00162B30">
        <w:t xml:space="preserve"> new subsection cou</w:t>
      </w:r>
      <w:r>
        <w:t xml:space="preserve">ld be introduced which provides that the exemption in subsection 37(d) does not apply to discrimination on the ground of intersex status. </w:t>
      </w:r>
      <w:r w:rsidR="003A5F52">
        <w:t>To be consistent</w:t>
      </w:r>
      <w:r w:rsidR="002F6A52">
        <w:t xml:space="preserve"> with this approach, a</w:t>
      </w:r>
      <w:r w:rsidRPr="00162B30">
        <w:t xml:space="preserve">ny additional grounds </w:t>
      </w:r>
      <w:r w:rsidR="00EA6CB6">
        <w:t xml:space="preserve">under the SDA </w:t>
      </w:r>
      <w:r w:rsidRPr="00162B30">
        <w:t xml:space="preserve">which do not have a doctrinal basis could also be included in </w:t>
      </w:r>
      <w:r>
        <w:t>such an amendment.</w:t>
      </w:r>
    </w:p>
    <w:p w:rsidR="00DD1773" w:rsidRPr="002F6A52" w:rsidRDefault="00DD1773" w:rsidP="00DD1773">
      <w:pPr>
        <w:pStyle w:val="SubmissionNormal"/>
        <w:ind w:hanging="717"/>
        <w:jc w:val="both"/>
        <w:rPr>
          <w:b/>
        </w:rPr>
      </w:pPr>
      <w:r w:rsidRPr="002F6A52">
        <w:rPr>
          <w:b/>
        </w:rPr>
        <w:t xml:space="preserve">The </w:t>
      </w:r>
      <w:r w:rsidR="002F6A52">
        <w:rPr>
          <w:b/>
        </w:rPr>
        <w:t>Commission recommends that</w:t>
      </w:r>
      <w:r w:rsidRPr="002F6A52">
        <w:rPr>
          <w:b/>
        </w:rPr>
        <w:t>:</w:t>
      </w:r>
    </w:p>
    <w:p w:rsidR="00DD1773" w:rsidRPr="002F6A52" w:rsidRDefault="00DD1773" w:rsidP="00DD1773">
      <w:pPr>
        <w:pStyle w:val="ListParagraph"/>
        <w:numPr>
          <w:ilvl w:val="1"/>
          <w:numId w:val="15"/>
        </w:numPr>
        <w:rPr>
          <w:b/>
        </w:rPr>
      </w:pPr>
      <w:r w:rsidRPr="002F6A52">
        <w:rPr>
          <w:b/>
        </w:rPr>
        <w:t>Commonwealth-funded aged care services and</w:t>
      </w:r>
    </w:p>
    <w:p w:rsidR="00DD1773" w:rsidRPr="002F6A52" w:rsidRDefault="00DD1773" w:rsidP="00DD1773">
      <w:pPr>
        <w:pStyle w:val="ListParagraph"/>
        <w:numPr>
          <w:ilvl w:val="1"/>
          <w:numId w:val="15"/>
        </w:numPr>
        <w:rPr>
          <w:b/>
        </w:rPr>
      </w:pPr>
      <w:r w:rsidRPr="002F6A52">
        <w:rPr>
          <w:b/>
        </w:rPr>
        <w:t xml:space="preserve">Intersex status </w:t>
      </w:r>
    </w:p>
    <w:p w:rsidR="00DD1773" w:rsidRPr="002F6A52" w:rsidRDefault="00DD1773" w:rsidP="00DD1773">
      <w:pPr>
        <w:pStyle w:val="SubmissionNormal"/>
        <w:numPr>
          <w:ilvl w:val="0"/>
          <w:numId w:val="0"/>
        </w:numPr>
        <w:ind w:left="1284"/>
        <w:rPr>
          <w:b/>
        </w:rPr>
      </w:pPr>
      <w:r w:rsidRPr="002F6A52">
        <w:rPr>
          <w:b/>
        </w:rPr>
        <w:t>be excluded from the operation of s 37(d) of the SDA [Recommendation 3].</w:t>
      </w:r>
    </w:p>
    <w:p w:rsidR="00FC3987" w:rsidRDefault="00FC3987" w:rsidP="00FC3987">
      <w:pPr>
        <w:pStyle w:val="Heading2"/>
      </w:pPr>
      <w:bookmarkStart w:id="14" w:name="_Toc354472144"/>
      <w:r>
        <w:t>Appropriate resourcing</w:t>
      </w:r>
      <w:bookmarkEnd w:id="14"/>
    </w:p>
    <w:p w:rsidR="00FC3987" w:rsidRDefault="00B542F1" w:rsidP="00F00EFB">
      <w:pPr>
        <w:pStyle w:val="SubmissionNormal"/>
        <w:ind w:hanging="717"/>
        <w:jc w:val="both"/>
      </w:pPr>
      <w:r>
        <w:t>The proposed new grounds in the SDA will almost certainly lead to</w:t>
      </w:r>
      <w:r w:rsidR="00FC3987">
        <w:t xml:space="preserve"> </w:t>
      </w:r>
      <w:r>
        <w:t>new, and a higher volume of,</w:t>
      </w:r>
      <w:r w:rsidR="00FC3987">
        <w:t xml:space="preserve"> </w:t>
      </w:r>
      <w:r w:rsidR="009969A8">
        <w:t>e</w:t>
      </w:r>
      <w:r w:rsidR="00452DAA">
        <w:t xml:space="preserve">nquiries and </w:t>
      </w:r>
      <w:r w:rsidR="00FC3987">
        <w:t>complaints</w:t>
      </w:r>
      <w:r>
        <w:t>. In addition, the Commission’s other functions in relation to research, education and awareness raising</w:t>
      </w:r>
      <w:r w:rsidR="00FC3987">
        <w:t xml:space="preserve"> </w:t>
      </w:r>
      <w:r>
        <w:t xml:space="preserve">will also be enlivened by the inclusion of these new attributes. There will also be a higher expectation from the community that the Commission will seek to proactively address systemic issues facing LGBTI communities, as opposed to purely relying upon its complaints processes to remedy situations of discrimination and breaches of human rights. Consideration should be given to the resourcing impact of these new provisions. </w:t>
      </w:r>
      <w:r w:rsidR="00FC3987">
        <w:t>To more effectively perform these functions the Commission would be aided by appropriate additional resources.</w:t>
      </w:r>
    </w:p>
    <w:p w:rsidR="000D04B5" w:rsidRDefault="000D04B5" w:rsidP="000D04B5">
      <w:pPr>
        <w:pStyle w:val="Heading1"/>
      </w:pPr>
      <w:bookmarkStart w:id="15" w:name="_Toc354472145"/>
      <w:r>
        <w:lastRenderedPageBreak/>
        <w:t>The</w:t>
      </w:r>
      <w:r w:rsidR="00E11568">
        <w:t xml:space="preserve"> SDA</w:t>
      </w:r>
      <w:r w:rsidR="00192C40">
        <w:t xml:space="preserve"> and sexual orientation, gender identity and intersex</w:t>
      </w:r>
      <w:bookmarkEnd w:id="15"/>
    </w:p>
    <w:p w:rsidR="006A7979" w:rsidRDefault="006A7979" w:rsidP="006A7979">
      <w:pPr>
        <w:pStyle w:val="SubmissionNormal"/>
        <w:ind w:hanging="717"/>
        <w:jc w:val="both"/>
      </w:pPr>
      <w:r w:rsidRPr="007A198D">
        <w:t xml:space="preserve">The Commission notes that </w:t>
      </w:r>
      <w:r>
        <w:t xml:space="preserve">the </w:t>
      </w:r>
      <w:r w:rsidRPr="007A198D">
        <w:t>SDA was introduced to implement Australia’s obligations under the</w:t>
      </w:r>
      <w:r>
        <w:t xml:space="preserve"> CEDAW </w:t>
      </w:r>
      <w:r w:rsidRPr="007A198D">
        <w:t xml:space="preserve">and </w:t>
      </w:r>
      <w:r w:rsidRPr="00A313D5">
        <w:t xml:space="preserve">to promote substantive gender equality. The proposed amendments do not amend the existing SDA objects </w:t>
      </w:r>
      <w:r>
        <w:t xml:space="preserve">pertaining to </w:t>
      </w:r>
      <w:r w:rsidRPr="00A313D5">
        <w:t xml:space="preserve">gender equality or </w:t>
      </w:r>
      <w:r>
        <w:t xml:space="preserve">pertaining to </w:t>
      </w:r>
      <w:r w:rsidRPr="00A313D5">
        <w:t>discrim</w:t>
      </w:r>
      <w:r>
        <w:t>i</w:t>
      </w:r>
      <w:r w:rsidRPr="00A313D5">
        <w:t>n</w:t>
      </w:r>
      <w:r>
        <w:t>a</w:t>
      </w:r>
      <w:r w:rsidRPr="00A313D5">
        <w:t xml:space="preserve">tion </w:t>
      </w:r>
      <w:r>
        <w:t>on the grounds of</w:t>
      </w:r>
      <w:r w:rsidRPr="00A313D5">
        <w:t xml:space="preserve"> </w:t>
      </w:r>
      <w:r w:rsidRPr="00262F2E">
        <w:rPr>
          <w:rFonts w:cs="Arial"/>
        </w:rPr>
        <w:t>sex, marital status, pregnancy or potential pregnancy or breastfeeding, family responsibilities and sexual harassment</w:t>
      </w:r>
      <w:r w:rsidRPr="00A313D5">
        <w:t>.</w:t>
      </w:r>
    </w:p>
    <w:p w:rsidR="006A7979" w:rsidRDefault="006A7979" w:rsidP="006A7979">
      <w:pPr>
        <w:pStyle w:val="SubmissionNormal"/>
        <w:ind w:hanging="717"/>
        <w:jc w:val="both"/>
      </w:pPr>
      <w:r>
        <w:t>The SDA Bill seeks to prohibit discrimination on three additional grounds of sexual orientation, gender identity and intersex under the SDA</w:t>
      </w:r>
      <w:r w:rsidRPr="007A198D">
        <w:t xml:space="preserve">. </w:t>
      </w:r>
      <w:r>
        <w:t xml:space="preserve">However, </w:t>
      </w:r>
      <w:r w:rsidRPr="007A198D">
        <w:t>there are some complexities and ambiguities that result from seeking to use the SDA as the vehicle for providing protection against discrimination on the grounds of sexual orientation, gender identity and inters</w:t>
      </w:r>
      <w:r>
        <w:t>e</w:t>
      </w:r>
      <w:r w:rsidRPr="007A198D">
        <w:t>x status</w:t>
      </w:r>
      <w:r>
        <w:t>, rather than the HRAD Bill</w:t>
      </w:r>
      <w:r w:rsidRPr="007A198D">
        <w:t>.</w:t>
      </w:r>
      <w:r>
        <w:t xml:space="preserve"> </w:t>
      </w:r>
    </w:p>
    <w:p w:rsidR="007D4944" w:rsidRDefault="00820E80" w:rsidP="00222032">
      <w:pPr>
        <w:pStyle w:val="SubmissionNormal"/>
        <w:ind w:hanging="717"/>
        <w:jc w:val="both"/>
      </w:pPr>
      <w:r w:rsidRPr="00307F08">
        <w:t>We acknowledge that the Attorney-General has described the passage of the SDA Bill as an interim step towards a revised HRAD Bill.</w:t>
      </w:r>
      <w:r w:rsidR="007B282E">
        <w:t xml:space="preserve"> </w:t>
      </w:r>
      <w:r w:rsidR="00C057CA">
        <w:t>The Commission considers that the proposed new provisions be kept under review to identify a</w:t>
      </w:r>
      <w:r w:rsidR="007B282E">
        <w:t>ny inconsistencies</w:t>
      </w:r>
      <w:r w:rsidR="00C057CA">
        <w:t xml:space="preserve"> or ambiguities that arise from providing this protection through the SDA, rather than through a more cohesive mechanism such as a revised HRAD Bill.</w:t>
      </w:r>
      <w:r w:rsidR="007B282E">
        <w:t xml:space="preserve"> </w:t>
      </w:r>
      <w:r w:rsidR="00C057CA">
        <w:t xml:space="preserve">The Commission notes </w:t>
      </w:r>
      <w:r w:rsidR="007B282E">
        <w:t xml:space="preserve">that </w:t>
      </w:r>
      <w:r w:rsidR="00C057CA">
        <w:t xml:space="preserve">issues that </w:t>
      </w:r>
      <w:r w:rsidR="007B282E">
        <w:t xml:space="preserve">are </w:t>
      </w:r>
      <w:r w:rsidR="00C057CA">
        <w:t xml:space="preserve">not </w:t>
      </w:r>
      <w:r w:rsidR="003919C0">
        <w:t>able to be</w:t>
      </w:r>
      <w:r w:rsidR="007B282E">
        <w:t xml:space="preserve"> addressed thr</w:t>
      </w:r>
      <w:r w:rsidR="00C057CA">
        <w:t>ough the SDA</w:t>
      </w:r>
      <w:r w:rsidR="006A7979">
        <w:t xml:space="preserve"> Bill</w:t>
      </w:r>
      <w:r w:rsidR="00C057CA">
        <w:t xml:space="preserve"> </w:t>
      </w:r>
      <w:r w:rsidR="007B282E">
        <w:t>c</w:t>
      </w:r>
      <w:r w:rsidR="00C057CA">
        <w:t>ould</w:t>
      </w:r>
      <w:r w:rsidR="007B282E">
        <w:t xml:space="preserve"> be addressed through the HRAD Bill</w:t>
      </w:r>
      <w:r w:rsidR="00DA5F2E">
        <w:t xml:space="preserve"> or through subsequent amendments to the SDA.</w:t>
      </w:r>
    </w:p>
    <w:p w:rsidR="00192C40" w:rsidRDefault="003919C0" w:rsidP="00307F08">
      <w:pPr>
        <w:pStyle w:val="Heading2"/>
      </w:pPr>
      <w:bookmarkStart w:id="16" w:name="_Toc354472146"/>
      <w:r>
        <w:t xml:space="preserve">Additional exemptions for </w:t>
      </w:r>
      <w:r w:rsidR="00DA5F2E">
        <w:t>sexual orientation, gender identity and intersex</w:t>
      </w:r>
      <w:bookmarkEnd w:id="16"/>
    </w:p>
    <w:p w:rsidR="003919C0" w:rsidRPr="00307F08" w:rsidRDefault="000A38F1" w:rsidP="003919C0">
      <w:pPr>
        <w:pStyle w:val="SubmissionNormal"/>
        <w:ind w:hanging="717"/>
        <w:jc w:val="both"/>
      </w:pPr>
      <w:r>
        <w:t>One of the ambiguities is that the SDA Bill introduces additional exemptions which will only apply to the new grounds.</w:t>
      </w:r>
      <w:r w:rsidR="00DA5F2E">
        <w:t xml:space="preserve"> The Commission suggests that further consideration of these additional provisions could help facilitate a more </w:t>
      </w:r>
      <w:r w:rsidR="00176C07">
        <w:t>appropriate result.</w:t>
      </w:r>
    </w:p>
    <w:p w:rsidR="00307F08" w:rsidRDefault="00307F08" w:rsidP="00192C40">
      <w:pPr>
        <w:pStyle w:val="Heading3"/>
      </w:pPr>
      <w:bookmarkStart w:id="17" w:name="_Toc354472147"/>
      <w:r>
        <w:t>Exemption for keeping records and requesting information</w:t>
      </w:r>
      <w:bookmarkEnd w:id="17"/>
    </w:p>
    <w:p w:rsidR="00307F08" w:rsidRDefault="00307F08" w:rsidP="00307F08">
      <w:pPr>
        <w:pStyle w:val="SubmissionNormal"/>
        <w:ind w:hanging="717"/>
        <w:jc w:val="both"/>
      </w:pPr>
      <w:r>
        <w:t>The Commission acknowledges that a certain period of time is necessary for governments and the private sector to consider system changes in order for individuals to identify as neither male nor female. The exemption in s 43A is designed to facilitate this however a permanent exemption is not required. As the Explanatory Memorandum notes, this exemption may not be necessary in the future ‘if organisations (both government and private sector) have revised their data collection and record keeping practices’.</w:t>
      </w:r>
      <w:r>
        <w:rPr>
          <w:rStyle w:val="EndnoteReference"/>
        </w:rPr>
        <w:endnoteReference w:id="11"/>
      </w:r>
      <w:r>
        <w:t xml:space="preserve">  The Commission is of the view that such a provision should be a transitional measure. Consistent with the implementation timeframe of the draft Australian Government Guidelines on the Recognition of Sex and Gender</w:t>
      </w:r>
      <w:r>
        <w:rPr>
          <w:rStyle w:val="EndnoteReference"/>
        </w:rPr>
        <w:endnoteReference w:id="12"/>
      </w:r>
      <w:r>
        <w:t xml:space="preserve"> the Commission recommends this exemption be reviewed in three years.</w:t>
      </w:r>
    </w:p>
    <w:p w:rsidR="00DD1773" w:rsidRPr="00190923" w:rsidRDefault="00190923" w:rsidP="00307F08">
      <w:pPr>
        <w:pStyle w:val="SubmissionNormal"/>
        <w:ind w:hanging="717"/>
        <w:jc w:val="both"/>
        <w:rPr>
          <w:b/>
        </w:rPr>
      </w:pPr>
      <w:r>
        <w:rPr>
          <w:b/>
        </w:rPr>
        <w:lastRenderedPageBreak/>
        <w:t>The Commission</w:t>
      </w:r>
      <w:r w:rsidR="00DD1773" w:rsidRPr="00190923">
        <w:rPr>
          <w:b/>
        </w:rPr>
        <w:t xml:space="preserve"> recommend</w:t>
      </w:r>
      <w:r>
        <w:rPr>
          <w:b/>
        </w:rPr>
        <w:t>s</w:t>
      </w:r>
      <w:r w:rsidR="00DD1773" w:rsidRPr="00190923">
        <w:rPr>
          <w:b/>
        </w:rPr>
        <w:t xml:space="preserve"> that the exemption in clause</w:t>
      </w:r>
      <w:r w:rsidRPr="00190923">
        <w:rPr>
          <w:b/>
        </w:rPr>
        <w:t xml:space="preserve"> </w:t>
      </w:r>
      <w:r w:rsidR="00DD1773" w:rsidRPr="00190923">
        <w:rPr>
          <w:b/>
        </w:rPr>
        <w:t>43A include a requirement that it be reviewed in three years [Recommendation 4].</w:t>
      </w:r>
    </w:p>
    <w:p w:rsidR="00307F08" w:rsidRDefault="003D4A6A" w:rsidP="00192C40">
      <w:pPr>
        <w:pStyle w:val="Heading3"/>
      </w:pPr>
      <w:bookmarkStart w:id="18" w:name="_Toc354472148"/>
      <w:r>
        <w:t>Exemption of acts under p</w:t>
      </w:r>
      <w:r w:rsidR="00307F08">
        <w:t>rescribed laws</w:t>
      </w:r>
      <w:bookmarkEnd w:id="18"/>
    </w:p>
    <w:p w:rsidR="00307F08" w:rsidRDefault="00307F08" w:rsidP="00307F08">
      <w:pPr>
        <w:pStyle w:val="SubmissionNormal"/>
        <w:ind w:hanging="717"/>
        <w:jc w:val="both"/>
      </w:pPr>
      <w:r>
        <w:t>The Commission notes that clause 40(2B) partly codifies the common law position that a discriminatory act will not be unlawful if it is required by a Commonwealth law to be taken, that is, it is done in direct compliance with the law. It is only acts that are within the discretion of the Commonwealth, its officers or agents that may be unlawful.</w:t>
      </w:r>
      <w:r>
        <w:rPr>
          <w:rStyle w:val="EndnoteReference"/>
        </w:rPr>
        <w:endnoteReference w:id="13"/>
      </w:r>
      <w:r>
        <w:t xml:space="preserve"> However the Commission is concerned that this provision could also facilitate the ‘exemption’ of acts under discriminatory state and territory laws. To ensure the greatest transparency and </w:t>
      </w:r>
      <w:r w:rsidR="003D4A6A">
        <w:t>accountability, clause 40(2B) c</w:t>
      </w:r>
      <w:r>
        <w:t xml:space="preserve">ould be removed. Further if any laws are identified as legitimately requiring exemption from the operation of the SDA, these laws should be included </w:t>
      </w:r>
      <w:r w:rsidR="00FA6CC7">
        <w:t xml:space="preserve">by amendments to </w:t>
      </w:r>
      <w:r>
        <w:t xml:space="preserve">the </w:t>
      </w:r>
      <w:r w:rsidR="00FA6CC7">
        <w:t xml:space="preserve">main </w:t>
      </w:r>
      <w:r w:rsidR="003D4A6A">
        <w:t>provision</w:t>
      </w:r>
      <w:r w:rsidR="00FA6CC7">
        <w:t>s</w:t>
      </w:r>
      <w:r>
        <w:t xml:space="preserve"> of the SDA and only after consultation with</w:t>
      </w:r>
      <w:r w:rsidR="00287F10">
        <w:t xml:space="preserve"> LGBTI</w:t>
      </w:r>
      <w:r>
        <w:t xml:space="preserve"> stakeholders. </w:t>
      </w:r>
    </w:p>
    <w:p w:rsidR="00DD1773" w:rsidRPr="00190923" w:rsidRDefault="00190923" w:rsidP="00307F08">
      <w:pPr>
        <w:pStyle w:val="SubmissionNormal"/>
        <w:ind w:hanging="717"/>
        <w:jc w:val="both"/>
        <w:rPr>
          <w:b/>
        </w:rPr>
      </w:pPr>
      <w:r>
        <w:rPr>
          <w:b/>
        </w:rPr>
        <w:t>The Commission</w:t>
      </w:r>
      <w:r w:rsidR="00DD1773" w:rsidRPr="00190923">
        <w:rPr>
          <w:b/>
        </w:rPr>
        <w:t xml:space="preserve"> recommend</w:t>
      </w:r>
      <w:r>
        <w:rPr>
          <w:b/>
        </w:rPr>
        <w:t>s</w:t>
      </w:r>
      <w:r w:rsidR="00DD1773" w:rsidRPr="00190923">
        <w:rPr>
          <w:b/>
        </w:rPr>
        <w:t xml:space="preserve"> that the Australian Government consider removing clause 40(2B) from the SDA Bill [Recommendation 5].</w:t>
      </w:r>
    </w:p>
    <w:p w:rsidR="00307F08" w:rsidRDefault="000A38F1" w:rsidP="00192C40">
      <w:pPr>
        <w:pStyle w:val="Heading2"/>
      </w:pPr>
      <w:bookmarkStart w:id="19" w:name="_Toc354472149"/>
      <w:r>
        <w:t>Structural differences to the HRAD Bill</w:t>
      </w:r>
      <w:bookmarkEnd w:id="19"/>
    </w:p>
    <w:p w:rsidR="00E11568" w:rsidRPr="005D5E47" w:rsidRDefault="000A38F1" w:rsidP="00E11568">
      <w:pPr>
        <w:pStyle w:val="SubmissionNormal"/>
        <w:ind w:hanging="717"/>
        <w:jc w:val="both"/>
      </w:pPr>
      <w:r>
        <w:t xml:space="preserve">Because of the holistic way the HRAD Bill is drafted there are a number of improvements for the protection of LGBTI people </w:t>
      </w:r>
      <w:r w:rsidR="00D10F54">
        <w:t xml:space="preserve">against discrimination </w:t>
      </w:r>
      <w:r>
        <w:t>that are not available under the SDA</w:t>
      </w:r>
      <w:r w:rsidR="00D10F54">
        <w:t>. These omissions arise because of the way th</w:t>
      </w:r>
      <w:r w:rsidR="005A461C">
        <w:t>e SDA is</w:t>
      </w:r>
      <w:r>
        <w:t xml:space="preserve"> structure</w:t>
      </w:r>
      <w:r w:rsidR="005A461C">
        <w:t>d</w:t>
      </w:r>
      <w:r>
        <w:t xml:space="preserve">. Given the </w:t>
      </w:r>
      <w:r w:rsidR="00E11568">
        <w:t>purpose of the SDA Bill is to ‘foster a more inclusive society by prohibiting unlawful discrimination against LGBTI people and promoting a</w:t>
      </w:r>
      <w:r w:rsidR="00F86DEA">
        <w:t>ttitudinal change in Australia’</w:t>
      </w:r>
      <w:r w:rsidR="00E11568">
        <w:rPr>
          <w:rStyle w:val="EndnoteReference"/>
        </w:rPr>
        <w:endnoteReference w:id="14"/>
      </w:r>
      <w:r w:rsidR="00F86DEA">
        <w:t xml:space="preserve"> the Commissio</w:t>
      </w:r>
      <w:r w:rsidR="00B4356C">
        <w:t>n suggests that consideration be</w:t>
      </w:r>
      <w:r w:rsidR="00F86DEA">
        <w:t xml:space="preserve"> given to </w:t>
      </w:r>
      <w:r w:rsidR="009969A8">
        <w:t>options</w:t>
      </w:r>
      <w:r w:rsidR="00176C07">
        <w:t xml:space="preserve"> to </w:t>
      </w:r>
      <w:r w:rsidR="00D10F54">
        <w:t>align the protections</w:t>
      </w:r>
      <w:r w:rsidR="00176C07">
        <w:t xml:space="preserve"> for LGBTI people under the SDA with those </w:t>
      </w:r>
      <w:r w:rsidR="00D10F54">
        <w:t>under the HRAD Bill.</w:t>
      </w:r>
    </w:p>
    <w:p w:rsidR="00F914C5" w:rsidRDefault="00295E81" w:rsidP="00192C40">
      <w:pPr>
        <w:pStyle w:val="Heading3"/>
      </w:pPr>
      <w:bookmarkStart w:id="20" w:name="_Toc354472150"/>
      <w:r>
        <w:t>Exemption for state and territory laws regarding amending official records</w:t>
      </w:r>
      <w:bookmarkEnd w:id="20"/>
    </w:p>
    <w:p w:rsidR="00DB761D" w:rsidRDefault="00295E81" w:rsidP="00F22F50">
      <w:pPr>
        <w:pStyle w:val="SubmissionNormal"/>
        <w:ind w:hanging="717"/>
        <w:jc w:val="both"/>
      </w:pPr>
      <w:r>
        <w:t xml:space="preserve">The SDA contains a </w:t>
      </w:r>
      <w:r w:rsidR="00F22F50">
        <w:t>statutory exemption</w:t>
      </w:r>
      <w:r>
        <w:t xml:space="preserve"> which</w:t>
      </w:r>
      <w:r w:rsidR="00F22F50">
        <w:t xml:space="preserve"> provides </w:t>
      </w:r>
      <w:r w:rsidR="00DC1001">
        <w:t xml:space="preserve">that it </w:t>
      </w:r>
      <w:r w:rsidR="008D041A">
        <w:t xml:space="preserve">is </w:t>
      </w:r>
      <w:r w:rsidR="00DC1001">
        <w:t xml:space="preserve">not unlawful to </w:t>
      </w:r>
      <w:r w:rsidR="008D041A">
        <w:t xml:space="preserve">refuse to issue or amend </w:t>
      </w:r>
      <w:r w:rsidR="00DC1001">
        <w:t>an official record of a person’s sex</w:t>
      </w:r>
      <w:r w:rsidR="008D041A">
        <w:t xml:space="preserve">, such as a birth certificate, </w:t>
      </w:r>
      <w:r w:rsidR="00DC1001">
        <w:t>if a</w:t>
      </w:r>
      <w:r w:rsidR="008D041A">
        <w:t xml:space="preserve"> state or territory law </w:t>
      </w:r>
      <w:r w:rsidR="00DC1001">
        <w:t>requires the refusa</w:t>
      </w:r>
      <w:r w:rsidR="008D041A">
        <w:t>l because the person is married</w:t>
      </w:r>
      <w:r w:rsidR="00DC1001">
        <w:t>.</w:t>
      </w:r>
      <w:r w:rsidR="00F93679">
        <w:rPr>
          <w:rStyle w:val="EndnoteReference"/>
        </w:rPr>
        <w:endnoteReference w:id="15"/>
      </w:r>
      <w:r w:rsidR="008D041A">
        <w:t xml:space="preserve"> </w:t>
      </w:r>
      <w:r w:rsidR="00DC1001">
        <w:t xml:space="preserve">The effect of </w:t>
      </w:r>
      <w:r w:rsidR="00DB761D">
        <w:t xml:space="preserve">these </w:t>
      </w:r>
      <w:r w:rsidR="00AF12BF">
        <w:t xml:space="preserve">state </w:t>
      </w:r>
      <w:r w:rsidR="00C0632D">
        <w:t>laws</w:t>
      </w:r>
      <w:r w:rsidR="00DB761D">
        <w:t xml:space="preserve"> </w:t>
      </w:r>
      <w:r w:rsidR="00C0632D">
        <w:t>is</w:t>
      </w:r>
      <w:r w:rsidR="00DB761D">
        <w:t xml:space="preserve"> </w:t>
      </w:r>
      <w:r w:rsidR="00C0632D">
        <w:t>t</w:t>
      </w:r>
      <w:r w:rsidR="00122FB8">
        <w:t xml:space="preserve">hat </w:t>
      </w:r>
      <w:r w:rsidR="00C0632D">
        <w:t>a person</w:t>
      </w:r>
      <w:r w:rsidR="007E16E4">
        <w:t xml:space="preserve"> </w:t>
      </w:r>
      <w:r w:rsidR="00DB761D">
        <w:t xml:space="preserve">who has legally married under the </w:t>
      </w:r>
      <w:r w:rsidR="00DB761D" w:rsidRPr="007E16E4">
        <w:rPr>
          <w:i/>
        </w:rPr>
        <w:t xml:space="preserve">Marriage Act 1961 </w:t>
      </w:r>
      <w:r w:rsidR="00DB761D">
        <w:t>(Cth) cannot subsequently change their sex unless they first divorce their partner.</w:t>
      </w:r>
      <w:r w:rsidR="00AF12BF">
        <w:t xml:space="preserve"> These laws</w:t>
      </w:r>
      <w:r w:rsidR="00122FB8">
        <w:t xml:space="preserve"> particularly impact on trans and intersex people.</w:t>
      </w:r>
    </w:p>
    <w:p w:rsidR="00F22F50" w:rsidRDefault="002D32B7" w:rsidP="00F22F50">
      <w:pPr>
        <w:pStyle w:val="SubmissionNormal"/>
        <w:ind w:hanging="717"/>
        <w:jc w:val="both"/>
      </w:pPr>
      <w:r>
        <w:t>T</w:t>
      </w:r>
      <w:r w:rsidR="00F22F50" w:rsidRPr="00C272EF">
        <w:t>he rationale for the discriminatory treatment under the</w:t>
      </w:r>
      <w:r w:rsidR="00235CE7">
        <w:t xml:space="preserve">se state laws </w:t>
      </w:r>
      <w:r w:rsidR="00F22F50" w:rsidRPr="00C272EF">
        <w:t>appears to be the need to avoid a potential conflict with the requirement under the Commonwealth Marriage Act that a marriage must be between a man and a woman.</w:t>
      </w:r>
      <w:r w:rsidR="00F22F50" w:rsidRPr="00C272EF">
        <w:rPr>
          <w:vertAlign w:val="superscript"/>
        </w:rPr>
        <w:endnoteReference w:id="16"/>
      </w:r>
      <w:r w:rsidR="00F22F50" w:rsidRPr="00C272EF">
        <w:t xml:space="preserve"> That is, it could appear to be a ‘same-sex marriage’.</w:t>
      </w:r>
      <w:r w:rsidR="00F22F50" w:rsidRPr="00C272EF">
        <w:rPr>
          <w:vertAlign w:val="superscript"/>
        </w:rPr>
        <w:endnoteReference w:id="17"/>
      </w:r>
      <w:r w:rsidR="00F22F50" w:rsidRPr="00C272EF">
        <w:t xml:space="preserve"> Whether this would affect the validity of the marriage under the Commonwealth Marriage Act has not been squarely considered by </w:t>
      </w:r>
      <w:r w:rsidR="00F22F50" w:rsidRPr="00C272EF">
        <w:lastRenderedPageBreak/>
        <w:t xml:space="preserve">the courts however in </w:t>
      </w:r>
      <w:r w:rsidR="00F22F50" w:rsidRPr="00F22F50">
        <w:rPr>
          <w:i/>
        </w:rPr>
        <w:t xml:space="preserve">Re Kevin (Validity of Marriage of Transsexual) </w:t>
      </w:r>
      <w:r w:rsidR="00F22F50" w:rsidRPr="00C272EF">
        <w:t>the Court held that ‘[f]or the purpose of ascertaining the validity of a marriage under Australian law, the question whether a person is a man or a woman is to be determined as of the date of the marriage’.</w:t>
      </w:r>
      <w:r w:rsidR="00F22F50" w:rsidRPr="00C272EF">
        <w:rPr>
          <w:vertAlign w:val="superscript"/>
        </w:rPr>
        <w:endnoteReference w:id="18"/>
      </w:r>
    </w:p>
    <w:p w:rsidR="00BE4CFB" w:rsidRDefault="00F22F50" w:rsidP="00F22F50">
      <w:pPr>
        <w:pStyle w:val="SubmissionNormal"/>
        <w:ind w:hanging="717"/>
        <w:jc w:val="both"/>
      </w:pPr>
      <w:r>
        <w:t xml:space="preserve">The HRAD </w:t>
      </w:r>
      <w:r w:rsidR="00CB116D">
        <w:t>Bill did</w:t>
      </w:r>
      <w:r>
        <w:t xml:space="preserve"> not retain this exception. The Commission </w:t>
      </w:r>
      <w:r w:rsidR="00CB116D">
        <w:t>contends that the state and territory laws are discriminatory and the SDA provision exemptin</w:t>
      </w:r>
      <w:r w:rsidR="00D10F54">
        <w:t>g the operation of these laws c</w:t>
      </w:r>
      <w:r w:rsidR="00CB116D">
        <w:t>ould be removed.</w:t>
      </w:r>
    </w:p>
    <w:p w:rsidR="00BE4CFB" w:rsidRDefault="00BE4CFB" w:rsidP="00192C40">
      <w:pPr>
        <w:pStyle w:val="Heading3"/>
      </w:pPr>
      <w:bookmarkStart w:id="21" w:name="_Toc354472151"/>
      <w:r>
        <w:t>Family responsibilities</w:t>
      </w:r>
      <w:bookmarkEnd w:id="21"/>
    </w:p>
    <w:p w:rsidR="00EB325F" w:rsidRDefault="00F22F50" w:rsidP="00F22F50">
      <w:pPr>
        <w:pStyle w:val="SubmissionNormal"/>
        <w:ind w:hanging="717"/>
        <w:jc w:val="both"/>
      </w:pPr>
      <w:r>
        <w:t>In the HRAD Bill the</w:t>
      </w:r>
      <w:r w:rsidR="00153F9F">
        <w:t xml:space="preserve"> definition of discrimination is inclusive of the concepts of direct and indirect discrimination. The </w:t>
      </w:r>
      <w:r>
        <w:t>ground of family responsibilities would be subject to th</w:t>
      </w:r>
      <w:r w:rsidR="00153F9F">
        <w:t>is</w:t>
      </w:r>
      <w:r>
        <w:t xml:space="preserve"> definition. </w:t>
      </w:r>
      <w:r w:rsidR="00EB325F">
        <w:t>However, i</w:t>
      </w:r>
      <w:r>
        <w:t>n the S</w:t>
      </w:r>
      <w:r w:rsidR="00CB116D">
        <w:t>DA discrimination on the ground</w:t>
      </w:r>
      <w:r>
        <w:t xml:space="preserve"> of family responsibilities is restricted to direct discr</w:t>
      </w:r>
      <w:r w:rsidR="00153F9F">
        <w:t>imination</w:t>
      </w:r>
      <w:r>
        <w:t>.</w:t>
      </w:r>
      <w:r w:rsidR="00EB325F">
        <w:t xml:space="preserve"> The SD</w:t>
      </w:r>
      <w:r w:rsidR="00D94121">
        <w:t>A</w:t>
      </w:r>
      <w:r w:rsidR="00EB325F">
        <w:t xml:space="preserve"> Bill could extend the application of family responsibilities to indirect as well as direct discriminati</w:t>
      </w:r>
      <w:r w:rsidR="009D7EDB">
        <w:t>on to ensure consistency with the HRAD Bill.</w:t>
      </w:r>
    </w:p>
    <w:p w:rsidR="00F22F50" w:rsidRDefault="009D7EDB" w:rsidP="00F22F50">
      <w:pPr>
        <w:pStyle w:val="SubmissionNormal"/>
        <w:ind w:hanging="717"/>
        <w:jc w:val="both"/>
      </w:pPr>
      <w:r>
        <w:t>C</w:t>
      </w:r>
      <w:r w:rsidR="00F22F50">
        <w:t>ase law has found that a</w:t>
      </w:r>
      <w:r>
        <w:t xml:space="preserve">n employer’s conduct in not accommodating an employee’s family responsibilities though providing flexible work practices </w:t>
      </w:r>
      <w:r w:rsidR="00F22F50">
        <w:t>can also amount to indirect sex discrimination</w:t>
      </w:r>
      <w:r w:rsidR="00537130">
        <w:t xml:space="preserve"> under the SDA</w:t>
      </w:r>
      <w:r>
        <w:t xml:space="preserve"> </w:t>
      </w:r>
      <w:r w:rsidR="00F22F50">
        <w:t>where a condition may disadvantage women because of their disproportionate responsibility for the care of children.</w:t>
      </w:r>
      <w:r w:rsidR="00F22F50">
        <w:rPr>
          <w:rStyle w:val="EndnoteReference"/>
        </w:rPr>
        <w:endnoteReference w:id="19"/>
      </w:r>
      <w:r w:rsidR="00F22F50">
        <w:t xml:space="preserve"> </w:t>
      </w:r>
      <w:r>
        <w:t xml:space="preserve">However this application is restricted to women and would not appear to be available to a </w:t>
      </w:r>
      <w:r w:rsidR="00F22F50">
        <w:t>man who may be raisi</w:t>
      </w:r>
      <w:r>
        <w:t xml:space="preserve">ng a child </w:t>
      </w:r>
      <w:r w:rsidR="00D94121">
        <w:t xml:space="preserve">whether they are </w:t>
      </w:r>
      <w:r w:rsidR="00AE329A">
        <w:t xml:space="preserve">single, </w:t>
      </w:r>
      <w:r w:rsidR="00D94121">
        <w:t>married, divorced,</w:t>
      </w:r>
      <w:r w:rsidR="00B4356C">
        <w:t xml:space="preserve"> de facto,</w:t>
      </w:r>
      <w:r w:rsidR="00D94121">
        <w:t xml:space="preserve"> separated or in </w:t>
      </w:r>
      <w:r>
        <w:t>a same-sex couple.</w:t>
      </w:r>
      <w:r w:rsidR="00F22F50">
        <w:t xml:space="preserve"> </w:t>
      </w:r>
    </w:p>
    <w:p w:rsidR="00BE4CFB" w:rsidRDefault="00F25AA2" w:rsidP="000A08F5">
      <w:pPr>
        <w:pStyle w:val="SubmissionNormal"/>
        <w:ind w:hanging="717"/>
        <w:jc w:val="both"/>
      </w:pPr>
      <w:r>
        <w:t>Further, t</w:t>
      </w:r>
      <w:r w:rsidR="00F22F50">
        <w:t>here may also be people in certain forms of LGBTI families who are not covered in the definition of family responsibilities in the SDA, including those in multi-parent families. The SD</w:t>
      </w:r>
      <w:r w:rsidR="00FF7658">
        <w:t xml:space="preserve">A </w:t>
      </w:r>
      <w:r w:rsidR="00F22F50">
        <w:t xml:space="preserve">Bill could be </w:t>
      </w:r>
      <w:r w:rsidR="00DB2841">
        <w:t xml:space="preserve">amended </w:t>
      </w:r>
      <w:r w:rsidR="00F22F50">
        <w:t xml:space="preserve">by </w:t>
      </w:r>
      <w:r w:rsidR="009C79F2">
        <w:t>p</w:t>
      </w:r>
      <w:r w:rsidR="004C7C79">
        <w:t>ro</w:t>
      </w:r>
      <w:r w:rsidR="009C79F2">
        <w:t>hibiting direct</w:t>
      </w:r>
      <w:r w:rsidR="00190923">
        <w:t xml:space="preserve"> and indirect discrimination on</w:t>
      </w:r>
      <w:r w:rsidR="009C79F2">
        <w:t xml:space="preserve"> the gro</w:t>
      </w:r>
      <w:r w:rsidR="004C7C79">
        <w:t>und</w:t>
      </w:r>
      <w:r w:rsidR="009C79F2">
        <w:t xml:space="preserve"> of</w:t>
      </w:r>
      <w:r w:rsidR="00F22F50">
        <w:t xml:space="preserve"> family responsibilities </w:t>
      </w:r>
      <w:r w:rsidR="00D26A2D">
        <w:t xml:space="preserve">and </w:t>
      </w:r>
      <w:r w:rsidR="00F22F50">
        <w:t xml:space="preserve">expressly </w:t>
      </w:r>
      <w:r w:rsidR="00D26A2D">
        <w:t xml:space="preserve">including </w:t>
      </w:r>
      <w:r w:rsidR="009C79F2">
        <w:t>carer responsibilities</w:t>
      </w:r>
      <w:r w:rsidR="00267F34">
        <w:t>.</w:t>
      </w:r>
    </w:p>
    <w:p w:rsidR="00821D26" w:rsidRDefault="00821D26" w:rsidP="00192C40">
      <w:pPr>
        <w:pStyle w:val="Heading3"/>
      </w:pPr>
      <w:bookmarkStart w:id="22" w:name="_Toc354472152"/>
      <w:r>
        <w:t>State instrumentalities</w:t>
      </w:r>
      <w:bookmarkEnd w:id="22"/>
    </w:p>
    <w:p w:rsidR="00FC3987" w:rsidRDefault="00023D9D" w:rsidP="00B01AB2">
      <w:pPr>
        <w:pStyle w:val="SubmissionNormal"/>
        <w:ind w:hanging="717"/>
        <w:jc w:val="both"/>
      </w:pPr>
      <w:r>
        <w:t xml:space="preserve">Under the SDA, </w:t>
      </w:r>
      <w:r w:rsidR="00B32D87">
        <w:t>the prohibition against discrimination and sexual harassment in employment does not apply in relation to employment by an instrumentality of a State.</w:t>
      </w:r>
      <w:r w:rsidR="00137C80">
        <w:rPr>
          <w:rStyle w:val="EndnoteReference"/>
        </w:rPr>
        <w:endnoteReference w:id="20"/>
      </w:r>
      <w:r>
        <w:t xml:space="preserve"> This is because of the combined effect of ss 12 and 13</w:t>
      </w:r>
      <w:r w:rsidR="00B4356C">
        <w:t xml:space="preserve"> of the SDA</w:t>
      </w:r>
      <w:r>
        <w:t>.</w:t>
      </w:r>
      <w:r w:rsidR="00137C80">
        <w:t xml:space="preserve"> </w:t>
      </w:r>
      <w:r w:rsidR="00436ABB">
        <w:t>This limitation applies to the</w:t>
      </w:r>
      <w:r w:rsidR="00F25AA2">
        <w:t xml:space="preserve"> existing grounds and will extend</w:t>
      </w:r>
      <w:r w:rsidR="00436ABB">
        <w:t xml:space="preserve"> to the new grounds of sexual orientation, gender identity and intersex. </w:t>
      </w:r>
      <w:r w:rsidR="00C40844">
        <w:t>This means that LGBTI employees of state bodies could not make a complaint of discrimination under the SDA in relation to their employment. This limitation does not exist in the other federal discrimination laws and would not have applied in the HRAD Bill. While sexual orientation and gender identity are protected attributes, to varying exten</w:t>
      </w:r>
      <w:r w:rsidR="008E221A">
        <w:t>t</w:t>
      </w:r>
      <w:r w:rsidR="00C40844">
        <w:t xml:space="preserve">s, in most state and territory laws, intersex is not. </w:t>
      </w:r>
      <w:r w:rsidR="00436ABB">
        <w:t>To fulfil the protections afforded i</w:t>
      </w:r>
      <w:r w:rsidR="00F452F3">
        <w:t>n the HRAD Bill, the SDA Bill c</w:t>
      </w:r>
      <w:r w:rsidR="00436ABB">
        <w:t>ould repeal s 13 of the SDA.</w:t>
      </w:r>
    </w:p>
    <w:p w:rsidR="00D10F54" w:rsidRDefault="00D10F54" w:rsidP="00D10F54">
      <w:pPr>
        <w:pStyle w:val="Heading3"/>
      </w:pPr>
      <w:bookmarkStart w:id="23" w:name="_Toc354472153"/>
      <w:r>
        <w:lastRenderedPageBreak/>
        <w:t>Sexual preference in the AHRC Act</w:t>
      </w:r>
      <w:bookmarkEnd w:id="23"/>
    </w:p>
    <w:p w:rsidR="00C36081" w:rsidRDefault="00D10F54" w:rsidP="00C36081">
      <w:pPr>
        <w:pStyle w:val="SubmissionNormal"/>
        <w:ind w:hanging="717"/>
        <w:jc w:val="both"/>
      </w:pPr>
      <w:r>
        <w:t xml:space="preserve">The Commission currently has limited jurisdiction regarding complaints of discrimination in employment on the basis of sexual preference under the </w:t>
      </w:r>
      <w:r>
        <w:rPr>
          <w:i/>
        </w:rPr>
        <w:t xml:space="preserve">Australian Human Rights Commission Act 1986 </w:t>
      </w:r>
      <w:r>
        <w:t xml:space="preserve">(Cth). To ensure consistency of terminology across the federal discrimination laws the </w:t>
      </w:r>
      <w:r w:rsidRPr="006042A0">
        <w:rPr>
          <w:i/>
        </w:rPr>
        <w:t>Australian Human Rights Commission Regulations 1989</w:t>
      </w:r>
      <w:r>
        <w:t xml:space="preserve"> (Cth) could be amended to include sexual orientatio</w:t>
      </w:r>
      <w:r w:rsidR="00F452F3">
        <w:t>n instead of sexual preference.</w:t>
      </w:r>
    </w:p>
    <w:p w:rsidR="00DD1773" w:rsidRPr="00C36081" w:rsidRDefault="00C36081" w:rsidP="00C36081">
      <w:pPr>
        <w:pStyle w:val="SubmissionNormal"/>
        <w:ind w:hanging="717"/>
        <w:jc w:val="both"/>
        <w:rPr>
          <w:b/>
        </w:rPr>
      </w:pPr>
      <w:r w:rsidRPr="00C36081">
        <w:rPr>
          <w:b/>
        </w:rPr>
        <w:t xml:space="preserve">The Commission recommends that </w:t>
      </w:r>
      <w:r w:rsidR="00DD1773" w:rsidRPr="00C36081">
        <w:rPr>
          <w:b/>
        </w:rPr>
        <w:t xml:space="preserve">consideration </w:t>
      </w:r>
      <w:r w:rsidRPr="00C36081">
        <w:rPr>
          <w:b/>
        </w:rPr>
        <w:t xml:space="preserve">is given </w:t>
      </w:r>
      <w:r w:rsidR="00DD1773" w:rsidRPr="00C36081">
        <w:rPr>
          <w:b/>
        </w:rPr>
        <w:t>to options for aligning the protections for sexual orientation, gender identity and intersex in the SDA with those in the HRAD Bill [Recommendation 6].</w:t>
      </w:r>
    </w:p>
    <w:sectPr w:rsidR="00DD1773" w:rsidRPr="00C36081" w:rsidSect="00B63D24">
      <w:headerReference w:type="even" r:id="rId16"/>
      <w:headerReference w:type="default" r:id="rId17"/>
      <w:footerReference w:type="default" r:id="rId18"/>
      <w:headerReference w:type="first" r:id="rId19"/>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B38" w:rsidRDefault="00001B38" w:rsidP="00F14C6D">
      <w:r>
        <w:separator/>
      </w:r>
    </w:p>
  </w:endnote>
  <w:endnote w:type="continuationSeparator" w:id="0">
    <w:p w:rsidR="00001B38" w:rsidRDefault="00001B38" w:rsidP="00F14C6D">
      <w:r>
        <w:continuationSeparator/>
      </w:r>
    </w:p>
  </w:endnote>
  <w:endnote w:id="1">
    <w:p w:rsidR="00001B38" w:rsidRDefault="00001B38">
      <w:pPr>
        <w:pStyle w:val="EndnoteText"/>
      </w:pPr>
      <w:r>
        <w:rPr>
          <w:rStyle w:val="EndnoteReference"/>
        </w:rPr>
        <w:endnoteRef/>
      </w:r>
      <w:r>
        <w:t xml:space="preserve"> Attorney-General and Minister for Finance and Deregulation, ‘New anti-discrimination laws to cover sexual orientation, gender identity and intersex status’, (Media Release, 20 March 2013). At </w:t>
      </w:r>
      <w:hyperlink r:id="rId1" w:history="1">
        <w:r w:rsidRPr="00C03136">
          <w:rPr>
            <w:rStyle w:val="Hyperlink"/>
          </w:rPr>
          <w:t>http://www.attorneygeneral.gov.au/Mediareleases/Pages/2013/First%20quarter/20March2013-Newantidiscriminationlawstocoversexualorientationgenderidentityandintersexstatus.aspx</w:t>
        </w:r>
      </w:hyperlink>
      <w:r>
        <w:t xml:space="preserve"> (viewed 16 April 2013).</w:t>
      </w:r>
    </w:p>
  </w:endnote>
  <w:endnote w:id="2">
    <w:p w:rsidR="00001B38" w:rsidRDefault="00001B38">
      <w:pPr>
        <w:pStyle w:val="EndnoteText"/>
      </w:pPr>
      <w:r>
        <w:rPr>
          <w:rStyle w:val="EndnoteReference"/>
        </w:rPr>
        <w:endnoteRef/>
      </w:r>
      <w:r>
        <w:t xml:space="preserve"> Attorney-General and Minister for Finance and Deregulation, ‘New anti-discrimination laws to cover sexual orientation, gender identity and intersex status’, (Media Release, 20 March 2013). At </w:t>
      </w:r>
      <w:hyperlink r:id="rId2" w:history="1">
        <w:r w:rsidRPr="00C03136">
          <w:rPr>
            <w:rStyle w:val="Hyperlink"/>
          </w:rPr>
          <w:t>http://www.attorneygeneral.gov.au/Mediareleases/Pages/2013/First%20quarter/20March2013-Newantidiscriminationlawstocoversexualorientationgenderidentityandintersexstatus.aspx</w:t>
        </w:r>
      </w:hyperlink>
      <w:r>
        <w:t xml:space="preserve"> (viewed 16 April 2013).</w:t>
      </w:r>
    </w:p>
  </w:endnote>
  <w:endnote w:id="3">
    <w:p w:rsidR="00001B38" w:rsidRDefault="00001B38" w:rsidP="00391EBB">
      <w:pPr>
        <w:pStyle w:val="EndnoteText"/>
      </w:pPr>
      <w:r>
        <w:rPr>
          <w:rStyle w:val="EndnoteReference"/>
        </w:rPr>
        <w:endnoteRef/>
      </w:r>
      <w:r>
        <w:t xml:space="preserve"> Explanatory Memorandum, Human Rights and Anti-Discrimination Bill 2012 (Cth), para 190.</w:t>
      </w:r>
    </w:p>
  </w:endnote>
  <w:endnote w:id="4">
    <w:p w:rsidR="00001B38" w:rsidRDefault="00001B38" w:rsidP="00391EBB">
      <w:pPr>
        <w:pStyle w:val="EndnoteText"/>
      </w:pPr>
      <w:r>
        <w:rPr>
          <w:rStyle w:val="EndnoteReference"/>
        </w:rPr>
        <w:endnoteRef/>
      </w:r>
      <w:r>
        <w:t xml:space="preserve"> Senate Legal and Constitutional Affairs Legislation Committee, Parliament of Australia, </w:t>
      </w:r>
      <w:r>
        <w:rPr>
          <w:i/>
        </w:rPr>
        <w:t xml:space="preserve">Report of the Inquiry into the Exposure Draft of the Human Rights and Anti-Discrimination Bill 2012 </w:t>
      </w:r>
      <w:r>
        <w:t>(2013), para 7.69.</w:t>
      </w:r>
    </w:p>
  </w:endnote>
  <w:endnote w:id="5">
    <w:p w:rsidR="00001B38" w:rsidRPr="005F7328" w:rsidRDefault="00001B38" w:rsidP="00391EBB">
      <w:pPr>
        <w:pStyle w:val="EndnoteText"/>
        <w:ind w:left="284" w:hanging="284"/>
      </w:pPr>
      <w:r w:rsidRPr="002C06A1">
        <w:rPr>
          <w:rStyle w:val="EndnoteReference"/>
        </w:rPr>
        <w:endnoteRef/>
      </w:r>
      <w:r w:rsidRPr="002C06A1">
        <w:t xml:space="preserve"> </w:t>
      </w:r>
      <w:r>
        <w:rPr>
          <w:rFonts w:cs="Arial"/>
        </w:rPr>
        <w:t>Uniting</w:t>
      </w:r>
      <w:r w:rsidRPr="002C06A1">
        <w:rPr>
          <w:rFonts w:cs="Arial"/>
        </w:rPr>
        <w:t xml:space="preserve">Care Community, </w:t>
      </w:r>
      <w:r w:rsidRPr="002C06A1">
        <w:rPr>
          <w:rFonts w:cs="Arial"/>
          <w:bCs/>
          <w:i/>
        </w:rPr>
        <w:t xml:space="preserve">Submission </w:t>
      </w:r>
      <w:r>
        <w:rPr>
          <w:rFonts w:cs="Arial"/>
          <w:bCs/>
          <w:i/>
        </w:rPr>
        <w:t xml:space="preserve">to the Senate Legal and Constitutional Affairs Legislation Committee Inquiry into the Exposure Draft of the </w:t>
      </w:r>
      <w:r w:rsidRPr="002C06A1">
        <w:rPr>
          <w:rFonts w:cs="Arial"/>
          <w:bCs/>
          <w:i/>
          <w:iCs/>
        </w:rPr>
        <w:t>Human Rights and Anti-Discrimination Bill 2012</w:t>
      </w:r>
      <w:r>
        <w:rPr>
          <w:rFonts w:cs="Arial"/>
          <w:bCs/>
          <w:i/>
          <w:iCs/>
        </w:rPr>
        <w:t xml:space="preserve"> </w:t>
      </w:r>
      <w:r>
        <w:rPr>
          <w:rFonts w:cs="Arial"/>
          <w:bCs/>
          <w:iCs/>
        </w:rPr>
        <w:t>(20 December 2012),</w:t>
      </w:r>
      <w:r w:rsidRPr="002C06A1">
        <w:rPr>
          <w:rFonts w:cs="Arial"/>
          <w:bCs/>
          <w:i/>
          <w:iCs/>
        </w:rPr>
        <w:t xml:space="preserve"> </w:t>
      </w:r>
      <w:r>
        <w:rPr>
          <w:rFonts w:cs="Arial"/>
          <w:bCs/>
          <w:iCs/>
        </w:rPr>
        <w:t>pp 1 -</w:t>
      </w:r>
      <w:r w:rsidRPr="005F7328">
        <w:rPr>
          <w:rFonts w:cs="Arial"/>
          <w:bCs/>
          <w:iCs/>
        </w:rPr>
        <w:t xml:space="preserve"> 2.</w:t>
      </w:r>
    </w:p>
  </w:endnote>
  <w:endnote w:id="6">
    <w:p w:rsidR="00001B38" w:rsidRPr="002C06A1" w:rsidRDefault="00001B38" w:rsidP="00391EBB">
      <w:pPr>
        <w:pStyle w:val="EndnoteText"/>
        <w:ind w:left="284" w:hanging="284"/>
      </w:pPr>
      <w:r w:rsidRPr="002C06A1">
        <w:rPr>
          <w:rStyle w:val="EndnoteReference"/>
        </w:rPr>
        <w:endnoteRef/>
      </w:r>
      <w:r w:rsidRPr="002C06A1">
        <w:t xml:space="preserve"> Evidence to the Parliamentary Joint Committee on Human Rights, Sydney, 24 January 2013, p 34 (David Martin, </w:t>
      </w:r>
      <w:r w:rsidRPr="002C06A1">
        <w:rPr>
          <w:rStyle w:val="hps-startwitness"/>
        </w:rPr>
        <w:t>General Manager, People, Learning and Culture, HammondCare).</w:t>
      </w:r>
    </w:p>
  </w:endnote>
  <w:endnote w:id="7">
    <w:p w:rsidR="00001B38" w:rsidRDefault="00001B38" w:rsidP="00391EBB">
      <w:pPr>
        <w:pStyle w:val="EndnoteText"/>
        <w:ind w:left="284" w:hanging="284"/>
      </w:pPr>
      <w:r w:rsidRPr="003A264B">
        <w:rPr>
          <w:rStyle w:val="EndnoteReference"/>
          <w:rFonts w:cs="Arial"/>
        </w:rPr>
        <w:endnoteRef/>
      </w:r>
      <w:r w:rsidRPr="003A264B">
        <w:rPr>
          <w:rFonts w:cs="Arial"/>
        </w:rPr>
        <w:t xml:space="preserve"> Catholic Health Australia, </w:t>
      </w:r>
      <w:r w:rsidRPr="003A264B">
        <w:rPr>
          <w:rFonts w:cs="Arial"/>
          <w:i/>
        </w:rPr>
        <w:t>Submission to the Senate Legal and Constitutional Affairs Committee Inquiry into the Exposure Draft of the Human Rights and Anti-Discrimination Bill 2012</w:t>
      </w:r>
      <w:r w:rsidRPr="003A264B">
        <w:rPr>
          <w:rFonts w:cs="Arial"/>
        </w:rPr>
        <w:t xml:space="preserve"> (21 December 2012),</w:t>
      </w:r>
      <w:r>
        <w:rPr>
          <w:rFonts w:cs="Arial"/>
        </w:rPr>
        <w:t xml:space="preserve"> p1</w:t>
      </w:r>
      <w:r w:rsidRPr="003A264B">
        <w:rPr>
          <w:rFonts w:cs="Arial"/>
        </w:rPr>
        <w:t>.</w:t>
      </w:r>
    </w:p>
  </w:endnote>
  <w:endnote w:id="8">
    <w:p w:rsidR="00001B38" w:rsidRDefault="00001B38" w:rsidP="00391EBB">
      <w:pPr>
        <w:pStyle w:val="EndnoteText"/>
      </w:pPr>
      <w:r>
        <w:rPr>
          <w:rStyle w:val="EndnoteReference"/>
        </w:rPr>
        <w:endnoteRef/>
      </w:r>
      <w:r>
        <w:t xml:space="preserve"> Explanatory Memorandum, Human Rights and Anti-Discrimination Bill 2012 (Cth), para 190.</w:t>
      </w:r>
    </w:p>
  </w:endnote>
  <w:endnote w:id="9">
    <w:p w:rsidR="00001B38" w:rsidRPr="002026A8" w:rsidRDefault="00001B38" w:rsidP="00391EBB">
      <w:pPr>
        <w:pStyle w:val="EndnoteText"/>
      </w:pPr>
      <w:r>
        <w:rPr>
          <w:rStyle w:val="EndnoteReference"/>
        </w:rPr>
        <w:endnoteRef/>
      </w:r>
      <w:r>
        <w:t xml:space="preserve"> Australian Government, </w:t>
      </w:r>
      <w:r>
        <w:rPr>
          <w:i/>
        </w:rPr>
        <w:t xml:space="preserve">National Lesbian, Gay, Bisexual, Transgender and Intersex (LGBTI) Ageing and Aged Care Strategy </w:t>
      </w:r>
      <w:r>
        <w:t>(2013), goal 3.</w:t>
      </w:r>
    </w:p>
  </w:endnote>
  <w:endnote w:id="10">
    <w:p w:rsidR="00001B38" w:rsidRDefault="00001B38" w:rsidP="00790F20">
      <w:pPr>
        <w:pStyle w:val="EndnoteText"/>
      </w:pPr>
      <w:r>
        <w:rPr>
          <w:rStyle w:val="EndnoteReference"/>
        </w:rPr>
        <w:endnoteRef/>
      </w:r>
      <w:r>
        <w:t xml:space="preserve"> Explanatory Memorandum, Human Rights and Anti-Discrimination Bill 2012 (Cth), para 71.</w:t>
      </w:r>
    </w:p>
  </w:endnote>
  <w:endnote w:id="11">
    <w:p w:rsidR="00001B38" w:rsidRDefault="00001B38" w:rsidP="00307F08">
      <w:pPr>
        <w:pStyle w:val="EndnoteText"/>
      </w:pPr>
      <w:r>
        <w:rPr>
          <w:rStyle w:val="EndnoteReference"/>
        </w:rPr>
        <w:endnoteRef/>
      </w:r>
      <w:r>
        <w:t xml:space="preserve"> Explanatory Memorandum, Sex Discrimination Amendment (Sexual Orientation, Gender Identity and Intersex Status) Bill 2013 (Cth), para 85.</w:t>
      </w:r>
    </w:p>
  </w:endnote>
  <w:endnote w:id="12">
    <w:p w:rsidR="00001B38" w:rsidRDefault="00001B38" w:rsidP="00307F08">
      <w:pPr>
        <w:pStyle w:val="EndnoteText"/>
      </w:pPr>
      <w:r>
        <w:rPr>
          <w:rStyle w:val="EndnoteReference"/>
        </w:rPr>
        <w:endnoteRef/>
      </w:r>
      <w:r>
        <w:t xml:space="preserve"> See Australian Government, </w:t>
      </w:r>
      <w:r>
        <w:rPr>
          <w:i/>
        </w:rPr>
        <w:t xml:space="preserve">Australian Government Guidelines on the Recognition of Gender Consultation Draft </w:t>
      </w:r>
      <w:r>
        <w:t xml:space="preserve">(March 2013), para 36. At </w:t>
      </w:r>
      <w:hyperlink r:id="rId3" w:history="1">
        <w:r w:rsidRPr="00C04A18">
          <w:rPr>
            <w:rStyle w:val="Hyperlink"/>
          </w:rPr>
          <w:t>http://www.ag.gov.au/Consultations/Pages/AustralianGovernmentGuidelinesontheRecognitionofSexandGender.aspx</w:t>
        </w:r>
      </w:hyperlink>
      <w:r>
        <w:t xml:space="preserve"> (viewed 15 April 2013).</w:t>
      </w:r>
    </w:p>
  </w:endnote>
  <w:endnote w:id="13">
    <w:p w:rsidR="00001B38" w:rsidRPr="00956EBF" w:rsidRDefault="00001B38" w:rsidP="00307F08">
      <w:pPr>
        <w:pStyle w:val="EndnoteText"/>
      </w:pPr>
      <w:r>
        <w:rPr>
          <w:rStyle w:val="EndnoteReference"/>
        </w:rPr>
        <w:endnoteRef/>
      </w:r>
      <w:r>
        <w:t xml:space="preserve"> See </w:t>
      </w:r>
      <w:r>
        <w:rPr>
          <w:i/>
        </w:rPr>
        <w:t xml:space="preserve">Secretary, Department of Defence v HREOC, Burgess &amp; Ors </w:t>
      </w:r>
      <w:r>
        <w:t>(1997) 78 FCR 208.</w:t>
      </w:r>
    </w:p>
  </w:endnote>
  <w:endnote w:id="14">
    <w:p w:rsidR="00001B38" w:rsidRDefault="00001B38" w:rsidP="00E11568">
      <w:pPr>
        <w:pStyle w:val="EndnoteText"/>
      </w:pPr>
      <w:r>
        <w:rPr>
          <w:rStyle w:val="EndnoteReference"/>
        </w:rPr>
        <w:endnoteRef/>
      </w:r>
      <w:r>
        <w:t xml:space="preserve"> Statement of Compatibility with Human Rights, Sex Discrimination Amendment (Sexual Orientation, Gender Identity and Intersex Status) Bill 2013 (Cth), p 4.</w:t>
      </w:r>
    </w:p>
  </w:endnote>
  <w:endnote w:id="15">
    <w:p w:rsidR="00001B38" w:rsidRDefault="00001B38">
      <w:pPr>
        <w:pStyle w:val="EndnoteText"/>
      </w:pPr>
      <w:r>
        <w:rPr>
          <w:rStyle w:val="EndnoteReference"/>
        </w:rPr>
        <w:endnoteRef/>
      </w:r>
      <w:r>
        <w:t xml:space="preserve"> </w:t>
      </w:r>
      <w:r>
        <w:rPr>
          <w:i/>
        </w:rPr>
        <w:t xml:space="preserve">Sex Discrimination Act 1984 </w:t>
      </w:r>
      <w:r>
        <w:t>(Cth), s 40(5).</w:t>
      </w:r>
    </w:p>
  </w:endnote>
  <w:endnote w:id="16">
    <w:p w:rsidR="00001B38" w:rsidRPr="00A466B2" w:rsidRDefault="00001B38" w:rsidP="00F22F50">
      <w:pPr>
        <w:pStyle w:val="EndnoteText"/>
      </w:pPr>
      <w:r>
        <w:rPr>
          <w:rStyle w:val="EndnoteReference"/>
        </w:rPr>
        <w:endnoteRef/>
      </w:r>
      <w:r>
        <w:t xml:space="preserve"> For an example of these concerns in Victoria see </w:t>
      </w:r>
      <w:r>
        <w:rPr>
          <w:i/>
        </w:rPr>
        <w:t xml:space="preserve">Hansard, </w:t>
      </w:r>
      <w:r>
        <w:t xml:space="preserve">Legislative Assembly, Robert Hulls, 11 May 2004, p 1107, quoted in </w:t>
      </w:r>
      <w:r>
        <w:rPr>
          <w:i/>
        </w:rPr>
        <w:t xml:space="preserve">AB v Registrar of Births, Deaths and Marriages </w:t>
      </w:r>
      <w:r>
        <w:t>(2007) 162 FCR 528; [2007] FCAFC 14 at [69] (Kenny J).</w:t>
      </w:r>
    </w:p>
  </w:endnote>
  <w:endnote w:id="17">
    <w:p w:rsidR="00001B38" w:rsidRPr="00BC0316" w:rsidRDefault="00001B38" w:rsidP="00F22F50">
      <w:pPr>
        <w:pStyle w:val="EndnoteText"/>
      </w:pPr>
      <w:r>
        <w:rPr>
          <w:rStyle w:val="EndnoteReference"/>
        </w:rPr>
        <w:endnoteRef/>
      </w:r>
      <w:r>
        <w:t xml:space="preserve"> For further discussion see Australian Human Rights Commission, </w:t>
      </w:r>
      <w:r>
        <w:rPr>
          <w:i/>
        </w:rPr>
        <w:t xml:space="preserve">The sex and gender diversity project Concluding paper </w:t>
      </w:r>
      <w:r>
        <w:t xml:space="preserve">(2009), s 10.3. At: </w:t>
      </w:r>
      <w:hyperlink r:id="rId4" w:history="1">
        <w:r w:rsidRPr="00C414C1">
          <w:rPr>
            <w:rStyle w:val="Hyperlink"/>
          </w:rPr>
          <w:t>http://humanrights.gov.au/genderdiversity/sex_files2009.html</w:t>
        </w:r>
      </w:hyperlink>
      <w:r>
        <w:t xml:space="preserve"> (viewed 11 March 2013).</w:t>
      </w:r>
    </w:p>
  </w:endnote>
  <w:endnote w:id="18">
    <w:p w:rsidR="00001B38" w:rsidRDefault="00001B38" w:rsidP="00F22F50">
      <w:pPr>
        <w:pStyle w:val="EndnoteText"/>
      </w:pPr>
      <w:r>
        <w:rPr>
          <w:rStyle w:val="EndnoteReference"/>
        </w:rPr>
        <w:endnoteRef/>
      </w:r>
      <w:r>
        <w:t xml:space="preserve"> </w:t>
      </w:r>
      <w:r>
        <w:rPr>
          <w:i/>
        </w:rPr>
        <w:t xml:space="preserve">Re Kevin (Validity of Marriage of Transsexual) </w:t>
      </w:r>
      <w:r>
        <w:t>[2001] FamCA 1074, [330].</w:t>
      </w:r>
    </w:p>
  </w:endnote>
  <w:endnote w:id="19">
    <w:p w:rsidR="00001B38" w:rsidRPr="00766DA6" w:rsidRDefault="00001B38" w:rsidP="00F22F50">
      <w:pPr>
        <w:pStyle w:val="EndnoteText"/>
      </w:pPr>
      <w:r>
        <w:rPr>
          <w:rStyle w:val="EndnoteReference"/>
        </w:rPr>
        <w:endnoteRef/>
      </w:r>
      <w:r>
        <w:t xml:space="preserve"> See for example </w:t>
      </w:r>
      <w:r>
        <w:rPr>
          <w:i/>
        </w:rPr>
        <w:t xml:space="preserve">Escobar v Rainbow Printing Pty Ltd (No 2) </w:t>
      </w:r>
      <w:r>
        <w:t xml:space="preserve">[2002] FMCA 122 [33], [37] and </w:t>
      </w:r>
      <w:r>
        <w:rPr>
          <w:i/>
        </w:rPr>
        <w:t xml:space="preserve">Hickie v Hunt &amp; Hunt </w:t>
      </w:r>
      <w:r>
        <w:t>[1998] HREOCA 8.</w:t>
      </w:r>
    </w:p>
  </w:endnote>
  <w:endnote w:id="20">
    <w:p w:rsidR="00001B38" w:rsidRDefault="00001B38">
      <w:pPr>
        <w:pStyle w:val="EndnoteText"/>
      </w:pPr>
      <w:r>
        <w:rPr>
          <w:rStyle w:val="EndnoteReference"/>
        </w:rPr>
        <w:endnoteRef/>
      </w:r>
      <w:r>
        <w:t xml:space="preserve"> For further see Human Rights and Equal Opportunity Commission, </w:t>
      </w:r>
      <w:r>
        <w:rPr>
          <w:i/>
        </w:rPr>
        <w:t xml:space="preserve">Submission to Senate Legal and Constitutional Affairs Committee Inquiry into the Effectiveness of the Sex Discrimination Act 1984 (Cth) in eliminating discrimination and promoting gender equality </w:t>
      </w:r>
      <w:r>
        <w:t>(2008), paras 302-311.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38" w:rsidRDefault="00001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38" w:rsidRPr="0090165F" w:rsidRDefault="00001B38" w:rsidP="00162A8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38" w:rsidRPr="004A187B" w:rsidRDefault="00001B38" w:rsidP="008B23BC">
    <w:pPr>
      <w:pStyle w:val="Footer"/>
    </w:pPr>
    <w:r>
      <w:rPr>
        <w:noProof/>
      </w:rPr>
      <mc:AlternateContent>
        <mc:Choice Requires="wps">
          <w:drawing>
            <wp:anchor distT="0" distB="0" distL="114300" distR="114300" simplePos="0" relativeHeight="251657216" behindDoc="0" locked="0" layoutInCell="1" allowOverlap="1" wp14:anchorId="1A846DB5" wp14:editId="657179A4">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001B38" w:rsidRPr="0003606D" w:rsidRDefault="00001B38" w:rsidP="0003606D">
                          <w:pPr>
                            <w:pStyle w:val="coveraddresses"/>
                          </w:pPr>
                          <w:r w:rsidRPr="0003606D">
                            <w:t>ABN 47 996 232 602</w:t>
                          </w:r>
                        </w:p>
                        <w:p w:rsidR="00001B38" w:rsidRPr="0003606D" w:rsidRDefault="00001B38" w:rsidP="0003606D">
                          <w:pPr>
                            <w:pStyle w:val="coveraddresses"/>
                          </w:pPr>
                          <w:r w:rsidRPr="0003606D">
                            <w:t>Level 3, 175 Pitt Street, Sydney NSW 2000</w:t>
                          </w:r>
                        </w:p>
                        <w:p w:rsidR="00001B38" w:rsidRPr="0003606D" w:rsidRDefault="00001B38" w:rsidP="0003606D">
                          <w:pPr>
                            <w:pStyle w:val="coveraddresses"/>
                          </w:pPr>
                          <w:r w:rsidRPr="0003606D">
                            <w:t>GPO Box 5218, Sydney NSW 2001</w:t>
                          </w:r>
                        </w:p>
                        <w:p w:rsidR="00001B38" w:rsidRPr="0003606D" w:rsidRDefault="00001B38" w:rsidP="0003606D">
                          <w:pPr>
                            <w:pStyle w:val="coveraddresses"/>
                          </w:pPr>
                          <w:r w:rsidRPr="0003606D">
                            <w:t>General enquiries 1300 369 711</w:t>
                          </w:r>
                        </w:p>
                        <w:p w:rsidR="00001B38" w:rsidRPr="0003606D" w:rsidRDefault="00001B38" w:rsidP="0003606D">
                          <w:pPr>
                            <w:pStyle w:val="coveraddresses"/>
                          </w:pPr>
                          <w:r w:rsidRPr="0003606D">
                            <w:t>Complaints info line 1300 656 419</w:t>
                          </w:r>
                        </w:p>
                        <w:p w:rsidR="00001B38" w:rsidRPr="0003606D" w:rsidRDefault="00001B38" w:rsidP="0003606D">
                          <w:pPr>
                            <w:pStyle w:val="coveraddresses"/>
                          </w:pPr>
                          <w:r w:rsidRPr="0003606D">
                            <w:t>TTY 1800 620 241</w:t>
                          </w:r>
                        </w:p>
                        <w:p w:rsidR="00001B38" w:rsidRPr="00B63D24" w:rsidRDefault="00001B38"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001B38" w:rsidRPr="0003606D" w:rsidRDefault="00001B38" w:rsidP="0003606D">
                    <w:pPr>
                      <w:pStyle w:val="coveraddresses"/>
                    </w:pPr>
                    <w:r w:rsidRPr="0003606D">
                      <w:t>ABN 47 996 232 602</w:t>
                    </w:r>
                  </w:p>
                  <w:p w:rsidR="00001B38" w:rsidRPr="0003606D" w:rsidRDefault="00001B38" w:rsidP="0003606D">
                    <w:pPr>
                      <w:pStyle w:val="coveraddresses"/>
                    </w:pPr>
                    <w:r w:rsidRPr="0003606D">
                      <w:t>Level 3, 175 Pitt Street, Sydney NSW 2000</w:t>
                    </w:r>
                  </w:p>
                  <w:p w:rsidR="00001B38" w:rsidRPr="0003606D" w:rsidRDefault="00001B38" w:rsidP="0003606D">
                    <w:pPr>
                      <w:pStyle w:val="coveraddresses"/>
                    </w:pPr>
                    <w:r w:rsidRPr="0003606D">
                      <w:t>GPO Box 5218, Sydney NSW 2001</w:t>
                    </w:r>
                  </w:p>
                  <w:p w:rsidR="00001B38" w:rsidRPr="0003606D" w:rsidRDefault="00001B38" w:rsidP="0003606D">
                    <w:pPr>
                      <w:pStyle w:val="coveraddresses"/>
                    </w:pPr>
                    <w:r w:rsidRPr="0003606D">
                      <w:t>General enquiries 1300 369 711</w:t>
                    </w:r>
                  </w:p>
                  <w:p w:rsidR="00001B38" w:rsidRPr="0003606D" w:rsidRDefault="00001B38" w:rsidP="0003606D">
                    <w:pPr>
                      <w:pStyle w:val="coveraddresses"/>
                    </w:pPr>
                    <w:r w:rsidRPr="0003606D">
                      <w:t>Complaints info line 1300 656 419</w:t>
                    </w:r>
                  </w:p>
                  <w:p w:rsidR="00001B38" w:rsidRPr="0003606D" w:rsidRDefault="00001B38" w:rsidP="0003606D">
                    <w:pPr>
                      <w:pStyle w:val="coveraddresses"/>
                    </w:pPr>
                    <w:r w:rsidRPr="0003606D">
                      <w:t>TTY 1800 620 241</w:t>
                    </w:r>
                  </w:p>
                  <w:p w:rsidR="00001B38" w:rsidRPr="00B63D24" w:rsidRDefault="00001B38" w:rsidP="00B63D24">
                    <w:pPr>
                      <w:pStyle w:val="Footer"/>
                    </w:pPr>
                    <w:r w:rsidRPr="00B63D24">
                      <w:tab/>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38" w:rsidRPr="0090165F" w:rsidRDefault="00001B38"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9F58A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B38" w:rsidRDefault="00001B38" w:rsidP="00F14C6D">
      <w:r>
        <w:separator/>
      </w:r>
    </w:p>
  </w:footnote>
  <w:footnote w:type="continuationSeparator" w:id="0">
    <w:p w:rsidR="00001B38" w:rsidRDefault="00001B38"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38" w:rsidRDefault="00001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38" w:rsidRPr="00D27262" w:rsidRDefault="00001B38" w:rsidP="002B1B65">
    <w:pPr>
      <w:spacing w:before="0" w:after="0"/>
      <w:jc w:val="right"/>
      <w:rPr>
        <w:sz w:val="22"/>
        <w:szCs w:val="22"/>
      </w:rPr>
    </w:pPr>
    <w:r w:rsidRPr="00D27262">
      <w:rPr>
        <w:sz w:val="22"/>
        <w:szCs w:val="22"/>
      </w:rPr>
      <w:t>Au</w:t>
    </w:r>
    <w:r>
      <w:rPr>
        <w:sz w:val="22"/>
        <w:szCs w:val="22"/>
      </w:rPr>
      <w:t>stralian Human Rights Commission</w:t>
    </w:r>
  </w:p>
  <w:p w:rsidR="00001B38" w:rsidRDefault="00001B38"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001B38" w:rsidRPr="00B85DD4" w:rsidTr="00165E3C">
      <w:trPr>
        <w:trHeight w:val="1276"/>
      </w:trPr>
      <w:tc>
        <w:tcPr>
          <w:tcW w:w="1508" w:type="dxa"/>
        </w:tcPr>
        <w:p w:rsidR="00001B38" w:rsidRPr="00B85DD4" w:rsidRDefault="009F58AE"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58240;mso-position-horizontal-relative:margin;mso-position-vertical-relative:margin" o:allowincell="f">
                <v:imagedata r:id="rId1" o:title="MS word cover1"/>
                <w10:wrap anchorx="margin" anchory="margin"/>
              </v:shape>
            </w:pict>
          </w:r>
        </w:p>
      </w:tc>
      <w:tc>
        <w:tcPr>
          <w:tcW w:w="2688" w:type="dxa"/>
          <w:vAlign w:val="center"/>
        </w:tcPr>
        <w:p w:rsidR="00001B38" w:rsidRPr="00B85DD4" w:rsidRDefault="00001B38" w:rsidP="002B1B65">
          <w:pPr>
            <w:spacing w:before="0" w:after="0"/>
            <w:rPr>
              <w:rFonts w:cs="ArialMT"/>
              <w:i/>
              <w:color w:val="808080"/>
              <w:sz w:val="17"/>
            </w:rPr>
          </w:pPr>
        </w:p>
      </w:tc>
      <w:tc>
        <w:tcPr>
          <w:tcW w:w="2302" w:type="dxa"/>
        </w:tcPr>
        <w:p w:rsidR="00001B38" w:rsidRPr="00B85DD4" w:rsidRDefault="00001B38" w:rsidP="00B520BC">
          <w:pPr>
            <w:pStyle w:val="HeaderFooter"/>
            <w:rPr>
              <w:b/>
              <w:spacing w:val="-20"/>
              <w:sz w:val="40"/>
            </w:rPr>
          </w:pPr>
        </w:p>
      </w:tc>
      <w:tc>
        <w:tcPr>
          <w:tcW w:w="2130" w:type="dxa"/>
        </w:tcPr>
        <w:p w:rsidR="00001B38" w:rsidRPr="00B85DD4" w:rsidRDefault="00001B38" w:rsidP="00B520BC">
          <w:pPr>
            <w:pStyle w:val="HeaderFooter"/>
            <w:rPr>
              <w:b/>
              <w:spacing w:val="-20"/>
              <w:sz w:val="40"/>
            </w:rPr>
          </w:pPr>
        </w:p>
      </w:tc>
      <w:tc>
        <w:tcPr>
          <w:tcW w:w="1721" w:type="dxa"/>
        </w:tcPr>
        <w:p w:rsidR="00001B38" w:rsidRPr="00B85DD4" w:rsidRDefault="00001B38" w:rsidP="00B520BC">
          <w:pPr>
            <w:pStyle w:val="HeaderFooter"/>
            <w:spacing w:before="227" w:after="340"/>
            <w:rPr>
              <w:b/>
              <w:spacing w:val="-20"/>
              <w:sz w:val="40"/>
            </w:rPr>
          </w:pPr>
        </w:p>
      </w:tc>
    </w:tr>
  </w:tbl>
  <w:p w:rsidR="00001B38" w:rsidRDefault="00001B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38" w:rsidRDefault="00001B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38" w:rsidRPr="00D27262" w:rsidRDefault="00001B38" w:rsidP="00B34946">
    <w:pPr>
      <w:spacing w:before="0" w:after="60"/>
      <w:jc w:val="right"/>
      <w:rPr>
        <w:sz w:val="22"/>
        <w:szCs w:val="22"/>
      </w:rPr>
    </w:pPr>
    <w:r w:rsidRPr="00D27262">
      <w:rPr>
        <w:sz w:val="22"/>
        <w:szCs w:val="22"/>
      </w:rPr>
      <w:t>Au</w:t>
    </w:r>
    <w:r>
      <w:rPr>
        <w:sz w:val="22"/>
        <w:szCs w:val="22"/>
      </w:rPr>
      <w:t>stralian Human Rights Commission</w:t>
    </w:r>
  </w:p>
  <w:p w:rsidR="00001B38" w:rsidRPr="00D729AD" w:rsidRDefault="00001B38" w:rsidP="002F4CE1">
    <w:pPr>
      <w:pStyle w:val="Footer"/>
      <w:spacing w:after="240"/>
      <w:jc w:val="right"/>
      <w:rPr>
        <w:i/>
        <w:szCs w:val="18"/>
      </w:rPr>
    </w:pPr>
    <w:r w:rsidRPr="00717175">
      <w:rPr>
        <w:i/>
        <w:szCs w:val="18"/>
      </w:rPr>
      <w:t xml:space="preserve">Submission to </w:t>
    </w:r>
    <w:r>
      <w:rPr>
        <w:i/>
        <w:szCs w:val="18"/>
      </w:rPr>
      <w:t>the Senate Legal and Constitutional Affairs Committee – April 2013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001B38" w:rsidRPr="00B85DD4" w:rsidTr="002B1B65">
      <w:trPr>
        <w:trHeight w:val="1603"/>
      </w:trPr>
      <w:tc>
        <w:tcPr>
          <w:tcW w:w="1508" w:type="dxa"/>
        </w:tcPr>
        <w:p w:rsidR="00001B38" w:rsidRPr="00B85DD4" w:rsidRDefault="00001B38" w:rsidP="00B520BC">
          <w:pPr>
            <w:pStyle w:val="Header"/>
            <w:tabs>
              <w:tab w:val="left" w:pos="4686"/>
              <w:tab w:val="left" w:pos="7088"/>
              <w:tab w:val="left" w:pos="7242"/>
            </w:tabs>
            <w:ind w:left="-108"/>
            <w:rPr>
              <w:rFonts w:cs="ArialMT"/>
              <w:b/>
              <w:spacing w:val="-20"/>
            </w:rPr>
          </w:pPr>
          <w:r>
            <w:rPr>
              <w:rFonts w:cs="ArialMT"/>
              <w:b/>
              <w:noProof/>
              <w:spacing w:val="-20"/>
            </w:rPr>
            <w:drawing>
              <wp:inline distT="0" distB="0" distL="0" distR="0" wp14:anchorId="4E062F59" wp14:editId="5E534CFC">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001B38" w:rsidRPr="00D36BB2" w:rsidRDefault="00001B38" w:rsidP="002B1B65">
          <w:pPr>
            <w:pStyle w:val="LogoType"/>
            <w:pBdr>
              <w:bottom w:val="single" w:sz="4" w:space="1" w:color="808080"/>
            </w:pBdr>
            <w:spacing w:line="240" w:lineRule="auto"/>
          </w:pPr>
          <w:r w:rsidRPr="00D36BB2">
            <w:t>Australian</w:t>
          </w:r>
        </w:p>
        <w:p w:rsidR="00001B38" w:rsidRPr="00D36BB2" w:rsidRDefault="00001B38" w:rsidP="002B1B65">
          <w:pPr>
            <w:pStyle w:val="LogoType"/>
            <w:pBdr>
              <w:bottom w:val="single" w:sz="4" w:space="1" w:color="808080"/>
            </w:pBdr>
            <w:spacing w:line="240" w:lineRule="auto"/>
          </w:pPr>
          <w:r w:rsidRPr="00D36BB2">
            <w:t>Human Rights</w:t>
          </w:r>
        </w:p>
        <w:p w:rsidR="00001B38" w:rsidRPr="00D36BB2" w:rsidRDefault="00001B38" w:rsidP="002B1B65">
          <w:pPr>
            <w:pStyle w:val="LogoType"/>
            <w:pBdr>
              <w:bottom w:val="single" w:sz="4" w:space="1" w:color="808080"/>
            </w:pBdr>
            <w:spacing w:line="240" w:lineRule="auto"/>
          </w:pPr>
          <w:r w:rsidRPr="00D36BB2">
            <w:t>Commission</w:t>
          </w:r>
        </w:p>
        <w:p w:rsidR="00001B38" w:rsidRPr="00B85DD4" w:rsidRDefault="00001B38"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001B38" w:rsidRPr="00B85DD4" w:rsidRDefault="00001B38" w:rsidP="00B520BC">
          <w:pPr>
            <w:pStyle w:val="HeaderFooter"/>
            <w:rPr>
              <w:b/>
              <w:spacing w:val="-20"/>
              <w:sz w:val="40"/>
            </w:rPr>
          </w:pPr>
        </w:p>
      </w:tc>
      <w:tc>
        <w:tcPr>
          <w:tcW w:w="2130" w:type="dxa"/>
        </w:tcPr>
        <w:p w:rsidR="00001B38" w:rsidRPr="00B85DD4" w:rsidRDefault="00001B38" w:rsidP="00B520BC">
          <w:pPr>
            <w:pStyle w:val="HeaderFooter"/>
            <w:rPr>
              <w:b/>
              <w:spacing w:val="-20"/>
              <w:sz w:val="40"/>
            </w:rPr>
          </w:pPr>
        </w:p>
      </w:tc>
      <w:tc>
        <w:tcPr>
          <w:tcW w:w="1721" w:type="dxa"/>
        </w:tcPr>
        <w:p w:rsidR="00001B38" w:rsidRPr="00B85DD4" w:rsidRDefault="00001B38" w:rsidP="00B520BC">
          <w:pPr>
            <w:pStyle w:val="HeaderFooter"/>
            <w:spacing w:before="227" w:after="340"/>
            <w:rPr>
              <w:b/>
              <w:spacing w:val="-20"/>
              <w:sz w:val="40"/>
            </w:rPr>
          </w:pPr>
        </w:p>
      </w:tc>
    </w:tr>
  </w:tbl>
  <w:p w:rsidR="00001B38" w:rsidRDefault="00001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nsid w:val="0F4A3032"/>
    <w:multiLevelType w:val="hybridMultilevel"/>
    <w:tmpl w:val="515EF4E4"/>
    <w:lvl w:ilvl="0" w:tplc="0C090001">
      <w:start w:val="1"/>
      <w:numFmt w:val="bullet"/>
      <w:lvlText w:val=""/>
      <w:lvlJc w:val="left"/>
      <w:pPr>
        <w:ind w:left="1636" w:hanging="360"/>
      </w:pPr>
      <w:rPr>
        <w:rFonts w:ascii="Symbol" w:hAnsi="Symbol" w:hint="default"/>
      </w:rPr>
    </w:lvl>
    <w:lvl w:ilvl="1" w:tplc="0C090003">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2">
    <w:nsid w:val="1DCB237C"/>
    <w:multiLevelType w:val="hybridMultilevel"/>
    <w:tmpl w:val="17021088"/>
    <w:lvl w:ilvl="0" w:tplc="E1CA8FCE">
      <w:start w:val="1"/>
      <w:numFmt w:val="decimal"/>
      <w:pStyle w:val="SubmissionNormal"/>
      <w:lvlText w:val="%1."/>
      <w:lvlJc w:val="left"/>
      <w:pPr>
        <w:tabs>
          <w:tab w:val="num" w:pos="1284"/>
        </w:tabs>
        <w:ind w:left="1284"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tabs>
          <w:tab w:val="num" w:pos="2004"/>
        </w:tabs>
        <w:ind w:left="2004" w:hanging="360"/>
      </w:pPr>
    </w:lvl>
    <w:lvl w:ilvl="2" w:tplc="0C09001B" w:tentative="1">
      <w:start w:val="1"/>
      <w:numFmt w:val="lowerRoman"/>
      <w:lvlText w:val="%3."/>
      <w:lvlJc w:val="right"/>
      <w:pPr>
        <w:tabs>
          <w:tab w:val="num" w:pos="2724"/>
        </w:tabs>
        <w:ind w:left="2724" w:hanging="180"/>
      </w:pPr>
    </w:lvl>
    <w:lvl w:ilvl="3" w:tplc="0C09000F" w:tentative="1">
      <w:start w:val="1"/>
      <w:numFmt w:val="decimal"/>
      <w:lvlText w:val="%4."/>
      <w:lvlJc w:val="left"/>
      <w:pPr>
        <w:tabs>
          <w:tab w:val="num" w:pos="3444"/>
        </w:tabs>
        <w:ind w:left="3444" w:hanging="360"/>
      </w:pPr>
    </w:lvl>
    <w:lvl w:ilvl="4" w:tplc="0C090019" w:tentative="1">
      <w:start w:val="1"/>
      <w:numFmt w:val="lowerLetter"/>
      <w:lvlText w:val="%5."/>
      <w:lvlJc w:val="left"/>
      <w:pPr>
        <w:tabs>
          <w:tab w:val="num" w:pos="4164"/>
        </w:tabs>
        <w:ind w:left="4164" w:hanging="360"/>
      </w:pPr>
    </w:lvl>
    <w:lvl w:ilvl="5" w:tplc="0C09001B" w:tentative="1">
      <w:start w:val="1"/>
      <w:numFmt w:val="lowerRoman"/>
      <w:lvlText w:val="%6."/>
      <w:lvlJc w:val="right"/>
      <w:pPr>
        <w:tabs>
          <w:tab w:val="num" w:pos="4884"/>
        </w:tabs>
        <w:ind w:left="4884" w:hanging="180"/>
      </w:pPr>
    </w:lvl>
    <w:lvl w:ilvl="6" w:tplc="0C09000F" w:tentative="1">
      <w:start w:val="1"/>
      <w:numFmt w:val="decimal"/>
      <w:lvlText w:val="%7."/>
      <w:lvlJc w:val="left"/>
      <w:pPr>
        <w:tabs>
          <w:tab w:val="num" w:pos="5604"/>
        </w:tabs>
        <w:ind w:left="5604" w:hanging="360"/>
      </w:pPr>
    </w:lvl>
    <w:lvl w:ilvl="7" w:tplc="0C090019" w:tentative="1">
      <w:start w:val="1"/>
      <w:numFmt w:val="lowerLetter"/>
      <w:lvlText w:val="%8."/>
      <w:lvlJc w:val="left"/>
      <w:pPr>
        <w:tabs>
          <w:tab w:val="num" w:pos="6324"/>
        </w:tabs>
        <w:ind w:left="6324" w:hanging="360"/>
      </w:pPr>
    </w:lvl>
    <w:lvl w:ilvl="8" w:tplc="0C09001B" w:tentative="1">
      <w:start w:val="1"/>
      <w:numFmt w:val="lowerRoman"/>
      <w:lvlText w:val="%9."/>
      <w:lvlJc w:val="right"/>
      <w:pPr>
        <w:tabs>
          <w:tab w:val="num" w:pos="7044"/>
        </w:tabs>
        <w:ind w:left="7044" w:hanging="18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0FE3102"/>
    <w:multiLevelType w:val="hybridMultilevel"/>
    <w:tmpl w:val="9A3C872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0B76788"/>
    <w:multiLevelType w:val="hybridMultilevel"/>
    <w:tmpl w:val="1F86A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353FB5"/>
    <w:multiLevelType w:val="hybridMultilevel"/>
    <w:tmpl w:val="6DEA2E02"/>
    <w:lvl w:ilvl="0" w:tplc="A32EC982">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B575343"/>
    <w:multiLevelType w:val="hybridMultilevel"/>
    <w:tmpl w:val="172668A6"/>
    <w:lvl w:ilvl="0" w:tplc="0C090001">
      <w:start w:val="1"/>
      <w:numFmt w:val="bullet"/>
      <w:lvlText w:val=""/>
      <w:lvlJc w:val="left"/>
      <w:pPr>
        <w:ind w:left="1448" w:hanging="360"/>
      </w:pPr>
      <w:rPr>
        <w:rFonts w:ascii="Symbol" w:hAnsi="Symbol" w:hint="default"/>
      </w:rPr>
    </w:lvl>
    <w:lvl w:ilvl="1" w:tplc="0C090003">
      <w:start w:val="1"/>
      <w:numFmt w:val="bullet"/>
      <w:lvlText w:val="o"/>
      <w:lvlJc w:val="left"/>
      <w:pPr>
        <w:ind w:left="4046" w:hanging="360"/>
      </w:pPr>
      <w:rPr>
        <w:rFonts w:ascii="Courier New" w:hAnsi="Courier New" w:cs="Courier New" w:hint="default"/>
      </w:rPr>
    </w:lvl>
    <w:lvl w:ilvl="2" w:tplc="0C090005" w:tentative="1">
      <w:start w:val="1"/>
      <w:numFmt w:val="bullet"/>
      <w:lvlText w:val=""/>
      <w:lvlJc w:val="left"/>
      <w:pPr>
        <w:ind w:left="2888" w:hanging="360"/>
      </w:pPr>
      <w:rPr>
        <w:rFonts w:ascii="Wingdings" w:hAnsi="Wingdings" w:hint="default"/>
      </w:rPr>
    </w:lvl>
    <w:lvl w:ilvl="3" w:tplc="0C090001" w:tentative="1">
      <w:start w:val="1"/>
      <w:numFmt w:val="bullet"/>
      <w:lvlText w:val=""/>
      <w:lvlJc w:val="left"/>
      <w:pPr>
        <w:ind w:left="3608" w:hanging="360"/>
      </w:pPr>
      <w:rPr>
        <w:rFonts w:ascii="Symbol" w:hAnsi="Symbol" w:hint="default"/>
      </w:rPr>
    </w:lvl>
    <w:lvl w:ilvl="4" w:tplc="0C090003" w:tentative="1">
      <w:start w:val="1"/>
      <w:numFmt w:val="bullet"/>
      <w:lvlText w:val="o"/>
      <w:lvlJc w:val="left"/>
      <w:pPr>
        <w:ind w:left="4328" w:hanging="360"/>
      </w:pPr>
      <w:rPr>
        <w:rFonts w:ascii="Courier New" w:hAnsi="Courier New" w:cs="Courier New" w:hint="default"/>
      </w:rPr>
    </w:lvl>
    <w:lvl w:ilvl="5" w:tplc="0C090005" w:tentative="1">
      <w:start w:val="1"/>
      <w:numFmt w:val="bullet"/>
      <w:lvlText w:val=""/>
      <w:lvlJc w:val="left"/>
      <w:pPr>
        <w:ind w:left="5048" w:hanging="360"/>
      </w:pPr>
      <w:rPr>
        <w:rFonts w:ascii="Wingdings" w:hAnsi="Wingdings" w:hint="default"/>
      </w:rPr>
    </w:lvl>
    <w:lvl w:ilvl="6" w:tplc="0C090001" w:tentative="1">
      <w:start w:val="1"/>
      <w:numFmt w:val="bullet"/>
      <w:lvlText w:val=""/>
      <w:lvlJc w:val="left"/>
      <w:pPr>
        <w:ind w:left="5768" w:hanging="360"/>
      </w:pPr>
      <w:rPr>
        <w:rFonts w:ascii="Symbol" w:hAnsi="Symbol" w:hint="default"/>
      </w:rPr>
    </w:lvl>
    <w:lvl w:ilvl="7" w:tplc="0C090003" w:tentative="1">
      <w:start w:val="1"/>
      <w:numFmt w:val="bullet"/>
      <w:lvlText w:val="o"/>
      <w:lvlJc w:val="left"/>
      <w:pPr>
        <w:ind w:left="6488" w:hanging="360"/>
      </w:pPr>
      <w:rPr>
        <w:rFonts w:ascii="Courier New" w:hAnsi="Courier New" w:cs="Courier New" w:hint="default"/>
      </w:rPr>
    </w:lvl>
    <w:lvl w:ilvl="8" w:tplc="0C090005" w:tentative="1">
      <w:start w:val="1"/>
      <w:numFmt w:val="bullet"/>
      <w:lvlText w:val=""/>
      <w:lvlJc w:val="left"/>
      <w:pPr>
        <w:ind w:left="7208" w:hanging="360"/>
      </w:pPr>
      <w:rPr>
        <w:rFonts w:ascii="Wingdings" w:hAnsi="Wingdings" w:hint="default"/>
      </w:rPr>
    </w:lvl>
  </w:abstractNum>
  <w:abstractNum w:abstractNumId="23">
    <w:nsid w:val="70831E19"/>
    <w:multiLevelType w:val="hybridMultilevel"/>
    <w:tmpl w:val="9A7402D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1"/>
  </w:num>
  <w:num w:numId="13">
    <w:abstractNumId w:val="16"/>
  </w:num>
  <w:num w:numId="14">
    <w:abstractNumId w:val="13"/>
  </w:num>
  <w:num w:numId="15">
    <w:abstractNumId w:val="12"/>
  </w:num>
  <w:num w:numId="16">
    <w:abstractNumId w:val="10"/>
  </w:num>
  <w:num w:numId="17">
    <w:abstractNumId w:val="20"/>
  </w:num>
  <w:num w:numId="18">
    <w:abstractNumId w:val="14"/>
  </w:num>
  <w:num w:numId="19">
    <w:abstractNumId w:val="22"/>
  </w:num>
  <w:num w:numId="20">
    <w:abstractNumId w:val="1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num>
  <w:num w:numId="24">
    <w:abstractNumId w:val="12"/>
  </w:num>
  <w:num w:numId="25">
    <w:abstractNumId w:val="19"/>
  </w:num>
  <w:num w:numId="26">
    <w:abstractNumId w:val="19"/>
  </w:num>
  <w:num w:numId="27">
    <w:abstractNumId w:val="19"/>
  </w:num>
  <w:num w:numId="28">
    <w:abstractNumId w:val="12"/>
  </w:num>
  <w:num w:numId="29">
    <w:abstractNumId w:val="12"/>
  </w:num>
  <w:num w:numId="30">
    <w:abstractNumId w:val="19"/>
  </w:num>
  <w:num w:numId="31">
    <w:abstractNumId w:val="19"/>
  </w:num>
  <w:num w:numId="32">
    <w:abstractNumId w:val="12"/>
  </w:num>
  <w:num w:numId="33">
    <w:abstractNumId w:val="12"/>
  </w:num>
  <w:num w:numId="34">
    <w:abstractNumId w:val="17"/>
  </w:num>
  <w:num w:numId="35">
    <w:abstractNumId w:val="12"/>
    <w:lvlOverride w:ilvl="0">
      <w:startOverride w:val="1"/>
    </w:lvlOverride>
  </w:num>
  <w:num w:numId="36">
    <w:abstractNumId w:val="18"/>
  </w:num>
  <w:num w:numId="37">
    <w:abstractNumId w:val="11"/>
  </w:num>
  <w:num w:numId="38">
    <w:abstractNumId w:val="23"/>
  </w:num>
  <w:num w:numId="39">
    <w:abstractNumId w:val="12"/>
    <w:lvlOverride w:ilvl="0">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num>
  <w:num w:numId="42">
    <w:abstractNumId w:val="12"/>
    <w:lvlOverride w:ilvl="0">
      <w:startOverride w:val="1"/>
    </w:lvlOverride>
  </w:num>
  <w:num w:numId="43">
    <w:abstractNumId w:val="12"/>
    <w:lvlOverride w:ilvl="0">
      <w:startOverride w:val="1"/>
    </w:lvlOverride>
  </w:num>
  <w:num w:numId="44">
    <w:abstractNumId w:val="12"/>
    <w:lvlOverride w:ilvl="0">
      <w:startOverride w:val="1"/>
    </w:lvlOverride>
  </w:num>
  <w:num w:numId="45">
    <w:abstractNumId w:val="12"/>
    <w:lvlOverride w:ilvl="0">
      <w:startOverride w:val="1"/>
    </w:lvlOverride>
  </w:num>
  <w:num w:numId="46">
    <w:abstractNumId w:val="12"/>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Full" w:cryptAlgorithmClass="hash" w:cryptAlgorithmType="typeAny" w:cryptAlgorithmSid="4" w:cryptSpinCount="100000" w:hash="n9kQylBqeky51khCS5B3KVZCOVw=" w:salt="ECH3EftpzThOYIWQfIokNg=="/>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40"/>
    <w:rsid w:val="00001B38"/>
    <w:rsid w:val="0000309E"/>
    <w:rsid w:val="000030ED"/>
    <w:rsid w:val="0000322E"/>
    <w:rsid w:val="00005156"/>
    <w:rsid w:val="0000749A"/>
    <w:rsid w:val="000079A3"/>
    <w:rsid w:val="00011A3B"/>
    <w:rsid w:val="00011C65"/>
    <w:rsid w:val="000137F3"/>
    <w:rsid w:val="00013F28"/>
    <w:rsid w:val="000140F6"/>
    <w:rsid w:val="00014A92"/>
    <w:rsid w:val="000160AF"/>
    <w:rsid w:val="0001656C"/>
    <w:rsid w:val="000165C2"/>
    <w:rsid w:val="00016876"/>
    <w:rsid w:val="000207FD"/>
    <w:rsid w:val="00022BBA"/>
    <w:rsid w:val="00022C90"/>
    <w:rsid w:val="00022F24"/>
    <w:rsid w:val="00023D9D"/>
    <w:rsid w:val="0002557C"/>
    <w:rsid w:val="000265C5"/>
    <w:rsid w:val="00026D4C"/>
    <w:rsid w:val="00027B64"/>
    <w:rsid w:val="00030B51"/>
    <w:rsid w:val="00031656"/>
    <w:rsid w:val="000325B3"/>
    <w:rsid w:val="000329FB"/>
    <w:rsid w:val="000339A0"/>
    <w:rsid w:val="00033D82"/>
    <w:rsid w:val="00033FE5"/>
    <w:rsid w:val="00034B4C"/>
    <w:rsid w:val="0003606D"/>
    <w:rsid w:val="00037863"/>
    <w:rsid w:val="000427E8"/>
    <w:rsid w:val="00043715"/>
    <w:rsid w:val="00044588"/>
    <w:rsid w:val="00044855"/>
    <w:rsid w:val="000449A8"/>
    <w:rsid w:val="00044BBE"/>
    <w:rsid w:val="000459FA"/>
    <w:rsid w:val="00051200"/>
    <w:rsid w:val="00052C8D"/>
    <w:rsid w:val="00053C7E"/>
    <w:rsid w:val="00054D5E"/>
    <w:rsid w:val="0005579F"/>
    <w:rsid w:val="0005658B"/>
    <w:rsid w:val="0005712F"/>
    <w:rsid w:val="000572FA"/>
    <w:rsid w:val="000579B1"/>
    <w:rsid w:val="000603BB"/>
    <w:rsid w:val="0006046C"/>
    <w:rsid w:val="0006250D"/>
    <w:rsid w:val="00064DAC"/>
    <w:rsid w:val="00065C50"/>
    <w:rsid w:val="00066B0D"/>
    <w:rsid w:val="00070DA2"/>
    <w:rsid w:val="0007153C"/>
    <w:rsid w:val="00072D2F"/>
    <w:rsid w:val="00074319"/>
    <w:rsid w:val="00074679"/>
    <w:rsid w:val="000765B9"/>
    <w:rsid w:val="0007682B"/>
    <w:rsid w:val="000773C8"/>
    <w:rsid w:val="00077B3F"/>
    <w:rsid w:val="00077EFF"/>
    <w:rsid w:val="000801AA"/>
    <w:rsid w:val="0008093B"/>
    <w:rsid w:val="0008141F"/>
    <w:rsid w:val="0008163F"/>
    <w:rsid w:val="00081E97"/>
    <w:rsid w:val="0008201F"/>
    <w:rsid w:val="00082317"/>
    <w:rsid w:val="0008446D"/>
    <w:rsid w:val="000846B3"/>
    <w:rsid w:val="000852BA"/>
    <w:rsid w:val="00085498"/>
    <w:rsid w:val="0008569C"/>
    <w:rsid w:val="00086A4B"/>
    <w:rsid w:val="00086D30"/>
    <w:rsid w:val="00086E9C"/>
    <w:rsid w:val="000879BC"/>
    <w:rsid w:val="000879F9"/>
    <w:rsid w:val="00087C89"/>
    <w:rsid w:val="00091C7E"/>
    <w:rsid w:val="0009230B"/>
    <w:rsid w:val="0009314B"/>
    <w:rsid w:val="00094904"/>
    <w:rsid w:val="0009570D"/>
    <w:rsid w:val="000A08F5"/>
    <w:rsid w:val="000A0EDF"/>
    <w:rsid w:val="000A1DB8"/>
    <w:rsid w:val="000A3579"/>
    <w:rsid w:val="000A38F1"/>
    <w:rsid w:val="000A3F6B"/>
    <w:rsid w:val="000A48AC"/>
    <w:rsid w:val="000A6446"/>
    <w:rsid w:val="000A6F8E"/>
    <w:rsid w:val="000B0A5D"/>
    <w:rsid w:val="000B0A98"/>
    <w:rsid w:val="000B1C57"/>
    <w:rsid w:val="000B3673"/>
    <w:rsid w:val="000B44B1"/>
    <w:rsid w:val="000B746F"/>
    <w:rsid w:val="000C1165"/>
    <w:rsid w:val="000D04B5"/>
    <w:rsid w:val="000D1767"/>
    <w:rsid w:val="000D217C"/>
    <w:rsid w:val="000D2D9C"/>
    <w:rsid w:val="000D2DCE"/>
    <w:rsid w:val="000D4BF3"/>
    <w:rsid w:val="000D4FC8"/>
    <w:rsid w:val="000D5028"/>
    <w:rsid w:val="000D60F3"/>
    <w:rsid w:val="000D7C4E"/>
    <w:rsid w:val="000E130A"/>
    <w:rsid w:val="000E1A3D"/>
    <w:rsid w:val="000E1D8C"/>
    <w:rsid w:val="000E2199"/>
    <w:rsid w:val="000E33FB"/>
    <w:rsid w:val="000E4730"/>
    <w:rsid w:val="000E650A"/>
    <w:rsid w:val="000E6FBE"/>
    <w:rsid w:val="000E7A47"/>
    <w:rsid w:val="000F083C"/>
    <w:rsid w:val="000F0A5C"/>
    <w:rsid w:val="000F0F78"/>
    <w:rsid w:val="000F29B8"/>
    <w:rsid w:val="000F3A4C"/>
    <w:rsid w:val="000F4844"/>
    <w:rsid w:val="000F4B1C"/>
    <w:rsid w:val="000F5C8B"/>
    <w:rsid w:val="000F67DF"/>
    <w:rsid w:val="000F6FD5"/>
    <w:rsid w:val="000F73AF"/>
    <w:rsid w:val="000F761D"/>
    <w:rsid w:val="0010060C"/>
    <w:rsid w:val="0010094A"/>
    <w:rsid w:val="00102B3A"/>
    <w:rsid w:val="001051A2"/>
    <w:rsid w:val="00105804"/>
    <w:rsid w:val="00107DEC"/>
    <w:rsid w:val="001144FD"/>
    <w:rsid w:val="00114FE0"/>
    <w:rsid w:val="001156E3"/>
    <w:rsid w:val="0011626D"/>
    <w:rsid w:val="00116B62"/>
    <w:rsid w:val="00117C13"/>
    <w:rsid w:val="00117C16"/>
    <w:rsid w:val="00121DB2"/>
    <w:rsid w:val="00122A2F"/>
    <w:rsid w:val="00122FB8"/>
    <w:rsid w:val="00123897"/>
    <w:rsid w:val="00123B34"/>
    <w:rsid w:val="00124332"/>
    <w:rsid w:val="00124502"/>
    <w:rsid w:val="00124768"/>
    <w:rsid w:val="0012581B"/>
    <w:rsid w:val="00125A24"/>
    <w:rsid w:val="001265AB"/>
    <w:rsid w:val="00130DDE"/>
    <w:rsid w:val="00132E4C"/>
    <w:rsid w:val="00134168"/>
    <w:rsid w:val="00134774"/>
    <w:rsid w:val="001357B1"/>
    <w:rsid w:val="0013686C"/>
    <w:rsid w:val="00136FC2"/>
    <w:rsid w:val="00137C80"/>
    <w:rsid w:val="00140136"/>
    <w:rsid w:val="00140274"/>
    <w:rsid w:val="00142B71"/>
    <w:rsid w:val="00143506"/>
    <w:rsid w:val="0014408D"/>
    <w:rsid w:val="00144A8F"/>
    <w:rsid w:val="00144DE6"/>
    <w:rsid w:val="00145245"/>
    <w:rsid w:val="00145420"/>
    <w:rsid w:val="001467F8"/>
    <w:rsid w:val="001500CB"/>
    <w:rsid w:val="0015089F"/>
    <w:rsid w:val="00151263"/>
    <w:rsid w:val="00153F9F"/>
    <w:rsid w:val="00154AE4"/>
    <w:rsid w:val="00155349"/>
    <w:rsid w:val="0015555C"/>
    <w:rsid w:val="0015568E"/>
    <w:rsid w:val="00155755"/>
    <w:rsid w:val="00157FBC"/>
    <w:rsid w:val="001600DF"/>
    <w:rsid w:val="001600F0"/>
    <w:rsid w:val="00160D5F"/>
    <w:rsid w:val="00162A8D"/>
    <w:rsid w:val="00162B30"/>
    <w:rsid w:val="00165693"/>
    <w:rsid w:val="00165B04"/>
    <w:rsid w:val="00165E3C"/>
    <w:rsid w:val="00171119"/>
    <w:rsid w:val="001711A2"/>
    <w:rsid w:val="00171562"/>
    <w:rsid w:val="001716C9"/>
    <w:rsid w:val="001716D7"/>
    <w:rsid w:val="00171FE7"/>
    <w:rsid w:val="001725EB"/>
    <w:rsid w:val="00173FB5"/>
    <w:rsid w:val="0017511E"/>
    <w:rsid w:val="00175392"/>
    <w:rsid w:val="001759A0"/>
    <w:rsid w:val="00175E42"/>
    <w:rsid w:val="00176C07"/>
    <w:rsid w:val="00182D06"/>
    <w:rsid w:val="001834F0"/>
    <w:rsid w:val="00183721"/>
    <w:rsid w:val="00183E38"/>
    <w:rsid w:val="001843E2"/>
    <w:rsid w:val="0018511C"/>
    <w:rsid w:val="00190923"/>
    <w:rsid w:val="00191088"/>
    <w:rsid w:val="00192338"/>
    <w:rsid w:val="00192C40"/>
    <w:rsid w:val="00193088"/>
    <w:rsid w:val="00193100"/>
    <w:rsid w:val="0019338C"/>
    <w:rsid w:val="001942A0"/>
    <w:rsid w:val="00194DA4"/>
    <w:rsid w:val="00195504"/>
    <w:rsid w:val="00196CCB"/>
    <w:rsid w:val="001976CA"/>
    <w:rsid w:val="00197EE8"/>
    <w:rsid w:val="001A05BC"/>
    <w:rsid w:val="001A0777"/>
    <w:rsid w:val="001A44FE"/>
    <w:rsid w:val="001A4EE0"/>
    <w:rsid w:val="001A54D2"/>
    <w:rsid w:val="001A5677"/>
    <w:rsid w:val="001A7796"/>
    <w:rsid w:val="001A7BB2"/>
    <w:rsid w:val="001A7C3F"/>
    <w:rsid w:val="001A7D2D"/>
    <w:rsid w:val="001B0353"/>
    <w:rsid w:val="001B14FF"/>
    <w:rsid w:val="001B2D7D"/>
    <w:rsid w:val="001B4414"/>
    <w:rsid w:val="001B4A16"/>
    <w:rsid w:val="001B5066"/>
    <w:rsid w:val="001B614C"/>
    <w:rsid w:val="001B7451"/>
    <w:rsid w:val="001C1F8B"/>
    <w:rsid w:val="001C3F1E"/>
    <w:rsid w:val="001C40EF"/>
    <w:rsid w:val="001C5CAA"/>
    <w:rsid w:val="001C6C05"/>
    <w:rsid w:val="001D0C20"/>
    <w:rsid w:val="001D175D"/>
    <w:rsid w:val="001D2F8E"/>
    <w:rsid w:val="001D34DD"/>
    <w:rsid w:val="001D3D06"/>
    <w:rsid w:val="001D48EC"/>
    <w:rsid w:val="001D4FAA"/>
    <w:rsid w:val="001D5550"/>
    <w:rsid w:val="001D5DD0"/>
    <w:rsid w:val="001E000F"/>
    <w:rsid w:val="001E02E5"/>
    <w:rsid w:val="001E0F7C"/>
    <w:rsid w:val="001E133B"/>
    <w:rsid w:val="001E2CE0"/>
    <w:rsid w:val="001E3ED4"/>
    <w:rsid w:val="001E523F"/>
    <w:rsid w:val="001E78F5"/>
    <w:rsid w:val="001F2BBB"/>
    <w:rsid w:val="001F3F85"/>
    <w:rsid w:val="001F41BD"/>
    <w:rsid w:val="001F6736"/>
    <w:rsid w:val="001F7020"/>
    <w:rsid w:val="001F7570"/>
    <w:rsid w:val="00200677"/>
    <w:rsid w:val="00201C58"/>
    <w:rsid w:val="002026A8"/>
    <w:rsid w:val="00202E0F"/>
    <w:rsid w:val="00203C9C"/>
    <w:rsid w:val="0020417F"/>
    <w:rsid w:val="00210CD1"/>
    <w:rsid w:val="00211371"/>
    <w:rsid w:val="002119D7"/>
    <w:rsid w:val="002138E3"/>
    <w:rsid w:val="00214CB3"/>
    <w:rsid w:val="00214CD0"/>
    <w:rsid w:val="00215690"/>
    <w:rsid w:val="002166E4"/>
    <w:rsid w:val="00216D16"/>
    <w:rsid w:val="00220A63"/>
    <w:rsid w:val="00221801"/>
    <w:rsid w:val="00222032"/>
    <w:rsid w:val="00222DD6"/>
    <w:rsid w:val="002230E1"/>
    <w:rsid w:val="00224787"/>
    <w:rsid w:val="0022487D"/>
    <w:rsid w:val="00224AA3"/>
    <w:rsid w:val="00224E41"/>
    <w:rsid w:val="00226C83"/>
    <w:rsid w:val="002304D2"/>
    <w:rsid w:val="00231ED1"/>
    <w:rsid w:val="002335DF"/>
    <w:rsid w:val="002349BF"/>
    <w:rsid w:val="00235806"/>
    <w:rsid w:val="00235CE7"/>
    <w:rsid w:val="00236878"/>
    <w:rsid w:val="00236B0E"/>
    <w:rsid w:val="00237BCC"/>
    <w:rsid w:val="00240D51"/>
    <w:rsid w:val="00241F11"/>
    <w:rsid w:val="002423E1"/>
    <w:rsid w:val="00242624"/>
    <w:rsid w:val="00242AB5"/>
    <w:rsid w:val="0024385E"/>
    <w:rsid w:val="00243AC2"/>
    <w:rsid w:val="00243CCB"/>
    <w:rsid w:val="0024465B"/>
    <w:rsid w:val="00244CBA"/>
    <w:rsid w:val="00244EAC"/>
    <w:rsid w:val="0024557E"/>
    <w:rsid w:val="00246E1F"/>
    <w:rsid w:val="00247886"/>
    <w:rsid w:val="00247A20"/>
    <w:rsid w:val="00247AD8"/>
    <w:rsid w:val="00251187"/>
    <w:rsid w:val="0025118B"/>
    <w:rsid w:val="002529A6"/>
    <w:rsid w:val="00253008"/>
    <w:rsid w:val="0025422B"/>
    <w:rsid w:val="0025459B"/>
    <w:rsid w:val="00254834"/>
    <w:rsid w:val="00254ABB"/>
    <w:rsid w:val="0025768B"/>
    <w:rsid w:val="00260595"/>
    <w:rsid w:val="00261757"/>
    <w:rsid w:val="00261802"/>
    <w:rsid w:val="00262400"/>
    <w:rsid w:val="00262C20"/>
    <w:rsid w:val="00262F2E"/>
    <w:rsid w:val="00263063"/>
    <w:rsid w:val="0026454A"/>
    <w:rsid w:val="00267F34"/>
    <w:rsid w:val="00270E86"/>
    <w:rsid w:val="002722DC"/>
    <w:rsid w:val="00273CD1"/>
    <w:rsid w:val="00274173"/>
    <w:rsid w:val="002747C7"/>
    <w:rsid w:val="00281E27"/>
    <w:rsid w:val="00282551"/>
    <w:rsid w:val="00283ED0"/>
    <w:rsid w:val="0028423B"/>
    <w:rsid w:val="00286200"/>
    <w:rsid w:val="002863D7"/>
    <w:rsid w:val="0028662C"/>
    <w:rsid w:val="00287F10"/>
    <w:rsid w:val="002904BE"/>
    <w:rsid w:val="002939E6"/>
    <w:rsid w:val="00295452"/>
    <w:rsid w:val="00295E81"/>
    <w:rsid w:val="002965CB"/>
    <w:rsid w:val="00296E0A"/>
    <w:rsid w:val="0029726D"/>
    <w:rsid w:val="002A04A5"/>
    <w:rsid w:val="002A19A7"/>
    <w:rsid w:val="002A1BE0"/>
    <w:rsid w:val="002A22EC"/>
    <w:rsid w:val="002A582D"/>
    <w:rsid w:val="002A6D3B"/>
    <w:rsid w:val="002A7F19"/>
    <w:rsid w:val="002B015E"/>
    <w:rsid w:val="002B1B65"/>
    <w:rsid w:val="002B1E70"/>
    <w:rsid w:val="002B22FF"/>
    <w:rsid w:val="002B53C9"/>
    <w:rsid w:val="002B6BE8"/>
    <w:rsid w:val="002B79D4"/>
    <w:rsid w:val="002C1866"/>
    <w:rsid w:val="002C27C5"/>
    <w:rsid w:val="002C299B"/>
    <w:rsid w:val="002C368F"/>
    <w:rsid w:val="002C46ED"/>
    <w:rsid w:val="002C4896"/>
    <w:rsid w:val="002C51ED"/>
    <w:rsid w:val="002C5BD2"/>
    <w:rsid w:val="002C6046"/>
    <w:rsid w:val="002C60A1"/>
    <w:rsid w:val="002D1814"/>
    <w:rsid w:val="002D2265"/>
    <w:rsid w:val="002D32B7"/>
    <w:rsid w:val="002D3D6C"/>
    <w:rsid w:val="002D4248"/>
    <w:rsid w:val="002D455B"/>
    <w:rsid w:val="002D7283"/>
    <w:rsid w:val="002E12C7"/>
    <w:rsid w:val="002E239B"/>
    <w:rsid w:val="002E2B5B"/>
    <w:rsid w:val="002E4252"/>
    <w:rsid w:val="002E5A5C"/>
    <w:rsid w:val="002E71D7"/>
    <w:rsid w:val="002E7B6E"/>
    <w:rsid w:val="002F0055"/>
    <w:rsid w:val="002F08B0"/>
    <w:rsid w:val="002F0CCF"/>
    <w:rsid w:val="002F145B"/>
    <w:rsid w:val="002F14AE"/>
    <w:rsid w:val="002F1B64"/>
    <w:rsid w:val="002F1E7B"/>
    <w:rsid w:val="002F2F6D"/>
    <w:rsid w:val="002F3394"/>
    <w:rsid w:val="002F4CE1"/>
    <w:rsid w:val="002F50BD"/>
    <w:rsid w:val="002F55D8"/>
    <w:rsid w:val="002F5900"/>
    <w:rsid w:val="002F660F"/>
    <w:rsid w:val="002F69B2"/>
    <w:rsid w:val="002F6A52"/>
    <w:rsid w:val="002F7633"/>
    <w:rsid w:val="00300105"/>
    <w:rsid w:val="00300F22"/>
    <w:rsid w:val="00301B8A"/>
    <w:rsid w:val="00302390"/>
    <w:rsid w:val="0030391C"/>
    <w:rsid w:val="00304A37"/>
    <w:rsid w:val="003057CF"/>
    <w:rsid w:val="00306795"/>
    <w:rsid w:val="0030701B"/>
    <w:rsid w:val="0030764D"/>
    <w:rsid w:val="00307927"/>
    <w:rsid w:val="00307F08"/>
    <w:rsid w:val="003100B9"/>
    <w:rsid w:val="00310381"/>
    <w:rsid w:val="00310ED4"/>
    <w:rsid w:val="003115EC"/>
    <w:rsid w:val="00311852"/>
    <w:rsid w:val="00312301"/>
    <w:rsid w:val="00312EFF"/>
    <w:rsid w:val="003142BF"/>
    <w:rsid w:val="0031492A"/>
    <w:rsid w:val="003150AF"/>
    <w:rsid w:val="0031550F"/>
    <w:rsid w:val="003162D0"/>
    <w:rsid w:val="00316C1A"/>
    <w:rsid w:val="00316D05"/>
    <w:rsid w:val="0031731B"/>
    <w:rsid w:val="00317E3C"/>
    <w:rsid w:val="0032024B"/>
    <w:rsid w:val="00320C14"/>
    <w:rsid w:val="003216CB"/>
    <w:rsid w:val="00322DCF"/>
    <w:rsid w:val="00323C73"/>
    <w:rsid w:val="00323EE9"/>
    <w:rsid w:val="003244C4"/>
    <w:rsid w:val="00324DA1"/>
    <w:rsid w:val="00331141"/>
    <w:rsid w:val="00331F4A"/>
    <w:rsid w:val="00333025"/>
    <w:rsid w:val="003358C2"/>
    <w:rsid w:val="003378F8"/>
    <w:rsid w:val="003419DC"/>
    <w:rsid w:val="00341D61"/>
    <w:rsid w:val="0034417C"/>
    <w:rsid w:val="00344758"/>
    <w:rsid w:val="00345E96"/>
    <w:rsid w:val="00346524"/>
    <w:rsid w:val="00347142"/>
    <w:rsid w:val="003511BE"/>
    <w:rsid w:val="00351648"/>
    <w:rsid w:val="0035398E"/>
    <w:rsid w:val="00354BB6"/>
    <w:rsid w:val="0035541A"/>
    <w:rsid w:val="00355C7E"/>
    <w:rsid w:val="003565A8"/>
    <w:rsid w:val="003566EA"/>
    <w:rsid w:val="00356E07"/>
    <w:rsid w:val="00361627"/>
    <w:rsid w:val="003619CF"/>
    <w:rsid w:val="00362986"/>
    <w:rsid w:val="00363BA6"/>
    <w:rsid w:val="00364F31"/>
    <w:rsid w:val="0037184C"/>
    <w:rsid w:val="00371A90"/>
    <w:rsid w:val="003724F3"/>
    <w:rsid w:val="00372C79"/>
    <w:rsid w:val="003735F8"/>
    <w:rsid w:val="00373E54"/>
    <w:rsid w:val="00374F24"/>
    <w:rsid w:val="0037760E"/>
    <w:rsid w:val="0037783E"/>
    <w:rsid w:val="003779A3"/>
    <w:rsid w:val="003800AF"/>
    <w:rsid w:val="00380B28"/>
    <w:rsid w:val="003811D1"/>
    <w:rsid w:val="00381809"/>
    <w:rsid w:val="00382A93"/>
    <w:rsid w:val="0038460D"/>
    <w:rsid w:val="003859E1"/>
    <w:rsid w:val="00386063"/>
    <w:rsid w:val="00387732"/>
    <w:rsid w:val="00391688"/>
    <w:rsid w:val="003919C0"/>
    <w:rsid w:val="00391EBB"/>
    <w:rsid w:val="00395649"/>
    <w:rsid w:val="003A0AB4"/>
    <w:rsid w:val="003A0D28"/>
    <w:rsid w:val="003A120B"/>
    <w:rsid w:val="003A1515"/>
    <w:rsid w:val="003A17A5"/>
    <w:rsid w:val="003A2A55"/>
    <w:rsid w:val="003A2BCE"/>
    <w:rsid w:val="003A41F1"/>
    <w:rsid w:val="003A5873"/>
    <w:rsid w:val="003A597C"/>
    <w:rsid w:val="003A5F52"/>
    <w:rsid w:val="003A6C86"/>
    <w:rsid w:val="003B0C43"/>
    <w:rsid w:val="003B0D5D"/>
    <w:rsid w:val="003B15A2"/>
    <w:rsid w:val="003B19D4"/>
    <w:rsid w:val="003B273B"/>
    <w:rsid w:val="003B438A"/>
    <w:rsid w:val="003B5455"/>
    <w:rsid w:val="003B5D9F"/>
    <w:rsid w:val="003B658C"/>
    <w:rsid w:val="003B676D"/>
    <w:rsid w:val="003B70B0"/>
    <w:rsid w:val="003C0690"/>
    <w:rsid w:val="003C0AA5"/>
    <w:rsid w:val="003C16C5"/>
    <w:rsid w:val="003C16C8"/>
    <w:rsid w:val="003C1A85"/>
    <w:rsid w:val="003C2879"/>
    <w:rsid w:val="003C30A5"/>
    <w:rsid w:val="003C335F"/>
    <w:rsid w:val="003C347D"/>
    <w:rsid w:val="003C3800"/>
    <w:rsid w:val="003C3980"/>
    <w:rsid w:val="003C39FD"/>
    <w:rsid w:val="003C552E"/>
    <w:rsid w:val="003C589A"/>
    <w:rsid w:val="003D2922"/>
    <w:rsid w:val="003D33A6"/>
    <w:rsid w:val="003D4671"/>
    <w:rsid w:val="003D4A6A"/>
    <w:rsid w:val="003D6ED2"/>
    <w:rsid w:val="003E0298"/>
    <w:rsid w:val="003E17DC"/>
    <w:rsid w:val="003E432F"/>
    <w:rsid w:val="003E5B94"/>
    <w:rsid w:val="003E5FBC"/>
    <w:rsid w:val="003E6733"/>
    <w:rsid w:val="003E75D7"/>
    <w:rsid w:val="003E7AC4"/>
    <w:rsid w:val="003F0EE8"/>
    <w:rsid w:val="003F0F28"/>
    <w:rsid w:val="003F1874"/>
    <w:rsid w:val="003F1F57"/>
    <w:rsid w:val="003F234D"/>
    <w:rsid w:val="003F2646"/>
    <w:rsid w:val="003F2B0B"/>
    <w:rsid w:val="003F32A5"/>
    <w:rsid w:val="003F3D62"/>
    <w:rsid w:val="003F44B2"/>
    <w:rsid w:val="003F4902"/>
    <w:rsid w:val="003F6E4F"/>
    <w:rsid w:val="003F71D4"/>
    <w:rsid w:val="00400DAD"/>
    <w:rsid w:val="004022C7"/>
    <w:rsid w:val="00402D2A"/>
    <w:rsid w:val="00402FC6"/>
    <w:rsid w:val="004033DC"/>
    <w:rsid w:val="00404260"/>
    <w:rsid w:val="00404884"/>
    <w:rsid w:val="00404BDB"/>
    <w:rsid w:val="00404EF8"/>
    <w:rsid w:val="004058FA"/>
    <w:rsid w:val="0040617E"/>
    <w:rsid w:val="00407BC8"/>
    <w:rsid w:val="00407C47"/>
    <w:rsid w:val="004121FF"/>
    <w:rsid w:val="00412C2F"/>
    <w:rsid w:val="0041335B"/>
    <w:rsid w:val="00415C35"/>
    <w:rsid w:val="00415F1A"/>
    <w:rsid w:val="004165B8"/>
    <w:rsid w:val="0041740B"/>
    <w:rsid w:val="0041769B"/>
    <w:rsid w:val="00417924"/>
    <w:rsid w:val="00420292"/>
    <w:rsid w:val="00420919"/>
    <w:rsid w:val="00422417"/>
    <w:rsid w:val="0042269A"/>
    <w:rsid w:val="00424233"/>
    <w:rsid w:val="00424A72"/>
    <w:rsid w:val="0042755D"/>
    <w:rsid w:val="00427E28"/>
    <w:rsid w:val="0043042B"/>
    <w:rsid w:val="00430469"/>
    <w:rsid w:val="00430B75"/>
    <w:rsid w:val="00430CD2"/>
    <w:rsid w:val="004321F1"/>
    <w:rsid w:val="0043230C"/>
    <w:rsid w:val="00432B78"/>
    <w:rsid w:val="00433D07"/>
    <w:rsid w:val="00433E63"/>
    <w:rsid w:val="00435042"/>
    <w:rsid w:val="0043566A"/>
    <w:rsid w:val="00435C9F"/>
    <w:rsid w:val="00436838"/>
    <w:rsid w:val="004368E9"/>
    <w:rsid w:val="00436ABB"/>
    <w:rsid w:val="00437304"/>
    <w:rsid w:val="00437AE7"/>
    <w:rsid w:val="00437C6B"/>
    <w:rsid w:val="004402B7"/>
    <w:rsid w:val="00442543"/>
    <w:rsid w:val="004429BB"/>
    <w:rsid w:val="00443281"/>
    <w:rsid w:val="00443C26"/>
    <w:rsid w:val="0044434A"/>
    <w:rsid w:val="00446AB3"/>
    <w:rsid w:val="00446F6F"/>
    <w:rsid w:val="004515C2"/>
    <w:rsid w:val="00452DAA"/>
    <w:rsid w:val="00456B2E"/>
    <w:rsid w:val="00456C06"/>
    <w:rsid w:val="0046029D"/>
    <w:rsid w:val="00462168"/>
    <w:rsid w:val="00464CD9"/>
    <w:rsid w:val="00465BB2"/>
    <w:rsid w:val="00465BF9"/>
    <w:rsid w:val="00467E5D"/>
    <w:rsid w:val="00467E66"/>
    <w:rsid w:val="00472157"/>
    <w:rsid w:val="00472C75"/>
    <w:rsid w:val="00472EFF"/>
    <w:rsid w:val="00473A9C"/>
    <w:rsid w:val="00473CCC"/>
    <w:rsid w:val="00474063"/>
    <w:rsid w:val="00475759"/>
    <w:rsid w:val="00476447"/>
    <w:rsid w:val="00476793"/>
    <w:rsid w:val="0047795F"/>
    <w:rsid w:val="00481C30"/>
    <w:rsid w:val="00481E84"/>
    <w:rsid w:val="00484CAB"/>
    <w:rsid w:val="00485482"/>
    <w:rsid w:val="00486F70"/>
    <w:rsid w:val="00487ACE"/>
    <w:rsid w:val="00487D51"/>
    <w:rsid w:val="0049406D"/>
    <w:rsid w:val="004954A8"/>
    <w:rsid w:val="004962B5"/>
    <w:rsid w:val="00497A78"/>
    <w:rsid w:val="004A0BA3"/>
    <w:rsid w:val="004A1413"/>
    <w:rsid w:val="004A187B"/>
    <w:rsid w:val="004A19D7"/>
    <w:rsid w:val="004A2D3C"/>
    <w:rsid w:val="004A479F"/>
    <w:rsid w:val="004A4BA3"/>
    <w:rsid w:val="004A52A2"/>
    <w:rsid w:val="004A6028"/>
    <w:rsid w:val="004A780F"/>
    <w:rsid w:val="004A7D0F"/>
    <w:rsid w:val="004B131D"/>
    <w:rsid w:val="004B1787"/>
    <w:rsid w:val="004B3795"/>
    <w:rsid w:val="004B4EAC"/>
    <w:rsid w:val="004B5FB4"/>
    <w:rsid w:val="004B65DD"/>
    <w:rsid w:val="004C0F5D"/>
    <w:rsid w:val="004C4101"/>
    <w:rsid w:val="004C59E0"/>
    <w:rsid w:val="004C5CE8"/>
    <w:rsid w:val="004C64BE"/>
    <w:rsid w:val="004C6BA5"/>
    <w:rsid w:val="004C73C7"/>
    <w:rsid w:val="004C7412"/>
    <w:rsid w:val="004C7C79"/>
    <w:rsid w:val="004D04BF"/>
    <w:rsid w:val="004D1388"/>
    <w:rsid w:val="004D3D3A"/>
    <w:rsid w:val="004D5634"/>
    <w:rsid w:val="004D5D3E"/>
    <w:rsid w:val="004D6E55"/>
    <w:rsid w:val="004E0DFF"/>
    <w:rsid w:val="004E163C"/>
    <w:rsid w:val="004E1A28"/>
    <w:rsid w:val="004E1F8D"/>
    <w:rsid w:val="004E25EC"/>
    <w:rsid w:val="004E3270"/>
    <w:rsid w:val="004E371D"/>
    <w:rsid w:val="004E4864"/>
    <w:rsid w:val="004E52A2"/>
    <w:rsid w:val="004E7921"/>
    <w:rsid w:val="004F1C7C"/>
    <w:rsid w:val="004F1F4E"/>
    <w:rsid w:val="004F2BAF"/>
    <w:rsid w:val="004F2BBE"/>
    <w:rsid w:val="004F3551"/>
    <w:rsid w:val="004F4B36"/>
    <w:rsid w:val="004F536A"/>
    <w:rsid w:val="004F6515"/>
    <w:rsid w:val="005004A7"/>
    <w:rsid w:val="005004EE"/>
    <w:rsid w:val="00500890"/>
    <w:rsid w:val="005041BC"/>
    <w:rsid w:val="005078D4"/>
    <w:rsid w:val="005112B7"/>
    <w:rsid w:val="00511F30"/>
    <w:rsid w:val="005123F0"/>
    <w:rsid w:val="005132AC"/>
    <w:rsid w:val="00513540"/>
    <w:rsid w:val="00513941"/>
    <w:rsid w:val="00513DB6"/>
    <w:rsid w:val="0051441E"/>
    <w:rsid w:val="00516859"/>
    <w:rsid w:val="0052123D"/>
    <w:rsid w:val="00522451"/>
    <w:rsid w:val="00522A64"/>
    <w:rsid w:val="00522C49"/>
    <w:rsid w:val="005230E9"/>
    <w:rsid w:val="005239D8"/>
    <w:rsid w:val="00523A8F"/>
    <w:rsid w:val="00524003"/>
    <w:rsid w:val="005253AB"/>
    <w:rsid w:val="00526627"/>
    <w:rsid w:val="00527352"/>
    <w:rsid w:val="00527AFE"/>
    <w:rsid w:val="0053051D"/>
    <w:rsid w:val="00531497"/>
    <w:rsid w:val="005325F4"/>
    <w:rsid w:val="0053307D"/>
    <w:rsid w:val="005336F6"/>
    <w:rsid w:val="00534037"/>
    <w:rsid w:val="00535A96"/>
    <w:rsid w:val="00536E23"/>
    <w:rsid w:val="00537130"/>
    <w:rsid w:val="00542352"/>
    <w:rsid w:val="00542950"/>
    <w:rsid w:val="00543336"/>
    <w:rsid w:val="00543820"/>
    <w:rsid w:val="005440A3"/>
    <w:rsid w:val="00544438"/>
    <w:rsid w:val="0054685D"/>
    <w:rsid w:val="005518F7"/>
    <w:rsid w:val="00552E45"/>
    <w:rsid w:val="00553D13"/>
    <w:rsid w:val="00553E3F"/>
    <w:rsid w:val="0055408F"/>
    <w:rsid w:val="00555AED"/>
    <w:rsid w:val="00556809"/>
    <w:rsid w:val="00557A0D"/>
    <w:rsid w:val="00560100"/>
    <w:rsid w:val="00560963"/>
    <w:rsid w:val="00560B54"/>
    <w:rsid w:val="00560C5E"/>
    <w:rsid w:val="00560EAB"/>
    <w:rsid w:val="0056397C"/>
    <w:rsid w:val="00563A14"/>
    <w:rsid w:val="00564208"/>
    <w:rsid w:val="00564627"/>
    <w:rsid w:val="0056649A"/>
    <w:rsid w:val="005664BE"/>
    <w:rsid w:val="00566A93"/>
    <w:rsid w:val="005706FE"/>
    <w:rsid w:val="00571CEB"/>
    <w:rsid w:val="00573757"/>
    <w:rsid w:val="005741AC"/>
    <w:rsid w:val="00574C04"/>
    <w:rsid w:val="00574F2A"/>
    <w:rsid w:val="00575ED3"/>
    <w:rsid w:val="005763D3"/>
    <w:rsid w:val="005763E3"/>
    <w:rsid w:val="00577291"/>
    <w:rsid w:val="00577802"/>
    <w:rsid w:val="005801B3"/>
    <w:rsid w:val="00582CF1"/>
    <w:rsid w:val="00584328"/>
    <w:rsid w:val="005850C2"/>
    <w:rsid w:val="00585FC0"/>
    <w:rsid w:val="00586447"/>
    <w:rsid w:val="0059011F"/>
    <w:rsid w:val="00591951"/>
    <w:rsid w:val="005937C2"/>
    <w:rsid w:val="0059399F"/>
    <w:rsid w:val="005939FC"/>
    <w:rsid w:val="00593BC2"/>
    <w:rsid w:val="00595058"/>
    <w:rsid w:val="0059608A"/>
    <w:rsid w:val="005A00C6"/>
    <w:rsid w:val="005A17B9"/>
    <w:rsid w:val="005A18EA"/>
    <w:rsid w:val="005A1AFE"/>
    <w:rsid w:val="005A1C16"/>
    <w:rsid w:val="005A3479"/>
    <w:rsid w:val="005A4251"/>
    <w:rsid w:val="005A461C"/>
    <w:rsid w:val="005A5827"/>
    <w:rsid w:val="005A7466"/>
    <w:rsid w:val="005A7A78"/>
    <w:rsid w:val="005B3E0F"/>
    <w:rsid w:val="005B43DB"/>
    <w:rsid w:val="005B47A3"/>
    <w:rsid w:val="005B7343"/>
    <w:rsid w:val="005C0A8D"/>
    <w:rsid w:val="005C0AF0"/>
    <w:rsid w:val="005C0F33"/>
    <w:rsid w:val="005C29CE"/>
    <w:rsid w:val="005C2FEB"/>
    <w:rsid w:val="005C4EF7"/>
    <w:rsid w:val="005C59F4"/>
    <w:rsid w:val="005C5D41"/>
    <w:rsid w:val="005C60A2"/>
    <w:rsid w:val="005C64E4"/>
    <w:rsid w:val="005C684F"/>
    <w:rsid w:val="005C7426"/>
    <w:rsid w:val="005D0349"/>
    <w:rsid w:val="005D132B"/>
    <w:rsid w:val="005D1D62"/>
    <w:rsid w:val="005D1F34"/>
    <w:rsid w:val="005D1FDC"/>
    <w:rsid w:val="005D383D"/>
    <w:rsid w:val="005D5005"/>
    <w:rsid w:val="005D5970"/>
    <w:rsid w:val="005D5E47"/>
    <w:rsid w:val="005D616E"/>
    <w:rsid w:val="005D77B7"/>
    <w:rsid w:val="005E2CDB"/>
    <w:rsid w:val="005E30B0"/>
    <w:rsid w:val="005E3D12"/>
    <w:rsid w:val="005E5BFB"/>
    <w:rsid w:val="005E5F86"/>
    <w:rsid w:val="005E6A3F"/>
    <w:rsid w:val="005F1086"/>
    <w:rsid w:val="005F1295"/>
    <w:rsid w:val="005F26D2"/>
    <w:rsid w:val="005F2B53"/>
    <w:rsid w:val="005F411E"/>
    <w:rsid w:val="005F4970"/>
    <w:rsid w:val="005F5E99"/>
    <w:rsid w:val="005F7DBD"/>
    <w:rsid w:val="00601B07"/>
    <w:rsid w:val="006038D3"/>
    <w:rsid w:val="006042A0"/>
    <w:rsid w:val="006059A2"/>
    <w:rsid w:val="006062F7"/>
    <w:rsid w:val="006065A7"/>
    <w:rsid w:val="00611210"/>
    <w:rsid w:val="006113DF"/>
    <w:rsid w:val="00611460"/>
    <w:rsid w:val="0061241A"/>
    <w:rsid w:val="00613461"/>
    <w:rsid w:val="00613532"/>
    <w:rsid w:val="006141DF"/>
    <w:rsid w:val="00614971"/>
    <w:rsid w:val="006151CC"/>
    <w:rsid w:val="00615B74"/>
    <w:rsid w:val="00615EFB"/>
    <w:rsid w:val="0061624D"/>
    <w:rsid w:val="00616FDF"/>
    <w:rsid w:val="006175CF"/>
    <w:rsid w:val="00617D09"/>
    <w:rsid w:val="006202FF"/>
    <w:rsid w:val="0062115C"/>
    <w:rsid w:val="00623569"/>
    <w:rsid w:val="006246EB"/>
    <w:rsid w:val="00625511"/>
    <w:rsid w:val="00626201"/>
    <w:rsid w:val="00626627"/>
    <w:rsid w:val="00627968"/>
    <w:rsid w:val="006308C1"/>
    <w:rsid w:val="006316C2"/>
    <w:rsid w:val="00633B6A"/>
    <w:rsid w:val="00635EAB"/>
    <w:rsid w:val="00637596"/>
    <w:rsid w:val="00637DC7"/>
    <w:rsid w:val="00642A05"/>
    <w:rsid w:val="00642A34"/>
    <w:rsid w:val="0064302B"/>
    <w:rsid w:val="006440DE"/>
    <w:rsid w:val="00650797"/>
    <w:rsid w:val="006513CA"/>
    <w:rsid w:val="00652688"/>
    <w:rsid w:val="006526E2"/>
    <w:rsid w:val="00654793"/>
    <w:rsid w:val="00656079"/>
    <w:rsid w:val="00656E35"/>
    <w:rsid w:val="006606CF"/>
    <w:rsid w:val="00660777"/>
    <w:rsid w:val="006612B3"/>
    <w:rsid w:val="006628B5"/>
    <w:rsid w:val="00662D6E"/>
    <w:rsid w:val="00663C09"/>
    <w:rsid w:val="00664760"/>
    <w:rsid w:val="006653CD"/>
    <w:rsid w:val="0066665E"/>
    <w:rsid w:val="00672BE8"/>
    <w:rsid w:val="00673DA1"/>
    <w:rsid w:val="00673FEB"/>
    <w:rsid w:val="006750CA"/>
    <w:rsid w:val="0067537D"/>
    <w:rsid w:val="006765FC"/>
    <w:rsid w:val="00676CB5"/>
    <w:rsid w:val="006777A0"/>
    <w:rsid w:val="0068042B"/>
    <w:rsid w:val="006807C5"/>
    <w:rsid w:val="00683795"/>
    <w:rsid w:val="00683C1E"/>
    <w:rsid w:val="00684107"/>
    <w:rsid w:val="00685C21"/>
    <w:rsid w:val="00686D4C"/>
    <w:rsid w:val="00687913"/>
    <w:rsid w:val="006901AC"/>
    <w:rsid w:val="00691EFC"/>
    <w:rsid w:val="006923EE"/>
    <w:rsid w:val="0069363E"/>
    <w:rsid w:val="00693A76"/>
    <w:rsid w:val="00694A76"/>
    <w:rsid w:val="006951FF"/>
    <w:rsid w:val="00697A71"/>
    <w:rsid w:val="006A00E8"/>
    <w:rsid w:val="006A0748"/>
    <w:rsid w:val="006A0B20"/>
    <w:rsid w:val="006A0C38"/>
    <w:rsid w:val="006A0F3C"/>
    <w:rsid w:val="006A24CA"/>
    <w:rsid w:val="006A4A6D"/>
    <w:rsid w:val="006A5C43"/>
    <w:rsid w:val="006A6BB3"/>
    <w:rsid w:val="006A7725"/>
    <w:rsid w:val="006A7979"/>
    <w:rsid w:val="006B0207"/>
    <w:rsid w:val="006B06C3"/>
    <w:rsid w:val="006B0757"/>
    <w:rsid w:val="006B0E19"/>
    <w:rsid w:val="006B11A8"/>
    <w:rsid w:val="006B594D"/>
    <w:rsid w:val="006B6121"/>
    <w:rsid w:val="006C1F20"/>
    <w:rsid w:val="006C309B"/>
    <w:rsid w:val="006C3AEA"/>
    <w:rsid w:val="006C44FB"/>
    <w:rsid w:val="006C66B9"/>
    <w:rsid w:val="006C79AE"/>
    <w:rsid w:val="006D005A"/>
    <w:rsid w:val="006D04AD"/>
    <w:rsid w:val="006D1237"/>
    <w:rsid w:val="006D1BC9"/>
    <w:rsid w:val="006D21BF"/>
    <w:rsid w:val="006D2335"/>
    <w:rsid w:val="006D244A"/>
    <w:rsid w:val="006D36A5"/>
    <w:rsid w:val="006D4520"/>
    <w:rsid w:val="006D4865"/>
    <w:rsid w:val="006D5EE5"/>
    <w:rsid w:val="006D60FB"/>
    <w:rsid w:val="006D678C"/>
    <w:rsid w:val="006D6BAD"/>
    <w:rsid w:val="006E1C7F"/>
    <w:rsid w:val="006E2852"/>
    <w:rsid w:val="006E5CA1"/>
    <w:rsid w:val="006F2CB5"/>
    <w:rsid w:val="006F3B7F"/>
    <w:rsid w:val="006F559A"/>
    <w:rsid w:val="006F6285"/>
    <w:rsid w:val="006F65A4"/>
    <w:rsid w:val="006F6F1C"/>
    <w:rsid w:val="006F78FA"/>
    <w:rsid w:val="00702366"/>
    <w:rsid w:val="00702E48"/>
    <w:rsid w:val="00707E39"/>
    <w:rsid w:val="007105A7"/>
    <w:rsid w:val="0071232F"/>
    <w:rsid w:val="007128F7"/>
    <w:rsid w:val="00713729"/>
    <w:rsid w:val="007142CB"/>
    <w:rsid w:val="00714360"/>
    <w:rsid w:val="00714634"/>
    <w:rsid w:val="0071495F"/>
    <w:rsid w:val="00714F42"/>
    <w:rsid w:val="00715543"/>
    <w:rsid w:val="00715681"/>
    <w:rsid w:val="00716BE6"/>
    <w:rsid w:val="00716D00"/>
    <w:rsid w:val="00717175"/>
    <w:rsid w:val="00717767"/>
    <w:rsid w:val="00720560"/>
    <w:rsid w:val="00720B10"/>
    <w:rsid w:val="00724D09"/>
    <w:rsid w:val="00725416"/>
    <w:rsid w:val="0072568D"/>
    <w:rsid w:val="00725A27"/>
    <w:rsid w:val="007273BB"/>
    <w:rsid w:val="0072786C"/>
    <w:rsid w:val="007279D3"/>
    <w:rsid w:val="0073033B"/>
    <w:rsid w:val="007320B9"/>
    <w:rsid w:val="007330AF"/>
    <w:rsid w:val="0073315E"/>
    <w:rsid w:val="007371A5"/>
    <w:rsid w:val="00737600"/>
    <w:rsid w:val="00740B55"/>
    <w:rsid w:val="007411DF"/>
    <w:rsid w:val="007412CD"/>
    <w:rsid w:val="00741A7A"/>
    <w:rsid w:val="0074294C"/>
    <w:rsid w:val="00743100"/>
    <w:rsid w:val="00743727"/>
    <w:rsid w:val="00743875"/>
    <w:rsid w:val="007443E7"/>
    <w:rsid w:val="00745631"/>
    <w:rsid w:val="00745E8B"/>
    <w:rsid w:val="007465B5"/>
    <w:rsid w:val="00746CA1"/>
    <w:rsid w:val="00746D6D"/>
    <w:rsid w:val="0074703E"/>
    <w:rsid w:val="0074724B"/>
    <w:rsid w:val="00750A29"/>
    <w:rsid w:val="00750E37"/>
    <w:rsid w:val="00750F22"/>
    <w:rsid w:val="00752472"/>
    <w:rsid w:val="007526E2"/>
    <w:rsid w:val="00752A63"/>
    <w:rsid w:val="007540BF"/>
    <w:rsid w:val="007554BA"/>
    <w:rsid w:val="00755550"/>
    <w:rsid w:val="007561AC"/>
    <w:rsid w:val="0075735B"/>
    <w:rsid w:val="00757761"/>
    <w:rsid w:val="0076098D"/>
    <w:rsid w:val="007613D7"/>
    <w:rsid w:val="007624CE"/>
    <w:rsid w:val="007626F8"/>
    <w:rsid w:val="007644A8"/>
    <w:rsid w:val="00764B2D"/>
    <w:rsid w:val="00765F16"/>
    <w:rsid w:val="00767209"/>
    <w:rsid w:val="00770DCB"/>
    <w:rsid w:val="0077123B"/>
    <w:rsid w:val="00773349"/>
    <w:rsid w:val="00775485"/>
    <w:rsid w:val="007757FC"/>
    <w:rsid w:val="00775F10"/>
    <w:rsid w:val="0077613C"/>
    <w:rsid w:val="00777F81"/>
    <w:rsid w:val="00780562"/>
    <w:rsid w:val="007832B9"/>
    <w:rsid w:val="00784280"/>
    <w:rsid w:val="00784B93"/>
    <w:rsid w:val="00785351"/>
    <w:rsid w:val="00790A86"/>
    <w:rsid w:val="00790F20"/>
    <w:rsid w:val="00791249"/>
    <w:rsid w:val="00793081"/>
    <w:rsid w:val="0079533B"/>
    <w:rsid w:val="007A0994"/>
    <w:rsid w:val="007A0CF4"/>
    <w:rsid w:val="007A154C"/>
    <w:rsid w:val="007A198D"/>
    <w:rsid w:val="007A2414"/>
    <w:rsid w:val="007A3205"/>
    <w:rsid w:val="007B18E1"/>
    <w:rsid w:val="007B282E"/>
    <w:rsid w:val="007B2996"/>
    <w:rsid w:val="007B2B7D"/>
    <w:rsid w:val="007B6709"/>
    <w:rsid w:val="007C2E8D"/>
    <w:rsid w:val="007C40B0"/>
    <w:rsid w:val="007C434B"/>
    <w:rsid w:val="007C4CED"/>
    <w:rsid w:val="007C501A"/>
    <w:rsid w:val="007C55B2"/>
    <w:rsid w:val="007C75EA"/>
    <w:rsid w:val="007D1150"/>
    <w:rsid w:val="007D1ACB"/>
    <w:rsid w:val="007D3419"/>
    <w:rsid w:val="007D4107"/>
    <w:rsid w:val="007D4944"/>
    <w:rsid w:val="007D4EDA"/>
    <w:rsid w:val="007D5861"/>
    <w:rsid w:val="007D7F42"/>
    <w:rsid w:val="007E1387"/>
    <w:rsid w:val="007E16E4"/>
    <w:rsid w:val="007E22B4"/>
    <w:rsid w:val="007E240D"/>
    <w:rsid w:val="007E3AFF"/>
    <w:rsid w:val="007E4DA1"/>
    <w:rsid w:val="007E5376"/>
    <w:rsid w:val="007E5AAF"/>
    <w:rsid w:val="007E5B88"/>
    <w:rsid w:val="007E5E1A"/>
    <w:rsid w:val="007E6589"/>
    <w:rsid w:val="007E694D"/>
    <w:rsid w:val="007E7E95"/>
    <w:rsid w:val="007F0D0B"/>
    <w:rsid w:val="007F1D75"/>
    <w:rsid w:val="007F2CE5"/>
    <w:rsid w:val="007F2E4A"/>
    <w:rsid w:val="007F37AC"/>
    <w:rsid w:val="007F39D5"/>
    <w:rsid w:val="007F5013"/>
    <w:rsid w:val="007F5EFC"/>
    <w:rsid w:val="007F672C"/>
    <w:rsid w:val="007F7923"/>
    <w:rsid w:val="008007A8"/>
    <w:rsid w:val="00801A93"/>
    <w:rsid w:val="00803584"/>
    <w:rsid w:val="008036EF"/>
    <w:rsid w:val="008042D9"/>
    <w:rsid w:val="00805871"/>
    <w:rsid w:val="00807009"/>
    <w:rsid w:val="008071C6"/>
    <w:rsid w:val="00807338"/>
    <w:rsid w:val="00807B8B"/>
    <w:rsid w:val="00812F85"/>
    <w:rsid w:val="00814C8F"/>
    <w:rsid w:val="00814FC0"/>
    <w:rsid w:val="0081675C"/>
    <w:rsid w:val="00820E80"/>
    <w:rsid w:val="008214F7"/>
    <w:rsid w:val="008219C3"/>
    <w:rsid w:val="008219E3"/>
    <w:rsid w:val="00821D26"/>
    <w:rsid w:val="00821E73"/>
    <w:rsid w:val="00822548"/>
    <w:rsid w:val="00824373"/>
    <w:rsid w:val="00825D10"/>
    <w:rsid w:val="00826762"/>
    <w:rsid w:val="0082694E"/>
    <w:rsid w:val="008276A4"/>
    <w:rsid w:val="0083048D"/>
    <w:rsid w:val="008321E8"/>
    <w:rsid w:val="008328E9"/>
    <w:rsid w:val="00832DA4"/>
    <w:rsid w:val="008330E9"/>
    <w:rsid w:val="00834FF0"/>
    <w:rsid w:val="00840A3B"/>
    <w:rsid w:val="00844AC2"/>
    <w:rsid w:val="0084572F"/>
    <w:rsid w:val="00846226"/>
    <w:rsid w:val="0084790A"/>
    <w:rsid w:val="00847CA4"/>
    <w:rsid w:val="00847FF6"/>
    <w:rsid w:val="00850840"/>
    <w:rsid w:val="0085131D"/>
    <w:rsid w:val="00852430"/>
    <w:rsid w:val="0085358C"/>
    <w:rsid w:val="0085411E"/>
    <w:rsid w:val="00854CD0"/>
    <w:rsid w:val="0085504E"/>
    <w:rsid w:val="00855688"/>
    <w:rsid w:val="008559A7"/>
    <w:rsid w:val="00857A90"/>
    <w:rsid w:val="00860E46"/>
    <w:rsid w:val="00861360"/>
    <w:rsid w:val="0086145E"/>
    <w:rsid w:val="00863614"/>
    <w:rsid w:val="008657D0"/>
    <w:rsid w:val="00865947"/>
    <w:rsid w:val="008724DE"/>
    <w:rsid w:val="00874594"/>
    <w:rsid w:val="00874630"/>
    <w:rsid w:val="00874724"/>
    <w:rsid w:val="00875FE9"/>
    <w:rsid w:val="00877487"/>
    <w:rsid w:val="00877705"/>
    <w:rsid w:val="0088043E"/>
    <w:rsid w:val="00880EC2"/>
    <w:rsid w:val="00881A50"/>
    <w:rsid w:val="008824B7"/>
    <w:rsid w:val="00883252"/>
    <w:rsid w:val="0088394F"/>
    <w:rsid w:val="00885742"/>
    <w:rsid w:val="00886763"/>
    <w:rsid w:val="00887753"/>
    <w:rsid w:val="0088795E"/>
    <w:rsid w:val="0089021A"/>
    <w:rsid w:val="0089059C"/>
    <w:rsid w:val="0089094A"/>
    <w:rsid w:val="00892833"/>
    <w:rsid w:val="0089303C"/>
    <w:rsid w:val="008A0DF3"/>
    <w:rsid w:val="008A1624"/>
    <w:rsid w:val="008A37E6"/>
    <w:rsid w:val="008A3D57"/>
    <w:rsid w:val="008A3D72"/>
    <w:rsid w:val="008A3E71"/>
    <w:rsid w:val="008A5E4F"/>
    <w:rsid w:val="008A757F"/>
    <w:rsid w:val="008A7A1E"/>
    <w:rsid w:val="008A7B36"/>
    <w:rsid w:val="008A7DA2"/>
    <w:rsid w:val="008B0224"/>
    <w:rsid w:val="008B23BC"/>
    <w:rsid w:val="008B2D0F"/>
    <w:rsid w:val="008B2D7B"/>
    <w:rsid w:val="008C03E9"/>
    <w:rsid w:val="008C12BE"/>
    <w:rsid w:val="008C2368"/>
    <w:rsid w:val="008C2540"/>
    <w:rsid w:val="008C2577"/>
    <w:rsid w:val="008C25AD"/>
    <w:rsid w:val="008C2BF6"/>
    <w:rsid w:val="008C3D13"/>
    <w:rsid w:val="008C3DAB"/>
    <w:rsid w:val="008C3F56"/>
    <w:rsid w:val="008C705A"/>
    <w:rsid w:val="008C7D45"/>
    <w:rsid w:val="008D0312"/>
    <w:rsid w:val="008D041A"/>
    <w:rsid w:val="008D1660"/>
    <w:rsid w:val="008D1E3A"/>
    <w:rsid w:val="008D2BB4"/>
    <w:rsid w:val="008D3E2D"/>
    <w:rsid w:val="008D54F6"/>
    <w:rsid w:val="008D7321"/>
    <w:rsid w:val="008D75D5"/>
    <w:rsid w:val="008E0C76"/>
    <w:rsid w:val="008E221A"/>
    <w:rsid w:val="008E2597"/>
    <w:rsid w:val="008E3D60"/>
    <w:rsid w:val="008E3F4C"/>
    <w:rsid w:val="008E5D6F"/>
    <w:rsid w:val="008E6255"/>
    <w:rsid w:val="008E6890"/>
    <w:rsid w:val="008E6BCE"/>
    <w:rsid w:val="008E78D4"/>
    <w:rsid w:val="008E7C59"/>
    <w:rsid w:val="008F0007"/>
    <w:rsid w:val="008F0509"/>
    <w:rsid w:val="008F1A1A"/>
    <w:rsid w:val="008F25C1"/>
    <w:rsid w:val="008F2D64"/>
    <w:rsid w:val="008F3EA9"/>
    <w:rsid w:val="008F6B7B"/>
    <w:rsid w:val="008F720B"/>
    <w:rsid w:val="008F7D66"/>
    <w:rsid w:val="009000CE"/>
    <w:rsid w:val="0090030B"/>
    <w:rsid w:val="0090165F"/>
    <w:rsid w:val="00901B82"/>
    <w:rsid w:val="009022EF"/>
    <w:rsid w:val="00902351"/>
    <w:rsid w:val="00902609"/>
    <w:rsid w:val="00903BE4"/>
    <w:rsid w:val="0090660F"/>
    <w:rsid w:val="009109BA"/>
    <w:rsid w:val="009112BC"/>
    <w:rsid w:val="00912B09"/>
    <w:rsid w:val="00914A0D"/>
    <w:rsid w:val="00914AEB"/>
    <w:rsid w:val="009168C6"/>
    <w:rsid w:val="00916AE1"/>
    <w:rsid w:val="00917033"/>
    <w:rsid w:val="009178BD"/>
    <w:rsid w:val="00917CBD"/>
    <w:rsid w:val="009223DC"/>
    <w:rsid w:val="00923C70"/>
    <w:rsid w:val="0092574E"/>
    <w:rsid w:val="00925BDF"/>
    <w:rsid w:val="00926017"/>
    <w:rsid w:val="00931ADF"/>
    <w:rsid w:val="00934774"/>
    <w:rsid w:val="00934CF3"/>
    <w:rsid w:val="0093571A"/>
    <w:rsid w:val="00937927"/>
    <w:rsid w:val="00941057"/>
    <w:rsid w:val="00942C42"/>
    <w:rsid w:val="009435C1"/>
    <w:rsid w:val="00944460"/>
    <w:rsid w:val="00945B95"/>
    <w:rsid w:val="0094768D"/>
    <w:rsid w:val="009501F4"/>
    <w:rsid w:val="009537BF"/>
    <w:rsid w:val="009539C4"/>
    <w:rsid w:val="009539CB"/>
    <w:rsid w:val="00953D4F"/>
    <w:rsid w:val="00953E6E"/>
    <w:rsid w:val="00955075"/>
    <w:rsid w:val="009552A9"/>
    <w:rsid w:val="00956BEA"/>
    <w:rsid w:val="00956EBF"/>
    <w:rsid w:val="0095792C"/>
    <w:rsid w:val="00960435"/>
    <w:rsid w:val="0096051E"/>
    <w:rsid w:val="00964485"/>
    <w:rsid w:val="00964715"/>
    <w:rsid w:val="00966C2F"/>
    <w:rsid w:val="009674FA"/>
    <w:rsid w:val="009701FB"/>
    <w:rsid w:val="00970B7A"/>
    <w:rsid w:val="009712CC"/>
    <w:rsid w:val="00971F2C"/>
    <w:rsid w:val="009728B4"/>
    <w:rsid w:val="00973F38"/>
    <w:rsid w:val="009740AB"/>
    <w:rsid w:val="0097512B"/>
    <w:rsid w:val="0097624E"/>
    <w:rsid w:val="009769B8"/>
    <w:rsid w:val="00977051"/>
    <w:rsid w:val="00977238"/>
    <w:rsid w:val="0097785D"/>
    <w:rsid w:val="00980E6A"/>
    <w:rsid w:val="00981A7A"/>
    <w:rsid w:val="00982024"/>
    <w:rsid w:val="00984483"/>
    <w:rsid w:val="009845B4"/>
    <w:rsid w:val="00985204"/>
    <w:rsid w:val="00986833"/>
    <w:rsid w:val="0098756F"/>
    <w:rsid w:val="00987BF6"/>
    <w:rsid w:val="00987D1B"/>
    <w:rsid w:val="009903FB"/>
    <w:rsid w:val="009906F1"/>
    <w:rsid w:val="00992FCE"/>
    <w:rsid w:val="00993375"/>
    <w:rsid w:val="00993425"/>
    <w:rsid w:val="00993ABB"/>
    <w:rsid w:val="00994642"/>
    <w:rsid w:val="00994DF9"/>
    <w:rsid w:val="00995308"/>
    <w:rsid w:val="009969A8"/>
    <w:rsid w:val="00997291"/>
    <w:rsid w:val="009A005E"/>
    <w:rsid w:val="009A1E16"/>
    <w:rsid w:val="009A1FB0"/>
    <w:rsid w:val="009A45EC"/>
    <w:rsid w:val="009A4655"/>
    <w:rsid w:val="009A4CDE"/>
    <w:rsid w:val="009A5AFD"/>
    <w:rsid w:val="009A5C40"/>
    <w:rsid w:val="009B209C"/>
    <w:rsid w:val="009B29F4"/>
    <w:rsid w:val="009B2E2E"/>
    <w:rsid w:val="009B2F41"/>
    <w:rsid w:val="009B4054"/>
    <w:rsid w:val="009B4601"/>
    <w:rsid w:val="009B4CA5"/>
    <w:rsid w:val="009B5DE3"/>
    <w:rsid w:val="009B797B"/>
    <w:rsid w:val="009C091C"/>
    <w:rsid w:val="009C1050"/>
    <w:rsid w:val="009C1B6D"/>
    <w:rsid w:val="009C2408"/>
    <w:rsid w:val="009C4E77"/>
    <w:rsid w:val="009C79F2"/>
    <w:rsid w:val="009D001E"/>
    <w:rsid w:val="009D0848"/>
    <w:rsid w:val="009D0DC5"/>
    <w:rsid w:val="009D5A83"/>
    <w:rsid w:val="009D5D5C"/>
    <w:rsid w:val="009D67F6"/>
    <w:rsid w:val="009D6A78"/>
    <w:rsid w:val="009D7064"/>
    <w:rsid w:val="009D7EDB"/>
    <w:rsid w:val="009E0FE1"/>
    <w:rsid w:val="009E11BD"/>
    <w:rsid w:val="009E2162"/>
    <w:rsid w:val="009E465B"/>
    <w:rsid w:val="009E4A6E"/>
    <w:rsid w:val="009E4A85"/>
    <w:rsid w:val="009E4FE0"/>
    <w:rsid w:val="009E58AA"/>
    <w:rsid w:val="009E63AC"/>
    <w:rsid w:val="009F107C"/>
    <w:rsid w:val="009F158D"/>
    <w:rsid w:val="009F58AE"/>
    <w:rsid w:val="009F62F2"/>
    <w:rsid w:val="009F74BE"/>
    <w:rsid w:val="00A0034C"/>
    <w:rsid w:val="00A0227A"/>
    <w:rsid w:val="00A02B70"/>
    <w:rsid w:val="00A03F94"/>
    <w:rsid w:val="00A0406E"/>
    <w:rsid w:val="00A0438D"/>
    <w:rsid w:val="00A0482E"/>
    <w:rsid w:val="00A05602"/>
    <w:rsid w:val="00A05E7E"/>
    <w:rsid w:val="00A07FE0"/>
    <w:rsid w:val="00A107D0"/>
    <w:rsid w:val="00A10D91"/>
    <w:rsid w:val="00A10DAB"/>
    <w:rsid w:val="00A11307"/>
    <w:rsid w:val="00A117D4"/>
    <w:rsid w:val="00A124D4"/>
    <w:rsid w:val="00A12849"/>
    <w:rsid w:val="00A1375B"/>
    <w:rsid w:val="00A13AF3"/>
    <w:rsid w:val="00A13BCA"/>
    <w:rsid w:val="00A144BF"/>
    <w:rsid w:val="00A15552"/>
    <w:rsid w:val="00A175FC"/>
    <w:rsid w:val="00A21388"/>
    <w:rsid w:val="00A23AE4"/>
    <w:rsid w:val="00A260CB"/>
    <w:rsid w:val="00A27791"/>
    <w:rsid w:val="00A313D5"/>
    <w:rsid w:val="00A31D7F"/>
    <w:rsid w:val="00A324D6"/>
    <w:rsid w:val="00A33592"/>
    <w:rsid w:val="00A33A95"/>
    <w:rsid w:val="00A34EE6"/>
    <w:rsid w:val="00A35D46"/>
    <w:rsid w:val="00A4078F"/>
    <w:rsid w:val="00A41355"/>
    <w:rsid w:val="00A41892"/>
    <w:rsid w:val="00A42A6D"/>
    <w:rsid w:val="00A43829"/>
    <w:rsid w:val="00A43B62"/>
    <w:rsid w:val="00A43B92"/>
    <w:rsid w:val="00A44993"/>
    <w:rsid w:val="00A4535C"/>
    <w:rsid w:val="00A45846"/>
    <w:rsid w:val="00A46499"/>
    <w:rsid w:val="00A4745D"/>
    <w:rsid w:val="00A479F6"/>
    <w:rsid w:val="00A47BCA"/>
    <w:rsid w:val="00A503CD"/>
    <w:rsid w:val="00A507F6"/>
    <w:rsid w:val="00A512AB"/>
    <w:rsid w:val="00A522B8"/>
    <w:rsid w:val="00A54251"/>
    <w:rsid w:val="00A54676"/>
    <w:rsid w:val="00A54F55"/>
    <w:rsid w:val="00A56800"/>
    <w:rsid w:val="00A57270"/>
    <w:rsid w:val="00A5758A"/>
    <w:rsid w:val="00A578EC"/>
    <w:rsid w:val="00A57BA1"/>
    <w:rsid w:val="00A6179E"/>
    <w:rsid w:val="00A62A8A"/>
    <w:rsid w:val="00A62B84"/>
    <w:rsid w:val="00A634FF"/>
    <w:rsid w:val="00A63F78"/>
    <w:rsid w:val="00A64316"/>
    <w:rsid w:val="00A6478B"/>
    <w:rsid w:val="00A64F9C"/>
    <w:rsid w:val="00A6534A"/>
    <w:rsid w:val="00A65DD2"/>
    <w:rsid w:val="00A66682"/>
    <w:rsid w:val="00A67989"/>
    <w:rsid w:val="00A71A6B"/>
    <w:rsid w:val="00A71EBE"/>
    <w:rsid w:val="00A73504"/>
    <w:rsid w:val="00A74D4E"/>
    <w:rsid w:val="00A754A7"/>
    <w:rsid w:val="00A75709"/>
    <w:rsid w:val="00A758BA"/>
    <w:rsid w:val="00A804D9"/>
    <w:rsid w:val="00A81521"/>
    <w:rsid w:val="00A8184A"/>
    <w:rsid w:val="00A82103"/>
    <w:rsid w:val="00A84A1A"/>
    <w:rsid w:val="00A85311"/>
    <w:rsid w:val="00A8763A"/>
    <w:rsid w:val="00A9054D"/>
    <w:rsid w:val="00A90E30"/>
    <w:rsid w:val="00A92000"/>
    <w:rsid w:val="00A9280B"/>
    <w:rsid w:val="00A92F92"/>
    <w:rsid w:val="00A957A6"/>
    <w:rsid w:val="00A95B3F"/>
    <w:rsid w:val="00A96892"/>
    <w:rsid w:val="00A96C7A"/>
    <w:rsid w:val="00A97042"/>
    <w:rsid w:val="00A974D0"/>
    <w:rsid w:val="00A9752A"/>
    <w:rsid w:val="00A97DA0"/>
    <w:rsid w:val="00AA12DB"/>
    <w:rsid w:val="00AA1BAF"/>
    <w:rsid w:val="00AA2051"/>
    <w:rsid w:val="00AA486E"/>
    <w:rsid w:val="00AA4C22"/>
    <w:rsid w:val="00AA5107"/>
    <w:rsid w:val="00AA62D4"/>
    <w:rsid w:val="00AA68DC"/>
    <w:rsid w:val="00AB2279"/>
    <w:rsid w:val="00AB2645"/>
    <w:rsid w:val="00AB3C87"/>
    <w:rsid w:val="00AB403D"/>
    <w:rsid w:val="00AB441C"/>
    <w:rsid w:val="00AB4528"/>
    <w:rsid w:val="00AB5744"/>
    <w:rsid w:val="00AB6041"/>
    <w:rsid w:val="00AB718B"/>
    <w:rsid w:val="00AC0B54"/>
    <w:rsid w:val="00AC226A"/>
    <w:rsid w:val="00AC2DA0"/>
    <w:rsid w:val="00AC357A"/>
    <w:rsid w:val="00AC4315"/>
    <w:rsid w:val="00AC5971"/>
    <w:rsid w:val="00AC784E"/>
    <w:rsid w:val="00AD45B1"/>
    <w:rsid w:val="00AD5456"/>
    <w:rsid w:val="00AD59A1"/>
    <w:rsid w:val="00AE329A"/>
    <w:rsid w:val="00AE600D"/>
    <w:rsid w:val="00AE6792"/>
    <w:rsid w:val="00AE7EBA"/>
    <w:rsid w:val="00AF1054"/>
    <w:rsid w:val="00AF12BF"/>
    <w:rsid w:val="00AF1AB3"/>
    <w:rsid w:val="00AF56BB"/>
    <w:rsid w:val="00AF5B2C"/>
    <w:rsid w:val="00AF600E"/>
    <w:rsid w:val="00AF7BDA"/>
    <w:rsid w:val="00B002A7"/>
    <w:rsid w:val="00B01994"/>
    <w:rsid w:val="00B01AB2"/>
    <w:rsid w:val="00B02577"/>
    <w:rsid w:val="00B02EAA"/>
    <w:rsid w:val="00B056AD"/>
    <w:rsid w:val="00B05FA2"/>
    <w:rsid w:val="00B0769D"/>
    <w:rsid w:val="00B10024"/>
    <w:rsid w:val="00B11487"/>
    <w:rsid w:val="00B12266"/>
    <w:rsid w:val="00B122C7"/>
    <w:rsid w:val="00B126D9"/>
    <w:rsid w:val="00B14DD2"/>
    <w:rsid w:val="00B15C4F"/>
    <w:rsid w:val="00B221E5"/>
    <w:rsid w:val="00B226AD"/>
    <w:rsid w:val="00B2288C"/>
    <w:rsid w:val="00B23967"/>
    <w:rsid w:val="00B23B4C"/>
    <w:rsid w:val="00B24004"/>
    <w:rsid w:val="00B24B1D"/>
    <w:rsid w:val="00B24FEA"/>
    <w:rsid w:val="00B25411"/>
    <w:rsid w:val="00B277E0"/>
    <w:rsid w:val="00B32D3D"/>
    <w:rsid w:val="00B32D87"/>
    <w:rsid w:val="00B3344F"/>
    <w:rsid w:val="00B3414F"/>
    <w:rsid w:val="00B3462F"/>
    <w:rsid w:val="00B34946"/>
    <w:rsid w:val="00B34A61"/>
    <w:rsid w:val="00B34BCB"/>
    <w:rsid w:val="00B35BAC"/>
    <w:rsid w:val="00B36FB9"/>
    <w:rsid w:val="00B37C40"/>
    <w:rsid w:val="00B40DA2"/>
    <w:rsid w:val="00B4310F"/>
    <w:rsid w:val="00B43479"/>
    <w:rsid w:val="00B4356C"/>
    <w:rsid w:val="00B43B7C"/>
    <w:rsid w:val="00B43FBD"/>
    <w:rsid w:val="00B45321"/>
    <w:rsid w:val="00B4678C"/>
    <w:rsid w:val="00B467FA"/>
    <w:rsid w:val="00B46DC7"/>
    <w:rsid w:val="00B47EB1"/>
    <w:rsid w:val="00B516F9"/>
    <w:rsid w:val="00B519FD"/>
    <w:rsid w:val="00B51FD1"/>
    <w:rsid w:val="00B520BC"/>
    <w:rsid w:val="00B5277F"/>
    <w:rsid w:val="00B52781"/>
    <w:rsid w:val="00B53A74"/>
    <w:rsid w:val="00B542F1"/>
    <w:rsid w:val="00B54EFD"/>
    <w:rsid w:val="00B557C0"/>
    <w:rsid w:val="00B557D6"/>
    <w:rsid w:val="00B56C1C"/>
    <w:rsid w:val="00B56F9C"/>
    <w:rsid w:val="00B60326"/>
    <w:rsid w:val="00B6144C"/>
    <w:rsid w:val="00B61ED0"/>
    <w:rsid w:val="00B63BD4"/>
    <w:rsid w:val="00B63D24"/>
    <w:rsid w:val="00B6450F"/>
    <w:rsid w:val="00B64EA8"/>
    <w:rsid w:val="00B65ED3"/>
    <w:rsid w:val="00B67B37"/>
    <w:rsid w:val="00B71243"/>
    <w:rsid w:val="00B719B2"/>
    <w:rsid w:val="00B71AFF"/>
    <w:rsid w:val="00B727A1"/>
    <w:rsid w:val="00B756E7"/>
    <w:rsid w:val="00B75E91"/>
    <w:rsid w:val="00B76C18"/>
    <w:rsid w:val="00B770D3"/>
    <w:rsid w:val="00B77343"/>
    <w:rsid w:val="00B77EC4"/>
    <w:rsid w:val="00B844FD"/>
    <w:rsid w:val="00B84880"/>
    <w:rsid w:val="00B86606"/>
    <w:rsid w:val="00B867C3"/>
    <w:rsid w:val="00B86C9D"/>
    <w:rsid w:val="00B924E6"/>
    <w:rsid w:val="00B938A7"/>
    <w:rsid w:val="00B93940"/>
    <w:rsid w:val="00B956B9"/>
    <w:rsid w:val="00B959CE"/>
    <w:rsid w:val="00BA004E"/>
    <w:rsid w:val="00BA1B74"/>
    <w:rsid w:val="00BA262D"/>
    <w:rsid w:val="00BA2894"/>
    <w:rsid w:val="00BA5698"/>
    <w:rsid w:val="00BA57BB"/>
    <w:rsid w:val="00BA5C7F"/>
    <w:rsid w:val="00BA6382"/>
    <w:rsid w:val="00BA7FC9"/>
    <w:rsid w:val="00BB168B"/>
    <w:rsid w:val="00BB18AB"/>
    <w:rsid w:val="00BB1D9C"/>
    <w:rsid w:val="00BB2F88"/>
    <w:rsid w:val="00BB448C"/>
    <w:rsid w:val="00BB5A3E"/>
    <w:rsid w:val="00BC2DB9"/>
    <w:rsid w:val="00BC3A01"/>
    <w:rsid w:val="00BC4881"/>
    <w:rsid w:val="00BC79EB"/>
    <w:rsid w:val="00BD33EB"/>
    <w:rsid w:val="00BD4D68"/>
    <w:rsid w:val="00BD5160"/>
    <w:rsid w:val="00BD581C"/>
    <w:rsid w:val="00BD7FCF"/>
    <w:rsid w:val="00BE167F"/>
    <w:rsid w:val="00BE3E75"/>
    <w:rsid w:val="00BE3EE5"/>
    <w:rsid w:val="00BE4CFB"/>
    <w:rsid w:val="00BE75A5"/>
    <w:rsid w:val="00BF0626"/>
    <w:rsid w:val="00BF2840"/>
    <w:rsid w:val="00BF288F"/>
    <w:rsid w:val="00BF323C"/>
    <w:rsid w:val="00BF4876"/>
    <w:rsid w:val="00BF73DD"/>
    <w:rsid w:val="00BF7490"/>
    <w:rsid w:val="00BF7A9B"/>
    <w:rsid w:val="00C006DD"/>
    <w:rsid w:val="00C008DC"/>
    <w:rsid w:val="00C0162E"/>
    <w:rsid w:val="00C025DD"/>
    <w:rsid w:val="00C026E3"/>
    <w:rsid w:val="00C02F0D"/>
    <w:rsid w:val="00C03839"/>
    <w:rsid w:val="00C03B93"/>
    <w:rsid w:val="00C041C7"/>
    <w:rsid w:val="00C0442F"/>
    <w:rsid w:val="00C04BD0"/>
    <w:rsid w:val="00C051A5"/>
    <w:rsid w:val="00C053B9"/>
    <w:rsid w:val="00C057CA"/>
    <w:rsid w:val="00C0632D"/>
    <w:rsid w:val="00C06574"/>
    <w:rsid w:val="00C0671E"/>
    <w:rsid w:val="00C06F17"/>
    <w:rsid w:val="00C07955"/>
    <w:rsid w:val="00C10889"/>
    <w:rsid w:val="00C1208A"/>
    <w:rsid w:val="00C12458"/>
    <w:rsid w:val="00C12A96"/>
    <w:rsid w:val="00C132C6"/>
    <w:rsid w:val="00C146D9"/>
    <w:rsid w:val="00C16653"/>
    <w:rsid w:val="00C17074"/>
    <w:rsid w:val="00C21353"/>
    <w:rsid w:val="00C21AE9"/>
    <w:rsid w:val="00C231CC"/>
    <w:rsid w:val="00C24B57"/>
    <w:rsid w:val="00C254EA"/>
    <w:rsid w:val="00C25BDA"/>
    <w:rsid w:val="00C2618F"/>
    <w:rsid w:val="00C267A5"/>
    <w:rsid w:val="00C32875"/>
    <w:rsid w:val="00C32922"/>
    <w:rsid w:val="00C329BB"/>
    <w:rsid w:val="00C33104"/>
    <w:rsid w:val="00C338F3"/>
    <w:rsid w:val="00C34AE8"/>
    <w:rsid w:val="00C36081"/>
    <w:rsid w:val="00C36F85"/>
    <w:rsid w:val="00C37A78"/>
    <w:rsid w:val="00C40616"/>
    <w:rsid w:val="00C40844"/>
    <w:rsid w:val="00C408AE"/>
    <w:rsid w:val="00C40F70"/>
    <w:rsid w:val="00C4199C"/>
    <w:rsid w:val="00C428CE"/>
    <w:rsid w:val="00C43F2D"/>
    <w:rsid w:val="00C448AE"/>
    <w:rsid w:val="00C46CC2"/>
    <w:rsid w:val="00C478B5"/>
    <w:rsid w:val="00C50021"/>
    <w:rsid w:val="00C50889"/>
    <w:rsid w:val="00C51D88"/>
    <w:rsid w:val="00C52C27"/>
    <w:rsid w:val="00C52DEF"/>
    <w:rsid w:val="00C53135"/>
    <w:rsid w:val="00C534A0"/>
    <w:rsid w:val="00C540A2"/>
    <w:rsid w:val="00C555EF"/>
    <w:rsid w:val="00C5563E"/>
    <w:rsid w:val="00C56360"/>
    <w:rsid w:val="00C56571"/>
    <w:rsid w:val="00C57EA8"/>
    <w:rsid w:val="00C64291"/>
    <w:rsid w:val="00C64693"/>
    <w:rsid w:val="00C65ADC"/>
    <w:rsid w:val="00C6613D"/>
    <w:rsid w:val="00C7247C"/>
    <w:rsid w:val="00C747A2"/>
    <w:rsid w:val="00C75B72"/>
    <w:rsid w:val="00C75C38"/>
    <w:rsid w:val="00C766DE"/>
    <w:rsid w:val="00C81928"/>
    <w:rsid w:val="00C82D35"/>
    <w:rsid w:val="00C82DCD"/>
    <w:rsid w:val="00C83F19"/>
    <w:rsid w:val="00C854D4"/>
    <w:rsid w:val="00C8604E"/>
    <w:rsid w:val="00C865CA"/>
    <w:rsid w:val="00C867CF"/>
    <w:rsid w:val="00C8778B"/>
    <w:rsid w:val="00C87E6E"/>
    <w:rsid w:val="00C90556"/>
    <w:rsid w:val="00C90E5B"/>
    <w:rsid w:val="00C91C76"/>
    <w:rsid w:val="00C91E4D"/>
    <w:rsid w:val="00C91E87"/>
    <w:rsid w:val="00C92A86"/>
    <w:rsid w:val="00C93646"/>
    <w:rsid w:val="00C942B3"/>
    <w:rsid w:val="00C94465"/>
    <w:rsid w:val="00C964A4"/>
    <w:rsid w:val="00C971FF"/>
    <w:rsid w:val="00CA04B2"/>
    <w:rsid w:val="00CA0D78"/>
    <w:rsid w:val="00CA0E2B"/>
    <w:rsid w:val="00CA1F0B"/>
    <w:rsid w:val="00CA2765"/>
    <w:rsid w:val="00CA2B31"/>
    <w:rsid w:val="00CA30AB"/>
    <w:rsid w:val="00CA4855"/>
    <w:rsid w:val="00CA51A9"/>
    <w:rsid w:val="00CA6B63"/>
    <w:rsid w:val="00CA6F6C"/>
    <w:rsid w:val="00CB116D"/>
    <w:rsid w:val="00CB1C85"/>
    <w:rsid w:val="00CB24FE"/>
    <w:rsid w:val="00CB4413"/>
    <w:rsid w:val="00CB47F9"/>
    <w:rsid w:val="00CB5288"/>
    <w:rsid w:val="00CB7C13"/>
    <w:rsid w:val="00CB7F90"/>
    <w:rsid w:val="00CC0AF9"/>
    <w:rsid w:val="00CC1EE9"/>
    <w:rsid w:val="00CC20EE"/>
    <w:rsid w:val="00CC24A5"/>
    <w:rsid w:val="00CC2D91"/>
    <w:rsid w:val="00CC3623"/>
    <w:rsid w:val="00CC42FE"/>
    <w:rsid w:val="00CC431E"/>
    <w:rsid w:val="00CC7DF1"/>
    <w:rsid w:val="00CD0195"/>
    <w:rsid w:val="00CD1C6F"/>
    <w:rsid w:val="00CD3865"/>
    <w:rsid w:val="00CD58FD"/>
    <w:rsid w:val="00CE2228"/>
    <w:rsid w:val="00CE286B"/>
    <w:rsid w:val="00CE2910"/>
    <w:rsid w:val="00CE5DF4"/>
    <w:rsid w:val="00CE7485"/>
    <w:rsid w:val="00CF2417"/>
    <w:rsid w:val="00CF2794"/>
    <w:rsid w:val="00CF4B31"/>
    <w:rsid w:val="00CF4E64"/>
    <w:rsid w:val="00CF58F6"/>
    <w:rsid w:val="00CF614D"/>
    <w:rsid w:val="00D02236"/>
    <w:rsid w:val="00D036CC"/>
    <w:rsid w:val="00D051DE"/>
    <w:rsid w:val="00D07238"/>
    <w:rsid w:val="00D07C08"/>
    <w:rsid w:val="00D10F54"/>
    <w:rsid w:val="00D12253"/>
    <w:rsid w:val="00D134B7"/>
    <w:rsid w:val="00D13533"/>
    <w:rsid w:val="00D1586B"/>
    <w:rsid w:val="00D160E4"/>
    <w:rsid w:val="00D1683A"/>
    <w:rsid w:val="00D170A3"/>
    <w:rsid w:val="00D17C18"/>
    <w:rsid w:val="00D20F40"/>
    <w:rsid w:val="00D218CD"/>
    <w:rsid w:val="00D224A9"/>
    <w:rsid w:val="00D23673"/>
    <w:rsid w:val="00D25313"/>
    <w:rsid w:val="00D26A2D"/>
    <w:rsid w:val="00D26AFE"/>
    <w:rsid w:val="00D272C1"/>
    <w:rsid w:val="00D3041C"/>
    <w:rsid w:val="00D30532"/>
    <w:rsid w:val="00D30A61"/>
    <w:rsid w:val="00D31443"/>
    <w:rsid w:val="00D315F5"/>
    <w:rsid w:val="00D33573"/>
    <w:rsid w:val="00D3434C"/>
    <w:rsid w:val="00D343F2"/>
    <w:rsid w:val="00D343FA"/>
    <w:rsid w:val="00D34979"/>
    <w:rsid w:val="00D359B7"/>
    <w:rsid w:val="00D362A7"/>
    <w:rsid w:val="00D36759"/>
    <w:rsid w:val="00D379EF"/>
    <w:rsid w:val="00D406B7"/>
    <w:rsid w:val="00D409C4"/>
    <w:rsid w:val="00D418FF"/>
    <w:rsid w:val="00D41DB6"/>
    <w:rsid w:val="00D42EF2"/>
    <w:rsid w:val="00D42FE0"/>
    <w:rsid w:val="00D432E2"/>
    <w:rsid w:val="00D43698"/>
    <w:rsid w:val="00D43A84"/>
    <w:rsid w:val="00D43FD7"/>
    <w:rsid w:val="00D4410A"/>
    <w:rsid w:val="00D4655E"/>
    <w:rsid w:val="00D46F21"/>
    <w:rsid w:val="00D4763B"/>
    <w:rsid w:val="00D478D2"/>
    <w:rsid w:val="00D50664"/>
    <w:rsid w:val="00D5331E"/>
    <w:rsid w:val="00D53321"/>
    <w:rsid w:val="00D5399D"/>
    <w:rsid w:val="00D54D03"/>
    <w:rsid w:val="00D556C3"/>
    <w:rsid w:val="00D56F98"/>
    <w:rsid w:val="00D57129"/>
    <w:rsid w:val="00D57161"/>
    <w:rsid w:val="00D6034B"/>
    <w:rsid w:val="00D60982"/>
    <w:rsid w:val="00D63682"/>
    <w:rsid w:val="00D64874"/>
    <w:rsid w:val="00D6564B"/>
    <w:rsid w:val="00D65C76"/>
    <w:rsid w:val="00D7025F"/>
    <w:rsid w:val="00D72687"/>
    <w:rsid w:val="00D729AD"/>
    <w:rsid w:val="00D734C7"/>
    <w:rsid w:val="00D739CB"/>
    <w:rsid w:val="00D766AD"/>
    <w:rsid w:val="00D770E5"/>
    <w:rsid w:val="00D77536"/>
    <w:rsid w:val="00D80E99"/>
    <w:rsid w:val="00D8116A"/>
    <w:rsid w:val="00D84573"/>
    <w:rsid w:val="00D857A0"/>
    <w:rsid w:val="00D86022"/>
    <w:rsid w:val="00D87284"/>
    <w:rsid w:val="00D90278"/>
    <w:rsid w:val="00D9032C"/>
    <w:rsid w:val="00D90A40"/>
    <w:rsid w:val="00D91678"/>
    <w:rsid w:val="00D94121"/>
    <w:rsid w:val="00D94558"/>
    <w:rsid w:val="00D948EA"/>
    <w:rsid w:val="00D950F1"/>
    <w:rsid w:val="00DA0A50"/>
    <w:rsid w:val="00DA160C"/>
    <w:rsid w:val="00DA2F73"/>
    <w:rsid w:val="00DA362C"/>
    <w:rsid w:val="00DA5B8F"/>
    <w:rsid w:val="00DA5F2E"/>
    <w:rsid w:val="00DA65B7"/>
    <w:rsid w:val="00DA6C9A"/>
    <w:rsid w:val="00DA6D69"/>
    <w:rsid w:val="00DB105B"/>
    <w:rsid w:val="00DB2841"/>
    <w:rsid w:val="00DB3669"/>
    <w:rsid w:val="00DB56F0"/>
    <w:rsid w:val="00DB5EFD"/>
    <w:rsid w:val="00DB6283"/>
    <w:rsid w:val="00DB6A4E"/>
    <w:rsid w:val="00DB761D"/>
    <w:rsid w:val="00DB77EC"/>
    <w:rsid w:val="00DB7851"/>
    <w:rsid w:val="00DC01E0"/>
    <w:rsid w:val="00DC1001"/>
    <w:rsid w:val="00DC462F"/>
    <w:rsid w:val="00DC5249"/>
    <w:rsid w:val="00DC6B1B"/>
    <w:rsid w:val="00DC7E53"/>
    <w:rsid w:val="00DD1121"/>
    <w:rsid w:val="00DD12A2"/>
    <w:rsid w:val="00DD1773"/>
    <w:rsid w:val="00DD35F1"/>
    <w:rsid w:val="00DD49D9"/>
    <w:rsid w:val="00DD4B0E"/>
    <w:rsid w:val="00DD64FC"/>
    <w:rsid w:val="00DD6A21"/>
    <w:rsid w:val="00DD7CAB"/>
    <w:rsid w:val="00DE04D7"/>
    <w:rsid w:val="00DE1E7C"/>
    <w:rsid w:val="00DE39B3"/>
    <w:rsid w:val="00DE3BBD"/>
    <w:rsid w:val="00DE457C"/>
    <w:rsid w:val="00DE4E2C"/>
    <w:rsid w:val="00DE502E"/>
    <w:rsid w:val="00DE5CDB"/>
    <w:rsid w:val="00DE60CA"/>
    <w:rsid w:val="00DE772B"/>
    <w:rsid w:val="00DF0768"/>
    <w:rsid w:val="00DF09E1"/>
    <w:rsid w:val="00DF0B56"/>
    <w:rsid w:val="00DF0D6E"/>
    <w:rsid w:val="00DF151C"/>
    <w:rsid w:val="00DF1547"/>
    <w:rsid w:val="00DF1C5A"/>
    <w:rsid w:val="00DF1F59"/>
    <w:rsid w:val="00DF20CF"/>
    <w:rsid w:val="00DF31D6"/>
    <w:rsid w:val="00DF3516"/>
    <w:rsid w:val="00DF3DC0"/>
    <w:rsid w:val="00DF510B"/>
    <w:rsid w:val="00DF72C6"/>
    <w:rsid w:val="00DF7DBB"/>
    <w:rsid w:val="00E00066"/>
    <w:rsid w:val="00E0078B"/>
    <w:rsid w:val="00E00E0C"/>
    <w:rsid w:val="00E0137C"/>
    <w:rsid w:val="00E01A93"/>
    <w:rsid w:val="00E02AC8"/>
    <w:rsid w:val="00E03683"/>
    <w:rsid w:val="00E0381C"/>
    <w:rsid w:val="00E03D1D"/>
    <w:rsid w:val="00E03DC7"/>
    <w:rsid w:val="00E05633"/>
    <w:rsid w:val="00E074E7"/>
    <w:rsid w:val="00E0761A"/>
    <w:rsid w:val="00E106B6"/>
    <w:rsid w:val="00E10C10"/>
    <w:rsid w:val="00E10D78"/>
    <w:rsid w:val="00E111A4"/>
    <w:rsid w:val="00E11568"/>
    <w:rsid w:val="00E1190B"/>
    <w:rsid w:val="00E12B7A"/>
    <w:rsid w:val="00E15904"/>
    <w:rsid w:val="00E15971"/>
    <w:rsid w:val="00E15BB7"/>
    <w:rsid w:val="00E16000"/>
    <w:rsid w:val="00E21278"/>
    <w:rsid w:val="00E2155B"/>
    <w:rsid w:val="00E21A31"/>
    <w:rsid w:val="00E22BAD"/>
    <w:rsid w:val="00E22D35"/>
    <w:rsid w:val="00E24A8F"/>
    <w:rsid w:val="00E24FA3"/>
    <w:rsid w:val="00E2525C"/>
    <w:rsid w:val="00E266B6"/>
    <w:rsid w:val="00E26B28"/>
    <w:rsid w:val="00E2739D"/>
    <w:rsid w:val="00E3096C"/>
    <w:rsid w:val="00E30D1B"/>
    <w:rsid w:val="00E30F84"/>
    <w:rsid w:val="00E31465"/>
    <w:rsid w:val="00E328CD"/>
    <w:rsid w:val="00E32A4F"/>
    <w:rsid w:val="00E340E1"/>
    <w:rsid w:val="00E345C0"/>
    <w:rsid w:val="00E35DAE"/>
    <w:rsid w:val="00E36B95"/>
    <w:rsid w:val="00E36FFB"/>
    <w:rsid w:val="00E37EAD"/>
    <w:rsid w:val="00E4003F"/>
    <w:rsid w:val="00E40390"/>
    <w:rsid w:val="00E40EFC"/>
    <w:rsid w:val="00E4101C"/>
    <w:rsid w:val="00E42D8B"/>
    <w:rsid w:val="00E4413C"/>
    <w:rsid w:val="00E44261"/>
    <w:rsid w:val="00E443AC"/>
    <w:rsid w:val="00E44BB7"/>
    <w:rsid w:val="00E458F6"/>
    <w:rsid w:val="00E45954"/>
    <w:rsid w:val="00E4658A"/>
    <w:rsid w:val="00E46C2D"/>
    <w:rsid w:val="00E50A41"/>
    <w:rsid w:val="00E519EB"/>
    <w:rsid w:val="00E51B7D"/>
    <w:rsid w:val="00E51E87"/>
    <w:rsid w:val="00E53274"/>
    <w:rsid w:val="00E539CD"/>
    <w:rsid w:val="00E53F0C"/>
    <w:rsid w:val="00E53F42"/>
    <w:rsid w:val="00E548BE"/>
    <w:rsid w:val="00E57525"/>
    <w:rsid w:val="00E629A6"/>
    <w:rsid w:val="00E6355C"/>
    <w:rsid w:val="00E63D4C"/>
    <w:rsid w:val="00E65BAD"/>
    <w:rsid w:val="00E66059"/>
    <w:rsid w:val="00E66F52"/>
    <w:rsid w:val="00E67D44"/>
    <w:rsid w:val="00E67FB7"/>
    <w:rsid w:val="00E7149B"/>
    <w:rsid w:val="00E71BC4"/>
    <w:rsid w:val="00E728A2"/>
    <w:rsid w:val="00E72FF3"/>
    <w:rsid w:val="00E73260"/>
    <w:rsid w:val="00E733BA"/>
    <w:rsid w:val="00E735B2"/>
    <w:rsid w:val="00E73B60"/>
    <w:rsid w:val="00E73EAA"/>
    <w:rsid w:val="00E7543B"/>
    <w:rsid w:val="00E76CA0"/>
    <w:rsid w:val="00E7730F"/>
    <w:rsid w:val="00E80111"/>
    <w:rsid w:val="00E80E91"/>
    <w:rsid w:val="00E83AD5"/>
    <w:rsid w:val="00E86F91"/>
    <w:rsid w:val="00E87E1D"/>
    <w:rsid w:val="00E90782"/>
    <w:rsid w:val="00E91C0D"/>
    <w:rsid w:val="00E92A25"/>
    <w:rsid w:val="00E935DB"/>
    <w:rsid w:val="00E94F0E"/>
    <w:rsid w:val="00E95BE5"/>
    <w:rsid w:val="00E95C2C"/>
    <w:rsid w:val="00E95E23"/>
    <w:rsid w:val="00E96553"/>
    <w:rsid w:val="00E96C2B"/>
    <w:rsid w:val="00E97A1A"/>
    <w:rsid w:val="00EA02CC"/>
    <w:rsid w:val="00EA14EC"/>
    <w:rsid w:val="00EA1707"/>
    <w:rsid w:val="00EA2A37"/>
    <w:rsid w:val="00EA3CCA"/>
    <w:rsid w:val="00EA43F2"/>
    <w:rsid w:val="00EA44D9"/>
    <w:rsid w:val="00EA6A19"/>
    <w:rsid w:val="00EA6CB6"/>
    <w:rsid w:val="00EB092F"/>
    <w:rsid w:val="00EB098F"/>
    <w:rsid w:val="00EB26A7"/>
    <w:rsid w:val="00EB2F24"/>
    <w:rsid w:val="00EB325F"/>
    <w:rsid w:val="00EB3A13"/>
    <w:rsid w:val="00EB4C9F"/>
    <w:rsid w:val="00EB5169"/>
    <w:rsid w:val="00EB6A76"/>
    <w:rsid w:val="00EB72EA"/>
    <w:rsid w:val="00EB7458"/>
    <w:rsid w:val="00EB7850"/>
    <w:rsid w:val="00EC017D"/>
    <w:rsid w:val="00EC0C89"/>
    <w:rsid w:val="00EC214A"/>
    <w:rsid w:val="00EC5409"/>
    <w:rsid w:val="00EC7919"/>
    <w:rsid w:val="00EC7F50"/>
    <w:rsid w:val="00ED006F"/>
    <w:rsid w:val="00ED01D6"/>
    <w:rsid w:val="00ED031A"/>
    <w:rsid w:val="00ED0E16"/>
    <w:rsid w:val="00ED10CB"/>
    <w:rsid w:val="00ED2105"/>
    <w:rsid w:val="00ED2964"/>
    <w:rsid w:val="00ED348B"/>
    <w:rsid w:val="00ED37BE"/>
    <w:rsid w:val="00ED6479"/>
    <w:rsid w:val="00ED6B66"/>
    <w:rsid w:val="00EE1393"/>
    <w:rsid w:val="00EE1803"/>
    <w:rsid w:val="00EE2263"/>
    <w:rsid w:val="00EE3B78"/>
    <w:rsid w:val="00EE3E05"/>
    <w:rsid w:val="00EE5B0E"/>
    <w:rsid w:val="00EE75C3"/>
    <w:rsid w:val="00EF0C4C"/>
    <w:rsid w:val="00EF0CC9"/>
    <w:rsid w:val="00EF1015"/>
    <w:rsid w:val="00EF3B6A"/>
    <w:rsid w:val="00EF4802"/>
    <w:rsid w:val="00EF49DE"/>
    <w:rsid w:val="00EF5547"/>
    <w:rsid w:val="00EF6AAC"/>
    <w:rsid w:val="00F004CC"/>
    <w:rsid w:val="00F00D02"/>
    <w:rsid w:val="00F00EFB"/>
    <w:rsid w:val="00F01FC9"/>
    <w:rsid w:val="00F02387"/>
    <w:rsid w:val="00F03DAA"/>
    <w:rsid w:val="00F04FD6"/>
    <w:rsid w:val="00F0509A"/>
    <w:rsid w:val="00F053D6"/>
    <w:rsid w:val="00F0578E"/>
    <w:rsid w:val="00F0593E"/>
    <w:rsid w:val="00F059BE"/>
    <w:rsid w:val="00F113CA"/>
    <w:rsid w:val="00F11A81"/>
    <w:rsid w:val="00F12517"/>
    <w:rsid w:val="00F12868"/>
    <w:rsid w:val="00F12F76"/>
    <w:rsid w:val="00F13233"/>
    <w:rsid w:val="00F147C0"/>
    <w:rsid w:val="00F14C6D"/>
    <w:rsid w:val="00F157ED"/>
    <w:rsid w:val="00F16804"/>
    <w:rsid w:val="00F177BB"/>
    <w:rsid w:val="00F207C2"/>
    <w:rsid w:val="00F20BA9"/>
    <w:rsid w:val="00F21347"/>
    <w:rsid w:val="00F21A13"/>
    <w:rsid w:val="00F22127"/>
    <w:rsid w:val="00F229DC"/>
    <w:rsid w:val="00F22F50"/>
    <w:rsid w:val="00F25AA2"/>
    <w:rsid w:val="00F30822"/>
    <w:rsid w:val="00F319BF"/>
    <w:rsid w:val="00F356DA"/>
    <w:rsid w:val="00F363E6"/>
    <w:rsid w:val="00F369A0"/>
    <w:rsid w:val="00F40CCF"/>
    <w:rsid w:val="00F41449"/>
    <w:rsid w:val="00F4281E"/>
    <w:rsid w:val="00F42F7E"/>
    <w:rsid w:val="00F44EC5"/>
    <w:rsid w:val="00F452F3"/>
    <w:rsid w:val="00F45822"/>
    <w:rsid w:val="00F50D29"/>
    <w:rsid w:val="00F510E3"/>
    <w:rsid w:val="00F5119D"/>
    <w:rsid w:val="00F5185E"/>
    <w:rsid w:val="00F51CFB"/>
    <w:rsid w:val="00F521FB"/>
    <w:rsid w:val="00F536BA"/>
    <w:rsid w:val="00F53A3A"/>
    <w:rsid w:val="00F55F10"/>
    <w:rsid w:val="00F56C3C"/>
    <w:rsid w:val="00F56CCC"/>
    <w:rsid w:val="00F56E4E"/>
    <w:rsid w:val="00F614B2"/>
    <w:rsid w:val="00F62320"/>
    <w:rsid w:val="00F63DDE"/>
    <w:rsid w:val="00F65D7D"/>
    <w:rsid w:val="00F66573"/>
    <w:rsid w:val="00F66C63"/>
    <w:rsid w:val="00F67672"/>
    <w:rsid w:val="00F67A72"/>
    <w:rsid w:val="00F75965"/>
    <w:rsid w:val="00F75FF6"/>
    <w:rsid w:val="00F76FCC"/>
    <w:rsid w:val="00F7734F"/>
    <w:rsid w:val="00F806AD"/>
    <w:rsid w:val="00F8247D"/>
    <w:rsid w:val="00F82635"/>
    <w:rsid w:val="00F84BAE"/>
    <w:rsid w:val="00F85AE9"/>
    <w:rsid w:val="00F862BA"/>
    <w:rsid w:val="00F86DEA"/>
    <w:rsid w:val="00F914C5"/>
    <w:rsid w:val="00F93679"/>
    <w:rsid w:val="00F939C0"/>
    <w:rsid w:val="00F93D78"/>
    <w:rsid w:val="00F94A15"/>
    <w:rsid w:val="00F94AFE"/>
    <w:rsid w:val="00F9614F"/>
    <w:rsid w:val="00F97E45"/>
    <w:rsid w:val="00FA00BF"/>
    <w:rsid w:val="00FA0C4A"/>
    <w:rsid w:val="00FA178E"/>
    <w:rsid w:val="00FA1EEE"/>
    <w:rsid w:val="00FA2409"/>
    <w:rsid w:val="00FA4916"/>
    <w:rsid w:val="00FA547F"/>
    <w:rsid w:val="00FA54E8"/>
    <w:rsid w:val="00FA5BBE"/>
    <w:rsid w:val="00FA6CC7"/>
    <w:rsid w:val="00FB1F13"/>
    <w:rsid w:val="00FB30D8"/>
    <w:rsid w:val="00FB3355"/>
    <w:rsid w:val="00FB5C17"/>
    <w:rsid w:val="00FB704E"/>
    <w:rsid w:val="00FB7DED"/>
    <w:rsid w:val="00FC0A39"/>
    <w:rsid w:val="00FC1288"/>
    <w:rsid w:val="00FC3987"/>
    <w:rsid w:val="00FC3A30"/>
    <w:rsid w:val="00FC4A81"/>
    <w:rsid w:val="00FC604A"/>
    <w:rsid w:val="00FC6DD1"/>
    <w:rsid w:val="00FD01B5"/>
    <w:rsid w:val="00FD0229"/>
    <w:rsid w:val="00FD051B"/>
    <w:rsid w:val="00FD12E1"/>
    <w:rsid w:val="00FD2283"/>
    <w:rsid w:val="00FD28C2"/>
    <w:rsid w:val="00FD6366"/>
    <w:rsid w:val="00FD6C2E"/>
    <w:rsid w:val="00FD7C9B"/>
    <w:rsid w:val="00FE0A91"/>
    <w:rsid w:val="00FE0C19"/>
    <w:rsid w:val="00FE12E1"/>
    <w:rsid w:val="00FE1A57"/>
    <w:rsid w:val="00FE3751"/>
    <w:rsid w:val="00FE651B"/>
    <w:rsid w:val="00FF08F8"/>
    <w:rsid w:val="00FF0ECB"/>
    <w:rsid w:val="00FF1686"/>
    <w:rsid w:val="00FF223E"/>
    <w:rsid w:val="00FF375E"/>
    <w:rsid w:val="00FF4BAD"/>
    <w:rsid w:val="00FF7658"/>
    <w:rsid w:val="00FF7A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433D07"/>
    <w:pPr>
      <w:tabs>
        <w:tab w:val="left" w:pos="1202"/>
        <w:tab w:val="right" w:leader="dot" w:pos="9060"/>
      </w:tabs>
      <w:spacing w:before="0"/>
      <w:ind w:left="1202" w:hanging="720"/>
    </w:pPr>
    <w:rPr>
      <w:rFonts w:cs="Arial"/>
      <w:i/>
      <w:noProof/>
      <w:sz w:val="22"/>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433D07"/>
    <w:pPr>
      <w:tabs>
        <w:tab w:val="right" w:leader="dot" w:pos="9060"/>
      </w:tabs>
      <w:ind w:left="720" w:hanging="720"/>
    </w:pPr>
    <w:rPr>
      <w:b/>
      <w:noProof/>
    </w:rPr>
  </w:style>
  <w:style w:type="paragraph" w:styleId="TOC2">
    <w:name w:val="toc 2"/>
    <w:basedOn w:val="Normal"/>
    <w:next w:val="Normal"/>
    <w:autoRedefine/>
    <w:uiPriority w:val="39"/>
    <w:qFormat/>
    <w:locked/>
    <w:rsid w:val="000F3A4C"/>
    <w:pPr>
      <w:tabs>
        <w:tab w:val="right" w:leader="dot" w:pos="9060"/>
      </w:tabs>
      <w:spacing w:before="0" w:after="120"/>
      <w:ind w:left="958" w:hanging="720"/>
    </w:pPr>
    <w:rPr>
      <w:b/>
      <w:i/>
      <w:noProof/>
      <w:sz w:val="22"/>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Footnote,Footnotes refss,4_G,Footnote number"/>
    <w:uiPriority w:val="99"/>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C,single space Char, Char"/>
    <w:basedOn w:val="Normal"/>
    <w:link w:val="FootnoteTextChar"/>
    <w:uiPriority w:val="99"/>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uiPriority w:val="99"/>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1,No Spacing11"/>
    <w:basedOn w:val="Normal"/>
    <w:link w:val="SubmissionNormalChar"/>
    <w:qFormat/>
    <w:rsid w:val="00B34946"/>
    <w:pPr>
      <w:numPr>
        <w:numId w:val="15"/>
      </w:numPr>
    </w:pPr>
    <w:rPr>
      <w:rFonts w:eastAsia="Times New Roman"/>
    </w:rPr>
  </w:style>
  <w:style w:type="character" w:customStyle="1" w:styleId="SubmissionNormalChar">
    <w:name w:val="Submission Normal Char"/>
    <w:aliases w:val="No Spacing Char,No Spacing1 Char,No Spacing11 Char,No Spacing2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numbering" w:customStyle="1" w:styleId="StyleNumbered">
    <w:name w:val="Style Numbered"/>
    <w:basedOn w:val="NoList"/>
    <w:semiHidden/>
    <w:rsid w:val="00D90A40"/>
    <w:pPr>
      <w:numPr>
        <w:numId w:val="17"/>
      </w:numPr>
    </w:pPr>
  </w:style>
  <w:style w:type="paragraph" w:customStyle="1" w:styleId="Contactdetails">
    <w:name w:val="Contact details"/>
    <w:basedOn w:val="Normal"/>
    <w:semiHidden/>
    <w:rsid w:val="00D90A40"/>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semiHidden/>
    <w:locked/>
    <w:rsid w:val="00D90A40"/>
    <w:rPr>
      <w:rFonts w:ascii="Arial" w:hAnsi="Arial"/>
      <w:bCs/>
      <w:i/>
      <w:sz w:val="24"/>
      <w:szCs w:val="26"/>
      <w:lang w:val="en-AU" w:eastAsia="en-AU" w:bidi="ar-SA"/>
    </w:rPr>
  </w:style>
  <w:style w:type="character" w:customStyle="1" w:styleId="CharChar8">
    <w:name w:val="Char Char8"/>
    <w:semiHidden/>
    <w:locked/>
    <w:rsid w:val="00D90A40"/>
    <w:rPr>
      <w:rFonts w:ascii="Arial" w:hAnsi="Arial"/>
      <w:iCs/>
      <w:sz w:val="24"/>
      <w:szCs w:val="26"/>
      <w:lang w:val="en-AU" w:eastAsia="en-AU" w:bidi="ar-SA"/>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C Char"/>
    <w:link w:val="FootnoteText"/>
    <w:uiPriority w:val="99"/>
    <w:locked/>
    <w:rsid w:val="00D90A40"/>
    <w:rPr>
      <w:rFonts w:ascii="Arial" w:eastAsia="MS Mincho" w:hAnsi="Arial"/>
    </w:rPr>
  </w:style>
  <w:style w:type="paragraph" w:styleId="ListParagraph">
    <w:name w:val="List Paragraph"/>
    <w:basedOn w:val="Normal"/>
    <w:uiPriority w:val="34"/>
    <w:qFormat/>
    <w:rsid w:val="00D90A40"/>
    <w:pPr>
      <w:ind w:left="720"/>
      <w:contextualSpacing/>
    </w:pPr>
  </w:style>
  <w:style w:type="character" w:styleId="CommentReference">
    <w:name w:val="annotation reference"/>
    <w:locked/>
    <w:rsid w:val="00D90A40"/>
    <w:rPr>
      <w:sz w:val="16"/>
      <w:szCs w:val="16"/>
    </w:rPr>
  </w:style>
  <w:style w:type="paragraph" w:styleId="CommentText">
    <w:name w:val="annotation text"/>
    <w:basedOn w:val="Normal"/>
    <w:link w:val="CommentTextChar"/>
    <w:locked/>
    <w:rsid w:val="00D90A40"/>
    <w:rPr>
      <w:sz w:val="20"/>
      <w:szCs w:val="20"/>
    </w:rPr>
  </w:style>
  <w:style w:type="character" w:customStyle="1" w:styleId="CommentTextChar">
    <w:name w:val="Comment Text Char"/>
    <w:basedOn w:val="DefaultParagraphFont"/>
    <w:link w:val="CommentText"/>
    <w:rsid w:val="00D90A40"/>
    <w:rPr>
      <w:rFonts w:ascii="Arial" w:eastAsia="MS Mincho" w:hAnsi="Arial"/>
    </w:rPr>
  </w:style>
  <w:style w:type="character" w:customStyle="1" w:styleId="sb8d990e2">
    <w:name w:val="sb8d990e2"/>
    <w:rsid w:val="00D90A40"/>
  </w:style>
  <w:style w:type="paragraph" w:styleId="CommentSubject">
    <w:name w:val="annotation subject"/>
    <w:basedOn w:val="CommentText"/>
    <w:next w:val="CommentText"/>
    <w:link w:val="CommentSubjectChar"/>
    <w:locked/>
    <w:rsid w:val="00D90A40"/>
    <w:rPr>
      <w:b/>
      <w:bCs/>
    </w:rPr>
  </w:style>
  <w:style w:type="character" w:customStyle="1" w:styleId="CommentSubjectChar">
    <w:name w:val="Comment Subject Char"/>
    <w:basedOn w:val="CommentTextChar"/>
    <w:link w:val="CommentSubject"/>
    <w:rsid w:val="00D90A40"/>
    <w:rPr>
      <w:rFonts w:ascii="Arial" w:eastAsia="MS Mincho" w:hAnsi="Arial"/>
      <w:b/>
      <w:bCs/>
    </w:rPr>
  </w:style>
  <w:style w:type="character" w:customStyle="1" w:styleId="SubmissionnormalChar0">
    <w:name w:val="Submission normal Char"/>
    <w:link w:val="Submissionnormal0"/>
    <w:locked/>
    <w:rsid w:val="00D90A40"/>
    <w:rPr>
      <w:rFonts w:ascii="Arial" w:hAnsi="Arial" w:cs="Arial"/>
    </w:rPr>
  </w:style>
  <w:style w:type="paragraph" w:customStyle="1" w:styleId="Submissionnormal0">
    <w:name w:val="Submission normal"/>
    <w:basedOn w:val="Normal"/>
    <w:link w:val="SubmissionnormalChar0"/>
    <w:rsid w:val="00D90A40"/>
    <w:pPr>
      <w:tabs>
        <w:tab w:val="num" w:pos="360"/>
      </w:tabs>
    </w:pPr>
    <w:rPr>
      <w:rFonts w:eastAsia="Times New Roman" w:cs="Arial"/>
      <w:sz w:val="20"/>
      <w:szCs w:val="20"/>
    </w:rPr>
  </w:style>
  <w:style w:type="paragraph" w:styleId="NoSpacing">
    <w:name w:val="No Spacing"/>
    <w:aliases w:val="No Spacing2"/>
    <w:basedOn w:val="Normal"/>
    <w:qFormat/>
    <w:rsid w:val="00D90A40"/>
    <w:pPr>
      <w:tabs>
        <w:tab w:val="num" w:pos="720"/>
      </w:tabs>
      <w:ind w:left="720" w:hanging="360"/>
    </w:pPr>
    <w:rPr>
      <w:rFonts w:eastAsia="Times New Roman" w:cs="Arial"/>
    </w:rPr>
  </w:style>
  <w:style w:type="paragraph" w:styleId="Quote">
    <w:name w:val="Quote"/>
    <w:basedOn w:val="Normal"/>
    <w:next w:val="Normal"/>
    <w:link w:val="QuoteChar"/>
    <w:uiPriority w:val="99"/>
    <w:qFormat/>
    <w:rsid w:val="00D90A40"/>
    <w:rPr>
      <w:i/>
      <w:iCs/>
      <w:color w:val="000000"/>
    </w:rPr>
  </w:style>
  <w:style w:type="character" w:customStyle="1" w:styleId="QuoteChar">
    <w:name w:val="Quote Char"/>
    <w:basedOn w:val="DefaultParagraphFont"/>
    <w:link w:val="Quote"/>
    <w:uiPriority w:val="99"/>
    <w:rsid w:val="00D90A40"/>
    <w:rPr>
      <w:rFonts w:ascii="Arial" w:eastAsia="MS Mincho" w:hAnsi="Arial"/>
      <w:i/>
      <w:iCs/>
      <w:color w:val="000000"/>
      <w:sz w:val="24"/>
      <w:szCs w:val="24"/>
    </w:rPr>
  </w:style>
  <w:style w:type="character" w:customStyle="1" w:styleId="legtitle1">
    <w:name w:val="legtitle1"/>
    <w:rsid w:val="00D90A40"/>
    <w:rPr>
      <w:rFonts w:ascii="Arial" w:hAnsi="Arial" w:cs="Arial" w:hint="default"/>
      <w:b/>
      <w:bCs/>
      <w:color w:val="10418E"/>
      <w:sz w:val="40"/>
      <w:szCs w:val="40"/>
    </w:rPr>
  </w:style>
  <w:style w:type="character" w:customStyle="1" w:styleId="style71">
    <w:name w:val="style71"/>
    <w:rsid w:val="00D90A40"/>
    <w:rPr>
      <w:rFonts w:ascii="Georgia" w:hAnsi="Georgia" w:hint="default"/>
    </w:rPr>
  </w:style>
  <w:style w:type="paragraph" w:styleId="Revision">
    <w:name w:val="Revision"/>
    <w:hidden/>
    <w:uiPriority w:val="99"/>
    <w:semiHidden/>
    <w:rsid w:val="00D90A40"/>
    <w:rPr>
      <w:rFonts w:ascii="Arial" w:eastAsia="MS Mincho" w:hAnsi="Arial"/>
      <w:sz w:val="24"/>
      <w:szCs w:val="24"/>
    </w:rPr>
  </w:style>
  <w:style w:type="character" w:customStyle="1" w:styleId="st">
    <w:name w:val="st"/>
    <w:rsid w:val="00F82635"/>
  </w:style>
  <w:style w:type="paragraph" w:customStyle="1" w:styleId="Default">
    <w:name w:val="Default"/>
    <w:rsid w:val="0000309E"/>
    <w:pPr>
      <w:autoSpaceDE w:val="0"/>
      <w:autoSpaceDN w:val="0"/>
      <w:adjustRightInd w:val="0"/>
    </w:pPr>
    <w:rPr>
      <w:color w:val="000000"/>
      <w:sz w:val="24"/>
      <w:szCs w:val="24"/>
    </w:rPr>
  </w:style>
  <w:style w:type="character" w:customStyle="1" w:styleId="hps-startwitness">
    <w:name w:val="hps-startwitness"/>
    <w:rsid w:val="00003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433D07"/>
    <w:pPr>
      <w:tabs>
        <w:tab w:val="left" w:pos="1202"/>
        <w:tab w:val="right" w:leader="dot" w:pos="9060"/>
      </w:tabs>
      <w:spacing w:before="0"/>
      <w:ind w:left="1202" w:hanging="720"/>
    </w:pPr>
    <w:rPr>
      <w:rFonts w:cs="Arial"/>
      <w:i/>
      <w:noProof/>
      <w:sz w:val="22"/>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433D07"/>
    <w:pPr>
      <w:tabs>
        <w:tab w:val="right" w:leader="dot" w:pos="9060"/>
      </w:tabs>
      <w:ind w:left="720" w:hanging="720"/>
    </w:pPr>
    <w:rPr>
      <w:b/>
      <w:noProof/>
    </w:rPr>
  </w:style>
  <w:style w:type="paragraph" w:styleId="TOC2">
    <w:name w:val="toc 2"/>
    <w:basedOn w:val="Normal"/>
    <w:next w:val="Normal"/>
    <w:autoRedefine/>
    <w:uiPriority w:val="39"/>
    <w:qFormat/>
    <w:locked/>
    <w:rsid w:val="000F3A4C"/>
    <w:pPr>
      <w:tabs>
        <w:tab w:val="right" w:leader="dot" w:pos="9060"/>
      </w:tabs>
      <w:spacing w:before="0" w:after="120"/>
      <w:ind w:left="958" w:hanging="720"/>
    </w:pPr>
    <w:rPr>
      <w:b/>
      <w:i/>
      <w:noProof/>
      <w:sz w:val="22"/>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Footnote,Footnotes refss,4_G,Footnote number"/>
    <w:uiPriority w:val="99"/>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C,single space Char, Char"/>
    <w:basedOn w:val="Normal"/>
    <w:link w:val="FootnoteTextChar"/>
    <w:uiPriority w:val="99"/>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uiPriority w:val="99"/>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1,No Spacing11"/>
    <w:basedOn w:val="Normal"/>
    <w:link w:val="SubmissionNormalChar"/>
    <w:qFormat/>
    <w:rsid w:val="00B34946"/>
    <w:pPr>
      <w:numPr>
        <w:numId w:val="15"/>
      </w:numPr>
    </w:pPr>
    <w:rPr>
      <w:rFonts w:eastAsia="Times New Roman"/>
    </w:rPr>
  </w:style>
  <w:style w:type="character" w:customStyle="1" w:styleId="SubmissionNormalChar">
    <w:name w:val="Submission Normal Char"/>
    <w:aliases w:val="No Spacing Char,No Spacing1 Char,No Spacing11 Char,No Spacing2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numbering" w:customStyle="1" w:styleId="StyleNumbered">
    <w:name w:val="Style Numbered"/>
    <w:basedOn w:val="NoList"/>
    <w:semiHidden/>
    <w:rsid w:val="00D90A40"/>
    <w:pPr>
      <w:numPr>
        <w:numId w:val="17"/>
      </w:numPr>
    </w:pPr>
  </w:style>
  <w:style w:type="paragraph" w:customStyle="1" w:styleId="Contactdetails">
    <w:name w:val="Contact details"/>
    <w:basedOn w:val="Normal"/>
    <w:semiHidden/>
    <w:rsid w:val="00D90A40"/>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semiHidden/>
    <w:locked/>
    <w:rsid w:val="00D90A40"/>
    <w:rPr>
      <w:rFonts w:ascii="Arial" w:hAnsi="Arial"/>
      <w:bCs/>
      <w:i/>
      <w:sz w:val="24"/>
      <w:szCs w:val="26"/>
      <w:lang w:val="en-AU" w:eastAsia="en-AU" w:bidi="ar-SA"/>
    </w:rPr>
  </w:style>
  <w:style w:type="character" w:customStyle="1" w:styleId="CharChar8">
    <w:name w:val="Char Char8"/>
    <w:semiHidden/>
    <w:locked/>
    <w:rsid w:val="00D90A40"/>
    <w:rPr>
      <w:rFonts w:ascii="Arial" w:hAnsi="Arial"/>
      <w:iCs/>
      <w:sz w:val="24"/>
      <w:szCs w:val="26"/>
      <w:lang w:val="en-AU" w:eastAsia="en-AU" w:bidi="ar-SA"/>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C Char"/>
    <w:link w:val="FootnoteText"/>
    <w:uiPriority w:val="99"/>
    <w:locked/>
    <w:rsid w:val="00D90A40"/>
    <w:rPr>
      <w:rFonts w:ascii="Arial" w:eastAsia="MS Mincho" w:hAnsi="Arial"/>
    </w:rPr>
  </w:style>
  <w:style w:type="paragraph" w:styleId="ListParagraph">
    <w:name w:val="List Paragraph"/>
    <w:basedOn w:val="Normal"/>
    <w:uiPriority w:val="34"/>
    <w:qFormat/>
    <w:rsid w:val="00D90A40"/>
    <w:pPr>
      <w:ind w:left="720"/>
      <w:contextualSpacing/>
    </w:pPr>
  </w:style>
  <w:style w:type="character" w:styleId="CommentReference">
    <w:name w:val="annotation reference"/>
    <w:locked/>
    <w:rsid w:val="00D90A40"/>
    <w:rPr>
      <w:sz w:val="16"/>
      <w:szCs w:val="16"/>
    </w:rPr>
  </w:style>
  <w:style w:type="paragraph" w:styleId="CommentText">
    <w:name w:val="annotation text"/>
    <w:basedOn w:val="Normal"/>
    <w:link w:val="CommentTextChar"/>
    <w:locked/>
    <w:rsid w:val="00D90A40"/>
    <w:rPr>
      <w:sz w:val="20"/>
      <w:szCs w:val="20"/>
    </w:rPr>
  </w:style>
  <w:style w:type="character" w:customStyle="1" w:styleId="CommentTextChar">
    <w:name w:val="Comment Text Char"/>
    <w:basedOn w:val="DefaultParagraphFont"/>
    <w:link w:val="CommentText"/>
    <w:rsid w:val="00D90A40"/>
    <w:rPr>
      <w:rFonts w:ascii="Arial" w:eastAsia="MS Mincho" w:hAnsi="Arial"/>
    </w:rPr>
  </w:style>
  <w:style w:type="character" w:customStyle="1" w:styleId="sb8d990e2">
    <w:name w:val="sb8d990e2"/>
    <w:rsid w:val="00D90A40"/>
  </w:style>
  <w:style w:type="paragraph" w:styleId="CommentSubject">
    <w:name w:val="annotation subject"/>
    <w:basedOn w:val="CommentText"/>
    <w:next w:val="CommentText"/>
    <w:link w:val="CommentSubjectChar"/>
    <w:locked/>
    <w:rsid w:val="00D90A40"/>
    <w:rPr>
      <w:b/>
      <w:bCs/>
    </w:rPr>
  </w:style>
  <w:style w:type="character" w:customStyle="1" w:styleId="CommentSubjectChar">
    <w:name w:val="Comment Subject Char"/>
    <w:basedOn w:val="CommentTextChar"/>
    <w:link w:val="CommentSubject"/>
    <w:rsid w:val="00D90A40"/>
    <w:rPr>
      <w:rFonts w:ascii="Arial" w:eastAsia="MS Mincho" w:hAnsi="Arial"/>
      <w:b/>
      <w:bCs/>
    </w:rPr>
  </w:style>
  <w:style w:type="character" w:customStyle="1" w:styleId="SubmissionnormalChar0">
    <w:name w:val="Submission normal Char"/>
    <w:link w:val="Submissionnormal0"/>
    <w:locked/>
    <w:rsid w:val="00D90A40"/>
    <w:rPr>
      <w:rFonts w:ascii="Arial" w:hAnsi="Arial" w:cs="Arial"/>
    </w:rPr>
  </w:style>
  <w:style w:type="paragraph" w:customStyle="1" w:styleId="Submissionnormal0">
    <w:name w:val="Submission normal"/>
    <w:basedOn w:val="Normal"/>
    <w:link w:val="SubmissionnormalChar0"/>
    <w:rsid w:val="00D90A40"/>
    <w:pPr>
      <w:tabs>
        <w:tab w:val="num" w:pos="360"/>
      </w:tabs>
    </w:pPr>
    <w:rPr>
      <w:rFonts w:eastAsia="Times New Roman" w:cs="Arial"/>
      <w:sz w:val="20"/>
      <w:szCs w:val="20"/>
    </w:rPr>
  </w:style>
  <w:style w:type="paragraph" w:styleId="NoSpacing">
    <w:name w:val="No Spacing"/>
    <w:aliases w:val="No Spacing2"/>
    <w:basedOn w:val="Normal"/>
    <w:qFormat/>
    <w:rsid w:val="00D90A40"/>
    <w:pPr>
      <w:tabs>
        <w:tab w:val="num" w:pos="720"/>
      </w:tabs>
      <w:ind w:left="720" w:hanging="360"/>
    </w:pPr>
    <w:rPr>
      <w:rFonts w:eastAsia="Times New Roman" w:cs="Arial"/>
    </w:rPr>
  </w:style>
  <w:style w:type="paragraph" w:styleId="Quote">
    <w:name w:val="Quote"/>
    <w:basedOn w:val="Normal"/>
    <w:next w:val="Normal"/>
    <w:link w:val="QuoteChar"/>
    <w:uiPriority w:val="99"/>
    <w:qFormat/>
    <w:rsid w:val="00D90A40"/>
    <w:rPr>
      <w:i/>
      <w:iCs/>
      <w:color w:val="000000"/>
    </w:rPr>
  </w:style>
  <w:style w:type="character" w:customStyle="1" w:styleId="QuoteChar">
    <w:name w:val="Quote Char"/>
    <w:basedOn w:val="DefaultParagraphFont"/>
    <w:link w:val="Quote"/>
    <w:uiPriority w:val="99"/>
    <w:rsid w:val="00D90A40"/>
    <w:rPr>
      <w:rFonts w:ascii="Arial" w:eastAsia="MS Mincho" w:hAnsi="Arial"/>
      <w:i/>
      <w:iCs/>
      <w:color w:val="000000"/>
      <w:sz w:val="24"/>
      <w:szCs w:val="24"/>
    </w:rPr>
  </w:style>
  <w:style w:type="character" w:customStyle="1" w:styleId="legtitle1">
    <w:name w:val="legtitle1"/>
    <w:rsid w:val="00D90A40"/>
    <w:rPr>
      <w:rFonts w:ascii="Arial" w:hAnsi="Arial" w:cs="Arial" w:hint="default"/>
      <w:b/>
      <w:bCs/>
      <w:color w:val="10418E"/>
      <w:sz w:val="40"/>
      <w:szCs w:val="40"/>
    </w:rPr>
  </w:style>
  <w:style w:type="character" w:customStyle="1" w:styleId="style71">
    <w:name w:val="style71"/>
    <w:rsid w:val="00D90A40"/>
    <w:rPr>
      <w:rFonts w:ascii="Georgia" w:hAnsi="Georgia" w:hint="default"/>
    </w:rPr>
  </w:style>
  <w:style w:type="paragraph" w:styleId="Revision">
    <w:name w:val="Revision"/>
    <w:hidden/>
    <w:uiPriority w:val="99"/>
    <w:semiHidden/>
    <w:rsid w:val="00D90A40"/>
    <w:rPr>
      <w:rFonts w:ascii="Arial" w:eastAsia="MS Mincho" w:hAnsi="Arial"/>
      <w:sz w:val="24"/>
      <w:szCs w:val="24"/>
    </w:rPr>
  </w:style>
  <w:style w:type="character" w:customStyle="1" w:styleId="st">
    <w:name w:val="st"/>
    <w:rsid w:val="00F82635"/>
  </w:style>
  <w:style w:type="paragraph" w:customStyle="1" w:styleId="Default">
    <w:name w:val="Default"/>
    <w:rsid w:val="0000309E"/>
    <w:pPr>
      <w:autoSpaceDE w:val="0"/>
      <w:autoSpaceDN w:val="0"/>
      <w:adjustRightInd w:val="0"/>
    </w:pPr>
    <w:rPr>
      <w:color w:val="000000"/>
      <w:sz w:val="24"/>
      <w:szCs w:val="24"/>
    </w:rPr>
  </w:style>
  <w:style w:type="character" w:customStyle="1" w:styleId="hps-startwitness">
    <w:name w:val="hps-startwitness"/>
    <w:rsid w:val="00003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78130788">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882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S:\External%20Projects\Strategic%20Advocacy%20SOSGI%2012.13\Submissions\SDA%20Amendment%20Bill\Final\AHRC%20Submission%20to%20Senate%20Inquiry%20re%20SDA%20Bill%20-%20FINAL.docx"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www.ag.gov.au/Consultations/Pages/AustralianGovernmentGuidelinesontheRecognitionofSexandGender.aspx" TargetMode="External"/><Relationship Id="rId2" Type="http://schemas.openxmlformats.org/officeDocument/2006/relationships/hyperlink" Target="http://www.attorneygeneral.gov.au/Mediareleases/Pages/2013/First%20quarter/20March2013-Newantidiscriminationlawstocoversexualorientationgenderidentityandintersexstatus.aspx" TargetMode="External"/><Relationship Id="rId1" Type="http://schemas.openxmlformats.org/officeDocument/2006/relationships/hyperlink" Target="http://www.attorneygeneral.gov.au/Mediareleases/Pages/2013/First%20quarter/20March2013-Newantidiscriminationlawstocoversexualorientationgenderidentityandintersexstatus.aspx" TargetMode="External"/><Relationship Id="rId4" Type="http://schemas.openxmlformats.org/officeDocument/2006/relationships/hyperlink" Target="http://humanrights.gov.au/genderdiversity/sex_files2009.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1F857-70BD-41FF-9009-C21D9DAA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3420</Words>
  <Characters>20065</Characters>
  <Application>Microsoft Office Word</Application>
  <DocSecurity>8</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23439</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2013-04-22T23:19:00Z</dcterms:created>
  <dcterms:modified xsi:type="dcterms:W3CDTF">2013-04-24T00:22:00Z</dcterms:modified>
</cp:coreProperties>
</file>