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6B5095" w14:textId="77777777" w:rsidR="00591951" w:rsidRPr="009640F7" w:rsidRDefault="003D66C0" w:rsidP="00591951">
      <w:pPr>
        <w:tabs>
          <w:tab w:val="left" w:pos="3014"/>
        </w:tabs>
        <w:spacing w:after="3000"/>
        <w:rPr>
          <w:rStyle w:val="FootnoteReference"/>
        </w:rPr>
      </w:pPr>
      <w:r w:rsidRPr="009640F7">
        <w:rPr>
          <w:noProof/>
        </w:rPr>
        <mc:AlternateContent>
          <mc:Choice Requires="wps">
            <w:drawing>
              <wp:anchor distT="0" distB="0" distL="114300" distR="114300" simplePos="0" relativeHeight="251656704" behindDoc="0" locked="0" layoutInCell="1" allowOverlap="1" wp14:anchorId="65E3A331" wp14:editId="68F86FFB">
                <wp:simplePos x="0" y="0"/>
                <wp:positionH relativeFrom="column">
                  <wp:posOffset>2397574</wp:posOffset>
                </wp:positionH>
                <wp:positionV relativeFrom="paragraph">
                  <wp:posOffset>-45763</wp:posOffset>
                </wp:positionV>
                <wp:extent cx="3337989"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7989" cy="1485900"/>
                        </a:xfrm>
                        <a:prstGeom prst="rect">
                          <a:avLst/>
                        </a:prstGeom>
                        <a:noFill/>
                        <a:ln w="6350">
                          <a:noFill/>
                        </a:ln>
                        <a:effectLst/>
                      </wps:spPr>
                      <wps:txbx>
                        <w:txbxContent>
                          <w:p w14:paraId="7DE93D21" w14:textId="77777777" w:rsidR="00547168" w:rsidRDefault="00547168" w:rsidP="00FD01B5">
                            <w:pPr>
                              <w:pStyle w:val="MainTitle"/>
                            </w:pPr>
                            <w:r>
                              <w:rPr>
                                <w:rFonts w:cs="Arial"/>
                              </w:rPr>
                              <w:t xml:space="preserve">Violence against women in Australia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3A331" id="_x0000_t202" coordsize="21600,21600" o:spt="202" path="m,l,21600r21600,l21600,xe">
                <v:stroke joinstyle="miter"/>
                <v:path gradientshapeok="t" o:connecttype="rect"/>
              </v:shapetype>
              <v:shape id="Text Box 1" o:spid="_x0000_s1026" type="#_x0000_t202" style="position:absolute;margin-left:188.8pt;margin-top:-3.6pt;width:262.8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" filled="f" stroked="f" strokeweight=".5pt">
                <v:path arrowok="t"/>
                <v:textbox>
                  <w:txbxContent>
                    <w:p w14:paraId="7DE93D21" w14:textId="77777777" w:rsidR="00547168" w:rsidRDefault="00547168" w:rsidP="00FD01B5">
                      <w:pPr>
                        <w:pStyle w:val="MainTitle"/>
                      </w:pPr>
                      <w:r>
                        <w:rPr>
                          <w:rFonts w:cs="Arial"/>
                        </w:rPr>
                        <w:t xml:space="preserve">Violence against women in Australia </w:t>
                      </w:r>
                    </w:p>
                  </w:txbxContent>
                </v:textbox>
              </v:shape>
            </w:pict>
          </mc:Fallback>
        </mc:AlternateContent>
      </w:r>
      <w:r w:rsidR="003C24F7" w:rsidRPr="009640F7">
        <w:rPr>
          <w:noProof/>
        </w:rPr>
        <mc:AlternateContent>
          <mc:Choice Requires="wps">
            <w:drawing>
              <wp:anchor distT="0" distB="0" distL="114300" distR="114300" simplePos="0" relativeHeight="251657728" behindDoc="0" locked="0" layoutInCell="1" allowOverlap="1" wp14:anchorId="1DECE094" wp14:editId="237052ED">
                <wp:simplePos x="0" y="0"/>
                <wp:positionH relativeFrom="column">
                  <wp:posOffset>198905</wp:posOffset>
                </wp:positionH>
                <wp:positionV relativeFrom="paragraph">
                  <wp:posOffset>1454264</wp:posOffset>
                </wp:positionV>
                <wp:extent cx="5530636"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636" cy="504825"/>
                        </a:xfrm>
                        <a:prstGeom prst="rect">
                          <a:avLst/>
                        </a:prstGeom>
                        <a:noFill/>
                        <a:ln w="6350">
                          <a:noFill/>
                        </a:ln>
                        <a:effectLst/>
                      </wps:spPr>
                      <wps:txbx>
                        <w:txbxContent>
                          <w:p w14:paraId="2BDCF67B" w14:textId="77777777" w:rsidR="00547168" w:rsidRPr="00B74219" w:rsidRDefault="00547168" w:rsidP="00A11307">
                            <w:pPr>
                              <w:pStyle w:val="Subtitle"/>
                            </w:pPr>
                            <w:bookmarkStart w:id="1" w:name="_Toc472080631"/>
                            <w:bookmarkStart w:id="2" w:name="_Toc472425257"/>
                            <w:bookmarkStart w:id="3" w:name="_Toc472686474"/>
                            <w:r w:rsidRPr="002863D7">
                              <w:t xml:space="preserve">Australian Human Rights Commission Submission to the </w:t>
                            </w:r>
                            <w:r>
                              <w:t>Special Rapporteur on Violence Against Women</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E094" id="Text Box 3" o:spid="_x0000_s1027" type="#_x0000_t202" style="position:absolute;margin-left:15.65pt;margin-top:114.5pt;width:435.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" filled="f" stroked="f" strokeweight=".5pt">
                <v:path arrowok="t"/>
                <v:textbox>
                  <w:txbxContent>
                    <w:p w14:paraId="2BDCF67B" w14:textId="77777777" w:rsidR="00547168" w:rsidRPr="00B74219" w:rsidRDefault="00547168" w:rsidP="00A11307">
                      <w:pPr>
                        <w:pStyle w:val="Subtitle"/>
                      </w:pPr>
                      <w:bookmarkStart w:id="3" w:name="_Toc472080631"/>
                      <w:bookmarkStart w:id="4" w:name="_Toc472425257"/>
                      <w:bookmarkStart w:id="5" w:name="_Toc472686474"/>
                      <w:r w:rsidRPr="002863D7">
                        <w:t xml:space="preserve">Australian Human Rights Commission Submission to the </w:t>
                      </w:r>
                      <w:r>
                        <w:t>Special Rapporteur on Violence Against Women</w:t>
                      </w:r>
                      <w:bookmarkEnd w:id="3"/>
                      <w:bookmarkEnd w:id="4"/>
                      <w:bookmarkEnd w:id="5"/>
                    </w:p>
                  </w:txbxContent>
                </v:textbox>
              </v:shape>
            </w:pict>
          </mc:Fallback>
        </mc:AlternateContent>
      </w:r>
      <w:r w:rsidR="007E4A34" w:rsidRPr="009640F7">
        <w:rPr>
          <w:noProof/>
        </w:rPr>
        <mc:AlternateContent>
          <mc:Choice Requires="wps">
            <w:drawing>
              <wp:anchor distT="0" distB="0" distL="114300" distR="114300" simplePos="0" relativeHeight="251658752" behindDoc="0" locked="0" layoutInCell="1" allowOverlap="1" wp14:anchorId="272A1AAD" wp14:editId="154E2AC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3245890" w14:textId="36373161" w:rsidR="00547168" w:rsidRPr="00B74219" w:rsidRDefault="004D6CA4" w:rsidP="002863D7">
                            <w:pPr>
                              <w:pStyle w:val="Date"/>
                            </w:pPr>
                            <w:r w:rsidRPr="004D6CA4">
                              <w:t>20</w:t>
                            </w:r>
                            <w:r w:rsidR="00547168" w:rsidRPr="004D6CA4">
                              <w:t xml:space="preserve">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1AAD"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33245890" w14:textId="36373161" w:rsidR="00547168" w:rsidRPr="00B74219" w:rsidRDefault="004D6CA4" w:rsidP="002863D7">
                      <w:pPr>
                        <w:pStyle w:val="Date"/>
                      </w:pPr>
                      <w:r w:rsidRPr="004D6CA4">
                        <w:t>20</w:t>
                      </w:r>
                      <w:r w:rsidR="00547168" w:rsidRPr="004D6CA4">
                        <w:t xml:space="preserve"> January 2017</w:t>
                      </w:r>
                    </w:p>
                  </w:txbxContent>
                </v:textbox>
              </v:shape>
            </w:pict>
          </mc:Fallback>
        </mc:AlternateContent>
      </w:r>
    </w:p>
    <w:p w14:paraId="07FF3C9F" w14:textId="77777777" w:rsidR="00591951" w:rsidRPr="009640F7" w:rsidRDefault="00591951" w:rsidP="00591951">
      <w:pPr>
        <w:pStyle w:val="MainTitle"/>
        <w:rPr>
          <w:sz w:val="44"/>
          <w:szCs w:val="44"/>
        </w:rPr>
      </w:pPr>
    </w:p>
    <w:p w14:paraId="65C56717" w14:textId="77777777" w:rsidR="00B924E6" w:rsidRPr="009640F7" w:rsidRDefault="00B924E6" w:rsidP="00E26B28">
      <w:pPr>
        <w:sectPr w:rsidR="00B924E6" w:rsidRPr="009640F7"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4" w:name="_Toc209316062"/>
      <w:bookmarkEnd w:id="4"/>
    </w:p>
    <w:p w14:paraId="337F62C6" w14:textId="77777777" w:rsidR="00843DEC" w:rsidRDefault="00B63D24" w:rsidP="00242DD5">
      <w:pPr>
        <w:rPr>
          <w:noProof/>
        </w:rPr>
      </w:pPr>
      <w:bookmarkStart w:id="5" w:name="_Toc207761829"/>
      <w:r w:rsidRPr="009640F7">
        <w:rPr>
          <w:b/>
          <w:sz w:val="28"/>
          <w:szCs w:val="28"/>
        </w:rPr>
        <w:lastRenderedPageBreak/>
        <w:t>Table of Contents</w:t>
      </w:r>
      <w:bookmarkEnd w:id="5"/>
      <w:r w:rsidRPr="009640F7">
        <w:fldChar w:fldCharType="begin"/>
      </w:r>
      <w:r w:rsidRPr="009640F7">
        <w:instrText xml:space="preserve"> TOC \o "1-4" \h \z \u </w:instrText>
      </w:r>
      <w:r w:rsidRPr="009640F7">
        <w:fldChar w:fldCharType="separate"/>
      </w:r>
    </w:p>
    <w:p w14:paraId="5D436D94" w14:textId="1FF559FE" w:rsidR="00843DEC" w:rsidRDefault="00D00312">
      <w:pPr>
        <w:pStyle w:val="TOC1"/>
        <w:rPr>
          <w:rFonts w:asciiTheme="minorHAnsi" w:eastAsiaTheme="minorEastAsia" w:hAnsiTheme="minorHAnsi" w:cstheme="minorBidi"/>
          <w:b w:val="0"/>
          <w:szCs w:val="22"/>
        </w:rPr>
      </w:pPr>
      <w:hyperlink w:anchor="_Toc472686475" w:history="1">
        <w:r w:rsidR="00843DEC" w:rsidRPr="00D2593C">
          <w:rPr>
            <w:rStyle w:val="Hyperlink"/>
          </w:rPr>
          <w:t>1</w:t>
        </w:r>
        <w:r w:rsidR="00843DEC">
          <w:rPr>
            <w:rFonts w:asciiTheme="minorHAnsi" w:eastAsiaTheme="minorEastAsia" w:hAnsiTheme="minorHAnsi" w:cstheme="minorBidi"/>
            <w:b w:val="0"/>
            <w:szCs w:val="22"/>
          </w:rPr>
          <w:tab/>
        </w:r>
        <w:r w:rsidR="00843DEC" w:rsidRPr="00D2593C">
          <w:rPr>
            <w:rStyle w:val="Hyperlink"/>
          </w:rPr>
          <w:t>Introduction</w:t>
        </w:r>
        <w:r w:rsidR="00843DEC">
          <w:rPr>
            <w:webHidden/>
          </w:rPr>
          <w:tab/>
        </w:r>
        <w:r w:rsidR="00843DEC">
          <w:rPr>
            <w:webHidden/>
          </w:rPr>
          <w:fldChar w:fldCharType="begin"/>
        </w:r>
        <w:r w:rsidR="00843DEC">
          <w:rPr>
            <w:webHidden/>
          </w:rPr>
          <w:instrText xml:space="preserve"> PAGEREF _Toc472686475 \h </w:instrText>
        </w:r>
        <w:r w:rsidR="00843DEC">
          <w:rPr>
            <w:webHidden/>
          </w:rPr>
        </w:r>
        <w:r w:rsidR="00843DEC">
          <w:rPr>
            <w:webHidden/>
          </w:rPr>
          <w:fldChar w:fldCharType="separate"/>
        </w:r>
        <w:r w:rsidR="00FC6518">
          <w:rPr>
            <w:webHidden/>
          </w:rPr>
          <w:t>3</w:t>
        </w:r>
        <w:r w:rsidR="00843DEC">
          <w:rPr>
            <w:webHidden/>
          </w:rPr>
          <w:fldChar w:fldCharType="end"/>
        </w:r>
      </w:hyperlink>
    </w:p>
    <w:p w14:paraId="7ECFB8F4" w14:textId="1FF6AE1C" w:rsidR="00843DEC" w:rsidRDefault="00D00312">
      <w:pPr>
        <w:pStyle w:val="TOC1"/>
        <w:rPr>
          <w:rFonts w:asciiTheme="minorHAnsi" w:eastAsiaTheme="minorEastAsia" w:hAnsiTheme="minorHAnsi" w:cstheme="minorBidi"/>
          <w:b w:val="0"/>
          <w:szCs w:val="22"/>
        </w:rPr>
      </w:pPr>
      <w:hyperlink w:anchor="_Toc472686476" w:history="1">
        <w:r w:rsidR="00843DEC" w:rsidRPr="00D2593C">
          <w:rPr>
            <w:rStyle w:val="Hyperlink"/>
          </w:rPr>
          <w:t>2</w:t>
        </w:r>
        <w:r w:rsidR="00843DEC">
          <w:rPr>
            <w:rFonts w:asciiTheme="minorHAnsi" w:eastAsiaTheme="minorEastAsia" w:hAnsiTheme="minorHAnsi" w:cstheme="minorBidi"/>
            <w:b w:val="0"/>
            <w:szCs w:val="22"/>
          </w:rPr>
          <w:tab/>
        </w:r>
        <w:r w:rsidR="00843DEC" w:rsidRPr="00D2593C">
          <w:rPr>
            <w:rStyle w:val="Hyperlink"/>
          </w:rPr>
          <w:t>Summary</w:t>
        </w:r>
        <w:r w:rsidR="00843DEC">
          <w:rPr>
            <w:webHidden/>
          </w:rPr>
          <w:tab/>
        </w:r>
        <w:r w:rsidR="00843DEC">
          <w:rPr>
            <w:webHidden/>
          </w:rPr>
          <w:fldChar w:fldCharType="begin"/>
        </w:r>
        <w:r w:rsidR="00843DEC">
          <w:rPr>
            <w:webHidden/>
          </w:rPr>
          <w:instrText xml:space="preserve"> PAGEREF _Toc472686476 \h </w:instrText>
        </w:r>
        <w:r w:rsidR="00843DEC">
          <w:rPr>
            <w:webHidden/>
          </w:rPr>
        </w:r>
        <w:r w:rsidR="00843DEC">
          <w:rPr>
            <w:webHidden/>
          </w:rPr>
          <w:fldChar w:fldCharType="separate"/>
        </w:r>
        <w:r w:rsidR="00FC6518">
          <w:rPr>
            <w:webHidden/>
          </w:rPr>
          <w:t>3</w:t>
        </w:r>
        <w:r w:rsidR="00843DEC">
          <w:rPr>
            <w:webHidden/>
          </w:rPr>
          <w:fldChar w:fldCharType="end"/>
        </w:r>
      </w:hyperlink>
    </w:p>
    <w:p w14:paraId="01F761F4" w14:textId="7F4B345B" w:rsidR="00843DEC" w:rsidRDefault="00D00312">
      <w:pPr>
        <w:pStyle w:val="TOC1"/>
        <w:rPr>
          <w:rFonts w:asciiTheme="minorHAnsi" w:eastAsiaTheme="minorEastAsia" w:hAnsiTheme="minorHAnsi" w:cstheme="minorBidi"/>
          <w:b w:val="0"/>
          <w:szCs w:val="22"/>
        </w:rPr>
      </w:pPr>
      <w:hyperlink w:anchor="_Toc472686477" w:history="1">
        <w:r w:rsidR="00843DEC" w:rsidRPr="00D2593C">
          <w:rPr>
            <w:rStyle w:val="Hyperlink"/>
          </w:rPr>
          <w:t>3</w:t>
        </w:r>
        <w:r w:rsidR="00843DEC">
          <w:rPr>
            <w:rFonts w:asciiTheme="minorHAnsi" w:eastAsiaTheme="minorEastAsia" w:hAnsiTheme="minorHAnsi" w:cstheme="minorBidi"/>
            <w:b w:val="0"/>
            <w:szCs w:val="22"/>
          </w:rPr>
          <w:tab/>
        </w:r>
        <w:r w:rsidR="00843DEC" w:rsidRPr="00D2593C">
          <w:rPr>
            <w:rStyle w:val="Hyperlink"/>
          </w:rPr>
          <w:t>Recommendations</w:t>
        </w:r>
        <w:r w:rsidR="00843DEC">
          <w:rPr>
            <w:webHidden/>
          </w:rPr>
          <w:tab/>
        </w:r>
        <w:r w:rsidR="00843DEC">
          <w:rPr>
            <w:webHidden/>
          </w:rPr>
          <w:fldChar w:fldCharType="begin"/>
        </w:r>
        <w:r w:rsidR="00843DEC">
          <w:rPr>
            <w:webHidden/>
          </w:rPr>
          <w:instrText xml:space="preserve"> PAGEREF _Toc472686477 \h </w:instrText>
        </w:r>
        <w:r w:rsidR="00843DEC">
          <w:rPr>
            <w:webHidden/>
          </w:rPr>
        </w:r>
        <w:r w:rsidR="00843DEC">
          <w:rPr>
            <w:webHidden/>
          </w:rPr>
          <w:fldChar w:fldCharType="separate"/>
        </w:r>
        <w:r w:rsidR="00FC6518">
          <w:rPr>
            <w:webHidden/>
          </w:rPr>
          <w:t>3</w:t>
        </w:r>
        <w:r w:rsidR="00843DEC">
          <w:rPr>
            <w:webHidden/>
          </w:rPr>
          <w:fldChar w:fldCharType="end"/>
        </w:r>
      </w:hyperlink>
    </w:p>
    <w:p w14:paraId="0A75841E" w14:textId="2AFB8BF3" w:rsidR="00843DEC" w:rsidRDefault="00D00312">
      <w:pPr>
        <w:pStyle w:val="TOC1"/>
        <w:rPr>
          <w:rFonts w:asciiTheme="minorHAnsi" w:eastAsiaTheme="minorEastAsia" w:hAnsiTheme="minorHAnsi" w:cstheme="minorBidi"/>
          <w:b w:val="0"/>
          <w:szCs w:val="22"/>
        </w:rPr>
      </w:pPr>
      <w:hyperlink w:anchor="_Toc472686478" w:history="1">
        <w:r w:rsidR="00843DEC" w:rsidRPr="00D2593C">
          <w:rPr>
            <w:rStyle w:val="Hyperlink"/>
          </w:rPr>
          <w:t>4</w:t>
        </w:r>
        <w:r w:rsidR="00843DEC">
          <w:rPr>
            <w:rFonts w:asciiTheme="minorHAnsi" w:eastAsiaTheme="minorEastAsia" w:hAnsiTheme="minorHAnsi" w:cstheme="minorBidi"/>
            <w:b w:val="0"/>
            <w:szCs w:val="22"/>
          </w:rPr>
          <w:tab/>
        </w:r>
        <w:r w:rsidR="00843DEC" w:rsidRPr="00D2593C">
          <w:rPr>
            <w:rStyle w:val="Hyperlink"/>
          </w:rPr>
          <w:t>Background information</w:t>
        </w:r>
        <w:r w:rsidR="00843DEC">
          <w:rPr>
            <w:webHidden/>
          </w:rPr>
          <w:tab/>
        </w:r>
        <w:r w:rsidR="00843DEC">
          <w:rPr>
            <w:webHidden/>
          </w:rPr>
          <w:fldChar w:fldCharType="begin"/>
        </w:r>
        <w:r w:rsidR="00843DEC">
          <w:rPr>
            <w:webHidden/>
          </w:rPr>
          <w:instrText xml:space="preserve"> PAGEREF _Toc472686478 \h </w:instrText>
        </w:r>
        <w:r w:rsidR="00843DEC">
          <w:rPr>
            <w:webHidden/>
          </w:rPr>
        </w:r>
        <w:r w:rsidR="00843DEC">
          <w:rPr>
            <w:webHidden/>
          </w:rPr>
          <w:fldChar w:fldCharType="separate"/>
        </w:r>
        <w:r w:rsidR="00FC6518">
          <w:rPr>
            <w:webHidden/>
          </w:rPr>
          <w:t>3</w:t>
        </w:r>
        <w:r w:rsidR="00843DEC">
          <w:rPr>
            <w:webHidden/>
          </w:rPr>
          <w:fldChar w:fldCharType="end"/>
        </w:r>
      </w:hyperlink>
    </w:p>
    <w:p w14:paraId="595A2866" w14:textId="724E8B30" w:rsidR="00843DEC" w:rsidRDefault="00D00312">
      <w:pPr>
        <w:pStyle w:val="TOC1"/>
        <w:rPr>
          <w:rFonts w:asciiTheme="minorHAnsi" w:eastAsiaTheme="minorEastAsia" w:hAnsiTheme="minorHAnsi" w:cstheme="minorBidi"/>
          <w:b w:val="0"/>
          <w:szCs w:val="22"/>
        </w:rPr>
      </w:pPr>
      <w:hyperlink w:anchor="_Toc472686479" w:history="1">
        <w:r w:rsidR="00843DEC" w:rsidRPr="00D2593C">
          <w:rPr>
            <w:rStyle w:val="Hyperlink"/>
          </w:rPr>
          <w:t>5</w:t>
        </w:r>
        <w:r w:rsidR="00843DEC">
          <w:rPr>
            <w:rFonts w:asciiTheme="minorHAnsi" w:eastAsiaTheme="minorEastAsia" w:hAnsiTheme="minorHAnsi" w:cstheme="minorBidi"/>
            <w:b w:val="0"/>
            <w:szCs w:val="22"/>
          </w:rPr>
          <w:tab/>
        </w:r>
        <w:r w:rsidR="00843DEC" w:rsidRPr="00D2593C">
          <w:rPr>
            <w:rStyle w:val="Hyperlink"/>
          </w:rPr>
          <w:t>Recent developments in Australia</w:t>
        </w:r>
        <w:r w:rsidR="00843DEC">
          <w:rPr>
            <w:webHidden/>
          </w:rPr>
          <w:tab/>
        </w:r>
        <w:r w:rsidR="00843DEC">
          <w:rPr>
            <w:webHidden/>
          </w:rPr>
          <w:fldChar w:fldCharType="begin"/>
        </w:r>
        <w:r w:rsidR="00843DEC">
          <w:rPr>
            <w:webHidden/>
          </w:rPr>
          <w:instrText xml:space="preserve"> PAGEREF _Toc472686479 \h </w:instrText>
        </w:r>
        <w:r w:rsidR="00843DEC">
          <w:rPr>
            <w:webHidden/>
          </w:rPr>
        </w:r>
        <w:r w:rsidR="00843DEC">
          <w:rPr>
            <w:webHidden/>
          </w:rPr>
          <w:fldChar w:fldCharType="separate"/>
        </w:r>
        <w:r w:rsidR="00FC6518">
          <w:rPr>
            <w:webHidden/>
          </w:rPr>
          <w:t>6</w:t>
        </w:r>
        <w:r w:rsidR="00843DEC">
          <w:rPr>
            <w:webHidden/>
          </w:rPr>
          <w:fldChar w:fldCharType="end"/>
        </w:r>
      </w:hyperlink>
    </w:p>
    <w:p w14:paraId="72CCB60C" w14:textId="60F761BD" w:rsidR="00843DEC" w:rsidRPr="00C734BF" w:rsidRDefault="00D00312">
      <w:pPr>
        <w:pStyle w:val="TOC2"/>
        <w:rPr>
          <w:rFonts w:asciiTheme="minorHAnsi" w:eastAsiaTheme="minorEastAsia" w:hAnsiTheme="minorHAnsi" w:cstheme="minorBidi"/>
          <w:b w:val="0"/>
          <w:i w:val="0"/>
          <w:sz w:val="20"/>
          <w:szCs w:val="22"/>
        </w:rPr>
      </w:pPr>
      <w:hyperlink w:anchor="_Toc472686480" w:history="1">
        <w:r w:rsidR="00843DEC" w:rsidRPr="00C734BF">
          <w:rPr>
            <w:rStyle w:val="Hyperlink"/>
            <w:sz w:val="22"/>
          </w:rPr>
          <w:t>5.1</w:t>
        </w:r>
        <w:r w:rsidR="00843DEC" w:rsidRPr="00C734BF">
          <w:rPr>
            <w:rFonts w:asciiTheme="minorHAnsi" w:eastAsiaTheme="minorEastAsia" w:hAnsiTheme="minorHAnsi" w:cstheme="minorBidi"/>
            <w:b w:val="0"/>
            <w:i w:val="0"/>
            <w:sz w:val="20"/>
            <w:szCs w:val="22"/>
          </w:rPr>
          <w:tab/>
        </w:r>
        <w:r w:rsidR="00843DEC" w:rsidRPr="00C734BF">
          <w:rPr>
            <w:rStyle w:val="Hyperlink"/>
            <w:sz w:val="22"/>
          </w:rPr>
          <w:t>National Plan to Reduce Violence Against Women and their Children</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_Toc472686480 \h </w:instrText>
        </w:r>
        <w:r w:rsidR="00843DEC" w:rsidRPr="00C734BF">
          <w:rPr>
            <w:webHidden/>
            <w:sz w:val="22"/>
          </w:rPr>
        </w:r>
        <w:r w:rsidR="00843DEC" w:rsidRPr="00C734BF">
          <w:rPr>
            <w:webHidden/>
            <w:sz w:val="22"/>
          </w:rPr>
          <w:fldChar w:fldCharType="separate"/>
        </w:r>
        <w:r w:rsidR="00FC6518">
          <w:rPr>
            <w:webHidden/>
            <w:sz w:val="22"/>
          </w:rPr>
          <w:t>6</w:t>
        </w:r>
        <w:r w:rsidR="00843DEC" w:rsidRPr="00C734BF">
          <w:rPr>
            <w:webHidden/>
            <w:sz w:val="22"/>
          </w:rPr>
          <w:fldChar w:fldCharType="end"/>
        </w:r>
      </w:hyperlink>
    </w:p>
    <w:p w14:paraId="3270D595" w14:textId="3C3B253B" w:rsidR="00843DEC" w:rsidRPr="00C734BF" w:rsidRDefault="00D00312">
      <w:pPr>
        <w:pStyle w:val="TOC2"/>
        <w:rPr>
          <w:rFonts w:asciiTheme="minorHAnsi" w:eastAsiaTheme="minorEastAsia" w:hAnsiTheme="minorHAnsi" w:cstheme="minorBidi"/>
          <w:b w:val="0"/>
          <w:i w:val="0"/>
          <w:sz w:val="20"/>
          <w:szCs w:val="22"/>
        </w:rPr>
      </w:pPr>
      <w:hyperlink w:anchor="_Toc472686481" w:history="1">
        <w:r w:rsidR="00843DEC" w:rsidRPr="00C734BF">
          <w:rPr>
            <w:rStyle w:val="Hyperlink"/>
            <w:sz w:val="22"/>
          </w:rPr>
          <w:t>5.2</w:t>
        </w:r>
        <w:r w:rsidR="00843DEC" w:rsidRPr="00C734BF">
          <w:rPr>
            <w:rFonts w:asciiTheme="minorHAnsi" w:eastAsiaTheme="minorEastAsia" w:hAnsiTheme="minorHAnsi" w:cstheme="minorBidi"/>
            <w:b w:val="0"/>
            <w:i w:val="0"/>
            <w:sz w:val="20"/>
            <w:szCs w:val="22"/>
          </w:rPr>
          <w:tab/>
        </w:r>
        <w:r w:rsidR="00843DEC" w:rsidRPr="00C734BF">
          <w:rPr>
            <w:rStyle w:val="Hyperlink"/>
            <w:sz w:val="22"/>
          </w:rPr>
          <w:t>Relevant Federal Government inquiries</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_Toc472686481 \h </w:instrText>
        </w:r>
        <w:r w:rsidR="00843DEC" w:rsidRPr="00C734BF">
          <w:rPr>
            <w:webHidden/>
            <w:sz w:val="22"/>
          </w:rPr>
        </w:r>
        <w:r w:rsidR="00843DEC" w:rsidRPr="00C734BF">
          <w:rPr>
            <w:webHidden/>
            <w:sz w:val="22"/>
          </w:rPr>
          <w:fldChar w:fldCharType="separate"/>
        </w:r>
        <w:r w:rsidR="00FC6518">
          <w:rPr>
            <w:webHidden/>
            <w:sz w:val="22"/>
          </w:rPr>
          <w:t>8</w:t>
        </w:r>
        <w:r w:rsidR="00843DEC" w:rsidRPr="00C734BF">
          <w:rPr>
            <w:webHidden/>
            <w:sz w:val="22"/>
          </w:rPr>
          <w:fldChar w:fldCharType="end"/>
        </w:r>
      </w:hyperlink>
    </w:p>
    <w:p w14:paraId="2DBE8C46" w14:textId="36DDAD2F" w:rsidR="00843DEC" w:rsidRPr="00C734BF" w:rsidRDefault="00D00312">
      <w:pPr>
        <w:pStyle w:val="TOC2"/>
        <w:rPr>
          <w:rFonts w:asciiTheme="minorHAnsi" w:eastAsiaTheme="minorEastAsia" w:hAnsiTheme="minorHAnsi" w:cstheme="minorBidi"/>
          <w:b w:val="0"/>
          <w:i w:val="0"/>
          <w:sz w:val="20"/>
          <w:szCs w:val="22"/>
        </w:rPr>
      </w:pPr>
      <w:hyperlink w:anchor="_Toc472686482" w:history="1">
        <w:r w:rsidR="00843DEC" w:rsidRPr="00C734BF">
          <w:rPr>
            <w:rStyle w:val="Hyperlink"/>
            <w:sz w:val="22"/>
          </w:rPr>
          <w:t>5.3</w:t>
        </w:r>
        <w:r w:rsidR="00843DEC" w:rsidRPr="00C734BF">
          <w:rPr>
            <w:rFonts w:asciiTheme="minorHAnsi" w:eastAsiaTheme="minorEastAsia" w:hAnsiTheme="minorHAnsi" w:cstheme="minorBidi"/>
            <w:b w:val="0"/>
            <w:i w:val="0"/>
            <w:sz w:val="20"/>
            <w:szCs w:val="22"/>
          </w:rPr>
          <w:tab/>
        </w:r>
        <w:r w:rsidR="00843DEC" w:rsidRPr="00C734BF">
          <w:rPr>
            <w:rStyle w:val="Hyperlink"/>
            <w:sz w:val="22"/>
          </w:rPr>
          <w:t>Relevant state government inquiries</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_Toc472686482 \h </w:instrText>
        </w:r>
        <w:r w:rsidR="00843DEC" w:rsidRPr="00C734BF">
          <w:rPr>
            <w:webHidden/>
            <w:sz w:val="22"/>
          </w:rPr>
        </w:r>
        <w:r w:rsidR="00843DEC" w:rsidRPr="00C734BF">
          <w:rPr>
            <w:webHidden/>
            <w:sz w:val="22"/>
          </w:rPr>
          <w:fldChar w:fldCharType="separate"/>
        </w:r>
        <w:r w:rsidR="00FC6518">
          <w:rPr>
            <w:webHidden/>
            <w:sz w:val="22"/>
          </w:rPr>
          <w:t>10</w:t>
        </w:r>
        <w:r w:rsidR="00843DEC" w:rsidRPr="00C734BF">
          <w:rPr>
            <w:webHidden/>
            <w:sz w:val="22"/>
          </w:rPr>
          <w:fldChar w:fldCharType="end"/>
        </w:r>
      </w:hyperlink>
    </w:p>
    <w:p w14:paraId="0218166D" w14:textId="34CB2E66" w:rsidR="00843DEC" w:rsidRPr="00C734BF" w:rsidRDefault="00D00312">
      <w:pPr>
        <w:pStyle w:val="TOC2"/>
        <w:rPr>
          <w:rFonts w:asciiTheme="minorHAnsi" w:eastAsiaTheme="minorEastAsia" w:hAnsiTheme="minorHAnsi" w:cstheme="minorBidi"/>
          <w:b w:val="0"/>
          <w:i w:val="0"/>
          <w:sz w:val="20"/>
          <w:szCs w:val="22"/>
        </w:rPr>
      </w:pPr>
      <w:hyperlink w:anchor="_Toc472686483" w:history="1">
        <w:r w:rsidR="00843DEC" w:rsidRPr="00C734BF">
          <w:rPr>
            <w:rStyle w:val="Hyperlink"/>
            <w:sz w:val="22"/>
          </w:rPr>
          <w:t>5.4</w:t>
        </w:r>
        <w:r w:rsidR="00843DEC" w:rsidRPr="00C734BF">
          <w:rPr>
            <w:rFonts w:asciiTheme="minorHAnsi" w:eastAsiaTheme="minorEastAsia" w:hAnsiTheme="minorHAnsi" w:cstheme="minorBidi"/>
            <w:b w:val="0"/>
            <w:i w:val="0"/>
            <w:sz w:val="20"/>
            <w:szCs w:val="22"/>
          </w:rPr>
          <w:tab/>
        </w:r>
        <w:r w:rsidR="00843DEC" w:rsidRPr="00C734BF">
          <w:rPr>
            <w:rStyle w:val="Hyperlink"/>
            <w:sz w:val="22"/>
          </w:rPr>
          <w:t>Family and domestic violence leave</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_Toc472686483 \h </w:instrText>
        </w:r>
        <w:r w:rsidR="00843DEC" w:rsidRPr="00C734BF">
          <w:rPr>
            <w:webHidden/>
            <w:sz w:val="22"/>
          </w:rPr>
        </w:r>
        <w:r w:rsidR="00843DEC" w:rsidRPr="00C734BF">
          <w:rPr>
            <w:webHidden/>
            <w:sz w:val="22"/>
          </w:rPr>
          <w:fldChar w:fldCharType="separate"/>
        </w:r>
        <w:r w:rsidR="00FC6518">
          <w:rPr>
            <w:webHidden/>
            <w:sz w:val="22"/>
          </w:rPr>
          <w:t>10</w:t>
        </w:r>
        <w:r w:rsidR="00843DEC" w:rsidRPr="00C734BF">
          <w:rPr>
            <w:webHidden/>
            <w:sz w:val="22"/>
          </w:rPr>
          <w:fldChar w:fldCharType="end"/>
        </w:r>
      </w:hyperlink>
    </w:p>
    <w:p w14:paraId="71210187" w14:textId="639B0CC8" w:rsidR="00843DEC" w:rsidRDefault="00D00312">
      <w:pPr>
        <w:pStyle w:val="TOC1"/>
        <w:rPr>
          <w:rFonts w:asciiTheme="minorHAnsi" w:eastAsiaTheme="minorEastAsia" w:hAnsiTheme="minorHAnsi" w:cstheme="minorBidi"/>
          <w:b w:val="0"/>
          <w:szCs w:val="22"/>
        </w:rPr>
      </w:pPr>
      <w:hyperlink w:anchor="_Toc472686484" w:history="1">
        <w:r w:rsidR="00843DEC" w:rsidRPr="00D2593C">
          <w:rPr>
            <w:rStyle w:val="Hyperlink"/>
          </w:rPr>
          <w:t>6</w:t>
        </w:r>
        <w:r w:rsidR="00843DEC">
          <w:rPr>
            <w:rFonts w:asciiTheme="minorHAnsi" w:eastAsiaTheme="minorEastAsia" w:hAnsiTheme="minorHAnsi" w:cstheme="minorBidi"/>
            <w:b w:val="0"/>
            <w:szCs w:val="22"/>
          </w:rPr>
          <w:tab/>
        </w:r>
        <w:r w:rsidR="00843DEC" w:rsidRPr="00D2593C">
          <w:rPr>
            <w:rStyle w:val="Hyperlink"/>
          </w:rPr>
          <w:t>The Commission’s work on violence against women</w:t>
        </w:r>
        <w:r w:rsidR="00843DEC">
          <w:rPr>
            <w:webHidden/>
          </w:rPr>
          <w:tab/>
        </w:r>
        <w:r w:rsidR="00843DEC">
          <w:rPr>
            <w:webHidden/>
          </w:rPr>
          <w:fldChar w:fldCharType="begin"/>
        </w:r>
        <w:r w:rsidR="00843DEC">
          <w:rPr>
            <w:webHidden/>
          </w:rPr>
          <w:instrText xml:space="preserve"> PAGEREF _Toc472686484 \h </w:instrText>
        </w:r>
        <w:r w:rsidR="00843DEC">
          <w:rPr>
            <w:webHidden/>
          </w:rPr>
        </w:r>
        <w:r w:rsidR="00843DEC">
          <w:rPr>
            <w:webHidden/>
          </w:rPr>
          <w:fldChar w:fldCharType="separate"/>
        </w:r>
        <w:r w:rsidR="00FC6518">
          <w:rPr>
            <w:webHidden/>
          </w:rPr>
          <w:t>11</w:t>
        </w:r>
        <w:r w:rsidR="00843DEC">
          <w:rPr>
            <w:webHidden/>
          </w:rPr>
          <w:fldChar w:fldCharType="end"/>
        </w:r>
      </w:hyperlink>
    </w:p>
    <w:p w14:paraId="1A447F26" w14:textId="780D71CD" w:rsidR="00843DEC" w:rsidRPr="00C734BF" w:rsidRDefault="00D00312">
      <w:pPr>
        <w:pStyle w:val="TOC2"/>
        <w:rPr>
          <w:rFonts w:asciiTheme="minorHAnsi" w:eastAsiaTheme="minorEastAsia" w:hAnsiTheme="minorHAnsi" w:cstheme="minorBidi"/>
          <w:b w:val="0"/>
          <w:i w:val="0"/>
          <w:sz w:val="20"/>
          <w:szCs w:val="22"/>
        </w:rPr>
      </w:pPr>
      <w:hyperlink w:anchor="_Toc472686485" w:history="1">
        <w:r w:rsidR="00843DEC" w:rsidRPr="00C734BF">
          <w:rPr>
            <w:rStyle w:val="Hyperlink"/>
            <w:sz w:val="22"/>
          </w:rPr>
          <w:t>6.1</w:t>
        </w:r>
        <w:r w:rsidR="00843DEC" w:rsidRPr="00C734BF">
          <w:rPr>
            <w:rFonts w:asciiTheme="minorHAnsi" w:eastAsiaTheme="minorEastAsia" w:hAnsiTheme="minorHAnsi" w:cstheme="minorBidi"/>
            <w:b w:val="0"/>
            <w:i w:val="0"/>
            <w:sz w:val="20"/>
            <w:szCs w:val="22"/>
          </w:rPr>
          <w:tab/>
        </w:r>
        <w:r w:rsidR="00843DEC" w:rsidRPr="00C734BF">
          <w:rPr>
            <w:rStyle w:val="Hyperlink"/>
            <w:sz w:val="22"/>
          </w:rPr>
          <w:t>Sexual harassment surveys and resources</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_Toc472686485 \h </w:instrText>
        </w:r>
        <w:r w:rsidR="00843DEC" w:rsidRPr="00C734BF">
          <w:rPr>
            <w:webHidden/>
            <w:sz w:val="22"/>
          </w:rPr>
        </w:r>
        <w:r w:rsidR="00843DEC" w:rsidRPr="00C734BF">
          <w:rPr>
            <w:webHidden/>
            <w:sz w:val="22"/>
          </w:rPr>
          <w:fldChar w:fldCharType="separate"/>
        </w:r>
        <w:r w:rsidR="00FC6518">
          <w:rPr>
            <w:webHidden/>
            <w:sz w:val="22"/>
          </w:rPr>
          <w:t>11</w:t>
        </w:r>
        <w:r w:rsidR="00843DEC" w:rsidRPr="00C734BF">
          <w:rPr>
            <w:webHidden/>
            <w:sz w:val="22"/>
          </w:rPr>
          <w:fldChar w:fldCharType="end"/>
        </w:r>
      </w:hyperlink>
    </w:p>
    <w:p w14:paraId="50CE9CF6" w14:textId="75B50B32" w:rsidR="00843DEC" w:rsidRPr="00C734BF" w:rsidRDefault="00D00312">
      <w:pPr>
        <w:pStyle w:val="TOC2"/>
        <w:rPr>
          <w:rFonts w:asciiTheme="minorHAnsi" w:eastAsiaTheme="minorEastAsia" w:hAnsiTheme="minorHAnsi" w:cstheme="minorBidi"/>
          <w:b w:val="0"/>
          <w:i w:val="0"/>
          <w:sz w:val="20"/>
          <w:szCs w:val="22"/>
        </w:rPr>
      </w:pPr>
      <w:hyperlink w:anchor="_Toc472686486" w:history="1">
        <w:r w:rsidR="00843DEC" w:rsidRPr="00C734BF">
          <w:rPr>
            <w:rStyle w:val="Hyperlink"/>
            <w:sz w:val="22"/>
          </w:rPr>
          <w:t>6.2</w:t>
        </w:r>
        <w:r w:rsidR="00843DEC" w:rsidRPr="00C734BF">
          <w:rPr>
            <w:rFonts w:asciiTheme="minorHAnsi" w:eastAsiaTheme="minorEastAsia" w:hAnsiTheme="minorHAnsi" w:cstheme="minorBidi"/>
            <w:b w:val="0"/>
            <w:i w:val="0"/>
            <w:sz w:val="20"/>
            <w:szCs w:val="22"/>
          </w:rPr>
          <w:tab/>
        </w:r>
        <w:r w:rsidR="00843DEC" w:rsidRPr="00C734BF">
          <w:rPr>
            <w:rStyle w:val="Hyperlink"/>
            <w:sz w:val="22"/>
          </w:rPr>
          <w:t>Collaboration for Cultural Reform in Defence</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_Toc472686486 \h </w:instrText>
        </w:r>
        <w:r w:rsidR="00843DEC" w:rsidRPr="00C734BF">
          <w:rPr>
            <w:webHidden/>
            <w:sz w:val="22"/>
          </w:rPr>
        </w:r>
        <w:r w:rsidR="00843DEC" w:rsidRPr="00C734BF">
          <w:rPr>
            <w:webHidden/>
            <w:sz w:val="22"/>
          </w:rPr>
          <w:fldChar w:fldCharType="separate"/>
        </w:r>
        <w:r w:rsidR="00FC6518">
          <w:rPr>
            <w:webHidden/>
            <w:sz w:val="22"/>
          </w:rPr>
          <w:t>12</w:t>
        </w:r>
        <w:r w:rsidR="00843DEC" w:rsidRPr="00C734BF">
          <w:rPr>
            <w:webHidden/>
            <w:sz w:val="22"/>
          </w:rPr>
          <w:fldChar w:fldCharType="end"/>
        </w:r>
      </w:hyperlink>
    </w:p>
    <w:p w14:paraId="21686023" w14:textId="42BF50C4" w:rsidR="00843DEC" w:rsidRPr="00C734BF" w:rsidRDefault="00D00312">
      <w:pPr>
        <w:pStyle w:val="TOC2"/>
        <w:rPr>
          <w:rFonts w:asciiTheme="minorHAnsi" w:eastAsiaTheme="minorEastAsia" w:hAnsiTheme="minorHAnsi" w:cstheme="minorBidi"/>
          <w:b w:val="0"/>
          <w:i w:val="0"/>
          <w:sz w:val="20"/>
          <w:szCs w:val="22"/>
        </w:rPr>
      </w:pPr>
      <w:hyperlink w:anchor="_Toc472686487" w:history="1">
        <w:r w:rsidR="00843DEC" w:rsidRPr="00C734BF">
          <w:rPr>
            <w:rStyle w:val="Hyperlink"/>
            <w:sz w:val="22"/>
          </w:rPr>
          <w:t>6.3</w:t>
        </w:r>
        <w:r w:rsidR="00843DEC" w:rsidRPr="00C734BF">
          <w:rPr>
            <w:rFonts w:asciiTheme="minorHAnsi" w:eastAsiaTheme="minorEastAsia" w:hAnsiTheme="minorHAnsi" w:cstheme="minorBidi"/>
            <w:b w:val="0"/>
            <w:i w:val="0"/>
            <w:sz w:val="20"/>
            <w:szCs w:val="22"/>
          </w:rPr>
          <w:tab/>
        </w:r>
        <w:r w:rsidR="00843DEC" w:rsidRPr="00C734BF">
          <w:rPr>
            <w:rStyle w:val="Hyperlink"/>
            <w:sz w:val="22"/>
          </w:rPr>
          <w:t>University sexual assault and sexual harassment project</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_Toc472686487 \h </w:instrText>
        </w:r>
        <w:r w:rsidR="00843DEC" w:rsidRPr="00C734BF">
          <w:rPr>
            <w:webHidden/>
            <w:sz w:val="22"/>
          </w:rPr>
        </w:r>
        <w:r w:rsidR="00843DEC" w:rsidRPr="00C734BF">
          <w:rPr>
            <w:webHidden/>
            <w:sz w:val="22"/>
          </w:rPr>
          <w:fldChar w:fldCharType="separate"/>
        </w:r>
        <w:r w:rsidR="00FC6518">
          <w:rPr>
            <w:webHidden/>
            <w:sz w:val="22"/>
          </w:rPr>
          <w:t>13</w:t>
        </w:r>
        <w:r w:rsidR="00843DEC" w:rsidRPr="00C734BF">
          <w:rPr>
            <w:webHidden/>
            <w:sz w:val="22"/>
          </w:rPr>
          <w:fldChar w:fldCharType="end"/>
        </w:r>
      </w:hyperlink>
    </w:p>
    <w:p w14:paraId="3C3CDF3B" w14:textId="1160BC5B" w:rsidR="00843DEC" w:rsidRPr="00C734BF" w:rsidRDefault="00D00312">
      <w:pPr>
        <w:pStyle w:val="TOC2"/>
        <w:rPr>
          <w:rFonts w:asciiTheme="minorHAnsi" w:eastAsiaTheme="minorEastAsia" w:hAnsiTheme="minorHAnsi" w:cstheme="minorBidi"/>
          <w:b w:val="0"/>
          <w:i w:val="0"/>
          <w:sz w:val="20"/>
          <w:szCs w:val="22"/>
        </w:rPr>
      </w:pPr>
      <w:hyperlink w:anchor="_Toc472686488" w:history="1">
        <w:r w:rsidR="00843DEC" w:rsidRPr="00C734BF">
          <w:rPr>
            <w:rStyle w:val="Hyperlink"/>
            <w:sz w:val="22"/>
          </w:rPr>
          <w:t>6.4</w:t>
        </w:r>
        <w:r w:rsidR="00843DEC" w:rsidRPr="00C734BF">
          <w:rPr>
            <w:rFonts w:asciiTheme="minorHAnsi" w:eastAsiaTheme="minorEastAsia" w:hAnsiTheme="minorHAnsi" w:cstheme="minorBidi"/>
            <w:b w:val="0"/>
            <w:i w:val="0"/>
            <w:sz w:val="20"/>
            <w:szCs w:val="22"/>
          </w:rPr>
          <w:tab/>
        </w:r>
        <w:r w:rsidR="00843DEC" w:rsidRPr="00C734BF">
          <w:rPr>
            <w:rStyle w:val="Hyperlink"/>
            <w:sz w:val="22"/>
          </w:rPr>
          <w:t>Domestic and family violence death review mechanisms</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_Toc472686488 \h </w:instrText>
        </w:r>
        <w:r w:rsidR="00843DEC" w:rsidRPr="00C734BF">
          <w:rPr>
            <w:webHidden/>
            <w:sz w:val="22"/>
          </w:rPr>
        </w:r>
        <w:r w:rsidR="00843DEC" w:rsidRPr="00C734BF">
          <w:rPr>
            <w:webHidden/>
            <w:sz w:val="22"/>
          </w:rPr>
          <w:fldChar w:fldCharType="separate"/>
        </w:r>
        <w:r w:rsidR="00FC6518">
          <w:rPr>
            <w:webHidden/>
            <w:sz w:val="22"/>
          </w:rPr>
          <w:t>13</w:t>
        </w:r>
        <w:r w:rsidR="00843DEC" w:rsidRPr="00C734BF">
          <w:rPr>
            <w:webHidden/>
            <w:sz w:val="22"/>
          </w:rPr>
          <w:fldChar w:fldCharType="end"/>
        </w:r>
      </w:hyperlink>
    </w:p>
    <w:p w14:paraId="064C9CF9" w14:textId="31F97F23" w:rsidR="00843DEC" w:rsidRPr="00C734BF" w:rsidRDefault="00D00312">
      <w:pPr>
        <w:pStyle w:val="TOC2"/>
        <w:rPr>
          <w:rFonts w:asciiTheme="minorHAnsi" w:eastAsiaTheme="minorEastAsia" w:hAnsiTheme="minorHAnsi" w:cstheme="minorBidi"/>
          <w:b w:val="0"/>
          <w:i w:val="0"/>
          <w:sz w:val="20"/>
          <w:szCs w:val="22"/>
        </w:rPr>
      </w:pPr>
      <w:hyperlink w:anchor="_Toc472686489" w:history="1">
        <w:r w:rsidR="00843DEC" w:rsidRPr="00C734BF">
          <w:rPr>
            <w:rStyle w:val="Hyperlink"/>
            <w:sz w:val="22"/>
          </w:rPr>
          <w:t>6.5</w:t>
        </w:r>
        <w:r w:rsidR="00843DEC" w:rsidRPr="00C734BF">
          <w:rPr>
            <w:rFonts w:asciiTheme="minorHAnsi" w:eastAsiaTheme="minorEastAsia" w:hAnsiTheme="minorHAnsi" w:cstheme="minorBidi"/>
            <w:b w:val="0"/>
            <w:i w:val="0"/>
            <w:sz w:val="20"/>
            <w:szCs w:val="22"/>
          </w:rPr>
          <w:tab/>
        </w:r>
        <w:r w:rsidR="00843DEC" w:rsidRPr="00C734BF">
          <w:rPr>
            <w:rStyle w:val="Hyperlink"/>
            <w:sz w:val="22"/>
          </w:rPr>
          <w:t>Children’s Rights Report 2015</w:t>
        </w:r>
        <w:r w:rsidR="00843DEC" w:rsidRPr="00C734BF">
          <w:rPr>
            <w:webHidden/>
            <w:sz w:val="22"/>
          </w:rPr>
          <w:tab/>
        </w:r>
        <w:r w:rsidR="00843DEC" w:rsidRPr="00C734BF">
          <w:rPr>
            <w:webHidden/>
            <w:sz w:val="22"/>
          </w:rPr>
          <w:fldChar w:fldCharType="begin"/>
        </w:r>
        <w:r w:rsidR="00843DEC" w:rsidRPr="00C734BF">
          <w:rPr>
            <w:webHidden/>
            <w:sz w:val="22"/>
          </w:rPr>
          <w:instrText xml:space="preserve"> PAGEREF _Toc472686489 \h </w:instrText>
        </w:r>
        <w:r w:rsidR="00843DEC" w:rsidRPr="00C734BF">
          <w:rPr>
            <w:webHidden/>
            <w:sz w:val="22"/>
          </w:rPr>
        </w:r>
        <w:r w:rsidR="00843DEC" w:rsidRPr="00C734BF">
          <w:rPr>
            <w:webHidden/>
            <w:sz w:val="22"/>
          </w:rPr>
          <w:fldChar w:fldCharType="separate"/>
        </w:r>
        <w:r w:rsidR="00FC6518">
          <w:rPr>
            <w:webHidden/>
            <w:sz w:val="22"/>
          </w:rPr>
          <w:t>14</w:t>
        </w:r>
        <w:r w:rsidR="00843DEC" w:rsidRPr="00C734BF">
          <w:rPr>
            <w:webHidden/>
            <w:sz w:val="22"/>
          </w:rPr>
          <w:fldChar w:fldCharType="end"/>
        </w:r>
      </w:hyperlink>
    </w:p>
    <w:p w14:paraId="06A03306" w14:textId="77777777" w:rsidR="00B34946" w:rsidRPr="009640F7" w:rsidRDefault="00B63D24" w:rsidP="00B63D24">
      <w:r w:rsidRPr="009640F7">
        <w:fldChar w:fldCharType="end"/>
      </w:r>
    </w:p>
    <w:p w14:paraId="4AD21C02" w14:textId="77777777" w:rsidR="00B34946" w:rsidRPr="009640F7" w:rsidRDefault="00B34946">
      <w:pPr>
        <w:spacing w:before="0" w:after="0"/>
      </w:pPr>
      <w:r w:rsidRPr="009640F7">
        <w:br w:type="page"/>
      </w:r>
    </w:p>
    <w:p w14:paraId="798966B8" w14:textId="77777777" w:rsidR="00B34946" w:rsidRPr="009640F7" w:rsidRDefault="00B34946" w:rsidP="00170344">
      <w:pPr>
        <w:pStyle w:val="Heading1"/>
        <w:numPr>
          <w:ilvl w:val="0"/>
          <w:numId w:val="16"/>
        </w:numPr>
      </w:pPr>
      <w:bookmarkStart w:id="6" w:name="_Toc207761830"/>
      <w:bookmarkStart w:id="7" w:name="_Toc209578266"/>
      <w:bookmarkStart w:id="8" w:name="_Toc472686475"/>
      <w:r w:rsidRPr="009640F7">
        <w:lastRenderedPageBreak/>
        <w:t>Introduction</w:t>
      </w:r>
      <w:bookmarkEnd w:id="6"/>
      <w:bookmarkEnd w:id="7"/>
      <w:bookmarkEnd w:id="8"/>
      <w:r w:rsidRPr="009640F7">
        <w:t xml:space="preserve"> </w:t>
      </w:r>
    </w:p>
    <w:p w14:paraId="27369390" w14:textId="77777777" w:rsidR="00B34946" w:rsidRPr="009640F7" w:rsidRDefault="00B34946" w:rsidP="00BD2726">
      <w:pPr>
        <w:pStyle w:val="SubmissionNormal"/>
      </w:pPr>
      <w:r w:rsidRPr="009640F7">
        <w:t>The Aust</w:t>
      </w:r>
      <w:r w:rsidR="00074319" w:rsidRPr="009640F7">
        <w:t>ralian Human Rights Commission</w:t>
      </w:r>
      <w:r w:rsidRPr="009640F7">
        <w:t xml:space="preserve"> makes this submission to </w:t>
      </w:r>
      <w:r w:rsidR="00BD2726" w:rsidRPr="009640F7">
        <w:t xml:space="preserve">inform the country visit to Australia of the Special Rapporteur on violence against women, its causes and consequences. </w:t>
      </w:r>
    </w:p>
    <w:p w14:paraId="73C7B262" w14:textId="77777777" w:rsidR="00B34946" w:rsidRPr="009640F7" w:rsidRDefault="00D02BB0" w:rsidP="00D02BB0">
      <w:pPr>
        <w:pStyle w:val="SubmissionNormal"/>
      </w:pPr>
      <w:r w:rsidRPr="009640F7">
        <w:t xml:space="preserve">The Commission is established by the </w:t>
      </w:r>
      <w:r w:rsidRPr="009640F7">
        <w:rPr>
          <w:i/>
        </w:rPr>
        <w:t>Australian Human Rights Commission Act 1986</w:t>
      </w:r>
      <w:r w:rsidRPr="009640F7">
        <w:t xml:space="preserve"> (Cth) and is Australia’s national h</w:t>
      </w:r>
      <w:r w:rsidR="005A468B" w:rsidRPr="009640F7">
        <w:t xml:space="preserve">uman rights institution with </w:t>
      </w:r>
      <w:r w:rsidRPr="009640F7">
        <w:t>‘A’ status.</w:t>
      </w:r>
    </w:p>
    <w:p w14:paraId="4F1346D9" w14:textId="77777777" w:rsidR="00B34946" w:rsidRPr="007352F8" w:rsidRDefault="00B34946" w:rsidP="00170344">
      <w:pPr>
        <w:pStyle w:val="Heading1"/>
        <w:numPr>
          <w:ilvl w:val="0"/>
          <w:numId w:val="16"/>
        </w:numPr>
      </w:pPr>
      <w:bookmarkStart w:id="9" w:name="_Toc162769290"/>
      <w:bookmarkStart w:id="10" w:name="_Toc207761831"/>
      <w:bookmarkStart w:id="11" w:name="_Toc209578267"/>
      <w:bookmarkStart w:id="12" w:name="_Toc472686476"/>
      <w:r w:rsidRPr="007352F8">
        <w:t>Summary</w:t>
      </w:r>
      <w:bookmarkEnd w:id="9"/>
      <w:bookmarkEnd w:id="10"/>
      <w:bookmarkEnd w:id="11"/>
      <w:bookmarkEnd w:id="12"/>
    </w:p>
    <w:p w14:paraId="3191C661" w14:textId="77777777" w:rsidR="00B34946" w:rsidRPr="007352F8" w:rsidRDefault="007352F8" w:rsidP="00B34946">
      <w:pPr>
        <w:pStyle w:val="SubmissionNormal"/>
      </w:pPr>
      <w:r w:rsidRPr="007352F8">
        <w:t>This submission provides an overview of violence against women in Australia. It includes background information about the nature and prevalence of violence against women in Australia; a summary of recent policy developments relating to violence against women; and an</w:t>
      </w:r>
      <w:r w:rsidR="006D6D25">
        <w:t xml:space="preserve"> outline </w:t>
      </w:r>
      <w:r w:rsidRPr="007352F8">
        <w:t xml:space="preserve">of the Commission’s recent work on violence against women. </w:t>
      </w:r>
    </w:p>
    <w:p w14:paraId="40743F05" w14:textId="77777777" w:rsidR="007352F8" w:rsidRPr="006D3EA5" w:rsidRDefault="007352F8" w:rsidP="00B34946">
      <w:pPr>
        <w:pStyle w:val="SubmissionNormal"/>
      </w:pPr>
      <w:r w:rsidRPr="007352F8">
        <w:t xml:space="preserve">The Commission looks forward to providing further information to the Special </w:t>
      </w:r>
      <w:r w:rsidRPr="006D3EA5">
        <w:t xml:space="preserve">Rapporteur during her visit to Australia </w:t>
      </w:r>
      <w:r w:rsidR="00B42410" w:rsidRPr="006D3EA5">
        <w:t xml:space="preserve">in February 2017. </w:t>
      </w:r>
    </w:p>
    <w:p w14:paraId="46A27D1B" w14:textId="77777777" w:rsidR="00B34946" w:rsidRPr="006D3EA5" w:rsidRDefault="00B34946" w:rsidP="00170344">
      <w:pPr>
        <w:pStyle w:val="Heading1"/>
        <w:numPr>
          <w:ilvl w:val="0"/>
          <w:numId w:val="16"/>
        </w:numPr>
      </w:pPr>
      <w:bookmarkStart w:id="13" w:name="_Toc162769291"/>
      <w:bookmarkStart w:id="14" w:name="_Toc207761832"/>
      <w:bookmarkStart w:id="15" w:name="_Toc209578268"/>
      <w:bookmarkStart w:id="16" w:name="_Toc472686477"/>
      <w:r w:rsidRPr="006D3EA5">
        <w:t>Recommendations</w:t>
      </w:r>
      <w:bookmarkEnd w:id="13"/>
      <w:bookmarkEnd w:id="14"/>
      <w:bookmarkEnd w:id="15"/>
      <w:bookmarkEnd w:id="16"/>
    </w:p>
    <w:p w14:paraId="62A649ED" w14:textId="77777777" w:rsidR="00B34946" w:rsidRPr="006D3EA5" w:rsidRDefault="00FF64AE" w:rsidP="00B34946">
      <w:pPr>
        <w:pStyle w:val="SubmissionNormal"/>
      </w:pPr>
      <w:r w:rsidRPr="006D3EA5">
        <w:t>T</w:t>
      </w:r>
      <w:r w:rsidR="009F6B03" w:rsidRPr="006D3EA5">
        <w:t xml:space="preserve">his submission references a range of documents </w:t>
      </w:r>
      <w:r w:rsidR="00ED3512">
        <w:t xml:space="preserve">produced by the Commission </w:t>
      </w:r>
      <w:r w:rsidR="009F6B03" w:rsidRPr="006D3EA5">
        <w:t xml:space="preserve">which include recommendations relating to violence against women in Australia. These include: </w:t>
      </w:r>
    </w:p>
    <w:p w14:paraId="206EF020" w14:textId="77777777" w:rsidR="006D3EA5" w:rsidRPr="006D3EA5" w:rsidRDefault="006D3EA5" w:rsidP="006D3EA5">
      <w:pPr>
        <w:pStyle w:val="SubmissionNormal"/>
        <w:numPr>
          <w:ilvl w:val="0"/>
          <w:numId w:val="25"/>
        </w:numPr>
        <w:tabs>
          <w:tab w:val="clear" w:pos="720"/>
        </w:tabs>
        <w:ind w:left="1276"/>
      </w:pPr>
      <w:r w:rsidRPr="006D3EA5">
        <w:t>Submission to the Senate Finance and Public Administration References Committee, inquiry into domestic violence and gender inequality</w:t>
      </w:r>
      <w:r w:rsidRPr="006D3EA5">
        <w:rPr>
          <w:rStyle w:val="EndnoteReference"/>
        </w:rPr>
        <w:endnoteReference w:id="1"/>
      </w:r>
    </w:p>
    <w:p w14:paraId="5AFECC19" w14:textId="77777777" w:rsidR="006D3EA5" w:rsidRDefault="006D3EA5" w:rsidP="006D3EA5">
      <w:pPr>
        <w:pStyle w:val="SubmissionNormal"/>
        <w:numPr>
          <w:ilvl w:val="0"/>
          <w:numId w:val="25"/>
        </w:numPr>
        <w:tabs>
          <w:tab w:val="clear" w:pos="720"/>
        </w:tabs>
        <w:ind w:left="1276"/>
      </w:pPr>
      <w:r w:rsidRPr="00F30A7C">
        <w:t>Submission to the Joint Committee on Law Enforcement</w:t>
      </w:r>
      <w:r>
        <w:t xml:space="preserve"> i</w:t>
      </w:r>
      <w:r w:rsidRPr="00F30A7C">
        <w:t xml:space="preserve">nquiry into </w:t>
      </w:r>
      <w:r>
        <w:t>human t</w:t>
      </w:r>
      <w:r w:rsidRPr="00F30A7C">
        <w:t>rafficking</w:t>
      </w:r>
      <w:r>
        <w:rPr>
          <w:rStyle w:val="EndnoteReference"/>
        </w:rPr>
        <w:endnoteReference w:id="2"/>
      </w:r>
    </w:p>
    <w:p w14:paraId="7BE8B811" w14:textId="77777777" w:rsidR="006D3EA5" w:rsidRDefault="006D3EA5" w:rsidP="006D3EA5">
      <w:pPr>
        <w:pStyle w:val="SubmissionNormal"/>
        <w:numPr>
          <w:ilvl w:val="0"/>
          <w:numId w:val="25"/>
        </w:numPr>
        <w:tabs>
          <w:tab w:val="clear" w:pos="720"/>
        </w:tabs>
        <w:ind w:left="1276"/>
      </w:pPr>
      <w:r>
        <w:t>Submission to the Fair Work Commission f</w:t>
      </w:r>
      <w:r w:rsidRPr="000B2450">
        <w:t>our yearly review of AM2015/1 Family and domestic violence clause</w:t>
      </w:r>
      <w:r>
        <w:rPr>
          <w:rStyle w:val="EndnoteReference"/>
        </w:rPr>
        <w:endnoteReference w:id="3"/>
      </w:r>
    </w:p>
    <w:p w14:paraId="29EA4DFA" w14:textId="77777777" w:rsidR="006D3EA5" w:rsidRDefault="006D3EA5" w:rsidP="006D3EA5">
      <w:pPr>
        <w:pStyle w:val="SubmissionNormal"/>
        <w:numPr>
          <w:ilvl w:val="0"/>
          <w:numId w:val="25"/>
        </w:numPr>
        <w:tabs>
          <w:tab w:val="clear" w:pos="720"/>
        </w:tabs>
        <w:ind w:left="1276"/>
      </w:pPr>
      <w:r w:rsidRPr="00F30A7C">
        <w:t>Collaboration for Cultural Reform in Defence</w:t>
      </w:r>
      <w:r>
        <w:t xml:space="preserve"> project reports</w:t>
      </w:r>
      <w:r w:rsidRPr="003C4DA1">
        <w:rPr>
          <w:rStyle w:val="EndnoteReference"/>
        </w:rPr>
        <w:endnoteReference w:id="4"/>
      </w:r>
    </w:p>
    <w:p w14:paraId="1CBE3595" w14:textId="77777777" w:rsidR="006D3EA5" w:rsidRDefault="006D3EA5" w:rsidP="006D3EA5">
      <w:pPr>
        <w:pStyle w:val="SubmissionNormal"/>
        <w:numPr>
          <w:ilvl w:val="0"/>
          <w:numId w:val="25"/>
        </w:numPr>
        <w:tabs>
          <w:tab w:val="clear" w:pos="720"/>
        </w:tabs>
        <w:ind w:left="1276"/>
      </w:pPr>
      <w:r>
        <w:t>Children’s Rights Report 2015</w:t>
      </w:r>
      <w:r>
        <w:rPr>
          <w:rStyle w:val="EndnoteReference"/>
        </w:rPr>
        <w:endnoteReference w:id="5"/>
      </w:r>
    </w:p>
    <w:p w14:paraId="481A4CBA" w14:textId="77777777" w:rsidR="00971881" w:rsidRPr="006D3EA5" w:rsidRDefault="0017407E" w:rsidP="00971881">
      <w:pPr>
        <w:pStyle w:val="SubmissionNormal"/>
      </w:pPr>
      <w:r>
        <w:t xml:space="preserve">The Commission also refers the </w:t>
      </w:r>
      <w:r w:rsidR="00766EBF">
        <w:t xml:space="preserve">Special </w:t>
      </w:r>
      <w:r>
        <w:t>Rapporteur to the recommendations of the Victorian Royal Commission into Family Violence.</w:t>
      </w:r>
      <w:r>
        <w:rPr>
          <w:rStyle w:val="EndnoteReference"/>
        </w:rPr>
        <w:endnoteReference w:id="6"/>
      </w:r>
      <w:r>
        <w:t xml:space="preserve"> </w:t>
      </w:r>
    </w:p>
    <w:p w14:paraId="33FE4CDE" w14:textId="77777777" w:rsidR="00F0233C" w:rsidRPr="009640F7" w:rsidRDefault="00DA19B5" w:rsidP="00170344">
      <w:pPr>
        <w:pStyle w:val="Heading1"/>
        <w:numPr>
          <w:ilvl w:val="0"/>
          <w:numId w:val="16"/>
        </w:numPr>
      </w:pPr>
      <w:bookmarkStart w:id="17" w:name="_Toc472686478"/>
      <w:r w:rsidRPr="009640F7">
        <w:t>Background information</w:t>
      </w:r>
      <w:bookmarkEnd w:id="17"/>
    </w:p>
    <w:p w14:paraId="3DD7BD8F" w14:textId="77777777" w:rsidR="000E7ACB" w:rsidRDefault="00F41A8B" w:rsidP="00D54487">
      <w:pPr>
        <w:pStyle w:val="SubmissionNormal"/>
      </w:pPr>
      <w:r w:rsidRPr="00FF6BDC">
        <w:t>Australia has a disturbingly high</w:t>
      </w:r>
      <w:r w:rsidR="000E7ACB">
        <w:t xml:space="preserve"> rate of violence against women. In recent times, policy and public discussions on violence against women in Australia have had a strong focus on </w:t>
      </w:r>
      <w:r w:rsidR="00435097">
        <w:t xml:space="preserve">family and </w:t>
      </w:r>
      <w:r w:rsidR="000E7ACB">
        <w:t>domestic violence, in particular intimate partner violence. However, consultations conducted by the Commission indicate that violence against women can take many forms, includi</w:t>
      </w:r>
      <w:r w:rsidR="00435097">
        <w:t xml:space="preserve">ng family </w:t>
      </w:r>
      <w:r w:rsidR="00435097">
        <w:lastRenderedPageBreak/>
        <w:t>a</w:t>
      </w:r>
      <w:r w:rsidR="000E7ACB">
        <w:t>nd domestic violence</w:t>
      </w:r>
      <w:r w:rsidR="00435097">
        <w:t>, sexual assault, sexual harassment, violence in residential settings and o</w:t>
      </w:r>
      <w:r w:rsidR="008C2B62">
        <w:t>nline violence and harassment.</w:t>
      </w:r>
    </w:p>
    <w:p w14:paraId="188FF9C8" w14:textId="77777777" w:rsidR="0017219A" w:rsidRPr="00FF6BDC" w:rsidRDefault="000D30CD" w:rsidP="007F52E8">
      <w:pPr>
        <w:pStyle w:val="SubmissionNormal"/>
      </w:pPr>
      <w:r w:rsidRPr="00FF6BDC">
        <w:t>A Personal Safety Survey conducted</w:t>
      </w:r>
      <w:r w:rsidR="00FE2997" w:rsidRPr="00FF6BDC">
        <w:t xml:space="preserve"> in 2012</w:t>
      </w:r>
      <w:r w:rsidRPr="00FF6BDC">
        <w:t xml:space="preserve"> by the Australian Bureau of Statistics found that</w:t>
      </w:r>
      <w:r w:rsidR="003C17EA" w:rsidRPr="00FF6BDC">
        <w:t xml:space="preserve"> </w:t>
      </w:r>
      <w:r w:rsidR="00FE2997" w:rsidRPr="00FF6BDC">
        <w:t>5.3% of women had experienced some form of violence in the last 12 months, and 40.8% had experienced some form o</w:t>
      </w:r>
      <w:r w:rsidR="00571073" w:rsidRPr="00FF6BDC">
        <w:t>f violence since the age of 15.</w:t>
      </w:r>
      <w:r w:rsidR="003472CC" w:rsidRPr="003C4DA1">
        <w:rPr>
          <w:rStyle w:val="EndnoteReference"/>
        </w:rPr>
        <w:endnoteReference w:id="7"/>
      </w:r>
      <w:r w:rsidR="00B16F14" w:rsidRPr="00FF6BDC">
        <w:t xml:space="preserve"> </w:t>
      </w:r>
      <w:r w:rsidR="00834C73" w:rsidRPr="00FF6BDC">
        <w:t>The Survey indicated that m</w:t>
      </w:r>
      <w:r w:rsidR="003C17EA" w:rsidRPr="00FF6BDC">
        <w:t>ost instances of violence against women were perpetrated by someone known to them</w:t>
      </w:r>
      <w:r w:rsidR="007F52E8">
        <w:t>: a</w:t>
      </w:r>
      <w:r w:rsidR="003C17EA" w:rsidRPr="00FF6BDC">
        <w:t xml:space="preserve">round 74% of women who had experienced violence </w:t>
      </w:r>
      <w:r w:rsidR="009124F8" w:rsidRPr="00FF6BDC">
        <w:t xml:space="preserve">in the last 12 months, and 87% of women who had experienced violence since the age of 15, reported that the perpetrator was someone </w:t>
      </w:r>
      <w:r w:rsidR="00E60F2E" w:rsidRPr="00FF6BDC">
        <w:t>they know</w:t>
      </w:r>
      <w:r w:rsidR="009124F8" w:rsidRPr="00FF6BDC">
        <w:t>.</w:t>
      </w:r>
      <w:r w:rsidR="00DA1894" w:rsidRPr="0064067F">
        <w:rPr>
          <w:rStyle w:val="EndnoteReference"/>
        </w:rPr>
        <w:endnoteReference w:id="8"/>
      </w:r>
      <w:r w:rsidR="00976AF9" w:rsidRPr="00FF6BDC">
        <w:t xml:space="preserve"> This compares to 45% of men who had experienced violence in past 12 months, and 54% of men who had experience violence since the age of 15.</w:t>
      </w:r>
      <w:r w:rsidR="00976AF9" w:rsidRPr="0064067F">
        <w:rPr>
          <w:rStyle w:val="EndnoteReference"/>
        </w:rPr>
        <w:endnoteReference w:id="9"/>
      </w:r>
      <w:r w:rsidR="00976AF9" w:rsidRPr="00FF6BDC">
        <w:t xml:space="preserve"> </w:t>
      </w:r>
    </w:p>
    <w:p w14:paraId="666E3789" w14:textId="77777777" w:rsidR="00A360E9" w:rsidRPr="00FF6BDC" w:rsidRDefault="00F375FB" w:rsidP="00941CBF">
      <w:pPr>
        <w:pStyle w:val="SubmissionNormal"/>
      </w:pPr>
      <w:r>
        <w:t>Intimate p</w:t>
      </w:r>
      <w:r w:rsidR="00F315FD" w:rsidRPr="00FF6BDC">
        <w:t>artner violence</w:t>
      </w:r>
      <w:r w:rsidR="00F13097" w:rsidRPr="00FF6BDC">
        <w:t xml:space="preserve"> is </w:t>
      </w:r>
      <w:r w:rsidR="00F315FD" w:rsidRPr="00FF6BDC">
        <w:t xml:space="preserve">one of the most common forms of violence against women, with </w:t>
      </w:r>
      <w:r w:rsidR="00535213" w:rsidRPr="00FF6BDC">
        <w:t>1.5% of women reporting violence by a current or former partner in the past 12 months, and 16.9% reporting</w:t>
      </w:r>
      <w:r w:rsidR="000B5DA0">
        <w:t xml:space="preserve"> intimate </w:t>
      </w:r>
      <w:r w:rsidR="00535213" w:rsidRPr="00FF6BDC">
        <w:t>partne</w:t>
      </w:r>
      <w:r w:rsidR="0017219A" w:rsidRPr="00FF6BDC">
        <w:t>r violence since the age of 15</w:t>
      </w:r>
      <w:r w:rsidR="00E82104" w:rsidRPr="00FF6BDC">
        <w:t xml:space="preserve"> (compared to </w:t>
      </w:r>
      <w:r w:rsidR="00A360E9" w:rsidRPr="00FF6BDC">
        <w:t xml:space="preserve">0.6% </w:t>
      </w:r>
      <w:r w:rsidR="00AE63AC" w:rsidRPr="00FF6BDC">
        <w:t xml:space="preserve">of men </w:t>
      </w:r>
      <w:r w:rsidR="00490844" w:rsidRPr="00FF6BDC">
        <w:t xml:space="preserve">in the past 12 months </w:t>
      </w:r>
      <w:r w:rsidR="00AE63AC" w:rsidRPr="00FF6BDC">
        <w:t xml:space="preserve">and </w:t>
      </w:r>
      <w:r w:rsidR="00A360E9" w:rsidRPr="00FF6BDC">
        <w:t>5.3% of men</w:t>
      </w:r>
      <w:r w:rsidR="00490844" w:rsidRPr="00FF6BDC">
        <w:t xml:space="preserve"> since the age of 15</w:t>
      </w:r>
      <w:r w:rsidR="00A360E9" w:rsidRPr="00FF6BDC">
        <w:t>)</w:t>
      </w:r>
      <w:r w:rsidR="0017219A" w:rsidRPr="00FF6BDC">
        <w:t>.</w:t>
      </w:r>
      <w:r w:rsidR="00BF4DE2" w:rsidRPr="00AA53AE">
        <w:rPr>
          <w:rStyle w:val="EndnoteReference"/>
        </w:rPr>
        <w:endnoteReference w:id="10"/>
      </w:r>
      <w:r w:rsidR="0017219A" w:rsidRPr="00FF6BDC">
        <w:t xml:space="preserve"> A more </w:t>
      </w:r>
      <w:r w:rsidR="003D781F" w:rsidRPr="00FF6BDC">
        <w:t>recent study has estimated that 27.5% of Australian women have experienced violence or emotional abuse by a current or previous partner.</w:t>
      </w:r>
      <w:r w:rsidR="002244D0" w:rsidRPr="00AA53AE">
        <w:rPr>
          <w:sz w:val="20"/>
          <w:vertAlign w:val="superscript"/>
        </w:rPr>
        <w:endnoteReference w:id="11"/>
      </w:r>
      <w:r w:rsidR="00941CBF" w:rsidRPr="00FF6BDC">
        <w:rPr>
          <w:vertAlign w:val="superscript"/>
        </w:rPr>
        <w:t xml:space="preserve"> </w:t>
      </w:r>
    </w:p>
    <w:p w14:paraId="2D55605B" w14:textId="278EF24A" w:rsidR="00835F6B" w:rsidRDefault="00684076" w:rsidP="002A1740">
      <w:pPr>
        <w:pStyle w:val="SubmissionNormal"/>
      </w:pPr>
      <w:r w:rsidRPr="00FF6BDC">
        <w:t>A 20</w:t>
      </w:r>
      <w:r w:rsidR="00805FF3">
        <w:t xml:space="preserve">16 study by </w:t>
      </w:r>
      <w:r w:rsidR="00805FF3" w:rsidRPr="00FF6BDC">
        <w:t>Australia’s National Research Organisation for Women’s Safety</w:t>
      </w:r>
      <w:r w:rsidR="00805FF3">
        <w:t xml:space="preserve"> (ANROWS) </w:t>
      </w:r>
      <w:r w:rsidRPr="00FF6BDC">
        <w:t xml:space="preserve">found that </w:t>
      </w:r>
      <w:r w:rsidR="00100C17">
        <w:t>intimate partner</w:t>
      </w:r>
      <w:r w:rsidR="005776EB">
        <w:t xml:space="preserve"> violence</w:t>
      </w:r>
      <w:r w:rsidR="00100C17">
        <w:t xml:space="preserve"> accounted for 5.1% of the disease burden amongst women aged 18 to 44 years</w:t>
      </w:r>
      <w:r w:rsidR="003575B4" w:rsidRPr="00FF6BDC">
        <w:t xml:space="preserve"> </w:t>
      </w:r>
      <w:r w:rsidR="00975ED5" w:rsidRPr="00FF6BDC">
        <w:t xml:space="preserve">— </w:t>
      </w:r>
      <w:r w:rsidR="003575B4" w:rsidRPr="00FF6BDC">
        <w:t xml:space="preserve">more than </w:t>
      </w:r>
      <w:r w:rsidR="00975ED5" w:rsidRPr="00FF6BDC">
        <w:t>o</w:t>
      </w:r>
      <w:r w:rsidR="00EB51C3" w:rsidRPr="00FF6BDC">
        <w:t xml:space="preserve">ther </w:t>
      </w:r>
      <w:r w:rsidR="00975ED5" w:rsidRPr="00FF6BDC">
        <w:t>any other risk factor</w:t>
      </w:r>
      <w:r w:rsidR="002244D0" w:rsidRPr="00FF6BDC">
        <w:t>.</w:t>
      </w:r>
      <w:r w:rsidR="002244D0" w:rsidRPr="00AA53AE">
        <w:rPr>
          <w:sz w:val="20"/>
          <w:vertAlign w:val="superscript"/>
        </w:rPr>
        <w:endnoteReference w:id="12"/>
      </w:r>
      <w:r w:rsidR="002244D0" w:rsidRPr="00FF6BDC">
        <w:rPr>
          <w:vertAlign w:val="superscript"/>
        </w:rPr>
        <w:t xml:space="preserve"> </w:t>
      </w:r>
      <w:r w:rsidR="002244D0" w:rsidRPr="00FF6BDC">
        <w:t xml:space="preserve">Research has also demonstrated </w:t>
      </w:r>
      <w:r w:rsidR="007D6163" w:rsidRPr="00FF6BDC">
        <w:t xml:space="preserve">that victims/survivors often experience </w:t>
      </w:r>
      <w:r w:rsidR="002244D0" w:rsidRPr="00FF6BDC">
        <w:t>enduring mental health problems as a result of such violence.</w:t>
      </w:r>
      <w:r w:rsidR="002244D0" w:rsidRPr="00AA53AE">
        <w:rPr>
          <w:sz w:val="20"/>
          <w:vertAlign w:val="superscript"/>
        </w:rPr>
        <w:endnoteReference w:id="13"/>
      </w:r>
      <w:r w:rsidR="00835F6B" w:rsidRPr="00FF6BDC">
        <w:t xml:space="preserve"> Between 2002–03 and 2011–12, 488 women were killed by a current or former partner, often after a history of domestic violence.</w:t>
      </w:r>
      <w:r w:rsidR="00835F6B" w:rsidRPr="00AA53AE">
        <w:rPr>
          <w:sz w:val="20"/>
          <w:vertAlign w:val="superscript"/>
        </w:rPr>
        <w:endnoteReference w:id="14"/>
      </w:r>
      <w:r w:rsidR="00835F6B" w:rsidRPr="00FF6BDC">
        <w:t xml:space="preserve"> Women represented 75% of intimate partner homicide victims over this period.</w:t>
      </w:r>
      <w:r w:rsidR="00835F6B" w:rsidRPr="00AA53AE">
        <w:rPr>
          <w:sz w:val="20"/>
          <w:vertAlign w:val="superscript"/>
        </w:rPr>
        <w:endnoteReference w:id="15"/>
      </w:r>
    </w:p>
    <w:p w14:paraId="3F5E57E1" w14:textId="77777777" w:rsidR="000A78CE" w:rsidRPr="009A2FDD" w:rsidRDefault="00805FF3" w:rsidP="002A1740">
      <w:pPr>
        <w:pStyle w:val="SubmissionNormal"/>
      </w:pPr>
      <w:r w:rsidRPr="009A2FDD">
        <w:t>Sexual harassment</w:t>
      </w:r>
      <w:r w:rsidR="009A2FDD">
        <w:t xml:space="preserve">, particularly in the workplace, remains a significant problem in Australia. </w:t>
      </w:r>
      <w:r w:rsidR="00585FF8" w:rsidRPr="009A2FDD">
        <w:t xml:space="preserve">Research conducted by the Commission </w:t>
      </w:r>
      <w:r w:rsidR="009A2FDD" w:rsidRPr="009A2FDD">
        <w:t>has found that o</w:t>
      </w:r>
      <w:r w:rsidR="00585FF8" w:rsidRPr="009A2FDD">
        <w:t xml:space="preserve">ne-third of women </w:t>
      </w:r>
      <w:r w:rsidR="009A2FDD" w:rsidRPr="009A2FDD">
        <w:t xml:space="preserve">have </w:t>
      </w:r>
      <w:r w:rsidR="00585FF8" w:rsidRPr="009A2FDD">
        <w:t>been sexuall</w:t>
      </w:r>
      <w:r w:rsidR="009A2FDD" w:rsidRPr="009A2FDD">
        <w:t>y harassed since the age of 15.</w:t>
      </w:r>
      <w:r w:rsidR="00585FF8" w:rsidRPr="009A2FDD">
        <w:rPr>
          <w:rStyle w:val="EndnoteReference"/>
        </w:rPr>
        <w:endnoteReference w:id="16"/>
      </w:r>
      <w:r w:rsidR="009A2FDD" w:rsidRPr="009A2FDD">
        <w:t xml:space="preserve"> </w:t>
      </w:r>
      <w:r w:rsidR="009F407A" w:rsidRPr="009A2FDD">
        <w:t xml:space="preserve">Further information about the Commission’s work on sexual harassment in the workplace can be found in Section 6.1 of this submission. </w:t>
      </w:r>
    </w:p>
    <w:p w14:paraId="215E1DE5" w14:textId="77777777" w:rsidR="004A7938" w:rsidRDefault="004A7938" w:rsidP="004A7938">
      <w:pPr>
        <w:pStyle w:val="SubmissionNormal"/>
      </w:pPr>
      <w:r>
        <w:t>Consultations conducted by the Commission indicate that women,</w:t>
      </w:r>
      <w:r w:rsidR="00121648">
        <w:t xml:space="preserve"> especially </w:t>
      </w:r>
      <w:r>
        <w:t xml:space="preserve">young women, also experience violence and harassment online. This can include the </w:t>
      </w:r>
      <w:r w:rsidR="003F7564">
        <w:t>dissemination of private images or materials without consent</w:t>
      </w:r>
      <w:r w:rsidR="00121648">
        <w:t xml:space="preserve">, </w:t>
      </w:r>
      <w:r w:rsidR="003F7564">
        <w:t>and violent, sexualised abuse and harassment</w:t>
      </w:r>
      <w:r w:rsidR="00121648">
        <w:t xml:space="preserve">. Women who advocate on women’s rights issues, including family and domestic violence, appear to be at particular risk of this latter form of </w:t>
      </w:r>
      <w:r w:rsidR="00A43667">
        <w:t xml:space="preserve">online </w:t>
      </w:r>
      <w:r w:rsidR="00121648">
        <w:t xml:space="preserve">harassment. </w:t>
      </w:r>
      <w:r w:rsidR="003F7564">
        <w:t xml:space="preserve">In his end-of-mission statement following </w:t>
      </w:r>
      <w:r w:rsidR="00FF7EC1">
        <w:t xml:space="preserve">a </w:t>
      </w:r>
      <w:r w:rsidR="003F7564">
        <w:t xml:space="preserve">country visit to Australia in </w:t>
      </w:r>
      <w:r w:rsidR="008A36FD">
        <w:t xml:space="preserve">October 2016, the Special Rapporteur on </w:t>
      </w:r>
      <w:r w:rsidR="00C64DD0">
        <w:t xml:space="preserve">the situation of </w:t>
      </w:r>
      <w:r w:rsidR="008A36FD">
        <w:t xml:space="preserve">human rights defenders, Mr Michel Forst, </w:t>
      </w:r>
      <w:r w:rsidR="00FF7EC1">
        <w:t xml:space="preserve">drew specific attention to the online </w:t>
      </w:r>
      <w:r w:rsidR="00455392">
        <w:t xml:space="preserve">abuse and </w:t>
      </w:r>
      <w:r w:rsidR="00FF7EC1">
        <w:t>harassment faced by women human rights defenders:</w:t>
      </w:r>
    </w:p>
    <w:p w14:paraId="32AD94C9" w14:textId="77777777" w:rsidR="00FF7EC1" w:rsidRPr="00FF7EC1" w:rsidRDefault="00FF7EC1" w:rsidP="00FF7EC1">
      <w:pPr>
        <w:pStyle w:val="SubmissionNormal"/>
        <w:numPr>
          <w:ilvl w:val="0"/>
          <w:numId w:val="0"/>
        </w:numPr>
        <w:ind w:left="1134"/>
        <w:rPr>
          <w:sz w:val="22"/>
        </w:rPr>
      </w:pPr>
      <w:r w:rsidRPr="00FF7EC1">
        <w:rPr>
          <w:sz w:val="22"/>
        </w:rPr>
        <w:t xml:space="preserve">During my mission, I have heard testimonies of women human rights defenders who have received threats on social media as a result of their advocacy in support of women who are exposed to vulnerabilities as single mothers, living in poverty or survivors of domestic violence … It appears the most horrifying digital </w:t>
      </w:r>
      <w:r w:rsidRPr="00FF7EC1">
        <w:rPr>
          <w:sz w:val="22"/>
        </w:rPr>
        <w:lastRenderedPageBreak/>
        <w:t>abuse is reserved for women with high visibility, who speak out or those deemed to be feminist. The remedies have lagged behind the abuse and the process of triggering follow up by police is often ineffective.</w:t>
      </w:r>
      <w:r w:rsidR="00A0689C">
        <w:rPr>
          <w:rStyle w:val="EndnoteReference"/>
        </w:rPr>
        <w:endnoteReference w:id="17"/>
      </w:r>
    </w:p>
    <w:p w14:paraId="00A8E099" w14:textId="383D3AAC" w:rsidR="005776EB" w:rsidRDefault="00445EBF" w:rsidP="00171993">
      <w:pPr>
        <w:pStyle w:val="SubmissionNormal"/>
      </w:pPr>
      <w:r w:rsidRPr="00FF6BDC">
        <w:t>Women who experience greater intersectional inequality due to race, disability, age, sexual</w:t>
      </w:r>
      <w:r w:rsidR="00B215ED" w:rsidRPr="00FF6BDC">
        <w:t xml:space="preserve"> </w:t>
      </w:r>
      <w:r w:rsidR="0029498A" w:rsidRPr="00FF6BDC">
        <w:t>orientation</w:t>
      </w:r>
      <w:r w:rsidRPr="00FF6BDC">
        <w:t>, gender identity or socio-economic status often experience higher rates of domestic violence and face additional barriers to seeking help and support</w:t>
      </w:r>
      <w:r w:rsidR="00B059F9" w:rsidRPr="00FF6BDC">
        <w:t>.</w:t>
      </w:r>
      <w:r w:rsidR="00171993">
        <w:t xml:space="preserve"> </w:t>
      </w:r>
      <w:r w:rsidR="008D5980" w:rsidRPr="00FF6BDC">
        <w:t xml:space="preserve">In 2014–15 survey, </w:t>
      </w:r>
      <w:r w:rsidR="0052357A">
        <w:t xml:space="preserve">for example, </w:t>
      </w:r>
      <w:r w:rsidR="003B5DF2" w:rsidRPr="00FF6BDC">
        <w:t>‘</w:t>
      </w:r>
      <w:r w:rsidR="008D5980" w:rsidRPr="00FF6BDC">
        <w:t>Aboriginal and Torres Strait Islander women reported experiencing physical or threatened violence in the previous 12 months at 3.1 times the rate of non-Indigenous women</w:t>
      </w:r>
      <w:r w:rsidR="003B5DF2" w:rsidRPr="00FF6BDC">
        <w:t>’</w:t>
      </w:r>
      <w:r w:rsidR="0082182A" w:rsidRPr="00FF6BDC">
        <w:t>.</w:t>
      </w:r>
      <w:r w:rsidR="00811D93" w:rsidRPr="003E3B0B">
        <w:rPr>
          <w:rStyle w:val="EndnoteReference"/>
        </w:rPr>
        <w:endnoteReference w:id="18"/>
      </w:r>
      <w:r w:rsidR="0082182A" w:rsidRPr="00FF6BDC">
        <w:t xml:space="preserve"> </w:t>
      </w:r>
      <w:r w:rsidR="00D0388A">
        <w:t xml:space="preserve">The </w:t>
      </w:r>
      <w:r w:rsidR="00D0388A" w:rsidRPr="00FF6BDC">
        <w:t>20</w:t>
      </w:r>
      <w:r w:rsidR="00D0388A">
        <w:t xml:space="preserve">16 ANROWS study found that intimate partner violence accounted for 10.9% of the disease burden amongst Indigenous women aged 18 to 44 years </w:t>
      </w:r>
      <w:r w:rsidR="00D0388A" w:rsidRPr="00FF6BDC">
        <w:t>—</w:t>
      </w:r>
      <w:r w:rsidR="00D0388A">
        <w:t xml:space="preserve"> a rate of burden more than six times higher than amongst non-Indigenous women.</w:t>
      </w:r>
      <w:r w:rsidR="00D0388A" w:rsidRPr="00AA53AE">
        <w:rPr>
          <w:sz w:val="20"/>
          <w:vertAlign w:val="superscript"/>
        </w:rPr>
        <w:endnoteReference w:id="19"/>
      </w:r>
      <w:r w:rsidR="00D0388A">
        <w:t xml:space="preserve"> </w:t>
      </w:r>
      <w:r w:rsidR="00445D61" w:rsidRPr="00FF6BDC">
        <w:t xml:space="preserve">Aboriginal and Torres Strait Islander women are </w:t>
      </w:r>
      <w:r w:rsidR="0082182A" w:rsidRPr="00FF6BDC">
        <w:t xml:space="preserve">also </w:t>
      </w:r>
      <w:r w:rsidR="001B49B9" w:rsidRPr="00FF6BDC">
        <w:t>32</w:t>
      </w:r>
      <w:r w:rsidR="00445D61" w:rsidRPr="00FF6BDC">
        <w:t xml:space="preserve"> times more likely to be hospitalised as a result of </w:t>
      </w:r>
      <w:r w:rsidR="008A3C52" w:rsidRPr="00FF6BDC">
        <w:t xml:space="preserve">family </w:t>
      </w:r>
      <w:r w:rsidR="00445D61" w:rsidRPr="00FF6BDC">
        <w:t>violence-related assault than non-Indigenous women in Australia.</w:t>
      </w:r>
      <w:r w:rsidR="000A09FF" w:rsidRPr="0095583D">
        <w:rPr>
          <w:rStyle w:val="EndnoteReference"/>
        </w:rPr>
        <w:endnoteReference w:id="20"/>
      </w:r>
      <w:r w:rsidR="009410A5">
        <w:t xml:space="preserve"> </w:t>
      </w:r>
    </w:p>
    <w:p w14:paraId="2000BB3E" w14:textId="7343B543" w:rsidR="007739DA" w:rsidRPr="00FF6BDC" w:rsidRDefault="00B058DD" w:rsidP="008909C6">
      <w:pPr>
        <w:pStyle w:val="SubmissionNormal"/>
      </w:pPr>
      <w:r>
        <w:t xml:space="preserve">A 2006 report by the Commission identified ten key challenges in addressing family violence and abuse in Aboriginal and Torres Strait Islander communities: turning </w:t>
      </w:r>
      <w:r w:rsidR="007B7CDB">
        <w:t xml:space="preserve">stated </w:t>
      </w:r>
      <w:r>
        <w:t xml:space="preserve">government commitments into concerted, long-term action; </w:t>
      </w:r>
      <w:r w:rsidR="001D4695">
        <w:t xml:space="preserve">developing </w:t>
      </w:r>
      <w:r>
        <w:t>genuine partnerships with Indigenous people</w:t>
      </w:r>
      <w:r w:rsidR="001D4695">
        <w:t xml:space="preserve"> and ensuring their full participation</w:t>
      </w:r>
      <w:r>
        <w:t xml:space="preserve"> in initiatives to address </w:t>
      </w:r>
      <w:r w:rsidR="00B663BA">
        <w:t xml:space="preserve">family </w:t>
      </w:r>
      <w:r>
        <w:t xml:space="preserve">violence; </w:t>
      </w:r>
      <w:r w:rsidR="00E32493">
        <w:t xml:space="preserve">ensuring </w:t>
      </w:r>
      <w:r>
        <w:t>support for Indigenous community initiatives</w:t>
      </w:r>
      <w:r w:rsidR="00282975">
        <w:t xml:space="preserve"> and networks which are already responding to family violence; </w:t>
      </w:r>
      <w:r w:rsidR="00E52032">
        <w:t xml:space="preserve">providing </w:t>
      </w:r>
      <w:r w:rsidR="00B727C5">
        <w:t xml:space="preserve">human rights education to </w:t>
      </w:r>
      <w:r w:rsidR="00444AB9">
        <w:t>Indigenous communities; engag</w:t>
      </w:r>
      <w:r w:rsidR="00284063">
        <w:t xml:space="preserve">ing </w:t>
      </w:r>
      <w:r w:rsidR="00444AB9">
        <w:t>Indigenous men</w:t>
      </w:r>
      <w:r w:rsidR="00284063">
        <w:t xml:space="preserve">, including through avoiding harmful </w:t>
      </w:r>
      <w:r w:rsidR="00444AB9">
        <w:t xml:space="preserve">stereotypes; celebrating positive achievements and progress; reasserting Indigenous cultural norms and community structures to rebuild respect; </w:t>
      </w:r>
      <w:r w:rsidR="008909C6">
        <w:t xml:space="preserve">ensuring robust accountability and monitoring mechanisms; </w:t>
      </w:r>
      <w:r w:rsidR="009D06E5">
        <w:t xml:space="preserve">changing the mindset of </w:t>
      </w:r>
      <w:r w:rsidR="008909C6">
        <w:t>government from an approach which manages dysfunction to one that supports functional communities; and targeting program interventions to address need and overcome disadvantage.</w:t>
      </w:r>
      <w:r w:rsidR="00684BF4">
        <w:rPr>
          <w:rStyle w:val="EndnoteReference"/>
        </w:rPr>
        <w:endnoteReference w:id="21"/>
      </w:r>
      <w:r w:rsidR="008909C6">
        <w:t xml:space="preserve"> </w:t>
      </w:r>
      <w:r w:rsidR="00F16702">
        <w:t xml:space="preserve">The Commission considers that these challenges remain relevant in the current context. </w:t>
      </w:r>
    </w:p>
    <w:p w14:paraId="376652C0" w14:textId="77777777" w:rsidR="00BD193A" w:rsidRDefault="00B15F14" w:rsidP="00BD193A">
      <w:pPr>
        <w:pStyle w:val="SubmissionNormal"/>
      </w:pPr>
      <w:r>
        <w:t>As n</w:t>
      </w:r>
      <w:r w:rsidR="000D4974">
        <w:t xml:space="preserve">oted in a recent report by Women With Disabilities Australia, </w:t>
      </w:r>
      <w:r w:rsidR="000E0D4B">
        <w:t xml:space="preserve">‘compared to their peers, women with </w:t>
      </w:r>
      <w:r w:rsidR="000D4974">
        <w:t>disability experience significantly higher levels of all forms of violence more intensely and frequently and are subjected to such</w:t>
      </w:r>
      <w:r w:rsidR="000E0D4B">
        <w:t xml:space="preserve"> </w:t>
      </w:r>
      <w:r w:rsidR="000D4974">
        <w:t>violence by a greater number of perpetrators.</w:t>
      </w:r>
      <w:r w:rsidR="000E0D4B">
        <w:t xml:space="preserve"> </w:t>
      </w:r>
      <w:r w:rsidR="000D4974">
        <w:t>Their experiences of violence last over a longer period of time, and more severe</w:t>
      </w:r>
      <w:r w:rsidR="000E0D4B">
        <w:t xml:space="preserve"> </w:t>
      </w:r>
      <w:r w:rsidR="000D4974">
        <w:t>injuries result from the violence.</w:t>
      </w:r>
      <w:r w:rsidR="000E0D4B">
        <w:t>’</w:t>
      </w:r>
      <w:r w:rsidR="008657DC">
        <w:rPr>
          <w:rStyle w:val="EndnoteReference"/>
        </w:rPr>
        <w:endnoteReference w:id="22"/>
      </w:r>
      <w:r w:rsidR="002E3F30">
        <w:t xml:space="preserve"> </w:t>
      </w:r>
      <w:r w:rsidR="0063727D">
        <w:t>The report also</w:t>
      </w:r>
      <w:r>
        <w:t xml:space="preserve"> observed that the lack of a clear definition and conceptual understanding of violence against women with disability has hampered effective responses to the issue.</w:t>
      </w:r>
      <w:r w:rsidR="0077419C">
        <w:rPr>
          <w:rStyle w:val="EndnoteReference"/>
        </w:rPr>
        <w:endnoteReference w:id="23"/>
      </w:r>
      <w:r>
        <w:t xml:space="preserve"> </w:t>
      </w:r>
      <w:r w:rsidR="002E3F30" w:rsidRPr="00FF6BDC">
        <w:t xml:space="preserve">Women with disabilities are 40% more likely </w:t>
      </w:r>
      <w:r w:rsidR="00BC708B" w:rsidRPr="00FF6BDC">
        <w:t>than women without disabilities</w:t>
      </w:r>
      <w:r w:rsidR="00BC708B">
        <w:t xml:space="preserve"> </w:t>
      </w:r>
      <w:r w:rsidR="002E3F30">
        <w:t xml:space="preserve">to </w:t>
      </w:r>
      <w:r w:rsidR="002E3F30" w:rsidRPr="00FF6BDC">
        <w:t xml:space="preserve">be </w:t>
      </w:r>
      <w:r w:rsidR="00BC708B">
        <w:t>the victims of domestic violence,</w:t>
      </w:r>
      <w:r w:rsidR="002E3F30" w:rsidRPr="0095583D">
        <w:rPr>
          <w:sz w:val="20"/>
          <w:vertAlign w:val="superscript"/>
        </w:rPr>
        <w:endnoteReference w:id="24"/>
      </w:r>
      <w:r w:rsidR="002E3F30" w:rsidRPr="00FF6BDC">
        <w:t xml:space="preserve"> and more than 70% of women with disabilities have been victims of violent sexual encounters at some time in their lives.</w:t>
      </w:r>
      <w:r w:rsidR="002E3F30" w:rsidRPr="0095583D">
        <w:rPr>
          <w:sz w:val="20"/>
          <w:vertAlign w:val="superscript"/>
        </w:rPr>
        <w:endnoteReference w:id="25"/>
      </w:r>
    </w:p>
    <w:p w14:paraId="6B815B33" w14:textId="77777777" w:rsidR="002244D0" w:rsidRPr="00F60DE5" w:rsidRDefault="003C4C66" w:rsidP="003C4C66">
      <w:pPr>
        <w:pStyle w:val="SubmissionNormal"/>
      </w:pPr>
      <w:r w:rsidRPr="00FF6BDC">
        <w:t>For women from migrant and refugee backgrounds, c</w:t>
      </w:r>
      <w:r w:rsidR="00EF67A5" w:rsidRPr="00FF6BDC">
        <w:t xml:space="preserve">ultural values and immigration status </w:t>
      </w:r>
      <w:r w:rsidRPr="00FF6BDC">
        <w:t>can enhance</w:t>
      </w:r>
      <w:r w:rsidR="00EF67A5" w:rsidRPr="00FF6BDC">
        <w:t xml:space="preserve"> the complexities </w:t>
      </w:r>
      <w:r w:rsidR="00701FD0">
        <w:t xml:space="preserve">of </w:t>
      </w:r>
      <w:r w:rsidR="00EF67A5" w:rsidRPr="00FF6BDC">
        <w:t xml:space="preserve">family and </w:t>
      </w:r>
      <w:r w:rsidR="00EF67A5" w:rsidRPr="00F60DE5">
        <w:t>domestic violence.</w:t>
      </w:r>
      <w:r w:rsidR="002244D0" w:rsidRPr="00F60DE5">
        <w:rPr>
          <w:rStyle w:val="EndnoteReference"/>
        </w:rPr>
        <w:endnoteReference w:id="26"/>
      </w:r>
      <w:r w:rsidR="002244D0" w:rsidRPr="00F60DE5">
        <w:t xml:space="preserve"> </w:t>
      </w:r>
      <w:r w:rsidR="00701FD0" w:rsidRPr="00F60DE5">
        <w:t xml:space="preserve">Women from migrant and refugee backgrounds are generally less likely than other groups of women to report family and domestic violence, and may face </w:t>
      </w:r>
      <w:r w:rsidR="005F6722" w:rsidRPr="00F60DE5">
        <w:t>additional barriers to safety</w:t>
      </w:r>
      <w:r w:rsidR="00F26ED7" w:rsidRPr="00F60DE5">
        <w:t xml:space="preserve"> for these women (for example, due to</w:t>
      </w:r>
      <w:r w:rsidR="003E7875" w:rsidRPr="00F60DE5">
        <w:t xml:space="preserve"> limited </w:t>
      </w:r>
      <w:r w:rsidR="003C76A8" w:rsidRPr="00F60DE5">
        <w:t>support networks in Australia or</w:t>
      </w:r>
      <w:r w:rsidR="003E7875" w:rsidRPr="00F60DE5">
        <w:t xml:space="preserve"> lack of knowledge of Australian law</w:t>
      </w:r>
      <w:r w:rsidR="00C03BA1" w:rsidRPr="00F60DE5">
        <w:t>)</w:t>
      </w:r>
      <w:r w:rsidR="005F6722" w:rsidRPr="00F60DE5">
        <w:t>.</w:t>
      </w:r>
      <w:r w:rsidR="00F60DE5" w:rsidRPr="00F60DE5">
        <w:rPr>
          <w:rStyle w:val="EndnoteReference"/>
        </w:rPr>
        <w:endnoteReference w:id="27"/>
      </w:r>
      <w:r w:rsidR="005F6722" w:rsidRPr="00F60DE5">
        <w:t xml:space="preserve"> </w:t>
      </w:r>
    </w:p>
    <w:p w14:paraId="5C94B05B" w14:textId="4223C49F" w:rsidR="00FA26EA" w:rsidRDefault="00FA26EA" w:rsidP="00FA26EA">
      <w:pPr>
        <w:pStyle w:val="SubmissionNormal"/>
        <w:rPr>
          <w:rFonts w:eastAsiaTheme="minorHAnsi"/>
          <w:lang w:eastAsia="zh-CN"/>
        </w:rPr>
      </w:pPr>
      <w:r>
        <w:rPr>
          <w:lang w:eastAsia="zh-CN"/>
        </w:rPr>
        <w:lastRenderedPageBreak/>
        <w:t xml:space="preserve">Whilst there are limits to current data on elder abuse, including physical violence and other forms of abuse against older women, available evidence suggests that older women are significantly more </w:t>
      </w:r>
      <w:r w:rsidR="00322C35">
        <w:rPr>
          <w:lang w:eastAsia="zh-CN"/>
        </w:rPr>
        <w:t>likely</w:t>
      </w:r>
      <w:r w:rsidR="000D3B72">
        <w:rPr>
          <w:lang w:eastAsia="zh-CN"/>
        </w:rPr>
        <w:t xml:space="preserve"> than older men</w:t>
      </w:r>
      <w:r w:rsidR="00322C35">
        <w:rPr>
          <w:lang w:eastAsia="zh-CN"/>
        </w:rPr>
        <w:t xml:space="preserve"> to be victims </w:t>
      </w:r>
      <w:r w:rsidR="000D3B72">
        <w:rPr>
          <w:lang w:eastAsia="zh-CN"/>
        </w:rPr>
        <w:t>of abuse</w:t>
      </w:r>
      <w:r>
        <w:rPr>
          <w:lang w:eastAsia="zh-CN"/>
        </w:rPr>
        <w:t>.</w:t>
      </w:r>
      <w:r w:rsidR="00514067">
        <w:rPr>
          <w:rStyle w:val="EndnoteReference"/>
          <w:lang w:eastAsia="zh-CN"/>
        </w:rPr>
        <w:endnoteReference w:id="28"/>
      </w:r>
      <w:r>
        <w:rPr>
          <w:lang w:eastAsia="zh-CN"/>
        </w:rPr>
        <w:t xml:space="preserve"> For some </w:t>
      </w:r>
      <w:r w:rsidR="007F721F">
        <w:rPr>
          <w:lang w:eastAsia="zh-CN"/>
        </w:rPr>
        <w:t xml:space="preserve">older </w:t>
      </w:r>
      <w:r>
        <w:rPr>
          <w:lang w:eastAsia="zh-CN"/>
        </w:rPr>
        <w:t xml:space="preserve">women, </w:t>
      </w:r>
      <w:r w:rsidR="007F721F">
        <w:rPr>
          <w:lang w:eastAsia="zh-CN"/>
        </w:rPr>
        <w:t>e</w:t>
      </w:r>
      <w:r w:rsidR="00E05918">
        <w:rPr>
          <w:lang w:eastAsia="zh-CN"/>
        </w:rPr>
        <w:t>xperience</w:t>
      </w:r>
      <w:r w:rsidR="007F721F">
        <w:rPr>
          <w:lang w:eastAsia="zh-CN"/>
        </w:rPr>
        <w:t>s</w:t>
      </w:r>
      <w:r w:rsidR="00E05918">
        <w:rPr>
          <w:lang w:eastAsia="zh-CN"/>
        </w:rPr>
        <w:t xml:space="preserve"> of </w:t>
      </w:r>
      <w:r>
        <w:rPr>
          <w:lang w:eastAsia="zh-CN"/>
        </w:rPr>
        <w:t>family violence</w:t>
      </w:r>
      <w:r w:rsidR="00E05918">
        <w:rPr>
          <w:lang w:eastAsia="zh-CN"/>
        </w:rPr>
        <w:t xml:space="preserve"> </w:t>
      </w:r>
      <w:r w:rsidR="007F721F">
        <w:rPr>
          <w:lang w:eastAsia="zh-CN"/>
        </w:rPr>
        <w:t>and sexual assault can represent ‘</w:t>
      </w:r>
      <w:r>
        <w:rPr>
          <w:lang w:eastAsia="zh-CN"/>
        </w:rPr>
        <w:t>the continuation of a lifelong pattern of spousal abuse</w:t>
      </w:r>
      <w:r w:rsidR="00E05918">
        <w:rPr>
          <w:lang w:eastAsia="zh-CN"/>
        </w:rPr>
        <w:t>’</w:t>
      </w:r>
      <w:r>
        <w:rPr>
          <w:lang w:eastAsia="zh-CN"/>
        </w:rPr>
        <w:t>.</w:t>
      </w:r>
      <w:r w:rsidR="005B4307" w:rsidRPr="003E3B0B">
        <w:rPr>
          <w:rStyle w:val="EndnoteReference"/>
        </w:rPr>
        <w:endnoteReference w:id="29"/>
      </w:r>
      <w:r>
        <w:rPr>
          <w:lang w:eastAsia="zh-CN"/>
        </w:rPr>
        <w:t xml:space="preserve"> A recent study by researchers at La Trobe University found that the sexual assault of women over 65 occurs in a wide range of contexts and</w:t>
      </w:r>
      <w:r w:rsidR="00322C35">
        <w:rPr>
          <w:lang w:eastAsia="zh-CN"/>
        </w:rPr>
        <w:t xml:space="preserve"> that older women</w:t>
      </w:r>
      <w:r>
        <w:rPr>
          <w:lang w:eastAsia="zh-CN"/>
        </w:rPr>
        <w:t xml:space="preserve"> can face </w:t>
      </w:r>
      <w:r w:rsidR="003D371C">
        <w:rPr>
          <w:lang w:eastAsia="zh-CN"/>
        </w:rPr>
        <w:t xml:space="preserve">violence </w:t>
      </w:r>
      <w:r>
        <w:rPr>
          <w:lang w:eastAsia="zh-CN"/>
        </w:rPr>
        <w:t xml:space="preserve">from partners, family members and service providers </w:t>
      </w:r>
      <w:r w:rsidR="00274CE7">
        <w:rPr>
          <w:lang w:eastAsia="zh-CN"/>
        </w:rPr>
        <w:t xml:space="preserve">on whom they </w:t>
      </w:r>
      <w:r>
        <w:rPr>
          <w:lang w:eastAsia="zh-CN"/>
        </w:rPr>
        <w:t>may rely on for general care, health care and intimate care.</w:t>
      </w:r>
      <w:r w:rsidR="00B207D6">
        <w:rPr>
          <w:rStyle w:val="EndnoteReference"/>
          <w:lang w:eastAsia="zh-CN"/>
        </w:rPr>
        <w:endnoteReference w:id="30"/>
      </w:r>
      <w:r w:rsidR="002B1294">
        <w:rPr>
          <w:lang w:eastAsia="zh-CN"/>
        </w:rPr>
        <w:t xml:space="preserve"> The Federal Government has recently allocated funding for a prevalence study on violence against older women. </w:t>
      </w:r>
    </w:p>
    <w:p w14:paraId="4F3E8493" w14:textId="77777777" w:rsidR="007F4AC9" w:rsidRPr="00FF6BDC" w:rsidRDefault="007F4AC9" w:rsidP="007F4AC9">
      <w:pPr>
        <w:pStyle w:val="SubmissionNormal"/>
      </w:pPr>
      <w:r w:rsidRPr="00FF6BDC">
        <w:t>There is a lack of comprehensive data about the prevalence o</w:t>
      </w:r>
      <w:r w:rsidR="00C106E8">
        <w:t xml:space="preserve">f </w:t>
      </w:r>
      <w:r w:rsidR="00435097">
        <w:t xml:space="preserve">family and </w:t>
      </w:r>
      <w:r w:rsidR="00C106E8">
        <w:t xml:space="preserve">domestic violence amongst </w:t>
      </w:r>
      <w:r w:rsidR="00C106E8" w:rsidRPr="00FF6BDC">
        <w:t>in lesbian, gay, bisexual, transgender and intersex</w:t>
      </w:r>
      <w:r w:rsidR="00C106E8">
        <w:t xml:space="preserve"> (</w:t>
      </w:r>
      <w:r w:rsidRPr="00FF6BDC">
        <w:t>LGBTI</w:t>
      </w:r>
      <w:r w:rsidR="00C106E8">
        <w:t xml:space="preserve">) communities </w:t>
      </w:r>
      <w:r w:rsidRPr="00FF6BDC">
        <w:t>in Australia;</w:t>
      </w:r>
      <w:r w:rsidR="003A2A5A" w:rsidRPr="00D8202F">
        <w:rPr>
          <w:rStyle w:val="EndnoteReference"/>
        </w:rPr>
        <w:endnoteReference w:id="31"/>
      </w:r>
      <w:r w:rsidRPr="00FF6BDC">
        <w:t xml:space="preserve"> however, available</w:t>
      </w:r>
      <w:r w:rsidR="009B12B6" w:rsidRPr="00FF6BDC">
        <w:t xml:space="preserve"> </w:t>
      </w:r>
      <w:r w:rsidRPr="00FF6BDC">
        <w:t xml:space="preserve">research </w:t>
      </w:r>
      <w:r w:rsidR="009B12B6" w:rsidRPr="00FF6BDC">
        <w:t xml:space="preserve">suggests </w:t>
      </w:r>
      <w:r w:rsidRPr="00FF6BDC">
        <w:t>that incidence rates are comparable to the general population.</w:t>
      </w:r>
      <w:r w:rsidR="003A2A5A" w:rsidRPr="00D8202F">
        <w:rPr>
          <w:rStyle w:val="EndnoteReference"/>
        </w:rPr>
        <w:endnoteReference w:id="32"/>
      </w:r>
      <w:r w:rsidR="005823AD" w:rsidRPr="00FF6BDC">
        <w:t xml:space="preserve"> During a national consultation on se</w:t>
      </w:r>
      <w:r w:rsidRPr="00FF6BDC">
        <w:t xml:space="preserve">xual </w:t>
      </w:r>
      <w:r w:rsidR="005823AD" w:rsidRPr="00FF6BDC">
        <w:t>orientation, gender i</w:t>
      </w:r>
      <w:r w:rsidRPr="00FF6BDC">
        <w:t xml:space="preserve">dentity and </w:t>
      </w:r>
      <w:r w:rsidR="005823AD" w:rsidRPr="00FF6BDC">
        <w:t>i</w:t>
      </w:r>
      <w:r w:rsidRPr="00FF6BDC">
        <w:t xml:space="preserve">ntersex </w:t>
      </w:r>
      <w:r w:rsidR="005823AD" w:rsidRPr="00FF6BDC">
        <w:t>r</w:t>
      </w:r>
      <w:r w:rsidRPr="00FF6BDC">
        <w:t>ights</w:t>
      </w:r>
      <w:r w:rsidR="005823AD" w:rsidRPr="00FF6BDC">
        <w:t xml:space="preserve"> conducted by the Commission in 2014 and 2015, a</w:t>
      </w:r>
      <w:r w:rsidRPr="00FF6BDC">
        <w:t xml:space="preserve"> number of participants in the Consultation raised concerns about the rates of</w:t>
      </w:r>
      <w:r w:rsidR="005823AD" w:rsidRPr="00FF6BDC">
        <w:t xml:space="preserve"> </w:t>
      </w:r>
      <w:r w:rsidR="00435097">
        <w:t xml:space="preserve">family and </w:t>
      </w:r>
      <w:r w:rsidRPr="00FF6BDC">
        <w:t xml:space="preserve">domestic </w:t>
      </w:r>
      <w:r w:rsidR="00131775">
        <w:t xml:space="preserve">violence in </w:t>
      </w:r>
      <w:r w:rsidRPr="00FF6BDC">
        <w:t>LGBTI</w:t>
      </w:r>
      <w:r w:rsidR="00131775">
        <w:t xml:space="preserve"> </w:t>
      </w:r>
      <w:r w:rsidRPr="00FF6BDC">
        <w:t>communities and the lack of inclusi</w:t>
      </w:r>
      <w:r w:rsidR="00A802E9" w:rsidRPr="00FF6BDC">
        <w:t>ve services for LGBTI people.</w:t>
      </w:r>
      <w:r w:rsidR="003A2A5A" w:rsidRPr="006D0C08">
        <w:rPr>
          <w:rStyle w:val="EndnoteReference"/>
        </w:rPr>
        <w:endnoteReference w:id="33"/>
      </w:r>
    </w:p>
    <w:p w14:paraId="2C70DC5C" w14:textId="77777777" w:rsidR="00EF67A5" w:rsidRPr="00FF6BDC" w:rsidRDefault="00EC3FF9" w:rsidP="00EF67A5">
      <w:pPr>
        <w:pStyle w:val="SubmissionNormal"/>
      </w:pPr>
      <w:r w:rsidRPr="00FF6BDC">
        <w:t>C</w:t>
      </w:r>
      <w:r w:rsidR="002244D0" w:rsidRPr="00FF6BDC">
        <w:t xml:space="preserve">hildren </w:t>
      </w:r>
      <w:r w:rsidR="002244D0" w:rsidRPr="00D73D75">
        <w:t>are also victims of family and domestic violence.</w:t>
      </w:r>
      <w:r w:rsidR="008E4F5E" w:rsidRPr="00D73D75">
        <w:t xml:space="preserve"> </w:t>
      </w:r>
      <w:r w:rsidR="00D73D75">
        <w:t xml:space="preserve">A </w:t>
      </w:r>
      <w:r w:rsidR="002244D0" w:rsidRPr="00D73D75">
        <w:t>2008</w:t>
      </w:r>
      <w:r w:rsidR="00D73D75">
        <w:t xml:space="preserve"> study note</w:t>
      </w:r>
      <w:r w:rsidR="0044612C">
        <w:t>d</w:t>
      </w:r>
      <w:r w:rsidR="00D73D75">
        <w:t xml:space="preserve"> that </w:t>
      </w:r>
      <w:r w:rsidR="002244D0" w:rsidRPr="00D73D75">
        <w:t>23% of all children had disclosed witnessing violence against their mother or stepmother.</w:t>
      </w:r>
      <w:r w:rsidR="002244D0" w:rsidRPr="0048633D">
        <w:rPr>
          <w:rStyle w:val="EndnoteReference"/>
        </w:rPr>
        <w:endnoteReference w:id="34"/>
      </w:r>
      <w:r w:rsidR="00261BD4" w:rsidRPr="00D73D75">
        <w:t xml:space="preserve"> In</w:t>
      </w:r>
      <w:r w:rsidR="00261BD4" w:rsidRPr="00FF6BDC">
        <w:t xml:space="preserve"> the Personal Safety Survey, 31.1% of women who had experienced violence by their current partner and 47.6% who had experienced violence by a previous partner reported that children had seen or heard the violence.</w:t>
      </w:r>
      <w:r w:rsidR="0044612C">
        <w:rPr>
          <w:rStyle w:val="EndnoteReference"/>
        </w:rPr>
        <w:endnoteReference w:id="35"/>
      </w:r>
      <w:r w:rsidR="00261BD4" w:rsidRPr="00FF6BDC">
        <w:t xml:space="preserve"> </w:t>
      </w:r>
      <w:r w:rsidR="00223F5A">
        <w:t>The Family Court and Federal Circuit Court of Australia report that ‘c</w:t>
      </w:r>
      <w:r w:rsidR="002244D0" w:rsidRPr="00FF6BDC">
        <w:t>hildren who are exposed to family and domestic violence have higher levels of emotional and behavioural problems than children who have not</w:t>
      </w:r>
      <w:r w:rsidR="00223F5A">
        <w:t>’ and that ‘c</w:t>
      </w:r>
      <w:r w:rsidR="002244D0" w:rsidRPr="00FF6BDC">
        <w:t>hildren who are in violent homes are also at a greater risk of physical abuse or having their physical and emotional needs neglected</w:t>
      </w:r>
      <w:r w:rsidR="00223F5A">
        <w:t>’</w:t>
      </w:r>
      <w:r w:rsidR="002244D0" w:rsidRPr="00FF6BDC">
        <w:t>.</w:t>
      </w:r>
      <w:r w:rsidR="002244D0" w:rsidRPr="00FC53D9">
        <w:rPr>
          <w:sz w:val="20"/>
          <w:vertAlign w:val="superscript"/>
        </w:rPr>
        <w:endnoteReference w:id="36"/>
      </w:r>
      <w:r w:rsidR="002244D0" w:rsidRPr="00FF6BDC">
        <w:rPr>
          <w:vertAlign w:val="superscript"/>
        </w:rPr>
        <w:t xml:space="preserve"> </w:t>
      </w:r>
      <w:r w:rsidR="00EF67A5" w:rsidRPr="00FF6BDC">
        <w:rPr>
          <w:vertAlign w:val="superscript"/>
        </w:rPr>
        <w:t xml:space="preserve"> </w:t>
      </w:r>
    </w:p>
    <w:p w14:paraId="00C290EA" w14:textId="77777777" w:rsidR="00917497" w:rsidRPr="008D0E5C" w:rsidRDefault="00917497" w:rsidP="00170344">
      <w:pPr>
        <w:pStyle w:val="Heading1"/>
        <w:numPr>
          <w:ilvl w:val="0"/>
          <w:numId w:val="16"/>
        </w:numPr>
      </w:pPr>
      <w:bookmarkStart w:id="18" w:name="_Toc472686479"/>
      <w:bookmarkStart w:id="19" w:name="_Toc162769295"/>
      <w:r w:rsidRPr="008D0E5C">
        <w:t>Recent</w:t>
      </w:r>
      <w:r w:rsidR="00256A25" w:rsidRPr="008D0E5C">
        <w:t xml:space="preserve"> developments in Australia</w:t>
      </w:r>
      <w:bookmarkEnd w:id="18"/>
      <w:r w:rsidR="00256A25" w:rsidRPr="008D0E5C">
        <w:t xml:space="preserve"> </w:t>
      </w:r>
    </w:p>
    <w:p w14:paraId="433E0C2B" w14:textId="77777777" w:rsidR="00146F14" w:rsidRPr="00CE0E56" w:rsidRDefault="00146F14" w:rsidP="00170344">
      <w:pPr>
        <w:pStyle w:val="Heading2"/>
        <w:numPr>
          <w:ilvl w:val="1"/>
          <w:numId w:val="16"/>
        </w:numPr>
      </w:pPr>
      <w:bookmarkStart w:id="20" w:name="_Toc472686480"/>
      <w:r w:rsidRPr="00CE0E56">
        <w:t xml:space="preserve">National Plan </w:t>
      </w:r>
      <w:r w:rsidR="00167612">
        <w:t>to Reduce Violence Against Women and their Children</w:t>
      </w:r>
      <w:bookmarkEnd w:id="20"/>
    </w:p>
    <w:bookmarkEnd w:id="19"/>
    <w:p w14:paraId="3E659913" w14:textId="77777777" w:rsidR="00917497" w:rsidRPr="00FF6BDC" w:rsidRDefault="00853EF1" w:rsidP="00917497">
      <w:pPr>
        <w:pStyle w:val="SubmissionNormal"/>
      </w:pPr>
      <w:r w:rsidRPr="00FF6BDC">
        <w:t xml:space="preserve">The </w:t>
      </w:r>
      <w:r w:rsidRPr="00FF6BDC">
        <w:rPr>
          <w:i/>
        </w:rPr>
        <w:t>National P</w:t>
      </w:r>
      <w:r w:rsidR="00256A25" w:rsidRPr="00FF6BDC">
        <w:rPr>
          <w:i/>
        </w:rPr>
        <w:t>lan</w:t>
      </w:r>
      <w:r w:rsidRPr="00FF6BDC">
        <w:rPr>
          <w:i/>
        </w:rPr>
        <w:t xml:space="preserve"> to Reduce Violence Against Women and their Children </w:t>
      </w:r>
      <w:r w:rsidR="002F3C7D" w:rsidRPr="00FF6BDC">
        <w:rPr>
          <w:i/>
        </w:rPr>
        <w:t>2010-2022</w:t>
      </w:r>
      <w:r w:rsidR="003F732E">
        <w:rPr>
          <w:rStyle w:val="EndnoteReference"/>
          <w:i/>
        </w:rPr>
        <w:endnoteReference w:id="37"/>
      </w:r>
      <w:r w:rsidR="002F3C7D" w:rsidRPr="00FF6BDC">
        <w:t xml:space="preserve"> </w:t>
      </w:r>
      <w:r w:rsidRPr="00FF6BDC">
        <w:t xml:space="preserve">is a twelve-year plan which aims to coordinate actions across Australian jurisdictions to reduce levels of violence </w:t>
      </w:r>
      <w:r w:rsidR="002F3C7D" w:rsidRPr="00FF6BDC">
        <w:t xml:space="preserve">against women. The Plan seeks to achieve six national outcomes: </w:t>
      </w:r>
    </w:p>
    <w:p w14:paraId="5AAE4FD5" w14:textId="77777777" w:rsidR="000B71EB" w:rsidRPr="00FF6BDC" w:rsidRDefault="000B71EB" w:rsidP="00170344">
      <w:pPr>
        <w:pStyle w:val="SubmissionNormal"/>
        <w:numPr>
          <w:ilvl w:val="0"/>
          <w:numId w:val="19"/>
        </w:numPr>
      </w:pPr>
      <w:r w:rsidRPr="00FF6BDC">
        <w:t>Communities are safe and free from violence</w:t>
      </w:r>
    </w:p>
    <w:p w14:paraId="6C3987BA" w14:textId="77777777" w:rsidR="000B71EB" w:rsidRPr="00FF6BDC" w:rsidRDefault="000B71EB" w:rsidP="00170344">
      <w:pPr>
        <w:pStyle w:val="SubmissionNormal"/>
        <w:numPr>
          <w:ilvl w:val="0"/>
          <w:numId w:val="19"/>
        </w:numPr>
        <w:spacing w:before="0"/>
      </w:pPr>
      <w:r w:rsidRPr="00FF6BDC">
        <w:t>Relationships are respectful</w:t>
      </w:r>
    </w:p>
    <w:p w14:paraId="7618D33E" w14:textId="77777777" w:rsidR="000B71EB" w:rsidRPr="00FF6BDC" w:rsidRDefault="000B71EB" w:rsidP="00170344">
      <w:pPr>
        <w:pStyle w:val="SubmissionNormal"/>
        <w:numPr>
          <w:ilvl w:val="0"/>
          <w:numId w:val="19"/>
        </w:numPr>
        <w:spacing w:before="0"/>
      </w:pPr>
      <w:r w:rsidRPr="00FF6BDC">
        <w:t>Indigenous communities are strengthened</w:t>
      </w:r>
    </w:p>
    <w:p w14:paraId="316CE849" w14:textId="77777777" w:rsidR="000B71EB" w:rsidRPr="00FF6BDC" w:rsidRDefault="000B71EB" w:rsidP="00170344">
      <w:pPr>
        <w:pStyle w:val="SubmissionNormal"/>
        <w:numPr>
          <w:ilvl w:val="0"/>
          <w:numId w:val="19"/>
        </w:numPr>
        <w:spacing w:before="0"/>
      </w:pPr>
      <w:r w:rsidRPr="00FF6BDC">
        <w:t>Services meet the needs of women and their children experiencing violence</w:t>
      </w:r>
    </w:p>
    <w:p w14:paraId="3A180E9D" w14:textId="77777777" w:rsidR="000B71EB" w:rsidRPr="00FF6BDC" w:rsidRDefault="000B71EB" w:rsidP="00170344">
      <w:pPr>
        <w:pStyle w:val="SubmissionNormal"/>
        <w:numPr>
          <w:ilvl w:val="0"/>
          <w:numId w:val="19"/>
        </w:numPr>
        <w:spacing w:before="0"/>
      </w:pPr>
      <w:r w:rsidRPr="00FF6BDC">
        <w:lastRenderedPageBreak/>
        <w:t>Justice responses are effective</w:t>
      </w:r>
    </w:p>
    <w:p w14:paraId="47F56B8F" w14:textId="77777777" w:rsidR="000B71EB" w:rsidRPr="00FF6BDC" w:rsidRDefault="000B71EB" w:rsidP="00170344">
      <w:pPr>
        <w:pStyle w:val="SubmissionNormal"/>
        <w:numPr>
          <w:ilvl w:val="0"/>
          <w:numId w:val="19"/>
        </w:numPr>
        <w:spacing w:before="0"/>
      </w:pPr>
      <w:r w:rsidRPr="00FF6BDC">
        <w:t>Perpetrators stop their violence and are held to account</w:t>
      </w:r>
      <w:r w:rsidR="00D775FD">
        <w:t>.</w:t>
      </w:r>
      <w:r w:rsidR="00D53E58">
        <w:rPr>
          <w:rStyle w:val="EndnoteReference"/>
        </w:rPr>
        <w:endnoteReference w:id="38"/>
      </w:r>
    </w:p>
    <w:p w14:paraId="2D2C3494" w14:textId="77777777" w:rsidR="000833F1" w:rsidRPr="00FF6BDC" w:rsidRDefault="000B71EB" w:rsidP="000833F1">
      <w:pPr>
        <w:pStyle w:val="SubmissionNormal"/>
      </w:pPr>
      <w:r w:rsidRPr="00FF6BDC">
        <w:t>The National Plan sets out a framework for implementation through four three-year action plans</w:t>
      </w:r>
      <w:r w:rsidR="0083590B">
        <w:t xml:space="preserve">. </w:t>
      </w:r>
      <w:r w:rsidRPr="00FF6BDC">
        <w:t xml:space="preserve">The </w:t>
      </w:r>
      <w:r w:rsidR="00DC11BB" w:rsidRPr="00FF6BDC">
        <w:t>Third Action Plan, for the period 2016–19, was released in October 2016.</w:t>
      </w:r>
      <w:r w:rsidR="0043540C">
        <w:rPr>
          <w:rStyle w:val="EndnoteReference"/>
        </w:rPr>
        <w:endnoteReference w:id="39"/>
      </w:r>
      <w:r w:rsidR="00DC11BB" w:rsidRPr="00FF6BDC">
        <w:t xml:space="preserve"> </w:t>
      </w:r>
      <w:r w:rsidR="00DC2EFA" w:rsidRPr="00FF6BDC">
        <w:t xml:space="preserve">The </w:t>
      </w:r>
      <w:r w:rsidR="000833F1" w:rsidRPr="00FF6BDC">
        <w:t>Action Plan focuses on six priority areas: prevention and early intervention; Aboriginal and Torres Strait Islander women and their children; greater support and choice; sexual violence; responding to children living with violence; and keeping perpetrators accountable across all systems.</w:t>
      </w:r>
      <w:r w:rsidR="00AF7C1E">
        <w:rPr>
          <w:rStyle w:val="EndnoteReference"/>
        </w:rPr>
        <w:endnoteReference w:id="40"/>
      </w:r>
    </w:p>
    <w:p w14:paraId="13E9CD43" w14:textId="77777777" w:rsidR="00DC2EFA" w:rsidRPr="00FF6BDC" w:rsidRDefault="004C4D7E" w:rsidP="00917497">
      <w:pPr>
        <w:pStyle w:val="SubmissionNormal"/>
      </w:pPr>
      <w:r w:rsidRPr="00FF6BDC">
        <w:t>The Commission provided input</w:t>
      </w:r>
      <w:r w:rsidR="00697CF9">
        <w:rPr>
          <w:rStyle w:val="EndnoteReference"/>
        </w:rPr>
        <w:endnoteReference w:id="41"/>
      </w:r>
      <w:r w:rsidRPr="00FF6BDC">
        <w:t xml:space="preserve"> during the development of the Third Action Plan, </w:t>
      </w:r>
      <w:r w:rsidR="0089078A" w:rsidRPr="00FF6BDC">
        <w:t xml:space="preserve">putting forward a number of suggestions for advancing and strengthening the National Plan: </w:t>
      </w:r>
    </w:p>
    <w:p w14:paraId="0B743F5C" w14:textId="77777777" w:rsidR="00FF2E89" w:rsidRPr="00FF6BDC" w:rsidRDefault="00FF2E89" w:rsidP="00FF2E89">
      <w:pPr>
        <w:pStyle w:val="ListParagraph"/>
        <w:numPr>
          <w:ilvl w:val="0"/>
          <w:numId w:val="20"/>
        </w:numPr>
        <w:rPr>
          <w:rFonts w:eastAsia="Times New Roman"/>
        </w:rPr>
      </w:pPr>
      <w:r w:rsidRPr="00FF6BDC">
        <w:rPr>
          <w:rFonts w:eastAsia="Times New Roman"/>
        </w:rPr>
        <w:t>grounding the National Plan in a human rights framework which recognises that gender equality is the key to addressing violence against women and that gender inequality, discrimination, harassment and violence are all serious human rights violations</w:t>
      </w:r>
    </w:p>
    <w:p w14:paraId="05AF72DC" w14:textId="77777777" w:rsidR="008748C3" w:rsidRPr="00FF6BDC" w:rsidRDefault="004C4D7E" w:rsidP="00170344">
      <w:pPr>
        <w:pStyle w:val="SubmissionNormal"/>
        <w:numPr>
          <w:ilvl w:val="0"/>
          <w:numId w:val="20"/>
        </w:numPr>
      </w:pPr>
      <w:r w:rsidRPr="00FF6BDC">
        <w:t>i</w:t>
      </w:r>
      <w:r w:rsidR="00DC2EFA" w:rsidRPr="00FF6BDC">
        <w:t xml:space="preserve">mplementing </w:t>
      </w:r>
      <w:r w:rsidRPr="00FF6BDC">
        <w:t xml:space="preserve">the </w:t>
      </w:r>
      <w:r w:rsidR="008748C3" w:rsidRPr="00FF6BDC">
        <w:t>N</w:t>
      </w:r>
      <w:r w:rsidR="00DC2EFA" w:rsidRPr="00FF6BDC">
        <w:t xml:space="preserve">ational </w:t>
      </w:r>
      <w:r w:rsidR="008748C3" w:rsidRPr="00FF6BDC">
        <w:t>P</w:t>
      </w:r>
      <w:r w:rsidR="00DC2EFA" w:rsidRPr="00FF6BDC">
        <w:t xml:space="preserve">revention </w:t>
      </w:r>
      <w:r w:rsidR="008748C3" w:rsidRPr="00FF6BDC">
        <w:t>F</w:t>
      </w:r>
      <w:r w:rsidR="00DC2EFA" w:rsidRPr="00FF6BDC">
        <w:t xml:space="preserve">ramework </w:t>
      </w:r>
      <w:r w:rsidR="008748C3" w:rsidRPr="00FF6BDC">
        <w:t>developed by Our Watch</w:t>
      </w:r>
      <w:r w:rsidR="008D6484" w:rsidRPr="00FF6BDC">
        <w:t xml:space="preserve"> (</w:t>
      </w:r>
      <w:r w:rsidR="008748C3" w:rsidRPr="00FF6BDC">
        <w:t>an independent organisation established under the National Plan to drive nationwide change in the culture, behaviours and power imbalances that lead to violence a</w:t>
      </w:r>
      <w:r w:rsidR="001F1EF9" w:rsidRPr="00FF6BDC">
        <w:t>gainst women and their children</w:t>
      </w:r>
      <w:r w:rsidR="008D6484" w:rsidRPr="00FF6BDC">
        <w:t xml:space="preserve">) </w:t>
      </w:r>
      <w:r w:rsidR="001F1EF9" w:rsidRPr="00FF6BDC">
        <w:t>and continuing to resource the organisation’s capacity-building and coordination work</w:t>
      </w:r>
    </w:p>
    <w:p w14:paraId="36D60B82" w14:textId="77777777" w:rsidR="008748C3" w:rsidRPr="00FF6BDC" w:rsidRDefault="00DC2EFA" w:rsidP="00170344">
      <w:pPr>
        <w:pStyle w:val="SubmissionNormal"/>
        <w:numPr>
          <w:ilvl w:val="0"/>
          <w:numId w:val="20"/>
        </w:numPr>
      </w:pPr>
      <w:r w:rsidRPr="00FF6BDC">
        <w:t xml:space="preserve">extending successful school-based prevention initiatives, such as </w:t>
      </w:r>
      <w:r w:rsidR="00732E53" w:rsidRPr="00FF6BDC">
        <w:t>r</w:t>
      </w:r>
      <w:r w:rsidRPr="00FF6BDC">
        <w:t xml:space="preserve">espectful </w:t>
      </w:r>
      <w:r w:rsidR="00732E53" w:rsidRPr="00FF6BDC">
        <w:t>r</w:t>
      </w:r>
      <w:r w:rsidRPr="00FF6BDC">
        <w:t xml:space="preserve">elationships </w:t>
      </w:r>
      <w:r w:rsidR="00732E53" w:rsidRPr="00FF6BDC">
        <w:t xml:space="preserve">programs </w:t>
      </w:r>
    </w:p>
    <w:p w14:paraId="4C844CCC" w14:textId="77777777" w:rsidR="008748C3" w:rsidRPr="00FF6BDC" w:rsidRDefault="00DC2EFA" w:rsidP="00170344">
      <w:pPr>
        <w:pStyle w:val="SubmissionNormal"/>
        <w:numPr>
          <w:ilvl w:val="0"/>
          <w:numId w:val="20"/>
        </w:numPr>
      </w:pPr>
      <w:r w:rsidRPr="00FF6BDC">
        <w:t xml:space="preserve">supporting and encouraging workplaces to introduce policies and programs and workplace entitlements for </w:t>
      </w:r>
      <w:r w:rsidR="00435097">
        <w:t>family and d</w:t>
      </w:r>
      <w:r w:rsidRPr="00FF6BDC">
        <w:t xml:space="preserve">omestic </w:t>
      </w:r>
      <w:r w:rsidR="00435097">
        <w:t>v</w:t>
      </w:r>
      <w:r w:rsidRPr="00FF6BDC">
        <w:t>iolence leave</w:t>
      </w:r>
    </w:p>
    <w:p w14:paraId="0A830E65" w14:textId="77777777" w:rsidR="008748C3" w:rsidRPr="00971881" w:rsidRDefault="00DC2EFA" w:rsidP="00170344">
      <w:pPr>
        <w:pStyle w:val="SubmissionNormal"/>
        <w:numPr>
          <w:ilvl w:val="0"/>
          <w:numId w:val="20"/>
        </w:numPr>
      </w:pPr>
      <w:r w:rsidRPr="00FF6BDC">
        <w:t xml:space="preserve">resourcing the Commission’s national sexual harassment in the workplace </w:t>
      </w:r>
      <w:r w:rsidRPr="00971881">
        <w:t>survey</w:t>
      </w:r>
      <w:r w:rsidR="008748C3" w:rsidRPr="00971881">
        <w:t xml:space="preserve"> (see Section 6.1 of this submission)</w:t>
      </w:r>
    </w:p>
    <w:p w14:paraId="60CBFBD3" w14:textId="77777777" w:rsidR="00DC2EFA" w:rsidRPr="00FF6BDC" w:rsidRDefault="00D92726" w:rsidP="00D92726">
      <w:pPr>
        <w:pStyle w:val="SubmissionNormal"/>
        <w:numPr>
          <w:ilvl w:val="0"/>
          <w:numId w:val="20"/>
        </w:numPr>
      </w:pPr>
      <w:r w:rsidRPr="00FF6BDC">
        <w:t>building the evidence based to inform policy development</w:t>
      </w:r>
      <w:r w:rsidR="00037C42" w:rsidRPr="00FF6BDC">
        <w:t xml:space="preserve"> </w:t>
      </w:r>
      <w:r w:rsidRPr="00FF6BDC">
        <w:t xml:space="preserve">on violence against women, </w:t>
      </w:r>
      <w:r w:rsidR="00037C42" w:rsidRPr="00FF6BDC">
        <w:t xml:space="preserve">including through </w:t>
      </w:r>
      <w:r w:rsidR="0027423C" w:rsidRPr="00FF6BDC">
        <w:t xml:space="preserve">funding </w:t>
      </w:r>
      <w:r w:rsidR="00DC2EFA" w:rsidRPr="00FF6BDC">
        <w:t>the A</w:t>
      </w:r>
      <w:r w:rsidR="008748C3" w:rsidRPr="00FF6BDC">
        <w:t>ustralian Bureau of Statistics t</w:t>
      </w:r>
      <w:r w:rsidR="00DC2EFA" w:rsidRPr="00FF6BDC">
        <w:t>o</w:t>
      </w:r>
      <w:r w:rsidR="00F02C90" w:rsidRPr="00FF6BDC">
        <w:t xml:space="preserve"> gather data that supports policy on economic security for women</w:t>
      </w:r>
      <w:r w:rsidR="00037C42" w:rsidRPr="00FF6BDC">
        <w:t xml:space="preserve"> and </w:t>
      </w:r>
      <w:r w:rsidRPr="00FF6BDC">
        <w:t xml:space="preserve">effectively </w:t>
      </w:r>
      <w:r w:rsidR="00037C42" w:rsidRPr="00FF6BDC">
        <w:t xml:space="preserve">resourcing </w:t>
      </w:r>
      <w:r w:rsidR="00805FF3">
        <w:t>ANROWS</w:t>
      </w:r>
    </w:p>
    <w:p w14:paraId="0C88C444" w14:textId="77777777" w:rsidR="00F02C90" w:rsidRPr="00971881" w:rsidRDefault="00F02C90" w:rsidP="00170344">
      <w:pPr>
        <w:pStyle w:val="SubmissionNormal"/>
        <w:numPr>
          <w:ilvl w:val="0"/>
          <w:numId w:val="20"/>
        </w:numPr>
      </w:pPr>
      <w:r w:rsidRPr="00FF6BDC">
        <w:t xml:space="preserve">implementing the </w:t>
      </w:r>
      <w:r w:rsidR="00BC42FB" w:rsidRPr="00FF6BDC">
        <w:t>recommendations</w:t>
      </w:r>
      <w:r w:rsidRPr="00FF6BDC">
        <w:t xml:space="preserve"> from the Commission’s </w:t>
      </w:r>
      <w:r w:rsidRPr="00FF6BDC">
        <w:rPr>
          <w:i/>
        </w:rPr>
        <w:t>Children’s Rights Report 2015</w:t>
      </w:r>
      <w:r w:rsidRPr="00FF6BDC">
        <w:t xml:space="preserve">, which focused on the impact of family and domestic </w:t>
      </w:r>
      <w:r w:rsidRPr="00971881">
        <w:t>violence on the human rights of children and young people</w:t>
      </w:r>
    </w:p>
    <w:p w14:paraId="75DE2CC8" w14:textId="77777777" w:rsidR="00BC42FB" w:rsidRPr="00971881" w:rsidRDefault="00BC42FB" w:rsidP="00170344">
      <w:pPr>
        <w:pStyle w:val="SubmissionNormal"/>
        <w:numPr>
          <w:ilvl w:val="0"/>
          <w:numId w:val="20"/>
        </w:numPr>
        <w:rPr>
          <w:rFonts w:cs="Arial"/>
          <w:color w:val="000000" w:themeColor="text1"/>
        </w:rPr>
      </w:pPr>
      <w:r w:rsidRPr="00971881">
        <w:rPr>
          <w:rFonts w:cs="Arial"/>
          <w:color w:val="000000" w:themeColor="text1"/>
        </w:rPr>
        <w:t>supporting the development of mechanisms for better recording, monitoring and making recommendations on family violence deaths (see also Section</w:t>
      </w:r>
      <w:r w:rsidR="0089078A" w:rsidRPr="00971881">
        <w:rPr>
          <w:rFonts w:cs="Arial"/>
          <w:color w:val="000000" w:themeColor="text1"/>
        </w:rPr>
        <w:t xml:space="preserve"> 6.4 of this submission)</w:t>
      </w:r>
    </w:p>
    <w:p w14:paraId="6768EAD1" w14:textId="77777777" w:rsidR="006636AD" w:rsidRPr="00FF6BDC" w:rsidRDefault="006636AD" w:rsidP="00DB16CA">
      <w:pPr>
        <w:pStyle w:val="SubmissionNormal"/>
        <w:numPr>
          <w:ilvl w:val="0"/>
          <w:numId w:val="20"/>
        </w:numPr>
        <w:rPr>
          <w:rFonts w:cs="Arial"/>
          <w:color w:val="000000" w:themeColor="text1"/>
        </w:rPr>
      </w:pPr>
      <w:r w:rsidRPr="00FF6BDC">
        <w:rPr>
          <w:rFonts w:cs="Arial"/>
          <w:color w:val="000000" w:themeColor="text1"/>
        </w:rPr>
        <w:t>strengthening independent monitoring and evaluation systems of the National Plan</w:t>
      </w:r>
    </w:p>
    <w:p w14:paraId="3F053F00" w14:textId="77777777" w:rsidR="006636AD" w:rsidRPr="00971881" w:rsidRDefault="006636AD" w:rsidP="006636AD">
      <w:pPr>
        <w:pStyle w:val="SubmissionNormal"/>
        <w:numPr>
          <w:ilvl w:val="0"/>
          <w:numId w:val="20"/>
        </w:numPr>
        <w:rPr>
          <w:rFonts w:cs="Arial"/>
          <w:color w:val="000000" w:themeColor="text1"/>
        </w:rPr>
      </w:pPr>
      <w:r w:rsidRPr="00971881">
        <w:rPr>
          <w:rFonts w:cs="Arial"/>
          <w:color w:val="000000" w:themeColor="text1"/>
        </w:rPr>
        <w:lastRenderedPageBreak/>
        <w:t>incorporating into the National Action Plan lessons from the comprehensive Victorian Royal Commission into Family Violence (see Section 5.3 of this submission)</w:t>
      </w:r>
    </w:p>
    <w:p w14:paraId="474EAC21" w14:textId="77777777" w:rsidR="00216EE8" w:rsidRPr="00FF6BDC" w:rsidRDefault="00732E53" w:rsidP="00B12739">
      <w:pPr>
        <w:pStyle w:val="SubmissionNormal"/>
      </w:pPr>
      <w:r w:rsidRPr="00FF6BDC">
        <w:t>The Third Action Plan included specific actions relating to the implementation of the National Prevention Framework, respectful relationships education</w:t>
      </w:r>
      <w:r w:rsidR="00E669BA" w:rsidRPr="00FF6BDC">
        <w:t xml:space="preserve"> and </w:t>
      </w:r>
      <w:r w:rsidRPr="00FF6BDC">
        <w:t xml:space="preserve">ANROWS’ research on </w:t>
      </w:r>
      <w:r w:rsidR="00E669BA" w:rsidRPr="00FF6BDC">
        <w:t>perpetrator interventions.</w:t>
      </w:r>
      <w:r w:rsidR="004C5185">
        <w:rPr>
          <w:rStyle w:val="EndnoteReference"/>
        </w:rPr>
        <w:endnoteReference w:id="42"/>
      </w:r>
      <w:r w:rsidR="00E669BA" w:rsidRPr="00FF6BDC">
        <w:t xml:space="preserve"> </w:t>
      </w:r>
      <w:r w:rsidR="00B12739" w:rsidRPr="00FF6BDC">
        <w:t>The Action Plan also stipulates that working groups will be established to progress and monitor key actions, and that an external evaluation of the achievements and outcomes of the Action Plan will be undertaken in 2019.</w:t>
      </w:r>
      <w:r w:rsidR="009558AB">
        <w:rPr>
          <w:rStyle w:val="EndnoteReference"/>
        </w:rPr>
        <w:endnoteReference w:id="43"/>
      </w:r>
    </w:p>
    <w:p w14:paraId="302E529E" w14:textId="77777777" w:rsidR="003C39AC" w:rsidRPr="00CE0E56" w:rsidRDefault="000A791D" w:rsidP="00170344">
      <w:pPr>
        <w:pStyle w:val="Heading2"/>
        <w:numPr>
          <w:ilvl w:val="1"/>
          <w:numId w:val="16"/>
        </w:numPr>
      </w:pPr>
      <w:bookmarkStart w:id="21" w:name="_Toc472686481"/>
      <w:r>
        <w:t>Relevant Federal Government i</w:t>
      </w:r>
      <w:r w:rsidR="003C39AC" w:rsidRPr="00CE0E56">
        <w:t>nquir</w:t>
      </w:r>
      <w:r w:rsidR="00D519CD">
        <w:t>ies</w:t>
      </w:r>
      <w:bookmarkEnd w:id="21"/>
      <w:r w:rsidR="003C39AC" w:rsidRPr="00CE0E56">
        <w:t xml:space="preserve"> </w:t>
      </w:r>
    </w:p>
    <w:p w14:paraId="7C244F10" w14:textId="77777777" w:rsidR="0041685B" w:rsidRPr="00FF6BDC" w:rsidRDefault="0041685B" w:rsidP="0041685B">
      <w:pPr>
        <w:pStyle w:val="SubmissionNormal"/>
      </w:pPr>
      <w:r w:rsidRPr="00FF6BDC">
        <w:t>In November 2015, the Senate Finance and Public Administration References Committee commenced an inquiry into domestic violence and gender inequality in Australia. The terms of reference of the inquiry focused on:</w:t>
      </w:r>
    </w:p>
    <w:p w14:paraId="17FA0696" w14:textId="77777777" w:rsidR="0041685B" w:rsidRPr="00FF6BDC" w:rsidRDefault="0041685B" w:rsidP="0091153C">
      <w:pPr>
        <w:pStyle w:val="SubmissionNormal"/>
        <w:numPr>
          <w:ilvl w:val="0"/>
          <w:numId w:val="21"/>
        </w:numPr>
        <w:ind w:left="993"/>
      </w:pPr>
      <w:r w:rsidRPr="00FF6BDC">
        <w:t xml:space="preserve">the role of gender inequality in all spheres of life in contributing to the </w:t>
      </w:r>
      <w:r w:rsidR="0091153C" w:rsidRPr="00FF6BDC">
        <w:t>prevalence of domestic violence</w:t>
      </w:r>
    </w:p>
    <w:p w14:paraId="6DDB6003" w14:textId="77777777" w:rsidR="0041685B" w:rsidRPr="00FF6BDC" w:rsidRDefault="0041685B" w:rsidP="0091153C">
      <w:pPr>
        <w:pStyle w:val="SubmissionNormal"/>
        <w:numPr>
          <w:ilvl w:val="0"/>
          <w:numId w:val="21"/>
        </w:numPr>
        <w:ind w:left="993"/>
      </w:pPr>
      <w:r w:rsidRPr="00FF6BDC">
        <w:t>the role of gender stereotypes in contributing to cultural conditions which support domestic violence</w:t>
      </w:r>
    </w:p>
    <w:p w14:paraId="13FF43C9" w14:textId="77777777" w:rsidR="0041685B" w:rsidRPr="00FF6BDC" w:rsidRDefault="0041685B" w:rsidP="0091153C">
      <w:pPr>
        <w:pStyle w:val="SubmissionNormal"/>
        <w:numPr>
          <w:ilvl w:val="0"/>
          <w:numId w:val="21"/>
        </w:numPr>
        <w:ind w:left="993"/>
      </w:pPr>
      <w:r w:rsidRPr="00FF6BDC">
        <w:t>the role of government initiatives at every level in addressing the underl</w:t>
      </w:r>
      <w:r w:rsidR="0091153C" w:rsidRPr="00FF6BDC">
        <w:t>ying causes of domestic violence.</w:t>
      </w:r>
      <w:r w:rsidR="000F12CA">
        <w:rPr>
          <w:rStyle w:val="EndnoteReference"/>
        </w:rPr>
        <w:endnoteReference w:id="44"/>
      </w:r>
    </w:p>
    <w:p w14:paraId="42D830B0" w14:textId="77777777" w:rsidR="00CF53AF" w:rsidRPr="00FF6BDC" w:rsidRDefault="00ED25FE" w:rsidP="00CF53AF">
      <w:pPr>
        <w:pStyle w:val="SubmissionNormal"/>
      </w:pPr>
      <w:r w:rsidRPr="00FF6BDC">
        <w:t xml:space="preserve">In </w:t>
      </w:r>
      <w:r w:rsidR="00CF53AF" w:rsidRPr="00FF6BDC">
        <w:t>its</w:t>
      </w:r>
      <w:r w:rsidRPr="00FF6BDC">
        <w:t xml:space="preserve"> submission to the inquiry,</w:t>
      </w:r>
      <w:r w:rsidR="00336397">
        <w:rPr>
          <w:rStyle w:val="EndnoteReference"/>
        </w:rPr>
        <w:endnoteReference w:id="45"/>
      </w:r>
      <w:r w:rsidRPr="00FF6BDC">
        <w:t xml:space="preserve"> the Commission </w:t>
      </w:r>
      <w:r w:rsidR="00A7301E" w:rsidRPr="00FF6BDC">
        <w:t>highlighted the follo</w:t>
      </w:r>
      <w:r w:rsidR="00CF53AF" w:rsidRPr="00FF6BDC">
        <w:t>wing issues:</w:t>
      </w:r>
    </w:p>
    <w:p w14:paraId="7AD0B264" w14:textId="77777777" w:rsidR="00A7301E" w:rsidRPr="00FF6BDC" w:rsidRDefault="00626F13" w:rsidP="00CC1F33">
      <w:pPr>
        <w:pStyle w:val="SubmissionNormal"/>
        <w:numPr>
          <w:ilvl w:val="0"/>
          <w:numId w:val="22"/>
        </w:numPr>
        <w:ind w:left="993"/>
      </w:pPr>
      <w:r w:rsidRPr="00FF6BDC">
        <w:t>strategies and programs to prevent violence against women through addressing be</w:t>
      </w:r>
      <w:r w:rsidR="00A7301E" w:rsidRPr="00FF6BDC">
        <w:t>haviours, attitudes and negative stereotypes of women and girls</w:t>
      </w:r>
    </w:p>
    <w:p w14:paraId="33589A18" w14:textId="77777777" w:rsidR="00A7301E" w:rsidRPr="00FF6BDC" w:rsidRDefault="00197523" w:rsidP="00CC1F33">
      <w:pPr>
        <w:pStyle w:val="SubmissionNormal"/>
        <w:numPr>
          <w:ilvl w:val="0"/>
          <w:numId w:val="22"/>
        </w:numPr>
        <w:ind w:left="993"/>
      </w:pPr>
      <w:r w:rsidRPr="00FF6BDC">
        <w:t xml:space="preserve">the need for specific protections against </w:t>
      </w:r>
      <w:r w:rsidR="00435097">
        <w:t xml:space="preserve">adverse treatment </w:t>
      </w:r>
      <w:r w:rsidRPr="00FF6BDC">
        <w:t xml:space="preserve">resulting from experiences of </w:t>
      </w:r>
      <w:r w:rsidR="00435097">
        <w:t xml:space="preserve">family and </w:t>
      </w:r>
      <w:r w:rsidR="00A7301E" w:rsidRPr="00FF6BDC">
        <w:t>domestic violence</w:t>
      </w:r>
    </w:p>
    <w:p w14:paraId="691C569E" w14:textId="77777777" w:rsidR="0093748F" w:rsidRPr="00FF6BDC" w:rsidRDefault="0093748F" w:rsidP="0093748F">
      <w:pPr>
        <w:pStyle w:val="SubmissionNormal"/>
        <w:numPr>
          <w:ilvl w:val="0"/>
          <w:numId w:val="22"/>
        </w:numPr>
        <w:ind w:left="993"/>
      </w:pPr>
      <w:r w:rsidRPr="00FF6BDC">
        <w:t>the need to address the intersectional causes of domestic violence as it affects at-risk groups, including lesbian, gay, bisexual, transgender, gender diverse and intersex (LGBTI) people, people from migrant an</w:t>
      </w:r>
      <w:r w:rsidR="003A1732" w:rsidRPr="00FF6BDC">
        <w:t>d</w:t>
      </w:r>
      <w:r w:rsidRPr="00FF6BDC">
        <w:t xml:space="preserve"> refugee backgrounds, children, people with disabilities and Aboriginal an</w:t>
      </w:r>
      <w:r w:rsidR="003A1732" w:rsidRPr="00FF6BDC">
        <w:t>d Torres Strait Islander people</w:t>
      </w:r>
    </w:p>
    <w:p w14:paraId="7F33EBAC" w14:textId="77777777" w:rsidR="003A1732" w:rsidRPr="00FF6BDC" w:rsidRDefault="00A7301E" w:rsidP="003A1732">
      <w:pPr>
        <w:pStyle w:val="SubmissionNormal"/>
        <w:numPr>
          <w:ilvl w:val="0"/>
          <w:numId w:val="22"/>
        </w:numPr>
        <w:ind w:left="993"/>
      </w:pPr>
      <w:r w:rsidRPr="00FF6BDC">
        <w:t>the specific impacts of family and domest</w:t>
      </w:r>
      <w:r w:rsidR="00CC1F33" w:rsidRPr="00FF6BDC">
        <w:t>ic violence on children</w:t>
      </w:r>
      <w:r w:rsidR="003A1732" w:rsidRPr="00FF6BDC">
        <w:t xml:space="preserve"> and the implementation of recommendations made in the Commission’s </w:t>
      </w:r>
      <w:r w:rsidR="003A1732" w:rsidRPr="00FF6BDC">
        <w:rPr>
          <w:i/>
        </w:rPr>
        <w:t xml:space="preserve">Children’s Rights Report 2015 </w:t>
      </w:r>
      <w:r w:rsidR="003A1732" w:rsidRPr="00FF6BDC">
        <w:t>(see Section 6.5 of this submission)</w:t>
      </w:r>
    </w:p>
    <w:p w14:paraId="05E5247E" w14:textId="77777777" w:rsidR="00A7301E" w:rsidRPr="00FF6BDC" w:rsidRDefault="00A7301E" w:rsidP="00CC1F33">
      <w:pPr>
        <w:pStyle w:val="SubmissionNormal"/>
        <w:numPr>
          <w:ilvl w:val="0"/>
          <w:numId w:val="22"/>
        </w:numPr>
        <w:ind w:left="993"/>
      </w:pPr>
      <w:r w:rsidRPr="00FF6BDC">
        <w:t>the manifestation of domestic violence and gender ine</w:t>
      </w:r>
      <w:r w:rsidR="00CC1F33" w:rsidRPr="00FF6BDC">
        <w:t>quality in a workplace context</w:t>
      </w:r>
      <w:r w:rsidR="00CA15EC" w:rsidRPr="00FF6BDC">
        <w:t xml:space="preserve"> and the need for workplace entitlements, policies and programs to support victims/survivors of domestic violence (including the introduction of paid </w:t>
      </w:r>
      <w:r w:rsidR="00435097">
        <w:t xml:space="preserve">family and </w:t>
      </w:r>
      <w:r w:rsidR="00CA15EC" w:rsidRPr="00FF6BDC">
        <w:t>domestic violence leave)</w:t>
      </w:r>
    </w:p>
    <w:p w14:paraId="42B5A4C1" w14:textId="77777777" w:rsidR="00ED25FE" w:rsidRPr="00FF6BDC" w:rsidRDefault="00A7301E" w:rsidP="00CC1F33">
      <w:pPr>
        <w:pStyle w:val="SubmissionNormal"/>
        <w:numPr>
          <w:ilvl w:val="0"/>
          <w:numId w:val="22"/>
        </w:numPr>
        <w:ind w:left="993"/>
      </w:pPr>
      <w:r w:rsidRPr="00FF6BDC">
        <w:t xml:space="preserve">coronial approaches to </w:t>
      </w:r>
      <w:r w:rsidR="00435097">
        <w:t xml:space="preserve">family and </w:t>
      </w:r>
      <w:r w:rsidRPr="00FF6BDC">
        <w:t>domesti</w:t>
      </w:r>
      <w:r w:rsidR="00CC1F33" w:rsidRPr="00FF6BDC">
        <w:t>c violence homicides.</w:t>
      </w:r>
    </w:p>
    <w:p w14:paraId="4D7E55AE" w14:textId="77777777" w:rsidR="00564708" w:rsidRPr="00FF6BDC" w:rsidRDefault="00564708" w:rsidP="00564708">
      <w:pPr>
        <w:pStyle w:val="SubmissionNormal"/>
      </w:pPr>
      <w:r w:rsidRPr="00FF6BDC">
        <w:lastRenderedPageBreak/>
        <w:t>The Committee was due to report its findings in August 2016. However, due to the calling of a Federal election in May 2016 and subsequent dissolution of both houses of Parliament, the inquiry lapsed and has not been re-established.</w:t>
      </w:r>
      <w:r w:rsidR="003C7FDA">
        <w:t xml:space="preserve"> T</w:t>
      </w:r>
      <w:r w:rsidRPr="00FF6BDC">
        <w:t xml:space="preserve">he Committee is currently undertaking a new inquiry into gender segregation in the workplace and its impact on women's economic equality, which is due </w:t>
      </w:r>
      <w:r w:rsidR="001305F7" w:rsidRPr="00FF6BDC">
        <w:t xml:space="preserve">to be </w:t>
      </w:r>
      <w:r w:rsidRPr="00FF6BDC">
        <w:t>complet</w:t>
      </w:r>
      <w:r w:rsidR="001305F7" w:rsidRPr="00FF6BDC">
        <w:t>ed</w:t>
      </w:r>
      <w:r w:rsidR="00392121">
        <w:t xml:space="preserve"> in March 2017.</w:t>
      </w:r>
      <w:r w:rsidR="000C1028">
        <w:rPr>
          <w:rStyle w:val="EndnoteReference"/>
        </w:rPr>
        <w:endnoteReference w:id="46"/>
      </w:r>
    </w:p>
    <w:p w14:paraId="02A9DEB0" w14:textId="77777777" w:rsidR="003F614D" w:rsidRPr="00FF6BDC" w:rsidRDefault="00F05F7A" w:rsidP="00F05F7A">
      <w:pPr>
        <w:pStyle w:val="SubmissionNormal"/>
      </w:pPr>
      <w:r w:rsidRPr="00FF6BDC">
        <w:t>In December 2015, Joint Committee on Law Enforcement initiated an inquiry into human trafficking</w:t>
      </w:r>
      <w:r w:rsidR="00D844C2" w:rsidRPr="00FF6BDC">
        <w:t>.</w:t>
      </w:r>
      <w:r w:rsidR="00D16D08">
        <w:t xml:space="preserve"> </w:t>
      </w:r>
      <w:r w:rsidR="00D844C2" w:rsidRPr="00FF6BDC">
        <w:t>The terms of reference of the inquiry focused on:</w:t>
      </w:r>
    </w:p>
    <w:p w14:paraId="49D0BDAF" w14:textId="77777777" w:rsidR="00975E4C" w:rsidRPr="00FF6BDC" w:rsidRDefault="00975E4C" w:rsidP="00D844C2">
      <w:pPr>
        <w:pStyle w:val="SubmissionNormal"/>
        <w:numPr>
          <w:ilvl w:val="0"/>
          <w:numId w:val="23"/>
        </w:numPr>
        <w:tabs>
          <w:tab w:val="clear" w:pos="720"/>
        </w:tabs>
        <w:ind w:left="993"/>
      </w:pPr>
      <w:r w:rsidRPr="00FF6BDC">
        <w:t xml:space="preserve">the prevalence of </w:t>
      </w:r>
      <w:r w:rsidR="00D844C2" w:rsidRPr="00FF6BDC">
        <w:t>human trafficking in Australia</w:t>
      </w:r>
    </w:p>
    <w:p w14:paraId="6809C1CF" w14:textId="77777777" w:rsidR="00975E4C" w:rsidRPr="00FF6BDC" w:rsidRDefault="00975E4C" w:rsidP="00D844C2">
      <w:pPr>
        <w:pStyle w:val="SubmissionNormal"/>
        <w:numPr>
          <w:ilvl w:val="0"/>
          <w:numId w:val="23"/>
        </w:numPr>
        <w:tabs>
          <w:tab w:val="clear" w:pos="720"/>
        </w:tabs>
        <w:ind w:left="993"/>
      </w:pPr>
      <w:r w:rsidRPr="00FF6BDC">
        <w:t xml:space="preserve">the role and effectiveness of Commonwealth law enforcement agencies in </w:t>
      </w:r>
      <w:r w:rsidR="00D844C2" w:rsidRPr="00FF6BDC">
        <w:t>responding to human trafficking</w:t>
      </w:r>
    </w:p>
    <w:p w14:paraId="595D0DDF" w14:textId="77777777" w:rsidR="00975E4C" w:rsidRPr="00FF6BDC" w:rsidRDefault="00975E4C" w:rsidP="00D844C2">
      <w:pPr>
        <w:pStyle w:val="SubmissionNormal"/>
        <w:numPr>
          <w:ilvl w:val="0"/>
          <w:numId w:val="23"/>
        </w:numPr>
        <w:tabs>
          <w:tab w:val="clear" w:pos="720"/>
        </w:tabs>
        <w:ind w:left="993"/>
      </w:pPr>
      <w:r w:rsidRPr="00FF6BDC">
        <w:t xml:space="preserve">practical measures and policies that </w:t>
      </w:r>
      <w:r w:rsidR="00D844C2" w:rsidRPr="00FF6BDC">
        <w:t>would address human trafficking</w:t>
      </w:r>
    </w:p>
    <w:p w14:paraId="61E9FE86" w14:textId="77777777" w:rsidR="00975E4C" w:rsidRPr="00FF6BDC" w:rsidRDefault="00975E4C" w:rsidP="00D844C2">
      <w:pPr>
        <w:pStyle w:val="SubmissionNormal"/>
        <w:numPr>
          <w:ilvl w:val="0"/>
          <w:numId w:val="23"/>
        </w:numPr>
        <w:tabs>
          <w:tab w:val="clear" w:pos="720"/>
        </w:tabs>
        <w:ind w:left="993"/>
      </w:pPr>
      <w:r w:rsidRPr="00FF6BDC">
        <w:t xml:space="preserve">the </w:t>
      </w:r>
      <w:r w:rsidR="00D844C2" w:rsidRPr="00FF6BDC">
        <w:t>involvement of organised crime in human trafficking</w:t>
      </w:r>
    </w:p>
    <w:p w14:paraId="68D644B3" w14:textId="77777777" w:rsidR="00D844C2" w:rsidRPr="00FF6BDC" w:rsidRDefault="00975E4C" w:rsidP="00D844C2">
      <w:pPr>
        <w:pStyle w:val="SubmissionNormal"/>
        <w:numPr>
          <w:ilvl w:val="0"/>
          <w:numId w:val="23"/>
        </w:numPr>
        <w:tabs>
          <w:tab w:val="clear" w:pos="720"/>
        </w:tabs>
        <w:ind w:left="993"/>
      </w:pPr>
      <w:r w:rsidRPr="00FF6BDC">
        <w:t>the extent to which huma</w:t>
      </w:r>
      <w:r w:rsidR="00D844C2" w:rsidRPr="00FF6BDC">
        <w:t>n trafficking is facilitated by migration visas, technology and false identities</w:t>
      </w:r>
    </w:p>
    <w:p w14:paraId="7F16880D" w14:textId="77777777" w:rsidR="003F614D" w:rsidRPr="00FF6BDC" w:rsidRDefault="00975E4C" w:rsidP="00D844C2">
      <w:pPr>
        <w:pStyle w:val="SubmissionNormal"/>
        <w:numPr>
          <w:ilvl w:val="0"/>
          <w:numId w:val="23"/>
        </w:numPr>
        <w:tabs>
          <w:tab w:val="clear" w:pos="720"/>
        </w:tabs>
        <w:ind w:left="993"/>
      </w:pPr>
      <w:r w:rsidRPr="00FF6BDC">
        <w:t>the effectiveness of relevant Commonwealth legislation and policies</w:t>
      </w:r>
      <w:r w:rsidR="006323D8" w:rsidRPr="00FF6BDC">
        <w:t>.</w:t>
      </w:r>
      <w:r w:rsidR="00D16D08">
        <w:rPr>
          <w:rStyle w:val="EndnoteReference"/>
        </w:rPr>
        <w:endnoteReference w:id="47"/>
      </w:r>
      <w:r w:rsidR="006323D8" w:rsidRPr="00FF6BDC">
        <w:t xml:space="preserve"> </w:t>
      </w:r>
    </w:p>
    <w:p w14:paraId="1E6E52AF" w14:textId="77777777" w:rsidR="006323D8" w:rsidRPr="00FF6BDC" w:rsidRDefault="006323D8" w:rsidP="006323D8">
      <w:pPr>
        <w:pStyle w:val="SubmissionNormal"/>
      </w:pPr>
      <w:r w:rsidRPr="00FF6BDC">
        <w:t>In its submission to the inquiry,</w:t>
      </w:r>
      <w:r w:rsidR="006037C0">
        <w:rPr>
          <w:rStyle w:val="EndnoteReference"/>
        </w:rPr>
        <w:endnoteReference w:id="48"/>
      </w:r>
      <w:r w:rsidRPr="00FF6BDC">
        <w:t xml:space="preserve"> the Commission </w:t>
      </w:r>
      <w:r w:rsidR="00AF699E" w:rsidRPr="00FF6BDC">
        <w:t>highlighted the following issues:</w:t>
      </w:r>
    </w:p>
    <w:p w14:paraId="0966D613" w14:textId="77777777" w:rsidR="00AF699E" w:rsidRPr="00FF6BDC" w:rsidRDefault="003D4C38" w:rsidP="003D4C38">
      <w:pPr>
        <w:pStyle w:val="SubmissionNormal"/>
        <w:numPr>
          <w:ilvl w:val="0"/>
          <w:numId w:val="24"/>
        </w:numPr>
        <w:tabs>
          <w:tab w:val="clear" w:pos="720"/>
        </w:tabs>
        <w:ind w:left="993"/>
      </w:pPr>
      <w:r w:rsidRPr="00FF6BDC">
        <w:t>the importance of a human rights-based approach to addressing trafficking and slavery</w:t>
      </w:r>
      <w:r w:rsidR="002876BF" w:rsidRPr="00FF6BDC">
        <w:t xml:space="preserve">, including the ratification of relevant international Conventions and Protocols </w:t>
      </w:r>
    </w:p>
    <w:p w14:paraId="492F49DA" w14:textId="77777777" w:rsidR="003D4C38" w:rsidRPr="00FF6BDC" w:rsidRDefault="003D4C38" w:rsidP="003D4C38">
      <w:pPr>
        <w:pStyle w:val="SubmissionNormal"/>
        <w:numPr>
          <w:ilvl w:val="0"/>
          <w:numId w:val="24"/>
        </w:numPr>
        <w:tabs>
          <w:tab w:val="clear" w:pos="720"/>
        </w:tabs>
        <w:ind w:left="993"/>
      </w:pPr>
      <w:r w:rsidRPr="00FF6BDC">
        <w:rPr>
          <w:lang w:val="en"/>
        </w:rPr>
        <w:t>the need for independent oversight mechanism to monitor and review the implementation of the National Action Plan to Combat Human Trafficking and Slavery</w:t>
      </w:r>
    </w:p>
    <w:p w14:paraId="36311DD1" w14:textId="77777777" w:rsidR="004751CA" w:rsidRPr="00FF6BDC" w:rsidRDefault="004751CA" w:rsidP="003D4C38">
      <w:pPr>
        <w:pStyle w:val="SubmissionNormal"/>
        <w:numPr>
          <w:ilvl w:val="0"/>
          <w:numId w:val="24"/>
        </w:numPr>
        <w:tabs>
          <w:tab w:val="clear" w:pos="720"/>
        </w:tabs>
        <w:ind w:left="993"/>
      </w:pPr>
      <w:r w:rsidRPr="00FF6BDC">
        <w:t>support for survivors to trafficking and slavery, including the development of a federal compensation scheme</w:t>
      </w:r>
      <w:r w:rsidR="002A5ED1" w:rsidRPr="00FF6BDC">
        <w:t xml:space="preserve">, </w:t>
      </w:r>
      <w:r w:rsidRPr="00FF6BDC">
        <w:t xml:space="preserve">the extension of preventative and protective orders to adults at risk of forced marriage </w:t>
      </w:r>
      <w:r w:rsidR="002A5ED1" w:rsidRPr="00FF6BDC">
        <w:t xml:space="preserve">and the implementation of specific measures to support child survivors </w:t>
      </w:r>
    </w:p>
    <w:p w14:paraId="1551AACD" w14:textId="77777777" w:rsidR="002A5ED1" w:rsidRPr="00FF6BDC" w:rsidRDefault="002A5ED1" w:rsidP="006B2427">
      <w:pPr>
        <w:pStyle w:val="SubmissionNormal"/>
        <w:numPr>
          <w:ilvl w:val="0"/>
          <w:numId w:val="24"/>
        </w:numPr>
        <w:tabs>
          <w:tab w:val="clear" w:pos="720"/>
        </w:tabs>
        <w:ind w:left="993"/>
      </w:pPr>
      <w:r w:rsidRPr="00FF6BDC">
        <w:t>the regulation of trafficking and slavery within supply chains</w:t>
      </w:r>
      <w:r w:rsidR="006B2427" w:rsidRPr="00FF6BDC">
        <w:t xml:space="preserve"> and </w:t>
      </w:r>
      <w:r w:rsidRPr="00FF6BDC">
        <w:t>the development of a National Action Plan on business and human rights</w:t>
      </w:r>
    </w:p>
    <w:p w14:paraId="79124612" w14:textId="77777777" w:rsidR="002A5ED1" w:rsidRPr="00FF6BDC" w:rsidRDefault="002A5ED1" w:rsidP="002A5ED1">
      <w:pPr>
        <w:pStyle w:val="SubmissionNormal"/>
        <w:numPr>
          <w:ilvl w:val="0"/>
          <w:numId w:val="24"/>
        </w:numPr>
        <w:tabs>
          <w:tab w:val="clear" w:pos="720"/>
        </w:tabs>
        <w:ind w:left="993"/>
      </w:pPr>
      <w:r w:rsidRPr="00FF6BDC">
        <w:t>the exploitation of migrant workers and the need to establish a national licensing regime for labour hire businesses in specific industries with a high risk of people on temporary work visas being subjected to trafficking and slavery</w:t>
      </w:r>
    </w:p>
    <w:p w14:paraId="4D172B4E" w14:textId="77777777" w:rsidR="00975E4C" w:rsidRPr="00FF6BDC" w:rsidRDefault="00975E4C" w:rsidP="00975E4C">
      <w:pPr>
        <w:pStyle w:val="SubmissionNormal"/>
      </w:pPr>
      <w:r w:rsidRPr="00FF6BDC">
        <w:t>The</w:t>
      </w:r>
      <w:r w:rsidR="00054BA3" w:rsidRPr="00FF6BDC">
        <w:t xml:space="preserve"> trafficking inquiry also lapsed at the dissolution of Parliament in May 2016</w:t>
      </w:r>
      <w:r w:rsidR="00992E56" w:rsidRPr="00FF6BDC">
        <w:t xml:space="preserve">, but </w:t>
      </w:r>
      <w:r w:rsidR="00054BA3" w:rsidRPr="00FF6BDC">
        <w:t xml:space="preserve">was re-initiated in </w:t>
      </w:r>
      <w:r w:rsidR="00992E56" w:rsidRPr="00FF6BDC">
        <w:t>October 2016. At the time of writing, the Joint Committee on Law Enforcement w</w:t>
      </w:r>
      <w:r w:rsidR="00054BA3" w:rsidRPr="00FF6BDC">
        <w:t xml:space="preserve">as accepting submissions </w:t>
      </w:r>
      <w:r w:rsidR="00992E56" w:rsidRPr="00FF6BDC">
        <w:t>to the inquiry with a closing date of 27 January 2017.</w:t>
      </w:r>
      <w:r w:rsidR="00012B83">
        <w:rPr>
          <w:rStyle w:val="EndnoteReference"/>
        </w:rPr>
        <w:endnoteReference w:id="49"/>
      </w:r>
      <w:r w:rsidR="00992E56" w:rsidRPr="00FF6BDC">
        <w:t xml:space="preserve"> </w:t>
      </w:r>
      <w:r w:rsidR="00054BA3" w:rsidRPr="00FF6BDC">
        <w:t xml:space="preserve"> </w:t>
      </w:r>
    </w:p>
    <w:p w14:paraId="0CE53877" w14:textId="77777777" w:rsidR="00B02F72" w:rsidRPr="00CE0E56" w:rsidRDefault="000A791D" w:rsidP="00170344">
      <w:pPr>
        <w:pStyle w:val="Heading2"/>
        <w:numPr>
          <w:ilvl w:val="1"/>
          <w:numId w:val="16"/>
        </w:numPr>
      </w:pPr>
      <w:bookmarkStart w:id="22" w:name="_Toc472686482"/>
      <w:r>
        <w:lastRenderedPageBreak/>
        <w:t xml:space="preserve">Relevant </w:t>
      </w:r>
      <w:r w:rsidR="00EC75C7">
        <w:t>s</w:t>
      </w:r>
      <w:r w:rsidR="008D5B42">
        <w:t>tate government inquiries</w:t>
      </w:r>
      <w:bookmarkEnd w:id="22"/>
      <w:r w:rsidR="008D5B42">
        <w:t xml:space="preserve"> </w:t>
      </w:r>
    </w:p>
    <w:p w14:paraId="50B3DAA3" w14:textId="77777777" w:rsidR="00A03F2E" w:rsidRPr="00FF6BDC" w:rsidRDefault="00A03F2E" w:rsidP="00A03F2E">
      <w:pPr>
        <w:pStyle w:val="SubmissionNormal"/>
      </w:pPr>
      <w:r w:rsidRPr="00FF6BDC">
        <w:t xml:space="preserve">In 2014, the Queensland Government established the Special Taskforce on Domestic and Family Violence in Queensland. The Taskforce was requested to </w:t>
      </w:r>
      <w:r w:rsidR="00B13A97" w:rsidRPr="00FF6BDC">
        <w:t>‘</w:t>
      </w:r>
      <w:r w:rsidRPr="00FF6BDC">
        <w:t>examine Queensland’s domestic and family violence support systems and make recommendations to the Premier on how the system could be improved and future incidents of domestic violence could be prevented</w:t>
      </w:r>
      <w:r w:rsidR="00B13A97" w:rsidRPr="00FF6BDC">
        <w:t>’</w:t>
      </w:r>
      <w:r w:rsidR="000B2301">
        <w:t>.</w:t>
      </w:r>
      <w:r w:rsidR="00AA76AE">
        <w:rPr>
          <w:rStyle w:val="EndnoteReference"/>
        </w:rPr>
        <w:endnoteReference w:id="50"/>
      </w:r>
    </w:p>
    <w:p w14:paraId="1ED77BE7" w14:textId="77777777" w:rsidR="003E7A68" w:rsidRPr="00FF6BDC" w:rsidRDefault="00F76158" w:rsidP="003E7A68">
      <w:pPr>
        <w:pStyle w:val="SubmissionNormal"/>
      </w:pPr>
      <w:r w:rsidRPr="00FF6BDC">
        <w:t>The Taskforce’s report, submitted to the Premier in February 2015,</w:t>
      </w:r>
      <w:r w:rsidR="00274A25" w:rsidRPr="00FF6BDC">
        <w:t xml:space="preserve"> included </w:t>
      </w:r>
      <w:r w:rsidRPr="00FF6BDC">
        <w:t>140 recommendations</w:t>
      </w:r>
      <w:r w:rsidR="003E7A68" w:rsidRPr="00FF6BDC">
        <w:t xml:space="preserve"> </w:t>
      </w:r>
      <w:r w:rsidR="00A60A46" w:rsidRPr="00FF6BDC">
        <w:t>relating to the protection of at-risk groups, prevention of violence, improvement of service response and enhancement of the law and justice framework.</w:t>
      </w:r>
      <w:r w:rsidR="00093FFF">
        <w:rPr>
          <w:rStyle w:val="EndnoteReference"/>
        </w:rPr>
        <w:endnoteReference w:id="51"/>
      </w:r>
      <w:r w:rsidR="00A60A46" w:rsidRPr="00FF6BDC">
        <w:t xml:space="preserve"> </w:t>
      </w:r>
      <w:r w:rsidR="00101526">
        <w:t>In August, the Queensland Government issued a response to the report accepting all 121 recommendations directed at government and supporting the remaining 19 recommendations directed at non-government bodies.</w:t>
      </w:r>
      <w:r w:rsidR="00C21D43">
        <w:rPr>
          <w:rStyle w:val="EndnoteReference"/>
        </w:rPr>
        <w:endnoteReference w:id="52"/>
      </w:r>
      <w:r w:rsidR="00101526">
        <w:t xml:space="preserve"> </w:t>
      </w:r>
      <w:r w:rsidR="00057587" w:rsidRPr="00FF6BDC">
        <w:t xml:space="preserve">The </w:t>
      </w:r>
      <w:r w:rsidR="00101526">
        <w:t xml:space="preserve">Taskforce’s </w:t>
      </w:r>
      <w:r w:rsidR="00057587" w:rsidRPr="00FF6BDC">
        <w:t xml:space="preserve">recommendations </w:t>
      </w:r>
      <w:r w:rsidR="003E7A68" w:rsidRPr="00FF6BDC">
        <w:t>informed the development of the Queensland Government’s Domestic and Family Violence Prevention Strategy</w:t>
      </w:r>
      <w:r w:rsidR="003A5A68">
        <w:t>.</w:t>
      </w:r>
      <w:r w:rsidR="003A5A68">
        <w:rPr>
          <w:rStyle w:val="EndnoteReference"/>
        </w:rPr>
        <w:endnoteReference w:id="53"/>
      </w:r>
    </w:p>
    <w:p w14:paraId="4BB91AD8" w14:textId="77777777" w:rsidR="002C2F9D" w:rsidRPr="00FF6BDC" w:rsidRDefault="007A7184" w:rsidP="00917497">
      <w:pPr>
        <w:pStyle w:val="SubmissionNormal"/>
      </w:pPr>
      <w:r w:rsidRPr="00FF6BDC">
        <w:t xml:space="preserve">Also in February 2015, the </w:t>
      </w:r>
      <w:r w:rsidR="002C2F9D" w:rsidRPr="00FF6BDC">
        <w:t>Victorian</w:t>
      </w:r>
      <w:r w:rsidRPr="00FF6BDC">
        <w:t xml:space="preserve"> Government established a </w:t>
      </w:r>
      <w:r w:rsidR="002C2F9D" w:rsidRPr="00FF6BDC">
        <w:t>Royal Commission</w:t>
      </w:r>
      <w:r w:rsidRPr="00FF6BDC">
        <w:t xml:space="preserve"> into Family Violence. </w:t>
      </w:r>
      <w:r w:rsidR="00170A74" w:rsidRPr="00FF6BDC">
        <w:t xml:space="preserve">The </w:t>
      </w:r>
      <w:r w:rsidR="00274A25" w:rsidRPr="00FF6BDC">
        <w:t xml:space="preserve">Royal </w:t>
      </w:r>
      <w:r w:rsidR="00170A74" w:rsidRPr="00FF6BDC">
        <w:t>Commission was requested to inquire into and report on how Victoria’s response to family violence can be improved and to provide practical recommendations to stop family violence.</w:t>
      </w:r>
      <w:r w:rsidR="00DB16CA">
        <w:rPr>
          <w:rStyle w:val="EndnoteReference"/>
        </w:rPr>
        <w:endnoteReference w:id="54"/>
      </w:r>
      <w:r w:rsidR="00170A74" w:rsidRPr="00FF6BDC">
        <w:t xml:space="preserve"> </w:t>
      </w:r>
    </w:p>
    <w:p w14:paraId="1747A6B7" w14:textId="77777777" w:rsidR="0039101F" w:rsidRPr="00FF6BDC" w:rsidRDefault="00274A25" w:rsidP="00917497">
      <w:pPr>
        <w:pStyle w:val="SubmissionNormal"/>
      </w:pPr>
      <w:r w:rsidRPr="00FF6BDC">
        <w:t xml:space="preserve">The Royal Commission </w:t>
      </w:r>
      <w:r w:rsidR="00C553E7" w:rsidRPr="00FF6BDC">
        <w:t xml:space="preserve">delivered a comprehensive report in 2016, including 227 recommendations </w:t>
      </w:r>
      <w:r w:rsidR="00057587" w:rsidRPr="00FF6BDC">
        <w:t>across</w:t>
      </w:r>
      <w:r w:rsidR="00256BB8" w:rsidRPr="00FF6BDC">
        <w:t xml:space="preserve"> a wide range of areas: risk assessment and management, information sharing, specialist family violence services, safe accommodation, children and young people’s experiences of family violence, the child protection system, sexual assault, pathways to services, the role of the police, court-based responses, offences and sentencing, perpetrators, the role of the health system, recovery from violence, restorative justice, adolescents </w:t>
      </w:r>
      <w:r w:rsidR="00CE6594" w:rsidRPr="00FF6BDC">
        <w:t xml:space="preserve">who use family violence, the family law system, family violence-related deaths, measures for addressing the diverse needs of specific groups, prevention, the workplace, governance, data, research and evaluation, industry planning, and </w:t>
      </w:r>
      <w:r w:rsidR="00893A70">
        <w:t>resource and policy investment.</w:t>
      </w:r>
      <w:r w:rsidR="00893A70">
        <w:rPr>
          <w:rStyle w:val="EndnoteReference"/>
        </w:rPr>
        <w:endnoteReference w:id="55"/>
      </w:r>
    </w:p>
    <w:p w14:paraId="32D37094" w14:textId="77777777" w:rsidR="006213DE" w:rsidRPr="00FF6BDC" w:rsidRDefault="006213DE" w:rsidP="006213DE">
      <w:pPr>
        <w:pStyle w:val="SubmissionNormal"/>
      </w:pPr>
      <w:r w:rsidRPr="00FF6BDC">
        <w:t>The Commission has recommended that the lessons from the Royal Commission be incorporated into the National Plan to Reduce Violence Ag</w:t>
      </w:r>
      <w:r w:rsidR="00E7280E">
        <w:t>ainst Women and their Children.</w:t>
      </w:r>
      <w:r w:rsidR="00C761DE">
        <w:rPr>
          <w:rStyle w:val="EndnoteReference"/>
        </w:rPr>
        <w:endnoteReference w:id="56"/>
      </w:r>
    </w:p>
    <w:p w14:paraId="7492BD25" w14:textId="77777777" w:rsidR="0062297B" w:rsidRPr="00CE0E56" w:rsidRDefault="00FE441D" w:rsidP="00170344">
      <w:pPr>
        <w:pStyle w:val="Heading2"/>
        <w:numPr>
          <w:ilvl w:val="1"/>
          <w:numId w:val="16"/>
        </w:numPr>
      </w:pPr>
      <w:bookmarkStart w:id="23" w:name="_Toc472686483"/>
      <w:r w:rsidRPr="00CE0E56">
        <w:t>Family and domestic violence leave</w:t>
      </w:r>
      <w:bookmarkEnd w:id="23"/>
      <w:r w:rsidRPr="00CE0E56">
        <w:t xml:space="preserve"> </w:t>
      </w:r>
    </w:p>
    <w:p w14:paraId="3C6F3D69" w14:textId="77777777" w:rsidR="00692B60" w:rsidRPr="00B97FA9" w:rsidRDefault="00692B60" w:rsidP="00692B60">
      <w:pPr>
        <w:pStyle w:val="SubmissionNormal"/>
      </w:pPr>
      <w:r w:rsidRPr="00B97FA9">
        <w:t xml:space="preserve">Women </w:t>
      </w:r>
      <w:r w:rsidR="00AA0863" w:rsidRPr="00B97FA9">
        <w:t xml:space="preserve">who experience </w:t>
      </w:r>
      <w:r w:rsidRPr="00B97FA9">
        <w:t xml:space="preserve">family or domestic violence </w:t>
      </w:r>
      <w:r w:rsidR="00FB5AD2" w:rsidRPr="00B97FA9">
        <w:t xml:space="preserve">may </w:t>
      </w:r>
      <w:r w:rsidR="00AA0863" w:rsidRPr="00B97FA9">
        <w:t>face</w:t>
      </w:r>
      <w:r w:rsidR="00BD55F8">
        <w:t xml:space="preserve"> adverse treatment in the workplace </w:t>
      </w:r>
      <w:r w:rsidR="00AA0863" w:rsidRPr="00B97FA9">
        <w:t xml:space="preserve">that </w:t>
      </w:r>
      <w:r w:rsidR="00BA01F7" w:rsidRPr="00B97FA9">
        <w:t xml:space="preserve">is </w:t>
      </w:r>
      <w:r w:rsidR="00AA0863" w:rsidRPr="00B97FA9">
        <w:t>specifically related to their experiences of violence</w:t>
      </w:r>
      <w:r w:rsidR="00FB5AD2" w:rsidRPr="00B97FA9">
        <w:t xml:space="preserve">. For example, </w:t>
      </w:r>
      <w:r w:rsidRPr="00B97FA9">
        <w:t xml:space="preserve">they may be denied leave or flexible work arrangements to attend violence-related matters, such as moving into a shelter; they may have their employment terminated for violence-related reasons; or </w:t>
      </w:r>
      <w:r w:rsidR="0083566A" w:rsidRPr="00B97FA9">
        <w:t xml:space="preserve">they may </w:t>
      </w:r>
      <w:r w:rsidRPr="00B97FA9">
        <w:t>be transferred or demoted for reasons related to violence.</w:t>
      </w:r>
      <w:r w:rsidRPr="00A85AFC">
        <w:rPr>
          <w:sz w:val="20"/>
          <w:vertAlign w:val="superscript"/>
        </w:rPr>
        <w:endnoteReference w:id="57"/>
      </w:r>
      <w:r w:rsidRPr="00B97FA9">
        <w:rPr>
          <w:vertAlign w:val="superscript"/>
        </w:rPr>
        <w:t xml:space="preserve"> </w:t>
      </w:r>
      <w:r w:rsidRPr="00B97FA9">
        <w:t xml:space="preserve">This </w:t>
      </w:r>
      <w:r w:rsidR="00B002CF">
        <w:t>treatment</w:t>
      </w:r>
      <w:r w:rsidR="00FB5AD2" w:rsidRPr="00B97FA9">
        <w:t xml:space="preserve"> </w:t>
      </w:r>
      <w:r w:rsidRPr="00B97FA9">
        <w:t xml:space="preserve">can exacerbate the </w:t>
      </w:r>
      <w:r w:rsidR="00DD5C82">
        <w:t xml:space="preserve">costs and consequences of </w:t>
      </w:r>
      <w:r w:rsidR="00582A28">
        <w:t xml:space="preserve">family </w:t>
      </w:r>
      <w:r w:rsidR="00DD5C82">
        <w:t xml:space="preserve">and </w:t>
      </w:r>
      <w:r w:rsidR="00582A28">
        <w:t xml:space="preserve">domestic </w:t>
      </w:r>
      <w:r w:rsidR="00DD5C82">
        <w:t>v</w:t>
      </w:r>
      <w:r w:rsidRPr="00B97FA9">
        <w:t>iolence.</w:t>
      </w:r>
      <w:r w:rsidRPr="00B97FA9">
        <w:rPr>
          <w:rStyle w:val="EndnoteReference"/>
        </w:rPr>
        <w:endnoteReference w:id="58"/>
      </w:r>
    </w:p>
    <w:p w14:paraId="1293C07C" w14:textId="77777777" w:rsidR="00146F14" w:rsidRPr="00FF6BDC" w:rsidRDefault="00146F14" w:rsidP="00496F51">
      <w:pPr>
        <w:pStyle w:val="SubmissionNormal"/>
      </w:pPr>
      <w:r w:rsidRPr="00FF6BDC">
        <w:lastRenderedPageBreak/>
        <w:t>As of 2013, over one million employees could access leave and other protections made available through domestic violence clauses in the agreement or award conditions.</w:t>
      </w:r>
      <w:r w:rsidRPr="00A85AFC">
        <w:rPr>
          <w:sz w:val="20"/>
          <w:vertAlign w:val="superscript"/>
        </w:rPr>
        <w:endnoteReference w:id="59"/>
      </w:r>
      <w:r w:rsidR="008B3DE5">
        <w:t xml:space="preserve"> All Australian go</w:t>
      </w:r>
      <w:r w:rsidR="00496F51">
        <w:t>vernments (</w:t>
      </w:r>
      <w:r w:rsidRPr="00FF6BDC">
        <w:t>except for Western Australia</w:t>
      </w:r>
      <w:r w:rsidR="00496F51">
        <w:t>)</w:t>
      </w:r>
      <w:r w:rsidRPr="00FF6BDC">
        <w:t xml:space="preserve">, have introduced domestic violence protections for their public servants, </w:t>
      </w:r>
      <w:r w:rsidR="00414128">
        <w:t xml:space="preserve">some of which </w:t>
      </w:r>
      <w:r w:rsidRPr="00FF6BDC">
        <w:t>includ</w:t>
      </w:r>
      <w:r w:rsidR="00414128">
        <w:t xml:space="preserve">e </w:t>
      </w:r>
      <w:r w:rsidRPr="00FF6BDC">
        <w:t>paid leave.</w:t>
      </w:r>
      <w:r w:rsidRPr="00A85AFC">
        <w:rPr>
          <w:sz w:val="20"/>
          <w:vertAlign w:val="superscript"/>
        </w:rPr>
        <w:endnoteReference w:id="60"/>
      </w:r>
      <w:r w:rsidRPr="00496F51">
        <w:rPr>
          <w:vertAlign w:val="superscript"/>
        </w:rPr>
        <w:t xml:space="preserve"> </w:t>
      </w:r>
      <w:r w:rsidR="008B5D3C">
        <w:t>M</w:t>
      </w:r>
      <w:r w:rsidRPr="00FF6BDC">
        <w:t>any Australian businesses also provide for family and domestic violence leave within company policy.</w:t>
      </w:r>
      <w:r w:rsidRPr="00A85AFC">
        <w:rPr>
          <w:sz w:val="20"/>
          <w:vertAlign w:val="superscript"/>
        </w:rPr>
        <w:endnoteReference w:id="61"/>
      </w:r>
    </w:p>
    <w:p w14:paraId="494C18A2" w14:textId="77777777" w:rsidR="005344E6" w:rsidRPr="00FF6BDC" w:rsidRDefault="005344E6" w:rsidP="005344E6">
      <w:pPr>
        <w:pStyle w:val="SubmissionNormal"/>
      </w:pPr>
      <w:r w:rsidRPr="00FF6BDC">
        <w:t>Australia’s Fair Work Commission is required to review all modern awards every four years.</w:t>
      </w:r>
      <w:r w:rsidR="00562469">
        <w:rPr>
          <w:rStyle w:val="EndnoteReference"/>
        </w:rPr>
        <w:endnoteReference w:id="62"/>
      </w:r>
      <w:r w:rsidRPr="00FF6BDC">
        <w:t xml:space="preserve"> As part of a review currently underway, the Australian Council of Trade Unions is seeking variations to all modern awards to insert specific provisions relating to family and domestic violence leave.</w:t>
      </w:r>
      <w:r w:rsidR="004523F2">
        <w:rPr>
          <w:rStyle w:val="EndnoteReference"/>
        </w:rPr>
        <w:endnoteReference w:id="63"/>
      </w:r>
      <w:r w:rsidRPr="00FF6BDC">
        <w:t xml:space="preserve"> The Commission made a submission to the review in October 2016, supporting the introduction of paid family and domestic violence leave in all modern awards.</w:t>
      </w:r>
      <w:r w:rsidR="00F91BB6">
        <w:rPr>
          <w:rStyle w:val="EndnoteReference"/>
        </w:rPr>
        <w:endnoteReference w:id="64"/>
      </w:r>
      <w:r w:rsidRPr="00FF6BDC">
        <w:t xml:space="preserve"> </w:t>
      </w:r>
    </w:p>
    <w:p w14:paraId="0759D28D" w14:textId="77777777" w:rsidR="00917497" w:rsidRPr="009640F7" w:rsidRDefault="0037374A" w:rsidP="00170344">
      <w:pPr>
        <w:pStyle w:val="Heading1"/>
        <w:numPr>
          <w:ilvl w:val="0"/>
          <w:numId w:val="16"/>
        </w:numPr>
      </w:pPr>
      <w:bookmarkStart w:id="24" w:name="_Toc472686484"/>
      <w:r>
        <w:t>T</w:t>
      </w:r>
      <w:r w:rsidR="00917497" w:rsidRPr="009640F7">
        <w:t>he Commission</w:t>
      </w:r>
      <w:r>
        <w:t>’s work</w:t>
      </w:r>
      <w:r w:rsidR="00354D39" w:rsidRPr="009640F7">
        <w:t xml:space="preserve"> on violence against women</w:t>
      </w:r>
      <w:bookmarkEnd w:id="24"/>
    </w:p>
    <w:p w14:paraId="1BEF1A94" w14:textId="77777777" w:rsidR="00917497" w:rsidRPr="009640F7" w:rsidRDefault="00917497" w:rsidP="00170344">
      <w:pPr>
        <w:pStyle w:val="Heading2"/>
        <w:numPr>
          <w:ilvl w:val="1"/>
          <w:numId w:val="16"/>
        </w:numPr>
      </w:pPr>
      <w:bookmarkStart w:id="25" w:name="_Toc472686485"/>
      <w:r w:rsidRPr="009640F7">
        <w:t>Sexual harassment survey</w:t>
      </w:r>
      <w:r w:rsidR="00524E20" w:rsidRPr="009640F7">
        <w:t>s</w:t>
      </w:r>
      <w:r w:rsidRPr="009640F7">
        <w:t xml:space="preserve"> and resources</w:t>
      </w:r>
      <w:bookmarkEnd w:id="25"/>
    </w:p>
    <w:p w14:paraId="3EDB71D0" w14:textId="77777777" w:rsidR="0057751C" w:rsidRPr="00FF6BDC" w:rsidRDefault="0057751C" w:rsidP="0057751C">
      <w:pPr>
        <w:pStyle w:val="SubmissionNormal"/>
      </w:pPr>
      <w:r w:rsidRPr="00FF6BDC">
        <w:t>Since 200</w:t>
      </w:r>
      <w:r w:rsidR="003D528C">
        <w:t>3</w:t>
      </w:r>
      <w:r w:rsidRPr="00FF6BDC">
        <w:t>, the Commission has conducted</w:t>
      </w:r>
      <w:r w:rsidR="006946E2">
        <w:t xml:space="preserve"> three </w:t>
      </w:r>
      <w:r w:rsidRPr="00FF6BDC">
        <w:t>national</w:t>
      </w:r>
      <w:r w:rsidR="003D528C">
        <w:t xml:space="preserve"> </w:t>
      </w:r>
      <w:r w:rsidR="00EC0D28">
        <w:t>telep</w:t>
      </w:r>
      <w:r w:rsidR="00EC0D28" w:rsidRPr="00FF6BDC">
        <w:t>hone survey</w:t>
      </w:r>
      <w:r w:rsidR="00EC0D28">
        <w:t xml:space="preserve">s on </w:t>
      </w:r>
      <w:r w:rsidR="003D528C">
        <w:t>workplace</w:t>
      </w:r>
      <w:r w:rsidRPr="00FF6BDC">
        <w:t xml:space="preserve"> sexual harassment. The aim of these surveys is to provide robust evidence on the prevalence, nature and extent of sexual harassment in Australian workplaces.</w:t>
      </w:r>
    </w:p>
    <w:p w14:paraId="03AA0E6F" w14:textId="77777777" w:rsidR="0057751C" w:rsidRPr="00FF6BDC" w:rsidRDefault="0057751C" w:rsidP="006226AB">
      <w:pPr>
        <w:pStyle w:val="SubmissionNormal"/>
      </w:pPr>
      <w:r w:rsidRPr="00FF6BDC">
        <w:t>The most recent of the Commission’s sexual harassment surveys was conducted in 2012. The survey found that just over one in five (21%) people in Australia had been sexually harassed since the age of 15, with the majority (68%) experiencing th</w:t>
      </w:r>
      <w:r w:rsidR="006226AB" w:rsidRPr="00FF6BDC">
        <w:t>is harassment in the workplace.</w:t>
      </w:r>
      <w:r w:rsidR="00675CEC" w:rsidRPr="00CA12AF">
        <w:rPr>
          <w:rStyle w:val="EndnoteReference"/>
        </w:rPr>
        <w:endnoteReference w:id="65"/>
      </w:r>
      <w:r w:rsidR="006226AB" w:rsidRPr="00FF6BDC">
        <w:t xml:space="preserve"> </w:t>
      </w:r>
      <w:r w:rsidRPr="00FF6BDC">
        <w:t>Just over one in five (21%) people aged 15 years and older ha</w:t>
      </w:r>
      <w:r w:rsidR="006226AB" w:rsidRPr="00FF6BDC">
        <w:t>d</w:t>
      </w:r>
      <w:r w:rsidRPr="00FF6BDC">
        <w:t xml:space="preserve"> experienced sexual harassment in the workplace in the past five years</w:t>
      </w:r>
      <w:r w:rsidR="006226AB" w:rsidRPr="00FF6BDC">
        <w:t>.</w:t>
      </w:r>
      <w:r w:rsidR="00AC0002" w:rsidRPr="00CA12AF">
        <w:rPr>
          <w:rStyle w:val="EndnoteReference"/>
        </w:rPr>
        <w:endnoteReference w:id="66"/>
      </w:r>
    </w:p>
    <w:p w14:paraId="2DF871F2" w14:textId="77777777" w:rsidR="007F4B78" w:rsidRPr="00FF6BDC" w:rsidRDefault="00F2547A" w:rsidP="007F4B78">
      <w:pPr>
        <w:pStyle w:val="SubmissionNormal"/>
      </w:pPr>
      <w:r w:rsidRPr="00FF6BDC">
        <w:t>The survey also found that s</w:t>
      </w:r>
      <w:r w:rsidRPr="00FF6BDC">
        <w:rPr>
          <w:bCs/>
        </w:rPr>
        <w:t>exual harassment affects more women than men</w:t>
      </w:r>
      <w:r w:rsidRPr="00FF6BDC">
        <w:t>. One-third of women (33%) had been sexually harassed since the age of 15, compared to fewer than one in ten (9%) men.</w:t>
      </w:r>
      <w:r w:rsidR="00C84148" w:rsidRPr="00CA12AF">
        <w:rPr>
          <w:rStyle w:val="EndnoteReference"/>
        </w:rPr>
        <w:endnoteReference w:id="67"/>
      </w:r>
      <w:r w:rsidRPr="00FF6BDC">
        <w:t xml:space="preserve"> A quarter of women (25%) and one in six men (16%) aged 15 years and older had experienced sexual harassment in the workplace in the past five years.</w:t>
      </w:r>
      <w:r w:rsidR="00C84148" w:rsidRPr="00CA12AF">
        <w:rPr>
          <w:rStyle w:val="EndnoteReference"/>
        </w:rPr>
        <w:endnoteReference w:id="68"/>
      </w:r>
      <w:r w:rsidR="007F4B78" w:rsidRPr="00FF6BDC">
        <w:t xml:space="preserve"> Nearly four out of five (79%) harassers were men, and most women (90%) said that their harasser was male.</w:t>
      </w:r>
      <w:r w:rsidR="00C84148" w:rsidRPr="00CA12AF">
        <w:rPr>
          <w:rStyle w:val="EndnoteReference"/>
        </w:rPr>
        <w:endnoteReference w:id="69"/>
      </w:r>
    </w:p>
    <w:p w14:paraId="2F381E8B" w14:textId="77777777" w:rsidR="00762B0B" w:rsidRPr="00FF6BDC" w:rsidRDefault="00F13941" w:rsidP="00762B0B">
      <w:pPr>
        <w:pStyle w:val="SubmissionNormal"/>
      </w:pPr>
      <w:r w:rsidRPr="00FF6BDC">
        <w:t>The most common types of behaviours reported were sexually suggestive comments or offensive jokes (55%), intrusive questions (50%) and inappropriate staring or leering (31%).</w:t>
      </w:r>
      <w:r w:rsidR="00C84148" w:rsidRPr="00CA12AF">
        <w:rPr>
          <w:rStyle w:val="EndnoteReference"/>
        </w:rPr>
        <w:endnoteReference w:id="70"/>
      </w:r>
      <w:r w:rsidR="00762B0B" w:rsidRPr="00FF6BDC">
        <w:t xml:space="preserve"> Harassers were most likely to be a co-worker (52%) of the person harassed, followed by their boss or employer (11%) and their supervisor or manager (11%).</w:t>
      </w:r>
      <w:r w:rsidR="00C84148" w:rsidRPr="00CA12AF">
        <w:rPr>
          <w:rStyle w:val="EndnoteReference"/>
        </w:rPr>
        <w:endnoteReference w:id="71"/>
      </w:r>
    </w:p>
    <w:p w14:paraId="16F874DE" w14:textId="77777777" w:rsidR="00F22275" w:rsidRPr="00FF6BDC" w:rsidRDefault="001A4327" w:rsidP="00F22275">
      <w:pPr>
        <w:pStyle w:val="SubmissionNormal"/>
      </w:pPr>
      <w:r w:rsidRPr="00FF6BDC">
        <w:t xml:space="preserve">The results of the survey indicated that </w:t>
      </w:r>
      <w:r w:rsidR="00BF4E56" w:rsidRPr="00FF6BDC">
        <w:t xml:space="preserve">awareness of sexual harassment remains limited, and many people who are sexually harassed do not report it or seek support or advice. </w:t>
      </w:r>
      <w:r w:rsidR="002D2C0A" w:rsidRPr="00FF6BDC">
        <w:t>Almost one in five (18%) respondents indicated that they had not been sexually harassed based on the legal definition, but went on to report experiencing behaviours that are likely to constitute</w:t>
      </w:r>
      <w:r w:rsidR="00BF4E56" w:rsidRPr="00FF6BDC">
        <w:t xml:space="preserve"> unlawful sexual harassment.</w:t>
      </w:r>
      <w:r w:rsidR="00202C87" w:rsidRPr="00CA12AF">
        <w:rPr>
          <w:rStyle w:val="EndnoteReference"/>
        </w:rPr>
        <w:endnoteReference w:id="72"/>
      </w:r>
      <w:r w:rsidR="00F22275" w:rsidRPr="00FF6BDC">
        <w:t xml:space="preserve"> Only one in five (20%) respondents who were sexually </w:t>
      </w:r>
      <w:r w:rsidR="00F22275" w:rsidRPr="00FF6BDC">
        <w:lastRenderedPageBreak/>
        <w:t>harassed made a formal report or complaint, and just one-third (29%) sought support or advice.</w:t>
      </w:r>
      <w:r w:rsidR="00202C87" w:rsidRPr="00CA12AF">
        <w:rPr>
          <w:rStyle w:val="EndnoteReference"/>
        </w:rPr>
        <w:endnoteReference w:id="73"/>
      </w:r>
    </w:p>
    <w:p w14:paraId="54A82F3B" w14:textId="77777777" w:rsidR="00337D44" w:rsidRPr="00FF6BDC" w:rsidRDefault="00337D44" w:rsidP="00337D44">
      <w:pPr>
        <w:pStyle w:val="SubmissionNormal"/>
      </w:pPr>
      <w:r w:rsidRPr="00FF6BDC">
        <w:t xml:space="preserve">In 2014, the Commission – in partnership with the Australian Council of Trade Unions and the Australian Chamber of Commerce and Industry – jointly launched a national strategy designed to raise awareness about sexual harassment in the workplace. </w:t>
      </w:r>
      <w:r w:rsidR="007D60D5" w:rsidRPr="00FF6BDC">
        <w:t>T</w:t>
      </w:r>
      <w:r w:rsidRPr="00FF6BDC">
        <w:t xml:space="preserve">he strategy, </w:t>
      </w:r>
      <w:r w:rsidRPr="00FF6BDC">
        <w:rPr>
          <w:i/>
        </w:rPr>
        <w:t>Know Where the Line Is</w:t>
      </w:r>
      <w:r w:rsidR="005F06F7" w:rsidRPr="00FF6BDC">
        <w:t xml:space="preserve">, aims to increase understanding about the </w:t>
      </w:r>
      <w:r w:rsidRPr="00FF6BDC">
        <w:t>type</w:t>
      </w:r>
      <w:r w:rsidR="005F06F7" w:rsidRPr="00FF6BDC">
        <w:t>s</w:t>
      </w:r>
      <w:r w:rsidRPr="00FF6BDC">
        <w:t xml:space="preserve"> of behaviour </w:t>
      </w:r>
      <w:r w:rsidR="00E537E3" w:rsidRPr="00FF6BDC">
        <w:t xml:space="preserve">that </w:t>
      </w:r>
      <w:r w:rsidR="002014A7" w:rsidRPr="00FF6BDC">
        <w:t xml:space="preserve">can </w:t>
      </w:r>
      <w:r w:rsidRPr="00FF6BDC">
        <w:t>constitute</w:t>
      </w:r>
      <w:r w:rsidR="002014A7" w:rsidRPr="00FF6BDC">
        <w:t xml:space="preserve"> </w:t>
      </w:r>
      <w:r w:rsidRPr="00FF6BDC">
        <w:t>sexual harassment</w:t>
      </w:r>
      <w:r w:rsidR="0082781F" w:rsidRPr="00FF6BDC">
        <w:t xml:space="preserve">; inform Australian employers of their legal obligations around preventing and responding to sexual harassment in the workplace; </w:t>
      </w:r>
      <w:r w:rsidRPr="00FF6BDC">
        <w:t xml:space="preserve">and encourage bystanders to support colleagues who experience sexual harassment. </w:t>
      </w:r>
    </w:p>
    <w:p w14:paraId="5328C851" w14:textId="77777777" w:rsidR="0082781F" w:rsidRDefault="00A60F11" w:rsidP="00A60F11">
      <w:pPr>
        <w:pStyle w:val="SubmissionNormal"/>
      </w:pPr>
      <w:r w:rsidRPr="00FF6BDC">
        <w:t xml:space="preserve">The Commission developed a range of resources for the </w:t>
      </w:r>
      <w:r w:rsidRPr="00FF6BDC">
        <w:rPr>
          <w:i/>
        </w:rPr>
        <w:t xml:space="preserve">Know Where the Line Is </w:t>
      </w:r>
      <w:r w:rsidRPr="00FF6BDC">
        <w:t xml:space="preserve">strategy, </w:t>
      </w:r>
      <w:r w:rsidR="00CC6226" w:rsidRPr="00FF6BDC">
        <w:t xml:space="preserve">including information packs for employees and employers, posters, </w:t>
      </w:r>
      <w:r w:rsidR="00112BEB" w:rsidRPr="00FF6BDC">
        <w:t>infographics,</w:t>
      </w:r>
      <w:r w:rsidR="00E13EB2" w:rsidRPr="00FF6BDC">
        <w:t xml:space="preserve"> promo</w:t>
      </w:r>
      <w:r w:rsidR="00FD1AA8" w:rsidRPr="00FF6BDC">
        <w:t>tional art</w:t>
      </w:r>
      <w:r w:rsidR="00E13EB2" w:rsidRPr="00FF6BDC">
        <w:t>work,</w:t>
      </w:r>
      <w:r w:rsidR="00112BEB" w:rsidRPr="00FF6BDC">
        <w:t xml:space="preserve"> </w:t>
      </w:r>
      <w:r w:rsidR="00CC6226" w:rsidRPr="00FF6BDC">
        <w:t xml:space="preserve">and videos for use in workplace training and information sessions. </w:t>
      </w:r>
      <w:r w:rsidRPr="00FF6BDC">
        <w:t xml:space="preserve">These resources are freely available for download from a dedicated strategy </w:t>
      </w:r>
      <w:r w:rsidR="00707AF4" w:rsidRPr="00FF6BDC">
        <w:t>website.</w:t>
      </w:r>
      <w:r w:rsidR="00A61029" w:rsidRPr="00CA12AF">
        <w:rPr>
          <w:rStyle w:val="EndnoteReference"/>
        </w:rPr>
        <w:endnoteReference w:id="74"/>
      </w:r>
    </w:p>
    <w:p w14:paraId="5E99BC1E" w14:textId="77777777" w:rsidR="00D10DE4" w:rsidRPr="00FF6BDC" w:rsidRDefault="00D10DE4" w:rsidP="00D10DE4">
      <w:pPr>
        <w:pStyle w:val="SubmissionNormal"/>
      </w:pPr>
      <w:r>
        <w:t xml:space="preserve">The next national workplace sexual harassment survey is due to be conducted in 2017. </w:t>
      </w:r>
    </w:p>
    <w:p w14:paraId="4AD2ABEE" w14:textId="77777777" w:rsidR="00917497" w:rsidRPr="009640F7" w:rsidRDefault="00917497" w:rsidP="00170344">
      <w:pPr>
        <w:pStyle w:val="Heading2"/>
        <w:numPr>
          <w:ilvl w:val="1"/>
          <w:numId w:val="16"/>
        </w:numPr>
      </w:pPr>
      <w:bookmarkStart w:id="26" w:name="_Toc472686486"/>
      <w:r w:rsidRPr="009640F7">
        <w:t>Collaboration for Cultural Reform in Defence</w:t>
      </w:r>
      <w:bookmarkEnd w:id="26"/>
      <w:r w:rsidRPr="009640F7">
        <w:t xml:space="preserve"> </w:t>
      </w:r>
    </w:p>
    <w:p w14:paraId="0F1AABEC" w14:textId="77777777" w:rsidR="007E21CF" w:rsidRPr="00FF6BDC" w:rsidRDefault="00DC6E83" w:rsidP="00AC60BA">
      <w:pPr>
        <w:pStyle w:val="SubmissionNormal"/>
      </w:pPr>
      <w:r w:rsidRPr="00FF6BDC">
        <w:t>In 2011, the Commission was engaged by the Australian Government to conduct a review of the treatment of women in the Australian Defence Force</w:t>
      </w:r>
      <w:r w:rsidR="00C37541">
        <w:t xml:space="preserve"> (ADF) </w:t>
      </w:r>
      <w:r w:rsidRPr="00FF6BDC">
        <w:t>Academy</w:t>
      </w:r>
      <w:r w:rsidR="00722DC8" w:rsidRPr="00FF6BDC">
        <w:t>.</w:t>
      </w:r>
      <w:r w:rsidR="00065A18" w:rsidRPr="00CA12AF">
        <w:rPr>
          <w:rStyle w:val="EndnoteReference"/>
        </w:rPr>
        <w:endnoteReference w:id="75"/>
      </w:r>
      <w:r w:rsidR="00722DC8" w:rsidRPr="00FF6BDC">
        <w:t xml:space="preserve"> </w:t>
      </w:r>
      <w:r w:rsidR="007E21CF" w:rsidRPr="00FF6BDC">
        <w:t xml:space="preserve">The review was announced following </w:t>
      </w:r>
      <w:r w:rsidR="00C37541">
        <w:t xml:space="preserve">a widely-publicised </w:t>
      </w:r>
      <w:r w:rsidR="00E64A41" w:rsidRPr="00FF6BDC">
        <w:t>in</w:t>
      </w:r>
      <w:r w:rsidR="003752E7" w:rsidRPr="00FF6BDC">
        <w:t>cident of inappropriate behaviour</w:t>
      </w:r>
      <w:r w:rsidR="00D24B3E" w:rsidRPr="00FF6BDC">
        <w:t xml:space="preserve">, </w:t>
      </w:r>
      <w:r w:rsidR="007C5372" w:rsidRPr="00FF6BDC">
        <w:t xml:space="preserve">which ultimately led to the conviction of </w:t>
      </w:r>
      <w:r w:rsidR="003752E7" w:rsidRPr="00FF6BDC">
        <w:t>two Australian Defence Force</w:t>
      </w:r>
      <w:r w:rsidR="00D24B3E" w:rsidRPr="00FF6BDC">
        <w:t xml:space="preserve"> cadets</w:t>
      </w:r>
      <w:r w:rsidR="007C5372" w:rsidRPr="00FF6BDC">
        <w:t xml:space="preserve"> for criminal offences.</w:t>
      </w:r>
      <w:r w:rsidR="00D255F9" w:rsidRPr="00CA12AF">
        <w:rPr>
          <w:rStyle w:val="EndnoteReference"/>
        </w:rPr>
        <w:endnoteReference w:id="76"/>
      </w:r>
      <w:r w:rsidR="00AC60BA" w:rsidRPr="00FF6BDC">
        <w:t xml:space="preserve"> The review was led by then Sex Discrimination Commissioner Elizabeth Broderick.</w:t>
      </w:r>
    </w:p>
    <w:p w14:paraId="0D4223C7" w14:textId="77777777" w:rsidR="004A72EC" w:rsidRDefault="004A72EC" w:rsidP="004A72EC">
      <w:pPr>
        <w:pStyle w:val="SubmissionNormal"/>
      </w:pPr>
      <w:r w:rsidRPr="00FF6BDC">
        <w:t>The Commission published four reports as part of the review. The first report</w:t>
      </w:r>
      <w:r>
        <w:t xml:space="preserve"> </w:t>
      </w:r>
      <w:r w:rsidRPr="00FF6BDC">
        <w:t>focused on the treatment of women at the A</w:t>
      </w:r>
      <w:r w:rsidR="00C37541">
        <w:t xml:space="preserve">DF </w:t>
      </w:r>
      <w:r w:rsidRPr="00FF6BDC">
        <w:t>Academy.</w:t>
      </w:r>
      <w:r w:rsidRPr="00CA12AF">
        <w:rPr>
          <w:rStyle w:val="EndnoteReference"/>
        </w:rPr>
        <w:endnoteReference w:id="77"/>
      </w:r>
      <w:r w:rsidRPr="00FF6BDC">
        <w:t xml:space="preserve"> </w:t>
      </w:r>
      <w:r>
        <w:t xml:space="preserve">The second report focused on the treatment of women across the entire ADF, including </w:t>
      </w:r>
      <w:r w:rsidRPr="0079295E">
        <w:rPr>
          <w:rFonts w:cs="Arial"/>
        </w:rPr>
        <w:t>t</w:t>
      </w:r>
      <w:r w:rsidRPr="00745300">
        <w:rPr>
          <w:rFonts w:cs="Arial"/>
        </w:rPr>
        <w:t>he effectiveness of cultural change strategies and initiatives required to improve leadership pathways for women</w:t>
      </w:r>
      <w:r>
        <w:t>.</w:t>
      </w:r>
      <w:r w:rsidRPr="00CA12AF">
        <w:rPr>
          <w:rStyle w:val="EndnoteReference"/>
        </w:rPr>
        <w:endnoteReference w:id="78"/>
      </w:r>
      <w:r>
        <w:t xml:space="preserve"> Both reports made a series of recommendations to provide a safe, supportive environment for women and increase the participation of women in the ADF</w:t>
      </w:r>
      <w:r w:rsidR="00290B73">
        <w:t xml:space="preserve">. </w:t>
      </w:r>
      <w:r w:rsidRPr="00FF6BDC">
        <w:t xml:space="preserve">The final </w:t>
      </w:r>
      <w:r>
        <w:t xml:space="preserve">two </w:t>
      </w:r>
      <w:r w:rsidRPr="00FF6BDC">
        <w:t>reports audited the implementation of recommendations</w:t>
      </w:r>
      <w:r w:rsidR="004349A1">
        <w:t>.</w:t>
      </w:r>
      <w:r w:rsidR="004349A1">
        <w:rPr>
          <w:rStyle w:val="EndnoteReference"/>
        </w:rPr>
        <w:endnoteReference w:id="79"/>
      </w:r>
    </w:p>
    <w:p w14:paraId="3D632EC2" w14:textId="77777777" w:rsidR="00290B73" w:rsidRDefault="00290B73" w:rsidP="00F60D6D">
      <w:pPr>
        <w:pStyle w:val="SubmissionNormal"/>
      </w:pPr>
      <w:r>
        <w:t>Since 2014</w:t>
      </w:r>
      <w:r w:rsidR="00F60D6D">
        <w:t xml:space="preserve">, </w:t>
      </w:r>
      <w:r w:rsidRPr="0079295E">
        <w:t xml:space="preserve">the Commission has been </w:t>
      </w:r>
      <w:r w:rsidR="00F60D6D">
        <w:t xml:space="preserve">working in a collaboration </w:t>
      </w:r>
      <w:r>
        <w:t>relationship</w:t>
      </w:r>
      <w:r w:rsidR="00F60D6D">
        <w:t xml:space="preserve"> </w:t>
      </w:r>
      <w:r>
        <w:t xml:space="preserve">with </w:t>
      </w:r>
      <w:r w:rsidRPr="0079295E">
        <w:t xml:space="preserve">the </w:t>
      </w:r>
      <w:r w:rsidR="00F60D6D">
        <w:t>ADF</w:t>
      </w:r>
      <w:r w:rsidRPr="0079295E">
        <w:t xml:space="preserve">, </w:t>
      </w:r>
      <w:r w:rsidRPr="00FF6BDC">
        <w:t>to encourage cultural reform</w:t>
      </w:r>
      <w:r>
        <w:t xml:space="preserve"> and enhance the </w:t>
      </w:r>
      <w:r w:rsidRPr="00FF6BDC">
        <w:t>participation of women.</w:t>
      </w:r>
      <w:r w:rsidR="00AF3326">
        <w:t xml:space="preserve"> </w:t>
      </w:r>
      <w:r w:rsidR="00F60D6D">
        <w:t xml:space="preserve">This builds on </w:t>
      </w:r>
      <w:r>
        <w:t xml:space="preserve">cultural reform initiatives in </w:t>
      </w:r>
      <w:r>
        <w:rPr>
          <w:i/>
        </w:rPr>
        <w:t xml:space="preserve">Pathway to Change, </w:t>
      </w:r>
      <w:r>
        <w:t>an implementation strategy for cultural change across the Australian Defence Force</w:t>
      </w:r>
      <w:r w:rsidRPr="0079295E">
        <w:t>.</w:t>
      </w:r>
      <w:r w:rsidR="00FF5537" w:rsidRPr="009640F7">
        <w:rPr>
          <w:rStyle w:val="EndnoteReference"/>
        </w:rPr>
        <w:endnoteReference w:id="80"/>
      </w:r>
      <w:r w:rsidR="00FF5537">
        <w:t xml:space="preserve"> </w:t>
      </w:r>
      <w:r w:rsidRPr="0079295E">
        <w:t>Specificall</w:t>
      </w:r>
      <w:r>
        <w:t>y</w:t>
      </w:r>
      <w:r w:rsidR="00F60D6D">
        <w:t>,</w:t>
      </w:r>
      <w:r>
        <w:t xml:space="preserve"> the Commission </w:t>
      </w:r>
      <w:r w:rsidRPr="0079295E">
        <w:t>examine</w:t>
      </w:r>
      <w:r>
        <w:t>s</w:t>
      </w:r>
      <w:r w:rsidRPr="0079295E">
        <w:t xml:space="preserve"> issues around gender, race and diversity, sexual orientation and gender identity and the impact of alcohol and social media on the cultural reform process.</w:t>
      </w:r>
    </w:p>
    <w:p w14:paraId="21059B6D" w14:textId="77777777" w:rsidR="00BC357A" w:rsidRPr="00FF6BDC" w:rsidRDefault="00BC357A" w:rsidP="00BC357A">
      <w:pPr>
        <w:pStyle w:val="SubmissionNormal"/>
      </w:pPr>
      <w:r w:rsidRPr="00FF6BDC">
        <w:t>In consultation with Defence, the Commission has developed a work program</w:t>
      </w:r>
      <w:r w:rsidR="00CA12AF">
        <w:t xml:space="preserve"> </w:t>
      </w:r>
      <w:r w:rsidRPr="00FF6BDC">
        <w:t xml:space="preserve">which includes a range of visits to bases and some </w:t>
      </w:r>
      <w:r>
        <w:t>extended research</w:t>
      </w:r>
      <w:r w:rsidRPr="00FF6BDC">
        <w:t xml:space="preserve"> projects. Visits to bases include discussions with Command, interviews and focus groups with personnel, analysis of data and some observation of </w:t>
      </w:r>
      <w:r w:rsidRPr="00FF6BDC">
        <w:lastRenderedPageBreak/>
        <w:t>activities.</w:t>
      </w:r>
      <w:r w:rsidR="00171C30">
        <w:t xml:space="preserve"> </w:t>
      </w:r>
      <w:r>
        <w:t>The</w:t>
      </w:r>
      <w:r w:rsidR="007B4BC3">
        <w:t xml:space="preserve"> Commission has consulted with around 2</w:t>
      </w:r>
      <w:r w:rsidR="00357EE2">
        <w:t>,</w:t>
      </w:r>
      <w:r>
        <w:t>000 Defence personnel about their experiences since the collaboration commenced in 2014.</w:t>
      </w:r>
    </w:p>
    <w:p w14:paraId="6F285AFE" w14:textId="77777777" w:rsidR="000C2035" w:rsidRPr="009640F7" w:rsidRDefault="00BC42FB" w:rsidP="00170344">
      <w:pPr>
        <w:pStyle w:val="Heading2"/>
        <w:numPr>
          <w:ilvl w:val="1"/>
          <w:numId w:val="16"/>
        </w:numPr>
        <w:rPr>
          <w:b w:val="0"/>
          <w:i w:val="0"/>
        </w:rPr>
      </w:pPr>
      <w:bookmarkStart w:id="27" w:name="_Toc472686487"/>
      <w:r>
        <w:t>University sexual assault and sexual harassment project</w:t>
      </w:r>
      <w:bookmarkEnd w:id="27"/>
      <w:r>
        <w:t xml:space="preserve"> </w:t>
      </w:r>
    </w:p>
    <w:p w14:paraId="7A37BD87" w14:textId="77777777" w:rsidR="00086DF4" w:rsidRPr="00FF6BDC" w:rsidRDefault="00DE0A44" w:rsidP="00086DF4">
      <w:pPr>
        <w:pStyle w:val="SubmissionNormal"/>
      </w:pPr>
      <w:r w:rsidRPr="00FF6BDC">
        <w:t xml:space="preserve">In 2015, the National Union of Students conducted a survey of the experiences of women university students in Australia, focusing on a range of issues including accommodation, safety, student services, sexual assault, harassment and economic </w:t>
      </w:r>
      <w:r w:rsidR="005A361E">
        <w:t>issues.</w:t>
      </w:r>
      <w:r w:rsidR="005A361E">
        <w:rPr>
          <w:rStyle w:val="EndnoteReference"/>
        </w:rPr>
        <w:endnoteReference w:id="81"/>
      </w:r>
      <w:r w:rsidR="00F35B11">
        <w:t xml:space="preserve"> </w:t>
      </w:r>
      <w:r w:rsidR="00673373" w:rsidRPr="00FF6BDC">
        <w:t xml:space="preserve">The survey </w:t>
      </w:r>
      <w:r w:rsidR="004A5659" w:rsidRPr="00FF6BDC">
        <w:t>revealed concerning evidence about the prevalence of</w:t>
      </w:r>
      <w:r w:rsidR="003C1184" w:rsidRPr="00FF6BDC">
        <w:t xml:space="preserve"> experiences of</w:t>
      </w:r>
      <w:r w:rsidR="004A5659" w:rsidRPr="00FF6BDC">
        <w:t xml:space="preserve"> sexual harassment and</w:t>
      </w:r>
      <w:r w:rsidR="00673373" w:rsidRPr="00FF6BDC">
        <w:t xml:space="preserve"> physical</w:t>
      </w:r>
      <w:r w:rsidR="004A5659" w:rsidRPr="00FF6BDC">
        <w:t xml:space="preserve"> and </w:t>
      </w:r>
      <w:r w:rsidR="00673373" w:rsidRPr="00FF6BDC">
        <w:t>sexual assault</w:t>
      </w:r>
      <w:r w:rsidR="004A5659" w:rsidRPr="00FF6BDC">
        <w:t xml:space="preserve"> by female university students. </w:t>
      </w:r>
    </w:p>
    <w:p w14:paraId="476EDC9A" w14:textId="77777777" w:rsidR="00086DF4" w:rsidRPr="00FF6BDC" w:rsidRDefault="00673373" w:rsidP="00086DF4">
      <w:pPr>
        <w:pStyle w:val="SubmissionNormal"/>
      </w:pPr>
      <w:r w:rsidRPr="00FF6BDC">
        <w:t xml:space="preserve">Over 70% of respondents to the survey </w:t>
      </w:r>
      <w:r w:rsidR="00341324">
        <w:t xml:space="preserve">reported experiencing </w:t>
      </w:r>
      <w:r w:rsidRPr="00FF6BDC">
        <w:t>some form of sexual harassment or unwelcome sexual behaviour</w:t>
      </w:r>
      <w:r w:rsidR="00A65AF9" w:rsidRPr="00FF6BDC">
        <w:t xml:space="preserve">, </w:t>
      </w:r>
      <w:r w:rsidRPr="00FF6BDC">
        <w:t xml:space="preserve">15.7% </w:t>
      </w:r>
      <w:r w:rsidR="00097B49">
        <w:t>reported e</w:t>
      </w:r>
      <w:r w:rsidRPr="00FF6BDC">
        <w:t>xperienc</w:t>
      </w:r>
      <w:r w:rsidR="00097B49">
        <w:t xml:space="preserve">ing </w:t>
      </w:r>
      <w:r w:rsidRPr="00FF6BDC">
        <w:t>some form of physical mistreatment</w:t>
      </w:r>
      <w:r w:rsidR="00A65AF9" w:rsidRPr="00FF6BDC">
        <w:t xml:space="preserve">, </w:t>
      </w:r>
      <w:r w:rsidRPr="00FF6BDC">
        <w:t xml:space="preserve">and 27% had </w:t>
      </w:r>
      <w:r w:rsidR="00097B49">
        <w:t xml:space="preserve">reported </w:t>
      </w:r>
      <w:r w:rsidRPr="00FF6BDC">
        <w:t>experienc</w:t>
      </w:r>
      <w:r w:rsidR="00097B49">
        <w:t>ing</w:t>
      </w:r>
      <w:r w:rsidRPr="00FF6BDC">
        <w:t xml:space="preserve"> some form of sexual assault while enrolled at their current university</w:t>
      </w:r>
      <w:r w:rsidR="00A65AF9" w:rsidRPr="00FF6BDC">
        <w:t>.</w:t>
      </w:r>
      <w:r w:rsidR="00B6487F" w:rsidRPr="00171C30">
        <w:rPr>
          <w:rStyle w:val="EndnoteReference"/>
        </w:rPr>
        <w:endnoteReference w:id="82"/>
      </w:r>
      <w:r w:rsidR="00611B0F" w:rsidRPr="00FF6BDC">
        <w:t xml:space="preserve"> </w:t>
      </w:r>
      <w:r w:rsidR="00206E46" w:rsidRPr="00FF6BDC">
        <w:t>The vast majority of respondents who had experienced harassment or assault did not report the incident to their university or the police.</w:t>
      </w:r>
      <w:r w:rsidR="00611B0F" w:rsidRPr="00171C30">
        <w:rPr>
          <w:rStyle w:val="EndnoteReference"/>
        </w:rPr>
        <w:endnoteReference w:id="83"/>
      </w:r>
      <w:r w:rsidR="00206E46" w:rsidRPr="00FF6BDC">
        <w:t xml:space="preserve"> </w:t>
      </w:r>
      <w:r w:rsidRPr="00FF6BDC">
        <w:t xml:space="preserve"> </w:t>
      </w:r>
    </w:p>
    <w:p w14:paraId="0311E3D4" w14:textId="77777777" w:rsidR="009A6898" w:rsidRPr="00FF6BDC" w:rsidRDefault="00F4131E" w:rsidP="009A6898">
      <w:pPr>
        <w:pStyle w:val="SubmissionNormal"/>
      </w:pPr>
      <w:r>
        <w:t xml:space="preserve">In </w:t>
      </w:r>
      <w:r w:rsidR="00F205A5" w:rsidRPr="00FF6BDC">
        <w:t>2016</w:t>
      </w:r>
      <w:r w:rsidR="00086DF4" w:rsidRPr="00FF6BDC">
        <w:t xml:space="preserve">, </w:t>
      </w:r>
      <w:r w:rsidR="00F205A5" w:rsidRPr="00FF6BDC">
        <w:t>Australia’</w:t>
      </w:r>
      <w:r w:rsidR="00086DF4" w:rsidRPr="00FF6BDC">
        <w:t>s</w:t>
      </w:r>
      <w:r w:rsidR="00F205A5" w:rsidRPr="00FF6BDC">
        <w:t xml:space="preserve"> 39 </w:t>
      </w:r>
      <w:r w:rsidR="00086DF4" w:rsidRPr="00FF6BDC">
        <w:t xml:space="preserve">universities launched a campaign </w:t>
      </w:r>
      <w:r w:rsidR="00F205A5" w:rsidRPr="00FF6BDC">
        <w:t xml:space="preserve">– </w:t>
      </w:r>
      <w:r w:rsidR="00F205A5" w:rsidRPr="00FF6BDC">
        <w:rPr>
          <w:i/>
        </w:rPr>
        <w:t>Respect. Now. Always</w:t>
      </w:r>
      <w:r w:rsidR="00F205A5" w:rsidRPr="00FF6BDC">
        <w:t>. –</w:t>
      </w:r>
      <w:r w:rsidR="00F205A5" w:rsidRPr="00FF6BDC">
        <w:rPr>
          <w:i/>
        </w:rPr>
        <w:t xml:space="preserve"> </w:t>
      </w:r>
      <w:r w:rsidR="00086DF4" w:rsidRPr="00FF6BDC">
        <w:t>to prevent and address sexual assault and harassment</w:t>
      </w:r>
      <w:r w:rsidR="00F205A5" w:rsidRPr="00FF6BDC">
        <w:t xml:space="preserve">. </w:t>
      </w:r>
      <w:r w:rsidR="009A6898" w:rsidRPr="00FF6BDC">
        <w:t>The campaign aims to raise awareness of sexual assault, sexual harassment and support services for students; obtain data to guide further improvement in university policies and services; and assist universities in sharing global best practice resources across the sector</w:t>
      </w:r>
      <w:r w:rsidR="00052F40">
        <w:t>.</w:t>
      </w:r>
      <w:r w:rsidR="00BA7480" w:rsidRPr="00171C30">
        <w:rPr>
          <w:rStyle w:val="EndnoteReference"/>
        </w:rPr>
        <w:endnoteReference w:id="84"/>
      </w:r>
    </w:p>
    <w:p w14:paraId="605DF45C" w14:textId="77777777" w:rsidR="00254ED6" w:rsidRPr="00FF6BDC" w:rsidRDefault="00254ED6" w:rsidP="00254ED6">
      <w:pPr>
        <w:pStyle w:val="SubmissionNormal"/>
      </w:pPr>
      <w:r w:rsidRPr="00FF6BDC">
        <w:t xml:space="preserve">As part of </w:t>
      </w:r>
      <w:r>
        <w:t>this</w:t>
      </w:r>
      <w:r w:rsidRPr="00FF6BDC">
        <w:t xml:space="preserve"> campaign, the Commission</w:t>
      </w:r>
      <w:r>
        <w:t xml:space="preserve"> has been asked</w:t>
      </w:r>
      <w:r w:rsidRPr="00FF6BDC">
        <w:t xml:space="preserve"> to conduct an independent survey of</w:t>
      </w:r>
      <w:r>
        <w:t xml:space="preserve"> sexual assault and sexual harassment of</w:t>
      </w:r>
      <w:r w:rsidRPr="00FF6BDC">
        <w:t xml:space="preserve"> university students.</w:t>
      </w:r>
      <w:r w:rsidR="00E7760A">
        <w:t xml:space="preserve"> </w:t>
      </w:r>
      <w:r w:rsidRPr="00FF6BDC">
        <w:t xml:space="preserve">The survey aims to provide clear data and evidence on the prevalence, nature and reporting of sexual assault and sexual harassment at Australian universities, and examine the effectiveness of services and policies </w:t>
      </w:r>
      <w:r>
        <w:t>aimed at addressing</w:t>
      </w:r>
      <w:r w:rsidRPr="00FF6BDC">
        <w:t xml:space="preserve"> sexual assault and sexual harassment on campus.</w:t>
      </w:r>
    </w:p>
    <w:p w14:paraId="0F745E0B" w14:textId="77777777" w:rsidR="00254ED6" w:rsidRPr="00FF6BDC" w:rsidRDefault="00254ED6" w:rsidP="00254ED6">
      <w:pPr>
        <w:pStyle w:val="SubmissionNormal"/>
      </w:pPr>
      <w:r>
        <w:t>The</w:t>
      </w:r>
      <w:r w:rsidRPr="00FF6BDC">
        <w:t xml:space="preserve"> national survey was </w:t>
      </w:r>
      <w:r>
        <w:t>conducted</w:t>
      </w:r>
      <w:r w:rsidRPr="00FF6BDC">
        <w:t xml:space="preserve"> in </w:t>
      </w:r>
      <w:r>
        <w:t>2016</w:t>
      </w:r>
      <w:r w:rsidRPr="00FF6BDC">
        <w:t xml:space="preserve">, with </w:t>
      </w:r>
      <w:r>
        <w:t xml:space="preserve">a representative sample of </w:t>
      </w:r>
      <w:r w:rsidRPr="00FF6BDC">
        <w:t xml:space="preserve">students </w:t>
      </w:r>
      <w:r>
        <w:t xml:space="preserve">from all 39 Australian universities </w:t>
      </w:r>
      <w:r w:rsidRPr="00FF6BDC">
        <w:t xml:space="preserve">selected to </w:t>
      </w:r>
      <w:r>
        <w:t>participate</w:t>
      </w:r>
      <w:r w:rsidRPr="00FF6BDC">
        <w:t xml:space="preserve"> via their student email. </w:t>
      </w:r>
      <w:r>
        <w:t>T</w:t>
      </w:r>
      <w:r w:rsidRPr="00FF6BDC">
        <w:t>he Commission</w:t>
      </w:r>
      <w:r>
        <w:t xml:space="preserve"> also</w:t>
      </w:r>
      <w:r w:rsidRPr="00FF6BDC">
        <w:t xml:space="preserve"> issued </w:t>
      </w:r>
      <w:r>
        <w:t>a</w:t>
      </w:r>
      <w:r w:rsidRPr="00FF6BDC">
        <w:t xml:space="preserve"> call for submissions </w:t>
      </w:r>
      <w:r>
        <w:t>from anyone who wished to express a view about sexual assault or sexual harassment at university, including current and former students, staff and parents.</w:t>
      </w:r>
      <w:r w:rsidR="00E8370D">
        <w:t xml:space="preserve"> </w:t>
      </w:r>
      <w:r w:rsidRPr="00FF6BDC">
        <w:t xml:space="preserve">It is expected that the Commission will present a report on the </w:t>
      </w:r>
      <w:r>
        <w:t>findings of the survey and submissions</w:t>
      </w:r>
      <w:r w:rsidRPr="00FF6BDC">
        <w:t xml:space="preserve"> in early 2017.</w:t>
      </w:r>
      <w:r w:rsidRPr="00171C30">
        <w:rPr>
          <w:rStyle w:val="EndnoteReference"/>
        </w:rPr>
        <w:endnoteReference w:id="85"/>
      </w:r>
    </w:p>
    <w:p w14:paraId="7E4896B2" w14:textId="77777777" w:rsidR="00917497" w:rsidRPr="009640F7" w:rsidRDefault="003C798B" w:rsidP="00170344">
      <w:pPr>
        <w:pStyle w:val="Heading2"/>
        <w:numPr>
          <w:ilvl w:val="1"/>
          <w:numId w:val="16"/>
        </w:numPr>
      </w:pPr>
      <w:bookmarkStart w:id="28" w:name="_Toc472686488"/>
      <w:r w:rsidRPr="009640F7">
        <w:t>Domestic and family violence death review mechanisms</w:t>
      </w:r>
      <w:bookmarkEnd w:id="28"/>
      <w:r w:rsidRPr="009640F7">
        <w:t xml:space="preserve"> </w:t>
      </w:r>
    </w:p>
    <w:p w14:paraId="41CA2E8A" w14:textId="77777777" w:rsidR="008D22DA" w:rsidRDefault="00C85CB9" w:rsidP="000E7ACB">
      <w:pPr>
        <w:pStyle w:val="SubmissionNormal"/>
      </w:pPr>
      <w:r>
        <w:t>Australia does not have national data on domestic and family violence deaths because not all jurisdictions have Domestic and Family Violence Death Review Teams. T</w:t>
      </w:r>
      <w:r w:rsidRPr="00FF6BDC">
        <w:t xml:space="preserve">he Commission will </w:t>
      </w:r>
      <w:r>
        <w:t xml:space="preserve">soon </w:t>
      </w:r>
      <w:r w:rsidRPr="00FF6BDC">
        <w:t xml:space="preserve">release a new report </w:t>
      </w:r>
      <w:r>
        <w:t xml:space="preserve">which </w:t>
      </w:r>
      <w:r w:rsidRPr="00FF6BDC">
        <w:t>highlight</w:t>
      </w:r>
      <w:r>
        <w:t xml:space="preserve">s </w:t>
      </w:r>
      <w:r w:rsidRPr="00FF6BDC">
        <w:t xml:space="preserve">the importance of </w:t>
      </w:r>
      <w:r>
        <w:t xml:space="preserve">the domestic and family violence death review process, identifies the steps needed to expand this function to jurisdictions </w:t>
      </w:r>
      <w:r>
        <w:lastRenderedPageBreak/>
        <w:t>which currently lack it, and</w:t>
      </w:r>
      <w:r w:rsidR="00E70470">
        <w:t xml:space="preserve"> proposes measures to e</w:t>
      </w:r>
      <w:r>
        <w:t>nsure national coherence of data on domes</w:t>
      </w:r>
      <w:r w:rsidR="00E70470">
        <w:t>tic and f</w:t>
      </w:r>
      <w:r w:rsidR="008D22DA">
        <w:t>amily violence deaths.</w:t>
      </w:r>
    </w:p>
    <w:p w14:paraId="046831FD" w14:textId="77777777" w:rsidR="00917497" w:rsidRPr="00FF6BDC" w:rsidRDefault="00C85CB9" w:rsidP="000E7ACB">
      <w:pPr>
        <w:pStyle w:val="SubmissionNormal"/>
      </w:pPr>
      <w:r>
        <w:t xml:space="preserve">The report also outlines work </w:t>
      </w:r>
      <w:r w:rsidR="00E70470">
        <w:t xml:space="preserve">that </w:t>
      </w:r>
      <w:r>
        <w:t xml:space="preserve">the Commission will </w:t>
      </w:r>
      <w:r w:rsidR="00E70470">
        <w:t xml:space="preserve">undertake </w:t>
      </w:r>
      <w:r>
        <w:t xml:space="preserve">in coming months to identify mechanisms </w:t>
      </w:r>
      <w:r w:rsidR="00E70470">
        <w:t xml:space="preserve">for addressing </w:t>
      </w:r>
      <w:r>
        <w:t>the national data collection needs identified in the report</w:t>
      </w:r>
      <w:r w:rsidR="008D77DD">
        <w:t>,</w:t>
      </w:r>
      <w:r>
        <w:t xml:space="preserve"> and </w:t>
      </w:r>
      <w:r w:rsidR="008D77DD">
        <w:t xml:space="preserve">for </w:t>
      </w:r>
      <w:r w:rsidR="00E70470">
        <w:t xml:space="preserve">ensuring </w:t>
      </w:r>
      <w:r w:rsidR="008D77DD">
        <w:t xml:space="preserve">that </w:t>
      </w:r>
      <w:r>
        <w:t>death review processes exis</w:t>
      </w:r>
      <w:r w:rsidR="008D22DA">
        <w:t xml:space="preserve">t in all states and territories. </w:t>
      </w:r>
      <w:r w:rsidR="0042136E" w:rsidRPr="00FF6BDC">
        <w:t xml:space="preserve">The Commission would be happy to provide a copy of this report to the Rapporteur after it has been publicly released. </w:t>
      </w:r>
    </w:p>
    <w:p w14:paraId="2C525FD3" w14:textId="77777777" w:rsidR="0037374A" w:rsidRPr="009640F7" w:rsidRDefault="0037374A" w:rsidP="0037374A">
      <w:pPr>
        <w:pStyle w:val="Heading2"/>
        <w:numPr>
          <w:ilvl w:val="1"/>
          <w:numId w:val="16"/>
        </w:numPr>
      </w:pPr>
      <w:bookmarkStart w:id="29" w:name="_Toc472686489"/>
      <w:r>
        <w:t>Children’s Rights Report 2015</w:t>
      </w:r>
      <w:bookmarkEnd w:id="29"/>
      <w:r>
        <w:t xml:space="preserve"> </w:t>
      </w:r>
    </w:p>
    <w:p w14:paraId="6F32DBDE" w14:textId="77777777" w:rsidR="00183CEC" w:rsidRPr="00FF6BDC" w:rsidRDefault="009C1DD5" w:rsidP="00183CEC">
      <w:pPr>
        <w:pStyle w:val="SubmissionNormal"/>
      </w:pPr>
      <w:r>
        <w:t>As part of her</w:t>
      </w:r>
      <w:r w:rsidR="00183CEC" w:rsidRPr="00FF6BDC">
        <w:t xml:space="preserve"> statutory obligations, the Nati</w:t>
      </w:r>
      <w:r w:rsidR="005328E8">
        <w:t xml:space="preserve">onal Children's Commissioner is </w:t>
      </w:r>
      <w:r w:rsidR="00183CEC" w:rsidRPr="00FF6BDC">
        <w:t>required to submit a report to federal Parliament each year on the enjoyment and exercise of human rights by children and young people in Australia. The 2015 Children’s Rights Report</w:t>
      </w:r>
      <w:r w:rsidR="000743D2">
        <w:rPr>
          <w:rStyle w:val="EndnoteReference"/>
        </w:rPr>
        <w:endnoteReference w:id="86"/>
      </w:r>
      <w:r w:rsidR="00183CEC" w:rsidRPr="00FF6BDC">
        <w:t xml:space="preserve"> focused on the impact of family and domestic violence on the human rights of children and young people. </w:t>
      </w:r>
    </w:p>
    <w:p w14:paraId="0D29D906" w14:textId="77777777" w:rsidR="009C1DD5" w:rsidRDefault="00C80BC6" w:rsidP="009C1DD5">
      <w:pPr>
        <w:pStyle w:val="SubmissionNormal"/>
      </w:pPr>
      <w:r w:rsidRPr="00FF6BDC">
        <w:t>The Report present</w:t>
      </w:r>
      <w:r w:rsidR="008B5438" w:rsidRPr="00FF6BDC">
        <w:t>ed</w:t>
      </w:r>
      <w:r w:rsidRPr="00FF6BDC">
        <w:t xml:space="preserve"> the findings of a national investigation involving a series of expert roundtables, individual consultations and a submissions process.</w:t>
      </w:r>
      <w:r w:rsidR="00CF0D92" w:rsidRPr="00FF6BDC">
        <w:t xml:space="preserve"> It made 14 recommendations on children and family violence, relating to </w:t>
      </w:r>
      <w:r w:rsidR="004101A0" w:rsidRPr="00FF6BDC">
        <w:t xml:space="preserve">data collection and research, the </w:t>
      </w:r>
      <w:r w:rsidR="00245533" w:rsidRPr="00FF6BDC">
        <w:t xml:space="preserve">inclusion of children in </w:t>
      </w:r>
      <w:r w:rsidR="004101A0" w:rsidRPr="00FF6BDC">
        <w:t>policy framework</w:t>
      </w:r>
      <w:r w:rsidR="00245533" w:rsidRPr="00FF6BDC">
        <w:t>s</w:t>
      </w:r>
      <w:r w:rsidR="004101A0" w:rsidRPr="00FF6BDC">
        <w:t xml:space="preserve"> for responses to family and domestic violence affecting children, </w:t>
      </w:r>
      <w:r w:rsidR="00C70197" w:rsidRPr="00FF6BDC">
        <w:t xml:space="preserve">and support provided by the </w:t>
      </w:r>
      <w:r w:rsidR="00366F05" w:rsidRPr="00FF6BDC">
        <w:t xml:space="preserve">Family </w:t>
      </w:r>
      <w:r w:rsidR="00C70197" w:rsidRPr="00FF6BDC">
        <w:t>Court system for children</w:t>
      </w:r>
      <w:r w:rsidR="006C5868" w:rsidRPr="00FF6BDC">
        <w:t xml:space="preserve"> who been affected by family violence. </w:t>
      </w:r>
    </w:p>
    <w:p w14:paraId="19777AF2" w14:textId="77777777" w:rsidR="009C1DD5" w:rsidRDefault="009C1DD5" w:rsidP="009C1DD5">
      <w:pPr>
        <w:pStyle w:val="SubmissionNormal"/>
      </w:pPr>
      <w:r>
        <w:t xml:space="preserve">In the Report, the National Children’s Commissioner </w:t>
      </w:r>
      <w:r w:rsidR="009A1607">
        <w:t>provided</w:t>
      </w:r>
      <w:r>
        <w:t xml:space="preserve"> custom data obtained from the </w:t>
      </w:r>
      <w:r w:rsidRPr="008C6846">
        <w:t>Australian Bureau of Statistics</w:t>
      </w:r>
      <w:r w:rsidR="009A1607">
        <w:t>,</w:t>
      </w:r>
      <w:r>
        <w:t xml:space="preserve"> based on the 2012 </w:t>
      </w:r>
      <w:r w:rsidRPr="006C5ED0">
        <w:t>Personal Safety Survey</w:t>
      </w:r>
      <w:r w:rsidRPr="00A52600">
        <w:rPr>
          <w:rStyle w:val="EndnoteReference"/>
        </w:rPr>
        <w:endnoteReference w:id="87"/>
      </w:r>
      <w:r w:rsidRPr="00A52600">
        <w:rPr>
          <w:rStyle w:val="EndnoteReference"/>
        </w:rPr>
        <w:t xml:space="preserve"> </w:t>
      </w:r>
      <w:r>
        <w:t xml:space="preserve">and the </w:t>
      </w:r>
      <w:r w:rsidRPr="008C6846">
        <w:t>Recorded Crime – Victims</w:t>
      </w:r>
      <w:r>
        <w:rPr>
          <w:rStyle w:val="EndnoteReference"/>
        </w:rPr>
        <w:endnoteReference w:id="88"/>
      </w:r>
      <w:r w:rsidRPr="008C6846">
        <w:t xml:space="preserve"> publication</w:t>
      </w:r>
      <w:r>
        <w:t xml:space="preserve">. </w:t>
      </w:r>
      <w:r w:rsidRPr="002B4407">
        <w:t xml:space="preserve">Much of this data </w:t>
      </w:r>
      <w:r>
        <w:t>was previously un</w:t>
      </w:r>
      <w:r w:rsidRPr="002B4407">
        <w:t xml:space="preserve">published and </w:t>
      </w:r>
      <w:r w:rsidRPr="00283442">
        <w:t xml:space="preserve">provides insights into how </w:t>
      </w:r>
      <w:r w:rsidRPr="00A52600">
        <w:t>certain sub</w:t>
      </w:r>
      <w:r>
        <w:t xml:space="preserve">populations </w:t>
      </w:r>
      <w:r w:rsidRPr="00A52600">
        <w:t>of children, such as girls, experience family and domestic violence</w:t>
      </w:r>
      <w:r w:rsidRPr="00283442">
        <w:t>.</w:t>
      </w:r>
    </w:p>
    <w:p w14:paraId="17B45F7F" w14:textId="77777777" w:rsidR="009C1DD5" w:rsidRDefault="009C1DD5" w:rsidP="009C1DD5">
      <w:pPr>
        <w:pStyle w:val="SubmissionNormal"/>
      </w:pPr>
      <w:r w:rsidRPr="00A52600">
        <w:t>The custom data from the Personal Safety Survey</w:t>
      </w:r>
      <w:r w:rsidRPr="00283442">
        <w:t xml:space="preserve"> provided</w:t>
      </w:r>
      <w:r w:rsidRPr="0023590B">
        <w:t xml:space="preserve"> prevalence estimates about</w:t>
      </w:r>
      <w:r>
        <w:t xml:space="preserve"> the number of</w:t>
      </w:r>
      <w:r w:rsidRPr="0023590B">
        <w:t xml:space="preserve"> </w:t>
      </w:r>
      <w:r w:rsidRPr="009837DC">
        <w:t xml:space="preserve">Australian men and women aged </w:t>
      </w:r>
      <w:r>
        <w:t xml:space="preserve">over </w:t>
      </w:r>
      <w:r w:rsidRPr="009837DC">
        <w:t xml:space="preserve">18 years who </w:t>
      </w:r>
      <w:r>
        <w:t>first</w:t>
      </w:r>
      <w:r w:rsidRPr="009837DC">
        <w:t xml:space="preserve"> experience</w:t>
      </w:r>
      <w:r>
        <w:t>d</w:t>
      </w:r>
      <w:r w:rsidRPr="009837DC">
        <w:t xml:space="preserve"> physical abuse and sexual abuse before the age of 15</w:t>
      </w:r>
      <w:r w:rsidRPr="0023590B">
        <w:t>. It was estimated there were 839,400 adult women who first experienced physical abuse by a family member as a c</w:t>
      </w:r>
      <w:r w:rsidR="00905001">
        <w:t>hild aged between zero and</w:t>
      </w:r>
      <w:r w:rsidR="006F4266">
        <w:t xml:space="preserve"> 14 years; </w:t>
      </w:r>
      <w:r w:rsidR="00A32781">
        <w:t xml:space="preserve">and </w:t>
      </w:r>
      <w:r w:rsidRPr="0023590B">
        <w:t xml:space="preserve">515,200 adult women who first experienced sexual abuse by a family member as a child aged between </w:t>
      </w:r>
      <w:r w:rsidR="00905001">
        <w:t xml:space="preserve">zero and </w:t>
      </w:r>
      <w:r w:rsidRPr="0023590B">
        <w:t>14 years.</w:t>
      </w:r>
      <w:r w:rsidRPr="00A52600">
        <w:rPr>
          <w:rStyle w:val="EndnoteReference"/>
        </w:rPr>
        <w:endnoteReference w:id="89"/>
      </w:r>
    </w:p>
    <w:p w14:paraId="7DC04CD8" w14:textId="77777777" w:rsidR="009C1DD5" w:rsidRDefault="009C1DD5" w:rsidP="009C1DD5">
      <w:pPr>
        <w:pStyle w:val="SubmissionNormal"/>
      </w:pPr>
      <w:r w:rsidRPr="006C5ED0">
        <w:t xml:space="preserve">The Personal Safety Survey data </w:t>
      </w:r>
      <w:r>
        <w:t xml:space="preserve">highlighted the </w:t>
      </w:r>
      <w:r w:rsidRPr="00283442">
        <w:t xml:space="preserve">vulnerability of young </w:t>
      </w:r>
      <w:r w:rsidR="00297245">
        <w:t xml:space="preserve">girls aged between four and nine </w:t>
      </w:r>
      <w:r>
        <w:t>years to experiences of family and domestic violence, particularly from male perpetrators</w:t>
      </w:r>
      <w:r w:rsidRPr="00283442">
        <w:t>. For example</w:t>
      </w:r>
      <w:r>
        <w:t xml:space="preserve">, </w:t>
      </w:r>
      <w:r w:rsidRPr="00283442">
        <w:t xml:space="preserve">of the 431,900 </w:t>
      </w:r>
      <w:r w:rsidRPr="00A52600">
        <w:t xml:space="preserve">female children </w:t>
      </w:r>
      <w:r w:rsidR="00297245">
        <w:t>aged zero</w:t>
      </w:r>
      <w:r w:rsidRPr="00283442">
        <w:t xml:space="preserve"> to 14 years whose first incident of </w:t>
      </w:r>
      <w:r w:rsidRPr="00A52600">
        <w:t>physical abuse was perpetrated by their father</w:t>
      </w:r>
      <w:r w:rsidR="00297245">
        <w:t>, 246,900 (57.2</w:t>
      </w:r>
      <w:r w:rsidRPr="00283442">
        <w:t xml:space="preserve">%) were aged between </w:t>
      </w:r>
      <w:r w:rsidR="00297245">
        <w:t xml:space="preserve">four and sine </w:t>
      </w:r>
      <w:r w:rsidRPr="00283442">
        <w:t xml:space="preserve">years when the incident occurred. </w:t>
      </w:r>
      <w:r>
        <w:t>Similarly, o</w:t>
      </w:r>
      <w:r w:rsidRPr="00283442">
        <w:t xml:space="preserve">f the 150,700 </w:t>
      </w:r>
      <w:r w:rsidRPr="00A52600">
        <w:t xml:space="preserve">female children </w:t>
      </w:r>
      <w:r w:rsidR="00297245">
        <w:t>aged zero</w:t>
      </w:r>
      <w:r w:rsidRPr="00283442">
        <w:t xml:space="preserve"> to 14 years whose first incident of </w:t>
      </w:r>
      <w:r w:rsidRPr="00A52600">
        <w:t xml:space="preserve">sexual abuse </w:t>
      </w:r>
      <w:r w:rsidR="00297245">
        <w:t xml:space="preserve">was perpetrated by their father or </w:t>
      </w:r>
      <w:r w:rsidRPr="00A52600">
        <w:t>stepfather</w:t>
      </w:r>
      <w:r w:rsidRPr="00283442">
        <w:t>, 62,</w:t>
      </w:r>
      <w:r w:rsidR="00297245">
        <w:t xml:space="preserve">700 (41.6%) were aged between four </w:t>
      </w:r>
      <w:r w:rsidRPr="00283442">
        <w:t xml:space="preserve">and </w:t>
      </w:r>
      <w:r w:rsidR="00297245">
        <w:t xml:space="preserve">nine </w:t>
      </w:r>
      <w:r w:rsidRPr="00283442">
        <w:t xml:space="preserve">years when the incident occurred. </w:t>
      </w:r>
    </w:p>
    <w:p w14:paraId="55510622" w14:textId="77777777" w:rsidR="009C1DD5" w:rsidRDefault="009C1DD5" w:rsidP="009C1DD5">
      <w:pPr>
        <w:pStyle w:val="SubmissionNormal"/>
      </w:pPr>
      <w:r w:rsidRPr="003E7EC6">
        <w:t xml:space="preserve">The custom data obtained from </w:t>
      </w:r>
      <w:r w:rsidRPr="008C6846">
        <w:t>Australian Bureau of Statistics</w:t>
      </w:r>
      <w:r>
        <w:t>’</w:t>
      </w:r>
      <w:r w:rsidRPr="003E7EC6">
        <w:t xml:space="preserve"> Recorded Crime – Victims publication </w:t>
      </w:r>
      <w:r>
        <w:t>revealed</w:t>
      </w:r>
      <w:r w:rsidRPr="003E7EC6">
        <w:t xml:space="preserve"> that female children aged 15 to 17 years </w:t>
      </w:r>
      <w:r w:rsidRPr="003E7EC6">
        <w:lastRenderedPageBreak/>
        <w:t xml:space="preserve">accounted for a significant proportion of child victims </w:t>
      </w:r>
      <w:r w:rsidRPr="00AD0437">
        <w:t xml:space="preserve">of physical assault and sexual assault </w:t>
      </w:r>
      <w:r w:rsidRPr="003E7EC6">
        <w:t>who reported the offender was their partner.</w:t>
      </w:r>
      <w:r w:rsidRPr="00AD0437">
        <w:rPr>
          <w:rStyle w:val="EndnoteReference"/>
        </w:rPr>
        <w:t xml:space="preserve"> </w:t>
      </w:r>
      <w:r w:rsidRPr="005C0FE1">
        <w:rPr>
          <w:rStyle w:val="EndnoteReference"/>
        </w:rPr>
        <w:endnoteReference w:id="90"/>
      </w:r>
      <w:r>
        <w:t xml:space="preserve"> E</w:t>
      </w:r>
      <w:r w:rsidRPr="006C5ED0">
        <w:t xml:space="preserve">vidence gathered </w:t>
      </w:r>
      <w:r>
        <w:t>by the National Children’s Commissioner</w:t>
      </w:r>
      <w:r w:rsidRPr="006C5ED0">
        <w:t xml:space="preserve"> through roundtables and written submissions</w:t>
      </w:r>
      <w:r>
        <w:t xml:space="preserve"> also</w:t>
      </w:r>
      <w:r w:rsidRPr="006C5ED0">
        <w:t xml:space="preserve"> indicated that an increasing number of female children aged 15 to 17 years are experiencing and seeking help for violence perpetrated by their partners.</w:t>
      </w:r>
      <w:r w:rsidRPr="005C0FE1">
        <w:rPr>
          <w:rStyle w:val="EndnoteReference"/>
        </w:rPr>
        <w:endnoteReference w:id="91"/>
      </w:r>
    </w:p>
    <w:p w14:paraId="2065365F" w14:textId="77777777" w:rsidR="009C1DD5" w:rsidRDefault="009C1DD5" w:rsidP="006F4266">
      <w:pPr>
        <w:pStyle w:val="SubmissionNormal"/>
      </w:pPr>
      <w:r>
        <w:t>In the Report, the National Children’s Commissioner recommended that the Australian Bureau of Statistics Personal Safety Survey should extend its collection of information from men and women aged 18 years and over about their experiences of abuse from</w:t>
      </w:r>
      <w:r w:rsidR="00E05AA8">
        <w:t xml:space="preserve"> the ages of zero to </w:t>
      </w:r>
      <w:r>
        <w:t xml:space="preserve">15 years to the ages of </w:t>
      </w:r>
      <w:r w:rsidR="00E05AA8">
        <w:t xml:space="preserve">zero to </w:t>
      </w:r>
      <w:r>
        <w:t>17 years.</w:t>
      </w:r>
      <w:r w:rsidRPr="0083226A">
        <w:rPr>
          <w:rStyle w:val="EndnoteReference"/>
        </w:rPr>
        <w:t xml:space="preserve"> </w:t>
      </w:r>
      <w:r w:rsidRPr="005C0FE1">
        <w:rPr>
          <w:rStyle w:val="EndnoteReference"/>
        </w:rPr>
        <w:endnoteReference w:id="92"/>
      </w:r>
      <w:r w:rsidR="006F4266">
        <w:t xml:space="preserve"> </w:t>
      </w:r>
      <w:r>
        <w:t xml:space="preserve">The </w:t>
      </w:r>
      <w:r w:rsidR="006F4266">
        <w:t>Co</w:t>
      </w:r>
      <w:r>
        <w:t xml:space="preserve">mmissioner also recommended that the </w:t>
      </w:r>
      <w:r w:rsidR="006F4266">
        <w:t xml:space="preserve">next </w:t>
      </w:r>
      <w:r>
        <w:t>A</w:t>
      </w:r>
      <w:r w:rsidR="006F4266">
        <w:t>NROWS R</w:t>
      </w:r>
      <w:r>
        <w:t>esearch Program should include research into female children aged 15 to 17 years affected by family and domestic violence.</w:t>
      </w:r>
      <w:r w:rsidRPr="0083226A">
        <w:rPr>
          <w:rStyle w:val="EndnoteReference"/>
        </w:rPr>
        <w:t xml:space="preserve"> </w:t>
      </w:r>
      <w:r w:rsidRPr="005C0FE1">
        <w:rPr>
          <w:rStyle w:val="EndnoteReference"/>
        </w:rPr>
        <w:endnoteReference w:id="93"/>
      </w:r>
    </w:p>
    <w:sectPr w:rsidR="009C1DD5"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CC9D" w14:textId="77777777" w:rsidR="00547168" w:rsidRDefault="00547168" w:rsidP="00F14C6D">
      <w:r>
        <w:separator/>
      </w:r>
    </w:p>
  </w:endnote>
  <w:endnote w:type="continuationSeparator" w:id="0">
    <w:p w14:paraId="6E5BB285" w14:textId="77777777" w:rsidR="00547168" w:rsidRDefault="00547168" w:rsidP="00F14C6D">
      <w:r>
        <w:continuationSeparator/>
      </w:r>
    </w:p>
  </w:endnote>
  <w:endnote w:id="1">
    <w:p w14:paraId="159D2110" w14:textId="77777777" w:rsidR="00547168" w:rsidRPr="00432C86" w:rsidRDefault="00547168" w:rsidP="006D3EA5">
      <w:pPr>
        <w:pStyle w:val="EndnoteText"/>
      </w:pPr>
      <w:r>
        <w:rPr>
          <w:rStyle w:val="EndnoteReference"/>
        </w:rPr>
        <w:endnoteRef/>
      </w:r>
      <w:r>
        <w:t xml:space="preserve"> Australian Human Rights Commission, Submission No 41 to the Senate </w:t>
      </w:r>
      <w:r w:rsidRPr="000F12CA">
        <w:t>Finance and Public Administration References Committee</w:t>
      </w:r>
      <w:r>
        <w:t xml:space="preserve">, Parliament of Australia, </w:t>
      </w:r>
      <w:r>
        <w:rPr>
          <w:i/>
        </w:rPr>
        <w:t>Inquiry into d</w:t>
      </w:r>
      <w:r w:rsidRPr="0052785D">
        <w:rPr>
          <w:i/>
        </w:rPr>
        <w:t>omestic violence and gender inequality</w:t>
      </w:r>
      <w:r>
        <w:t xml:space="preserve">, 4 March 2016. At </w:t>
      </w:r>
      <w:hyperlink r:id="rId1" w:history="1">
        <w:r w:rsidRPr="00124C2D">
          <w:rPr>
            <w:rStyle w:val="Hyperlink"/>
          </w:rPr>
          <w:t>http://www.aph.gov.au/DocumentStore.ashx?id=616c80fd-9f8d-4f90-8e71-202e8bea67f8&amp;subId=411685</w:t>
        </w:r>
      </w:hyperlink>
      <w:r>
        <w:t xml:space="preserve"> (viewed 13 January 2017). </w:t>
      </w:r>
    </w:p>
  </w:endnote>
  <w:endnote w:id="2">
    <w:p w14:paraId="480A1504" w14:textId="77777777" w:rsidR="00547168" w:rsidRPr="00811554" w:rsidRDefault="00547168" w:rsidP="006D3EA5">
      <w:pPr>
        <w:pStyle w:val="EndnoteText"/>
      </w:pPr>
      <w:r>
        <w:rPr>
          <w:rStyle w:val="EndnoteReference"/>
        </w:rPr>
        <w:endnoteRef/>
      </w:r>
      <w:r>
        <w:t xml:space="preserve"> Australian Human Rights Commission, Submission No 23 to the Joint Committee on Law Enforcement, Parliament of Australia, </w:t>
      </w:r>
      <w:r>
        <w:rPr>
          <w:i/>
        </w:rPr>
        <w:t>Inquiry into Human Trafficking</w:t>
      </w:r>
      <w:r>
        <w:t>,</w:t>
      </w:r>
      <w:r>
        <w:rPr>
          <w:i/>
        </w:rPr>
        <w:t xml:space="preserve"> </w:t>
      </w:r>
      <w:r>
        <w:t xml:space="preserve">4 March 2016. At </w:t>
      </w:r>
      <w:hyperlink r:id="rId2" w:history="1">
        <w:r w:rsidRPr="00124C2D">
          <w:rPr>
            <w:rStyle w:val="Hyperlink"/>
          </w:rPr>
          <w:t>http://www.aph.gov.au/DocumentStore.ashx?id=98e7d00c-885a-46da-a50c-aaf0d19bf6ea&amp;subId=410058</w:t>
        </w:r>
      </w:hyperlink>
      <w:r>
        <w:t xml:space="preserve"> (viewed 13 January 2017). </w:t>
      </w:r>
    </w:p>
  </w:endnote>
  <w:endnote w:id="3">
    <w:p w14:paraId="45D508C1" w14:textId="77777777" w:rsidR="00547168" w:rsidRDefault="00547168" w:rsidP="006D3EA5">
      <w:pPr>
        <w:pStyle w:val="EndnoteText"/>
      </w:pPr>
      <w:r>
        <w:rPr>
          <w:rStyle w:val="EndnoteReference"/>
        </w:rPr>
        <w:endnoteRef/>
      </w:r>
      <w:r>
        <w:t xml:space="preserve"> Australian Human Rights Commission, Submission to the Fair Work Commission, Commonwealth of Australia, </w:t>
      </w:r>
      <w:r w:rsidRPr="003E49BA">
        <w:rPr>
          <w:i/>
        </w:rPr>
        <w:t>Four yearly review of AM2015/1 Family and domestic violence clause</w:t>
      </w:r>
      <w:r>
        <w:t xml:space="preserve">, 5 October 2016. At </w:t>
      </w:r>
      <w:hyperlink r:id="rId3" w:history="1">
        <w:r w:rsidRPr="00124C2D">
          <w:rPr>
            <w:rStyle w:val="Hyperlink"/>
          </w:rPr>
          <w:t>https://www.fwc.gov.au/sites/awardsmodernfouryr/common/am2051-sub-ahrc-120516.pdf</w:t>
        </w:r>
      </w:hyperlink>
      <w:r>
        <w:t xml:space="preserve"> (viewed 13 January 2017).</w:t>
      </w:r>
    </w:p>
  </w:endnote>
  <w:endnote w:id="4">
    <w:p w14:paraId="18BDA6D6" w14:textId="77777777" w:rsidR="00547168" w:rsidRPr="00161734" w:rsidRDefault="00547168" w:rsidP="006D3EA5">
      <w:pPr>
        <w:pStyle w:val="EndnoteText"/>
        <w:rPr>
          <w:i/>
        </w:rPr>
      </w:pPr>
      <w:r>
        <w:rPr>
          <w:rStyle w:val="EndnoteReference"/>
        </w:rPr>
        <w:endnoteRef/>
      </w:r>
      <w:r>
        <w:t xml:space="preserve"> Australian Human Rights Commission, </w:t>
      </w:r>
      <w:r w:rsidRPr="00161734">
        <w:rPr>
          <w:i/>
        </w:rPr>
        <w:t>Report on the Review into the Treatment of Women in the Australian Defence Force Academy: Phase 1 of the Review into the Treatment of Women</w:t>
      </w:r>
    </w:p>
    <w:p w14:paraId="3EB62799" w14:textId="77777777" w:rsidR="00547168" w:rsidRDefault="00547168" w:rsidP="006D3EA5">
      <w:pPr>
        <w:pStyle w:val="EndnoteText"/>
      </w:pPr>
      <w:r w:rsidRPr="00161734">
        <w:rPr>
          <w:i/>
        </w:rPr>
        <w:t>in the Australian Defence Force</w:t>
      </w:r>
      <w:r>
        <w:t xml:space="preserve"> (2011). At </w:t>
      </w:r>
      <w:hyperlink r:id="rId4" w:history="1">
        <w:r w:rsidRPr="0043095B">
          <w:rPr>
            <w:rStyle w:val="Hyperlink"/>
          </w:rPr>
          <w:t>http://defencereview.humanrights.gov.au/report-review-treatment-women-australian-defence-force-academy</w:t>
        </w:r>
      </w:hyperlink>
      <w:r>
        <w:t xml:space="preserve"> (viewed 11 January 2017); Australian Human Rights Commission, </w:t>
      </w:r>
      <w:r w:rsidRPr="00CF6E95">
        <w:rPr>
          <w:i/>
        </w:rPr>
        <w:t>Report on the Review into the Treatment of Women in the Australian Defence Force: Phase 2 of the Review into the Treatment of Women in the Australian Defence Force</w:t>
      </w:r>
      <w:r>
        <w:t xml:space="preserve"> (2012). At </w:t>
      </w:r>
      <w:hyperlink r:id="rId5" w:history="1">
        <w:r w:rsidRPr="0043095B">
          <w:rPr>
            <w:rStyle w:val="Hyperlink"/>
          </w:rPr>
          <w:t>http://defencereview.humanrights.gov.au/report-review-treatment-women-australian-defence-force</w:t>
        </w:r>
      </w:hyperlink>
      <w:r>
        <w:t xml:space="preserve"> (viewed 11 January 2017).</w:t>
      </w:r>
    </w:p>
  </w:endnote>
  <w:endnote w:id="5">
    <w:p w14:paraId="6D19F9D6" w14:textId="77777777" w:rsidR="00547168" w:rsidRDefault="00547168" w:rsidP="006D3EA5">
      <w:pPr>
        <w:pStyle w:val="EndnoteText"/>
      </w:pPr>
      <w:r>
        <w:rPr>
          <w:rStyle w:val="EndnoteReference"/>
        </w:rPr>
        <w:endnoteRef/>
      </w:r>
      <w:r>
        <w:t xml:space="preserve"> Australian Human Rights Commission, </w:t>
      </w:r>
      <w:r w:rsidRPr="00A143FF">
        <w:rPr>
          <w:i/>
        </w:rPr>
        <w:t>Children’s Rights Report 2015</w:t>
      </w:r>
      <w:r>
        <w:t xml:space="preserve"> (2015). At </w:t>
      </w:r>
      <w:hyperlink r:id="rId6" w:history="1">
        <w:r w:rsidRPr="00066840">
          <w:rPr>
            <w:rStyle w:val="Hyperlink"/>
          </w:rPr>
          <w:t>https://www.humanrights.gov.au/our-work/childrens-rights/publications/childrens-rights-report-2015</w:t>
        </w:r>
      </w:hyperlink>
      <w:r>
        <w:t xml:space="preserve"> (viewed 13 January 2017). </w:t>
      </w:r>
    </w:p>
  </w:endnote>
  <w:endnote w:id="6">
    <w:p w14:paraId="18927E1B" w14:textId="77777777" w:rsidR="00547168" w:rsidRDefault="00547168" w:rsidP="0017407E">
      <w:pPr>
        <w:pStyle w:val="EndnoteText"/>
      </w:pPr>
      <w:r>
        <w:rPr>
          <w:rStyle w:val="EndnoteReference"/>
        </w:rPr>
        <w:endnoteRef/>
      </w:r>
      <w:r>
        <w:t xml:space="preserve"> The Hon Marcia Neave AO, Patricia Faulkner AO and Tony Nicholson, </w:t>
      </w:r>
      <w:r w:rsidRPr="00DB16CA">
        <w:rPr>
          <w:i/>
        </w:rPr>
        <w:t>Royal Commission into Family Violence: Summary and recommendations</w:t>
      </w:r>
      <w:r>
        <w:t xml:space="preserve"> (March 2016) 206. At </w:t>
      </w:r>
      <w:hyperlink r:id="rId7" w:history="1">
        <w:r w:rsidRPr="00124C2D">
          <w:rPr>
            <w:rStyle w:val="Hyperlink"/>
          </w:rPr>
          <w:t>http://files.rcfv.com.au/Reports/Final/RCFV-All-Volumes.pdf</w:t>
        </w:r>
      </w:hyperlink>
      <w:r>
        <w:t xml:space="preserve"> (viewed 13 January 2017).  </w:t>
      </w:r>
    </w:p>
  </w:endnote>
  <w:endnote w:id="7">
    <w:p w14:paraId="46FC92EC" w14:textId="77777777" w:rsidR="00547168" w:rsidRDefault="00547168">
      <w:pPr>
        <w:pStyle w:val="EndnoteText"/>
      </w:pPr>
      <w:r>
        <w:rPr>
          <w:rStyle w:val="EndnoteReference"/>
        </w:rPr>
        <w:endnoteRef/>
      </w:r>
      <w:r>
        <w:t xml:space="preserve"> Australian Bureau of Statistics, </w:t>
      </w:r>
      <w:r w:rsidRPr="003472CC">
        <w:rPr>
          <w:i/>
        </w:rPr>
        <w:t>Personal Safety, Australia, 2012</w:t>
      </w:r>
      <w:r>
        <w:rPr>
          <w:i/>
        </w:rPr>
        <w:t xml:space="preserve"> (cat </w:t>
      </w:r>
      <w:r w:rsidRPr="003472CC">
        <w:rPr>
          <w:i/>
        </w:rPr>
        <w:t>4906.0</w:t>
      </w:r>
      <w:r>
        <w:rPr>
          <w:i/>
        </w:rPr>
        <w:t>)</w:t>
      </w:r>
      <w:r w:rsidRPr="003472CC">
        <w:t xml:space="preserve"> </w:t>
      </w:r>
      <w:r>
        <w:t xml:space="preserve">(2013) Table 1. At </w:t>
      </w:r>
      <w:hyperlink r:id="rId8" w:history="1">
        <w:r w:rsidRPr="00124C2D">
          <w:rPr>
            <w:rStyle w:val="Hyperlink"/>
          </w:rPr>
          <w:t>http://www.abs.gov.au/ausstats/abs@.nsf/mf/4906.0</w:t>
        </w:r>
      </w:hyperlink>
      <w:r>
        <w:t xml:space="preserve"> (viewed 13 January 2017).</w:t>
      </w:r>
    </w:p>
  </w:endnote>
  <w:endnote w:id="8">
    <w:p w14:paraId="629D3BA7" w14:textId="77777777" w:rsidR="00547168" w:rsidRDefault="00547168">
      <w:pPr>
        <w:pStyle w:val="EndnoteText"/>
      </w:pPr>
      <w:r>
        <w:rPr>
          <w:rStyle w:val="EndnoteReference"/>
        </w:rPr>
        <w:endnoteRef/>
      </w:r>
      <w:r>
        <w:t xml:space="preserve"> Australian Bureau of Statistics, </w:t>
      </w:r>
      <w:r w:rsidRPr="003472CC">
        <w:rPr>
          <w:i/>
        </w:rPr>
        <w:t>Personal Safety, Australia, 2012</w:t>
      </w:r>
      <w:r>
        <w:rPr>
          <w:i/>
        </w:rPr>
        <w:t xml:space="preserve"> (cat </w:t>
      </w:r>
      <w:r w:rsidRPr="003472CC">
        <w:rPr>
          <w:i/>
        </w:rPr>
        <w:t>4906.0</w:t>
      </w:r>
      <w:r>
        <w:rPr>
          <w:i/>
        </w:rPr>
        <w:t>)</w:t>
      </w:r>
      <w:r w:rsidRPr="003472CC">
        <w:t xml:space="preserve"> </w:t>
      </w:r>
      <w:r>
        <w:t xml:space="preserve">(2013) Tables 3 and 4. At </w:t>
      </w:r>
      <w:hyperlink r:id="rId9" w:history="1">
        <w:r w:rsidRPr="00124C2D">
          <w:rPr>
            <w:rStyle w:val="Hyperlink"/>
          </w:rPr>
          <w:t>http://www.abs.gov.au/ausstats/abs@.nsf/mf/4906.0</w:t>
        </w:r>
      </w:hyperlink>
      <w:r>
        <w:t xml:space="preserve"> (viewed 13 January 2017).</w:t>
      </w:r>
    </w:p>
  </w:endnote>
  <w:endnote w:id="9">
    <w:p w14:paraId="4506604A" w14:textId="77777777" w:rsidR="00547168" w:rsidRDefault="00547168" w:rsidP="00976AF9">
      <w:pPr>
        <w:pStyle w:val="EndnoteText"/>
      </w:pPr>
      <w:r>
        <w:rPr>
          <w:rStyle w:val="EndnoteReference"/>
        </w:rPr>
        <w:endnoteRef/>
      </w:r>
      <w:r>
        <w:t xml:space="preserve"> Australian Bureau of Statistics, </w:t>
      </w:r>
      <w:r w:rsidRPr="003472CC">
        <w:rPr>
          <w:i/>
        </w:rPr>
        <w:t>Personal Safety, Australia, 2012</w:t>
      </w:r>
      <w:r>
        <w:rPr>
          <w:i/>
        </w:rPr>
        <w:t xml:space="preserve"> (cat </w:t>
      </w:r>
      <w:r w:rsidRPr="003472CC">
        <w:rPr>
          <w:i/>
        </w:rPr>
        <w:t>4906.0</w:t>
      </w:r>
      <w:r>
        <w:rPr>
          <w:i/>
        </w:rPr>
        <w:t>)</w:t>
      </w:r>
      <w:r w:rsidRPr="003472CC">
        <w:t xml:space="preserve"> </w:t>
      </w:r>
      <w:r>
        <w:t xml:space="preserve">(2013) Tables 3 and 4. At </w:t>
      </w:r>
      <w:hyperlink r:id="rId10" w:history="1">
        <w:r w:rsidRPr="00124C2D">
          <w:rPr>
            <w:rStyle w:val="Hyperlink"/>
          </w:rPr>
          <w:t>http://www.abs.gov.au/ausstats/abs@.nsf/mf/4906.0</w:t>
        </w:r>
      </w:hyperlink>
      <w:r>
        <w:t xml:space="preserve"> (viewed 13 January 2017).</w:t>
      </w:r>
    </w:p>
  </w:endnote>
  <w:endnote w:id="10">
    <w:p w14:paraId="20A8E2EF" w14:textId="77777777" w:rsidR="00547168" w:rsidRDefault="00547168">
      <w:pPr>
        <w:pStyle w:val="EndnoteText"/>
      </w:pPr>
      <w:r>
        <w:rPr>
          <w:rStyle w:val="EndnoteReference"/>
        </w:rPr>
        <w:endnoteRef/>
      </w:r>
      <w:r>
        <w:t xml:space="preserve"> Australian Bureau of Statistics, </w:t>
      </w:r>
      <w:r w:rsidRPr="003472CC">
        <w:rPr>
          <w:i/>
        </w:rPr>
        <w:t>Personal Safety, Australia, 2012</w:t>
      </w:r>
      <w:r>
        <w:rPr>
          <w:i/>
        </w:rPr>
        <w:t xml:space="preserve"> (cat </w:t>
      </w:r>
      <w:r w:rsidRPr="003472CC">
        <w:rPr>
          <w:i/>
        </w:rPr>
        <w:t>4906.0</w:t>
      </w:r>
      <w:r>
        <w:rPr>
          <w:i/>
        </w:rPr>
        <w:t>)</w:t>
      </w:r>
      <w:r w:rsidRPr="003472CC">
        <w:t xml:space="preserve"> </w:t>
      </w:r>
      <w:r>
        <w:t xml:space="preserve">(2013) Tables 3 and 4. At </w:t>
      </w:r>
      <w:hyperlink r:id="rId11" w:history="1">
        <w:r w:rsidRPr="00124C2D">
          <w:rPr>
            <w:rStyle w:val="Hyperlink"/>
          </w:rPr>
          <w:t>http://www.abs.gov.au/ausstats/abs@.nsf/mf/4906.0</w:t>
        </w:r>
      </w:hyperlink>
      <w:r>
        <w:t xml:space="preserve"> (viewed 13 January 2017).</w:t>
      </w:r>
    </w:p>
  </w:endnote>
  <w:endnote w:id="11">
    <w:p w14:paraId="0A169B75" w14:textId="77777777" w:rsidR="00547168" w:rsidRDefault="00547168" w:rsidP="003D781F">
      <w:pPr>
        <w:pStyle w:val="EndnoteText"/>
      </w:pPr>
      <w:r>
        <w:rPr>
          <w:rStyle w:val="EndnoteReference"/>
        </w:rPr>
        <w:endnoteRef/>
      </w:r>
      <w:r>
        <w:t xml:space="preserve"> </w:t>
      </w:r>
      <w:r w:rsidRPr="0073731A">
        <w:t>Price Waterhouse Coopers</w:t>
      </w:r>
      <w:r>
        <w:t>,</w:t>
      </w:r>
      <w:r w:rsidRPr="0073731A">
        <w:t xml:space="preserve"> </w:t>
      </w:r>
      <w:r w:rsidRPr="0005636F">
        <w:rPr>
          <w:i/>
        </w:rPr>
        <w:t>A high price to pay: the economic case for prevention of violence against women</w:t>
      </w:r>
      <w:r>
        <w:t xml:space="preserve"> (</w:t>
      </w:r>
      <w:r w:rsidRPr="0073731A">
        <w:t xml:space="preserve">Our Watch </w:t>
      </w:r>
      <w:r>
        <w:t>and</w:t>
      </w:r>
      <w:r w:rsidRPr="0073731A">
        <w:t xml:space="preserve"> Victori</w:t>
      </w:r>
      <w:r>
        <w:t xml:space="preserve">an Health Promotion Foundation, November 2015) 5. At </w:t>
      </w:r>
      <w:hyperlink r:id="rId12" w:history="1">
        <w:r w:rsidRPr="00124C2D">
          <w:rPr>
            <w:rStyle w:val="Hyperlink"/>
          </w:rPr>
          <w:t>http://www.pwc.com.au/pdf/a-high-price-to-pay.pdf</w:t>
        </w:r>
      </w:hyperlink>
      <w:r>
        <w:t xml:space="preserve"> </w:t>
      </w:r>
      <w:hyperlink r:id="rId13" w:history="1"/>
      <w:r w:rsidRPr="0073731A">
        <w:t xml:space="preserve">(viewed </w:t>
      </w:r>
      <w:r>
        <w:t>13 January 2017</w:t>
      </w:r>
      <w:r w:rsidRPr="0073731A">
        <w:t>).</w:t>
      </w:r>
    </w:p>
  </w:endnote>
  <w:endnote w:id="12">
    <w:p w14:paraId="20568690" w14:textId="77777777" w:rsidR="00547168" w:rsidRPr="00B84641" w:rsidRDefault="00547168" w:rsidP="00100C17">
      <w:pPr>
        <w:pStyle w:val="EndnoteText"/>
      </w:pPr>
      <w:r>
        <w:rPr>
          <w:rStyle w:val="EndnoteReference"/>
        </w:rPr>
        <w:endnoteRef/>
      </w:r>
      <w:r>
        <w:t xml:space="preserve"> Kim Webster, </w:t>
      </w:r>
      <w:r w:rsidRPr="00A057B2">
        <w:rPr>
          <w:i/>
        </w:rPr>
        <w:t>A preventable burden: Measuring and addressing the prevalence and health impacts of intimate partner violence in Australian women</w:t>
      </w:r>
      <w:r>
        <w:rPr>
          <w:i/>
        </w:rPr>
        <w:t xml:space="preserve"> </w:t>
      </w:r>
      <w:r>
        <w:t xml:space="preserve">(2016) Australia’s National Research Organisation for Women’s Safety, 17, 19. At </w:t>
      </w:r>
      <w:hyperlink r:id="rId14" w:history="1">
        <w:r w:rsidRPr="00F00FE1">
          <w:rPr>
            <w:rStyle w:val="Hyperlink"/>
          </w:rPr>
          <w:t>http://media.aomx.com/anrows.org.au/s3fs-public/28%2010%2016%20BOD%20Compass.pdf</w:t>
        </w:r>
      </w:hyperlink>
      <w:r>
        <w:t xml:space="preserve"> (viewed 18 January 2017).</w:t>
      </w:r>
    </w:p>
  </w:endnote>
  <w:endnote w:id="13">
    <w:p w14:paraId="3274F87D" w14:textId="77777777" w:rsidR="00547168" w:rsidRDefault="00547168" w:rsidP="003D781F">
      <w:pPr>
        <w:pStyle w:val="EndnoteText"/>
      </w:pPr>
      <w:r>
        <w:rPr>
          <w:rStyle w:val="EndnoteReference"/>
        </w:rPr>
        <w:endnoteRef/>
      </w:r>
      <w:r>
        <w:t xml:space="preserve"> Susan Rees et al, ‘</w:t>
      </w:r>
      <w:r w:rsidRPr="007D6163">
        <w:t>Lifetime prevalence of gender-based violence in women and the relationship with mental disorders and psychosocial function</w:t>
      </w:r>
      <w:r>
        <w:t xml:space="preserve">’ (2011) 306 (5) </w:t>
      </w:r>
      <w:r>
        <w:rPr>
          <w:i/>
        </w:rPr>
        <w:t xml:space="preserve">The </w:t>
      </w:r>
      <w:r w:rsidRPr="00C547FA">
        <w:rPr>
          <w:i/>
        </w:rPr>
        <w:t>J</w:t>
      </w:r>
      <w:r>
        <w:rPr>
          <w:i/>
        </w:rPr>
        <w:t xml:space="preserve">ournal of the </w:t>
      </w:r>
      <w:r w:rsidRPr="00C547FA">
        <w:rPr>
          <w:i/>
        </w:rPr>
        <w:t>A</w:t>
      </w:r>
      <w:r>
        <w:rPr>
          <w:i/>
        </w:rPr>
        <w:t xml:space="preserve">merican </w:t>
      </w:r>
      <w:r w:rsidRPr="00C547FA">
        <w:rPr>
          <w:i/>
        </w:rPr>
        <w:t>M</w:t>
      </w:r>
      <w:r>
        <w:rPr>
          <w:i/>
        </w:rPr>
        <w:t xml:space="preserve">edical </w:t>
      </w:r>
      <w:r w:rsidRPr="00C547FA">
        <w:rPr>
          <w:i/>
        </w:rPr>
        <w:t>A</w:t>
      </w:r>
      <w:r>
        <w:rPr>
          <w:i/>
        </w:rPr>
        <w:t>ssociation</w:t>
      </w:r>
      <w:r>
        <w:t xml:space="preserve"> 513, 513.</w:t>
      </w:r>
    </w:p>
  </w:endnote>
  <w:endnote w:id="14">
    <w:p w14:paraId="4C6D9366" w14:textId="77777777" w:rsidR="00547168" w:rsidRPr="00E1357A" w:rsidRDefault="00547168" w:rsidP="00835F6B">
      <w:pPr>
        <w:pStyle w:val="EndnoteText"/>
        <w:rPr>
          <w:rFonts w:cs="Arial"/>
        </w:rPr>
      </w:pPr>
      <w:r w:rsidRPr="0060058F">
        <w:rPr>
          <w:rStyle w:val="EndnoteReference"/>
          <w:rFonts w:cs="Arial"/>
        </w:rPr>
        <w:endnoteRef/>
      </w:r>
      <w:r w:rsidRPr="0060058F">
        <w:rPr>
          <w:rFonts w:cs="Arial"/>
        </w:rPr>
        <w:t xml:space="preserve"> </w:t>
      </w:r>
      <w:r>
        <w:rPr>
          <w:rFonts w:cs="Arial"/>
        </w:rPr>
        <w:t xml:space="preserve">Tracy Cussen and </w:t>
      </w:r>
      <w:r w:rsidRPr="00894BD5">
        <w:rPr>
          <w:rFonts w:cs="Arial"/>
        </w:rPr>
        <w:t>Willow Bryant</w:t>
      </w:r>
      <w:r>
        <w:rPr>
          <w:rFonts w:cs="Arial"/>
        </w:rPr>
        <w:t>, ‘</w:t>
      </w:r>
      <w:r w:rsidRPr="00E1357A">
        <w:rPr>
          <w:rFonts w:cs="Arial"/>
        </w:rPr>
        <w:t>Domestic/family homicide in Australia</w:t>
      </w:r>
      <w:r>
        <w:rPr>
          <w:rFonts w:cs="Arial"/>
        </w:rPr>
        <w:t xml:space="preserve">’ (2015) 38 </w:t>
      </w:r>
      <w:r>
        <w:rPr>
          <w:rFonts w:cs="Arial"/>
          <w:i/>
        </w:rPr>
        <w:t>Research in Practice, Australian Institute of Criminology</w:t>
      </w:r>
      <w:r>
        <w:rPr>
          <w:rFonts w:cs="Arial"/>
        </w:rPr>
        <w:t xml:space="preserve">, Tables 3 and 6. At </w:t>
      </w:r>
      <w:hyperlink r:id="rId15" w:history="1">
        <w:r w:rsidRPr="00124C2D">
          <w:rPr>
            <w:rStyle w:val="Hyperlink"/>
            <w:rFonts w:cs="Arial"/>
          </w:rPr>
          <w:t>http://www.aic.gov.au/publications/current%20series/rip/21-40/rip38.html</w:t>
        </w:r>
      </w:hyperlink>
      <w:r>
        <w:rPr>
          <w:rFonts w:cs="Arial"/>
        </w:rPr>
        <w:t xml:space="preserve"> (viewed 13 January 2017).  </w:t>
      </w:r>
    </w:p>
  </w:endnote>
  <w:endnote w:id="15">
    <w:p w14:paraId="22BC8E8B" w14:textId="77777777" w:rsidR="00547168" w:rsidRPr="00E1357A" w:rsidRDefault="00547168" w:rsidP="00835F6B">
      <w:pPr>
        <w:pStyle w:val="EndnoteText"/>
        <w:rPr>
          <w:rFonts w:cs="Arial"/>
        </w:rPr>
      </w:pPr>
      <w:r w:rsidRPr="0060058F">
        <w:rPr>
          <w:rStyle w:val="EndnoteReference"/>
          <w:rFonts w:cs="Arial"/>
        </w:rPr>
        <w:endnoteRef/>
      </w:r>
      <w:r w:rsidRPr="0060058F">
        <w:rPr>
          <w:rFonts w:cs="Arial"/>
        </w:rPr>
        <w:t xml:space="preserve"> </w:t>
      </w:r>
      <w:r>
        <w:rPr>
          <w:rFonts w:cs="Arial"/>
        </w:rPr>
        <w:t xml:space="preserve">Tracy Cussen and </w:t>
      </w:r>
      <w:r w:rsidRPr="00894BD5">
        <w:rPr>
          <w:rFonts w:cs="Arial"/>
        </w:rPr>
        <w:t>Willow Bryant</w:t>
      </w:r>
      <w:r>
        <w:rPr>
          <w:rFonts w:cs="Arial"/>
        </w:rPr>
        <w:t>, ‘</w:t>
      </w:r>
      <w:r w:rsidRPr="00E1357A">
        <w:rPr>
          <w:rFonts w:cs="Arial"/>
        </w:rPr>
        <w:t>Domestic/family homicide in Australia</w:t>
      </w:r>
      <w:r>
        <w:rPr>
          <w:rFonts w:cs="Arial"/>
        </w:rPr>
        <w:t xml:space="preserve">’ (2015) 38 </w:t>
      </w:r>
      <w:r>
        <w:rPr>
          <w:rFonts w:cs="Arial"/>
          <w:i/>
        </w:rPr>
        <w:t>Research in Practice, Australian Institute of Criminology</w:t>
      </w:r>
      <w:r>
        <w:rPr>
          <w:rFonts w:cs="Arial"/>
        </w:rPr>
        <w:t xml:space="preserve">, Table 3. At </w:t>
      </w:r>
      <w:hyperlink r:id="rId16" w:history="1">
        <w:r w:rsidRPr="00124C2D">
          <w:rPr>
            <w:rStyle w:val="Hyperlink"/>
            <w:rFonts w:cs="Arial"/>
          </w:rPr>
          <w:t>http://www.aic.gov.au/publications/current%20series/rip/21-40/rip38.html</w:t>
        </w:r>
      </w:hyperlink>
      <w:r>
        <w:rPr>
          <w:rFonts w:cs="Arial"/>
        </w:rPr>
        <w:t xml:space="preserve"> (viewed 13 January 2017).  </w:t>
      </w:r>
    </w:p>
  </w:endnote>
  <w:endnote w:id="16">
    <w:p w14:paraId="36B51FD9" w14:textId="77777777" w:rsidR="00547168" w:rsidRDefault="00547168" w:rsidP="00585FF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17" w:history="1">
        <w:r w:rsidRPr="0043095B">
          <w:rPr>
            <w:rStyle w:val="Hyperlink"/>
          </w:rPr>
          <w:t>https://www.humanrights.gov.au/our-work/sex-discrimination/projects/working-without-fear-results-sexual-harassment-national</w:t>
        </w:r>
      </w:hyperlink>
      <w:r>
        <w:t xml:space="preserve"> (viewed 17 January 2017).</w:t>
      </w:r>
    </w:p>
  </w:endnote>
  <w:endnote w:id="17">
    <w:p w14:paraId="5D9387E5" w14:textId="77777777" w:rsidR="00547168" w:rsidRDefault="00547168">
      <w:pPr>
        <w:pStyle w:val="EndnoteText"/>
      </w:pPr>
      <w:r>
        <w:rPr>
          <w:rStyle w:val="EndnoteReference"/>
        </w:rPr>
        <w:endnoteRef/>
      </w:r>
      <w:r>
        <w:t xml:space="preserve"> </w:t>
      </w:r>
      <w:r w:rsidRPr="00A0689C">
        <w:t xml:space="preserve">Michel Forst, United Nations Special Rapporteur on the situation of human </w:t>
      </w:r>
      <w:r>
        <w:t xml:space="preserve">rights defenders, </w:t>
      </w:r>
      <w:r w:rsidRPr="00A0689C">
        <w:rPr>
          <w:i/>
        </w:rPr>
        <w:t>End of mission statement: Visit to Australia</w:t>
      </w:r>
      <w:r>
        <w:t xml:space="preserve"> (18 October 2016). At </w:t>
      </w:r>
      <w:hyperlink r:id="rId18" w:history="1">
        <w:r w:rsidRPr="00F00FE1">
          <w:rPr>
            <w:rStyle w:val="Hyperlink"/>
          </w:rPr>
          <w:t>http://www.ohchr.org/EN/NewsEvents/Pages/DisplayNews.aspx?NewsID=20689&amp;LangID=E</w:t>
        </w:r>
      </w:hyperlink>
      <w:r>
        <w:t xml:space="preserve"> (viewed 18 January 2017). </w:t>
      </w:r>
    </w:p>
  </w:endnote>
  <w:endnote w:id="18">
    <w:p w14:paraId="7FD141A4" w14:textId="77777777" w:rsidR="00547168" w:rsidRDefault="00547168" w:rsidP="00811D93">
      <w:pPr>
        <w:pStyle w:val="EndnoteText"/>
      </w:pPr>
      <w:r>
        <w:rPr>
          <w:rStyle w:val="EndnoteReference"/>
        </w:rPr>
        <w:endnoteRef/>
      </w:r>
      <w:r>
        <w:t xml:space="preserve"> </w:t>
      </w:r>
      <w:r w:rsidRPr="00811D93">
        <w:t>Productivity Commission</w:t>
      </w:r>
      <w:r>
        <w:t xml:space="preserve">, </w:t>
      </w:r>
      <w:r w:rsidRPr="00811D93">
        <w:rPr>
          <w:i/>
        </w:rPr>
        <w:t>Overcoming Indigenous Disadvantage: Key Indicators 2016</w:t>
      </w:r>
      <w:r>
        <w:t xml:space="preserve"> (Steering Committee for the Review of Government Service Provision, 2016) 4.101. At </w:t>
      </w:r>
      <w:hyperlink r:id="rId19" w:history="1">
        <w:r w:rsidRPr="00124C2D">
          <w:rPr>
            <w:rStyle w:val="Hyperlink"/>
          </w:rPr>
          <w:t>http://www.pc.gov.au/research/ongoing/overcoming-indigenous-disadvantage/2016/report-documents/oid-2016-overcoming-indigenous-disadvantage-key-indicators-2016-report.pdf</w:t>
        </w:r>
      </w:hyperlink>
      <w:r>
        <w:t xml:space="preserve"> (viewed 13 January 2017).</w:t>
      </w:r>
    </w:p>
  </w:endnote>
  <w:endnote w:id="19">
    <w:p w14:paraId="37F21172" w14:textId="77777777" w:rsidR="00D0388A" w:rsidRPr="00B84641" w:rsidRDefault="00D0388A" w:rsidP="00D0388A">
      <w:pPr>
        <w:pStyle w:val="EndnoteText"/>
      </w:pPr>
      <w:r>
        <w:rPr>
          <w:rStyle w:val="EndnoteReference"/>
        </w:rPr>
        <w:endnoteRef/>
      </w:r>
      <w:r>
        <w:t xml:space="preserve"> Kim Webster, </w:t>
      </w:r>
      <w:r w:rsidRPr="00A057B2">
        <w:rPr>
          <w:i/>
        </w:rPr>
        <w:t>A preventable burden: Measuring and addressing the prevalence and health impacts of intimate partner violence in Australian women</w:t>
      </w:r>
      <w:r>
        <w:rPr>
          <w:i/>
        </w:rPr>
        <w:t xml:space="preserve"> </w:t>
      </w:r>
      <w:r>
        <w:t xml:space="preserve">(2016) Australia’s National Research Organisation for Women’s Safety, 24, 29 At </w:t>
      </w:r>
      <w:hyperlink r:id="rId20" w:history="1">
        <w:r w:rsidRPr="00F00FE1">
          <w:rPr>
            <w:rStyle w:val="Hyperlink"/>
          </w:rPr>
          <w:t>http://media.aomx.com/anrows.org.au/s3fs-public/28%2010%2016%20BOD%20Compass.pdf</w:t>
        </w:r>
      </w:hyperlink>
      <w:r>
        <w:t xml:space="preserve"> (viewed 18 January 2017).</w:t>
      </w:r>
    </w:p>
  </w:endnote>
  <w:endnote w:id="20">
    <w:p w14:paraId="19D02E89" w14:textId="77777777" w:rsidR="00547168" w:rsidRDefault="00547168" w:rsidP="000A09FF">
      <w:pPr>
        <w:pStyle w:val="EndnoteText"/>
      </w:pPr>
      <w:r>
        <w:rPr>
          <w:rStyle w:val="EndnoteReference"/>
        </w:rPr>
        <w:endnoteRef/>
      </w:r>
      <w:r>
        <w:t xml:space="preserve"> </w:t>
      </w:r>
      <w:r w:rsidRPr="00811D93">
        <w:t>Productivity Commission</w:t>
      </w:r>
      <w:r>
        <w:t xml:space="preserve">, </w:t>
      </w:r>
      <w:r w:rsidRPr="00811D93">
        <w:rPr>
          <w:i/>
        </w:rPr>
        <w:t>Overcoming Indigenous Disadvantage: Key Indicators 2016</w:t>
      </w:r>
      <w:r>
        <w:t xml:space="preserve"> (Steering Committee for the Review of Government Service Provision, 2016) 4.103. At </w:t>
      </w:r>
      <w:hyperlink r:id="rId21" w:history="1">
        <w:r w:rsidRPr="00124C2D">
          <w:rPr>
            <w:rStyle w:val="Hyperlink"/>
          </w:rPr>
          <w:t>http://www.pc.gov.au/research/ongoing/overcoming-indigenous-disadvantage/2016/report-documents/oid-2016-overcoming-indigenous-disadvantage-key-indicators-2016-report.pdf</w:t>
        </w:r>
      </w:hyperlink>
      <w:r>
        <w:t xml:space="preserve"> (viewed 13 January 2017).</w:t>
      </w:r>
    </w:p>
  </w:endnote>
  <w:endnote w:id="21">
    <w:p w14:paraId="078DCD92" w14:textId="3B730204" w:rsidR="00684BF4" w:rsidRPr="00684BF4" w:rsidRDefault="00684BF4" w:rsidP="00684BF4">
      <w:pPr>
        <w:pStyle w:val="EndnoteText"/>
      </w:pPr>
      <w:r>
        <w:rPr>
          <w:rStyle w:val="EndnoteReference"/>
        </w:rPr>
        <w:endnoteRef/>
      </w:r>
      <w:r>
        <w:t xml:space="preserve"> Tom Calma, Aboriginal and Torres Strait Islander, Social Justice Commissioner, </w:t>
      </w:r>
      <w:r w:rsidRPr="001E1E5E">
        <w:rPr>
          <w:i/>
        </w:rPr>
        <w:t>Ending family violence and abuse in Aboriginal and Torres Strait Islander communities: Key issues</w:t>
      </w:r>
      <w:r>
        <w:t xml:space="preserve"> (June 2006) Human Rights and Equal Opportunity Commission</w:t>
      </w:r>
      <w:r w:rsidR="00C47E56">
        <w:t>, 5–6. 22–31</w:t>
      </w:r>
      <w:r>
        <w:t xml:space="preserve">. At </w:t>
      </w:r>
      <w:hyperlink r:id="rId22" w:history="1">
        <w:r w:rsidRPr="005A3ABB">
          <w:rPr>
            <w:rStyle w:val="Hyperlink"/>
          </w:rPr>
          <w:t>https://www.humanrights.gov.au/sites/default/files/document/publication/family_violence2006.pdf</w:t>
        </w:r>
      </w:hyperlink>
      <w:r>
        <w:t xml:space="preserve"> (viewed 20 January 2017).</w:t>
      </w:r>
    </w:p>
  </w:endnote>
  <w:endnote w:id="22">
    <w:p w14:paraId="6295FE48" w14:textId="77777777" w:rsidR="00547168" w:rsidRPr="00E27E19" w:rsidRDefault="00547168" w:rsidP="008657DC">
      <w:pPr>
        <w:pStyle w:val="EndnoteText"/>
      </w:pPr>
      <w:r>
        <w:rPr>
          <w:rStyle w:val="EndnoteReference"/>
        </w:rPr>
        <w:endnoteRef/>
      </w:r>
      <w:r>
        <w:t xml:space="preserve"> </w:t>
      </w:r>
      <w:r w:rsidRPr="008657DC">
        <w:t>Carolyn Frohmader and Cristina Ricci</w:t>
      </w:r>
      <w:r>
        <w:t xml:space="preserve">, </w:t>
      </w:r>
      <w:r w:rsidRPr="008657DC">
        <w:rPr>
          <w:i/>
        </w:rPr>
        <w:t>Improving service responses for women with disability experiencing violence: 1800RESPECT</w:t>
      </w:r>
      <w:r>
        <w:rPr>
          <w:i/>
        </w:rPr>
        <w:t xml:space="preserve"> </w:t>
      </w:r>
      <w:r>
        <w:t xml:space="preserve">(August 2016) Women With Disabilities Australia, 44. At </w:t>
      </w:r>
      <w:hyperlink r:id="rId23" w:history="1">
        <w:r w:rsidRPr="00E44AC6">
          <w:rPr>
            <w:rStyle w:val="Hyperlink"/>
          </w:rPr>
          <w:t>http://wwda.org.au/wp-content/uploads/2016/09/1800RESPECT_Report_FINAL.pdf</w:t>
        </w:r>
      </w:hyperlink>
      <w:r>
        <w:t xml:space="preserve"> (viewed 17 January 2017).</w:t>
      </w:r>
    </w:p>
  </w:endnote>
  <w:endnote w:id="23">
    <w:p w14:paraId="2F48F90F" w14:textId="77777777" w:rsidR="00547168" w:rsidRPr="00E27E19" w:rsidRDefault="00547168" w:rsidP="0077419C">
      <w:pPr>
        <w:pStyle w:val="EndnoteText"/>
      </w:pPr>
      <w:r>
        <w:rPr>
          <w:rStyle w:val="EndnoteReference"/>
        </w:rPr>
        <w:endnoteRef/>
      </w:r>
      <w:r>
        <w:t xml:space="preserve"> </w:t>
      </w:r>
      <w:r w:rsidRPr="008657DC">
        <w:t>Carolyn Frohmader and Cristina Ricci</w:t>
      </w:r>
      <w:r>
        <w:t xml:space="preserve">, </w:t>
      </w:r>
      <w:r w:rsidRPr="008657DC">
        <w:rPr>
          <w:i/>
        </w:rPr>
        <w:t>Improving service responses for women with disability experiencing violence: 1800RESPECT</w:t>
      </w:r>
      <w:r>
        <w:rPr>
          <w:i/>
        </w:rPr>
        <w:t xml:space="preserve"> </w:t>
      </w:r>
      <w:r>
        <w:t xml:space="preserve">(August 2016) Women With Disabilities Australia, 44. At </w:t>
      </w:r>
      <w:hyperlink r:id="rId24" w:history="1">
        <w:r w:rsidRPr="00E44AC6">
          <w:rPr>
            <w:rStyle w:val="Hyperlink"/>
          </w:rPr>
          <w:t>http://wwda.org.au/wp-content/uploads/2016/09/1800RESPECT_Report_FINAL.pdf</w:t>
        </w:r>
      </w:hyperlink>
      <w:r>
        <w:t xml:space="preserve"> (viewed 17 January 2017).</w:t>
      </w:r>
    </w:p>
  </w:endnote>
  <w:endnote w:id="24">
    <w:p w14:paraId="1D877351" w14:textId="77777777" w:rsidR="00547168" w:rsidRDefault="00547168" w:rsidP="002E3F30">
      <w:pPr>
        <w:pStyle w:val="EndnoteText"/>
      </w:pPr>
      <w:r>
        <w:rPr>
          <w:rStyle w:val="EndnoteReference"/>
        </w:rPr>
        <w:endnoteRef/>
      </w:r>
      <w:r>
        <w:t xml:space="preserve"> </w:t>
      </w:r>
      <w:r w:rsidRPr="002F3670">
        <w:t>Douglas A. Brownridge</w:t>
      </w:r>
      <w:r>
        <w:t>, ‘</w:t>
      </w:r>
      <w:r w:rsidRPr="002F3670">
        <w:rPr>
          <w:rFonts w:ascii="TimesNewRomanPSMT" w:hAnsi="TimesNewRomanPSMT" w:cs="TimesNewRomanPSMT"/>
          <w:lang w:eastAsia="zh-CN"/>
        </w:rPr>
        <w:t>Partner violence against women with disabilities: Prevalence, risks and explanations</w:t>
      </w:r>
      <w:r>
        <w:rPr>
          <w:rFonts w:ascii="TimesNewRomanPSMT" w:hAnsi="TimesNewRomanPSMT" w:cs="TimesNewRomanPSMT"/>
          <w:lang w:eastAsia="zh-CN"/>
        </w:rPr>
        <w:t>’ (2006)</w:t>
      </w:r>
      <w:r w:rsidRPr="005E7E46">
        <w:rPr>
          <w:rFonts w:ascii="TimesNewRomanPSMT" w:hAnsi="TimesNewRomanPSMT" w:cs="TimesNewRomanPSMT"/>
          <w:lang w:eastAsia="zh-CN"/>
        </w:rPr>
        <w:t xml:space="preserve"> </w:t>
      </w:r>
      <w:r>
        <w:rPr>
          <w:rFonts w:ascii="TimesNewRomanPSMT" w:hAnsi="TimesNewRomanPSMT" w:cs="TimesNewRomanPSMT"/>
          <w:lang w:eastAsia="zh-CN"/>
        </w:rPr>
        <w:t xml:space="preserve">12 (9) </w:t>
      </w:r>
      <w:r w:rsidRPr="005E7E46">
        <w:rPr>
          <w:rFonts w:ascii="TimesNewRomanPS-ItalicMT" w:hAnsi="TimesNewRomanPS-ItalicMT" w:cs="TimesNewRomanPS-ItalicMT"/>
          <w:i/>
          <w:iCs/>
          <w:lang w:eastAsia="zh-CN"/>
        </w:rPr>
        <w:t>Violence against Women</w:t>
      </w:r>
      <w:r w:rsidRPr="005E7E46">
        <w:rPr>
          <w:rFonts w:ascii="TimesNewRomanPSMT" w:hAnsi="TimesNewRomanPSMT" w:cs="TimesNewRomanPSMT"/>
          <w:lang w:eastAsia="zh-CN"/>
        </w:rPr>
        <w:t xml:space="preserve"> 805</w:t>
      </w:r>
      <w:r>
        <w:rPr>
          <w:rFonts w:ascii="TimesNewRomanPSMT" w:hAnsi="TimesNewRomanPSMT" w:cs="TimesNewRomanPSMT"/>
          <w:lang w:eastAsia="zh-CN"/>
        </w:rPr>
        <w:t>.</w:t>
      </w:r>
    </w:p>
  </w:endnote>
  <w:endnote w:id="25">
    <w:p w14:paraId="705FAD1C" w14:textId="77777777" w:rsidR="00547168" w:rsidRPr="005A7A6C" w:rsidRDefault="00547168" w:rsidP="002E3F30">
      <w:pPr>
        <w:autoSpaceDE w:val="0"/>
        <w:autoSpaceDN w:val="0"/>
        <w:adjustRightInd w:val="0"/>
        <w:spacing w:before="0" w:after="0"/>
        <w:rPr>
          <w:rFonts w:ascii="TimesNewRomanPS-ItalicMT" w:hAnsi="TimesNewRomanPS-ItalicMT" w:cs="TimesNewRomanPS-ItalicMT"/>
          <w:i/>
          <w:iCs/>
          <w:color w:val="000000"/>
          <w:sz w:val="20"/>
          <w:szCs w:val="20"/>
          <w:lang w:eastAsia="zh-CN"/>
        </w:rPr>
      </w:pPr>
      <w:r>
        <w:rPr>
          <w:rStyle w:val="EndnoteReference"/>
        </w:rPr>
        <w:endnoteRef/>
      </w:r>
      <w:r>
        <w:t xml:space="preserve"> </w:t>
      </w:r>
      <w:r w:rsidRPr="0043144D">
        <w:rPr>
          <w:rFonts w:ascii="TimesNewRomanPSMT" w:hAnsi="TimesNewRomanPSMT" w:cs="TimesNewRomanPSMT"/>
          <w:color w:val="000000"/>
          <w:sz w:val="20"/>
          <w:szCs w:val="20"/>
          <w:lang w:eastAsia="zh-CN"/>
        </w:rPr>
        <w:t>Carolyn Frohmader</w:t>
      </w:r>
      <w:r>
        <w:rPr>
          <w:rFonts w:ascii="TimesNewRomanPSMT" w:hAnsi="TimesNewRomanPSMT" w:cs="TimesNewRomanPSMT"/>
          <w:color w:val="000000"/>
          <w:sz w:val="20"/>
          <w:szCs w:val="20"/>
          <w:lang w:eastAsia="zh-CN"/>
        </w:rPr>
        <w:t xml:space="preserve">, </w:t>
      </w:r>
      <w:r w:rsidRPr="005E7E46">
        <w:rPr>
          <w:rFonts w:ascii="TimesNewRomanPS-ItalicMT" w:hAnsi="TimesNewRomanPS-ItalicMT" w:cs="TimesNewRomanPS-ItalicMT"/>
          <w:i/>
          <w:iCs/>
          <w:color w:val="000000"/>
          <w:sz w:val="20"/>
          <w:szCs w:val="20"/>
          <w:lang w:eastAsia="zh-CN"/>
        </w:rPr>
        <w:t>Gender Blind, Gender Neutral: The effectiveness of the National Disability Strategy in improving the lives of wom</w:t>
      </w:r>
      <w:r>
        <w:rPr>
          <w:rFonts w:ascii="TimesNewRomanPS-ItalicMT" w:hAnsi="TimesNewRomanPS-ItalicMT" w:cs="TimesNewRomanPS-ItalicMT"/>
          <w:i/>
          <w:iCs/>
          <w:color w:val="000000"/>
          <w:sz w:val="20"/>
          <w:szCs w:val="20"/>
          <w:lang w:eastAsia="zh-CN"/>
        </w:rPr>
        <w:t xml:space="preserve">en and girls with disabilities </w:t>
      </w:r>
      <w:r>
        <w:rPr>
          <w:rFonts w:ascii="TimesNewRomanPS-ItalicMT" w:hAnsi="TimesNewRomanPS-ItalicMT" w:cs="TimesNewRomanPS-ItalicMT"/>
          <w:iCs/>
          <w:color w:val="000000"/>
          <w:sz w:val="20"/>
          <w:szCs w:val="20"/>
          <w:lang w:eastAsia="zh-CN"/>
        </w:rPr>
        <w:t>(</w:t>
      </w:r>
      <w:r w:rsidRPr="005E7E46">
        <w:rPr>
          <w:rFonts w:ascii="TimesNewRomanPSMT" w:hAnsi="TimesNewRomanPSMT" w:cs="TimesNewRomanPSMT"/>
          <w:color w:val="000000"/>
          <w:sz w:val="20"/>
          <w:szCs w:val="20"/>
          <w:lang w:eastAsia="zh-CN"/>
        </w:rPr>
        <w:t>Women With</w:t>
      </w:r>
      <w:r>
        <w:rPr>
          <w:rFonts w:ascii="TimesNewRomanPSMT" w:hAnsi="TimesNewRomanPSMT" w:cs="TimesNewRomanPSMT"/>
          <w:color w:val="000000"/>
          <w:sz w:val="20"/>
          <w:szCs w:val="20"/>
          <w:lang w:eastAsia="zh-CN"/>
        </w:rPr>
        <w:t xml:space="preserve"> Disabilities Australia</w:t>
      </w:r>
      <w:r>
        <w:rPr>
          <w:rFonts w:ascii="TimesNewRomanPS-ItalicMT" w:hAnsi="TimesNewRomanPS-ItalicMT" w:cs="TimesNewRomanPS-ItalicMT"/>
          <w:iCs/>
          <w:color w:val="000000"/>
          <w:sz w:val="20"/>
          <w:szCs w:val="20"/>
          <w:lang w:eastAsia="zh-CN"/>
        </w:rPr>
        <w:t>, 2014)</w:t>
      </w:r>
      <w:r>
        <w:rPr>
          <w:rFonts w:ascii="TimesNewRomanPSMT" w:hAnsi="TimesNewRomanPSMT" w:cs="TimesNewRomanPSMT"/>
          <w:color w:val="000000"/>
          <w:sz w:val="20"/>
          <w:szCs w:val="20"/>
          <w:lang w:eastAsia="zh-CN"/>
        </w:rPr>
        <w:t xml:space="preserve"> 31. At </w:t>
      </w:r>
      <w:hyperlink r:id="rId25" w:history="1">
        <w:r w:rsidRPr="00124C2D">
          <w:rPr>
            <w:rStyle w:val="Hyperlink"/>
            <w:rFonts w:ascii="TimesNewRomanPSMT" w:hAnsi="TimesNewRomanPSMT" w:cs="TimesNewRomanPSMT"/>
            <w:sz w:val="20"/>
            <w:szCs w:val="20"/>
            <w:lang w:eastAsia="zh-CN"/>
          </w:rPr>
          <w:t>http://wwda.org.au/wp-content/uploads/2013/12/WWDA_Sub_NDS_Review2014.pdf</w:t>
        </w:r>
      </w:hyperlink>
      <w:r>
        <w:rPr>
          <w:rFonts w:ascii="TimesNewRomanPSMT" w:hAnsi="TimesNewRomanPSMT" w:cs="TimesNewRomanPSMT"/>
          <w:color w:val="000000"/>
          <w:sz w:val="20"/>
          <w:szCs w:val="20"/>
          <w:lang w:eastAsia="zh-CN"/>
        </w:rPr>
        <w:t xml:space="preserve"> (viewed 13 January 2017). </w:t>
      </w:r>
    </w:p>
  </w:endnote>
  <w:endnote w:id="26">
    <w:p w14:paraId="2180FE57" w14:textId="77777777" w:rsidR="00547168" w:rsidRPr="002F3F33" w:rsidRDefault="00547168" w:rsidP="00EF67A5">
      <w:pPr>
        <w:pStyle w:val="Heading1"/>
        <w:numPr>
          <w:ilvl w:val="0"/>
          <w:numId w:val="0"/>
        </w:numPr>
        <w:shd w:val="clear" w:color="auto" w:fill="FFFFFF"/>
        <w:spacing w:before="0" w:after="0"/>
        <w:rPr>
          <w:b w:val="0"/>
          <w:bCs w:val="0"/>
          <w:sz w:val="20"/>
          <w:szCs w:val="20"/>
          <w:highlight w:val="yellow"/>
        </w:rPr>
      </w:pPr>
      <w:r w:rsidRPr="00701FD0">
        <w:rPr>
          <w:rStyle w:val="EndnoteReference"/>
          <w:b w:val="0"/>
        </w:rPr>
        <w:endnoteRef/>
      </w:r>
      <w:r w:rsidRPr="00EE576E">
        <w:t xml:space="preserve"> </w:t>
      </w:r>
      <w:r w:rsidRPr="00EE576E">
        <w:rPr>
          <w:b w:val="0"/>
          <w:bCs w:val="0"/>
          <w:sz w:val="20"/>
          <w:szCs w:val="20"/>
        </w:rPr>
        <w:t>Lorana</w:t>
      </w:r>
      <w:r>
        <w:rPr>
          <w:b w:val="0"/>
          <w:bCs w:val="0"/>
          <w:sz w:val="20"/>
          <w:szCs w:val="20"/>
        </w:rPr>
        <w:t xml:space="preserve"> Bartels, ‘</w:t>
      </w:r>
      <w:r w:rsidRPr="00EE576E">
        <w:rPr>
          <w:b w:val="0"/>
          <w:bCs w:val="0"/>
          <w:sz w:val="20"/>
          <w:szCs w:val="20"/>
        </w:rPr>
        <w:t>Emerging issues in domestic/family violence research</w:t>
      </w:r>
      <w:r>
        <w:rPr>
          <w:b w:val="0"/>
          <w:bCs w:val="0"/>
          <w:sz w:val="20"/>
          <w:szCs w:val="20"/>
        </w:rPr>
        <w:t xml:space="preserve">’ (2010) 10 </w:t>
      </w:r>
      <w:r>
        <w:rPr>
          <w:b w:val="0"/>
          <w:bCs w:val="0"/>
          <w:i/>
          <w:sz w:val="20"/>
          <w:szCs w:val="20"/>
        </w:rPr>
        <w:t>Research in Practice, Australian Institute of Criminology.</w:t>
      </w:r>
      <w:r>
        <w:rPr>
          <w:b w:val="0"/>
          <w:bCs w:val="0"/>
          <w:sz w:val="20"/>
          <w:szCs w:val="20"/>
        </w:rPr>
        <w:t xml:space="preserve"> At </w:t>
      </w:r>
      <w:hyperlink r:id="rId26" w:history="1">
        <w:r w:rsidRPr="00BC6AA0">
          <w:rPr>
            <w:rStyle w:val="Hyperlink"/>
            <w:b w:val="0"/>
            <w:bCs w:val="0"/>
            <w:sz w:val="20"/>
            <w:szCs w:val="20"/>
          </w:rPr>
          <w:t>http://www.aic.gov.au/publications/current%20series/rip/1-10/10.html</w:t>
        </w:r>
      </w:hyperlink>
      <w:r>
        <w:rPr>
          <w:b w:val="0"/>
          <w:bCs w:val="0"/>
          <w:sz w:val="20"/>
          <w:szCs w:val="20"/>
        </w:rPr>
        <w:t xml:space="preserve"> </w:t>
      </w:r>
      <w:r w:rsidRPr="00EE576E">
        <w:rPr>
          <w:b w:val="0"/>
          <w:bCs w:val="0"/>
          <w:sz w:val="20"/>
          <w:szCs w:val="20"/>
        </w:rPr>
        <w:t xml:space="preserve">(viewed </w:t>
      </w:r>
      <w:r>
        <w:rPr>
          <w:b w:val="0"/>
          <w:bCs w:val="0"/>
          <w:sz w:val="20"/>
          <w:szCs w:val="20"/>
        </w:rPr>
        <w:t>13 January 2017</w:t>
      </w:r>
      <w:r w:rsidRPr="00EE576E">
        <w:rPr>
          <w:b w:val="0"/>
          <w:bCs w:val="0"/>
          <w:sz w:val="20"/>
          <w:szCs w:val="20"/>
        </w:rPr>
        <w:t xml:space="preserve">). </w:t>
      </w:r>
    </w:p>
  </w:endnote>
  <w:endnote w:id="27">
    <w:p w14:paraId="6CAA0A1F" w14:textId="77777777" w:rsidR="00547168" w:rsidRPr="002F3F33" w:rsidRDefault="00547168" w:rsidP="00F60DE5">
      <w:pPr>
        <w:pStyle w:val="Heading1"/>
        <w:numPr>
          <w:ilvl w:val="0"/>
          <w:numId w:val="0"/>
        </w:numPr>
        <w:shd w:val="clear" w:color="auto" w:fill="FFFFFF"/>
        <w:spacing w:before="0" w:after="0"/>
        <w:rPr>
          <w:b w:val="0"/>
          <w:bCs w:val="0"/>
          <w:sz w:val="20"/>
          <w:szCs w:val="20"/>
          <w:highlight w:val="yellow"/>
        </w:rPr>
      </w:pPr>
      <w:r w:rsidRPr="00701FD0">
        <w:rPr>
          <w:rStyle w:val="EndnoteReference"/>
          <w:b w:val="0"/>
        </w:rPr>
        <w:endnoteRef/>
      </w:r>
      <w:r w:rsidRPr="00EE576E">
        <w:t xml:space="preserve"> </w:t>
      </w:r>
      <w:r w:rsidRPr="00EE576E">
        <w:rPr>
          <w:b w:val="0"/>
          <w:bCs w:val="0"/>
          <w:sz w:val="20"/>
          <w:szCs w:val="20"/>
        </w:rPr>
        <w:t>Lorana</w:t>
      </w:r>
      <w:r>
        <w:rPr>
          <w:b w:val="0"/>
          <w:bCs w:val="0"/>
          <w:sz w:val="20"/>
          <w:szCs w:val="20"/>
        </w:rPr>
        <w:t xml:space="preserve"> Bartels, ‘</w:t>
      </w:r>
      <w:r w:rsidRPr="00EE576E">
        <w:rPr>
          <w:b w:val="0"/>
          <w:bCs w:val="0"/>
          <w:sz w:val="20"/>
          <w:szCs w:val="20"/>
        </w:rPr>
        <w:t>Emerging issues in domestic/family violence research</w:t>
      </w:r>
      <w:r>
        <w:rPr>
          <w:b w:val="0"/>
          <w:bCs w:val="0"/>
          <w:sz w:val="20"/>
          <w:szCs w:val="20"/>
        </w:rPr>
        <w:t xml:space="preserve">’ (2010) 10 </w:t>
      </w:r>
      <w:r>
        <w:rPr>
          <w:b w:val="0"/>
          <w:bCs w:val="0"/>
          <w:i/>
          <w:sz w:val="20"/>
          <w:szCs w:val="20"/>
        </w:rPr>
        <w:t>Research in Practice, Australian Institute of Criminology.</w:t>
      </w:r>
      <w:r>
        <w:rPr>
          <w:b w:val="0"/>
          <w:bCs w:val="0"/>
          <w:sz w:val="20"/>
          <w:szCs w:val="20"/>
        </w:rPr>
        <w:t xml:space="preserve"> At </w:t>
      </w:r>
      <w:hyperlink r:id="rId27" w:history="1">
        <w:r w:rsidRPr="00BC6AA0">
          <w:rPr>
            <w:rStyle w:val="Hyperlink"/>
            <w:b w:val="0"/>
            <w:bCs w:val="0"/>
            <w:sz w:val="20"/>
            <w:szCs w:val="20"/>
          </w:rPr>
          <w:t>http://www.aic.gov.au/publications/current%20series/rip/1-10/10.html</w:t>
        </w:r>
      </w:hyperlink>
      <w:r>
        <w:rPr>
          <w:b w:val="0"/>
          <w:bCs w:val="0"/>
          <w:sz w:val="20"/>
          <w:szCs w:val="20"/>
        </w:rPr>
        <w:t xml:space="preserve"> </w:t>
      </w:r>
      <w:r w:rsidRPr="00EE576E">
        <w:rPr>
          <w:b w:val="0"/>
          <w:bCs w:val="0"/>
          <w:sz w:val="20"/>
          <w:szCs w:val="20"/>
        </w:rPr>
        <w:t xml:space="preserve">(viewed </w:t>
      </w:r>
      <w:r>
        <w:rPr>
          <w:b w:val="0"/>
          <w:bCs w:val="0"/>
          <w:sz w:val="20"/>
          <w:szCs w:val="20"/>
        </w:rPr>
        <w:t>13 January 2017</w:t>
      </w:r>
      <w:r w:rsidRPr="00EE576E">
        <w:rPr>
          <w:b w:val="0"/>
          <w:bCs w:val="0"/>
          <w:sz w:val="20"/>
          <w:szCs w:val="20"/>
        </w:rPr>
        <w:t xml:space="preserve">). </w:t>
      </w:r>
    </w:p>
  </w:endnote>
  <w:endnote w:id="28">
    <w:p w14:paraId="52534225" w14:textId="77777777" w:rsidR="00547168" w:rsidRPr="00514067" w:rsidRDefault="00547168" w:rsidP="00514067">
      <w:pPr>
        <w:pStyle w:val="EndnoteText"/>
      </w:pPr>
      <w:r>
        <w:rPr>
          <w:rStyle w:val="EndnoteReference"/>
        </w:rPr>
        <w:endnoteRef/>
      </w:r>
      <w:r>
        <w:t xml:space="preserve"> </w:t>
      </w:r>
      <w:r w:rsidRPr="00514067">
        <w:t>Rae Kaspiew, Rachel Carson and Helen Rhoades</w:t>
      </w:r>
      <w:r>
        <w:t xml:space="preserve">, </w:t>
      </w:r>
      <w:r w:rsidRPr="00514067">
        <w:rPr>
          <w:i/>
        </w:rPr>
        <w:t>Elder abuse</w:t>
      </w:r>
      <w:r>
        <w:rPr>
          <w:i/>
        </w:rPr>
        <w:t>:</w:t>
      </w:r>
      <w:r w:rsidRPr="00514067">
        <w:rPr>
          <w:i/>
        </w:rPr>
        <w:t xml:space="preserve"> Understanding issues, frameworks and responses</w:t>
      </w:r>
      <w:r>
        <w:rPr>
          <w:i/>
        </w:rPr>
        <w:t xml:space="preserve"> </w:t>
      </w:r>
      <w:r>
        <w:t xml:space="preserve">(2016) Australian Institute of Family Studies, 5. At </w:t>
      </w:r>
      <w:hyperlink r:id="rId28" w:history="1">
        <w:r w:rsidRPr="00E44AC6">
          <w:rPr>
            <w:rStyle w:val="Hyperlink"/>
          </w:rPr>
          <w:t>https://aifs.gov.au/sites/default/files/rr35-elder-abuse.pdf</w:t>
        </w:r>
      </w:hyperlink>
      <w:r>
        <w:t xml:space="preserve"> (viewed 17 January 2017). </w:t>
      </w:r>
    </w:p>
  </w:endnote>
  <w:endnote w:id="29">
    <w:p w14:paraId="5F1D5B15" w14:textId="77777777" w:rsidR="00547168" w:rsidRDefault="00547168" w:rsidP="005B4307">
      <w:pPr>
        <w:pStyle w:val="EndnoteText"/>
      </w:pPr>
      <w:r>
        <w:rPr>
          <w:rStyle w:val="EndnoteReference"/>
        </w:rPr>
        <w:endnoteRef/>
      </w:r>
      <w:r>
        <w:t xml:space="preserve"> </w:t>
      </w:r>
      <w:r w:rsidRPr="00514067">
        <w:t>Rae Kaspiew, Rachel Carson and Helen Rhoades</w:t>
      </w:r>
      <w:r>
        <w:t xml:space="preserve">, </w:t>
      </w:r>
      <w:r w:rsidRPr="00514067">
        <w:rPr>
          <w:i/>
        </w:rPr>
        <w:t>Elder abuse</w:t>
      </w:r>
      <w:r>
        <w:rPr>
          <w:i/>
        </w:rPr>
        <w:t>:</w:t>
      </w:r>
      <w:r w:rsidRPr="00514067">
        <w:rPr>
          <w:i/>
        </w:rPr>
        <w:t xml:space="preserve"> Understanding issues, frameworks and responses</w:t>
      </w:r>
      <w:r>
        <w:rPr>
          <w:i/>
        </w:rPr>
        <w:t xml:space="preserve"> </w:t>
      </w:r>
      <w:r>
        <w:t xml:space="preserve">(2016) Australian Institute of Family Studies, 5. At </w:t>
      </w:r>
      <w:hyperlink r:id="rId29" w:history="1">
        <w:r w:rsidRPr="00E44AC6">
          <w:rPr>
            <w:rStyle w:val="Hyperlink"/>
          </w:rPr>
          <w:t>https://aifs.gov.au/sites/default/files/rr35-elder-abuse.pdf</w:t>
        </w:r>
      </w:hyperlink>
      <w:r>
        <w:t xml:space="preserve"> (viewed 17 January 2017).</w:t>
      </w:r>
    </w:p>
  </w:endnote>
  <w:endnote w:id="30">
    <w:p w14:paraId="043C2613" w14:textId="77777777" w:rsidR="00547168" w:rsidRDefault="00547168" w:rsidP="00B207D6">
      <w:pPr>
        <w:pStyle w:val="EndnoteText"/>
      </w:pPr>
      <w:r>
        <w:rPr>
          <w:rStyle w:val="EndnoteReference"/>
        </w:rPr>
        <w:endnoteRef/>
      </w:r>
      <w:r>
        <w:t xml:space="preserve"> </w:t>
      </w:r>
      <w:r w:rsidRPr="00B207D6">
        <w:t>Rosemary Mann</w:t>
      </w:r>
      <w:r>
        <w:t xml:space="preserve"> et al, </w:t>
      </w:r>
      <w:r w:rsidRPr="00DD6055">
        <w:rPr>
          <w:i/>
        </w:rPr>
        <w:t>Norma’s Project: A research study into the sexual assault of older women in Australia</w:t>
      </w:r>
      <w:r>
        <w:t xml:space="preserve"> (June 2014) Australian Research Centre in Sex, Health and Society, La Trobe University, 2. At </w:t>
      </w:r>
      <w:hyperlink r:id="rId30" w:history="1">
        <w:r w:rsidRPr="00E44AC6">
          <w:rPr>
            <w:rStyle w:val="Hyperlink"/>
          </w:rPr>
          <w:t>http://elder-mediation.com.au/resources/Sexual_Assault_Older_Women_Australia.pdf</w:t>
        </w:r>
      </w:hyperlink>
      <w:r>
        <w:t xml:space="preserve"> (viewed 17 January 2017). </w:t>
      </w:r>
    </w:p>
  </w:endnote>
  <w:endnote w:id="31">
    <w:p w14:paraId="128D5A88" w14:textId="77777777" w:rsidR="00547168" w:rsidRPr="00594F72" w:rsidRDefault="00547168" w:rsidP="003A2A5A">
      <w:pPr>
        <w:pStyle w:val="EndnoteText"/>
      </w:pPr>
      <w:r w:rsidRPr="00594F72">
        <w:rPr>
          <w:rStyle w:val="EndnoteReference"/>
        </w:rPr>
        <w:endnoteRef/>
      </w:r>
      <w:r w:rsidRPr="00594F72">
        <w:t xml:space="preserve"> Kate O’Halloran, ‘Family Violence in an LGBTIQ Context’ (2015) 2 </w:t>
      </w:r>
      <w:r w:rsidRPr="00594F72">
        <w:rPr>
          <w:i/>
        </w:rPr>
        <w:t>DVRC Advocate</w:t>
      </w:r>
      <w:r>
        <w:t xml:space="preserve"> 10.</w:t>
      </w:r>
    </w:p>
  </w:endnote>
  <w:endnote w:id="32">
    <w:p w14:paraId="53D6CCA7" w14:textId="77777777" w:rsidR="00547168" w:rsidRPr="00594F72" w:rsidRDefault="00547168" w:rsidP="003A2A5A">
      <w:pPr>
        <w:pStyle w:val="EndnoteText"/>
      </w:pPr>
      <w:r w:rsidRPr="00594F72">
        <w:rPr>
          <w:rStyle w:val="EndnoteReference"/>
        </w:rPr>
        <w:endnoteRef/>
      </w:r>
      <w:r w:rsidRPr="00594F72">
        <w:t xml:space="preserve"> LGBTIQ Domestic and Family Violence Interagency and the</w:t>
      </w:r>
      <w:r>
        <w:t xml:space="preserve"> Centre for Research in Health, </w:t>
      </w:r>
      <w:r w:rsidRPr="00594F72">
        <w:rPr>
          <w:i/>
        </w:rPr>
        <w:t xml:space="preserve">Calling it What it Really is: A report into Lesbian, Gay, Bisexual, Transgender, Gender Diverse, Intersex and Queer Experiences of Domestic and Family Violence </w:t>
      </w:r>
      <w:r w:rsidRPr="00594F72">
        <w:t>(</w:t>
      </w:r>
      <w:r>
        <w:t xml:space="preserve">University of New South Wales, </w:t>
      </w:r>
      <w:r w:rsidRPr="00594F72">
        <w:t>2014)</w:t>
      </w:r>
      <w:r>
        <w:t xml:space="preserve"> </w:t>
      </w:r>
      <w:r w:rsidRPr="00773C02">
        <w:t>4.</w:t>
      </w:r>
      <w:r>
        <w:t xml:space="preserve"> At </w:t>
      </w:r>
      <w:hyperlink r:id="rId31" w:history="1">
        <w:r w:rsidRPr="00124C2D">
          <w:rPr>
            <w:rStyle w:val="Hyperlink"/>
          </w:rPr>
          <w:t>http://www.glhv.org.au/sites/www.glhv.org.au/files/Calling_It_What_It_Really_Is%202015.pdf</w:t>
        </w:r>
      </w:hyperlink>
      <w:r>
        <w:t xml:space="preserve"> (viewed 13 January 2017). </w:t>
      </w:r>
    </w:p>
  </w:endnote>
  <w:endnote w:id="33">
    <w:p w14:paraId="7275F3D0" w14:textId="77777777" w:rsidR="00547168" w:rsidRPr="00594F72" w:rsidRDefault="00547168" w:rsidP="003A2A5A">
      <w:pPr>
        <w:pStyle w:val="EndnoteText"/>
      </w:pPr>
      <w:r w:rsidRPr="00594F72">
        <w:rPr>
          <w:rStyle w:val="EndnoteReference"/>
        </w:rPr>
        <w:endnoteRef/>
      </w:r>
      <w:r w:rsidRPr="00594F72">
        <w:t xml:space="preserve"> Australian Human Rights Commission, </w:t>
      </w:r>
      <w:r w:rsidRPr="00594F72">
        <w:rPr>
          <w:i/>
        </w:rPr>
        <w:t>Resilient Individuals: Sexual Orientation, Gender Identity &amp; Intersex Rights</w:t>
      </w:r>
      <w:r>
        <w:t xml:space="preserve"> (2015) </w:t>
      </w:r>
      <w:r w:rsidRPr="00594F72">
        <w:t>78</w:t>
      </w:r>
      <w:r>
        <w:t>–</w:t>
      </w:r>
      <w:r w:rsidRPr="00594F72">
        <w:t>79.</w:t>
      </w:r>
      <w:r>
        <w:t xml:space="preserve"> At </w:t>
      </w:r>
      <w:hyperlink r:id="rId32" w:history="1">
        <w:r w:rsidRPr="00124C2D">
          <w:rPr>
            <w:rStyle w:val="Hyperlink"/>
          </w:rPr>
          <w:t>https://www.humanrights.gov.au/our-work/sexual-orientation-sex-gender-identity/publications/resilient-individuals-sexual</w:t>
        </w:r>
      </w:hyperlink>
      <w:r>
        <w:t xml:space="preserve"> (viewed 13 January 2017). </w:t>
      </w:r>
    </w:p>
  </w:endnote>
  <w:endnote w:id="34">
    <w:p w14:paraId="321767E7" w14:textId="77777777" w:rsidR="00547168" w:rsidRDefault="00547168" w:rsidP="00EF67A5">
      <w:pPr>
        <w:pStyle w:val="EndnoteText"/>
      </w:pPr>
      <w:r>
        <w:rPr>
          <w:rStyle w:val="EndnoteReference"/>
        </w:rPr>
        <w:endnoteRef/>
      </w:r>
      <w:r>
        <w:t xml:space="preserve"> </w:t>
      </w:r>
      <w:r w:rsidRPr="00E8439D">
        <w:t>K</w:t>
      </w:r>
      <w:r>
        <w:t>elly</w:t>
      </w:r>
      <w:r w:rsidRPr="00E8439D">
        <w:t xml:space="preserve"> Richards, ‘Children’s Exposure to </w:t>
      </w:r>
      <w:r>
        <w:t xml:space="preserve">Domestic Violence in Australia’ (2011) 419 </w:t>
      </w:r>
      <w:r w:rsidRPr="008E4F5E">
        <w:rPr>
          <w:i/>
        </w:rPr>
        <w:t>Trends and issues in crime and criminal justice,</w:t>
      </w:r>
      <w:r>
        <w:rPr>
          <w:i/>
        </w:rPr>
        <w:t xml:space="preserve"> </w:t>
      </w:r>
      <w:r w:rsidRPr="008E4F5E">
        <w:rPr>
          <w:i/>
        </w:rPr>
        <w:t>Australian Institute of Criminology</w:t>
      </w:r>
      <w:r>
        <w:t xml:space="preserve">. </w:t>
      </w:r>
      <w:r w:rsidRPr="00E8439D">
        <w:t xml:space="preserve">At </w:t>
      </w:r>
      <w:hyperlink r:id="rId33" w:history="1">
        <w:r w:rsidRPr="00066840">
          <w:rPr>
            <w:rStyle w:val="Hyperlink"/>
          </w:rPr>
          <w:t>http://aic.gov.au/publications/current%20series/tandi/401-420/tandi419.html</w:t>
        </w:r>
      </w:hyperlink>
      <w:r>
        <w:t xml:space="preserve"> </w:t>
      </w:r>
      <w:r w:rsidRPr="00E8439D">
        <w:t xml:space="preserve">(viewed </w:t>
      </w:r>
      <w:r>
        <w:t>13 January 2017)</w:t>
      </w:r>
      <w:r w:rsidRPr="00E8439D">
        <w:t>.</w:t>
      </w:r>
      <w:r>
        <w:t xml:space="preserve"> </w:t>
      </w:r>
    </w:p>
  </w:endnote>
  <w:endnote w:id="35">
    <w:p w14:paraId="46F9CDC7" w14:textId="77777777" w:rsidR="00547168" w:rsidRDefault="00547168">
      <w:pPr>
        <w:pStyle w:val="EndnoteText"/>
      </w:pPr>
      <w:r>
        <w:rPr>
          <w:rStyle w:val="EndnoteReference"/>
        </w:rPr>
        <w:endnoteRef/>
      </w:r>
      <w:r>
        <w:t xml:space="preserve"> Australian Bureau of Statistics, </w:t>
      </w:r>
      <w:r w:rsidRPr="003472CC">
        <w:rPr>
          <w:i/>
        </w:rPr>
        <w:t>Personal Safety, Australia, 2012</w:t>
      </w:r>
      <w:r>
        <w:rPr>
          <w:i/>
        </w:rPr>
        <w:t xml:space="preserve"> (cat </w:t>
      </w:r>
      <w:r w:rsidRPr="003472CC">
        <w:rPr>
          <w:i/>
        </w:rPr>
        <w:t>4906.0</w:t>
      </w:r>
      <w:r>
        <w:rPr>
          <w:i/>
        </w:rPr>
        <w:t>)</w:t>
      </w:r>
      <w:r w:rsidRPr="003472CC">
        <w:t xml:space="preserve"> </w:t>
      </w:r>
      <w:r>
        <w:t xml:space="preserve">(2013) Table 28. At </w:t>
      </w:r>
      <w:hyperlink r:id="rId34" w:history="1">
        <w:r w:rsidRPr="00124C2D">
          <w:rPr>
            <w:rStyle w:val="Hyperlink"/>
          </w:rPr>
          <w:t>http://www.abs.gov.au/ausstats/abs@.nsf/mf/4906.0</w:t>
        </w:r>
      </w:hyperlink>
      <w:r>
        <w:t xml:space="preserve"> (viewed 13 January 2017).</w:t>
      </w:r>
    </w:p>
  </w:endnote>
  <w:endnote w:id="36">
    <w:p w14:paraId="7858225B" w14:textId="77777777" w:rsidR="00547168" w:rsidRDefault="00547168" w:rsidP="00EF67A5">
      <w:pPr>
        <w:pStyle w:val="EndnoteText"/>
      </w:pPr>
      <w:r w:rsidRPr="00EE576E">
        <w:rPr>
          <w:rStyle w:val="EndnoteReference"/>
        </w:rPr>
        <w:endnoteRef/>
      </w:r>
      <w:r>
        <w:t xml:space="preserve"> Family Court of Australia and Federal Circuit Court of Australia, </w:t>
      </w:r>
      <w:r w:rsidRPr="00223F5A">
        <w:rPr>
          <w:i/>
        </w:rPr>
        <w:t>Child Dispute Services Fact Sheet: Exposure to family viol</w:t>
      </w:r>
      <w:r>
        <w:rPr>
          <w:i/>
        </w:rPr>
        <w:t>ence and its effect on children</w:t>
      </w:r>
      <w:r>
        <w:t xml:space="preserve"> (n.d.). At </w:t>
      </w:r>
      <w:hyperlink r:id="rId35" w:history="1">
        <w:r w:rsidRPr="00BC6AA0">
          <w:rPr>
            <w:rStyle w:val="Hyperlink"/>
          </w:rPr>
          <w:t>http://www.familycourt.gov.au/wps/wcm/connect/04ecefdc-dcd0-433c-9b9f-43ac3f67b63d/FS_Exposure+FV+effect+on+children_1113V3_web.pdf?MOD=AJPERES&amp;CONVERT_TO=url&amp;CACHEID=04ecefdc-dcd0-433c-9b9f-43ac3f67b63d</w:t>
        </w:r>
      </w:hyperlink>
      <w:r>
        <w:t xml:space="preserve"> </w:t>
      </w:r>
      <w:r w:rsidRPr="00EE576E">
        <w:t xml:space="preserve">(viewed </w:t>
      </w:r>
      <w:r>
        <w:t>13 January 2017</w:t>
      </w:r>
      <w:r w:rsidRPr="00EE576E">
        <w:t>)</w:t>
      </w:r>
      <w:r>
        <w:t xml:space="preserve"> See also Australian Human Rights Commission, </w:t>
      </w:r>
      <w:r w:rsidRPr="00A143FF">
        <w:rPr>
          <w:i/>
        </w:rPr>
        <w:t>Children’s Rights Report 2015</w:t>
      </w:r>
      <w:r>
        <w:t xml:space="preserve"> (2015) 97–169. At </w:t>
      </w:r>
      <w:hyperlink r:id="rId36" w:history="1">
        <w:r w:rsidRPr="00066840">
          <w:rPr>
            <w:rStyle w:val="Hyperlink"/>
          </w:rPr>
          <w:t>https://www.humanrights.gov.au/our-work/childrens-rights/publications/childrens-rights-report-2015</w:t>
        </w:r>
      </w:hyperlink>
      <w:r>
        <w:t xml:space="preserve"> (viewed 13 January 2017).  </w:t>
      </w:r>
    </w:p>
  </w:endnote>
  <w:endnote w:id="37">
    <w:p w14:paraId="682AFFCE" w14:textId="77777777" w:rsidR="00547168" w:rsidRDefault="00547168">
      <w:pPr>
        <w:pStyle w:val="EndnoteText"/>
      </w:pPr>
      <w:r>
        <w:rPr>
          <w:rStyle w:val="EndnoteReference"/>
        </w:rPr>
        <w:endnoteRef/>
      </w:r>
      <w:r>
        <w:t xml:space="preserve"> Council of Australian Governments, </w:t>
      </w:r>
      <w:r w:rsidRPr="00D775FD">
        <w:rPr>
          <w:i/>
        </w:rPr>
        <w:t>The National Plan to Reduce Violence against Women and their Children 2010–2022</w:t>
      </w:r>
      <w:r>
        <w:t xml:space="preserve"> (2011). At </w:t>
      </w:r>
      <w:hyperlink r:id="rId37" w:history="1">
        <w:r w:rsidRPr="00124C2D">
          <w:rPr>
            <w:rStyle w:val="Hyperlink"/>
          </w:rPr>
          <w:t>https://www.dss.gov.au/sites/default/files/documents/08_2014/national_plan_accessible.pdf</w:t>
        </w:r>
      </w:hyperlink>
      <w:r>
        <w:t xml:space="preserve"> (viewed 13 January 2017). </w:t>
      </w:r>
    </w:p>
  </w:endnote>
  <w:endnote w:id="38">
    <w:p w14:paraId="54A480B0" w14:textId="77777777" w:rsidR="00547168" w:rsidRDefault="00547168" w:rsidP="00D53E58">
      <w:pPr>
        <w:pStyle w:val="EndnoteText"/>
      </w:pPr>
      <w:r>
        <w:rPr>
          <w:rStyle w:val="EndnoteReference"/>
        </w:rPr>
        <w:endnoteRef/>
      </w:r>
      <w:r>
        <w:t xml:space="preserve"> Council of Australian Governments, </w:t>
      </w:r>
      <w:r w:rsidRPr="00D775FD">
        <w:rPr>
          <w:i/>
        </w:rPr>
        <w:t>The National Plan to Reduce Violence against Women and their Children 2010–2022</w:t>
      </w:r>
      <w:r>
        <w:t xml:space="preserve"> (2011) 14–32. At </w:t>
      </w:r>
      <w:hyperlink r:id="rId38" w:history="1">
        <w:r w:rsidRPr="00124C2D">
          <w:rPr>
            <w:rStyle w:val="Hyperlink"/>
          </w:rPr>
          <w:t>https://www.dss.gov.au/sites/default/files/documents/08_2014/national_plan_accessible.pdf</w:t>
        </w:r>
      </w:hyperlink>
      <w:r>
        <w:t xml:space="preserve"> (viewed 13 January 2017).</w:t>
      </w:r>
    </w:p>
  </w:endnote>
  <w:endnote w:id="39">
    <w:p w14:paraId="45E9CDA2" w14:textId="77777777" w:rsidR="00547168" w:rsidRDefault="00547168">
      <w:pPr>
        <w:pStyle w:val="EndnoteText"/>
      </w:pPr>
      <w:r>
        <w:rPr>
          <w:rStyle w:val="EndnoteReference"/>
        </w:rPr>
        <w:endnoteRef/>
      </w:r>
      <w:r>
        <w:t xml:space="preserve"> Council of Australian Governments, </w:t>
      </w:r>
      <w:r w:rsidRPr="00D775FD">
        <w:rPr>
          <w:i/>
        </w:rPr>
        <w:t>National Plan to Reduce Violence against Women and their Children</w:t>
      </w:r>
      <w:r>
        <w:rPr>
          <w:i/>
        </w:rPr>
        <w:t xml:space="preserve">: Third Action Plan </w:t>
      </w:r>
      <w:r>
        <w:t xml:space="preserve">(2016). At </w:t>
      </w:r>
      <w:hyperlink r:id="rId39" w:history="1">
        <w:r w:rsidRPr="00124C2D">
          <w:rPr>
            <w:rStyle w:val="Hyperlink"/>
          </w:rPr>
          <w:t>https://www.dss.gov.au/sites/default/files/documents/10_2016/third_action_plan.pdf</w:t>
        </w:r>
      </w:hyperlink>
      <w:r>
        <w:t xml:space="preserve"> (viewed 13 January 2017).</w:t>
      </w:r>
    </w:p>
  </w:endnote>
  <w:endnote w:id="40">
    <w:p w14:paraId="358296B2" w14:textId="77777777" w:rsidR="00547168" w:rsidRDefault="00547168">
      <w:pPr>
        <w:pStyle w:val="EndnoteText"/>
      </w:pPr>
      <w:r>
        <w:rPr>
          <w:rStyle w:val="EndnoteReference"/>
        </w:rPr>
        <w:endnoteRef/>
      </w:r>
      <w:r>
        <w:t xml:space="preserve"> Council of Australian Governments, </w:t>
      </w:r>
      <w:r w:rsidRPr="00D775FD">
        <w:rPr>
          <w:i/>
        </w:rPr>
        <w:t>National Plan to Reduce Violence against Women and their Children</w:t>
      </w:r>
      <w:r>
        <w:rPr>
          <w:i/>
        </w:rPr>
        <w:t xml:space="preserve">: Third Action Plan </w:t>
      </w:r>
      <w:r>
        <w:t xml:space="preserve">(2016) 4. At </w:t>
      </w:r>
      <w:hyperlink r:id="rId40" w:history="1">
        <w:r w:rsidRPr="00124C2D">
          <w:rPr>
            <w:rStyle w:val="Hyperlink"/>
          </w:rPr>
          <w:t>https://www.dss.gov.au/sites/default/files/documents/10_2016/third_action_plan.pdf</w:t>
        </w:r>
      </w:hyperlink>
      <w:r>
        <w:t xml:space="preserve"> (viewed 13 January 2017).</w:t>
      </w:r>
    </w:p>
  </w:endnote>
  <w:endnote w:id="41">
    <w:p w14:paraId="6DDBF225" w14:textId="77777777" w:rsidR="00547168" w:rsidRPr="00697CF9" w:rsidRDefault="00547168">
      <w:pPr>
        <w:pStyle w:val="EndnoteText"/>
      </w:pPr>
      <w:r>
        <w:rPr>
          <w:rStyle w:val="EndnoteReference"/>
        </w:rPr>
        <w:endnoteRef/>
      </w:r>
      <w:r>
        <w:t xml:space="preserve"> Australian Human Rights Commission, Submission on the</w:t>
      </w:r>
      <w:r w:rsidRPr="00C86FA5">
        <w:t xml:space="preserve"> Third Action Plan for the National Plan to reduce Violence a</w:t>
      </w:r>
      <w:r>
        <w:t xml:space="preserve">gainst Women and their Children, 1 August 2016 [not published]. </w:t>
      </w:r>
    </w:p>
  </w:endnote>
  <w:endnote w:id="42">
    <w:p w14:paraId="29E55A39" w14:textId="77777777" w:rsidR="00547168" w:rsidRDefault="00547168" w:rsidP="004C5185">
      <w:pPr>
        <w:pStyle w:val="EndnoteText"/>
      </w:pPr>
      <w:r>
        <w:rPr>
          <w:rStyle w:val="EndnoteReference"/>
        </w:rPr>
        <w:endnoteRef/>
      </w:r>
      <w:r>
        <w:t xml:space="preserve"> Council of Australian Governments, </w:t>
      </w:r>
      <w:r w:rsidRPr="000E3C85">
        <w:rPr>
          <w:i/>
        </w:rPr>
        <w:t>N</w:t>
      </w:r>
      <w:r w:rsidRPr="00D775FD">
        <w:rPr>
          <w:i/>
        </w:rPr>
        <w:t>ational Plan to Reduce Violence against Women and their Children</w:t>
      </w:r>
      <w:r>
        <w:rPr>
          <w:i/>
        </w:rPr>
        <w:t xml:space="preserve">: Third Action Plan </w:t>
      </w:r>
      <w:r>
        <w:t xml:space="preserve">(2016) 6, 23. At </w:t>
      </w:r>
      <w:hyperlink r:id="rId41" w:history="1">
        <w:r w:rsidRPr="00124C2D">
          <w:rPr>
            <w:rStyle w:val="Hyperlink"/>
          </w:rPr>
          <w:t>https://www.dss.gov.au/sites/default/files/documents/10_2016/third_action_plan.pdf</w:t>
        </w:r>
      </w:hyperlink>
      <w:r>
        <w:t xml:space="preserve"> (viewed 13 January 2017).</w:t>
      </w:r>
    </w:p>
  </w:endnote>
  <w:endnote w:id="43">
    <w:p w14:paraId="5EC2FC05" w14:textId="77777777" w:rsidR="00547168" w:rsidRDefault="00547168">
      <w:pPr>
        <w:pStyle w:val="EndnoteText"/>
      </w:pPr>
      <w:r>
        <w:rPr>
          <w:rStyle w:val="EndnoteReference"/>
        </w:rPr>
        <w:endnoteRef/>
      </w:r>
      <w:r>
        <w:t xml:space="preserve"> Council of Australian Governments, </w:t>
      </w:r>
      <w:r w:rsidRPr="000E3C85">
        <w:rPr>
          <w:i/>
        </w:rPr>
        <w:t>N</w:t>
      </w:r>
      <w:r w:rsidRPr="00D775FD">
        <w:rPr>
          <w:i/>
        </w:rPr>
        <w:t>ational Plan to Reduce Violence against Women and their Children</w:t>
      </w:r>
      <w:r>
        <w:rPr>
          <w:i/>
        </w:rPr>
        <w:t xml:space="preserve">: Third Action Plan </w:t>
      </w:r>
      <w:r>
        <w:t xml:space="preserve">(2016) 28, 30. At </w:t>
      </w:r>
      <w:hyperlink r:id="rId42" w:history="1">
        <w:r w:rsidRPr="00124C2D">
          <w:rPr>
            <w:rStyle w:val="Hyperlink"/>
          </w:rPr>
          <w:t>https://www.dss.gov.au/sites/default/files/documents/10_2016/third_action_plan.pdf</w:t>
        </w:r>
      </w:hyperlink>
      <w:r>
        <w:t xml:space="preserve"> (viewed 13 January 2017).</w:t>
      </w:r>
    </w:p>
  </w:endnote>
  <w:endnote w:id="44">
    <w:p w14:paraId="794B384F" w14:textId="77777777" w:rsidR="00547168" w:rsidRPr="000F12CA" w:rsidRDefault="00547168" w:rsidP="000F12CA">
      <w:pPr>
        <w:pStyle w:val="EndnoteText"/>
      </w:pPr>
      <w:r>
        <w:rPr>
          <w:rStyle w:val="EndnoteReference"/>
        </w:rPr>
        <w:endnoteRef/>
      </w:r>
      <w:r>
        <w:t xml:space="preserve"> Senate </w:t>
      </w:r>
      <w:r w:rsidRPr="000F12CA">
        <w:t>Finance and Public Administration References Committee</w:t>
      </w:r>
      <w:r>
        <w:t xml:space="preserve">, </w:t>
      </w:r>
      <w:r w:rsidRPr="00AD66D3">
        <w:rPr>
          <w:i/>
        </w:rPr>
        <w:t>Domestic violence and gender inequality</w:t>
      </w:r>
      <w:r>
        <w:t xml:space="preserve"> (2016) Parliament of Australia. At </w:t>
      </w:r>
      <w:hyperlink r:id="rId43" w:history="1">
        <w:r w:rsidRPr="00124C2D">
          <w:rPr>
            <w:rStyle w:val="Hyperlink"/>
          </w:rPr>
          <w:t>http://www.aph.gov.au/Parliamentary_Business/Committees/Senate/Finance_and_Public_Administration/DV_and_Gender_Inequality</w:t>
        </w:r>
      </w:hyperlink>
      <w:r>
        <w:t xml:space="preserve"> (viewed 13 January 2016).</w:t>
      </w:r>
    </w:p>
  </w:endnote>
  <w:endnote w:id="45">
    <w:p w14:paraId="55BC2F80" w14:textId="77777777" w:rsidR="00547168" w:rsidRPr="00432C86" w:rsidRDefault="00547168">
      <w:pPr>
        <w:pStyle w:val="EndnoteText"/>
      </w:pPr>
      <w:r>
        <w:rPr>
          <w:rStyle w:val="EndnoteReference"/>
        </w:rPr>
        <w:endnoteRef/>
      </w:r>
      <w:r>
        <w:t xml:space="preserve"> Australian Human Rights Commission, Submission No 41 to the Senate </w:t>
      </w:r>
      <w:r w:rsidRPr="000F12CA">
        <w:t>Finance and Public Administration References Committee</w:t>
      </w:r>
      <w:r>
        <w:t xml:space="preserve">, Parliament of Australia, </w:t>
      </w:r>
      <w:r>
        <w:rPr>
          <w:i/>
        </w:rPr>
        <w:t>Inquiry into d</w:t>
      </w:r>
      <w:r w:rsidRPr="0052785D">
        <w:rPr>
          <w:i/>
        </w:rPr>
        <w:t>omestic violence and gender inequality</w:t>
      </w:r>
      <w:r>
        <w:t xml:space="preserve">, 4 March 2016. At </w:t>
      </w:r>
      <w:hyperlink r:id="rId44" w:history="1">
        <w:r w:rsidRPr="00124C2D">
          <w:rPr>
            <w:rStyle w:val="Hyperlink"/>
          </w:rPr>
          <w:t>http://www.aph.gov.au/DocumentStore.ashx?id=616c80fd-9f8d-4f90-8e71-202e8bea67f8&amp;subId=411685</w:t>
        </w:r>
      </w:hyperlink>
      <w:r>
        <w:t xml:space="preserve"> (viewed 13 January 2017). </w:t>
      </w:r>
    </w:p>
  </w:endnote>
  <w:endnote w:id="46">
    <w:p w14:paraId="2F7724A2" w14:textId="77777777" w:rsidR="00547168" w:rsidRPr="000C1028" w:rsidRDefault="00547168">
      <w:pPr>
        <w:pStyle w:val="EndnoteText"/>
      </w:pPr>
      <w:r>
        <w:rPr>
          <w:rStyle w:val="EndnoteReference"/>
        </w:rPr>
        <w:endnoteRef/>
      </w:r>
      <w:r>
        <w:t xml:space="preserve"> </w:t>
      </w:r>
      <w:r w:rsidRPr="000C1028">
        <w:t>Finance and Public Administration References Committee</w:t>
      </w:r>
      <w:r>
        <w:t xml:space="preserve">, </w:t>
      </w:r>
      <w:r w:rsidRPr="000C1028">
        <w:t>Gender segregation in the workplace and its impact on women's economic equality</w:t>
      </w:r>
      <w:r>
        <w:t xml:space="preserve"> (2016) Parliament of Australia. At </w:t>
      </w:r>
      <w:hyperlink r:id="rId45" w:history="1">
        <w:r w:rsidRPr="00124C2D">
          <w:rPr>
            <w:rStyle w:val="Hyperlink"/>
          </w:rPr>
          <w:t>http://www.aph.gov.au/Parliamentary_Business/Committees/Senate/Finance_and_Public_Administration/Gendersegregation</w:t>
        </w:r>
      </w:hyperlink>
      <w:r>
        <w:t xml:space="preserve"> (viewed 13 January 2017).</w:t>
      </w:r>
    </w:p>
  </w:endnote>
  <w:endnote w:id="47">
    <w:p w14:paraId="08C51A3F" w14:textId="77777777" w:rsidR="00547168" w:rsidRPr="00083BA1" w:rsidRDefault="00547168" w:rsidP="00D16D08">
      <w:pPr>
        <w:pStyle w:val="EndnoteText"/>
      </w:pPr>
      <w:r>
        <w:rPr>
          <w:rStyle w:val="EndnoteReference"/>
        </w:rPr>
        <w:endnoteRef/>
      </w:r>
      <w:r>
        <w:t xml:space="preserve"> </w:t>
      </w:r>
      <w:r w:rsidRPr="00083BA1">
        <w:t>Joi</w:t>
      </w:r>
      <w:r>
        <w:t xml:space="preserve">nt Committee on Law Enforcement, </w:t>
      </w:r>
      <w:r w:rsidRPr="00083BA1">
        <w:rPr>
          <w:i/>
        </w:rPr>
        <w:t>Inquiry into human trafficking</w:t>
      </w:r>
      <w:r>
        <w:rPr>
          <w:i/>
        </w:rPr>
        <w:t xml:space="preserve"> </w:t>
      </w:r>
      <w:r>
        <w:t xml:space="preserve">(2017) Parliament of Australia. At </w:t>
      </w:r>
      <w:hyperlink r:id="rId46" w:history="1">
        <w:r w:rsidRPr="00124C2D">
          <w:rPr>
            <w:rStyle w:val="Hyperlink"/>
          </w:rPr>
          <w:t>http://www.aph.gov.au/Parliamentary_Business/Committees/Joint/Law_Enforcement/Humantrafficking45</w:t>
        </w:r>
      </w:hyperlink>
      <w:r>
        <w:t xml:space="preserve"> (viewed 13 January 2017).  </w:t>
      </w:r>
    </w:p>
  </w:endnote>
  <w:endnote w:id="48">
    <w:p w14:paraId="0C8C89A1" w14:textId="77777777" w:rsidR="00547168" w:rsidRPr="00811554" w:rsidRDefault="00547168">
      <w:pPr>
        <w:pStyle w:val="EndnoteText"/>
      </w:pPr>
      <w:r>
        <w:rPr>
          <w:rStyle w:val="EndnoteReference"/>
        </w:rPr>
        <w:endnoteRef/>
      </w:r>
      <w:r>
        <w:t xml:space="preserve"> Australian Human Rights Commission, Submission No 23 to the Joint Committee on Law Enforcement, Parliament of Australia, </w:t>
      </w:r>
      <w:r>
        <w:rPr>
          <w:i/>
        </w:rPr>
        <w:t>Inquiry into Human Trafficking</w:t>
      </w:r>
      <w:r>
        <w:t>,</w:t>
      </w:r>
      <w:r>
        <w:rPr>
          <w:i/>
        </w:rPr>
        <w:t xml:space="preserve"> </w:t>
      </w:r>
      <w:r>
        <w:t xml:space="preserve">4 March 2016. At </w:t>
      </w:r>
      <w:hyperlink r:id="rId47" w:history="1">
        <w:r w:rsidRPr="00124C2D">
          <w:rPr>
            <w:rStyle w:val="Hyperlink"/>
          </w:rPr>
          <w:t>http://www.aph.gov.au/DocumentStore.ashx?id=98e7d00c-885a-46da-a50c-aaf0d19bf6ea&amp;subId=410058</w:t>
        </w:r>
      </w:hyperlink>
      <w:r>
        <w:t xml:space="preserve"> (viewed 13 January 2017). </w:t>
      </w:r>
    </w:p>
  </w:endnote>
  <w:endnote w:id="49">
    <w:p w14:paraId="06889572" w14:textId="77777777" w:rsidR="00547168" w:rsidRPr="00083BA1" w:rsidRDefault="00547168" w:rsidP="00012B83">
      <w:pPr>
        <w:pStyle w:val="EndnoteText"/>
      </w:pPr>
      <w:r>
        <w:rPr>
          <w:rStyle w:val="EndnoteReference"/>
        </w:rPr>
        <w:endnoteRef/>
      </w:r>
      <w:r>
        <w:t xml:space="preserve"> </w:t>
      </w:r>
      <w:r w:rsidRPr="00083BA1">
        <w:t>Joi</w:t>
      </w:r>
      <w:r>
        <w:t xml:space="preserve">nt Committee on Law Enforcement, </w:t>
      </w:r>
      <w:r w:rsidRPr="00083BA1">
        <w:rPr>
          <w:i/>
        </w:rPr>
        <w:t>Inquiry into human trafficking</w:t>
      </w:r>
      <w:r>
        <w:rPr>
          <w:i/>
        </w:rPr>
        <w:t xml:space="preserve"> </w:t>
      </w:r>
      <w:r>
        <w:t xml:space="preserve">(2017) Parliament of Australia. At </w:t>
      </w:r>
      <w:hyperlink r:id="rId48" w:history="1">
        <w:r w:rsidRPr="00124C2D">
          <w:rPr>
            <w:rStyle w:val="Hyperlink"/>
          </w:rPr>
          <w:t>http://www.aph.gov.au/Parliamentary_Business/Committees/Joint/Law_Enforcement/Humantrafficking45</w:t>
        </w:r>
      </w:hyperlink>
      <w:r>
        <w:t xml:space="preserve"> (viewed 13 January 2017).  </w:t>
      </w:r>
    </w:p>
  </w:endnote>
  <w:endnote w:id="50">
    <w:p w14:paraId="40D9F37B" w14:textId="77777777" w:rsidR="00547168" w:rsidRPr="00AA76AE" w:rsidRDefault="00547168">
      <w:pPr>
        <w:pStyle w:val="EndnoteText"/>
      </w:pPr>
      <w:r>
        <w:rPr>
          <w:rStyle w:val="EndnoteReference"/>
        </w:rPr>
        <w:endnoteRef/>
      </w:r>
      <w:r>
        <w:t xml:space="preserve"> Queensland Government, </w:t>
      </w:r>
      <w:r>
        <w:rPr>
          <w:i/>
        </w:rPr>
        <w:t xml:space="preserve">Special Taskforce </w:t>
      </w:r>
      <w:r>
        <w:t xml:space="preserve">(27 November 2016) Queensland Department of Communities, Child Safety and Disability Services. At </w:t>
      </w:r>
      <w:hyperlink r:id="rId49" w:history="1">
        <w:r w:rsidRPr="00124C2D">
          <w:rPr>
            <w:rStyle w:val="Hyperlink"/>
          </w:rPr>
          <w:t>https://www.communities.qld.gov.au/gateway/end-domestic-family-violence/about/special-taskforce</w:t>
        </w:r>
      </w:hyperlink>
      <w:r>
        <w:t xml:space="preserve"> (viewed 13 January 2017). </w:t>
      </w:r>
    </w:p>
  </w:endnote>
  <w:endnote w:id="51">
    <w:p w14:paraId="045E90F3" w14:textId="77777777" w:rsidR="00547168" w:rsidRPr="00093FFF" w:rsidRDefault="00547168" w:rsidP="00093FFF">
      <w:pPr>
        <w:pStyle w:val="EndnoteText"/>
      </w:pPr>
      <w:r>
        <w:rPr>
          <w:rStyle w:val="EndnoteReference"/>
        </w:rPr>
        <w:endnoteRef/>
      </w:r>
      <w:r>
        <w:t xml:space="preserve"> The </w:t>
      </w:r>
      <w:r w:rsidRPr="00093FFF">
        <w:t xml:space="preserve">Hon Quentin Bryce AD CVO </w:t>
      </w:r>
      <w:r>
        <w:t xml:space="preserve">et al, </w:t>
      </w:r>
      <w:r>
        <w:rPr>
          <w:i/>
        </w:rPr>
        <w:t>Not Now, Not Ever:</w:t>
      </w:r>
      <w:r w:rsidRPr="00093FFF">
        <w:rPr>
          <w:i/>
        </w:rPr>
        <w:t xml:space="preserve"> Putting an End to Domestic and Family Violence in Queensland</w:t>
      </w:r>
      <w:r>
        <w:rPr>
          <w:i/>
        </w:rPr>
        <w:t xml:space="preserve"> </w:t>
      </w:r>
      <w:r>
        <w:t xml:space="preserve">(2015). At </w:t>
      </w:r>
      <w:hyperlink r:id="rId50" w:history="1">
        <w:r w:rsidRPr="00124C2D">
          <w:rPr>
            <w:rStyle w:val="Hyperlink"/>
          </w:rPr>
          <w:t>https://www.communities.qld.gov.au/resources/gateway/campaigns/end-violence/about/special-taskforce/dfv-report-vol-one.pdf</w:t>
        </w:r>
      </w:hyperlink>
      <w:r>
        <w:t xml:space="preserve"> (viewed 12 January 2017). </w:t>
      </w:r>
    </w:p>
  </w:endnote>
  <w:endnote w:id="52">
    <w:p w14:paraId="3AEB76E5" w14:textId="77777777" w:rsidR="00547168" w:rsidRPr="00C21D43" w:rsidRDefault="00547168" w:rsidP="00C21D43">
      <w:pPr>
        <w:pStyle w:val="EndnoteText"/>
      </w:pPr>
      <w:r>
        <w:rPr>
          <w:rStyle w:val="EndnoteReference"/>
        </w:rPr>
        <w:endnoteRef/>
      </w:r>
      <w:r>
        <w:t xml:space="preserve"> Queensland Government, </w:t>
      </w:r>
      <w:r>
        <w:rPr>
          <w:i/>
        </w:rPr>
        <w:t xml:space="preserve">Queensland Government Response </w:t>
      </w:r>
      <w:r>
        <w:t xml:space="preserve">(22 November 2016) Queensland Department of Communities, Child Safety and Disability Services. At </w:t>
      </w:r>
      <w:hyperlink r:id="rId51" w:history="1">
        <w:r w:rsidRPr="00124C2D">
          <w:rPr>
            <w:rStyle w:val="Hyperlink"/>
          </w:rPr>
          <w:t>https://www.communities.qld.gov.au/gateway/end-domestic-family-violence/about/queensland-government-response</w:t>
        </w:r>
      </w:hyperlink>
      <w:r>
        <w:t xml:space="preserve"> (viewed 13 January 2017). </w:t>
      </w:r>
    </w:p>
  </w:endnote>
  <w:endnote w:id="53">
    <w:p w14:paraId="763D0701" w14:textId="77777777" w:rsidR="00547168" w:rsidRPr="003A5A68" w:rsidRDefault="00547168">
      <w:pPr>
        <w:pStyle w:val="EndnoteText"/>
      </w:pPr>
      <w:r>
        <w:rPr>
          <w:rStyle w:val="EndnoteReference"/>
        </w:rPr>
        <w:endnoteRef/>
      </w:r>
      <w:r>
        <w:t xml:space="preserve"> Queensland Government, </w:t>
      </w:r>
      <w:r>
        <w:rPr>
          <w:i/>
        </w:rPr>
        <w:t xml:space="preserve">Domestic and Family Violence Prevention Strategy 2016–2026 </w:t>
      </w:r>
      <w:r>
        <w:t xml:space="preserve">(2016) 7. At </w:t>
      </w:r>
      <w:hyperlink r:id="rId52" w:history="1">
        <w:r w:rsidRPr="00124C2D">
          <w:rPr>
            <w:rStyle w:val="Hyperlink"/>
          </w:rPr>
          <w:t>https://www.communities.qld.gov.au/resources/gateway/campaigns/end-violence/dfv-prevention-strategy.pdf</w:t>
        </w:r>
      </w:hyperlink>
      <w:r>
        <w:t xml:space="preserve"> (viewed 12 January 2017). </w:t>
      </w:r>
    </w:p>
  </w:endnote>
  <w:endnote w:id="54">
    <w:p w14:paraId="1E42AD13" w14:textId="77777777" w:rsidR="00547168" w:rsidRDefault="00547168" w:rsidP="00DB16CA">
      <w:pPr>
        <w:pStyle w:val="EndnoteText"/>
      </w:pPr>
      <w:r>
        <w:rPr>
          <w:rStyle w:val="EndnoteReference"/>
        </w:rPr>
        <w:endnoteRef/>
      </w:r>
      <w:r>
        <w:t xml:space="preserve"> The Hon Marcia Neave AO, Patricia Faulkner AO and Tony Nicholson, </w:t>
      </w:r>
      <w:r w:rsidRPr="00DB16CA">
        <w:rPr>
          <w:i/>
        </w:rPr>
        <w:t>Royal Commission into Family Violence: Summary and recommendations</w:t>
      </w:r>
      <w:r>
        <w:t xml:space="preserve"> (March 2016) 206. At </w:t>
      </w:r>
      <w:hyperlink r:id="rId53" w:history="1">
        <w:r w:rsidRPr="00124C2D">
          <w:rPr>
            <w:rStyle w:val="Hyperlink"/>
          </w:rPr>
          <w:t>http://files.rcfv.com.au/Reports/Final/RCFV-All-Volumes.pdf</w:t>
        </w:r>
      </w:hyperlink>
      <w:r>
        <w:t xml:space="preserve"> (viewed 13 January 2017).  </w:t>
      </w:r>
    </w:p>
  </w:endnote>
  <w:endnote w:id="55">
    <w:p w14:paraId="7EF6612E" w14:textId="77777777" w:rsidR="00547168" w:rsidRDefault="00547168">
      <w:pPr>
        <w:pStyle w:val="EndnoteText"/>
      </w:pPr>
      <w:r>
        <w:rPr>
          <w:rStyle w:val="EndnoteReference"/>
        </w:rPr>
        <w:endnoteRef/>
      </w:r>
      <w:r>
        <w:t xml:space="preserve"> The Hon Marcia Neave AO, Patricia Faulkner AO and Tony Nicholson, </w:t>
      </w:r>
      <w:r w:rsidRPr="00DB16CA">
        <w:rPr>
          <w:i/>
        </w:rPr>
        <w:t>Royal Commission into Family Violence: Summary and recommendations</w:t>
      </w:r>
      <w:r>
        <w:t xml:space="preserve"> (March 2016). At </w:t>
      </w:r>
      <w:hyperlink r:id="rId54" w:history="1">
        <w:r w:rsidRPr="00124C2D">
          <w:rPr>
            <w:rStyle w:val="Hyperlink"/>
          </w:rPr>
          <w:t>http://files.rcfv.com.au/Reports/Final/RCFV-All-Volumes.pdf</w:t>
        </w:r>
      </w:hyperlink>
      <w:r>
        <w:t xml:space="preserve"> (viewed 13 January 2017).  </w:t>
      </w:r>
    </w:p>
  </w:endnote>
  <w:endnote w:id="56">
    <w:p w14:paraId="4CFB1327" w14:textId="77777777" w:rsidR="00547168" w:rsidRDefault="00547168" w:rsidP="00C761DE">
      <w:pPr>
        <w:pStyle w:val="EndnoteText"/>
      </w:pPr>
      <w:r>
        <w:rPr>
          <w:rStyle w:val="EndnoteReference"/>
        </w:rPr>
        <w:endnoteRef/>
      </w:r>
      <w:r>
        <w:t xml:space="preserve"> Australian Human Rights Commission, Submission on the</w:t>
      </w:r>
      <w:r w:rsidRPr="00C86FA5">
        <w:t xml:space="preserve"> Third Action Plan for the National Plan to reduce Violence a</w:t>
      </w:r>
      <w:r>
        <w:t xml:space="preserve">gainst Women and their Children, 1 August 2016, 7. </w:t>
      </w:r>
    </w:p>
  </w:endnote>
  <w:endnote w:id="57">
    <w:p w14:paraId="571A994E" w14:textId="77777777" w:rsidR="00547168" w:rsidRPr="00BA6386" w:rsidRDefault="00547168" w:rsidP="00692B60">
      <w:pPr>
        <w:pStyle w:val="EndnoteText"/>
      </w:pPr>
      <w:r>
        <w:rPr>
          <w:rStyle w:val="EndnoteReference"/>
        </w:rPr>
        <w:endnoteRef/>
      </w:r>
      <w:r>
        <w:t xml:space="preserve"> Australian Human Rights Commission, </w:t>
      </w:r>
      <w:r w:rsidRPr="00D2302A">
        <w:t>Submission to the Australian Law Reform Commission</w:t>
      </w:r>
      <w:r>
        <w:t xml:space="preserve">, </w:t>
      </w:r>
      <w:r w:rsidRPr="00D2302A">
        <w:rPr>
          <w:i/>
        </w:rPr>
        <w:t xml:space="preserve">Inquiry into Family </w:t>
      </w:r>
      <w:r>
        <w:rPr>
          <w:i/>
        </w:rPr>
        <w:t>Violence and Commonwealth Laws</w:t>
      </w:r>
      <w:r>
        <w:t xml:space="preserve">, 21 April 2011 [47]. At: </w:t>
      </w:r>
      <w:hyperlink r:id="rId55" w:history="1">
        <w:r w:rsidRPr="00BC6AA0">
          <w:rPr>
            <w:rStyle w:val="Hyperlink"/>
          </w:rPr>
          <w:t>http://www.humanrights.gov.au/legal/submissions/2011/20110421_family_violence.html</w:t>
        </w:r>
      </w:hyperlink>
      <w:r>
        <w:t xml:space="preserve"> (viewed 13 January 2017). See also </w:t>
      </w:r>
      <w:r w:rsidRPr="00E63210">
        <w:rPr>
          <w:rFonts w:cs="Arial"/>
        </w:rPr>
        <w:t xml:space="preserve">Donna Chung et al, </w:t>
      </w:r>
      <w:r w:rsidRPr="00E63210">
        <w:rPr>
          <w:rFonts w:cs="Arial"/>
          <w:i/>
        </w:rPr>
        <w:t xml:space="preserve">Home Safe Home: </w:t>
      </w:r>
      <w:r>
        <w:rPr>
          <w:rFonts w:cs="Arial"/>
          <w:i/>
        </w:rPr>
        <w:t>The l</w:t>
      </w:r>
      <w:r w:rsidRPr="00E63210">
        <w:rPr>
          <w:rFonts w:cs="Arial"/>
          <w:i/>
        </w:rPr>
        <w:t xml:space="preserve">ink </w:t>
      </w:r>
      <w:r>
        <w:rPr>
          <w:rFonts w:cs="Arial"/>
          <w:i/>
        </w:rPr>
        <w:t>between domestic and family v</w:t>
      </w:r>
      <w:r w:rsidRPr="00E63210">
        <w:rPr>
          <w:rFonts w:cs="Arial"/>
          <w:i/>
        </w:rPr>
        <w:t xml:space="preserve">iolence and </w:t>
      </w:r>
      <w:r>
        <w:rPr>
          <w:rFonts w:cs="Arial"/>
          <w:i/>
        </w:rPr>
        <w:t>women’s h</w:t>
      </w:r>
      <w:r w:rsidRPr="00E63210">
        <w:rPr>
          <w:rFonts w:cs="Arial"/>
          <w:i/>
        </w:rPr>
        <w:t>omelessness</w:t>
      </w:r>
      <w:r w:rsidRPr="00E63210">
        <w:rPr>
          <w:rFonts w:cs="Arial"/>
        </w:rPr>
        <w:t xml:space="preserve"> (2000). At </w:t>
      </w:r>
      <w:hyperlink r:id="rId56" w:history="1">
        <w:r w:rsidRPr="00124C2D">
          <w:rPr>
            <w:rStyle w:val="Hyperlink"/>
            <w:rFonts w:cs="Arial"/>
          </w:rPr>
          <w:t>http://wesnet.org.au/wp-content/uploads/2011/05/homesafehome.pdf</w:t>
        </w:r>
      </w:hyperlink>
      <w:r>
        <w:rPr>
          <w:rFonts w:cs="Arial"/>
        </w:rPr>
        <w:t xml:space="preserve"> </w:t>
      </w:r>
      <w:r w:rsidRPr="00E63210">
        <w:rPr>
          <w:rFonts w:cs="Arial"/>
        </w:rPr>
        <w:t xml:space="preserve">(viewed </w:t>
      </w:r>
      <w:r>
        <w:rPr>
          <w:rFonts w:cs="Arial"/>
        </w:rPr>
        <w:t xml:space="preserve">13 January </w:t>
      </w:r>
      <w:r w:rsidRPr="00E63210">
        <w:rPr>
          <w:rFonts w:cs="Arial"/>
        </w:rPr>
        <w:t>201</w:t>
      </w:r>
      <w:r>
        <w:rPr>
          <w:rFonts w:cs="Arial"/>
        </w:rPr>
        <w:t>7</w:t>
      </w:r>
      <w:r w:rsidRPr="00E63210">
        <w:rPr>
          <w:rFonts w:cs="Arial"/>
        </w:rPr>
        <w:t xml:space="preserve">). </w:t>
      </w:r>
      <w:r w:rsidRPr="00E63210">
        <w:rPr>
          <w:rStyle w:val="Hyperlink"/>
          <w:rFonts w:cs="Arial"/>
        </w:rPr>
        <w:t xml:space="preserve"> </w:t>
      </w:r>
    </w:p>
  </w:endnote>
  <w:endnote w:id="58">
    <w:p w14:paraId="327832E2" w14:textId="77777777" w:rsidR="00547168" w:rsidRDefault="00547168" w:rsidP="00692B60">
      <w:pPr>
        <w:pStyle w:val="EndnoteText"/>
      </w:pPr>
      <w:r>
        <w:rPr>
          <w:rStyle w:val="EndnoteReference"/>
        </w:rPr>
        <w:endnoteRef/>
      </w:r>
      <w:r>
        <w:t xml:space="preserve"> Australian Human Rights Commission, Supplementary Submission to the Attorney-General’s Department, Commonwealth of Australia, </w:t>
      </w:r>
      <w:r>
        <w:rPr>
          <w:i/>
        </w:rPr>
        <w:t>Consolidation of Anti-Discrimination Laws</w:t>
      </w:r>
      <w:r>
        <w:t xml:space="preserve">, </w:t>
      </w:r>
      <w:r>
        <w:rPr>
          <w:lang w:val="en"/>
        </w:rPr>
        <w:t xml:space="preserve">23 January 2012, [23–25]. At </w:t>
      </w:r>
      <w:hyperlink r:id="rId57" w:history="1">
        <w:r w:rsidRPr="00124C2D">
          <w:rPr>
            <w:rStyle w:val="Hyperlink"/>
            <w:lang w:val="en"/>
          </w:rPr>
          <w:t>https://www.humanrights.gov.au/consolidation-commonwealth-discrimination-law-domestic-and-family-violence</w:t>
        </w:r>
      </w:hyperlink>
      <w:r>
        <w:rPr>
          <w:lang w:val="en"/>
        </w:rPr>
        <w:t xml:space="preserve"> (viewed 4 May 2016). See also </w:t>
      </w:r>
      <w:r>
        <w:t xml:space="preserve">Australian Human Rights Commission, </w:t>
      </w:r>
      <w:r w:rsidRPr="00D2302A">
        <w:t>Submission to the Australian Law Reform Commission</w:t>
      </w:r>
      <w:r>
        <w:t xml:space="preserve">, </w:t>
      </w:r>
      <w:r w:rsidRPr="00D2302A">
        <w:rPr>
          <w:i/>
        </w:rPr>
        <w:t xml:space="preserve">Inquiry into Family </w:t>
      </w:r>
      <w:r>
        <w:rPr>
          <w:i/>
        </w:rPr>
        <w:t>Violence and Commonwealth Laws</w:t>
      </w:r>
      <w:r>
        <w:t xml:space="preserve">, 21 April 2011 [47]. At: </w:t>
      </w:r>
      <w:hyperlink r:id="rId58" w:history="1">
        <w:r w:rsidRPr="00BC6AA0">
          <w:rPr>
            <w:rStyle w:val="Hyperlink"/>
          </w:rPr>
          <w:t>http://www.humanrights.gov.au/legal/submissions/2011/20110421_family_violence.html</w:t>
        </w:r>
      </w:hyperlink>
      <w:r>
        <w:t xml:space="preserve"> (viewed 13 January 2017). </w:t>
      </w:r>
      <w:r>
        <w:rPr>
          <w:lang w:val="en"/>
        </w:rPr>
        <w:t xml:space="preserve"> </w:t>
      </w:r>
    </w:p>
  </w:endnote>
  <w:endnote w:id="59">
    <w:p w14:paraId="4844D102" w14:textId="77777777" w:rsidR="00547168" w:rsidRPr="007335DE" w:rsidRDefault="00547168" w:rsidP="00146F14">
      <w:pPr>
        <w:pStyle w:val="EndnoteText"/>
        <w:rPr>
          <w:rFonts w:cs="Arial"/>
          <w:color w:val="000000" w:themeColor="text1"/>
        </w:rPr>
      </w:pPr>
      <w:r w:rsidRPr="007335DE">
        <w:rPr>
          <w:rStyle w:val="EndnoteReference"/>
          <w:rFonts w:cs="Arial"/>
        </w:rPr>
        <w:endnoteRef/>
      </w:r>
      <w:r w:rsidRPr="007335DE">
        <w:rPr>
          <w:rFonts w:cs="Arial"/>
        </w:rPr>
        <w:t xml:space="preserve"> </w:t>
      </w:r>
      <w:r w:rsidRPr="007335DE">
        <w:rPr>
          <w:rFonts w:cs="Arial"/>
          <w:lang w:val="en"/>
        </w:rPr>
        <w:t xml:space="preserve">Ludo McFerran, Safe at Home, Safe At Work Project, Australian Domestic and Family Violence Clearing House, UNSW, ‘When domestic violence becomes a workplace problem’, </w:t>
      </w:r>
      <w:r w:rsidRPr="001C22ED">
        <w:rPr>
          <w:rFonts w:cs="Arial"/>
          <w:i/>
          <w:lang w:val="en"/>
        </w:rPr>
        <w:t>ABC The Drum</w:t>
      </w:r>
      <w:r>
        <w:rPr>
          <w:rFonts w:cs="Arial"/>
          <w:i/>
          <w:lang w:val="en"/>
        </w:rPr>
        <w:t xml:space="preserve"> </w:t>
      </w:r>
      <w:r>
        <w:rPr>
          <w:rFonts w:cs="Arial"/>
          <w:lang w:val="en"/>
        </w:rPr>
        <w:t>(online),</w:t>
      </w:r>
      <w:r w:rsidRPr="007335DE">
        <w:rPr>
          <w:rFonts w:cs="Arial"/>
          <w:lang w:val="en"/>
        </w:rPr>
        <w:t xml:space="preserve"> 13 February 2013. At </w:t>
      </w:r>
      <w:hyperlink r:id="rId59" w:history="1">
        <w:r w:rsidRPr="0043095B">
          <w:rPr>
            <w:rStyle w:val="Hyperlink"/>
            <w:rFonts w:cs="Arial"/>
            <w:lang w:val="en"/>
          </w:rPr>
          <w:t>http://www.abc.net.au/unleashed/4516492.html</w:t>
        </w:r>
      </w:hyperlink>
      <w:r>
        <w:rPr>
          <w:rStyle w:val="Hyperlink"/>
          <w:rFonts w:cs="Arial"/>
          <w:color w:val="000000" w:themeColor="text1"/>
          <w:u w:val="none"/>
        </w:rPr>
        <w:t xml:space="preserve"> </w:t>
      </w:r>
      <w:r w:rsidRPr="007335DE">
        <w:rPr>
          <w:rStyle w:val="Hyperlink"/>
          <w:rFonts w:cs="Arial"/>
          <w:color w:val="000000" w:themeColor="text1"/>
          <w:u w:val="none"/>
        </w:rPr>
        <w:t xml:space="preserve">(viewed </w:t>
      </w:r>
      <w:r>
        <w:rPr>
          <w:rStyle w:val="Hyperlink"/>
          <w:rFonts w:cs="Arial"/>
          <w:color w:val="000000" w:themeColor="text1"/>
          <w:u w:val="none"/>
        </w:rPr>
        <w:t xml:space="preserve">13 January </w:t>
      </w:r>
      <w:r w:rsidRPr="007335DE">
        <w:rPr>
          <w:rStyle w:val="Hyperlink"/>
          <w:rFonts w:cs="Arial"/>
          <w:color w:val="000000" w:themeColor="text1"/>
          <w:u w:val="none"/>
        </w:rPr>
        <w:t>2016)</w:t>
      </w:r>
      <w:r w:rsidRPr="007335DE">
        <w:rPr>
          <w:rFonts w:cs="Arial"/>
          <w:color w:val="000000" w:themeColor="text1"/>
        </w:rPr>
        <w:t>.</w:t>
      </w:r>
    </w:p>
  </w:endnote>
  <w:endnote w:id="60">
    <w:p w14:paraId="13130974" w14:textId="77777777" w:rsidR="00547168" w:rsidRPr="008E4A84" w:rsidRDefault="00547168" w:rsidP="00331456">
      <w:pPr>
        <w:pStyle w:val="EndnoteText"/>
      </w:pPr>
      <w:r w:rsidRPr="00333141">
        <w:rPr>
          <w:rStyle w:val="EndnoteReference"/>
        </w:rPr>
        <w:endnoteRef/>
      </w:r>
      <w:r w:rsidRPr="00333141">
        <w:t xml:space="preserve"> See NSW Crown Employees (Public Service Conditions of Employment) Award 2009 and a further 60 State Government Awards linked to this provision; Queensland Government Special Leave Directive 02/2012; Northern Territory Government Commissioner’s Guideline for Miscellaneous Leave (domestic, family and sexual violence) 08/2012; Australian Public Service Circular 2012/3: Supporting Employees Affected by Domestic or Family Violence 10/2012; Tasmanian Ministerial Direction No. 28 Family Violence – Workplace Arra</w:t>
      </w:r>
      <w:r>
        <w:t xml:space="preserve">ngements and Requirements 11/12; </w:t>
      </w:r>
      <w:r>
        <w:rPr>
          <w:rStyle w:val="Strong"/>
          <w:rFonts w:cs="Arial"/>
          <w:b w:val="0"/>
          <w:bCs w:val="0"/>
          <w:bdr w:val="none" w:sz="0" w:space="0" w:color="auto" w:frame="1"/>
          <w:shd w:val="clear" w:color="auto" w:fill="FFFFFF"/>
        </w:rPr>
        <w:t>Fiona Richardson, M</w:t>
      </w:r>
      <w:r w:rsidRPr="00354078">
        <w:rPr>
          <w:rStyle w:val="Strong"/>
          <w:rFonts w:cs="Arial"/>
          <w:b w:val="0"/>
          <w:bCs w:val="0"/>
          <w:bdr w:val="none" w:sz="0" w:space="0" w:color="auto" w:frame="1"/>
          <w:shd w:val="clear" w:color="auto" w:fill="FFFFFF"/>
        </w:rPr>
        <w:t>inister for Women and the Prevention of Family Violence</w:t>
      </w:r>
      <w:r>
        <w:rPr>
          <w:rStyle w:val="Strong"/>
          <w:rFonts w:cs="Arial"/>
          <w:b w:val="0"/>
          <w:bCs w:val="0"/>
          <w:bdr w:val="none" w:sz="0" w:space="0" w:color="auto" w:frame="1"/>
          <w:shd w:val="clear" w:color="auto" w:fill="FFFFFF"/>
        </w:rPr>
        <w:t xml:space="preserve">, and </w:t>
      </w:r>
      <w:r w:rsidRPr="00FC56F9">
        <w:rPr>
          <w:rStyle w:val="Strong"/>
          <w:rFonts w:cs="Arial"/>
          <w:b w:val="0"/>
          <w:bCs w:val="0"/>
          <w:bdr w:val="none" w:sz="0" w:space="0" w:color="auto" w:frame="1"/>
          <w:shd w:val="clear" w:color="auto" w:fill="FFFFFF"/>
        </w:rPr>
        <w:t>Natalie Hutchins</w:t>
      </w:r>
      <w:r>
        <w:rPr>
          <w:rStyle w:val="Strong"/>
          <w:rFonts w:cs="Arial"/>
          <w:b w:val="0"/>
          <w:bCs w:val="0"/>
          <w:bdr w:val="none" w:sz="0" w:space="0" w:color="auto" w:frame="1"/>
          <w:shd w:val="clear" w:color="auto" w:fill="FFFFFF"/>
        </w:rPr>
        <w:t xml:space="preserve">, </w:t>
      </w:r>
      <w:r w:rsidRPr="00354078">
        <w:rPr>
          <w:rStyle w:val="Strong"/>
          <w:rFonts w:cs="Arial"/>
          <w:b w:val="0"/>
          <w:bCs w:val="0"/>
          <w:bdr w:val="none" w:sz="0" w:space="0" w:color="auto" w:frame="1"/>
          <w:shd w:val="clear" w:color="auto" w:fill="FFFFFF"/>
        </w:rPr>
        <w:t>Minister for Industrial Relations</w:t>
      </w:r>
      <w:r>
        <w:rPr>
          <w:rStyle w:val="Strong"/>
          <w:rFonts w:cs="Arial"/>
          <w:b w:val="0"/>
          <w:bCs w:val="0"/>
          <w:bdr w:val="none" w:sz="0" w:space="0" w:color="auto" w:frame="1"/>
          <w:shd w:val="clear" w:color="auto" w:fill="FFFFFF"/>
        </w:rPr>
        <w:t xml:space="preserve">, ‘Victoria to lead the way on family violence leave’ (Media Release, 17 August 2015). At </w:t>
      </w:r>
      <w:hyperlink r:id="rId60" w:history="1">
        <w:r w:rsidRPr="00E44AC6">
          <w:rPr>
            <w:rStyle w:val="Hyperlink"/>
            <w:rFonts w:cs="Arial"/>
            <w:bdr w:val="none" w:sz="0" w:space="0" w:color="auto" w:frame="1"/>
            <w:shd w:val="clear" w:color="auto" w:fill="FFFFFF"/>
          </w:rPr>
          <w:t>http://www.premier.vic.gov.au/victoria-to-lead-the-way-on-family-violence-leave</w:t>
        </w:r>
      </w:hyperlink>
      <w:r>
        <w:rPr>
          <w:rStyle w:val="Strong"/>
          <w:rFonts w:cs="Arial"/>
          <w:b w:val="0"/>
          <w:bCs w:val="0"/>
          <w:bdr w:val="none" w:sz="0" w:space="0" w:color="auto" w:frame="1"/>
          <w:shd w:val="clear" w:color="auto" w:fill="FFFFFF"/>
        </w:rPr>
        <w:t xml:space="preserve"> (viewed 17 January 2017); </w:t>
      </w:r>
      <w:r w:rsidRPr="00354078">
        <w:rPr>
          <w:rStyle w:val="Strong"/>
          <w:rFonts w:cs="Arial"/>
          <w:b w:val="0"/>
          <w:bCs w:val="0"/>
          <w:bdr w:val="none" w:sz="0" w:space="0" w:color="auto" w:frame="1"/>
          <w:shd w:val="clear" w:color="auto" w:fill="FFFFFF"/>
        </w:rPr>
        <w:t>Gail Gago</w:t>
      </w:r>
      <w:r>
        <w:rPr>
          <w:rStyle w:val="Strong"/>
          <w:rFonts w:cs="Arial"/>
          <w:b w:val="0"/>
          <w:bCs w:val="0"/>
          <w:bdr w:val="none" w:sz="0" w:space="0" w:color="auto" w:frame="1"/>
          <w:shd w:val="clear" w:color="auto" w:fill="FFFFFF"/>
        </w:rPr>
        <w:t>, Minister for the Status of Women, ‘</w:t>
      </w:r>
      <w:r w:rsidRPr="00822C37">
        <w:rPr>
          <w:rStyle w:val="Strong"/>
          <w:rFonts w:cs="Arial"/>
          <w:b w:val="0"/>
          <w:bCs w:val="0"/>
          <w:bdr w:val="none" w:sz="0" w:space="0" w:color="auto" w:frame="1"/>
          <w:shd w:val="clear" w:color="auto" w:fill="FFFFFF"/>
        </w:rPr>
        <w:t>Paid leave to help break the cycle of domestic violence</w:t>
      </w:r>
      <w:r>
        <w:rPr>
          <w:rStyle w:val="Strong"/>
          <w:rFonts w:cs="Arial"/>
          <w:b w:val="0"/>
          <w:bCs w:val="0"/>
          <w:bdr w:val="none" w:sz="0" w:space="0" w:color="auto" w:frame="1"/>
          <w:shd w:val="clear" w:color="auto" w:fill="FFFFFF"/>
        </w:rPr>
        <w:t xml:space="preserve">’ (Media Release, 25 November 2015). At </w:t>
      </w:r>
      <w:hyperlink r:id="rId61" w:history="1">
        <w:r w:rsidRPr="00E44AC6">
          <w:rPr>
            <w:rStyle w:val="Hyperlink"/>
            <w:rFonts w:cs="Arial"/>
            <w:bdr w:val="none" w:sz="0" w:space="0" w:color="auto" w:frame="1"/>
            <w:shd w:val="clear" w:color="auto" w:fill="FFFFFF"/>
          </w:rPr>
          <w:t>https://www.dcsi.sa.gov.au/services/latest-news/media-releases-2015/paid-leave-to-help-break-the-cycle-of-domestic-violence</w:t>
        </w:r>
      </w:hyperlink>
      <w:r>
        <w:rPr>
          <w:rStyle w:val="Strong"/>
          <w:rFonts w:cs="Arial"/>
          <w:b w:val="0"/>
          <w:bCs w:val="0"/>
          <w:bdr w:val="none" w:sz="0" w:space="0" w:color="auto" w:frame="1"/>
          <w:shd w:val="clear" w:color="auto" w:fill="FFFFFF"/>
        </w:rPr>
        <w:t xml:space="preserve"> (viewed 17 January 2017); </w:t>
      </w:r>
      <w:r w:rsidRPr="00331456">
        <w:rPr>
          <w:rStyle w:val="Strong"/>
          <w:rFonts w:cs="Arial"/>
          <w:b w:val="0"/>
          <w:bCs w:val="0"/>
          <w:bdr w:val="none" w:sz="0" w:space="0" w:color="auto" w:frame="1"/>
          <w:shd w:val="clear" w:color="auto" w:fill="FFFFFF"/>
        </w:rPr>
        <w:t>Bronwen Overton-Clarke</w:t>
      </w:r>
      <w:r>
        <w:rPr>
          <w:rStyle w:val="Strong"/>
          <w:rFonts w:cs="Arial"/>
          <w:b w:val="0"/>
          <w:bCs w:val="0"/>
          <w:bdr w:val="none" w:sz="0" w:space="0" w:color="auto" w:frame="1"/>
          <w:shd w:val="clear" w:color="auto" w:fill="FFFFFF"/>
        </w:rPr>
        <w:t xml:space="preserve">, </w:t>
      </w:r>
      <w:r w:rsidRPr="00331456">
        <w:rPr>
          <w:rStyle w:val="Strong"/>
          <w:rFonts w:cs="Arial"/>
          <w:b w:val="0"/>
          <w:bCs w:val="0"/>
          <w:bdr w:val="none" w:sz="0" w:space="0" w:color="auto" w:frame="1"/>
          <w:shd w:val="clear" w:color="auto" w:fill="FFFFFF"/>
        </w:rPr>
        <w:t>Commissioner for Public Administration</w:t>
      </w:r>
      <w:r>
        <w:rPr>
          <w:rStyle w:val="Strong"/>
          <w:rFonts w:cs="Arial"/>
          <w:b w:val="0"/>
          <w:bCs w:val="0"/>
          <w:bdr w:val="none" w:sz="0" w:space="0" w:color="auto" w:frame="1"/>
          <w:shd w:val="clear" w:color="auto" w:fill="FFFFFF"/>
        </w:rPr>
        <w:t xml:space="preserve">, </w:t>
      </w:r>
      <w:r>
        <w:rPr>
          <w:rStyle w:val="Strong"/>
          <w:rFonts w:cs="Arial"/>
          <w:b w:val="0"/>
          <w:bCs w:val="0"/>
          <w:i/>
          <w:bdr w:val="none" w:sz="0" w:space="0" w:color="auto" w:frame="1"/>
          <w:shd w:val="clear" w:color="auto" w:fill="FFFFFF"/>
        </w:rPr>
        <w:t xml:space="preserve">Leave for domestic violence purposes advice in the ACT public service </w:t>
      </w:r>
      <w:r>
        <w:rPr>
          <w:rStyle w:val="Strong"/>
          <w:rFonts w:cs="Arial"/>
          <w:b w:val="0"/>
          <w:bCs w:val="0"/>
          <w:bdr w:val="none" w:sz="0" w:space="0" w:color="auto" w:frame="1"/>
          <w:shd w:val="clear" w:color="auto" w:fill="FFFFFF"/>
        </w:rPr>
        <w:t xml:space="preserve">(8 August 2016). At </w:t>
      </w:r>
      <w:hyperlink r:id="rId62" w:history="1">
        <w:r w:rsidRPr="00E44AC6">
          <w:rPr>
            <w:rStyle w:val="Hyperlink"/>
            <w:rFonts w:cs="Arial"/>
            <w:bdr w:val="none" w:sz="0" w:space="0" w:color="auto" w:frame="1"/>
            <w:shd w:val="clear" w:color="auto" w:fill="FFFFFF"/>
          </w:rPr>
          <w:t>http://www.cmd.act.gov.au/__data/assets/pdf_file/0010/912934/Leave-for-Domestic-Violence-Purposes-Advice.pdf</w:t>
        </w:r>
      </w:hyperlink>
      <w:r>
        <w:rPr>
          <w:rStyle w:val="Strong"/>
          <w:rFonts w:cs="Arial"/>
          <w:b w:val="0"/>
          <w:bCs w:val="0"/>
          <w:bdr w:val="none" w:sz="0" w:space="0" w:color="auto" w:frame="1"/>
          <w:shd w:val="clear" w:color="auto" w:fill="FFFFFF"/>
        </w:rPr>
        <w:t xml:space="preserve"> (viewed 17 January 2017). </w:t>
      </w:r>
    </w:p>
  </w:endnote>
  <w:endnote w:id="61">
    <w:p w14:paraId="5C5E64CE" w14:textId="77777777" w:rsidR="00547168" w:rsidRDefault="00547168" w:rsidP="00470178">
      <w:pPr>
        <w:pStyle w:val="EndnoteText"/>
      </w:pPr>
      <w:r>
        <w:rPr>
          <w:rStyle w:val="EndnoteReference"/>
        </w:rPr>
        <w:endnoteRef/>
      </w:r>
      <w:r>
        <w:t xml:space="preserve"> See, for example, Joanna Mather and Jaclyn Keast, ‘Telstra introduces domestic violence leave’, </w:t>
      </w:r>
      <w:r>
        <w:rPr>
          <w:i/>
        </w:rPr>
        <w:t xml:space="preserve">Australian Financial Review </w:t>
      </w:r>
      <w:r>
        <w:t xml:space="preserve">(online), 13 January 2015. At: </w:t>
      </w:r>
      <w:hyperlink r:id="rId63" w:history="1">
        <w:r w:rsidRPr="00BC6AA0">
          <w:rPr>
            <w:rStyle w:val="Hyperlink"/>
          </w:rPr>
          <w:t>http://www.afr.com/news/policy/industrial-relations/telstra-introduces-domestic-violence-leave-20150113-12na7h</w:t>
        </w:r>
      </w:hyperlink>
      <w:r>
        <w:t xml:space="preserve"> (viewed 13 January 2017); National Australia Bank, ‘NAB leads the industry in domestic violence support’ (Media Release, 2 June 2013). At </w:t>
      </w:r>
      <w:hyperlink r:id="rId64" w:history="1">
        <w:r w:rsidRPr="00124C2D">
          <w:rPr>
            <w:rStyle w:val="Hyperlink"/>
          </w:rPr>
          <w:t>http://www.nab.com.au/about-us/media/media-releases-2013/nab-leads-the-industry-in-domestic-violence-support</w:t>
        </w:r>
      </w:hyperlink>
      <w:r>
        <w:t xml:space="preserve"> (viewed 13 January 2017); </w:t>
      </w:r>
      <w:r w:rsidRPr="00C168D3">
        <w:t>Virgin Australia Ground</w:t>
      </w:r>
      <w:r>
        <w:t xml:space="preserve">, </w:t>
      </w:r>
      <w:r>
        <w:rPr>
          <w:i/>
        </w:rPr>
        <w:t xml:space="preserve">Sustainability Report 2015 </w:t>
      </w:r>
      <w:r>
        <w:t xml:space="preserve">(2015) 5. At </w:t>
      </w:r>
      <w:hyperlink r:id="rId65" w:history="1">
        <w:r w:rsidRPr="00124C2D">
          <w:rPr>
            <w:rStyle w:val="Hyperlink"/>
          </w:rPr>
          <w:t>https://www.virginaustralia.com/cs/groups/internetcontent/@wc/documents/webcontent/~edisp/sustainability-report.pdf</w:t>
        </w:r>
      </w:hyperlink>
      <w:r>
        <w:t xml:space="preserve"> (viewed 13 January 2017). </w:t>
      </w:r>
    </w:p>
  </w:endnote>
  <w:endnote w:id="62">
    <w:p w14:paraId="2C4E1F7C" w14:textId="77777777" w:rsidR="00547168" w:rsidRPr="00562469" w:rsidRDefault="00547168">
      <w:pPr>
        <w:pStyle w:val="EndnoteText"/>
      </w:pPr>
      <w:r>
        <w:rPr>
          <w:rStyle w:val="EndnoteReference"/>
        </w:rPr>
        <w:endnoteRef/>
      </w:r>
      <w:r>
        <w:t xml:space="preserve"> </w:t>
      </w:r>
      <w:r>
        <w:rPr>
          <w:i/>
        </w:rPr>
        <w:t xml:space="preserve">Fair Work Act 2009 </w:t>
      </w:r>
      <w:r>
        <w:t>(Cth) s 156</w:t>
      </w:r>
    </w:p>
  </w:endnote>
  <w:endnote w:id="63">
    <w:p w14:paraId="4C1A9A0F" w14:textId="77777777" w:rsidR="00547168" w:rsidRDefault="00547168">
      <w:pPr>
        <w:pStyle w:val="EndnoteText"/>
      </w:pPr>
      <w:r>
        <w:rPr>
          <w:rStyle w:val="EndnoteReference"/>
        </w:rPr>
        <w:endnoteRef/>
      </w:r>
      <w:r>
        <w:t xml:space="preserve"> Australian Council of Trade Unions, ‘</w:t>
      </w:r>
      <w:r w:rsidRPr="004523F2">
        <w:t>Case for paid family and domestic violence leave commences at Fair Work Commission</w:t>
      </w:r>
      <w:r>
        <w:t xml:space="preserve">’ (Media Release, 14 November 2016). At </w:t>
      </w:r>
      <w:hyperlink r:id="rId66" w:history="1">
        <w:r w:rsidRPr="00124C2D">
          <w:rPr>
            <w:rStyle w:val="Hyperlink"/>
          </w:rPr>
          <w:t>http://www.actu.org.au/actu-media/media-releases/2016/case-for-paid-family-and-domestic-violence-leave-commences-at-fair-work-commission</w:t>
        </w:r>
      </w:hyperlink>
      <w:r>
        <w:t xml:space="preserve"> (viewed 13 January 2017). </w:t>
      </w:r>
    </w:p>
  </w:endnote>
  <w:endnote w:id="64">
    <w:p w14:paraId="33950C43" w14:textId="77777777" w:rsidR="00547168" w:rsidRDefault="00547168" w:rsidP="00DD0C9F">
      <w:pPr>
        <w:pStyle w:val="EndnoteText"/>
      </w:pPr>
      <w:r>
        <w:rPr>
          <w:rStyle w:val="EndnoteReference"/>
        </w:rPr>
        <w:endnoteRef/>
      </w:r>
      <w:r>
        <w:t xml:space="preserve"> Australian Human Rights Commission, Submission to the Fair Work Commission, Commonwealth of Australia, </w:t>
      </w:r>
      <w:r w:rsidRPr="003E49BA">
        <w:rPr>
          <w:i/>
        </w:rPr>
        <w:t>Four yearly review of AM2015/1 Family and domestic violence clause</w:t>
      </w:r>
      <w:r>
        <w:t xml:space="preserve">, 5 October 2016. At </w:t>
      </w:r>
      <w:hyperlink r:id="rId67" w:history="1">
        <w:r w:rsidRPr="00124C2D">
          <w:rPr>
            <w:rStyle w:val="Hyperlink"/>
          </w:rPr>
          <w:t>https://www.fwc.gov.au/sites/awardsmodernfouryr/common/am2051-sub-ahrc-120516.pdf</w:t>
        </w:r>
      </w:hyperlink>
      <w:r>
        <w:t xml:space="preserve"> (viewed 13 January 2017).</w:t>
      </w:r>
    </w:p>
  </w:endnote>
  <w:endnote w:id="65">
    <w:p w14:paraId="780445DF" w14:textId="77777777" w:rsidR="00547168" w:rsidRDefault="00547168" w:rsidP="00675CEC">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68" w:history="1">
        <w:r w:rsidRPr="0043095B">
          <w:rPr>
            <w:rStyle w:val="Hyperlink"/>
          </w:rPr>
          <w:t>https://www.humanrights.gov.au/our-work/sex-discrimination/projects/working-without-fear-results-sexual-harassment-national</w:t>
        </w:r>
      </w:hyperlink>
      <w:r>
        <w:t xml:space="preserve"> (viewed 17 January 2017). </w:t>
      </w:r>
    </w:p>
  </w:endnote>
  <w:endnote w:id="66">
    <w:p w14:paraId="56F96C8E" w14:textId="77777777" w:rsidR="00547168" w:rsidRDefault="0054716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69" w:history="1">
        <w:r w:rsidRPr="0043095B">
          <w:rPr>
            <w:rStyle w:val="Hyperlink"/>
          </w:rPr>
          <w:t>https://www.humanrights.gov.au/our-work/sex-discrimination/projects/working-without-fear-results-sexual-harassment-national</w:t>
        </w:r>
      </w:hyperlink>
      <w:r>
        <w:t xml:space="preserve"> (viewed 17 January 2017). </w:t>
      </w:r>
    </w:p>
  </w:endnote>
  <w:endnote w:id="67">
    <w:p w14:paraId="39C656D5" w14:textId="77777777" w:rsidR="00547168" w:rsidRDefault="00547168" w:rsidP="00C8414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70" w:history="1">
        <w:r w:rsidRPr="0043095B">
          <w:rPr>
            <w:rStyle w:val="Hyperlink"/>
          </w:rPr>
          <w:t>https://www.humanrights.gov.au/our-work/sex-discrimination/projects/working-without-fear-results-sexual-harassment-national</w:t>
        </w:r>
      </w:hyperlink>
      <w:r>
        <w:t xml:space="preserve"> (viewed 17 January 2017).</w:t>
      </w:r>
    </w:p>
  </w:endnote>
  <w:endnote w:id="68">
    <w:p w14:paraId="08FDFBA7" w14:textId="77777777" w:rsidR="00547168" w:rsidRDefault="00547168" w:rsidP="00C8414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71" w:history="1">
        <w:r w:rsidRPr="0043095B">
          <w:rPr>
            <w:rStyle w:val="Hyperlink"/>
          </w:rPr>
          <w:t>https://www.humanrights.gov.au/our-work/sex-discrimination/projects/working-without-fear-results-sexual-harassment-national</w:t>
        </w:r>
      </w:hyperlink>
      <w:r>
        <w:t xml:space="preserve"> (viewed 17 January 2017).</w:t>
      </w:r>
    </w:p>
  </w:endnote>
  <w:endnote w:id="69">
    <w:p w14:paraId="12ABFA15" w14:textId="77777777" w:rsidR="00547168" w:rsidRDefault="00547168" w:rsidP="00C8414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13. At </w:t>
      </w:r>
      <w:hyperlink r:id="rId72" w:history="1">
        <w:r w:rsidRPr="0043095B">
          <w:rPr>
            <w:rStyle w:val="Hyperlink"/>
          </w:rPr>
          <w:t>https://www.humanrights.gov.au/our-work/sex-discrimination/projects/working-without-fear-results-sexual-harassment-national</w:t>
        </w:r>
      </w:hyperlink>
      <w:r>
        <w:t xml:space="preserve"> (viewed 17 January 2017).</w:t>
      </w:r>
    </w:p>
  </w:endnote>
  <w:endnote w:id="70">
    <w:p w14:paraId="6AA5A4E2" w14:textId="77777777" w:rsidR="00547168" w:rsidRDefault="00547168" w:rsidP="00C8414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13. At </w:t>
      </w:r>
      <w:hyperlink r:id="rId73" w:history="1">
        <w:r w:rsidRPr="0043095B">
          <w:rPr>
            <w:rStyle w:val="Hyperlink"/>
          </w:rPr>
          <w:t>https://www.humanrights.gov.au/our-work/sex-discrimination/projects/working-without-fear-results-sexual-harassment-national</w:t>
        </w:r>
      </w:hyperlink>
      <w:r>
        <w:t xml:space="preserve"> (viewed 17 January 2017).</w:t>
      </w:r>
    </w:p>
  </w:endnote>
  <w:endnote w:id="71">
    <w:p w14:paraId="6FB36736" w14:textId="77777777" w:rsidR="00547168" w:rsidRDefault="00547168" w:rsidP="00C84148">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13. At </w:t>
      </w:r>
      <w:hyperlink r:id="rId74" w:history="1">
        <w:r w:rsidRPr="0043095B">
          <w:rPr>
            <w:rStyle w:val="Hyperlink"/>
          </w:rPr>
          <w:t>https://www.humanrights.gov.au/our-work/sex-discrimination/projects/working-without-fear-results-sexual-harassment-national</w:t>
        </w:r>
      </w:hyperlink>
      <w:r>
        <w:t xml:space="preserve"> (viewed 17 January 2017).</w:t>
      </w:r>
    </w:p>
  </w:endnote>
  <w:endnote w:id="72">
    <w:p w14:paraId="508B7F26" w14:textId="77777777" w:rsidR="00547168" w:rsidRDefault="00547168" w:rsidP="00202C87">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12. At </w:t>
      </w:r>
      <w:hyperlink r:id="rId75" w:history="1">
        <w:r w:rsidRPr="0043095B">
          <w:rPr>
            <w:rStyle w:val="Hyperlink"/>
          </w:rPr>
          <w:t>https://www.humanrights.gov.au/our-work/sex-discrimination/projects/working-without-fear-results-sexual-harassment-national</w:t>
        </w:r>
      </w:hyperlink>
      <w:r>
        <w:t xml:space="preserve"> (viewed 17 January 2017).</w:t>
      </w:r>
    </w:p>
  </w:endnote>
  <w:endnote w:id="73">
    <w:p w14:paraId="1299AA73" w14:textId="77777777" w:rsidR="00547168" w:rsidRDefault="00547168" w:rsidP="00202C87">
      <w:pPr>
        <w:pStyle w:val="EndnoteText"/>
      </w:pPr>
      <w:r>
        <w:rPr>
          <w:rStyle w:val="EndnoteReference"/>
        </w:rPr>
        <w:endnoteRef/>
      </w:r>
      <w:r>
        <w:t xml:space="preserve"> Australian Human Rights Commission, </w:t>
      </w:r>
      <w:r w:rsidRPr="002A451B">
        <w:rPr>
          <w:i/>
        </w:rPr>
        <w:t xml:space="preserve">Working without fear: Results of the Sexual Harassment National Telephone Survey </w:t>
      </w:r>
      <w:r>
        <w:t xml:space="preserve">(2012) 14. At </w:t>
      </w:r>
      <w:hyperlink r:id="rId76" w:history="1">
        <w:r w:rsidRPr="0043095B">
          <w:rPr>
            <w:rStyle w:val="Hyperlink"/>
          </w:rPr>
          <w:t>https://www.humanrights.gov.au/our-work/sex-discrimination/projects/working-without-fear-results-sexual-harassment-national</w:t>
        </w:r>
      </w:hyperlink>
      <w:r>
        <w:t xml:space="preserve"> (viewed 17 January 2017).</w:t>
      </w:r>
    </w:p>
  </w:endnote>
  <w:endnote w:id="74">
    <w:p w14:paraId="2C2CC8DB" w14:textId="77777777" w:rsidR="00547168" w:rsidRDefault="00547168">
      <w:pPr>
        <w:pStyle w:val="EndnoteText"/>
      </w:pPr>
      <w:r>
        <w:rPr>
          <w:rStyle w:val="EndnoteReference"/>
        </w:rPr>
        <w:endnoteRef/>
      </w:r>
      <w:r>
        <w:t xml:space="preserve"> See </w:t>
      </w:r>
      <w:hyperlink r:id="rId77" w:history="1">
        <w:r w:rsidRPr="0043095B">
          <w:rPr>
            <w:rStyle w:val="Hyperlink"/>
          </w:rPr>
          <w:t>http://knowtheline.humanrights.gov.au</w:t>
        </w:r>
      </w:hyperlink>
      <w:r>
        <w:t xml:space="preserve">  </w:t>
      </w:r>
    </w:p>
  </w:endnote>
  <w:endnote w:id="75">
    <w:p w14:paraId="4D22538C" w14:textId="77777777" w:rsidR="00547168" w:rsidRDefault="00547168">
      <w:pPr>
        <w:pStyle w:val="EndnoteText"/>
      </w:pPr>
      <w:r>
        <w:rPr>
          <w:rStyle w:val="EndnoteReference"/>
        </w:rPr>
        <w:endnoteRef/>
      </w:r>
      <w:r>
        <w:t xml:space="preserve"> Stephen Smith MP, Minister for Defence, ‘</w:t>
      </w:r>
      <w:r w:rsidRPr="00896CC8">
        <w:t>Sex Discrimination Commissioner to lead review of the Australian Defence Force Academy and the Australian Defence Force</w:t>
      </w:r>
      <w:r>
        <w:t xml:space="preserve">’ (Media Release, 11 April 2011). At </w:t>
      </w:r>
      <w:hyperlink r:id="rId78" w:history="1">
        <w:r w:rsidRPr="0043095B">
          <w:rPr>
            <w:rStyle w:val="Hyperlink"/>
          </w:rPr>
          <w:t>http://parlinfo.aph.gov.au/parlInfo/search/display/display.w3p;query=Id%3A%22media%2Fpressrel%2F803613%22</w:t>
        </w:r>
      </w:hyperlink>
      <w:r>
        <w:t xml:space="preserve"> (viewed 11 January 2017). </w:t>
      </w:r>
    </w:p>
  </w:endnote>
  <w:endnote w:id="76">
    <w:p w14:paraId="38EC0178" w14:textId="77777777" w:rsidR="00547168" w:rsidRPr="001F789A" w:rsidRDefault="00547168">
      <w:pPr>
        <w:pStyle w:val="EndnoteText"/>
      </w:pPr>
      <w:r>
        <w:rPr>
          <w:rStyle w:val="EndnoteReference"/>
        </w:rPr>
        <w:endnoteRef/>
      </w:r>
      <w:r>
        <w:t xml:space="preserve"> ABC Television, ‘</w:t>
      </w:r>
      <w:r w:rsidRPr="001F789A">
        <w:t>Defence investigates webcam sex scandal</w:t>
      </w:r>
      <w:r>
        <w:t xml:space="preserve">’, </w:t>
      </w:r>
      <w:r>
        <w:rPr>
          <w:i/>
        </w:rPr>
        <w:t>Lateline</w:t>
      </w:r>
      <w:r>
        <w:t xml:space="preserve">, 5 April 2011. At </w:t>
      </w:r>
      <w:hyperlink r:id="rId79" w:history="1">
        <w:r w:rsidRPr="0043095B">
          <w:rPr>
            <w:rStyle w:val="Hyperlink"/>
          </w:rPr>
          <w:t>http://www.abc.net.au/lateline/content/2011/s3183257.htm</w:t>
        </w:r>
      </w:hyperlink>
      <w:r>
        <w:t xml:space="preserve"> (viewed 11 January 2017). </w:t>
      </w:r>
    </w:p>
  </w:endnote>
  <w:endnote w:id="77">
    <w:p w14:paraId="510129BE" w14:textId="77777777" w:rsidR="00547168" w:rsidRPr="00161734" w:rsidRDefault="00547168" w:rsidP="004A72EC">
      <w:pPr>
        <w:pStyle w:val="EndnoteText"/>
        <w:rPr>
          <w:i/>
        </w:rPr>
      </w:pPr>
      <w:r>
        <w:rPr>
          <w:rStyle w:val="EndnoteReference"/>
        </w:rPr>
        <w:endnoteRef/>
      </w:r>
      <w:r>
        <w:t xml:space="preserve"> Australian Human Rights Commission, </w:t>
      </w:r>
      <w:r w:rsidRPr="00161734">
        <w:rPr>
          <w:i/>
        </w:rPr>
        <w:t>Report on the Review into the Treatment of Women in the Australian Defence Force Academy: Phase 1 of the Review into the Treatment of Women</w:t>
      </w:r>
    </w:p>
    <w:p w14:paraId="34AB2D00" w14:textId="77777777" w:rsidR="00547168" w:rsidRDefault="00547168" w:rsidP="004A72EC">
      <w:pPr>
        <w:pStyle w:val="EndnoteText"/>
      </w:pPr>
      <w:r w:rsidRPr="00161734">
        <w:rPr>
          <w:i/>
        </w:rPr>
        <w:t>in the Australian Defence Force</w:t>
      </w:r>
      <w:r>
        <w:t xml:space="preserve"> (2011). At </w:t>
      </w:r>
      <w:hyperlink r:id="rId80" w:history="1">
        <w:r w:rsidRPr="0043095B">
          <w:rPr>
            <w:rStyle w:val="Hyperlink"/>
          </w:rPr>
          <w:t>http://defencereview.humanrights.gov.au/report-review-treatment-women-australian-defence-force-academy</w:t>
        </w:r>
      </w:hyperlink>
      <w:r>
        <w:t xml:space="preserve"> (viewed 11 January 2017). </w:t>
      </w:r>
    </w:p>
  </w:endnote>
  <w:endnote w:id="78">
    <w:p w14:paraId="25EA1DB6" w14:textId="77777777" w:rsidR="00547168" w:rsidRDefault="00547168" w:rsidP="004A72EC">
      <w:pPr>
        <w:pStyle w:val="EndnoteText"/>
      </w:pPr>
      <w:r>
        <w:rPr>
          <w:rStyle w:val="EndnoteReference"/>
        </w:rPr>
        <w:endnoteRef/>
      </w:r>
      <w:r>
        <w:t xml:space="preserve"> Australian Human Rights Commission, </w:t>
      </w:r>
      <w:r w:rsidRPr="00CF6E95">
        <w:rPr>
          <w:i/>
        </w:rPr>
        <w:t>Report on the Review into the Treatment of Women in the Australian Defence Force: Phase 2 of the Review into the Treatment of Women in the Australian Defence Force</w:t>
      </w:r>
      <w:r>
        <w:t xml:space="preserve"> (2012). At </w:t>
      </w:r>
      <w:hyperlink r:id="rId81" w:history="1">
        <w:r w:rsidRPr="0043095B">
          <w:rPr>
            <w:rStyle w:val="Hyperlink"/>
          </w:rPr>
          <w:t>http://defencereview.humanrights.gov.au/report-review-treatment-women-australian-defence-force</w:t>
        </w:r>
      </w:hyperlink>
      <w:r>
        <w:t xml:space="preserve"> (viewed 11 January 2017). </w:t>
      </w:r>
    </w:p>
  </w:endnote>
  <w:endnote w:id="79">
    <w:p w14:paraId="21829840" w14:textId="77777777" w:rsidR="00547168" w:rsidRDefault="00547168">
      <w:pPr>
        <w:pStyle w:val="EndnoteText"/>
      </w:pPr>
      <w:r>
        <w:rPr>
          <w:rStyle w:val="EndnoteReference"/>
        </w:rPr>
        <w:endnoteRef/>
      </w:r>
      <w:r>
        <w:t xml:space="preserve"> Australian Human Rights Commission, </w:t>
      </w:r>
      <w:r w:rsidRPr="00CF6E95">
        <w:rPr>
          <w:i/>
        </w:rPr>
        <w:t>Review into the Treatment of Women at the Australian Defence Force Academy: Audit Report</w:t>
      </w:r>
      <w:r>
        <w:t xml:space="preserve"> (2013). At </w:t>
      </w:r>
      <w:hyperlink r:id="rId82" w:history="1">
        <w:r w:rsidRPr="0043095B">
          <w:rPr>
            <w:rStyle w:val="Hyperlink"/>
          </w:rPr>
          <w:t>http://www.humanrights.gov.au/our-work/sex-discrimination/publications/audit-report-review-treatment-women-australian-defence</w:t>
        </w:r>
      </w:hyperlink>
      <w:r>
        <w:t xml:space="preserve"> (viewed 11 January 2017); Australian Human Rights Commission, </w:t>
      </w:r>
      <w:r w:rsidRPr="00B041F2">
        <w:rPr>
          <w:i/>
        </w:rPr>
        <w:t xml:space="preserve">Review into the Treatment of Women in the Australian Defence Force: Audit Report </w:t>
      </w:r>
      <w:r>
        <w:t xml:space="preserve">(2014). At </w:t>
      </w:r>
      <w:hyperlink r:id="rId83" w:history="1">
        <w:r w:rsidRPr="0043095B">
          <w:rPr>
            <w:rStyle w:val="Hyperlink"/>
          </w:rPr>
          <w:t>http://www.humanrights.gov.au/our-work/sex-discrimination/publications/review-treatment-women-australian-defence-force-audit</w:t>
        </w:r>
      </w:hyperlink>
      <w:r>
        <w:t xml:space="preserve"> (viewed 11 January 2017).</w:t>
      </w:r>
    </w:p>
  </w:endnote>
  <w:endnote w:id="80">
    <w:p w14:paraId="2A178D84" w14:textId="77777777" w:rsidR="00547168" w:rsidRPr="00487436" w:rsidRDefault="00547168" w:rsidP="00FF5537">
      <w:pPr>
        <w:pStyle w:val="EndnoteText"/>
      </w:pPr>
      <w:r>
        <w:rPr>
          <w:rStyle w:val="EndnoteReference"/>
        </w:rPr>
        <w:endnoteRef/>
      </w:r>
      <w:r>
        <w:t xml:space="preserve"> Department of Defence, </w:t>
      </w:r>
      <w:r w:rsidRPr="006E3446">
        <w:rPr>
          <w:i/>
        </w:rPr>
        <w:t>Pathway to Change: Evolving Defence Culture</w:t>
      </w:r>
      <w:r>
        <w:t xml:space="preserve"> (2012). At </w:t>
      </w:r>
      <w:hyperlink r:id="rId84" w:history="1">
        <w:r w:rsidRPr="0043095B">
          <w:rPr>
            <w:rStyle w:val="Hyperlink"/>
          </w:rPr>
          <w:t>http://www.defence.gov.au/PathwayToChange/Docs/120410%20Pathway%20to%20Change%20-%20Evolving%20Defence%20Culture%20-%20web%20version.pdf</w:t>
        </w:r>
      </w:hyperlink>
      <w:r>
        <w:t xml:space="preserve"> (viewed 11 January 2017).</w:t>
      </w:r>
    </w:p>
  </w:endnote>
  <w:endnote w:id="81">
    <w:p w14:paraId="649CD89E" w14:textId="77777777" w:rsidR="00547168" w:rsidRDefault="00547168" w:rsidP="005A361E">
      <w:pPr>
        <w:pStyle w:val="EndnoteText"/>
      </w:pPr>
      <w:r>
        <w:rPr>
          <w:rStyle w:val="EndnoteReference"/>
        </w:rPr>
        <w:endnoteRef/>
      </w:r>
      <w:r>
        <w:t xml:space="preserve"> National Union of Students Women’s Department, </w:t>
      </w:r>
      <w:r>
        <w:rPr>
          <w:i/>
        </w:rPr>
        <w:t xml:space="preserve">Talk About It: Report 2015 </w:t>
      </w:r>
      <w:r>
        <w:t xml:space="preserve">(2016). At </w:t>
      </w:r>
      <w:hyperlink r:id="rId85" w:history="1">
        <w:r w:rsidRPr="0043095B">
          <w:rPr>
            <w:rStyle w:val="Hyperlink"/>
          </w:rPr>
          <w:t>https://d3n8a8pro7vhmx.cloudfront.net/nus/pages/144/attachments/original/1454369041/Talk_about_it_Survey_Report.pdf?1454369041</w:t>
        </w:r>
      </w:hyperlink>
      <w:r>
        <w:t xml:space="preserve"> (viewed 11 January 2017).</w:t>
      </w:r>
    </w:p>
  </w:endnote>
  <w:endnote w:id="82">
    <w:p w14:paraId="702F132A" w14:textId="77777777" w:rsidR="00547168" w:rsidRPr="00AC0D22" w:rsidRDefault="00547168" w:rsidP="00B6487F">
      <w:pPr>
        <w:pStyle w:val="EndnoteText"/>
      </w:pPr>
      <w:r>
        <w:rPr>
          <w:rStyle w:val="EndnoteReference"/>
        </w:rPr>
        <w:endnoteRef/>
      </w:r>
      <w:r>
        <w:t xml:space="preserve"> National Union of Students Women’s Department, </w:t>
      </w:r>
      <w:r>
        <w:rPr>
          <w:i/>
        </w:rPr>
        <w:t xml:space="preserve">Talk About It: Report 2015 </w:t>
      </w:r>
      <w:r>
        <w:t xml:space="preserve">(2016) 15, 18, 20. At </w:t>
      </w:r>
      <w:hyperlink r:id="rId86" w:history="1">
        <w:r w:rsidRPr="0043095B">
          <w:rPr>
            <w:rStyle w:val="Hyperlink"/>
          </w:rPr>
          <w:t>https://d3n8a8pro7vhmx.cloudfront.net/nus/pages/144/attachments/original/1454369041/Talk_about_it_Survey_Report.pdf?1454369041</w:t>
        </w:r>
      </w:hyperlink>
      <w:r>
        <w:t xml:space="preserve"> (viewed 11 January 2017). </w:t>
      </w:r>
    </w:p>
  </w:endnote>
  <w:endnote w:id="83">
    <w:p w14:paraId="58FF366E" w14:textId="77777777" w:rsidR="00547168" w:rsidRPr="00AC0D22" w:rsidRDefault="00547168" w:rsidP="00611B0F">
      <w:pPr>
        <w:pStyle w:val="EndnoteText"/>
      </w:pPr>
      <w:r>
        <w:rPr>
          <w:rStyle w:val="EndnoteReference"/>
        </w:rPr>
        <w:endnoteRef/>
      </w:r>
      <w:r>
        <w:t xml:space="preserve"> National Union of Students Women’s Department, </w:t>
      </w:r>
      <w:r>
        <w:rPr>
          <w:i/>
        </w:rPr>
        <w:t xml:space="preserve">Talk About It: Report 2015 </w:t>
      </w:r>
      <w:r>
        <w:t xml:space="preserve">(2016) 22. At </w:t>
      </w:r>
      <w:hyperlink r:id="rId87" w:history="1">
        <w:r w:rsidRPr="0043095B">
          <w:rPr>
            <w:rStyle w:val="Hyperlink"/>
          </w:rPr>
          <w:t>https://d3n8a8pro7vhmx.cloudfront.net/nus/pages/144/attachments/original/1454369041/Talk_about_it_Survey_Report.pdf?1454369041</w:t>
        </w:r>
      </w:hyperlink>
      <w:r>
        <w:t xml:space="preserve"> (viewed 11 January 2017). </w:t>
      </w:r>
    </w:p>
  </w:endnote>
  <w:endnote w:id="84">
    <w:p w14:paraId="51D803AF" w14:textId="77777777" w:rsidR="00547168" w:rsidRDefault="00547168">
      <w:pPr>
        <w:pStyle w:val="EndnoteText"/>
      </w:pPr>
      <w:r>
        <w:rPr>
          <w:rStyle w:val="EndnoteReference"/>
        </w:rPr>
        <w:endnoteRef/>
      </w:r>
      <w:r>
        <w:t xml:space="preserve"> Universities Australia, </w:t>
      </w:r>
      <w:r w:rsidRPr="008E3380">
        <w:rPr>
          <w:i/>
        </w:rPr>
        <w:t>Respect. Now. Always</w:t>
      </w:r>
      <w:r>
        <w:t xml:space="preserve"> (12 February 2016). At </w:t>
      </w:r>
      <w:hyperlink r:id="rId88" w:history="1">
        <w:r w:rsidRPr="0043095B">
          <w:rPr>
            <w:rStyle w:val="Hyperlink"/>
          </w:rPr>
          <w:t>https://www.universitiesaustralia.edu.au/uni-participation-quality/students/Student-safety/Respect--Now--Always-</w:t>
        </w:r>
      </w:hyperlink>
      <w:r>
        <w:t xml:space="preserve"> (viewed 11 January 2017). </w:t>
      </w:r>
    </w:p>
  </w:endnote>
  <w:endnote w:id="85">
    <w:p w14:paraId="671235BA" w14:textId="77777777" w:rsidR="00547168" w:rsidRDefault="00547168" w:rsidP="00254ED6">
      <w:pPr>
        <w:pStyle w:val="EndnoteText"/>
      </w:pPr>
      <w:r>
        <w:rPr>
          <w:rStyle w:val="EndnoteReference"/>
        </w:rPr>
        <w:endnoteRef/>
      </w:r>
      <w:r>
        <w:t xml:space="preserve"> For further information about the survey, see </w:t>
      </w:r>
      <w:hyperlink r:id="rId89" w:history="1">
        <w:r w:rsidRPr="0043095B">
          <w:rPr>
            <w:rStyle w:val="Hyperlink"/>
          </w:rPr>
          <w:t>https://www.humanrights.gov.au/our-work/sex-discrimination/projects/university-sexual-assault-and-sexual-harassment-project</w:t>
        </w:r>
      </w:hyperlink>
      <w:r>
        <w:t xml:space="preserve"> </w:t>
      </w:r>
    </w:p>
  </w:endnote>
  <w:endnote w:id="86">
    <w:p w14:paraId="40A402A7" w14:textId="77777777" w:rsidR="00547168" w:rsidRDefault="00547168">
      <w:pPr>
        <w:pStyle w:val="EndnoteText"/>
      </w:pPr>
      <w:r>
        <w:rPr>
          <w:rStyle w:val="EndnoteReference"/>
        </w:rPr>
        <w:endnoteRef/>
      </w:r>
      <w:r>
        <w:t xml:space="preserve"> Australian Human Rights Commission, </w:t>
      </w:r>
      <w:r w:rsidRPr="00A143FF">
        <w:rPr>
          <w:i/>
        </w:rPr>
        <w:t>Children’s Rights Report 2015</w:t>
      </w:r>
      <w:r>
        <w:t xml:space="preserve"> (2015). At </w:t>
      </w:r>
      <w:hyperlink r:id="rId90" w:history="1">
        <w:r w:rsidRPr="00066840">
          <w:rPr>
            <w:rStyle w:val="Hyperlink"/>
          </w:rPr>
          <w:t>https://www.humanrights.gov.au/our-work/childrens-rights/publications/childrens-rights-report-2015</w:t>
        </w:r>
      </w:hyperlink>
      <w:r>
        <w:t xml:space="preserve"> (viewed 13 January 2017). </w:t>
      </w:r>
    </w:p>
  </w:endnote>
  <w:endnote w:id="87">
    <w:p w14:paraId="6F069197" w14:textId="77777777" w:rsidR="00547168" w:rsidRDefault="00547168" w:rsidP="009C1DD5">
      <w:pPr>
        <w:pStyle w:val="EndnoteText"/>
      </w:pPr>
      <w:r>
        <w:rPr>
          <w:rStyle w:val="EndnoteReference"/>
        </w:rPr>
        <w:endnoteRef/>
      </w:r>
      <w:r>
        <w:t xml:space="preserve"> </w:t>
      </w:r>
      <w:r w:rsidRPr="00283442">
        <w:t xml:space="preserve">Australian Bureau of Statistics, </w:t>
      </w:r>
      <w:r w:rsidRPr="00283442">
        <w:rPr>
          <w:i/>
        </w:rPr>
        <w:t>Personal Safety, Australia, 2012 (cat 4906.0)</w:t>
      </w:r>
      <w:r w:rsidRPr="00283442">
        <w:t xml:space="preserve"> (2013) Table 1. At </w:t>
      </w:r>
      <w:hyperlink r:id="rId91" w:history="1">
        <w:r w:rsidRPr="00283442">
          <w:rPr>
            <w:rStyle w:val="Hyperlink"/>
          </w:rPr>
          <w:t>http://www.abs.gov.au/ausstats/abs@.nsf/mf/4906.0</w:t>
        </w:r>
      </w:hyperlink>
      <w:r>
        <w:t xml:space="preserve"> (viewed 13 January 2017).</w:t>
      </w:r>
    </w:p>
  </w:endnote>
  <w:endnote w:id="88">
    <w:p w14:paraId="6A0C2E49" w14:textId="77777777" w:rsidR="00547168" w:rsidRDefault="00547168" w:rsidP="009C1DD5">
      <w:pPr>
        <w:pStyle w:val="EndnoteText"/>
      </w:pPr>
      <w:r>
        <w:rPr>
          <w:rStyle w:val="EndnoteReference"/>
        </w:rPr>
        <w:endnoteRef/>
      </w:r>
      <w:r>
        <w:t xml:space="preserve"> Australian Bureau of Statistics, </w:t>
      </w:r>
      <w:r w:rsidRPr="00F55652">
        <w:rPr>
          <w:i/>
        </w:rPr>
        <w:t>Recorded Crime - Victims, Australia, 2014</w:t>
      </w:r>
      <w:r>
        <w:t xml:space="preserve"> (</w:t>
      </w:r>
      <w:r w:rsidRPr="00F55652">
        <w:rPr>
          <w:i/>
        </w:rPr>
        <w:t>cat 4510.0</w:t>
      </w:r>
      <w:r>
        <w:t xml:space="preserve">) (2015). At </w:t>
      </w:r>
      <w:hyperlink r:id="rId92" w:history="1">
        <w:r w:rsidRPr="009F2089">
          <w:rPr>
            <w:rStyle w:val="Hyperlink"/>
          </w:rPr>
          <w:t>http://www.abs.gov.au/ausstats/abs@.nsf/Lookup/by%20Subject/4510.0~2014~Main%20Features~Introduction~3</w:t>
        </w:r>
      </w:hyperlink>
      <w:r>
        <w:t xml:space="preserve"> (viewed 11 January 2017).</w:t>
      </w:r>
    </w:p>
  </w:endnote>
  <w:endnote w:id="89">
    <w:p w14:paraId="70589E07" w14:textId="77777777" w:rsidR="00547168" w:rsidRPr="00283442" w:rsidRDefault="00547168" w:rsidP="009C1DD5">
      <w:pPr>
        <w:pStyle w:val="EndnoteText"/>
      </w:pPr>
      <w:r>
        <w:rPr>
          <w:rStyle w:val="EndnoteReference"/>
        </w:rPr>
        <w:endnoteRef/>
      </w:r>
      <w:r>
        <w:t xml:space="preserve"> </w:t>
      </w:r>
      <w:r w:rsidRPr="00283442">
        <w:t xml:space="preserve">Australian Human Rights Commission, </w:t>
      </w:r>
      <w:r w:rsidRPr="00283442">
        <w:rPr>
          <w:i/>
        </w:rPr>
        <w:t>Children’s Rights Report 2015</w:t>
      </w:r>
      <w:r w:rsidRPr="00283442">
        <w:t xml:space="preserve"> (2015)</w:t>
      </w:r>
      <w:r>
        <w:t xml:space="preserve"> 112</w:t>
      </w:r>
      <w:r w:rsidRPr="00283442">
        <w:t xml:space="preserve">. At </w:t>
      </w:r>
      <w:hyperlink r:id="rId93" w:history="1">
        <w:r w:rsidRPr="00283442">
          <w:rPr>
            <w:rStyle w:val="Hyperlink"/>
          </w:rPr>
          <w:t>https://www.humanrights.gov.au/our-work/childrens-rights/publications/childrens-rights-report-2015</w:t>
        </w:r>
      </w:hyperlink>
      <w:r w:rsidRPr="00283442">
        <w:t xml:space="preserve"> (viewed 13 January 2017).</w:t>
      </w:r>
    </w:p>
  </w:endnote>
  <w:endnote w:id="90">
    <w:p w14:paraId="12B367E2" w14:textId="77777777" w:rsidR="00547168" w:rsidRPr="00283442" w:rsidRDefault="00547168" w:rsidP="009C1DD5">
      <w:pPr>
        <w:pStyle w:val="EndnoteText"/>
      </w:pPr>
      <w:r>
        <w:rPr>
          <w:rStyle w:val="EndnoteReference"/>
        </w:rPr>
        <w:endnoteRef/>
      </w:r>
      <w:r>
        <w:t xml:space="preserve"> </w:t>
      </w:r>
      <w:r w:rsidRPr="00283442">
        <w:t xml:space="preserve">Australian Human Rights Commission, </w:t>
      </w:r>
      <w:r w:rsidRPr="00283442">
        <w:rPr>
          <w:i/>
        </w:rPr>
        <w:t>Children’s Rights Report 2015</w:t>
      </w:r>
      <w:r w:rsidRPr="00283442">
        <w:t xml:space="preserve"> (2015)</w:t>
      </w:r>
      <w:r>
        <w:t xml:space="preserve"> 209-241</w:t>
      </w:r>
      <w:r w:rsidRPr="00283442">
        <w:t xml:space="preserve">. At </w:t>
      </w:r>
      <w:hyperlink r:id="rId94" w:history="1">
        <w:r w:rsidRPr="00283442">
          <w:rPr>
            <w:rStyle w:val="Hyperlink"/>
          </w:rPr>
          <w:t>https://www.humanrights.gov.au/our-work/childrens-rights/publications/childrens-rights-report-2015</w:t>
        </w:r>
      </w:hyperlink>
      <w:r w:rsidRPr="00283442">
        <w:t xml:space="preserve"> (viewed 13 January 2017).</w:t>
      </w:r>
    </w:p>
  </w:endnote>
  <w:endnote w:id="91">
    <w:p w14:paraId="07A50DF7" w14:textId="77777777" w:rsidR="00547168" w:rsidRPr="00283442" w:rsidRDefault="00547168" w:rsidP="009C1DD5">
      <w:pPr>
        <w:pStyle w:val="EndnoteText"/>
      </w:pPr>
      <w:r>
        <w:rPr>
          <w:rStyle w:val="EndnoteReference"/>
        </w:rPr>
        <w:endnoteRef/>
      </w:r>
      <w:r>
        <w:t xml:space="preserve"> </w:t>
      </w:r>
      <w:r w:rsidRPr="00283442">
        <w:t xml:space="preserve">Australian Human Rights Commission, </w:t>
      </w:r>
      <w:r w:rsidRPr="00283442">
        <w:rPr>
          <w:i/>
        </w:rPr>
        <w:t>Children’s Rights Report 2015</w:t>
      </w:r>
      <w:r w:rsidRPr="00283442">
        <w:t xml:space="preserve"> (2015)</w:t>
      </w:r>
      <w:r>
        <w:t xml:space="preserve"> 161-163</w:t>
      </w:r>
      <w:r w:rsidRPr="00283442">
        <w:t xml:space="preserve">. At </w:t>
      </w:r>
      <w:hyperlink r:id="rId95" w:history="1">
        <w:r w:rsidRPr="00283442">
          <w:rPr>
            <w:rStyle w:val="Hyperlink"/>
          </w:rPr>
          <w:t>https://www.humanrights.gov.au/our-work/childrens-rights/publications/childrens-rights-report-2015</w:t>
        </w:r>
      </w:hyperlink>
      <w:r w:rsidRPr="00283442">
        <w:t xml:space="preserve"> (viewed 13 January 2017).</w:t>
      </w:r>
    </w:p>
  </w:endnote>
  <w:endnote w:id="92">
    <w:p w14:paraId="62156D6F" w14:textId="77777777" w:rsidR="00547168" w:rsidRPr="00283442" w:rsidRDefault="00547168" w:rsidP="009C1DD5">
      <w:pPr>
        <w:pStyle w:val="EndnoteText"/>
      </w:pPr>
      <w:r>
        <w:rPr>
          <w:rStyle w:val="EndnoteReference"/>
        </w:rPr>
        <w:endnoteRef/>
      </w:r>
      <w:r>
        <w:t xml:space="preserve"> </w:t>
      </w:r>
      <w:r w:rsidRPr="00283442">
        <w:t xml:space="preserve">Australian Human Rights Commission, </w:t>
      </w:r>
      <w:r w:rsidRPr="00283442">
        <w:rPr>
          <w:i/>
        </w:rPr>
        <w:t>Children’s Rights Report 2015</w:t>
      </w:r>
      <w:r w:rsidRPr="00283442">
        <w:t xml:space="preserve"> (2015)</w:t>
      </w:r>
      <w:r>
        <w:t xml:space="preserve"> 152</w:t>
      </w:r>
      <w:r w:rsidRPr="00283442">
        <w:t xml:space="preserve">. At </w:t>
      </w:r>
      <w:hyperlink r:id="rId96" w:history="1">
        <w:r w:rsidRPr="00283442">
          <w:rPr>
            <w:rStyle w:val="Hyperlink"/>
          </w:rPr>
          <w:t>https://www.humanrights.gov.au/our-work/childrens-rights/publications/childrens-rights-report-2015</w:t>
        </w:r>
      </w:hyperlink>
      <w:r w:rsidRPr="00283442">
        <w:t xml:space="preserve"> (viewed 13 January 2017).</w:t>
      </w:r>
    </w:p>
  </w:endnote>
  <w:endnote w:id="93">
    <w:p w14:paraId="6B1417B5" w14:textId="77777777" w:rsidR="00547168" w:rsidRPr="00283442" w:rsidRDefault="00547168" w:rsidP="009C1DD5">
      <w:pPr>
        <w:pStyle w:val="EndnoteText"/>
      </w:pPr>
      <w:r>
        <w:rPr>
          <w:rStyle w:val="EndnoteReference"/>
        </w:rPr>
        <w:endnoteRef/>
      </w:r>
      <w:r>
        <w:t xml:space="preserve"> </w:t>
      </w:r>
      <w:r w:rsidRPr="00283442">
        <w:t xml:space="preserve">Australian Human Rights Commission, </w:t>
      </w:r>
      <w:r w:rsidRPr="00283442">
        <w:rPr>
          <w:i/>
        </w:rPr>
        <w:t>Children’s Rights Report 2015</w:t>
      </w:r>
      <w:r w:rsidRPr="00283442">
        <w:t xml:space="preserve"> (2015)</w:t>
      </w:r>
      <w:r>
        <w:t xml:space="preserve"> 163</w:t>
      </w:r>
      <w:r w:rsidRPr="00283442">
        <w:t xml:space="preserve">. At </w:t>
      </w:r>
      <w:hyperlink r:id="rId97" w:history="1">
        <w:r w:rsidRPr="00283442">
          <w:rPr>
            <w:rStyle w:val="Hyperlink"/>
          </w:rPr>
          <w:t>https://www.humanrights.gov.au/our-work/childrens-rights/publications/childrens-rights-report-2015</w:t>
        </w:r>
      </w:hyperlink>
      <w:r w:rsidRPr="00283442">
        <w:t xml:space="preserve"> (viewed 13 January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
    <w:altName w:val="Arial"/>
    <w:panose1 w:val="00000000000000000000"/>
    <w:charset w:val="00"/>
    <w:family w:val="swiss"/>
    <w:notTrueType/>
    <w:pitch w:val="default"/>
    <w:sig w:usb0="000002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A996" w14:textId="77777777" w:rsidR="00547168" w:rsidRPr="0090165F" w:rsidRDefault="0054716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15E" w14:textId="77777777" w:rsidR="00547168" w:rsidRPr="004A187B" w:rsidRDefault="00547168" w:rsidP="008B23BC">
    <w:pPr>
      <w:pStyle w:val="Footer"/>
    </w:pPr>
    <w:r>
      <w:rPr>
        <w:noProof/>
      </w:rPr>
      <mc:AlternateContent>
        <mc:Choice Requires="wps">
          <w:drawing>
            <wp:anchor distT="0" distB="0" distL="114300" distR="114300" simplePos="0" relativeHeight="251660288" behindDoc="0" locked="0" layoutInCell="1" allowOverlap="1" wp14:anchorId="7D956328" wp14:editId="6709FAD4">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3189CC8" w14:textId="77777777" w:rsidR="00547168" w:rsidRPr="0003606D" w:rsidRDefault="00547168" w:rsidP="0003606D">
                          <w:pPr>
                            <w:pStyle w:val="coveraddresses"/>
                          </w:pPr>
                          <w:r w:rsidRPr="0003606D">
                            <w:t>ABN 47 996 232 602</w:t>
                          </w:r>
                        </w:p>
                        <w:p w14:paraId="32435942" w14:textId="77777777" w:rsidR="00547168" w:rsidRPr="0003606D" w:rsidRDefault="00547168" w:rsidP="0003606D">
                          <w:pPr>
                            <w:pStyle w:val="coveraddresses"/>
                          </w:pPr>
                          <w:r w:rsidRPr="0003606D">
                            <w:t>Level 3, 175 Pitt Street, Sydney NSW 2000</w:t>
                          </w:r>
                        </w:p>
                        <w:p w14:paraId="5CC40015" w14:textId="77777777" w:rsidR="00547168" w:rsidRPr="0003606D" w:rsidRDefault="00547168" w:rsidP="0003606D">
                          <w:pPr>
                            <w:pStyle w:val="coveraddresses"/>
                          </w:pPr>
                          <w:r w:rsidRPr="0003606D">
                            <w:t>GPO Box 5218, Sydney NSW 2001</w:t>
                          </w:r>
                        </w:p>
                        <w:p w14:paraId="66440DED" w14:textId="77777777" w:rsidR="00547168" w:rsidRPr="0003606D" w:rsidRDefault="00547168" w:rsidP="0003606D">
                          <w:pPr>
                            <w:pStyle w:val="coveraddresses"/>
                          </w:pPr>
                          <w:r w:rsidRPr="0003606D">
                            <w:t>General enquiries 1300 369 711</w:t>
                          </w:r>
                        </w:p>
                        <w:p w14:paraId="5BD7374E" w14:textId="77777777" w:rsidR="00547168" w:rsidRPr="0003606D" w:rsidRDefault="00547168" w:rsidP="0003606D">
                          <w:pPr>
                            <w:pStyle w:val="coveraddresses"/>
                          </w:pPr>
                          <w:r w:rsidRPr="0003606D">
                            <w:t>Complaints info line 1300 656 419</w:t>
                          </w:r>
                        </w:p>
                        <w:p w14:paraId="6A718EFD" w14:textId="77777777" w:rsidR="00547168" w:rsidRPr="0003606D" w:rsidRDefault="00547168" w:rsidP="0003606D">
                          <w:pPr>
                            <w:pStyle w:val="coveraddresses"/>
                          </w:pPr>
                          <w:r w:rsidRPr="0003606D">
                            <w:t>TTY 1800 620 241</w:t>
                          </w:r>
                        </w:p>
                        <w:p w14:paraId="21877014" w14:textId="77777777" w:rsidR="00547168" w:rsidRPr="00B63D24" w:rsidRDefault="0054716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6328"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3189CC8" w14:textId="77777777" w:rsidR="00547168" w:rsidRPr="0003606D" w:rsidRDefault="00547168" w:rsidP="0003606D">
                    <w:pPr>
                      <w:pStyle w:val="coveraddresses"/>
                    </w:pPr>
                    <w:r w:rsidRPr="0003606D">
                      <w:t>ABN 47 996 232 602</w:t>
                    </w:r>
                  </w:p>
                  <w:p w14:paraId="32435942" w14:textId="77777777" w:rsidR="00547168" w:rsidRPr="0003606D" w:rsidRDefault="00547168" w:rsidP="0003606D">
                    <w:pPr>
                      <w:pStyle w:val="coveraddresses"/>
                    </w:pPr>
                    <w:r w:rsidRPr="0003606D">
                      <w:t>Level 3, 175 Pitt Street, Sydney NSW 2000</w:t>
                    </w:r>
                  </w:p>
                  <w:p w14:paraId="5CC40015" w14:textId="77777777" w:rsidR="00547168" w:rsidRPr="0003606D" w:rsidRDefault="00547168" w:rsidP="0003606D">
                    <w:pPr>
                      <w:pStyle w:val="coveraddresses"/>
                    </w:pPr>
                    <w:r w:rsidRPr="0003606D">
                      <w:t>GPO Box 5218, Sydney NSW 2001</w:t>
                    </w:r>
                  </w:p>
                  <w:p w14:paraId="66440DED" w14:textId="77777777" w:rsidR="00547168" w:rsidRPr="0003606D" w:rsidRDefault="00547168" w:rsidP="0003606D">
                    <w:pPr>
                      <w:pStyle w:val="coveraddresses"/>
                    </w:pPr>
                    <w:r w:rsidRPr="0003606D">
                      <w:t>General enquiries 1300 369 711</w:t>
                    </w:r>
                  </w:p>
                  <w:p w14:paraId="5BD7374E" w14:textId="77777777" w:rsidR="00547168" w:rsidRPr="0003606D" w:rsidRDefault="00547168" w:rsidP="0003606D">
                    <w:pPr>
                      <w:pStyle w:val="coveraddresses"/>
                    </w:pPr>
                    <w:r w:rsidRPr="0003606D">
                      <w:t>Complaints info line 1300 656 419</w:t>
                    </w:r>
                  </w:p>
                  <w:p w14:paraId="6A718EFD" w14:textId="77777777" w:rsidR="00547168" w:rsidRPr="0003606D" w:rsidRDefault="00547168" w:rsidP="0003606D">
                    <w:pPr>
                      <w:pStyle w:val="coveraddresses"/>
                    </w:pPr>
                    <w:r w:rsidRPr="0003606D">
                      <w:t>TTY 1800 620 241</w:t>
                    </w:r>
                  </w:p>
                  <w:p w14:paraId="21877014" w14:textId="77777777" w:rsidR="00547168" w:rsidRPr="00B63D24" w:rsidRDefault="0054716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9F96" w14:textId="335EADAB" w:rsidR="00547168" w:rsidRPr="0090165F" w:rsidRDefault="0054716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00312">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5D2F" w14:textId="77777777" w:rsidR="00547168" w:rsidRDefault="00547168" w:rsidP="00F14C6D">
      <w:r>
        <w:separator/>
      </w:r>
    </w:p>
  </w:footnote>
  <w:footnote w:type="continuationSeparator" w:id="0">
    <w:p w14:paraId="33A9119C" w14:textId="77777777" w:rsidR="00547168" w:rsidRDefault="0054716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4AF1" w14:textId="77777777" w:rsidR="00547168" w:rsidRDefault="00D00312">
    <w:pPr>
      <w:pStyle w:val="Header"/>
    </w:pPr>
    <w:r>
      <w:rPr>
        <w:noProof/>
      </w:rPr>
      <w:pict w14:anchorId="2E44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A7C" w14:textId="77777777" w:rsidR="00547168" w:rsidRPr="00D27262" w:rsidRDefault="00D00312" w:rsidP="002B1B65">
    <w:pPr>
      <w:spacing w:before="0" w:after="0"/>
      <w:jc w:val="right"/>
      <w:rPr>
        <w:sz w:val="22"/>
        <w:szCs w:val="22"/>
      </w:rPr>
    </w:pPr>
    <w:r>
      <w:rPr>
        <w:noProof/>
        <w:sz w:val="22"/>
        <w:szCs w:val="22"/>
      </w:rPr>
      <w:pict w14:anchorId="200BB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47168" w:rsidRPr="00D27262">
      <w:rPr>
        <w:sz w:val="22"/>
        <w:szCs w:val="22"/>
      </w:rPr>
      <w:t>Au</w:t>
    </w:r>
    <w:r w:rsidR="00547168">
      <w:rPr>
        <w:sz w:val="22"/>
        <w:szCs w:val="22"/>
      </w:rPr>
      <w:t>stralian Human Rights Commission</w:t>
    </w:r>
  </w:p>
  <w:p w14:paraId="4A7BD29C" w14:textId="77777777" w:rsidR="00547168" w:rsidRDefault="0054716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47168" w:rsidRPr="00B85DD4" w14:paraId="40C0BD5B" w14:textId="77777777" w:rsidTr="00165E3C">
      <w:trPr>
        <w:trHeight w:val="1276"/>
      </w:trPr>
      <w:tc>
        <w:tcPr>
          <w:tcW w:w="1508" w:type="dxa"/>
        </w:tcPr>
        <w:p w14:paraId="2EC88696" w14:textId="77777777" w:rsidR="00547168" w:rsidRPr="00B85DD4" w:rsidRDefault="00547168" w:rsidP="00B520BC">
          <w:pPr>
            <w:pStyle w:val="Header"/>
            <w:tabs>
              <w:tab w:val="left" w:pos="4686"/>
              <w:tab w:val="left" w:pos="7088"/>
              <w:tab w:val="left" w:pos="7242"/>
            </w:tabs>
            <w:ind w:left="-108"/>
            <w:rPr>
              <w:rFonts w:cs="ArialMT"/>
              <w:b/>
              <w:spacing w:val="-20"/>
            </w:rPr>
          </w:pPr>
        </w:p>
      </w:tc>
      <w:tc>
        <w:tcPr>
          <w:tcW w:w="2688" w:type="dxa"/>
          <w:vAlign w:val="center"/>
        </w:tcPr>
        <w:p w14:paraId="5DDFEDE0" w14:textId="77777777" w:rsidR="00547168" w:rsidRPr="00B85DD4" w:rsidRDefault="00547168" w:rsidP="002B1B65">
          <w:pPr>
            <w:spacing w:before="0" w:after="0"/>
            <w:rPr>
              <w:rFonts w:cs="ArialMT"/>
              <w:i/>
              <w:color w:val="808080"/>
              <w:sz w:val="17"/>
            </w:rPr>
          </w:pPr>
        </w:p>
      </w:tc>
      <w:tc>
        <w:tcPr>
          <w:tcW w:w="2302" w:type="dxa"/>
        </w:tcPr>
        <w:p w14:paraId="72B58BDB" w14:textId="77777777" w:rsidR="00547168" w:rsidRPr="00B85DD4" w:rsidRDefault="00547168" w:rsidP="00B520BC">
          <w:pPr>
            <w:pStyle w:val="HeaderFooter"/>
            <w:rPr>
              <w:b/>
              <w:spacing w:val="-20"/>
              <w:sz w:val="40"/>
            </w:rPr>
          </w:pPr>
        </w:p>
      </w:tc>
      <w:tc>
        <w:tcPr>
          <w:tcW w:w="2130" w:type="dxa"/>
        </w:tcPr>
        <w:p w14:paraId="39C33676" w14:textId="77777777" w:rsidR="00547168" w:rsidRPr="00B85DD4" w:rsidRDefault="00547168" w:rsidP="00B520BC">
          <w:pPr>
            <w:pStyle w:val="HeaderFooter"/>
            <w:rPr>
              <w:b/>
              <w:spacing w:val="-20"/>
              <w:sz w:val="40"/>
            </w:rPr>
          </w:pPr>
        </w:p>
      </w:tc>
      <w:tc>
        <w:tcPr>
          <w:tcW w:w="1721" w:type="dxa"/>
        </w:tcPr>
        <w:p w14:paraId="110D27E9" w14:textId="77777777" w:rsidR="00547168" w:rsidRPr="00B85DD4" w:rsidRDefault="00547168" w:rsidP="00B520BC">
          <w:pPr>
            <w:pStyle w:val="HeaderFooter"/>
            <w:spacing w:before="227" w:after="340"/>
            <w:rPr>
              <w:b/>
              <w:spacing w:val="-20"/>
              <w:sz w:val="40"/>
            </w:rPr>
          </w:pPr>
        </w:p>
      </w:tc>
    </w:tr>
  </w:tbl>
  <w:p w14:paraId="3D2D303D" w14:textId="77777777" w:rsidR="00547168" w:rsidRDefault="00D00312">
    <w:pPr>
      <w:pStyle w:val="Header"/>
    </w:pPr>
    <w:r>
      <w:rPr>
        <w:rFonts w:cs="ArialMT"/>
        <w:b/>
        <w:noProof/>
        <w:spacing w:val="-20"/>
      </w:rPr>
      <w:pict w14:anchorId="7BF4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E265" w14:textId="77777777" w:rsidR="00547168" w:rsidRDefault="00D00312">
    <w:pPr>
      <w:pStyle w:val="Header"/>
    </w:pPr>
    <w:r>
      <w:rPr>
        <w:noProof/>
      </w:rPr>
      <w:pict w14:anchorId="04E87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3106" w14:textId="77777777" w:rsidR="00547168" w:rsidRPr="00D27262" w:rsidRDefault="00547168" w:rsidP="00B34946">
    <w:pPr>
      <w:spacing w:before="0" w:after="60"/>
      <w:jc w:val="right"/>
      <w:rPr>
        <w:sz w:val="22"/>
        <w:szCs w:val="22"/>
      </w:rPr>
    </w:pPr>
    <w:r w:rsidRPr="00D27262">
      <w:rPr>
        <w:sz w:val="22"/>
        <w:szCs w:val="22"/>
      </w:rPr>
      <w:t>Au</w:t>
    </w:r>
    <w:r>
      <w:rPr>
        <w:sz w:val="22"/>
        <w:szCs w:val="22"/>
      </w:rPr>
      <w:t>stralian Human Rights Commission</w:t>
    </w:r>
  </w:p>
  <w:p w14:paraId="0CC97AAA" w14:textId="76932F5F" w:rsidR="00547168" w:rsidRPr="00D729AD" w:rsidRDefault="00547168" w:rsidP="002F4CE1">
    <w:pPr>
      <w:pStyle w:val="Footer"/>
      <w:spacing w:after="240"/>
      <w:jc w:val="right"/>
      <w:rPr>
        <w:i/>
        <w:szCs w:val="18"/>
      </w:rPr>
    </w:pPr>
    <w:r w:rsidRPr="004D6CA4">
      <w:rPr>
        <w:b/>
        <w:i/>
        <w:szCs w:val="18"/>
      </w:rPr>
      <w:t>Special Rapporteur on violence against women</w:t>
    </w:r>
    <w:r w:rsidRPr="004D6CA4">
      <w:rPr>
        <w:i/>
        <w:szCs w:val="18"/>
      </w:rPr>
      <w:t xml:space="preserve">, country visit to Australia – </w:t>
    </w:r>
    <w:r w:rsidR="004D6CA4" w:rsidRPr="004D6CA4">
      <w:rPr>
        <w:i/>
        <w:szCs w:val="18"/>
      </w:rPr>
      <w:t xml:space="preserve">20 </w:t>
    </w:r>
    <w:r w:rsidRPr="004D6CA4">
      <w:rPr>
        <w:i/>
        <w:szCs w:val="18"/>
      </w:rPr>
      <w:t>January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47168" w:rsidRPr="00B85DD4" w14:paraId="17453174" w14:textId="77777777" w:rsidTr="002B1B65">
      <w:trPr>
        <w:trHeight w:val="1603"/>
      </w:trPr>
      <w:tc>
        <w:tcPr>
          <w:tcW w:w="1508" w:type="dxa"/>
        </w:tcPr>
        <w:p w14:paraId="6BCF5573" w14:textId="77777777" w:rsidR="00547168" w:rsidRPr="00B85DD4" w:rsidRDefault="00547168"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50D49EB" wp14:editId="49D99FF3">
                <wp:extent cx="821690" cy="821690"/>
                <wp:effectExtent l="0" t="0" r="0" b="0"/>
                <wp:docPr id="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c>
        <w:tcPr>
          <w:tcW w:w="2688" w:type="dxa"/>
          <w:vAlign w:val="center"/>
        </w:tcPr>
        <w:p w14:paraId="0C0E066E" w14:textId="77777777" w:rsidR="00547168" w:rsidRPr="00D36BB2" w:rsidRDefault="00547168" w:rsidP="002B1B65">
          <w:pPr>
            <w:pStyle w:val="LogoType"/>
            <w:pBdr>
              <w:bottom w:val="single" w:sz="4" w:space="1" w:color="808080"/>
            </w:pBdr>
            <w:spacing w:line="240" w:lineRule="auto"/>
          </w:pPr>
          <w:r w:rsidRPr="00D36BB2">
            <w:t>Australian</w:t>
          </w:r>
        </w:p>
        <w:p w14:paraId="111961F0" w14:textId="77777777" w:rsidR="00547168" w:rsidRPr="00D36BB2" w:rsidRDefault="00547168" w:rsidP="002B1B65">
          <w:pPr>
            <w:pStyle w:val="LogoType"/>
            <w:pBdr>
              <w:bottom w:val="single" w:sz="4" w:space="1" w:color="808080"/>
            </w:pBdr>
            <w:spacing w:line="240" w:lineRule="auto"/>
          </w:pPr>
          <w:r w:rsidRPr="00D36BB2">
            <w:t>Human Rights</w:t>
          </w:r>
        </w:p>
        <w:p w14:paraId="15CEDB9A" w14:textId="77777777" w:rsidR="00547168" w:rsidRPr="00D36BB2" w:rsidRDefault="00547168" w:rsidP="002B1B65">
          <w:pPr>
            <w:pStyle w:val="LogoType"/>
            <w:pBdr>
              <w:bottom w:val="single" w:sz="4" w:space="1" w:color="808080"/>
            </w:pBdr>
            <w:spacing w:line="240" w:lineRule="auto"/>
          </w:pPr>
          <w:r w:rsidRPr="00D36BB2">
            <w:t>Commission</w:t>
          </w:r>
        </w:p>
        <w:p w14:paraId="3BCB6B40" w14:textId="77777777" w:rsidR="00547168" w:rsidRPr="00B85DD4" w:rsidRDefault="0054716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5DE5AF5" w14:textId="77777777" w:rsidR="00547168" w:rsidRPr="00B85DD4" w:rsidRDefault="00547168" w:rsidP="00B520BC">
          <w:pPr>
            <w:pStyle w:val="HeaderFooter"/>
            <w:rPr>
              <w:b/>
              <w:spacing w:val="-20"/>
              <w:sz w:val="40"/>
            </w:rPr>
          </w:pPr>
        </w:p>
      </w:tc>
      <w:tc>
        <w:tcPr>
          <w:tcW w:w="2130" w:type="dxa"/>
        </w:tcPr>
        <w:p w14:paraId="3E542147" w14:textId="77777777" w:rsidR="00547168" w:rsidRPr="00B85DD4" w:rsidRDefault="00547168" w:rsidP="00B520BC">
          <w:pPr>
            <w:pStyle w:val="HeaderFooter"/>
            <w:rPr>
              <w:b/>
              <w:spacing w:val="-20"/>
              <w:sz w:val="40"/>
            </w:rPr>
          </w:pPr>
        </w:p>
      </w:tc>
      <w:tc>
        <w:tcPr>
          <w:tcW w:w="1721" w:type="dxa"/>
        </w:tcPr>
        <w:p w14:paraId="3C8D6414" w14:textId="77777777" w:rsidR="00547168" w:rsidRPr="00B85DD4" w:rsidRDefault="00547168" w:rsidP="00B520BC">
          <w:pPr>
            <w:pStyle w:val="HeaderFooter"/>
            <w:spacing w:before="227" w:after="340"/>
            <w:rPr>
              <w:b/>
              <w:spacing w:val="-20"/>
              <w:sz w:val="40"/>
            </w:rPr>
          </w:pPr>
        </w:p>
      </w:tc>
    </w:tr>
  </w:tbl>
  <w:p w14:paraId="5486EEFB" w14:textId="77777777" w:rsidR="00547168" w:rsidRDefault="00D00312">
    <w:pPr>
      <w:pStyle w:val="Header"/>
    </w:pPr>
    <w:r>
      <w:rPr>
        <w:rFonts w:cs="ArialMT"/>
        <w:b/>
        <w:noProof/>
        <w:spacing w:val="-20"/>
      </w:rPr>
      <w:pict w14:anchorId="3CDA1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E2D1E"/>
    <w:multiLevelType w:val="hybridMultilevel"/>
    <w:tmpl w:val="C3984A1E"/>
    <w:lvl w:ilvl="0" w:tplc="EB54A140">
      <w:start w:val="1"/>
      <w:numFmt w:val="bullet"/>
      <w:pStyle w:val="ListParaMargin"/>
      <w:lvlText w:val=""/>
      <w:lvlJc w:val="left"/>
      <w:pPr>
        <w:tabs>
          <w:tab w:val="num" w:pos="284"/>
        </w:tabs>
        <w:ind w:left="284" w:hanging="284"/>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1F4661"/>
    <w:multiLevelType w:val="hybridMultilevel"/>
    <w:tmpl w:val="4FFE545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01875C2"/>
    <w:multiLevelType w:val="hybridMultilevel"/>
    <w:tmpl w:val="CC30CE8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477584"/>
    <w:multiLevelType w:val="hybridMultilevel"/>
    <w:tmpl w:val="4FE2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646A5A"/>
    <w:multiLevelType w:val="hybridMultilevel"/>
    <w:tmpl w:val="AA52840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1069"/>
        </w:tabs>
        <w:ind w:left="1069"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A13EDB"/>
    <w:multiLevelType w:val="hybridMultilevel"/>
    <w:tmpl w:val="2E90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AA75E0"/>
    <w:multiLevelType w:val="hybridMultilevel"/>
    <w:tmpl w:val="AEEAD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7106AD"/>
    <w:multiLevelType w:val="hybridMultilevel"/>
    <w:tmpl w:val="A7C8314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7"/>
  </w:num>
  <w:num w:numId="14">
    <w:abstractNumId w:val="15"/>
  </w:num>
  <w:num w:numId="15">
    <w:abstractNumId w:val="13"/>
  </w:num>
  <w:num w:numId="16">
    <w:abstractNumId w:val="11"/>
  </w:num>
  <w:num w:numId="17">
    <w:abstractNumId w:val="10"/>
  </w:num>
  <w:num w:numId="18">
    <w:abstractNumId w:val="20"/>
  </w:num>
  <w:num w:numId="19">
    <w:abstractNumId w:val="14"/>
  </w:num>
  <w:num w:numId="20">
    <w:abstractNumId w:val="23"/>
  </w:num>
  <w:num w:numId="21">
    <w:abstractNumId w:val="22"/>
  </w:num>
  <w:num w:numId="22">
    <w:abstractNumId w:val="16"/>
  </w:num>
  <w:num w:numId="23">
    <w:abstractNumId w:val="18"/>
  </w:num>
  <w:num w:numId="24">
    <w:abstractNumId w:val="24"/>
  </w:num>
  <w:num w:numId="25">
    <w:abstractNumId w:val="12"/>
  </w:num>
  <w:num w:numId="26">
    <w:abstractNumId w:val="13"/>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4"/>
    <w:rsid w:val="000017D3"/>
    <w:rsid w:val="00006295"/>
    <w:rsid w:val="00007271"/>
    <w:rsid w:val="00010426"/>
    <w:rsid w:val="00012B83"/>
    <w:rsid w:val="00016A73"/>
    <w:rsid w:val="00017D9C"/>
    <w:rsid w:val="0003606D"/>
    <w:rsid w:val="00037C42"/>
    <w:rsid w:val="00041D4B"/>
    <w:rsid w:val="00051D9F"/>
    <w:rsid w:val="00052F40"/>
    <w:rsid w:val="00054BA3"/>
    <w:rsid w:val="00055513"/>
    <w:rsid w:val="0005636F"/>
    <w:rsid w:val="00057587"/>
    <w:rsid w:val="000579B1"/>
    <w:rsid w:val="00063C75"/>
    <w:rsid w:val="00065A18"/>
    <w:rsid w:val="00072D2F"/>
    <w:rsid w:val="00073377"/>
    <w:rsid w:val="00074319"/>
    <w:rsid w:val="000743D2"/>
    <w:rsid w:val="00074BCD"/>
    <w:rsid w:val="000833F1"/>
    <w:rsid w:val="00083BA1"/>
    <w:rsid w:val="0008513F"/>
    <w:rsid w:val="00086DF4"/>
    <w:rsid w:val="00093FFF"/>
    <w:rsid w:val="0009565E"/>
    <w:rsid w:val="00097B49"/>
    <w:rsid w:val="000A041D"/>
    <w:rsid w:val="000A09FF"/>
    <w:rsid w:val="000A0ECD"/>
    <w:rsid w:val="000A1DB8"/>
    <w:rsid w:val="000A48AC"/>
    <w:rsid w:val="000A69C6"/>
    <w:rsid w:val="000A78CE"/>
    <w:rsid w:val="000A791D"/>
    <w:rsid w:val="000B0A5D"/>
    <w:rsid w:val="000B2301"/>
    <w:rsid w:val="000B5005"/>
    <w:rsid w:val="000B5DA0"/>
    <w:rsid w:val="000B6924"/>
    <w:rsid w:val="000B71EB"/>
    <w:rsid w:val="000C1028"/>
    <w:rsid w:val="000C2035"/>
    <w:rsid w:val="000C2694"/>
    <w:rsid w:val="000C648E"/>
    <w:rsid w:val="000D2D9C"/>
    <w:rsid w:val="000D30CD"/>
    <w:rsid w:val="000D3B72"/>
    <w:rsid w:val="000D409C"/>
    <w:rsid w:val="000D4974"/>
    <w:rsid w:val="000E0D4B"/>
    <w:rsid w:val="000E130A"/>
    <w:rsid w:val="000E3C85"/>
    <w:rsid w:val="000E7ACB"/>
    <w:rsid w:val="000F12CA"/>
    <w:rsid w:val="000F5B26"/>
    <w:rsid w:val="000F5C94"/>
    <w:rsid w:val="000F7FB6"/>
    <w:rsid w:val="00100C17"/>
    <w:rsid w:val="00101526"/>
    <w:rsid w:val="00112BEB"/>
    <w:rsid w:val="001155F0"/>
    <w:rsid w:val="00121648"/>
    <w:rsid w:val="00122343"/>
    <w:rsid w:val="00122497"/>
    <w:rsid w:val="00124D8D"/>
    <w:rsid w:val="0012564D"/>
    <w:rsid w:val="001305F7"/>
    <w:rsid w:val="00130C8B"/>
    <w:rsid w:val="00131775"/>
    <w:rsid w:val="00132A72"/>
    <w:rsid w:val="001335EB"/>
    <w:rsid w:val="00134774"/>
    <w:rsid w:val="0013548E"/>
    <w:rsid w:val="001358BB"/>
    <w:rsid w:val="00135BC6"/>
    <w:rsid w:val="00140274"/>
    <w:rsid w:val="001432BA"/>
    <w:rsid w:val="00143815"/>
    <w:rsid w:val="00143ED3"/>
    <w:rsid w:val="001467DE"/>
    <w:rsid w:val="00146F14"/>
    <w:rsid w:val="00151263"/>
    <w:rsid w:val="00160297"/>
    <w:rsid w:val="00161734"/>
    <w:rsid w:val="00162A8D"/>
    <w:rsid w:val="00164C8B"/>
    <w:rsid w:val="00165E3C"/>
    <w:rsid w:val="00167612"/>
    <w:rsid w:val="00170344"/>
    <w:rsid w:val="00170A74"/>
    <w:rsid w:val="00171993"/>
    <w:rsid w:val="00171C30"/>
    <w:rsid w:val="0017219A"/>
    <w:rsid w:val="00173FB5"/>
    <w:rsid w:val="0017407E"/>
    <w:rsid w:val="001750B4"/>
    <w:rsid w:val="0017746A"/>
    <w:rsid w:val="00183CEC"/>
    <w:rsid w:val="001901D7"/>
    <w:rsid w:val="00192911"/>
    <w:rsid w:val="001938A1"/>
    <w:rsid w:val="0019393F"/>
    <w:rsid w:val="0019616F"/>
    <w:rsid w:val="00197523"/>
    <w:rsid w:val="00197B64"/>
    <w:rsid w:val="001A4327"/>
    <w:rsid w:val="001A7209"/>
    <w:rsid w:val="001A7D1F"/>
    <w:rsid w:val="001B0353"/>
    <w:rsid w:val="001B49B9"/>
    <w:rsid w:val="001B57CB"/>
    <w:rsid w:val="001C0C9C"/>
    <w:rsid w:val="001C1F8B"/>
    <w:rsid w:val="001C22ED"/>
    <w:rsid w:val="001D057E"/>
    <w:rsid w:val="001D4695"/>
    <w:rsid w:val="001D5854"/>
    <w:rsid w:val="001E1E5E"/>
    <w:rsid w:val="001E3817"/>
    <w:rsid w:val="001E424B"/>
    <w:rsid w:val="001F1EF9"/>
    <w:rsid w:val="001F2BBB"/>
    <w:rsid w:val="001F4E21"/>
    <w:rsid w:val="001F6736"/>
    <w:rsid w:val="001F789A"/>
    <w:rsid w:val="00200677"/>
    <w:rsid w:val="002014A7"/>
    <w:rsid w:val="00201DA9"/>
    <w:rsid w:val="00202C87"/>
    <w:rsid w:val="002068F0"/>
    <w:rsid w:val="00206E46"/>
    <w:rsid w:val="0021273F"/>
    <w:rsid w:val="00216EE8"/>
    <w:rsid w:val="00217A68"/>
    <w:rsid w:val="00220365"/>
    <w:rsid w:val="00220652"/>
    <w:rsid w:val="00223F5A"/>
    <w:rsid w:val="002244D0"/>
    <w:rsid w:val="00224AA3"/>
    <w:rsid w:val="00226D3D"/>
    <w:rsid w:val="00227401"/>
    <w:rsid w:val="00231ED1"/>
    <w:rsid w:val="002355E4"/>
    <w:rsid w:val="00240749"/>
    <w:rsid w:val="00242624"/>
    <w:rsid w:val="00242DD5"/>
    <w:rsid w:val="00244A09"/>
    <w:rsid w:val="00245533"/>
    <w:rsid w:val="0024557E"/>
    <w:rsid w:val="00245F22"/>
    <w:rsid w:val="0025206E"/>
    <w:rsid w:val="00254ED6"/>
    <w:rsid w:val="00256A25"/>
    <w:rsid w:val="00256BB8"/>
    <w:rsid w:val="0026134E"/>
    <w:rsid w:val="00261BD4"/>
    <w:rsid w:val="00270195"/>
    <w:rsid w:val="0027423C"/>
    <w:rsid w:val="00274A25"/>
    <w:rsid w:val="00274CE7"/>
    <w:rsid w:val="00282975"/>
    <w:rsid w:val="002835CD"/>
    <w:rsid w:val="00284063"/>
    <w:rsid w:val="002863D7"/>
    <w:rsid w:val="002876BF"/>
    <w:rsid w:val="00287BC0"/>
    <w:rsid w:val="00290A2A"/>
    <w:rsid w:val="00290B73"/>
    <w:rsid w:val="0029498A"/>
    <w:rsid w:val="00295738"/>
    <w:rsid w:val="00297245"/>
    <w:rsid w:val="002A01FE"/>
    <w:rsid w:val="002A1740"/>
    <w:rsid w:val="002A3E46"/>
    <w:rsid w:val="002A451B"/>
    <w:rsid w:val="002A5ED1"/>
    <w:rsid w:val="002B01E7"/>
    <w:rsid w:val="002B1294"/>
    <w:rsid w:val="002B15A6"/>
    <w:rsid w:val="002B1B65"/>
    <w:rsid w:val="002C1866"/>
    <w:rsid w:val="002C2F9D"/>
    <w:rsid w:val="002C4B6B"/>
    <w:rsid w:val="002D2C0A"/>
    <w:rsid w:val="002E3C69"/>
    <w:rsid w:val="002E3F30"/>
    <w:rsid w:val="002E7F34"/>
    <w:rsid w:val="002F1194"/>
    <w:rsid w:val="002F1FD8"/>
    <w:rsid w:val="002F3670"/>
    <w:rsid w:val="002F3C7D"/>
    <w:rsid w:val="002F4AB9"/>
    <w:rsid w:val="002F4CE1"/>
    <w:rsid w:val="002F7649"/>
    <w:rsid w:val="002F7992"/>
    <w:rsid w:val="00300F22"/>
    <w:rsid w:val="0030261B"/>
    <w:rsid w:val="00304A37"/>
    <w:rsid w:val="00310ED4"/>
    <w:rsid w:val="00312301"/>
    <w:rsid w:val="003141F7"/>
    <w:rsid w:val="0031492A"/>
    <w:rsid w:val="00314E20"/>
    <w:rsid w:val="00314F5F"/>
    <w:rsid w:val="00316C1A"/>
    <w:rsid w:val="00322067"/>
    <w:rsid w:val="00322C35"/>
    <w:rsid w:val="00323C73"/>
    <w:rsid w:val="00327411"/>
    <w:rsid w:val="00327531"/>
    <w:rsid w:val="00331141"/>
    <w:rsid w:val="00331456"/>
    <w:rsid w:val="00331A4F"/>
    <w:rsid w:val="00336397"/>
    <w:rsid w:val="00337D44"/>
    <w:rsid w:val="00341324"/>
    <w:rsid w:val="00344758"/>
    <w:rsid w:val="003452D1"/>
    <w:rsid w:val="00347142"/>
    <w:rsid w:val="003472CC"/>
    <w:rsid w:val="00353C14"/>
    <w:rsid w:val="00354078"/>
    <w:rsid w:val="00354D39"/>
    <w:rsid w:val="003565A8"/>
    <w:rsid w:val="003566EA"/>
    <w:rsid w:val="00356B23"/>
    <w:rsid w:val="003575B4"/>
    <w:rsid w:val="00357EE2"/>
    <w:rsid w:val="0036698C"/>
    <w:rsid w:val="00366F05"/>
    <w:rsid w:val="00372C79"/>
    <w:rsid w:val="0037374A"/>
    <w:rsid w:val="003752E7"/>
    <w:rsid w:val="00375F89"/>
    <w:rsid w:val="00380E59"/>
    <w:rsid w:val="00386DAA"/>
    <w:rsid w:val="0038703A"/>
    <w:rsid w:val="003900F3"/>
    <w:rsid w:val="0039101F"/>
    <w:rsid w:val="00392121"/>
    <w:rsid w:val="003A1732"/>
    <w:rsid w:val="003A2A5A"/>
    <w:rsid w:val="003A46E0"/>
    <w:rsid w:val="003A5A68"/>
    <w:rsid w:val="003B0E09"/>
    <w:rsid w:val="003B5DF2"/>
    <w:rsid w:val="003C1184"/>
    <w:rsid w:val="003C17EA"/>
    <w:rsid w:val="003C24F7"/>
    <w:rsid w:val="003C39AC"/>
    <w:rsid w:val="003C4C66"/>
    <w:rsid w:val="003C4DA1"/>
    <w:rsid w:val="003C76A8"/>
    <w:rsid w:val="003C798B"/>
    <w:rsid w:val="003C7FDA"/>
    <w:rsid w:val="003D1BE3"/>
    <w:rsid w:val="003D371C"/>
    <w:rsid w:val="003D3DCC"/>
    <w:rsid w:val="003D4C38"/>
    <w:rsid w:val="003D528C"/>
    <w:rsid w:val="003D66C0"/>
    <w:rsid w:val="003D781F"/>
    <w:rsid w:val="003E0F41"/>
    <w:rsid w:val="003E16EE"/>
    <w:rsid w:val="003E2B9A"/>
    <w:rsid w:val="003E2C07"/>
    <w:rsid w:val="003E3B0B"/>
    <w:rsid w:val="003E49BA"/>
    <w:rsid w:val="003E5C81"/>
    <w:rsid w:val="003E7875"/>
    <w:rsid w:val="003E7A68"/>
    <w:rsid w:val="003F614D"/>
    <w:rsid w:val="003F732E"/>
    <w:rsid w:val="003F7564"/>
    <w:rsid w:val="004019FD"/>
    <w:rsid w:val="00405CE0"/>
    <w:rsid w:val="004101A0"/>
    <w:rsid w:val="00414128"/>
    <w:rsid w:val="00414E5C"/>
    <w:rsid w:val="0041685B"/>
    <w:rsid w:val="00417786"/>
    <w:rsid w:val="00417F48"/>
    <w:rsid w:val="0042136E"/>
    <w:rsid w:val="00422417"/>
    <w:rsid w:val="00424233"/>
    <w:rsid w:val="0043042B"/>
    <w:rsid w:val="0043144D"/>
    <w:rsid w:val="00432C86"/>
    <w:rsid w:val="004332E7"/>
    <w:rsid w:val="00433C9F"/>
    <w:rsid w:val="004349A1"/>
    <w:rsid w:val="00435097"/>
    <w:rsid w:val="0043540C"/>
    <w:rsid w:val="00441AC9"/>
    <w:rsid w:val="004442F2"/>
    <w:rsid w:val="00444AB9"/>
    <w:rsid w:val="00445D61"/>
    <w:rsid w:val="00445EBF"/>
    <w:rsid w:val="0044612C"/>
    <w:rsid w:val="004523F2"/>
    <w:rsid w:val="00455392"/>
    <w:rsid w:val="00457E19"/>
    <w:rsid w:val="00457EC9"/>
    <w:rsid w:val="00463F65"/>
    <w:rsid w:val="00466FC2"/>
    <w:rsid w:val="00467D65"/>
    <w:rsid w:val="00470178"/>
    <w:rsid w:val="00472EFF"/>
    <w:rsid w:val="00474063"/>
    <w:rsid w:val="004751CA"/>
    <w:rsid w:val="00476793"/>
    <w:rsid w:val="0048633D"/>
    <w:rsid w:val="00487436"/>
    <w:rsid w:val="00490844"/>
    <w:rsid w:val="00492EA4"/>
    <w:rsid w:val="00496F51"/>
    <w:rsid w:val="004A187B"/>
    <w:rsid w:val="004A2D3C"/>
    <w:rsid w:val="004A44CD"/>
    <w:rsid w:val="004A5659"/>
    <w:rsid w:val="004A72EC"/>
    <w:rsid w:val="004A7938"/>
    <w:rsid w:val="004A7FE7"/>
    <w:rsid w:val="004B7490"/>
    <w:rsid w:val="004C4D7E"/>
    <w:rsid w:val="004C5185"/>
    <w:rsid w:val="004C7412"/>
    <w:rsid w:val="004D04BF"/>
    <w:rsid w:val="004D2711"/>
    <w:rsid w:val="004D67A3"/>
    <w:rsid w:val="004D6CA4"/>
    <w:rsid w:val="004D6E55"/>
    <w:rsid w:val="004E0DFF"/>
    <w:rsid w:val="004E6E6B"/>
    <w:rsid w:val="004E7AF9"/>
    <w:rsid w:val="004F1C7C"/>
    <w:rsid w:val="004F22A5"/>
    <w:rsid w:val="004F55C6"/>
    <w:rsid w:val="004F6B05"/>
    <w:rsid w:val="004F7292"/>
    <w:rsid w:val="0050234B"/>
    <w:rsid w:val="00503D87"/>
    <w:rsid w:val="00511EF7"/>
    <w:rsid w:val="005123F0"/>
    <w:rsid w:val="00513540"/>
    <w:rsid w:val="00513941"/>
    <w:rsid w:val="00514067"/>
    <w:rsid w:val="005165E8"/>
    <w:rsid w:val="0052357A"/>
    <w:rsid w:val="00524E20"/>
    <w:rsid w:val="0052542F"/>
    <w:rsid w:val="00527832"/>
    <w:rsid w:val="0052785D"/>
    <w:rsid w:val="0053051D"/>
    <w:rsid w:val="005318CC"/>
    <w:rsid w:val="005328E8"/>
    <w:rsid w:val="00533F28"/>
    <w:rsid w:val="005343C3"/>
    <w:rsid w:val="005344E6"/>
    <w:rsid w:val="00535213"/>
    <w:rsid w:val="005407B9"/>
    <w:rsid w:val="00542662"/>
    <w:rsid w:val="0054382A"/>
    <w:rsid w:val="005451BB"/>
    <w:rsid w:val="00546EB1"/>
    <w:rsid w:val="00547168"/>
    <w:rsid w:val="005474C8"/>
    <w:rsid w:val="0055156D"/>
    <w:rsid w:val="00562469"/>
    <w:rsid w:val="00564208"/>
    <w:rsid w:val="00564708"/>
    <w:rsid w:val="0056590F"/>
    <w:rsid w:val="00571073"/>
    <w:rsid w:val="00571CEB"/>
    <w:rsid w:val="0057751C"/>
    <w:rsid w:val="005776EB"/>
    <w:rsid w:val="005823AD"/>
    <w:rsid w:val="00582A28"/>
    <w:rsid w:val="00585FF8"/>
    <w:rsid w:val="00586D30"/>
    <w:rsid w:val="00590F6B"/>
    <w:rsid w:val="00591951"/>
    <w:rsid w:val="005945F9"/>
    <w:rsid w:val="00594640"/>
    <w:rsid w:val="00595AA8"/>
    <w:rsid w:val="005A361E"/>
    <w:rsid w:val="005A468B"/>
    <w:rsid w:val="005B4307"/>
    <w:rsid w:val="005B4A48"/>
    <w:rsid w:val="005C1634"/>
    <w:rsid w:val="005C5D41"/>
    <w:rsid w:val="005D1691"/>
    <w:rsid w:val="005D1F34"/>
    <w:rsid w:val="005D2D5F"/>
    <w:rsid w:val="005D383D"/>
    <w:rsid w:val="005D6587"/>
    <w:rsid w:val="005E013C"/>
    <w:rsid w:val="005E6C28"/>
    <w:rsid w:val="005E6CD2"/>
    <w:rsid w:val="005F06F7"/>
    <w:rsid w:val="005F3420"/>
    <w:rsid w:val="005F4D80"/>
    <w:rsid w:val="005F6722"/>
    <w:rsid w:val="006037C0"/>
    <w:rsid w:val="00605B8A"/>
    <w:rsid w:val="006116BE"/>
    <w:rsid w:val="00611B0F"/>
    <w:rsid w:val="006165F4"/>
    <w:rsid w:val="00616B50"/>
    <w:rsid w:val="006213DE"/>
    <w:rsid w:val="006226AB"/>
    <w:rsid w:val="0062297B"/>
    <w:rsid w:val="00626F13"/>
    <w:rsid w:val="006323D8"/>
    <w:rsid w:val="0063727D"/>
    <w:rsid w:val="0064067F"/>
    <w:rsid w:val="00650EFA"/>
    <w:rsid w:val="00654793"/>
    <w:rsid w:val="00655056"/>
    <w:rsid w:val="00656A7A"/>
    <w:rsid w:val="006636AD"/>
    <w:rsid w:val="00665D8E"/>
    <w:rsid w:val="0066685C"/>
    <w:rsid w:val="00673373"/>
    <w:rsid w:val="00675CEC"/>
    <w:rsid w:val="00677DA2"/>
    <w:rsid w:val="00683987"/>
    <w:rsid w:val="00684076"/>
    <w:rsid w:val="00684BF4"/>
    <w:rsid w:val="00684EBD"/>
    <w:rsid w:val="0068769D"/>
    <w:rsid w:val="00692B60"/>
    <w:rsid w:val="006946E2"/>
    <w:rsid w:val="00695D25"/>
    <w:rsid w:val="00697CF9"/>
    <w:rsid w:val="006A6BB3"/>
    <w:rsid w:val="006B19E4"/>
    <w:rsid w:val="006B2427"/>
    <w:rsid w:val="006B6DB2"/>
    <w:rsid w:val="006C2C4D"/>
    <w:rsid w:val="006C3193"/>
    <w:rsid w:val="006C31E0"/>
    <w:rsid w:val="006C5868"/>
    <w:rsid w:val="006C7016"/>
    <w:rsid w:val="006D0C08"/>
    <w:rsid w:val="006D26EA"/>
    <w:rsid w:val="006D3EA5"/>
    <w:rsid w:val="006D5EE5"/>
    <w:rsid w:val="006D6D25"/>
    <w:rsid w:val="006E3446"/>
    <w:rsid w:val="006F3046"/>
    <w:rsid w:val="006F4266"/>
    <w:rsid w:val="006F6D41"/>
    <w:rsid w:val="00701406"/>
    <w:rsid w:val="00701FD0"/>
    <w:rsid w:val="007054D6"/>
    <w:rsid w:val="00707AF4"/>
    <w:rsid w:val="00722DC8"/>
    <w:rsid w:val="00731533"/>
    <w:rsid w:val="00732E53"/>
    <w:rsid w:val="00733C4E"/>
    <w:rsid w:val="007352F8"/>
    <w:rsid w:val="00743727"/>
    <w:rsid w:val="0074630E"/>
    <w:rsid w:val="00752236"/>
    <w:rsid w:val="007540BF"/>
    <w:rsid w:val="00760E20"/>
    <w:rsid w:val="00762B0B"/>
    <w:rsid w:val="00766EBF"/>
    <w:rsid w:val="00770DCB"/>
    <w:rsid w:val="00771115"/>
    <w:rsid w:val="007739DA"/>
    <w:rsid w:val="0077419C"/>
    <w:rsid w:val="00775485"/>
    <w:rsid w:val="00782FFB"/>
    <w:rsid w:val="0078733A"/>
    <w:rsid w:val="00791512"/>
    <w:rsid w:val="00794672"/>
    <w:rsid w:val="007A7184"/>
    <w:rsid w:val="007B103A"/>
    <w:rsid w:val="007B4BC3"/>
    <w:rsid w:val="007B63EB"/>
    <w:rsid w:val="007B7CDB"/>
    <w:rsid w:val="007C260C"/>
    <w:rsid w:val="007C5372"/>
    <w:rsid w:val="007D54F0"/>
    <w:rsid w:val="007D5953"/>
    <w:rsid w:val="007D60D5"/>
    <w:rsid w:val="007D6163"/>
    <w:rsid w:val="007E09CE"/>
    <w:rsid w:val="007E21CF"/>
    <w:rsid w:val="007E2CA3"/>
    <w:rsid w:val="007E4A34"/>
    <w:rsid w:val="007E5B88"/>
    <w:rsid w:val="007E6BFB"/>
    <w:rsid w:val="007F0D0B"/>
    <w:rsid w:val="007F350B"/>
    <w:rsid w:val="007F4AC9"/>
    <w:rsid w:val="007F4B78"/>
    <w:rsid w:val="007F52E8"/>
    <w:rsid w:val="007F5E05"/>
    <w:rsid w:val="007F721F"/>
    <w:rsid w:val="007F7DC3"/>
    <w:rsid w:val="008007A8"/>
    <w:rsid w:val="008042D9"/>
    <w:rsid w:val="00805FF3"/>
    <w:rsid w:val="008068F9"/>
    <w:rsid w:val="00807909"/>
    <w:rsid w:val="00811554"/>
    <w:rsid w:val="00811D93"/>
    <w:rsid w:val="00814FC0"/>
    <w:rsid w:val="0082182A"/>
    <w:rsid w:val="00822C37"/>
    <w:rsid w:val="0082781F"/>
    <w:rsid w:val="00832A38"/>
    <w:rsid w:val="00834C73"/>
    <w:rsid w:val="0083566A"/>
    <w:rsid w:val="0083590B"/>
    <w:rsid w:val="00835F6B"/>
    <w:rsid w:val="00843DEC"/>
    <w:rsid w:val="00853EF1"/>
    <w:rsid w:val="008657DC"/>
    <w:rsid w:val="00870CC8"/>
    <w:rsid w:val="00871317"/>
    <w:rsid w:val="008724DE"/>
    <w:rsid w:val="008748C3"/>
    <w:rsid w:val="0088669D"/>
    <w:rsid w:val="0089078A"/>
    <w:rsid w:val="008909C6"/>
    <w:rsid w:val="00890FF5"/>
    <w:rsid w:val="00893A70"/>
    <w:rsid w:val="008941EE"/>
    <w:rsid w:val="00894BD5"/>
    <w:rsid w:val="008951DD"/>
    <w:rsid w:val="00896BAD"/>
    <w:rsid w:val="00896CC8"/>
    <w:rsid w:val="00896FA4"/>
    <w:rsid w:val="008A0CAC"/>
    <w:rsid w:val="008A36FD"/>
    <w:rsid w:val="008A3C52"/>
    <w:rsid w:val="008A3CC6"/>
    <w:rsid w:val="008A3D57"/>
    <w:rsid w:val="008A6769"/>
    <w:rsid w:val="008A7007"/>
    <w:rsid w:val="008B23BC"/>
    <w:rsid w:val="008B3DE5"/>
    <w:rsid w:val="008B5438"/>
    <w:rsid w:val="008B5D3C"/>
    <w:rsid w:val="008C2B62"/>
    <w:rsid w:val="008C5543"/>
    <w:rsid w:val="008D0E5C"/>
    <w:rsid w:val="008D22DA"/>
    <w:rsid w:val="008D5980"/>
    <w:rsid w:val="008D5B42"/>
    <w:rsid w:val="008D6484"/>
    <w:rsid w:val="008D77DD"/>
    <w:rsid w:val="008E04F6"/>
    <w:rsid w:val="008E2D3F"/>
    <w:rsid w:val="008E3380"/>
    <w:rsid w:val="008E3D60"/>
    <w:rsid w:val="008E3F4C"/>
    <w:rsid w:val="008E4A84"/>
    <w:rsid w:val="008E4F5E"/>
    <w:rsid w:val="008F0B17"/>
    <w:rsid w:val="008F115A"/>
    <w:rsid w:val="008F2C6A"/>
    <w:rsid w:val="008F6B7B"/>
    <w:rsid w:val="0090165F"/>
    <w:rsid w:val="00901B82"/>
    <w:rsid w:val="00905001"/>
    <w:rsid w:val="0091153C"/>
    <w:rsid w:val="009124F8"/>
    <w:rsid w:val="00912B09"/>
    <w:rsid w:val="00915290"/>
    <w:rsid w:val="00917497"/>
    <w:rsid w:val="00917ED2"/>
    <w:rsid w:val="0092701A"/>
    <w:rsid w:val="009327F9"/>
    <w:rsid w:val="0093748F"/>
    <w:rsid w:val="009410A5"/>
    <w:rsid w:val="00941CBF"/>
    <w:rsid w:val="00952360"/>
    <w:rsid w:val="009530AC"/>
    <w:rsid w:val="0095583D"/>
    <w:rsid w:val="009558AB"/>
    <w:rsid w:val="00963D77"/>
    <w:rsid w:val="009640F7"/>
    <w:rsid w:val="00966C2F"/>
    <w:rsid w:val="00971881"/>
    <w:rsid w:val="0097512B"/>
    <w:rsid w:val="00975E4C"/>
    <w:rsid w:val="00975ED5"/>
    <w:rsid w:val="00976AF9"/>
    <w:rsid w:val="00981E09"/>
    <w:rsid w:val="00986496"/>
    <w:rsid w:val="009915CE"/>
    <w:rsid w:val="00992E56"/>
    <w:rsid w:val="00995AFD"/>
    <w:rsid w:val="0099676A"/>
    <w:rsid w:val="009A1607"/>
    <w:rsid w:val="009A2FDD"/>
    <w:rsid w:val="009A4E33"/>
    <w:rsid w:val="009A6898"/>
    <w:rsid w:val="009B12B6"/>
    <w:rsid w:val="009B35A9"/>
    <w:rsid w:val="009B490C"/>
    <w:rsid w:val="009B5151"/>
    <w:rsid w:val="009C1DD5"/>
    <w:rsid w:val="009C7F9A"/>
    <w:rsid w:val="009D06E5"/>
    <w:rsid w:val="009D3A8D"/>
    <w:rsid w:val="009D6622"/>
    <w:rsid w:val="009D67F6"/>
    <w:rsid w:val="009E0FE1"/>
    <w:rsid w:val="009E5D4F"/>
    <w:rsid w:val="009F2B51"/>
    <w:rsid w:val="009F407A"/>
    <w:rsid w:val="009F6B03"/>
    <w:rsid w:val="00A0173B"/>
    <w:rsid w:val="00A03F2E"/>
    <w:rsid w:val="00A03FDC"/>
    <w:rsid w:val="00A0406E"/>
    <w:rsid w:val="00A04905"/>
    <w:rsid w:val="00A057B2"/>
    <w:rsid w:val="00A0689C"/>
    <w:rsid w:val="00A11307"/>
    <w:rsid w:val="00A127DB"/>
    <w:rsid w:val="00A13AF3"/>
    <w:rsid w:val="00A143FF"/>
    <w:rsid w:val="00A15820"/>
    <w:rsid w:val="00A20245"/>
    <w:rsid w:val="00A21388"/>
    <w:rsid w:val="00A23B3A"/>
    <w:rsid w:val="00A27791"/>
    <w:rsid w:val="00A32781"/>
    <w:rsid w:val="00A360E9"/>
    <w:rsid w:val="00A41355"/>
    <w:rsid w:val="00A42EBA"/>
    <w:rsid w:val="00A43667"/>
    <w:rsid w:val="00A43B92"/>
    <w:rsid w:val="00A54251"/>
    <w:rsid w:val="00A60A46"/>
    <w:rsid w:val="00A60F11"/>
    <w:rsid w:val="00A61029"/>
    <w:rsid w:val="00A6179E"/>
    <w:rsid w:val="00A64316"/>
    <w:rsid w:val="00A65088"/>
    <w:rsid w:val="00A65AF9"/>
    <w:rsid w:val="00A718AF"/>
    <w:rsid w:val="00A72D78"/>
    <w:rsid w:val="00A7301E"/>
    <w:rsid w:val="00A7359F"/>
    <w:rsid w:val="00A802E9"/>
    <w:rsid w:val="00A804D9"/>
    <w:rsid w:val="00A85AFC"/>
    <w:rsid w:val="00A863B2"/>
    <w:rsid w:val="00A92F92"/>
    <w:rsid w:val="00A96892"/>
    <w:rsid w:val="00AA0863"/>
    <w:rsid w:val="00AA1588"/>
    <w:rsid w:val="00AA2051"/>
    <w:rsid w:val="00AA53AE"/>
    <w:rsid w:val="00AA76AE"/>
    <w:rsid w:val="00AB5D9A"/>
    <w:rsid w:val="00AC0002"/>
    <w:rsid w:val="00AC0294"/>
    <w:rsid w:val="00AC0D22"/>
    <w:rsid w:val="00AC337E"/>
    <w:rsid w:val="00AC60BA"/>
    <w:rsid w:val="00AD179D"/>
    <w:rsid w:val="00AD373E"/>
    <w:rsid w:val="00AD66D3"/>
    <w:rsid w:val="00AE63AC"/>
    <w:rsid w:val="00AE661B"/>
    <w:rsid w:val="00AE77AC"/>
    <w:rsid w:val="00AF0C68"/>
    <w:rsid w:val="00AF3326"/>
    <w:rsid w:val="00AF606C"/>
    <w:rsid w:val="00AF699E"/>
    <w:rsid w:val="00AF734B"/>
    <w:rsid w:val="00AF7C1E"/>
    <w:rsid w:val="00B002CF"/>
    <w:rsid w:val="00B02F72"/>
    <w:rsid w:val="00B041F2"/>
    <w:rsid w:val="00B058DD"/>
    <w:rsid w:val="00B059F9"/>
    <w:rsid w:val="00B11A5D"/>
    <w:rsid w:val="00B12739"/>
    <w:rsid w:val="00B13A97"/>
    <w:rsid w:val="00B15F14"/>
    <w:rsid w:val="00B16F14"/>
    <w:rsid w:val="00B207D6"/>
    <w:rsid w:val="00B215ED"/>
    <w:rsid w:val="00B24B1D"/>
    <w:rsid w:val="00B277E0"/>
    <w:rsid w:val="00B34946"/>
    <w:rsid w:val="00B42077"/>
    <w:rsid w:val="00B42410"/>
    <w:rsid w:val="00B45E07"/>
    <w:rsid w:val="00B519FD"/>
    <w:rsid w:val="00B520BC"/>
    <w:rsid w:val="00B569B3"/>
    <w:rsid w:val="00B63D24"/>
    <w:rsid w:val="00B6487F"/>
    <w:rsid w:val="00B64CCF"/>
    <w:rsid w:val="00B650E0"/>
    <w:rsid w:val="00B663BA"/>
    <w:rsid w:val="00B727C5"/>
    <w:rsid w:val="00B77DA2"/>
    <w:rsid w:val="00B8188E"/>
    <w:rsid w:val="00B82A3F"/>
    <w:rsid w:val="00B85026"/>
    <w:rsid w:val="00B924E6"/>
    <w:rsid w:val="00B962E1"/>
    <w:rsid w:val="00B97FA9"/>
    <w:rsid w:val="00BA01F7"/>
    <w:rsid w:val="00BA1121"/>
    <w:rsid w:val="00BA262D"/>
    <w:rsid w:val="00BA5698"/>
    <w:rsid w:val="00BA7480"/>
    <w:rsid w:val="00BB2DC5"/>
    <w:rsid w:val="00BC357A"/>
    <w:rsid w:val="00BC371C"/>
    <w:rsid w:val="00BC42FB"/>
    <w:rsid w:val="00BC708B"/>
    <w:rsid w:val="00BC79EB"/>
    <w:rsid w:val="00BD146F"/>
    <w:rsid w:val="00BD193A"/>
    <w:rsid w:val="00BD2726"/>
    <w:rsid w:val="00BD55F8"/>
    <w:rsid w:val="00BD7FCF"/>
    <w:rsid w:val="00BE6172"/>
    <w:rsid w:val="00BE7F51"/>
    <w:rsid w:val="00BF02A3"/>
    <w:rsid w:val="00BF4DE2"/>
    <w:rsid w:val="00BF4E56"/>
    <w:rsid w:val="00BF5207"/>
    <w:rsid w:val="00C03BA1"/>
    <w:rsid w:val="00C07970"/>
    <w:rsid w:val="00C106E8"/>
    <w:rsid w:val="00C12344"/>
    <w:rsid w:val="00C21D43"/>
    <w:rsid w:val="00C22749"/>
    <w:rsid w:val="00C25BDA"/>
    <w:rsid w:val="00C33104"/>
    <w:rsid w:val="00C34C11"/>
    <w:rsid w:val="00C34C65"/>
    <w:rsid w:val="00C368CB"/>
    <w:rsid w:val="00C37541"/>
    <w:rsid w:val="00C47E56"/>
    <w:rsid w:val="00C553E7"/>
    <w:rsid w:val="00C64912"/>
    <w:rsid w:val="00C64C2C"/>
    <w:rsid w:val="00C64DD0"/>
    <w:rsid w:val="00C67B94"/>
    <w:rsid w:val="00C70197"/>
    <w:rsid w:val="00C734BF"/>
    <w:rsid w:val="00C761DE"/>
    <w:rsid w:val="00C80BC6"/>
    <w:rsid w:val="00C84148"/>
    <w:rsid w:val="00C84602"/>
    <w:rsid w:val="00C854D4"/>
    <w:rsid w:val="00C85CB9"/>
    <w:rsid w:val="00C86FA5"/>
    <w:rsid w:val="00C90556"/>
    <w:rsid w:val="00C9335D"/>
    <w:rsid w:val="00CA0D78"/>
    <w:rsid w:val="00CA12AF"/>
    <w:rsid w:val="00CA15EC"/>
    <w:rsid w:val="00CA3469"/>
    <w:rsid w:val="00CA4855"/>
    <w:rsid w:val="00CA6529"/>
    <w:rsid w:val="00CB0650"/>
    <w:rsid w:val="00CB24FE"/>
    <w:rsid w:val="00CB3FB9"/>
    <w:rsid w:val="00CC1F33"/>
    <w:rsid w:val="00CC4014"/>
    <w:rsid w:val="00CC6226"/>
    <w:rsid w:val="00CD58FD"/>
    <w:rsid w:val="00CE0E56"/>
    <w:rsid w:val="00CE24CC"/>
    <w:rsid w:val="00CE6594"/>
    <w:rsid w:val="00CF0D92"/>
    <w:rsid w:val="00CF53AF"/>
    <w:rsid w:val="00CF6315"/>
    <w:rsid w:val="00CF6E95"/>
    <w:rsid w:val="00D00312"/>
    <w:rsid w:val="00D00F3D"/>
    <w:rsid w:val="00D020FF"/>
    <w:rsid w:val="00D02BB0"/>
    <w:rsid w:val="00D0388A"/>
    <w:rsid w:val="00D03B42"/>
    <w:rsid w:val="00D10DE4"/>
    <w:rsid w:val="00D16D08"/>
    <w:rsid w:val="00D20DBB"/>
    <w:rsid w:val="00D218F3"/>
    <w:rsid w:val="00D2302A"/>
    <w:rsid w:val="00D2356C"/>
    <w:rsid w:val="00D24B3E"/>
    <w:rsid w:val="00D255F9"/>
    <w:rsid w:val="00D30A61"/>
    <w:rsid w:val="00D343FA"/>
    <w:rsid w:val="00D36B68"/>
    <w:rsid w:val="00D418FF"/>
    <w:rsid w:val="00D50384"/>
    <w:rsid w:val="00D519CD"/>
    <w:rsid w:val="00D53653"/>
    <w:rsid w:val="00D53E58"/>
    <w:rsid w:val="00D54487"/>
    <w:rsid w:val="00D63AF4"/>
    <w:rsid w:val="00D65C76"/>
    <w:rsid w:val="00D729AD"/>
    <w:rsid w:val="00D734C7"/>
    <w:rsid w:val="00D73D75"/>
    <w:rsid w:val="00D7550F"/>
    <w:rsid w:val="00D775FD"/>
    <w:rsid w:val="00D8202F"/>
    <w:rsid w:val="00D844C2"/>
    <w:rsid w:val="00D92726"/>
    <w:rsid w:val="00D9531B"/>
    <w:rsid w:val="00DA0351"/>
    <w:rsid w:val="00DA1894"/>
    <w:rsid w:val="00DA19B5"/>
    <w:rsid w:val="00DA1C84"/>
    <w:rsid w:val="00DA2F73"/>
    <w:rsid w:val="00DA3065"/>
    <w:rsid w:val="00DA3E3B"/>
    <w:rsid w:val="00DB16CA"/>
    <w:rsid w:val="00DB3637"/>
    <w:rsid w:val="00DC11BB"/>
    <w:rsid w:val="00DC2EFA"/>
    <w:rsid w:val="00DC462F"/>
    <w:rsid w:val="00DC6E83"/>
    <w:rsid w:val="00DD0C9F"/>
    <w:rsid w:val="00DD23B3"/>
    <w:rsid w:val="00DD5C82"/>
    <w:rsid w:val="00DD6055"/>
    <w:rsid w:val="00DD64B0"/>
    <w:rsid w:val="00DD6A21"/>
    <w:rsid w:val="00DE0A44"/>
    <w:rsid w:val="00DE208F"/>
    <w:rsid w:val="00DE60CA"/>
    <w:rsid w:val="00DF0A80"/>
    <w:rsid w:val="00E00B3E"/>
    <w:rsid w:val="00E0196D"/>
    <w:rsid w:val="00E02AB6"/>
    <w:rsid w:val="00E05918"/>
    <w:rsid w:val="00E05AA8"/>
    <w:rsid w:val="00E104EF"/>
    <w:rsid w:val="00E1357A"/>
    <w:rsid w:val="00E13AB7"/>
    <w:rsid w:val="00E13EB2"/>
    <w:rsid w:val="00E16F32"/>
    <w:rsid w:val="00E21F75"/>
    <w:rsid w:val="00E24FA3"/>
    <w:rsid w:val="00E26B28"/>
    <w:rsid w:val="00E27E19"/>
    <w:rsid w:val="00E30E7B"/>
    <w:rsid w:val="00E31465"/>
    <w:rsid w:val="00E32493"/>
    <w:rsid w:val="00E328CD"/>
    <w:rsid w:val="00E346BD"/>
    <w:rsid w:val="00E34D60"/>
    <w:rsid w:val="00E36B95"/>
    <w:rsid w:val="00E4003F"/>
    <w:rsid w:val="00E458F6"/>
    <w:rsid w:val="00E45954"/>
    <w:rsid w:val="00E52032"/>
    <w:rsid w:val="00E537E3"/>
    <w:rsid w:val="00E54B81"/>
    <w:rsid w:val="00E55113"/>
    <w:rsid w:val="00E57473"/>
    <w:rsid w:val="00E60F2E"/>
    <w:rsid w:val="00E640C8"/>
    <w:rsid w:val="00E64A41"/>
    <w:rsid w:val="00E669BA"/>
    <w:rsid w:val="00E67EE7"/>
    <w:rsid w:val="00E70470"/>
    <w:rsid w:val="00E717A9"/>
    <w:rsid w:val="00E7214B"/>
    <w:rsid w:val="00E7280E"/>
    <w:rsid w:val="00E73779"/>
    <w:rsid w:val="00E75E72"/>
    <w:rsid w:val="00E7760A"/>
    <w:rsid w:val="00E80290"/>
    <w:rsid w:val="00E82104"/>
    <w:rsid w:val="00E8370D"/>
    <w:rsid w:val="00E8501C"/>
    <w:rsid w:val="00E855C1"/>
    <w:rsid w:val="00E85E90"/>
    <w:rsid w:val="00E92289"/>
    <w:rsid w:val="00E93E71"/>
    <w:rsid w:val="00E977DC"/>
    <w:rsid w:val="00EA0AA6"/>
    <w:rsid w:val="00EA16C3"/>
    <w:rsid w:val="00EA3503"/>
    <w:rsid w:val="00EA44D9"/>
    <w:rsid w:val="00EB2A6C"/>
    <w:rsid w:val="00EB4C9F"/>
    <w:rsid w:val="00EB51C3"/>
    <w:rsid w:val="00EB6A76"/>
    <w:rsid w:val="00EC0D28"/>
    <w:rsid w:val="00EC3FF9"/>
    <w:rsid w:val="00EC75C7"/>
    <w:rsid w:val="00ED25FE"/>
    <w:rsid w:val="00ED3512"/>
    <w:rsid w:val="00ED63C9"/>
    <w:rsid w:val="00EE06C3"/>
    <w:rsid w:val="00EF2793"/>
    <w:rsid w:val="00EF61A9"/>
    <w:rsid w:val="00EF67A5"/>
    <w:rsid w:val="00EF7DAD"/>
    <w:rsid w:val="00F0233C"/>
    <w:rsid w:val="00F02C90"/>
    <w:rsid w:val="00F05F7A"/>
    <w:rsid w:val="00F13097"/>
    <w:rsid w:val="00F13941"/>
    <w:rsid w:val="00F14C6D"/>
    <w:rsid w:val="00F16702"/>
    <w:rsid w:val="00F17C9E"/>
    <w:rsid w:val="00F205A5"/>
    <w:rsid w:val="00F22275"/>
    <w:rsid w:val="00F2547A"/>
    <w:rsid w:val="00F26ED7"/>
    <w:rsid w:val="00F315FD"/>
    <w:rsid w:val="00F31952"/>
    <w:rsid w:val="00F32D5E"/>
    <w:rsid w:val="00F34D7C"/>
    <w:rsid w:val="00F35B11"/>
    <w:rsid w:val="00F375FB"/>
    <w:rsid w:val="00F4131E"/>
    <w:rsid w:val="00F41A8B"/>
    <w:rsid w:val="00F50318"/>
    <w:rsid w:val="00F51F90"/>
    <w:rsid w:val="00F60D6D"/>
    <w:rsid w:val="00F60DE5"/>
    <w:rsid w:val="00F66FEF"/>
    <w:rsid w:val="00F675C6"/>
    <w:rsid w:val="00F70FFE"/>
    <w:rsid w:val="00F76158"/>
    <w:rsid w:val="00F764E4"/>
    <w:rsid w:val="00F77F4F"/>
    <w:rsid w:val="00F81DD3"/>
    <w:rsid w:val="00F8692B"/>
    <w:rsid w:val="00F91BB6"/>
    <w:rsid w:val="00F92E40"/>
    <w:rsid w:val="00F93E14"/>
    <w:rsid w:val="00FA26EA"/>
    <w:rsid w:val="00FA4916"/>
    <w:rsid w:val="00FB10DB"/>
    <w:rsid w:val="00FB5AD2"/>
    <w:rsid w:val="00FB62AA"/>
    <w:rsid w:val="00FC4093"/>
    <w:rsid w:val="00FC53D9"/>
    <w:rsid w:val="00FC56F9"/>
    <w:rsid w:val="00FC6518"/>
    <w:rsid w:val="00FC6D93"/>
    <w:rsid w:val="00FD01B5"/>
    <w:rsid w:val="00FD1AA8"/>
    <w:rsid w:val="00FD1CAA"/>
    <w:rsid w:val="00FE26AF"/>
    <w:rsid w:val="00FE2997"/>
    <w:rsid w:val="00FE2D0F"/>
    <w:rsid w:val="00FE441D"/>
    <w:rsid w:val="00FE5BF6"/>
    <w:rsid w:val="00FE68CA"/>
    <w:rsid w:val="00FF200A"/>
    <w:rsid w:val="00FF2E89"/>
    <w:rsid w:val="00FF38E7"/>
    <w:rsid w:val="00FF3F1B"/>
    <w:rsid w:val="00FF5537"/>
    <w:rsid w:val="00FF64AE"/>
    <w:rsid w:val="00FF6BDC"/>
    <w:rsid w:val="00FF7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42B8869"/>
  <w15:chartTrackingRefBased/>
  <w15:docId w15:val="{9CC6D297-D20D-4BDB-BBDA-E963131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242DD5"/>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link w:val="ListParagraphChar"/>
    <w:uiPriority w:val="34"/>
    <w:qFormat/>
    <w:rsid w:val="000C2035"/>
    <w:pPr>
      <w:ind w:left="720"/>
      <w:contextualSpacing/>
    </w:pPr>
  </w:style>
  <w:style w:type="character" w:customStyle="1" w:styleId="ListParagraphChar">
    <w:name w:val="List Paragraph Char"/>
    <w:link w:val="ListParagraph"/>
    <w:uiPriority w:val="34"/>
    <w:rsid w:val="00354D39"/>
    <w:rPr>
      <w:rFonts w:ascii="Arial" w:eastAsia="MS Mincho" w:hAnsi="Arial"/>
      <w:sz w:val="24"/>
      <w:szCs w:val="24"/>
    </w:rPr>
  </w:style>
  <w:style w:type="paragraph" w:customStyle="1" w:styleId="Body">
    <w:name w:val="Body"/>
    <w:rsid w:val="00354D39"/>
    <w:pPr>
      <w:pBdr>
        <w:top w:val="nil"/>
        <w:left w:val="nil"/>
        <w:bottom w:val="nil"/>
        <w:right w:val="nil"/>
        <w:between w:val="nil"/>
        <w:bar w:val="nil"/>
      </w:pBdr>
      <w:spacing w:before="240" w:after="240"/>
    </w:pPr>
    <w:rPr>
      <w:rFonts w:ascii="Arial" w:eastAsia="Arial Unicode MS" w:hAnsi="Arial" w:cs="Arial Unicode MS"/>
      <w:color w:val="000000"/>
      <w:sz w:val="24"/>
      <w:szCs w:val="24"/>
      <w:u w:color="000000"/>
      <w:bdr w:val="nil"/>
      <w:lang w:val="en-US" w:eastAsia="en-US"/>
    </w:rPr>
  </w:style>
  <w:style w:type="paragraph" w:customStyle="1" w:styleId="ListParaMargin">
    <w:name w:val="List Para Margin"/>
    <w:next w:val="Normal"/>
    <w:uiPriority w:val="99"/>
    <w:rsid w:val="00354D39"/>
    <w:pPr>
      <w:keepLines/>
      <w:widowControl w:val="0"/>
      <w:numPr>
        <w:numId w:val="17"/>
      </w:numPr>
      <w:tabs>
        <w:tab w:val="left" w:pos="567"/>
        <w:tab w:val="left" w:pos="850"/>
      </w:tabs>
      <w:suppressAutoHyphens/>
      <w:autoSpaceDE w:val="0"/>
      <w:autoSpaceDN w:val="0"/>
      <w:adjustRightInd w:val="0"/>
      <w:spacing w:after="200" w:line="288" w:lineRule="auto"/>
      <w:textAlignment w:val="center"/>
    </w:pPr>
    <w:rPr>
      <w:rFonts w:ascii="Arial" w:eastAsia="MS Mincho" w:hAnsi="Arial" w:cs="HelveticaNeue"/>
      <w:color w:val="000000"/>
      <w:sz w:val="24"/>
      <w:szCs w:val="17"/>
      <w:lang w:val="en-US"/>
    </w:rPr>
  </w:style>
  <w:style w:type="paragraph" w:customStyle="1" w:styleId="Style4">
    <w:name w:val="Style4"/>
    <w:basedOn w:val="EndnoteText"/>
    <w:link w:val="Style4Char"/>
    <w:qFormat/>
    <w:rsid w:val="003D781F"/>
    <w:pPr>
      <w:spacing w:line="259" w:lineRule="auto"/>
    </w:pPr>
  </w:style>
  <w:style w:type="character" w:customStyle="1" w:styleId="Style4Char">
    <w:name w:val="Style4 Char"/>
    <w:basedOn w:val="DefaultParagraphFont"/>
    <w:link w:val="Style4"/>
    <w:rsid w:val="003D781F"/>
    <w:rPr>
      <w:rFonts w:ascii="Arial" w:eastAsia="MS Mincho" w:hAnsi="Arial"/>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semiHidden/>
    <w:rsid w:val="003D781F"/>
    <w:rPr>
      <w:rFonts w:ascii="Arial" w:eastAsia="MS Mincho" w:hAnsi="Arial"/>
    </w:rPr>
  </w:style>
  <w:style w:type="numbering" w:customStyle="1" w:styleId="StyleNumbered">
    <w:name w:val="Style Numbered"/>
    <w:basedOn w:val="NoList"/>
    <w:semiHidden/>
    <w:rsid w:val="003D781F"/>
    <w:pPr>
      <w:numPr>
        <w:numId w:val="18"/>
      </w:numPr>
    </w:pPr>
  </w:style>
  <w:style w:type="character" w:styleId="CommentReference">
    <w:name w:val="annotation reference"/>
    <w:basedOn w:val="DefaultParagraphFont"/>
    <w:locked/>
    <w:rsid w:val="00547168"/>
    <w:rPr>
      <w:sz w:val="16"/>
      <w:szCs w:val="16"/>
    </w:rPr>
  </w:style>
  <w:style w:type="paragraph" w:styleId="CommentText">
    <w:name w:val="annotation text"/>
    <w:basedOn w:val="Normal"/>
    <w:link w:val="CommentTextChar"/>
    <w:locked/>
    <w:rsid w:val="00547168"/>
    <w:rPr>
      <w:sz w:val="20"/>
      <w:szCs w:val="20"/>
    </w:rPr>
  </w:style>
  <w:style w:type="character" w:customStyle="1" w:styleId="CommentTextChar">
    <w:name w:val="Comment Text Char"/>
    <w:basedOn w:val="DefaultParagraphFont"/>
    <w:link w:val="CommentText"/>
    <w:rsid w:val="00547168"/>
    <w:rPr>
      <w:rFonts w:ascii="Arial" w:eastAsia="MS Mincho" w:hAnsi="Arial"/>
    </w:rPr>
  </w:style>
  <w:style w:type="paragraph" w:styleId="CommentSubject">
    <w:name w:val="annotation subject"/>
    <w:basedOn w:val="CommentText"/>
    <w:next w:val="CommentText"/>
    <w:link w:val="CommentSubjectChar"/>
    <w:locked/>
    <w:rsid w:val="00547168"/>
    <w:rPr>
      <w:b/>
      <w:bCs/>
    </w:rPr>
  </w:style>
  <w:style w:type="character" w:customStyle="1" w:styleId="CommentSubjectChar">
    <w:name w:val="Comment Subject Char"/>
    <w:basedOn w:val="CommentTextChar"/>
    <w:link w:val="CommentSubject"/>
    <w:rsid w:val="00547168"/>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205">
      <w:bodyDiv w:val="1"/>
      <w:marLeft w:val="0"/>
      <w:marRight w:val="0"/>
      <w:marTop w:val="0"/>
      <w:marBottom w:val="0"/>
      <w:divBdr>
        <w:top w:val="none" w:sz="0" w:space="0" w:color="auto"/>
        <w:left w:val="none" w:sz="0" w:space="0" w:color="auto"/>
        <w:bottom w:val="none" w:sz="0" w:space="0" w:color="auto"/>
        <w:right w:val="none" w:sz="0" w:space="0" w:color="auto"/>
      </w:divBdr>
    </w:div>
    <w:div w:id="86466488">
      <w:bodyDiv w:val="1"/>
      <w:marLeft w:val="0"/>
      <w:marRight w:val="0"/>
      <w:marTop w:val="0"/>
      <w:marBottom w:val="0"/>
      <w:divBdr>
        <w:top w:val="none" w:sz="0" w:space="0" w:color="auto"/>
        <w:left w:val="none" w:sz="0" w:space="0" w:color="auto"/>
        <w:bottom w:val="none" w:sz="0" w:space="0" w:color="auto"/>
        <w:right w:val="none" w:sz="0" w:space="0" w:color="auto"/>
      </w:divBdr>
    </w:div>
    <w:div w:id="111438653">
      <w:bodyDiv w:val="1"/>
      <w:marLeft w:val="0"/>
      <w:marRight w:val="0"/>
      <w:marTop w:val="0"/>
      <w:marBottom w:val="0"/>
      <w:divBdr>
        <w:top w:val="none" w:sz="0" w:space="0" w:color="auto"/>
        <w:left w:val="none" w:sz="0" w:space="0" w:color="auto"/>
        <w:bottom w:val="none" w:sz="0" w:space="0" w:color="auto"/>
        <w:right w:val="none" w:sz="0" w:space="0" w:color="auto"/>
      </w:divBdr>
    </w:div>
    <w:div w:id="112092529">
      <w:bodyDiv w:val="1"/>
      <w:marLeft w:val="0"/>
      <w:marRight w:val="0"/>
      <w:marTop w:val="0"/>
      <w:marBottom w:val="0"/>
      <w:divBdr>
        <w:top w:val="none" w:sz="0" w:space="0" w:color="auto"/>
        <w:left w:val="none" w:sz="0" w:space="0" w:color="auto"/>
        <w:bottom w:val="none" w:sz="0" w:space="0" w:color="auto"/>
        <w:right w:val="none" w:sz="0" w:space="0" w:color="auto"/>
      </w:divBdr>
    </w:div>
    <w:div w:id="115023806">
      <w:bodyDiv w:val="1"/>
      <w:marLeft w:val="0"/>
      <w:marRight w:val="0"/>
      <w:marTop w:val="0"/>
      <w:marBottom w:val="0"/>
      <w:divBdr>
        <w:top w:val="none" w:sz="0" w:space="0" w:color="auto"/>
        <w:left w:val="none" w:sz="0" w:space="0" w:color="auto"/>
        <w:bottom w:val="none" w:sz="0" w:space="0" w:color="auto"/>
        <w:right w:val="none" w:sz="0" w:space="0" w:color="auto"/>
      </w:divBdr>
    </w:div>
    <w:div w:id="132603103">
      <w:bodyDiv w:val="1"/>
      <w:marLeft w:val="0"/>
      <w:marRight w:val="0"/>
      <w:marTop w:val="0"/>
      <w:marBottom w:val="0"/>
      <w:divBdr>
        <w:top w:val="none" w:sz="0" w:space="0" w:color="auto"/>
        <w:left w:val="none" w:sz="0" w:space="0" w:color="auto"/>
        <w:bottom w:val="none" w:sz="0" w:space="0" w:color="auto"/>
        <w:right w:val="none" w:sz="0" w:space="0" w:color="auto"/>
      </w:divBdr>
    </w:div>
    <w:div w:id="175003417">
      <w:bodyDiv w:val="1"/>
      <w:marLeft w:val="0"/>
      <w:marRight w:val="0"/>
      <w:marTop w:val="0"/>
      <w:marBottom w:val="0"/>
      <w:divBdr>
        <w:top w:val="none" w:sz="0" w:space="0" w:color="auto"/>
        <w:left w:val="none" w:sz="0" w:space="0" w:color="auto"/>
        <w:bottom w:val="none" w:sz="0" w:space="0" w:color="auto"/>
        <w:right w:val="none" w:sz="0" w:space="0" w:color="auto"/>
      </w:divBdr>
    </w:div>
    <w:div w:id="224218685">
      <w:bodyDiv w:val="1"/>
      <w:marLeft w:val="0"/>
      <w:marRight w:val="0"/>
      <w:marTop w:val="0"/>
      <w:marBottom w:val="0"/>
      <w:divBdr>
        <w:top w:val="none" w:sz="0" w:space="0" w:color="auto"/>
        <w:left w:val="none" w:sz="0" w:space="0" w:color="auto"/>
        <w:bottom w:val="none" w:sz="0" w:space="0" w:color="auto"/>
        <w:right w:val="none" w:sz="0" w:space="0" w:color="auto"/>
      </w:divBdr>
    </w:div>
    <w:div w:id="230386461">
      <w:bodyDiv w:val="1"/>
      <w:marLeft w:val="0"/>
      <w:marRight w:val="0"/>
      <w:marTop w:val="0"/>
      <w:marBottom w:val="0"/>
      <w:divBdr>
        <w:top w:val="none" w:sz="0" w:space="0" w:color="auto"/>
        <w:left w:val="none" w:sz="0" w:space="0" w:color="auto"/>
        <w:bottom w:val="none" w:sz="0" w:space="0" w:color="auto"/>
        <w:right w:val="none" w:sz="0" w:space="0" w:color="auto"/>
      </w:divBdr>
    </w:div>
    <w:div w:id="251161968">
      <w:bodyDiv w:val="1"/>
      <w:marLeft w:val="0"/>
      <w:marRight w:val="0"/>
      <w:marTop w:val="0"/>
      <w:marBottom w:val="0"/>
      <w:divBdr>
        <w:top w:val="none" w:sz="0" w:space="0" w:color="auto"/>
        <w:left w:val="none" w:sz="0" w:space="0" w:color="auto"/>
        <w:bottom w:val="none" w:sz="0" w:space="0" w:color="auto"/>
        <w:right w:val="none" w:sz="0" w:space="0" w:color="auto"/>
      </w:divBdr>
    </w:div>
    <w:div w:id="282427011">
      <w:bodyDiv w:val="1"/>
      <w:marLeft w:val="0"/>
      <w:marRight w:val="0"/>
      <w:marTop w:val="0"/>
      <w:marBottom w:val="0"/>
      <w:divBdr>
        <w:top w:val="none" w:sz="0" w:space="0" w:color="auto"/>
        <w:left w:val="none" w:sz="0" w:space="0" w:color="auto"/>
        <w:bottom w:val="none" w:sz="0" w:space="0" w:color="auto"/>
        <w:right w:val="none" w:sz="0" w:space="0" w:color="auto"/>
      </w:divBdr>
    </w:div>
    <w:div w:id="420377297">
      <w:bodyDiv w:val="1"/>
      <w:marLeft w:val="0"/>
      <w:marRight w:val="0"/>
      <w:marTop w:val="0"/>
      <w:marBottom w:val="0"/>
      <w:divBdr>
        <w:top w:val="none" w:sz="0" w:space="0" w:color="auto"/>
        <w:left w:val="none" w:sz="0" w:space="0" w:color="auto"/>
        <w:bottom w:val="none" w:sz="0" w:space="0" w:color="auto"/>
        <w:right w:val="none" w:sz="0" w:space="0" w:color="auto"/>
      </w:divBdr>
    </w:div>
    <w:div w:id="500435536">
      <w:bodyDiv w:val="1"/>
      <w:marLeft w:val="0"/>
      <w:marRight w:val="0"/>
      <w:marTop w:val="0"/>
      <w:marBottom w:val="0"/>
      <w:divBdr>
        <w:top w:val="none" w:sz="0" w:space="0" w:color="auto"/>
        <w:left w:val="none" w:sz="0" w:space="0" w:color="auto"/>
        <w:bottom w:val="none" w:sz="0" w:space="0" w:color="auto"/>
        <w:right w:val="none" w:sz="0" w:space="0" w:color="auto"/>
      </w:divBdr>
    </w:div>
    <w:div w:id="561717150">
      <w:bodyDiv w:val="1"/>
      <w:marLeft w:val="0"/>
      <w:marRight w:val="0"/>
      <w:marTop w:val="0"/>
      <w:marBottom w:val="0"/>
      <w:divBdr>
        <w:top w:val="none" w:sz="0" w:space="0" w:color="auto"/>
        <w:left w:val="none" w:sz="0" w:space="0" w:color="auto"/>
        <w:bottom w:val="none" w:sz="0" w:space="0" w:color="auto"/>
        <w:right w:val="none" w:sz="0" w:space="0" w:color="auto"/>
      </w:divBdr>
    </w:div>
    <w:div w:id="565260409">
      <w:bodyDiv w:val="1"/>
      <w:marLeft w:val="0"/>
      <w:marRight w:val="0"/>
      <w:marTop w:val="0"/>
      <w:marBottom w:val="0"/>
      <w:divBdr>
        <w:top w:val="none" w:sz="0" w:space="0" w:color="auto"/>
        <w:left w:val="none" w:sz="0" w:space="0" w:color="auto"/>
        <w:bottom w:val="none" w:sz="0" w:space="0" w:color="auto"/>
        <w:right w:val="none" w:sz="0" w:space="0" w:color="auto"/>
      </w:divBdr>
    </w:div>
    <w:div w:id="590939235">
      <w:bodyDiv w:val="1"/>
      <w:marLeft w:val="0"/>
      <w:marRight w:val="0"/>
      <w:marTop w:val="0"/>
      <w:marBottom w:val="0"/>
      <w:divBdr>
        <w:top w:val="none" w:sz="0" w:space="0" w:color="auto"/>
        <w:left w:val="none" w:sz="0" w:space="0" w:color="auto"/>
        <w:bottom w:val="none" w:sz="0" w:space="0" w:color="auto"/>
        <w:right w:val="none" w:sz="0" w:space="0" w:color="auto"/>
      </w:divBdr>
    </w:div>
    <w:div w:id="6031521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2745162">
      <w:bodyDiv w:val="1"/>
      <w:marLeft w:val="0"/>
      <w:marRight w:val="0"/>
      <w:marTop w:val="0"/>
      <w:marBottom w:val="0"/>
      <w:divBdr>
        <w:top w:val="none" w:sz="0" w:space="0" w:color="auto"/>
        <w:left w:val="none" w:sz="0" w:space="0" w:color="auto"/>
        <w:bottom w:val="none" w:sz="0" w:space="0" w:color="auto"/>
        <w:right w:val="none" w:sz="0" w:space="0" w:color="auto"/>
      </w:divBdr>
    </w:div>
    <w:div w:id="803280184">
      <w:bodyDiv w:val="1"/>
      <w:marLeft w:val="0"/>
      <w:marRight w:val="0"/>
      <w:marTop w:val="0"/>
      <w:marBottom w:val="0"/>
      <w:divBdr>
        <w:top w:val="none" w:sz="0" w:space="0" w:color="auto"/>
        <w:left w:val="none" w:sz="0" w:space="0" w:color="auto"/>
        <w:bottom w:val="none" w:sz="0" w:space="0" w:color="auto"/>
        <w:right w:val="none" w:sz="0" w:space="0" w:color="auto"/>
      </w:divBdr>
    </w:div>
    <w:div w:id="829374254">
      <w:bodyDiv w:val="1"/>
      <w:marLeft w:val="0"/>
      <w:marRight w:val="0"/>
      <w:marTop w:val="0"/>
      <w:marBottom w:val="0"/>
      <w:divBdr>
        <w:top w:val="none" w:sz="0" w:space="0" w:color="auto"/>
        <w:left w:val="none" w:sz="0" w:space="0" w:color="auto"/>
        <w:bottom w:val="none" w:sz="0" w:space="0" w:color="auto"/>
        <w:right w:val="none" w:sz="0" w:space="0" w:color="auto"/>
      </w:divBdr>
    </w:div>
    <w:div w:id="862330678">
      <w:bodyDiv w:val="1"/>
      <w:marLeft w:val="0"/>
      <w:marRight w:val="0"/>
      <w:marTop w:val="0"/>
      <w:marBottom w:val="0"/>
      <w:divBdr>
        <w:top w:val="none" w:sz="0" w:space="0" w:color="auto"/>
        <w:left w:val="none" w:sz="0" w:space="0" w:color="auto"/>
        <w:bottom w:val="none" w:sz="0" w:space="0" w:color="auto"/>
        <w:right w:val="none" w:sz="0" w:space="0" w:color="auto"/>
      </w:divBdr>
    </w:div>
    <w:div w:id="895363115">
      <w:bodyDiv w:val="1"/>
      <w:marLeft w:val="0"/>
      <w:marRight w:val="0"/>
      <w:marTop w:val="0"/>
      <w:marBottom w:val="0"/>
      <w:divBdr>
        <w:top w:val="none" w:sz="0" w:space="0" w:color="auto"/>
        <w:left w:val="none" w:sz="0" w:space="0" w:color="auto"/>
        <w:bottom w:val="none" w:sz="0" w:space="0" w:color="auto"/>
        <w:right w:val="none" w:sz="0" w:space="0" w:color="auto"/>
      </w:divBdr>
    </w:div>
    <w:div w:id="915944309">
      <w:bodyDiv w:val="1"/>
      <w:marLeft w:val="0"/>
      <w:marRight w:val="0"/>
      <w:marTop w:val="0"/>
      <w:marBottom w:val="0"/>
      <w:divBdr>
        <w:top w:val="none" w:sz="0" w:space="0" w:color="auto"/>
        <w:left w:val="none" w:sz="0" w:space="0" w:color="auto"/>
        <w:bottom w:val="none" w:sz="0" w:space="0" w:color="auto"/>
        <w:right w:val="none" w:sz="0" w:space="0" w:color="auto"/>
      </w:divBdr>
    </w:div>
    <w:div w:id="91987628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17657313">
      <w:bodyDiv w:val="1"/>
      <w:marLeft w:val="0"/>
      <w:marRight w:val="0"/>
      <w:marTop w:val="0"/>
      <w:marBottom w:val="0"/>
      <w:divBdr>
        <w:top w:val="none" w:sz="0" w:space="0" w:color="auto"/>
        <w:left w:val="none" w:sz="0" w:space="0" w:color="auto"/>
        <w:bottom w:val="none" w:sz="0" w:space="0" w:color="auto"/>
        <w:right w:val="none" w:sz="0" w:space="0" w:color="auto"/>
      </w:divBdr>
    </w:div>
    <w:div w:id="1112286073">
      <w:bodyDiv w:val="1"/>
      <w:marLeft w:val="0"/>
      <w:marRight w:val="0"/>
      <w:marTop w:val="0"/>
      <w:marBottom w:val="0"/>
      <w:divBdr>
        <w:top w:val="none" w:sz="0" w:space="0" w:color="auto"/>
        <w:left w:val="none" w:sz="0" w:space="0" w:color="auto"/>
        <w:bottom w:val="none" w:sz="0" w:space="0" w:color="auto"/>
        <w:right w:val="none" w:sz="0" w:space="0" w:color="auto"/>
      </w:divBdr>
    </w:div>
    <w:div w:id="1144814675">
      <w:bodyDiv w:val="1"/>
      <w:marLeft w:val="0"/>
      <w:marRight w:val="0"/>
      <w:marTop w:val="0"/>
      <w:marBottom w:val="0"/>
      <w:divBdr>
        <w:top w:val="none" w:sz="0" w:space="0" w:color="auto"/>
        <w:left w:val="none" w:sz="0" w:space="0" w:color="auto"/>
        <w:bottom w:val="none" w:sz="0" w:space="0" w:color="auto"/>
        <w:right w:val="none" w:sz="0" w:space="0" w:color="auto"/>
      </w:divBdr>
    </w:div>
    <w:div w:id="1184441348">
      <w:bodyDiv w:val="1"/>
      <w:marLeft w:val="0"/>
      <w:marRight w:val="0"/>
      <w:marTop w:val="0"/>
      <w:marBottom w:val="0"/>
      <w:divBdr>
        <w:top w:val="none" w:sz="0" w:space="0" w:color="auto"/>
        <w:left w:val="none" w:sz="0" w:space="0" w:color="auto"/>
        <w:bottom w:val="none" w:sz="0" w:space="0" w:color="auto"/>
        <w:right w:val="none" w:sz="0" w:space="0" w:color="auto"/>
      </w:divBdr>
    </w:div>
    <w:div w:id="1235159538">
      <w:bodyDiv w:val="1"/>
      <w:marLeft w:val="0"/>
      <w:marRight w:val="0"/>
      <w:marTop w:val="0"/>
      <w:marBottom w:val="0"/>
      <w:divBdr>
        <w:top w:val="none" w:sz="0" w:space="0" w:color="auto"/>
        <w:left w:val="none" w:sz="0" w:space="0" w:color="auto"/>
        <w:bottom w:val="none" w:sz="0" w:space="0" w:color="auto"/>
        <w:right w:val="none" w:sz="0" w:space="0" w:color="auto"/>
      </w:divBdr>
    </w:div>
    <w:div w:id="1269854015">
      <w:bodyDiv w:val="1"/>
      <w:marLeft w:val="0"/>
      <w:marRight w:val="0"/>
      <w:marTop w:val="0"/>
      <w:marBottom w:val="0"/>
      <w:divBdr>
        <w:top w:val="none" w:sz="0" w:space="0" w:color="auto"/>
        <w:left w:val="none" w:sz="0" w:space="0" w:color="auto"/>
        <w:bottom w:val="none" w:sz="0" w:space="0" w:color="auto"/>
        <w:right w:val="none" w:sz="0" w:space="0" w:color="auto"/>
      </w:divBdr>
    </w:div>
    <w:div w:id="1380596249">
      <w:bodyDiv w:val="1"/>
      <w:marLeft w:val="0"/>
      <w:marRight w:val="0"/>
      <w:marTop w:val="0"/>
      <w:marBottom w:val="0"/>
      <w:divBdr>
        <w:top w:val="none" w:sz="0" w:space="0" w:color="auto"/>
        <w:left w:val="none" w:sz="0" w:space="0" w:color="auto"/>
        <w:bottom w:val="none" w:sz="0" w:space="0" w:color="auto"/>
        <w:right w:val="none" w:sz="0" w:space="0" w:color="auto"/>
      </w:divBdr>
    </w:div>
    <w:div w:id="1434936727">
      <w:bodyDiv w:val="1"/>
      <w:marLeft w:val="0"/>
      <w:marRight w:val="0"/>
      <w:marTop w:val="0"/>
      <w:marBottom w:val="0"/>
      <w:divBdr>
        <w:top w:val="none" w:sz="0" w:space="0" w:color="auto"/>
        <w:left w:val="none" w:sz="0" w:space="0" w:color="auto"/>
        <w:bottom w:val="none" w:sz="0" w:space="0" w:color="auto"/>
        <w:right w:val="none" w:sz="0" w:space="0" w:color="auto"/>
      </w:divBdr>
    </w:div>
    <w:div w:id="1464541538">
      <w:bodyDiv w:val="1"/>
      <w:marLeft w:val="0"/>
      <w:marRight w:val="0"/>
      <w:marTop w:val="0"/>
      <w:marBottom w:val="0"/>
      <w:divBdr>
        <w:top w:val="none" w:sz="0" w:space="0" w:color="auto"/>
        <w:left w:val="none" w:sz="0" w:space="0" w:color="auto"/>
        <w:bottom w:val="none" w:sz="0" w:space="0" w:color="auto"/>
        <w:right w:val="none" w:sz="0" w:space="0" w:color="auto"/>
      </w:divBdr>
    </w:div>
    <w:div w:id="1527593860">
      <w:bodyDiv w:val="1"/>
      <w:marLeft w:val="0"/>
      <w:marRight w:val="0"/>
      <w:marTop w:val="0"/>
      <w:marBottom w:val="0"/>
      <w:divBdr>
        <w:top w:val="none" w:sz="0" w:space="0" w:color="auto"/>
        <w:left w:val="none" w:sz="0" w:space="0" w:color="auto"/>
        <w:bottom w:val="none" w:sz="0" w:space="0" w:color="auto"/>
        <w:right w:val="none" w:sz="0" w:space="0" w:color="auto"/>
      </w:divBdr>
    </w:div>
    <w:div w:id="1651523315">
      <w:bodyDiv w:val="1"/>
      <w:marLeft w:val="0"/>
      <w:marRight w:val="0"/>
      <w:marTop w:val="0"/>
      <w:marBottom w:val="0"/>
      <w:divBdr>
        <w:top w:val="none" w:sz="0" w:space="0" w:color="auto"/>
        <w:left w:val="none" w:sz="0" w:space="0" w:color="auto"/>
        <w:bottom w:val="none" w:sz="0" w:space="0" w:color="auto"/>
        <w:right w:val="none" w:sz="0" w:space="0" w:color="auto"/>
      </w:divBdr>
    </w:div>
    <w:div w:id="1654214810">
      <w:bodyDiv w:val="1"/>
      <w:marLeft w:val="0"/>
      <w:marRight w:val="0"/>
      <w:marTop w:val="0"/>
      <w:marBottom w:val="0"/>
      <w:divBdr>
        <w:top w:val="none" w:sz="0" w:space="0" w:color="auto"/>
        <w:left w:val="none" w:sz="0" w:space="0" w:color="auto"/>
        <w:bottom w:val="none" w:sz="0" w:space="0" w:color="auto"/>
        <w:right w:val="none" w:sz="0" w:space="0" w:color="auto"/>
      </w:divBdr>
    </w:div>
    <w:div w:id="1670405712">
      <w:bodyDiv w:val="1"/>
      <w:marLeft w:val="0"/>
      <w:marRight w:val="0"/>
      <w:marTop w:val="0"/>
      <w:marBottom w:val="0"/>
      <w:divBdr>
        <w:top w:val="none" w:sz="0" w:space="0" w:color="auto"/>
        <w:left w:val="none" w:sz="0" w:space="0" w:color="auto"/>
        <w:bottom w:val="none" w:sz="0" w:space="0" w:color="auto"/>
        <w:right w:val="none" w:sz="0" w:space="0" w:color="auto"/>
      </w:divBdr>
    </w:div>
    <w:div w:id="1804082380">
      <w:bodyDiv w:val="1"/>
      <w:marLeft w:val="0"/>
      <w:marRight w:val="0"/>
      <w:marTop w:val="0"/>
      <w:marBottom w:val="0"/>
      <w:divBdr>
        <w:top w:val="none" w:sz="0" w:space="0" w:color="auto"/>
        <w:left w:val="none" w:sz="0" w:space="0" w:color="auto"/>
        <w:bottom w:val="none" w:sz="0" w:space="0" w:color="auto"/>
        <w:right w:val="none" w:sz="0" w:space="0" w:color="auto"/>
      </w:divBdr>
    </w:div>
    <w:div w:id="1921131943">
      <w:bodyDiv w:val="1"/>
      <w:marLeft w:val="0"/>
      <w:marRight w:val="0"/>
      <w:marTop w:val="0"/>
      <w:marBottom w:val="0"/>
      <w:divBdr>
        <w:top w:val="none" w:sz="0" w:space="0" w:color="auto"/>
        <w:left w:val="none" w:sz="0" w:space="0" w:color="auto"/>
        <w:bottom w:val="none" w:sz="0" w:space="0" w:color="auto"/>
        <w:right w:val="none" w:sz="0" w:space="0" w:color="auto"/>
      </w:divBdr>
    </w:div>
    <w:div w:id="1960405982">
      <w:bodyDiv w:val="1"/>
      <w:marLeft w:val="0"/>
      <w:marRight w:val="0"/>
      <w:marTop w:val="0"/>
      <w:marBottom w:val="0"/>
      <w:divBdr>
        <w:top w:val="none" w:sz="0" w:space="0" w:color="auto"/>
        <w:left w:val="none" w:sz="0" w:space="0" w:color="auto"/>
        <w:bottom w:val="none" w:sz="0" w:space="0" w:color="auto"/>
        <w:right w:val="none" w:sz="0" w:space="0" w:color="auto"/>
      </w:divBdr>
    </w:div>
    <w:div w:id="1974483979">
      <w:bodyDiv w:val="1"/>
      <w:marLeft w:val="0"/>
      <w:marRight w:val="0"/>
      <w:marTop w:val="0"/>
      <w:marBottom w:val="0"/>
      <w:divBdr>
        <w:top w:val="none" w:sz="0" w:space="0" w:color="auto"/>
        <w:left w:val="none" w:sz="0" w:space="0" w:color="auto"/>
        <w:bottom w:val="none" w:sz="0" w:space="0" w:color="auto"/>
        <w:right w:val="none" w:sz="0" w:space="0" w:color="auto"/>
      </w:divBdr>
    </w:div>
    <w:div w:id="2025597152">
      <w:bodyDiv w:val="1"/>
      <w:marLeft w:val="0"/>
      <w:marRight w:val="0"/>
      <w:marTop w:val="0"/>
      <w:marBottom w:val="0"/>
      <w:divBdr>
        <w:top w:val="none" w:sz="0" w:space="0" w:color="auto"/>
        <w:left w:val="none" w:sz="0" w:space="0" w:color="auto"/>
        <w:bottom w:val="none" w:sz="0" w:space="0" w:color="auto"/>
        <w:right w:val="none" w:sz="0" w:space="0" w:color="auto"/>
      </w:divBdr>
    </w:div>
    <w:div w:id="2061588160">
      <w:bodyDiv w:val="1"/>
      <w:marLeft w:val="0"/>
      <w:marRight w:val="0"/>
      <w:marTop w:val="0"/>
      <w:marBottom w:val="0"/>
      <w:divBdr>
        <w:top w:val="none" w:sz="0" w:space="0" w:color="auto"/>
        <w:left w:val="none" w:sz="0" w:space="0" w:color="auto"/>
        <w:bottom w:val="none" w:sz="0" w:space="0" w:color="auto"/>
        <w:right w:val="none" w:sz="0" w:space="0" w:color="auto"/>
      </w:divBdr>
    </w:div>
    <w:div w:id="2076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26" Type="http://schemas.openxmlformats.org/officeDocument/2006/relationships/hyperlink" Target="http://www.aic.gov.au/publications/current%20series/rip/1-10/10.html" TargetMode="External"/><Relationship Id="rId21" Type="http://schemas.openxmlformats.org/officeDocument/2006/relationships/hyperlink" Target="http://www.pc.gov.au/research/ongoing/overcoming-indigenous-disadvantage/2016/report-documents/oid-2016-overcoming-indigenous-disadvantage-key-indicators-2016-report.pdf" TargetMode="External"/><Relationship Id="rId34" Type="http://schemas.openxmlformats.org/officeDocument/2006/relationships/hyperlink" Target="http://www.abs.gov.au/ausstats/abs@.nsf/mf/4906.0" TargetMode="External"/><Relationship Id="rId42" Type="http://schemas.openxmlformats.org/officeDocument/2006/relationships/hyperlink" Target="https://www.dss.gov.au/sites/default/files/documents/10_2016/third_action_plan.pdf" TargetMode="External"/><Relationship Id="rId47" Type="http://schemas.openxmlformats.org/officeDocument/2006/relationships/hyperlink" Target="http://www.aph.gov.au/DocumentStore.ashx?id=98e7d00c-885a-46da-a50c-aaf0d19bf6ea&amp;subId=410058" TargetMode="External"/><Relationship Id="rId50" Type="http://schemas.openxmlformats.org/officeDocument/2006/relationships/hyperlink" Target="https://www.communities.qld.gov.au/resources/gateway/campaigns/end-violence/about/special-taskforce/dfv-report-vol-one.pdf" TargetMode="External"/><Relationship Id="rId55" Type="http://schemas.openxmlformats.org/officeDocument/2006/relationships/hyperlink" Target="http://www.humanrights.gov.au/legal/submissions/2011/20110421_family_violence.html" TargetMode="External"/><Relationship Id="rId63" Type="http://schemas.openxmlformats.org/officeDocument/2006/relationships/hyperlink" Target="http://www.afr.com/news/policy/industrial-relations/telstra-introduces-domestic-violence-leave-20150113-12na7h" TargetMode="External"/><Relationship Id="rId68" Type="http://schemas.openxmlformats.org/officeDocument/2006/relationships/hyperlink" Target="https://www.humanrights.gov.au/our-work/sex-discrimination/projects/working-without-fear-results-sexual-harassment-national" TargetMode="External"/><Relationship Id="rId76" Type="http://schemas.openxmlformats.org/officeDocument/2006/relationships/hyperlink" Target="https://www.humanrights.gov.au/our-work/sex-discrimination/projects/working-without-fear-results-sexual-harassment-national" TargetMode="External"/><Relationship Id="rId84" Type="http://schemas.openxmlformats.org/officeDocument/2006/relationships/hyperlink" Target="http://www.defence.gov.au/PathwayToChange/Docs/120410%20Pathway%20to%20Change%20-%20Evolving%20Defence%20Culture%20-%20web%20version.pdf" TargetMode="External"/><Relationship Id="rId89" Type="http://schemas.openxmlformats.org/officeDocument/2006/relationships/hyperlink" Target="https://www.humanrights.gov.au/our-work/sex-discrimination/projects/university-sexual-assault-and-sexual-harassment-project" TargetMode="External"/><Relationship Id="rId97" Type="http://schemas.openxmlformats.org/officeDocument/2006/relationships/hyperlink" Target="https://www.humanrights.gov.au/our-work/childrens-rights/publications/childrens-rights-report-2015" TargetMode="External"/><Relationship Id="rId7" Type="http://schemas.openxmlformats.org/officeDocument/2006/relationships/hyperlink" Target="http://files.rcfv.com.au/Reports/Final/RCFV-All-Volumes.pdf" TargetMode="External"/><Relationship Id="rId71" Type="http://schemas.openxmlformats.org/officeDocument/2006/relationships/hyperlink" Target="https://www.humanrights.gov.au/our-work/sex-discrimination/projects/working-without-fear-results-sexual-harassment-national" TargetMode="External"/><Relationship Id="rId92" Type="http://schemas.openxmlformats.org/officeDocument/2006/relationships/hyperlink" Target="http://www.abs.gov.au/ausstats/abs@.nsf/Lookup/by%20Subject/4510.0~2014~Main%20Features~Introduction~3" TargetMode="External"/><Relationship Id="rId2" Type="http://schemas.openxmlformats.org/officeDocument/2006/relationships/hyperlink" Target="http://www.aph.gov.au/DocumentStore.ashx?id=98e7d00c-885a-46da-a50c-aaf0d19bf6ea&amp;subId=410058" TargetMode="External"/><Relationship Id="rId16" Type="http://schemas.openxmlformats.org/officeDocument/2006/relationships/hyperlink" Target="http://www.aic.gov.au/publications/current%20series/rip/21-40/rip38.html" TargetMode="External"/><Relationship Id="rId29" Type="http://schemas.openxmlformats.org/officeDocument/2006/relationships/hyperlink" Target="https://aifs.gov.au/sites/default/files/rr35-elder-abuse.pdf" TargetMode="External"/><Relationship Id="rId11" Type="http://schemas.openxmlformats.org/officeDocument/2006/relationships/hyperlink" Target="http://www.abs.gov.au/ausstats/abs@.nsf/mf/4906.0" TargetMode="External"/><Relationship Id="rId24" Type="http://schemas.openxmlformats.org/officeDocument/2006/relationships/hyperlink" Target="http://wwda.org.au/wp-content/uploads/2016/09/1800RESPECT_Report_FINAL.pdf" TargetMode="External"/><Relationship Id="rId32" Type="http://schemas.openxmlformats.org/officeDocument/2006/relationships/hyperlink" Target="https://www.humanrights.gov.au/our-work/sexual-orientation-sex-gender-identity/publications/resilient-individuals-sexual" TargetMode="External"/><Relationship Id="rId37" Type="http://schemas.openxmlformats.org/officeDocument/2006/relationships/hyperlink" Target="https://www.dss.gov.au/sites/default/files/documents/08_2014/national_plan_accessible.pdf" TargetMode="External"/><Relationship Id="rId40" Type="http://schemas.openxmlformats.org/officeDocument/2006/relationships/hyperlink" Target="https://www.dss.gov.au/sites/default/files/documents/10_2016/third_action_plan.pdf" TargetMode="External"/><Relationship Id="rId45" Type="http://schemas.openxmlformats.org/officeDocument/2006/relationships/hyperlink" Target="http://www.aph.gov.au/Parliamentary_Business/Committees/Senate/Finance_and_Public_Administration/Gendersegregation" TargetMode="External"/><Relationship Id="rId53" Type="http://schemas.openxmlformats.org/officeDocument/2006/relationships/hyperlink" Target="http://files.rcfv.com.au/Reports/Final/RCFV-All-Volumes.pdf" TargetMode="External"/><Relationship Id="rId58" Type="http://schemas.openxmlformats.org/officeDocument/2006/relationships/hyperlink" Target="http://www.humanrights.gov.au/legal/submissions/2011/20110421_family_violence.html" TargetMode="External"/><Relationship Id="rId66" Type="http://schemas.openxmlformats.org/officeDocument/2006/relationships/hyperlink" Target="http://www.actu.org.au/actu-media/media-releases/2016/case-for-paid-family-and-domestic-violence-leave-commences-at-fair-work-commission" TargetMode="External"/><Relationship Id="rId74" Type="http://schemas.openxmlformats.org/officeDocument/2006/relationships/hyperlink" Target="https://www.humanrights.gov.au/our-work/sex-discrimination/projects/working-without-fear-results-sexual-harassment-national" TargetMode="External"/><Relationship Id="rId79" Type="http://schemas.openxmlformats.org/officeDocument/2006/relationships/hyperlink" Target="http://www.abc.net.au/lateline/content/2011/s3183257.htm" TargetMode="External"/><Relationship Id="rId87" Type="http://schemas.openxmlformats.org/officeDocument/2006/relationships/hyperlink" Target="https://d3n8a8pro7vhmx.cloudfront.net/nus/pages/144/attachments/original/1454369041/Talk_about_it_Survey_Report.pdf?1454369041" TargetMode="External"/><Relationship Id="rId5" Type="http://schemas.openxmlformats.org/officeDocument/2006/relationships/hyperlink" Target="http://defencereview.humanrights.gov.au/report-review-treatment-women-australian-defence-force" TargetMode="External"/><Relationship Id="rId61" Type="http://schemas.openxmlformats.org/officeDocument/2006/relationships/hyperlink" Target="https://www.dcsi.sa.gov.au/services/latest-news/media-releases-2015/paid-leave-to-help-break-the-cycle-of-domestic-violence" TargetMode="External"/><Relationship Id="rId82" Type="http://schemas.openxmlformats.org/officeDocument/2006/relationships/hyperlink" Target="http://www.humanrights.gov.au/our-work/sex-discrimination/publications/audit-report-review-treatment-women-australian-defence" TargetMode="External"/><Relationship Id="rId90" Type="http://schemas.openxmlformats.org/officeDocument/2006/relationships/hyperlink" Target="https://www.humanrights.gov.au/our-work/childrens-rights/publications/childrens-rights-report-2015" TargetMode="External"/><Relationship Id="rId95" Type="http://schemas.openxmlformats.org/officeDocument/2006/relationships/hyperlink" Target="https://www.humanrights.gov.au/our-work/childrens-rights/publications/childrens-rights-report-2015" TargetMode="External"/><Relationship Id="rId19" Type="http://schemas.openxmlformats.org/officeDocument/2006/relationships/hyperlink" Target="http://www.pc.gov.au/research/ongoing/overcoming-indigenous-disadvantage/2016/report-documents/oid-2016-overcoming-indigenous-disadvantage-key-indicators-2016-report.pdf" TargetMode="External"/><Relationship Id="rId14" Type="http://schemas.openxmlformats.org/officeDocument/2006/relationships/hyperlink" Target="http://media.aomx.com/anrows.org.au/s3fs-public/28%2010%2016%20BOD%20Compass.pdf" TargetMode="External"/><Relationship Id="rId22" Type="http://schemas.openxmlformats.org/officeDocument/2006/relationships/hyperlink" Target="https://www.humanrights.gov.au/sites/default/files/document/publication/family_violence2006.pdf" TargetMode="External"/><Relationship Id="rId27" Type="http://schemas.openxmlformats.org/officeDocument/2006/relationships/hyperlink" Target="http://www.aic.gov.au/publications/current%20series/rip/1-10/10.html" TargetMode="External"/><Relationship Id="rId30" Type="http://schemas.openxmlformats.org/officeDocument/2006/relationships/hyperlink" Target="http://elder-mediation.com.au/resources/Sexual_Assault_Older_Women_Australia.pdf" TargetMode="External"/><Relationship Id="rId35" Type="http://schemas.openxmlformats.org/officeDocument/2006/relationships/hyperlink" Target="http://www.familycourt.gov.au/wps/wcm/connect/04ecefdc-dcd0-433c-9b9f-43ac3f67b63d/FS_Exposure+FV+effect+on+children_1113V3_web.pdf?MOD=AJPERES&amp;CONVERT_TO=url&amp;CACHEID=04ecefdc-dcd0-433c-9b9f-43ac3f67b63d" TargetMode="External"/><Relationship Id="rId43" Type="http://schemas.openxmlformats.org/officeDocument/2006/relationships/hyperlink" Target="http://www.aph.gov.au/Parliamentary_Business/Committees/Senate/Finance_and_Public_Administration/DV_and_Gender_Inequality" TargetMode="External"/><Relationship Id="rId48" Type="http://schemas.openxmlformats.org/officeDocument/2006/relationships/hyperlink" Target="http://www.aph.gov.au/Parliamentary_Business/Committees/Joint/Law_Enforcement/Humantrafficking45" TargetMode="External"/><Relationship Id="rId56" Type="http://schemas.openxmlformats.org/officeDocument/2006/relationships/hyperlink" Target="http://wesnet.org.au/wp-content/uploads/2011/05/homesafehome.pdf" TargetMode="External"/><Relationship Id="rId64" Type="http://schemas.openxmlformats.org/officeDocument/2006/relationships/hyperlink" Target="http://www.nab.com.au/about-us/media/media-releases-2013/nab-leads-the-industry-in-domestic-violence-support" TargetMode="External"/><Relationship Id="rId69" Type="http://schemas.openxmlformats.org/officeDocument/2006/relationships/hyperlink" Target="https://www.humanrights.gov.au/our-work/sex-discrimination/projects/working-without-fear-results-sexual-harassment-national" TargetMode="External"/><Relationship Id="rId77" Type="http://schemas.openxmlformats.org/officeDocument/2006/relationships/hyperlink" Target="http://knowtheline.humanrights.gov.au" TargetMode="External"/><Relationship Id="rId8" Type="http://schemas.openxmlformats.org/officeDocument/2006/relationships/hyperlink" Target="http://www.abs.gov.au/ausstats/abs@.nsf/mf/4906.0" TargetMode="External"/><Relationship Id="rId51" Type="http://schemas.openxmlformats.org/officeDocument/2006/relationships/hyperlink" Target="https://www.communities.qld.gov.au/gateway/end-domestic-family-violence/about/queensland-government-response" TargetMode="External"/><Relationship Id="rId72" Type="http://schemas.openxmlformats.org/officeDocument/2006/relationships/hyperlink" Target="https://www.humanrights.gov.au/our-work/sex-discrimination/projects/working-without-fear-results-sexual-harassment-national" TargetMode="External"/><Relationship Id="rId80" Type="http://schemas.openxmlformats.org/officeDocument/2006/relationships/hyperlink" Target="http://defencereview.humanrights.gov.au/report-review-treatment-women-australian-defence-force-academy" TargetMode="External"/><Relationship Id="rId85" Type="http://schemas.openxmlformats.org/officeDocument/2006/relationships/hyperlink" Target="https://d3n8a8pro7vhmx.cloudfront.net/nus/pages/144/attachments/original/1454369041/Talk_about_it_Survey_Report.pdf?1454369041" TargetMode="External"/><Relationship Id="rId93" Type="http://schemas.openxmlformats.org/officeDocument/2006/relationships/hyperlink" Target="https://www.humanrights.gov.au/our-work/childrens-rights/publications/childrens-rights-report-2015" TargetMode="External"/><Relationship Id="rId3" Type="http://schemas.openxmlformats.org/officeDocument/2006/relationships/hyperlink" Target="https://www.fwc.gov.au/sites/awardsmodernfouryr/common/am2051-sub-ahrc-120516.pdf" TargetMode="External"/><Relationship Id="rId12" Type="http://schemas.openxmlformats.org/officeDocument/2006/relationships/hyperlink" Target="http://www.pwc.com.au/pdf/a-high-price-to-pay.pdf" TargetMode="External"/><Relationship Id="rId17" Type="http://schemas.openxmlformats.org/officeDocument/2006/relationships/hyperlink" Target="https://www.humanrights.gov.au/our-work/sex-discrimination/projects/working-without-fear-results-sexual-harassment-national" TargetMode="External"/><Relationship Id="rId25" Type="http://schemas.openxmlformats.org/officeDocument/2006/relationships/hyperlink" Target="http://wwda.org.au/wp-content/uploads/2013/12/WWDA_Sub_NDS_Review2014.pdf" TargetMode="External"/><Relationship Id="rId33" Type="http://schemas.openxmlformats.org/officeDocument/2006/relationships/hyperlink" Target="http://aic.gov.au/publications/current%20series/tandi/401-420/tandi419.html" TargetMode="External"/><Relationship Id="rId38" Type="http://schemas.openxmlformats.org/officeDocument/2006/relationships/hyperlink" Target="https://www.dss.gov.au/sites/default/files/documents/08_2014/national_plan_accessible.pdf" TargetMode="External"/><Relationship Id="rId46" Type="http://schemas.openxmlformats.org/officeDocument/2006/relationships/hyperlink" Target="http://www.aph.gov.au/Parliamentary_Business/Committees/Joint/Law_Enforcement/Humantrafficking45" TargetMode="External"/><Relationship Id="rId59" Type="http://schemas.openxmlformats.org/officeDocument/2006/relationships/hyperlink" Target="http://www.abc.net.au/unleashed/4516492.html" TargetMode="External"/><Relationship Id="rId67" Type="http://schemas.openxmlformats.org/officeDocument/2006/relationships/hyperlink" Target="https://www.fwc.gov.au/sites/awardsmodernfouryr/common/am2051-sub-ahrc-120516.pdf" TargetMode="External"/><Relationship Id="rId20" Type="http://schemas.openxmlformats.org/officeDocument/2006/relationships/hyperlink" Target="http://media.aomx.com/anrows.org.au/s3fs-public/28%2010%2016%20BOD%20Compass.pdf" TargetMode="External"/><Relationship Id="rId41" Type="http://schemas.openxmlformats.org/officeDocument/2006/relationships/hyperlink" Target="https://www.dss.gov.au/sites/default/files/documents/10_2016/third_action_plan.pdf" TargetMode="External"/><Relationship Id="rId54" Type="http://schemas.openxmlformats.org/officeDocument/2006/relationships/hyperlink" Target="http://files.rcfv.com.au/Reports/Final/RCFV-All-Volumes.pdf" TargetMode="External"/><Relationship Id="rId62" Type="http://schemas.openxmlformats.org/officeDocument/2006/relationships/hyperlink" Target="http://www.cmd.act.gov.au/__data/assets/pdf_file/0010/912934/Leave-for-Domestic-Violence-Purposes-Advice.pdf" TargetMode="External"/><Relationship Id="rId70" Type="http://schemas.openxmlformats.org/officeDocument/2006/relationships/hyperlink" Target="https://www.humanrights.gov.au/our-work/sex-discrimination/projects/working-without-fear-results-sexual-harassment-national" TargetMode="External"/><Relationship Id="rId75" Type="http://schemas.openxmlformats.org/officeDocument/2006/relationships/hyperlink" Target="https://www.humanrights.gov.au/our-work/sex-discrimination/projects/working-without-fear-results-sexual-harassment-national" TargetMode="External"/><Relationship Id="rId83" Type="http://schemas.openxmlformats.org/officeDocument/2006/relationships/hyperlink" Target="http://www.humanrights.gov.au/our-work/sex-discrimination/publications/review-treatment-women-australian-defence-force-audit" TargetMode="External"/><Relationship Id="rId88" Type="http://schemas.openxmlformats.org/officeDocument/2006/relationships/hyperlink" Target="https://www.universitiesaustralia.edu.au/uni-participation-quality/students/Student-safety/Respect--Now--Always-" TargetMode="External"/><Relationship Id="rId91" Type="http://schemas.openxmlformats.org/officeDocument/2006/relationships/hyperlink" Target="http://www.abs.gov.au/ausstats/abs@.nsf/mf/4906.0" TargetMode="External"/><Relationship Id="rId96" Type="http://schemas.openxmlformats.org/officeDocument/2006/relationships/hyperlink" Target="https://www.humanrights.gov.au/our-work/childrens-rights/publications/childrens-rights-report-2015" TargetMode="External"/><Relationship Id="rId1" Type="http://schemas.openxmlformats.org/officeDocument/2006/relationships/hyperlink" Target="http://www.aph.gov.au/DocumentStore.ashx?id=616c80fd-9f8d-4f90-8e71-202e8bea67f8&amp;subId=411685" TargetMode="External"/><Relationship Id="rId6" Type="http://schemas.openxmlformats.org/officeDocument/2006/relationships/hyperlink" Target="https://www.humanrights.gov.au/our-work/childrens-rights/publications/childrens-rights-report-2015" TargetMode="External"/><Relationship Id="rId15" Type="http://schemas.openxmlformats.org/officeDocument/2006/relationships/hyperlink" Target="http://www.aic.gov.au/publications/current%20series/rip/21-40/rip38.html" TargetMode="External"/><Relationship Id="rId23" Type="http://schemas.openxmlformats.org/officeDocument/2006/relationships/hyperlink" Target="http://wwda.org.au/wp-content/uploads/2016/09/1800RESPECT_Report_FINAL.pdf" TargetMode="External"/><Relationship Id="rId28" Type="http://schemas.openxmlformats.org/officeDocument/2006/relationships/hyperlink" Target="https://aifs.gov.au/sites/default/files/rr35-elder-abuse.pdf" TargetMode="External"/><Relationship Id="rId36" Type="http://schemas.openxmlformats.org/officeDocument/2006/relationships/hyperlink" Target="https://www.humanrights.gov.au/our-work/childrens-rights/publications/childrens-rights-report-2015" TargetMode="External"/><Relationship Id="rId49" Type="http://schemas.openxmlformats.org/officeDocument/2006/relationships/hyperlink" Target="https://www.communities.qld.gov.au/gateway/end-domestic-family-violence/about/special-taskforce" TargetMode="External"/><Relationship Id="rId57" Type="http://schemas.openxmlformats.org/officeDocument/2006/relationships/hyperlink" Target="https://www.humanrights.gov.au/consolidation-commonwealth-discrimination-law-domestic-and-family-violence" TargetMode="External"/><Relationship Id="rId10" Type="http://schemas.openxmlformats.org/officeDocument/2006/relationships/hyperlink" Target="http://www.abs.gov.au/ausstats/abs@.nsf/mf/4906.0" TargetMode="External"/><Relationship Id="rId31" Type="http://schemas.openxmlformats.org/officeDocument/2006/relationships/hyperlink" Target="http://www.glhv.org.au/sites/www.glhv.org.au/files/Calling_It_What_It_Really_Is%202015.pdf" TargetMode="External"/><Relationship Id="rId44" Type="http://schemas.openxmlformats.org/officeDocument/2006/relationships/hyperlink" Target="http://www.aph.gov.au/DocumentStore.ashx?id=616c80fd-9f8d-4f90-8e71-202e8bea67f8&amp;subId=411685" TargetMode="External"/><Relationship Id="rId52" Type="http://schemas.openxmlformats.org/officeDocument/2006/relationships/hyperlink" Target="https://www.communities.qld.gov.au/resources/gateway/campaigns/end-violence/dfv-prevention-strategy.pdf" TargetMode="External"/><Relationship Id="rId60" Type="http://schemas.openxmlformats.org/officeDocument/2006/relationships/hyperlink" Target="http://www.premier.vic.gov.au/victoria-to-lead-the-way-on-family-violence-leave" TargetMode="External"/><Relationship Id="rId65" Type="http://schemas.openxmlformats.org/officeDocument/2006/relationships/hyperlink" Target="https://www.virginaustralia.com/cs/groups/internetcontent/@wc/documents/webcontent/~edisp/sustainability-report.pdf" TargetMode="External"/><Relationship Id="rId73" Type="http://schemas.openxmlformats.org/officeDocument/2006/relationships/hyperlink" Target="https://www.humanrights.gov.au/our-work/sex-discrimination/projects/working-without-fear-results-sexual-harassment-national" TargetMode="External"/><Relationship Id="rId78" Type="http://schemas.openxmlformats.org/officeDocument/2006/relationships/hyperlink" Target="http://parlinfo.aph.gov.au/parlInfo/search/display/display.w3p;query=Id%3A%22media%2Fpressrel%2F803613%22" TargetMode="External"/><Relationship Id="rId81" Type="http://schemas.openxmlformats.org/officeDocument/2006/relationships/hyperlink" Target="http://defencereview.humanrights.gov.au/report-review-treatment-women-australian-defence-force" TargetMode="External"/><Relationship Id="rId86" Type="http://schemas.openxmlformats.org/officeDocument/2006/relationships/hyperlink" Target="https://d3n8a8pro7vhmx.cloudfront.net/nus/pages/144/attachments/original/1454369041/Talk_about_it_Survey_Report.pdf?1454369041" TargetMode="External"/><Relationship Id="rId94" Type="http://schemas.openxmlformats.org/officeDocument/2006/relationships/hyperlink" Target="https://www.humanrights.gov.au/our-work/childrens-rights/publications/childrens-rights-report-2015" TargetMode="External"/><Relationship Id="rId4" Type="http://schemas.openxmlformats.org/officeDocument/2006/relationships/hyperlink" Target="http://defencereview.humanrights.gov.au/report-review-treatment-women-australian-defence-force-academy" TargetMode="External"/><Relationship Id="rId9" Type="http://schemas.openxmlformats.org/officeDocument/2006/relationships/hyperlink" Target="http://www.abs.gov.au/ausstats/abs@.nsf/mf/4906.0" TargetMode="External"/><Relationship Id="rId13" Type="http://schemas.openxmlformats.org/officeDocument/2006/relationships/hyperlink" Target="http://www.pwc.com.au/publications/economic-case-preventing-violence-against-women.html" TargetMode="External"/><Relationship Id="rId18" Type="http://schemas.openxmlformats.org/officeDocument/2006/relationships/hyperlink" Target="http://www.ohchr.org/EN/NewsEvents/Pages/DisplayNews.aspx?NewsID=20689&amp;LangID=E" TargetMode="External"/><Relationship Id="rId39" Type="http://schemas.openxmlformats.org/officeDocument/2006/relationships/hyperlink" Target="https://www.dss.gov.au/sites/default/files/documents/10_2016/third_action_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F34C-A25E-4F0F-9E4C-56AB97D1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TotalTime>
  <Pages>21</Pages>
  <Words>5200</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35326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Lucy Morgan</dc:creator>
  <cp:keywords/>
  <cp:lastModifiedBy>Helen Potts</cp:lastModifiedBy>
  <cp:revision>2</cp:revision>
  <cp:lastPrinted>2017-01-20T03:40:00Z</cp:lastPrinted>
  <dcterms:created xsi:type="dcterms:W3CDTF">2017-01-23T02:03:00Z</dcterms:created>
  <dcterms:modified xsi:type="dcterms:W3CDTF">2017-01-23T02:03:00Z</dcterms:modified>
</cp:coreProperties>
</file>