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50D7" w14:textId="77777777" w:rsidR="00591951" w:rsidRPr="00654793" w:rsidRDefault="00F20CF2"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4AB77687" wp14:editId="7B4AF713">
                <wp:simplePos x="0" y="0"/>
                <wp:positionH relativeFrom="column">
                  <wp:posOffset>391795</wp:posOffset>
                </wp:positionH>
                <wp:positionV relativeFrom="paragraph">
                  <wp:posOffset>-45085</wp:posOffset>
                </wp:positionV>
                <wp:extent cx="5342890" cy="2038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890" cy="2038350"/>
                        </a:xfrm>
                        <a:prstGeom prst="rect">
                          <a:avLst/>
                        </a:prstGeom>
                        <a:noFill/>
                        <a:ln w="6350">
                          <a:noFill/>
                        </a:ln>
                        <a:effectLst/>
                      </wps:spPr>
                      <wps:txbx>
                        <w:txbxContent>
                          <w:p w14:paraId="789E1A29" w14:textId="0E8D07C7" w:rsidR="00910DFF" w:rsidRPr="00F20CF2" w:rsidRDefault="00910DFF" w:rsidP="00F20CF2">
                            <w:pPr>
                              <w:pStyle w:val="MainTitle"/>
                              <w:rPr>
                                <w:sz w:val="52"/>
                                <w:szCs w:val="52"/>
                              </w:rPr>
                            </w:pPr>
                            <w:r>
                              <w:rPr>
                                <w:sz w:val="52"/>
                                <w:szCs w:val="52"/>
                              </w:rPr>
                              <w:t>Information concerning Australia’s compliance with the International Convention on the Elimination of All Forms of Racial 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7687" id="_x0000_t202" coordsize="21600,21600" o:spt="202" path="m,l,21600r21600,l21600,xe">
                <v:stroke joinstyle="miter"/>
                <v:path gradientshapeok="t" o:connecttype="rect"/>
              </v:shapetype>
              <v:shape id="Text Box 1" o:spid="_x0000_s1026" type="#_x0000_t202" style="position:absolute;margin-left:30.85pt;margin-top:-3.55pt;width:420.7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" filled="f" stroked="f" strokeweight=".5pt">
                <v:path arrowok="t"/>
                <v:textbox>
                  <w:txbxContent>
                    <w:p w14:paraId="789E1A29" w14:textId="0E8D07C7" w:rsidR="00910DFF" w:rsidRPr="00F20CF2" w:rsidRDefault="00910DFF" w:rsidP="00F20CF2">
                      <w:pPr>
                        <w:pStyle w:val="MainTitle"/>
                        <w:rPr>
                          <w:sz w:val="52"/>
                          <w:szCs w:val="52"/>
                        </w:rPr>
                      </w:pPr>
                      <w:r>
                        <w:rPr>
                          <w:sz w:val="52"/>
                          <w:szCs w:val="52"/>
                        </w:rPr>
                        <w:t>Information concerning Australia’s compliance with the International Convention on the Elimination of All Forms of Racial Discrimination</w:t>
                      </w:r>
                    </w:p>
                  </w:txbxContent>
                </v:textbox>
              </v:shape>
            </w:pict>
          </mc:Fallback>
        </mc:AlternateContent>
      </w:r>
    </w:p>
    <w:p w14:paraId="4ECDFF41" w14:textId="1B90C63B" w:rsidR="00591951" w:rsidRPr="00827DE2" w:rsidRDefault="007A0CA9" w:rsidP="00591951">
      <w:pPr>
        <w:pStyle w:val="MainTitle"/>
        <w:rPr>
          <w:sz w:val="44"/>
          <w:szCs w:val="44"/>
        </w:rPr>
      </w:pPr>
      <w:r>
        <w:rPr>
          <w:noProof/>
        </w:rPr>
        <mc:AlternateContent>
          <mc:Choice Requires="wps">
            <w:drawing>
              <wp:anchor distT="0" distB="0" distL="114300" distR="114300" simplePos="0" relativeHeight="251657728" behindDoc="0" locked="0" layoutInCell="1" allowOverlap="1" wp14:anchorId="4D61D51C" wp14:editId="60FC83DD">
                <wp:simplePos x="0" y="0"/>
                <wp:positionH relativeFrom="column">
                  <wp:posOffset>1128395</wp:posOffset>
                </wp:positionH>
                <wp:positionV relativeFrom="paragraph">
                  <wp:posOffset>221614</wp:posOffset>
                </wp:positionV>
                <wp:extent cx="4606290" cy="714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714375"/>
                        </a:xfrm>
                        <a:prstGeom prst="rect">
                          <a:avLst/>
                        </a:prstGeom>
                        <a:noFill/>
                        <a:ln w="6350">
                          <a:noFill/>
                        </a:ln>
                        <a:effectLst/>
                      </wps:spPr>
                      <wps:txbx>
                        <w:txbxContent>
                          <w:p w14:paraId="2B534133" w14:textId="77777777" w:rsidR="00910DFF" w:rsidRPr="00D1023D" w:rsidRDefault="00910DFF" w:rsidP="00D1023D">
                            <w:pPr>
                              <w:pStyle w:val="Subtitle"/>
                            </w:pPr>
                            <w:bookmarkStart w:id="0" w:name="_Toc497148261"/>
                            <w:r>
                              <w:t>Australian Human Rights Commission Submission to the UN Committee on the Elimination of Racial Discrimination</w:t>
                            </w:r>
                            <w:bookmarkEnd w:id="0"/>
                          </w:p>
                          <w:p w14:paraId="671C41BD" w14:textId="77777777" w:rsidR="00910DFF" w:rsidRPr="00B74219" w:rsidRDefault="00910DFF"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D51C" id="Text Box 3" o:spid="_x0000_s1027" type="#_x0000_t202" style="position:absolute;left:0;text-align:left;margin-left:88.85pt;margin-top:17.45pt;width:362.7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" filled="f" stroked="f" strokeweight=".5pt">
                <v:path arrowok="t"/>
                <v:textbox>
                  <w:txbxContent>
                    <w:p w14:paraId="2B534133" w14:textId="77777777" w:rsidR="00910DFF" w:rsidRPr="00D1023D" w:rsidRDefault="00910DFF" w:rsidP="00D1023D">
                      <w:pPr>
                        <w:pStyle w:val="Subtitle"/>
                      </w:pPr>
                      <w:bookmarkStart w:id="1" w:name="_Toc497148261"/>
                      <w:r>
                        <w:t>Australian Human Rights Commission Submission to the UN Committee on the Elimination of Racial Discrimination</w:t>
                      </w:r>
                      <w:bookmarkEnd w:id="1"/>
                    </w:p>
                    <w:p w14:paraId="671C41BD" w14:textId="77777777" w:rsidR="00910DFF" w:rsidRPr="00B74219" w:rsidRDefault="00910DFF" w:rsidP="00A11307">
                      <w:pPr>
                        <w:pStyle w:val="Subtitle"/>
                      </w:pPr>
                    </w:p>
                  </w:txbxContent>
                </v:textbox>
              </v:shape>
            </w:pict>
          </mc:Fallback>
        </mc:AlternateContent>
      </w:r>
      <w:r w:rsidR="007063BE">
        <w:rPr>
          <w:noProof/>
        </w:rPr>
        <mc:AlternateContent>
          <mc:Choice Requires="wps">
            <w:drawing>
              <wp:anchor distT="0" distB="0" distL="114300" distR="114300" simplePos="0" relativeHeight="251658752" behindDoc="0" locked="0" layoutInCell="1" allowOverlap="1" wp14:anchorId="05F59289" wp14:editId="3BC1F4C1">
                <wp:simplePos x="0" y="0"/>
                <wp:positionH relativeFrom="column">
                  <wp:posOffset>1957070</wp:posOffset>
                </wp:positionH>
                <wp:positionV relativeFrom="paragraph">
                  <wp:posOffset>993141</wp:posOffset>
                </wp:positionV>
                <wp:extent cx="3775075"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514350"/>
                        </a:xfrm>
                        <a:prstGeom prst="rect">
                          <a:avLst/>
                        </a:prstGeom>
                        <a:noFill/>
                        <a:ln w="6350">
                          <a:noFill/>
                        </a:ln>
                        <a:effectLst/>
                      </wps:spPr>
                      <wps:txbx>
                        <w:txbxContent>
                          <w:p w14:paraId="1C7584CB" w14:textId="674F1913" w:rsidR="00910DFF" w:rsidRPr="00B74219" w:rsidRDefault="00910DFF" w:rsidP="002863D7">
                            <w:pPr>
                              <w:pStyle w:val="Date"/>
                            </w:pPr>
                            <w:r>
                              <w:t>30</w:t>
                            </w:r>
                            <w:r w:rsidRPr="00BD5EBC">
                              <w:t xml:space="preserve"> </w:t>
                            </w:r>
                            <w:r>
                              <w:t>October</w:t>
                            </w:r>
                            <w:r w:rsidRPr="00BD5EBC">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9289" id="Text Box 4" o:spid="_x0000_s1028" type="#_x0000_t202" style="position:absolute;left:0;text-align:left;margin-left:154.1pt;margin-top:78.2pt;width:297.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" filled="f" stroked="f" strokeweight=".5pt">
                <v:path arrowok="t"/>
                <v:textbox>
                  <w:txbxContent>
                    <w:p w14:paraId="1C7584CB" w14:textId="674F1913" w:rsidR="00910DFF" w:rsidRPr="00B74219" w:rsidRDefault="00910DFF" w:rsidP="002863D7">
                      <w:pPr>
                        <w:pStyle w:val="Date"/>
                      </w:pPr>
                      <w:r>
                        <w:t>30</w:t>
                      </w:r>
                      <w:r w:rsidRPr="00BD5EBC">
                        <w:t xml:space="preserve"> </w:t>
                      </w:r>
                      <w:r>
                        <w:t>October</w:t>
                      </w:r>
                      <w:r w:rsidRPr="00BD5EBC">
                        <w:t xml:space="preserve"> 2017</w:t>
                      </w:r>
                    </w:p>
                  </w:txbxContent>
                </v:textbox>
              </v:shape>
            </w:pict>
          </mc:Fallback>
        </mc:AlternateContent>
      </w:r>
    </w:p>
    <w:p w14:paraId="4FC62E77"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14:paraId="00F15A82" w14:textId="77777777"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14:paraId="6E08793B" w14:textId="780895D9" w:rsidR="00B64017"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hyperlink r:id="rId13" w:anchor="_Toc497148261" w:history="1">
        <w:r w:rsidR="00B64017" w:rsidRPr="0032514B">
          <w:rPr>
            <w:rStyle w:val="Hyperlink"/>
          </w:rPr>
          <w:t>Australian Human Rights Commission Submission to the UN Committee on the Elimination of Racial Discrimination</w:t>
        </w:r>
        <w:r w:rsidR="00B64017">
          <w:rPr>
            <w:webHidden/>
          </w:rPr>
          <w:tab/>
        </w:r>
        <w:r w:rsidR="00B64017">
          <w:rPr>
            <w:webHidden/>
          </w:rPr>
          <w:fldChar w:fldCharType="begin"/>
        </w:r>
        <w:r w:rsidR="00B64017">
          <w:rPr>
            <w:webHidden/>
          </w:rPr>
          <w:instrText xml:space="preserve"> PAGEREF _Toc497148261 \h </w:instrText>
        </w:r>
        <w:r w:rsidR="00B64017">
          <w:rPr>
            <w:webHidden/>
          </w:rPr>
        </w:r>
        <w:r w:rsidR="00B64017">
          <w:rPr>
            <w:webHidden/>
          </w:rPr>
          <w:fldChar w:fldCharType="separate"/>
        </w:r>
        <w:r w:rsidR="003546A7">
          <w:rPr>
            <w:webHidden/>
          </w:rPr>
          <w:t>1</w:t>
        </w:r>
        <w:r w:rsidR="00B64017">
          <w:rPr>
            <w:webHidden/>
          </w:rPr>
          <w:fldChar w:fldCharType="end"/>
        </w:r>
      </w:hyperlink>
    </w:p>
    <w:p w14:paraId="561FCD3C" w14:textId="32BE6413" w:rsidR="00B64017" w:rsidRDefault="003546A7">
      <w:pPr>
        <w:pStyle w:val="TOC1"/>
        <w:rPr>
          <w:rFonts w:asciiTheme="minorHAnsi" w:eastAsiaTheme="minorEastAsia" w:hAnsiTheme="minorHAnsi" w:cstheme="minorBidi"/>
          <w:b w:val="0"/>
          <w:szCs w:val="22"/>
        </w:rPr>
      </w:pPr>
      <w:hyperlink w:anchor="_Toc497148262" w:history="1">
        <w:r w:rsidR="00B64017" w:rsidRPr="0032514B">
          <w:rPr>
            <w:rStyle w:val="Hyperlink"/>
          </w:rPr>
          <w:t>1</w:t>
        </w:r>
        <w:r w:rsidR="00B64017">
          <w:rPr>
            <w:rFonts w:asciiTheme="minorHAnsi" w:eastAsiaTheme="minorEastAsia" w:hAnsiTheme="minorHAnsi" w:cstheme="minorBidi"/>
            <w:b w:val="0"/>
            <w:szCs w:val="22"/>
          </w:rPr>
          <w:tab/>
        </w:r>
        <w:r w:rsidR="00B64017" w:rsidRPr="0032514B">
          <w:rPr>
            <w:rStyle w:val="Hyperlink"/>
          </w:rPr>
          <w:t>Introduction</w:t>
        </w:r>
        <w:r w:rsidR="00B64017">
          <w:rPr>
            <w:webHidden/>
          </w:rPr>
          <w:tab/>
        </w:r>
        <w:r w:rsidR="00B64017">
          <w:rPr>
            <w:webHidden/>
          </w:rPr>
          <w:fldChar w:fldCharType="begin"/>
        </w:r>
        <w:r w:rsidR="00B64017">
          <w:rPr>
            <w:webHidden/>
          </w:rPr>
          <w:instrText xml:space="preserve"> PAGEREF _Toc497148262 \h </w:instrText>
        </w:r>
        <w:r w:rsidR="00B64017">
          <w:rPr>
            <w:webHidden/>
          </w:rPr>
        </w:r>
        <w:r w:rsidR="00B64017">
          <w:rPr>
            <w:webHidden/>
          </w:rPr>
          <w:fldChar w:fldCharType="separate"/>
        </w:r>
        <w:r>
          <w:rPr>
            <w:webHidden/>
          </w:rPr>
          <w:t>4</w:t>
        </w:r>
        <w:r w:rsidR="00B64017">
          <w:rPr>
            <w:webHidden/>
          </w:rPr>
          <w:fldChar w:fldCharType="end"/>
        </w:r>
      </w:hyperlink>
    </w:p>
    <w:p w14:paraId="1D1159EE" w14:textId="48C74B1E" w:rsidR="00B64017" w:rsidRDefault="003546A7">
      <w:pPr>
        <w:pStyle w:val="TOC1"/>
        <w:rPr>
          <w:rFonts w:asciiTheme="minorHAnsi" w:eastAsiaTheme="minorEastAsia" w:hAnsiTheme="minorHAnsi" w:cstheme="minorBidi"/>
          <w:b w:val="0"/>
          <w:szCs w:val="22"/>
        </w:rPr>
      </w:pPr>
      <w:hyperlink w:anchor="_Toc497148263" w:history="1">
        <w:r w:rsidR="00B64017" w:rsidRPr="0032514B">
          <w:rPr>
            <w:rStyle w:val="Hyperlink"/>
          </w:rPr>
          <w:t>2</w:t>
        </w:r>
        <w:r w:rsidR="00B64017">
          <w:rPr>
            <w:rFonts w:asciiTheme="minorHAnsi" w:eastAsiaTheme="minorEastAsia" w:hAnsiTheme="minorHAnsi" w:cstheme="minorBidi"/>
            <w:b w:val="0"/>
            <w:szCs w:val="22"/>
          </w:rPr>
          <w:tab/>
        </w:r>
        <w:r w:rsidR="00B64017" w:rsidRPr="0032514B">
          <w:rPr>
            <w:rStyle w:val="Hyperlink"/>
          </w:rPr>
          <w:t>Priority areas</w:t>
        </w:r>
        <w:r w:rsidR="00B64017">
          <w:rPr>
            <w:webHidden/>
          </w:rPr>
          <w:tab/>
        </w:r>
        <w:r w:rsidR="00B64017">
          <w:rPr>
            <w:webHidden/>
          </w:rPr>
          <w:fldChar w:fldCharType="begin"/>
        </w:r>
        <w:r w:rsidR="00B64017">
          <w:rPr>
            <w:webHidden/>
          </w:rPr>
          <w:instrText xml:space="preserve"> PAGEREF _Toc497148263 \h </w:instrText>
        </w:r>
        <w:r w:rsidR="00B64017">
          <w:rPr>
            <w:webHidden/>
          </w:rPr>
        </w:r>
        <w:r w:rsidR="00B64017">
          <w:rPr>
            <w:webHidden/>
          </w:rPr>
          <w:fldChar w:fldCharType="separate"/>
        </w:r>
        <w:r>
          <w:rPr>
            <w:webHidden/>
          </w:rPr>
          <w:t>5</w:t>
        </w:r>
        <w:r w:rsidR="00B64017">
          <w:rPr>
            <w:webHidden/>
          </w:rPr>
          <w:fldChar w:fldCharType="end"/>
        </w:r>
      </w:hyperlink>
    </w:p>
    <w:p w14:paraId="3DB3BEDA" w14:textId="3DB2B29A" w:rsidR="00B64017" w:rsidRDefault="003546A7">
      <w:pPr>
        <w:pStyle w:val="TOC1"/>
        <w:rPr>
          <w:rFonts w:asciiTheme="minorHAnsi" w:eastAsiaTheme="minorEastAsia" w:hAnsiTheme="minorHAnsi" w:cstheme="minorBidi"/>
          <w:b w:val="0"/>
          <w:szCs w:val="22"/>
        </w:rPr>
      </w:pPr>
      <w:hyperlink w:anchor="_Toc497148264" w:history="1">
        <w:r w:rsidR="00B64017" w:rsidRPr="0032514B">
          <w:rPr>
            <w:rStyle w:val="Hyperlink"/>
          </w:rPr>
          <w:t>3</w:t>
        </w:r>
        <w:r w:rsidR="00B64017">
          <w:rPr>
            <w:rFonts w:asciiTheme="minorHAnsi" w:eastAsiaTheme="minorEastAsia" w:hAnsiTheme="minorHAnsi" w:cstheme="minorBidi"/>
            <w:b w:val="0"/>
            <w:szCs w:val="22"/>
          </w:rPr>
          <w:tab/>
        </w:r>
        <w:r w:rsidR="00B64017" w:rsidRPr="0032514B">
          <w:rPr>
            <w:rStyle w:val="Hyperlink"/>
          </w:rPr>
          <w:t>Human rights framework</w:t>
        </w:r>
        <w:r w:rsidR="00B64017">
          <w:rPr>
            <w:webHidden/>
          </w:rPr>
          <w:tab/>
        </w:r>
        <w:r w:rsidR="00B64017">
          <w:rPr>
            <w:webHidden/>
          </w:rPr>
          <w:fldChar w:fldCharType="begin"/>
        </w:r>
        <w:r w:rsidR="00B64017">
          <w:rPr>
            <w:webHidden/>
          </w:rPr>
          <w:instrText xml:space="preserve"> PAGEREF _Toc497148264 \h </w:instrText>
        </w:r>
        <w:r w:rsidR="00B64017">
          <w:rPr>
            <w:webHidden/>
          </w:rPr>
        </w:r>
        <w:r w:rsidR="00B64017">
          <w:rPr>
            <w:webHidden/>
          </w:rPr>
          <w:fldChar w:fldCharType="separate"/>
        </w:r>
        <w:r>
          <w:rPr>
            <w:webHidden/>
          </w:rPr>
          <w:t>6</w:t>
        </w:r>
        <w:r w:rsidR="00B64017">
          <w:rPr>
            <w:webHidden/>
          </w:rPr>
          <w:fldChar w:fldCharType="end"/>
        </w:r>
      </w:hyperlink>
    </w:p>
    <w:p w14:paraId="33AD7E4C" w14:textId="79152C14" w:rsidR="00B64017" w:rsidRDefault="003546A7">
      <w:pPr>
        <w:pStyle w:val="TOC2"/>
        <w:rPr>
          <w:rFonts w:asciiTheme="minorHAnsi" w:eastAsiaTheme="minorEastAsia" w:hAnsiTheme="minorHAnsi" w:cstheme="minorBidi"/>
          <w:b w:val="0"/>
          <w:i w:val="0"/>
          <w:sz w:val="22"/>
          <w:szCs w:val="22"/>
        </w:rPr>
      </w:pPr>
      <w:hyperlink w:anchor="_Toc497148265" w:history="1">
        <w:r w:rsidR="00B64017" w:rsidRPr="0032514B">
          <w:rPr>
            <w:rStyle w:val="Hyperlink"/>
            <w14:scene3d>
              <w14:camera w14:prst="orthographicFront"/>
              <w14:lightRig w14:rig="threePt" w14:dir="t">
                <w14:rot w14:lat="0" w14:lon="0" w14:rev="0"/>
              </w14:lightRig>
            </w14:scene3d>
          </w:rPr>
          <w:t>3.1</w:t>
        </w:r>
        <w:r w:rsidR="00B64017">
          <w:rPr>
            <w:rFonts w:asciiTheme="minorHAnsi" w:eastAsiaTheme="minorEastAsia" w:hAnsiTheme="minorHAnsi" w:cstheme="minorBidi"/>
            <w:b w:val="0"/>
            <w:i w:val="0"/>
            <w:sz w:val="22"/>
            <w:szCs w:val="22"/>
          </w:rPr>
          <w:tab/>
        </w:r>
        <w:r w:rsidR="00B64017" w:rsidRPr="0032514B">
          <w:rPr>
            <w:rStyle w:val="Hyperlink"/>
          </w:rPr>
          <w:t>Scrutiny of human rights and the Parliamentary Joint Committee on Human Rights (CERD article 2; CO 9 &amp; 10)</w:t>
        </w:r>
        <w:r w:rsidR="00B64017">
          <w:rPr>
            <w:webHidden/>
          </w:rPr>
          <w:tab/>
        </w:r>
        <w:r w:rsidR="00B64017">
          <w:rPr>
            <w:webHidden/>
          </w:rPr>
          <w:fldChar w:fldCharType="begin"/>
        </w:r>
        <w:r w:rsidR="00B64017">
          <w:rPr>
            <w:webHidden/>
          </w:rPr>
          <w:instrText xml:space="preserve"> PAGEREF _Toc497148265 \h </w:instrText>
        </w:r>
        <w:r w:rsidR="00B64017">
          <w:rPr>
            <w:webHidden/>
          </w:rPr>
        </w:r>
        <w:r w:rsidR="00B64017">
          <w:rPr>
            <w:webHidden/>
          </w:rPr>
          <w:fldChar w:fldCharType="separate"/>
        </w:r>
        <w:r>
          <w:rPr>
            <w:webHidden/>
          </w:rPr>
          <w:t>6</w:t>
        </w:r>
        <w:r w:rsidR="00B64017">
          <w:rPr>
            <w:webHidden/>
          </w:rPr>
          <w:fldChar w:fldCharType="end"/>
        </w:r>
      </w:hyperlink>
    </w:p>
    <w:p w14:paraId="21D2FFEE" w14:textId="52ED4A11" w:rsidR="00B64017" w:rsidRDefault="003546A7">
      <w:pPr>
        <w:pStyle w:val="TOC2"/>
        <w:rPr>
          <w:rFonts w:asciiTheme="minorHAnsi" w:eastAsiaTheme="minorEastAsia" w:hAnsiTheme="minorHAnsi" w:cstheme="minorBidi"/>
          <w:b w:val="0"/>
          <w:i w:val="0"/>
          <w:sz w:val="22"/>
          <w:szCs w:val="22"/>
        </w:rPr>
      </w:pPr>
      <w:hyperlink w:anchor="_Toc497148266" w:history="1">
        <w:r w:rsidR="00B64017" w:rsidRPr="0032514B">
          <w:rPr>
            <w:rStyle w:val="Hyperlink"/>
            <w14:scene3d>
              <w14:camera w14:prst="orthographicFront"/>
              <w14:lightRig w14:rig="threePt" w14:dir="t">
                <w14:rot w14:lat="0" w14:lon="0" w14:rev="0"/>
              </w14:lightRig>
            </w14:scene3d>
          </w:rPr>
          <w:t>3.2</w:t>
        </w:r>
        <w:r w:rsidR="00B64017">
          <w:rPr>
            <w:rFonts w:asciiTheme="minorHAnsi" w:eastAsiaTheme="minorEastAsia" w:hAnsiTheme="minorHAnsi" w:cstheme="minorBidi"/>
            <w:b w:val="0"/>
            <w:i w:val="0"/>
            <w:sz w:val="22"/>
            <w:szCs w:val="22"/>
          </w:rPr>
          <w:tab/>
        </w:r>
        <w:r w:rsidR="00B64017" w:rsidRPr="0032514B">
          <w:rPr>
            <w:rStyle w:val="Hyperlink"/>
          </w:rPr>
          <w:t>Domestic incorporation (CERD article 2; CO 9, 10 &amp; 17)</w:t>
        </w:r>
        <w:r w:rsidR="00B64017">
          <w:rPr>
            <w:webHidden/>
          </w:rPr>
          <w:tab/>
        </w:r>
        <w:r w:rsidR="00B64017">
          <w:rPr>
            <w:webHidden/>
          </w:rPr>
          <w:fldChar w:fldCharType="begin"/>
        </w:r>
        <w:r w:rsidR="00B64017">
          <w:rPr>
            <w:webHidden/>
          </w:rPr>
          <w:instrText xml:space="preserve"> PAGEREF _Toc497148266 \h </w:instrText>
        </w:r>
        <w:r w:rsidR="00B64017">
          <w:rPr>
            <w:webHidden/>
          </w:rPr>
        </w:r>
        <w:r w:rsidR="00B64017">
          <w:rPr>
            <w:webHidden/>
          </w:rPr>
          <w:fldChar w:fldCharType="separate"/>
        </w:r>
        <w:r>
          <w:rPr>
            <w:webHidden/>
          </w:rPr>
          <w:t>7</w:t>
        </w:r>
        <w:r w:rsidR="00B64017">
          <w:rPr>
            <w:webHidden/>
          </w:rPr>
          <w:fldChar w:fldCharType="end"/>
        </w:r>
      </w:hyperlink>
    </w:p>
    <w:p w14:paraId="36B10A87" w14:textId="3C4A2126" w:rsidR="00B64017" w:rsidRDefault="003546A7">
      <w:pPr>
        <w:pStyle w:val="TOC3"/>
        <w:rPr>
          <w:rFonts w:asciiTheme="minorHAnsi" w:eastAsiaTheme="minorEastAsia" w:hAnsiTheme="minorHAnsi" w:cstheme="minorBidi"/>
          <w:i w:val="0"/>
          <w:sz w:val="22"/>
          <w:szCs w:val="22"/>
        </w:rPr>
      </w:pPr>
      <w:hyperlink w:anchor="_Toc497148267" w:history="1">
        <w:r w:rsidR="00B64017" w:rsidRPr="0032514B">
          <w:rPr>
            <w:rStyle w:val="Hyperlink"/>
          </w:rPr>
          <w:t>(a)</w:t>
        </w:r>
        <w:r w:rsidR="00B64017">
          <w:rPr>
            <w:rFonts w:asciiTheme="minorHAnsi" w:eastAsiaTheme="minorEastAsia" w:hAnsiTheme="minorHAnsi" w:cstheme="minorBidi"/>
            <w:i w:val="0"/>
            <w:sz w:val="22"/>
            <w:szCs w:val="22"/>
          </w:rPr>
          <w:tab/>
        </w:r>
        <w:r w:rsidR="00B64017" w:rsidRPr="0032514B">
          <w:rPr>
            <w:rStyle w:val="Hyperlink"/>
          </w:rPr>
          <w:t>Incorporation of CERD</w:t>
        </w:r>
        <w:r w:rsidR="00B64017">
          <w:rPr>
            <w:webHidden/>
          </w:rPr>
          <w:tab/>
        </w:r>
        <w:r w:rsidR="00B64017">
          <w:rPr>
            <w:webHidden/>
          </w:rPr>
          <w:fldChar w:fldCharType="begin"/>
        </w:r>
        <w:r w:rsidR="00B64017">
          <w:rPr>
            <w:webHidden/>
          </w:rPr>
          <w:instrText xml:space="preserve"> PAGEREF _Toc497148267 \h </w:instrText>
        </w:r>
        <w:r w:rsidR="00B64017">
          <w:rPr>
            <w:webHidden/>
          </w:rPr>
        </w:r>
        <w:r w:rsidR="00B64017">
          <w:rPr>
            <w:webHidden/>
          </w:rPr>
          <w:fldChar w:fldCharType="separate"/>
        </w:r>
        <w:r>
          <w:rPr>
            <w:webHidden/>
          </w:rPr>
          <w:t>7</w:t>
        </w:r>
        <w:r w:rsidR="00B64017">
          <w:rPr>
            <w:webHidden/>
          </w:rPr>
          <w:fldChar w:fldCharType="end"/>
        </w:r>
      </w:hyperlink>
    </w:p>
    <w:p w14:paraId="40EDB84E" w14:textId="616B2FBB" w:rsidR="00B64017" w:rsidRDefault="003546A7">
      <w:pPr>
        <w:pStyle w:val="TOC3"/>
        <w:rPr>
          <w:rFonts w:asciiTheme="minorHAnsi" w:eastAsiaTheme="minorEastAsia" w:hAnsiTheme="minorHAnsi" w:cstheme="minorBidi"/>
          <w:i w:val="0"/>
          <w:sz w:val="22"/>
          <w:szCs w:val="22"/>
        </w:rPr>
      </w:pPr>
      <w:hyperlink w:anchor="_Toc497148268" w:history="1">
        <w:r w:rsidR="00B64017" w:rsidRPr="0032514B">
          <w:rPr>
            <w:rStyle w:val="Hyperlink"/>
          </w:rPr>
          <w:t>(b)</w:t>
        </w:r>
        <w:r w:rsidR="00B64017">
          <w:rPr>
            <w:rFonts w:asciiTheme="minorHAnsi" w:eastAsiaTheme="minorEastAsia" w:hAnsiTheme="minorHAnsi" w:cstheme="minorBidi"/>
            <w:i w:val="0"/>
            <w:sz w:val="22"/>
            <w:szCs w:val="22"/>
          </w:rPr>
          <w:tab/>
        </w:r>
        <w:r w:rsidR="00B64017" w:rsidRPr="0032514B">
          <w:rPr>
            <w:rStyle w:val="Hyperlink"/>
          </w:rPr>
          <w:t>Implementation of Committee’s Concluding Observations</w:t>
        </w:r>
        <w:r w:rsidR="00B64017">
          <w:rPr>
            <w:webHidden/>
          </w:rPr>
          <w:tab/>
        </w:r>
        <w:r w:rsidR="00B64017">
          <w:rPr>
            <w:webHidden/>
          </w:rPr>
          <w:fldChar w:fldCharType="begin"/>
        </w:r>
        <w:r w:rsidR="00B64017">
          <w:rPr>
            <w:webHidden/>
          </w:rPr>
          <w:instrText xml:space="preserve"> PAGEREF _Toc497148268 \h </w:instrText>
        </w:r>
        <w:r w:rsidR="00B64017">
          <w:rPr>
            <w:webHidden/>
          </w:rPr>
        </w:r>
        <w:r w:rsidR="00B64017">
          <w:rPr>
            <w:webHidden/>
          </w:rPr>
          <w:fldChar w:fldCharType="separate"/>
        </w:r>
        <w:r>
          <w:rPr>
            <w:webHidden/>
          </w:rPr>
          <w:t>9</w:t>
        </w:r>
        <w:r w:rsidR="00B64017">
          <w:rPr>
            <w:webHidden/>
          </w:rPr>
          <w:fldChar w:fldCharType="end"/>
        </w:r>
      </w:hyperlink>
    </w:p>
    <w:p w14:paraId="7AC46B50" w14:textId="3E5F4BE9" w:rsidR="00B64017" w:rsidRDefault="003546A7">
      <w:pPr>
        <w:pStyle w:val="TOC3"/>
        <w:rPr>
          <w:rFonts w:asciiTheme="minorHAnsi" w:eastAsiaTheme="minorEastAsia" w:hAnsiTheme="minorHAnsi" w:cstheme="minorBidi"/>
          <w:i w:val="0"/>
          <w:sz w:val="22"/>
          <w:szCs w:val="22"/>
        </w:rPr>
      </w:pPr>
      <w:hyperlink w:anchor="_Toc497148269" w:history="1">
        <w:r w:rsidR="00B64017" w:rsidRPr="0032514B">
          <w:rPr>
            <w:rStyle w:val="Hyperlink"/>
          </w:rPr>
          <w:t>(c)</w:t>
        </w:r>
        <w:r w:rsidR="00B64017">
          <w:rPr>
            <w:rFonts w:asciiTheme="minorHAnsi" w:eastAsiaTheme="minorEastAsia" w:hAnsiTheme="minorHAnsi" w:cstheme="minorBidi"/>
            <w:i w:val="0"/>
            <w:sz w:val="22"/>
            <w:szCs w:val="22"/>
          </w:rPr>
          <w:tab/>
        </w:r>
        <w:r w:rsidR="00B64017" w:rsidRPr="0032514B">
          <w:rPr>
            <w:rStyle w:val="Hyperlink"/>
          </w:rPr>
          <w:t>Ratification of OPCAT</w:t>
        </w:r>
        <w:r w:rsidR="00B64017">
          <w:rPr>
            <w:webHidden/>
          </w:rPr>
          <w:tab/>
        </w:r>
        <w:r w:rsidR="00B64017">
          <w:rPr>
            <w:webHidden/>
          </w:rPr>
          <w:fldChar w:fldCharType="begin"/>
        </w:r>
        <w:r w:rsidR="00B64017">
          <w:rPr>
            <w:webHidden/>
          </w:rPr>
          <w:instrText xml:space="preserve"> PAGEREF _Toc497148269 \h </w:instrText>
        </w:r>
        <w:r w:rsidR="00B64017">
          <w:rPr>
            <w:webHidden/>
          </w:rPr>
        </w:r>
        <w:r w:rsidR="00B64017">
          <w:rPr>
            <w:webHidden/>
          </w:rPr>
          <w:fldChar w:fldCharType="separate"/>
        </w:r>
        <w:r>
          <w:rPr>
            <w:webHidden/>
          </w:rPr>
          <w:t>9</w:t>
        </w:r>
        <w:r w:rsidR="00B64017">
          <w:rPr>
            <w:webHidden/>
          </w:rPr>
          <w:fldChar w:fldCharType="end"/>
        </w:r>
      </w:hyperlink>
    </w:p>
    <w:p w14:paraId="5C55DA3E" w14:textId="58B47562" w:rsidR="00B64017" w:rsidRDefault="003546A7">
      <w:pPr>
        <w:pStyle w:val="TOC3"/>
        <w:rPr>
          <w:rFonts w:asciiTheme="minorHAnsi" w:eastAsiaTheme="minorEastAsia" w:hAnsiTheme="minorHAnsi" w:cstheme="minorBidi"/>
          <w:i w:val="0"/>
          <w:sz w:val="22"/>
          <w:szCs w:val="22"/>
        </w:rPr>
      </w:pPr>
      <w:hyperlink w:anchor="_Toc497148270" w:history="1">
        <w:r w:rsidR="00B64017" w:rsidRPr="0032514B">
          <w:rPr>
            <w:rStyle w:val="Hyperlink"/>
          </w:rPr>
          <w:t>(d)</w:t>
        </w:r>
        <w:r w:rsidR="00B64017">
          <w:rPr>
            <w:rFonts w:asciiTheme="minorHAnsi" w:eastAsiaTheme="minorEastAsia" w:hAnsiTheme="minorHAnsi" w:cstheme="minorBidi"/>
            <w:i w:val="0"/>
            <w:sz w:val="22"/>
            <w:szCs w:val="22"/>
          </w:rPr>
          <w:tab/>
        </w:r>
        <w:r w:rsidR="00B64017" w:rsidRPr="0032514B">
          <w:rPr>
            <w:rStyle w:val="Hyperlink"/>
          </w:rPr>
          <w:t>Other relevant instruments</w:t>
        </w:r>
        <w:r w:rsidR="00B64017">
          <w:rPr>
            <w:webHidden/>
          </w:rPr>
          <w:tab/>
        </w:r>
        <w:r w:rsidR="00B64017">
          <w:rPr>
            <w:webHidden/>
          </w:rPr>
          <w:fldChar w:fldCharType="begin"/>
        </w:r>
        <w:r w:rsidR="00B64017">
          <w:rPr>
            <w:webHidden/>
          </w:rPr>
          <w:instrText xml:space="preserve"> PAGEREF _Toc497148270 \h </w:instrText>
        </w:r>
        <w:r w:rsidR="00B64017">
          <w:rPr>
            <w:webHidden/>
          </w:rPr>
        </w:r>
        <w:r w:rsidR="00B64017">
          <w:rPr>
            <w:webHidden/>
          </w:rPr>
          <w:fldChar w:fldCharType="separate"/>
        </w:r>
        <w:r>
          <w:rPr>
            <w:webHidden/>
          </w:rPr>
          <w:t>9</w:t>
        </w:r>
        <w:r w:rsidR="00B64017">
          <w:rPr>
            <w:webHidden/>
          </w:rPr>
          <w:fldChar w:fldCharType="end"/>
        </w:r>
      </w:hyperlink>
    </w:p>
    <w:p w14:paraId="64A251DD" w14:textId="393CD7EB" w:rsidR="00B64017" w:rsidRDefault="003546A7">
      <w:pPr>
        <w:pStyle w:val="TOC2"/>
        <w:rPr>
          <w:rFonts w:asciiTheme="minorHAnsi" w:eastAsiaTheme="minorEastAsia" w:hAnsiTheme="minorHAnsi" w:cstheme="minorBidi"/>
          <w:b w:val="0"/>
          <w:i w:val="0"/>
          <w:sz w:val="22"/>
          <w:szCs w:val="22"/>
        </w:rPr>
      </w:pPr>
      <w:hyperlink w:anchor="_Toc497148271" w:history="1">
        <w:r w:rsidR="00B64017" w:rsidRPr="0032514B">
          <w:rPr>
            <w:rStyle w:val="Hyperlink"/>
            <w14:scene3d>
              <w14:camera w14:prst="orthographicFront"/>
              <w14:lightRig w14:rig="threePt" w14:dir="t">
                <w14:rot w14:lat="0" w14:lon="0" w14:rev="0"/>
              </w14:lightRig>
            </w14:scene3d>
          </w:rPr>
          <w:t>3.3</w:t>
        </w:r>
        <w:r w:rsidR="00B64017">
          <w:rPr>
            <w:rFonts w:asciiTheme="minorHAnsi" w:eastAsiaTheme="minorEastAsia" w:hAnsiTheme="minorHAnsi" w:cstheme="minorBidi"/>
            <w:b w:val="0"/>
            <w:i w:val="0"/>
            <w:sz w:val="22"/>
            <w:szCs w:val="22"/>
          </w:rPr>
          <w:tab/>
        </w:r>
        <w:r w:rsidR="00B64017" w:rsidRPr="0032514B">
          <w:rPr>
            <w:rStyle w:val="Hyperlink"/>
          </w:rPr>
          <w:t>Education (CERD article 7; CO 11, 21 &amp; 27)</w:t>
        </w:r>
        <w:r w:rsidR="00B64017">
          <w:rPr>
            <w:webHidden/>
          </w:rPr>
          <w:tab/>
        </w:r>
        <w:r w:rsidR="00B64017">
          <w:rPr>
            <w:webHidden/>
          </w:rPr>
          <w:fldChar w:fldCharType="begin"/>
        </w:r>
        <w:r w:rsidR="00B64017">
          <w:rPr>
            <w:webHidden/>
          </w:rPr>
          <w:instrText xml:space="preserve"> PAGEREF _Toc497148271 \h </w:instrText>
        </w:r>
        <w:r w:rsidR="00B64017">
          <w:rPr>
            <w:webHidden/>
          </w:rPr>
        </w:r>
        <w:r w:rsidR="00B64017">
          <w:rPr>
            <w:webHidden/>
          </w:rPr>
          <w:fldChar w:fldCharType="separate"/>
        </w:r>
        <w:r>
          <w:rPr>
            <w:webHidden/>
          </w:rPr>
          <w:t>10</w:t>
        </w:r>
        <w:r w:rsidR="00B64017">
          <w:rPr>
            <w:webHidden/>
          </w:rPr>
          <w:fldChar w:fldCharType="end"/>
        </w:r>
      </w:hyperlink>
    </w:p>
    <w:p w14:paraId="422B8737" w14:textId="5F4C6AEC" w:rsidR="00B64017" w:rsidRDefault="003546A7">
      <w:pPr>
        <w:pStyle w:val="TOC3"/>
        <w:rPr>
          <w:rFonts w:asciiTheme="minorHAnsi" w:eastAsiaTheme="minorEastAsia" w:hAnsiTheme="minorHAnsi" w:cstheme="minorBidi"/>
          <w:i w:val="0"/>
          <w:sz w:val="22"/>
          <w:szCs w:val="22"/>
        </w:rPr>
      </w:pPr>
      <w:hyperlink w:anchor="_Toc497148272" w:history="1">
        <w:r w:rsidR="00B64017" w:rsidRPr="0032514B">
          <w:rPr>
            <w:rStyle w:val="Hyperlink"/>
          </w:rPr>
          <w:t>(a)</w:t>
        </w:r>
        <w:r w:rsidR="00B64017">
          <w:rPr>
            <w:rFonts w:asciiTheme="minorHAnsi" w:eastAsiaTheme="minorEastAsia" w:hAnsiTheme="minorHAnsi" w:cstheme="minorBidi"/>
            <w:i w:val="0"/>
            <w:sz w:val="22"/>
            <w:szCs w:val="22"/>
          </w:rPr>
          <w:tab/>
        </w:r>
        <w:r w:rsidR="00B64017" w:rsidRPr="0032514B">
          <w:rPr>
            <w:rStyle w:val="Hyperlink"/>
          </w:rPr>
          <w:t>Human rights education in the national curriculum</w:t>
        </w:r>
        <w:r w:rsidR="00B64017">
          <w:rPr>
            <w:webHidden/>
          </w:rPr>
          <w:tab/>
        </w:r>
        <w:r w:rsidR="00B64017">
          <w:rPr>
            <w:webHidden/>
          </w:rPr>
          <w:fldChar w:fldCharType="begin"/>
        </w:r>
        <w:r w:rsidR="00B64017">
          <w:rPr>
            <w:webHidden/>
          </w:rPr>
          <w:instrText xml:space="preserve"> PAGEREF _Toc497148272 \h </w:instrText>
        </w:r>
        <w:r w:rsidR="00B64017">
          <w:rPr>
            <w:webHidden/>
          </w:rPr>
        </w:r>
        <w:r w:rsidR="00B64017">
          <w:rPr>
            <w:webHidden/>
          </w:rPr>
          <w:fldChar w:fldCharType="separate"/>
        </w:r>
        <w:r>
          <w:rPr>
            <w:webHidden/>
          </w:rPr>
          <w:t>10</w:t>
        </w:r>
        <w:r w:rsidR="00B64017">
          <w:rPr>
            <w:webHidden/>
          </w:rPr>
          <w:fldChar w:fldCharType="end"/>
        </w:r>
      </w:hyperlink>
    </w:p>
    <w:p w14:paraId="1AEF3375" w14:textId="7881FD84" w:rsidR="00B64017" w:rsidRDefault="003546A7">
      <w:pPr>
        <w:pStyle w:val="TOC3"/>
        <w:rPr>
          <w:rFonts w:asciiTheme="minorHAnsi" w:eastAsiaTheme="minorEastAsia" w:hAnsiTheme="minorHAnsi" w:cstheme="minorBidi"/>
          <w:i w:val="0"/>
          <w:sz w:val="22"/>
          <w:szCs w:val="22"/>
        </w:rPr>
      </w:pPr>
      <w:hyperlink w:anchor="_Toc497148273" w:history="1">
        <w:r w:rsidR="00B64017" w:rsidRPr="0032514B">
          <w:rPr>
            <w:rStyle w:val="Hyperlink"/>
          </w:rPr>
          <w:t>(b)</w:t>
        </w:r>
        <w:r w:rsidR="00B64017">
          <w:rPr>
            <w:rFonts w:asciiTheme="minorHAnsi" w:eastAsiaTheme="minorEastAsia" w:hAnsiTheme="minorHAnsi" w:cstheme="minorBidi"/>
            <w:i w:val="0"/>
            <w:sz w:val="22"/>
            <w:szCs w:val="22"/>
          </w:rPr>
          <w:tab/>
        </w:r>
        <w:r w:rsidR="00B64017" w:rsidRPr="0032514B">
          <w:rPr>
            <w:rStyle w:val="Hyperlink"/>
          </w:rPr>
          <w:t>Multiculturalism education in the national curriculum</w:t>
        </w:r>
        <w:r w:rsidR="00B64017">
          <w:rPr>
            <w:webHidden/>
          </w:rPr>
          <w:tab/>
        </w:r>
        <w:r w:rsidR="00B64017">
          <w:rPr>
            <w:webHidden/>
          </w:rPr>
          <w:fldChar w:fldCharType="begin"/>
        </w:r>
        <w:r w:rsidR="00B64017">
          <w:rPr>
            <w:webHidden/>
          </w:rPr>
          <w:instrText xml:space="preserve"> PAGEREF _Toc497148273 \h </w:instrText>
        </w:r>
        <w:r w:rsidR="00B64017">
          <w:rPr>
            <w:webHidden/>
          </w:rPr>
        </w:r>
        <w:r w:rsidR="00B64017">
          <w:rPr>
            <w:webHidden/>
          </w:rPr>
          <w:fldChar w:fldCharType="separate"/>
        </w:r>
        <w:r>
          <w:rPr>
            <w:webHidden/>
          </w:rPr>
          <w:t>10</w:t>
        </w:r>
        <w:r w:rsidR="00B64017">
          <w:rPr>
            <w:webHidden/>
          </w:rPr>
          <w:fldChar w:fldCharType="end"/>
        </w:r>
      </w:hyperlink>
    </w:p>
    <w:p w14:paraId="6595C740" w14:textId="2DE2CD80" w:rsidR="00B64017" w:rsidRDefault="003546A7">
      <w:pPr>
        <w:pStyle w:val="TOC3"/>
        <w:rPr>
          <w:rFonts w:asciiTheme="minorHAnsi" w:eastAsiaTheme="minorEastAsia" w:hAnsiTheme="minorHAnsi" w:cstheme="minorBidi"/>
          <w:i w:val="0"/>
          <w:sz w:val="22"/>
          <w:szCs w:val="22"/>
        </w:rPr>
      </w:pPr>
      <w:hyperlink w:anchor="_Toc497148274" w:history="1">
        <w:r w:rsidR="00B64017" w:rsidRPr="0032514B">
          <w:rPr>
            <w:rStyle w:val="Hyperlink"/>
          </w:rPr>
          <w:t>(c)</w:t>
        </w:r>
        <w:r w:rsidR="00B64017">
          <w:rPr>
            <w:rFonts w:asciiTheme="minorHAnsi" w:eastAsiaTheme="minorEastAsia" w:hAnsiTheme="minorHAnsi" w:cstheme="minorBidi"/>
            <w:i w:val="0"/>
            <w:sz w:val="22"/>
            <w:szCs w:val="22"/>
          </w:rPr>
          <w:tab/>
        </w:r>
        <w:r w:rsidR="00B64017" w:rsidRPr="0032514B">
          <w:rPr>
            <w:rStyle w:val="Hyperlink"/>
          </w:rPr>
          <w:t>Human rights education in the public service</w:t>
        </w:r>
        <w:r w:rsidR="00B64017">
          <w:rPr>
            <w:webHidden/>
          </w:rPr>
          <w:tab/>
        </w:r>
        <w:r w:rsidR="00B64017">
          <w:rPr>
            <w:webHidden/>
          </w:rPr>
          <w:fldChar w:fldCharType="begin"/>
        </w:r>
        <w:r w:rsidR="00B64017">
          <w:rPr>
            <w:webHidden/>
          </w:rPr>
          <w:instrText xml:space="preserve"> PAGEREF _Toc497148274 \h </w:instrText>
        </w:r>
        <w:r w:rsidR="00B64017">
          <w:rPr>
            <w:webHidden/>
          </w:rPr>
        </w:r>
        <w:r w:rsidR="00B64017">
          <w:rPr>
            <w:webHidden/>
          </w:rPr>
          <w:fldChar w:fldCharType="separate"/>
        </w:r>
        <w:r>
          <w:rPr>
            <w:webHidden/>
          </w:rPr>
          <w:t>11</w:t>
        </w:r>
        <w:r w:rsidR="00B64017">
          <w:rPr>
            <w:webHidden/>
          </w:rPr>
          <w:fldChar w:fldCharType="end"/>
        </w:r>
      </w:hyperlink>
    </w:p>
    <w:p w14:paraId="3E09C17C" w14:textId="22B79403" w:rsidR="00B64017" w:rsidRDefault="003546A7">
      <w:pPr>
        <w:pStyle w:val="TOC3"/>
        <w:rPr>
          <w:rFonts w:asciiTheme="minorHAnsi" w:eastAsiaTheme="minorEastAsia" w:hAnsiTheme="minorHAnsi" w:cstheme="minorBidi"/>
          <w:i w:val="0"/>
          <w:sz w:val="22"/>
          <w:szCs w:val="22"/>
        </w:rPr>
      </w:pPr>
      <w:hyperlink w:anchor="_Toc497148275" w:history="1">
        <w:r w:rsidR="00B64017" w:rsidRPr="0032514B">
          <w:rPr>
            <w:rStyle w:val="Hyperlink"/>
          </w:rPr>
          <w:t>(d)</w:t>
        </w:r>
        <w:r w:rsidR="00B64017">
          <w:rPr>
            <w:rFonts w:asciiTheme="minorHAnsi" w:eastAsiaTheme="minorEastAsia" w:hAnsiTheme="minorHAnsi" w:cstheme="minorBidi"/>
            <w:i w:val="0"/>
            <w:sz w:val="22"/>
            <w:szCs w:val="22"/>
          </w:rPr>
          <w:tab/>
        </w:r>
        <w:r w:rsidR="00B64017" w:rsidRPr="0032514B">
          <w:rPr>
            <w:rStyle w:val="Hyperlink"/>
          </w:rPr>
          <w:t>National Anti-Racism Strategy</w:t>
        </w:r>
        <w:r w:rsidR="00B64017">
          <w:rPr>
            <w:webHidden/>
          </w:rPr>
          <w:tab/>
        </w:r>
        <w:r w:rsidR="00B64017">
          <w:rPr>
            <w:webHidden/>
          </w:rPr>
          <w:fldChar w:fldCharType="begin"/>
        </w:r>
        <w:r w:rsidR="00B64017">
          <w:rPr>
            <w:webHidden/>
          </w:rPr>
          <w:instrText xml:space="preserve"> PAGEREF _Toc497148275 \h </w:instrText>
        </w:r>
        <w:r w:rsidR="00B64017">
          <w:rPr>
            <w:webHidden/>
          </w:rPr>
        </w:r>
        <w:r w:rsidR="00B64017">
          <w:rPr>
            <w:webHidden/>
          </w:rPr>
          <w:fldChar w:fldCharType="separate"/>
        </w:r>
        <w:r>
          <w:rPr>
            <w:webHidden/>
          </w:rPr>
          <w:t>11</w:t>
        </w:r>
        <w:r w:rsidR="00B64017">
          <w:rPr>
            <w:webHidden/>
          </w:rPr>
          <w:fldChar w:fldCharType="end"/>
        </w:r>
      </w:hyperlink>
    </w:p>
    <w:p w14:paraId="175086B8" w14:textId="1B83F0DD" w:rsidR="00B64017" w:rsidRDefault="003546A7">
      <w:pPr>
        <w:pStyle w:val="TOC1"/>
        <w:rPr>
          <w:rFonts w:asciiTheme="minorHAnsi" w:eastAsiaTheme="minorEastAsia" w:hAnsiTheme="minorHAnsi" w:cstheme="minorBidi"/>
          <w:b w:val="0"/>
          <w:szCs w:val="22"/>
        </w:rPr>
      </w:pPr>
      <w:hyperlink w:anchor="_Toc497148276" w:history="1">
        <w:r w:rsidR="00B64017" w:rsidRPr="0032514B">
          <w:rPr>
            <w:rStyle w:val="Hyperlink"/>
          </w:rPr>
          <w:t>4</w:t>
        </w:r>
        <w:r w:rsidR="00B64017">
          <w:rPr>
            <w:rFonts w:asciiTheme="minorHAnsi" w:eastAsiaTheme="minorEastAsia" w:hAnsiTheme="minorHAnsi" w:cstheme="minorBidi"/>
            <w:b w:val="0"/>
            <w:szCs w:val="22"/>
          </w:rPr>
          <w:tab/>
        </w:r>
        <w:r w:rsidR="00B64017" w:rsidRPr="0032514B">
          <w:rPr>
            <w:rStyle w:val="Hyperlink"/>
          </w:rPr>
          <w:t>Racial discrimination in Australia</w:t>
        </w:r>
        <w:r w:rsidR="00B64017">
          <w:rPr>
            <w:webHidden/>
          </w:rPr>
          <w:tab/>
        </w:r>
        <w:r w:rsidR="00B64017">
          <w:rPr>
            <w:webHidden/>
          </w:rPr>
          <w:fldChar w:fldCharType="begin"/>
        </w:r>
        <w:r w:rsidR="00B64017">
          <w:rPr>
            <w:webHidden/>
          </w:rPr>
          <w:instrText xml:space="preserve"> PAGEREF _Toc497148276 \h </w:instrText>
        </w:r>
        <w:r w:rsidR="00B64017">
          <w:rPr>
            <w:webHidden/>
          </w:rPr>
        </w:r>
        <w:r w:rsidR="00B64017">
          <w:rPr>
            <w:webHidden/>
          </w:rPr>
          <w:fldChar w:fldCharType="separate"/>
        </w:r>
        <w:r>
          <w:rPr>
            <w:webHidden/>
          </w:rPr>
          <w:t>12</w:t>
        </w:r>
        <w:r w:rsidR="00B64017">
          <w:rPr>
            <w:webHidden/>
          </w:rPr>
          <w:fldChar w:fldCharType="end"/>
        </w:r>
      </w:hyperlink>
    </w:p>
    <w:p w14:paraId="074CFE10" w14:textId="5D7C4667" w:rsidR="00B64017" w:rsidRDefault="003546A7">
      <w:pPr>
        <w:pStyle w:val="TOC2"/>
        <w:rPr>
          <w:rFonts w:asciiTheme="minorHAnsi" w:eastAsiaTheme="minorEastAsia" w:hAnsiTheme="minorHAnsi" w:cstheme="minorBidi"/>
          <w:b w:val="0"/>
          <w:i w:val="0"/>
          <w:sz w:val="22"/>
          <w:szCs w:val="22"/>
        </w:rPr>
      </w:pPr>
      <w:hyperlink w:anchor="_Toc497148277" w:history="1">
        <w:r w:rsidR="00B64017" w:rsidRPr="0032514B">
          <w:rPr>
            <w:rStyle w:val="Hyperlink"/>
            <w14:scene3d>
              <w14:camera w14:prst="orthographicFront"/>
              <w14:lightRig w14:rig="threePt" w14:dir="t">
                <w14:rot w14:lat="0" w14:lon="0" w14:rev="0"/>
              </w14:lightRig>
            </w14:scene3d>
          </w:rPr>
          <w:t>4.1</w:t>
        </w:r>
        <w:r w:rsidR="00B64017">
          <w:rPr>
            <w:rFonts w:asciiTheme="minorHAnsi" w:eastAsiaTheme="minorEastAsia" w:hAnsiTheme="minorHAnsi" w:cstheme="minorBidi"/>
            <w:b w:val="0"/>
            <w:i w:val="0"/>
            <w:sz w:val="22"/>
            <w:szCs w:val="22"/>
          </w:rPr>
          <w:tab/>
        </w:r>
        <w:r w:rsidR="00B64017" w:rsidRPr="0032514B">
          <w:rPr>
            <w:rStyle w:val="Hyperlink"/>
          </w:rPr>
          <w:t>Multicultural Australia</w:t>
        </w:r>
        <w:r w:rsidR="00B64017">
          <w:rPr>
            <w:webHidden/>
          </w:rPr>
          <w:tab/>
        </w:r>
        <w:r w:rsidR="00B64017">
          <w:rPr>
            <w:webHidden/>
          </w:rPr>
          <w:fldChar w:fldCharType="begin"/>
        </w:r>
        <w:r w:rsidR="00B64017">
          <w:rPr>
            <w:webHidden/>
          </w:rPr>
          <w:instrText xml:space="preserve"> PAGEREF _Toc497148277 \h </w:instrText>
        </w:r>
        <w:r w:rsidR="00B64017">
          <w:rPr>
            <w:webHidden/>
          </w:rPr>
        </w:r>
        <w:r w:rsidR="00B64017">
          <w:rPr>
            <w:webHidden/>
          </w:rPr>
          <w:fldChar w:fldCharType="separate"/>
        </w:r>
        <w:r>
          <w:rPr>
            <w:webHidden/>
          </w:rPr>
          <w:t>12</w:t>
        </w:r>
        <w:r w:rsidR="00B64017">
          <w:rPr>
            <w:webHidden/>
          </w:rPr>
          <w:fldChar w:fldCharType="end"/>
        </w:r>
      </w:hyperlink>
    </w:p>
    <w:p w14:paraId="2FBB6EA6" w14:textId="0A42D052" w:rsidR="00B64017" w:rsidRDefault="003546A7">
      <w:pPr>
        <w:pStyle w:val="TOC2"/>
        <w:rPr>
          <w:rFonts w:asciiTheme="minorHAnsi" w:eastAsiaTheme="minorEastAsia" w:hAnsiTheme="minorHAnsi" w:cstheme="minorBidi"/>
          <w:b w:val="0"/>
          <w:i w:val="0"/>
          <w:sz w:val="22"/>
          <w:szCs w:val="22"/>
        </w:rPr>
      </w:pPr>
      <w:hyperlink w:anchor="_Toc497148278" w:history="1">
        <w:r w:rsidR="00B64017" w:rsidRPr="0032514B">
          <w:rPr>
            <w:rStyle w:val="Hyperlink"/>
            <w14:scene3d>
              <w14:camera w14:prst="orthographicFront"/>
              <w14:lightRig w14:rig="threePt" w14:dir="t">
                <w14:rot w14:lat="0" w14:lon="0" w14:rev="0"/>
              </w14:lightRig>
            </w14:scene3d>
          </w:rPr>
          <w:t>4.2</w:t>
        </w:r>
        <w:r w:rsidR="00B64017">
          <w:rPr>
            <w:rFonts w:asciiTheme="minorHAnsi" w:eastAsiaTheme="minorEastAsia" w:hAnsiTheme="minorHAnsi" w:cstheme="minorBidi"/>
            <w:b w:val="0"/>
            <w:i w:val="0"/>
            <w:sz w:val="22"/>
            <w:szCs w:val="22"/>
          </w:rPr>
          <w:tab/>
        </w:r>
        <w:r w:rsidR="00B64017" w:rsidRPr="0032514B">
          <w:rPr>
            <w:rStyle w:val="Hyperlink"/>
          </w:rPr>
          <w:t>Racial discrimination generally</w:t>
        </w:r>
        <w:r w:rsidR="00B64017">
          <w:rPr>
            <w:webHidden/>
          </w:rPr>
          <w:tab/>
        </w:r>
        <w:r w:rsidR="00B64017">
          <w:rPr>
            <w:webHidden/>
          </w:rPr>
          <w:fldChar w:fldCharType="begin"/>
        </w:r>
        <w:r w:rsidR="00B64017">
          <w:rPr>
            <w:webHidden/>
          </w:rPr>
          <w:instrText xml:space="preserve"> PAGEREF _Toc497148278 \h </w:instrText>
        </w:r>
        <w:r w:rsidR="00B64017">
          <w:rPr>
            <w:webHidden/>
          </w:rPr>
        </w:r>
        <w:r w:rsidR="00B64017">
          <w:rPr>
            <w:webHidden/>
          </w:rPr>
          <w:fldChar w:fldCharType="separate"/>
        </w:r>
        <w:r>
          <w:rPr>
            <w:webHidden/>
          </w:rPr>
          <w:t>12</w:t>
        </w:r>
        <w:r w:rsidR="00B64017">
          <w:rPr>
            <w:webHidden/>
          </w:rPr>
          <w:fldChar w:fldCharType="end"/>
        </w:r>
      </w:hyperlink>
    </w:p>
    <w:p w14:paraId="4490B10B" w14:textId="3B81B295" w:rsidR="00B64017" w:rsidRDefault="003546A7">
      <w:pPr>
        <w:pStyle w:val="TOC2"/>
        <w:rPr>
          <w:rFonts w:asciiTheme="minorHAnsi" w:eastAsiaTheme="minorEastAsia" w:hAnsiTheme="minorHAnsi" w:cstheme="minorBidi"/>
          <w:b w:val="0"/>
          <w:i w:val="0"/>
          <w:sz w:val="22"/>
          <w:szCs w:val="22"/>
        </w:rPr>
      </w:pPr>
      <w:hyperlink w:anchor="_Toc497148279" w:history="1">
        <w:r w:rsidR="00B64017" w:rsidRPr="0032514B">
          <w:rPr>
            <w:rStyle w:val="Hyperlink"/>
            <w14:scene3d>
              <w14:camera w14:prst="orthographicFront"/>
              <w14:lightRig w14:rig="threePt" w14:dir="t">
                <w14:rot w14:lat="0" w14:lon="0" w14:rev="0"/>
              </w14:lightRig>
            </w14:scene3d>
          </w:rPr>
          <w:t>4.3</w:t>
        </w:r>
        <w:r w:rsidR="00B64017">
          <w:rPr>
            <w:rFonts w:asciiTheme="minorHAnsi" w:eastAsiaTheme="minorEastAsia" w:hAnsiTheme="minorHAnsi" w:cstheme="minorBidi"/>
            <w:b w:val="0"/>
            <w:i w:val="0"/>
            <w:sz w:val="22"/>
            <w:szCs w:val="22"/>
          </w:rPr>
          <w:tab/>
        </w:r>
        <w:r w:rsidR="00B64017" w:rsidRPr="0032514B">
          <w:rPr>
            <w:rStyle w:val="Hyperlink"/>
          </w:rPr>
          <w:t>Strengthening multiculturalism</w:t>
        </w:r>
        <w:r w:rsidR="00B64017">
          <w:rPr>
            <w:webHidden/>
          </w:rPr>
          <w:tab/>
        </w:r>
        <w:r w:rsidR="00B64017">
          <w:rPr>
            <w:webHidden/>
          </w:rPr>
          <w:fldChar w:fldCharType="begin"/>
        </w:r>
        <w:r w:rsidR="00B64017">
          <w:rPr>
            <w:webHidden/>
          </w:rPr>
          <w:instrText xml:space="preserve"> PAGEREF _Toc497148279 \h </w:instrText>
        </w:r>
        <w:r w:rsidR="00B64017">
          <w:rPr>
            <w:webHidden/>
          </w:rPr>
        </w:r>
        <w:r w:rsidR="00B64017">
          <w:rPr>
            <w:webHidden/>
          </w:rPr>
          <w:fldChar w:fldCharType="separate"/>
        </w:r>
        <w:r>
          <w:rPr>
            <w:webHidden/>
          </w:rPr>
          <w:t>13</w:t>
        </w:r>
        <w:r w:rsidR="00B64017">
          <w:rPr>
            <w:webHidden/>
          </w:rPr>
          <w:fldChar w:fldCharType="end"/>
        </w:r>
      </w:hyperlink>
    </w:p>
    <w:p w14:paraId="7DE4CB8F" w14:textId="75146BB7" w:rsidR="00B64017" w:rsidRDefault="003546A7">
      <w:pPr>
        <w:pStyle w:val="TOC3"/>
        <w:rPr>
          <w:rFonts w:asciiTheme="minorHAnsi" w:eastAsiaTheme="minorEastAsia" w:hAnsiTheme="minorHAnsi" w:cstheme="minorBidi"/>
          <w:i w:val="0"/>
          <w:sz w:val="22"/>
          <w:szCs w:val="22"/>
        </w:rPr>
      </w:pPr>
      <w:hyperlink w:anchor="_Toc497148280" w:history="1">
        <w:r w:rsidR="00B64017" w:rsidRPr="0032514B">
          <w:rPr>
            <w:rStyle w:val="Hyperlink"/>
          </w:rPr>
          <w:t>(a)</w:t>
        </w:r>
        <w:r w:rsidR="00B64017">
          <w:rPr>
            <w:rFonts w:asciiTheme="minorHAnsi" w:eastAsiaTheme="minorEastAsia" w:hAnsiTheme="minorHAnsi" w:cstheme="minorBidi"/>
            <w:i w:val="0"/>
            <w:sz w:val="22"/>
            <w:szCs w:val="22"/>
          </w:rPr>
          <w:tab/>
        </w:r>
        <w:r w:rsidR="00B64017" w:rsidRPr="0032514B">
          <w:rPr>
            <w:rStyle w:val="Hyperlink"/>
          </w:rPr>
          <w:t>Multiculturalism policy (CERD article 2; CO 14)</w:t>
        </w:r>
        <w:r w:rsidR="00B64017">
          <w:rPr>
            <w:webHidden/>
          </w:rPr>
          <w:tab/>
        </w:r>
        <w:r w:rsidR="00B64017">
          <w:rPr>
            <w:webHidden/>
          </w:rPr>
          <w:fldChar w:fldCharType="begin"/>
        </w:r>
        <w:r w:rsidR="00B64017">
          <w:rPr>
            <w:webHidden/>
          </w:rPr>
          <w:instrText xml:space="preserve"> PAGEREF _Toc497148280 \h </w:instrText>
        </w:r>
        <w:r w:rsidR="00B64017">
          <w:rPr>
            <w:webHidden/>
          </w:rPr>
        </w:r>
        <w:r w:rsidR="00B64017">
          <w:rPr>
            <w:webHidden/>
          </w:rPr>
          <w:fldChar w:fldCharType="separate"/>
        </w:r>
        <w:r>
          <w:rPr>
            <w:webHidden/>
          </w:rPr>
          <w:t>13</w:t>
        </w:r>
        <w:r w:rsidR="00B64017">
          <w:rPr>
            <w:webHidden/>
          </w:rPr>
          <w:fldChar w:fldCharType="end"/>
        </w:r>
      </w:hyperlink>
    </w:p>
    <w:p w14:paraId="4D62219D" w14:textId="4A6472AC" w:rsidR="00B64017" w:rsidRDefault="003546A7">
      <w:pPr>
        <w:pStyle w:val="TOC3"/>
        <w:rPr>
          <w:rFonts w:asciiTheme="minorHAnsi" w:eastAsiaTheme="minorEastAsia" w:hAnsiTheme="minorHAnsi" w:cstheme="minorBidi"/>
          <w:i w:val="0"/>
          <w:sz w:val="22"/>
          <w:szCs w:val="22"/>
        </w:rPr>
      </w:pPr>
      <w:hyperlink w:anchor="_Toc497148281" w:history="1">
        <w:r w:rsidR="00B64017" w:rsidRPr="0032514B">
          <w:rPr>
            <w:rStyle w:val="Hyperlink"/>
          </w:rPr>
          <w:t>(b)</w:t>
        </w:r>
        <w:r w:rsidR="00B64017">
          <w:rPr>
            <w:rFonts w:asciiTheme="minorHAnsi" w:eastAsiaTheme="minorEastAsia" w:hAnsiTheme="minorHAnsi" w:cstheme="minorBidi"/>
            <w:i w:val="0"/>
            <w:sz w:val="22"/>
            <w:szCs w:val="22"/>
          </w:rPr>
          <w:tab/>
        </w:r>
        <w:r w:rsidR="00B64017" w:rsidRPr="0032514B">
          <w:rPr>
            <w:rStyle w:val="Hyperlink"/>
          </w:rPr>
          <w:t>Multiculturalism legislation (CERD article 2; CO 14)</w:t>
        </w:r>
        <w:r w:rsidR="00B64017">
          <w:rPr>
            <w:webHidden/>
          </w:rPr>
          <w:tab/>
        </w:r>
        <w:r w:rsidR="00B64017">
          <w:rPr>
            <w:webHidden/>
          </w:rPr>
          <w:fldChar w:fldCharType="begin"/>
        </w:r>
        <w:r w:rsidR="00B64017">
          <w:rPr>
            <w:webHidden/>
          </w:rPr>
          <w:instrText xml:space="preserve"> PAGEREF _Toc497148281 \h </w:instrText>
        </w:r>
        <w:r w:rsidR="00B64017">
          <w:rPr>
            <w:webHidden/>
          </w:rPr>
        </w:r>
        <w:r w:rsidR="00B64017">
          <w:rPr>
            <w:webHidden/>
          </w:rPr>
          <w:fldChar w:fldCharType="separate"/>
        </w:r>
        <w:r>
          <w:rPr>
            <w:webHidden/>
          </w:rPr>
          <w:t>13</w:t>
        </w:r>
        <w:r w:rsidR="00B64017">
          <w:rPr>
            <w:webHidden/>
          </w:rPr>
          <w:fldChar w:fldCharType="end"/>
        </w:r>
      </w:hyperlink>
    </w:p>
    <w:p w14:paraId="48B056D5" w14:textId="511A18A5" w:rsidR="00B64017" w:rsidRDefault="003546A7">
      <w:pPr>
        <w:pStyle w:val="TOC3"/>
        <w:rPr>
          <w:rFonts w:asciiTheme="minorHAnsi" w:eastAsiaTheme="minorEastAsia" w:hAnsiTheme="minorHAnsi" w:cstheme="minorBidi"/>
          <w:i w:val="0"/>
          <w:sz w:val="22"/>
          <w:szCs w:val="22"/>
        </w:rPr>
      </w:pPr>
      <w:hyperlink w:anchor="_Toc497148282" w:history="1">
        <w:r w:rsidR="00B64017" w:rsidRPr="0032514B">
          <w:rPr>
            <w:rStyle w:val="Hyperlink"/>
          </w:rPr>
          <w:t>(c)</w:t>
        </w:r>
        <w:r w:rsidR="00B64017">
          <w:rPr>
            <w:rFonts w:asciiTheme="minorHAnsi" w:eastAsiaTheme="minorEastAsia" w:hAnsiTheme="minorHAnsi" w:cstheme="minorBidi"/>
            <w:i w:val="0"/>
            <w:sz w:val="22"/>
            <w:szCs w:val="22"/>
          </w:rPr>
          <w:tab/>
        </w:r>
        <w:r w:rsidR="00B64017" w:rsidRPr="0032514B">
          <w:rPr>
            <w:rStyle w:val="Hyperlink"/>
          </w:rPr>
          <w:t>Policy machinery (CERD article 2; CO 14)</w:t>
        </w:r>
        <w:r w:rsidR="00B64017">
          <w:rPr>
            <w:webHidden/>
          </w:rPr>
          <w:tab/>
        </w:r>
        <w:r w:rsidR="00B64017">
          <w:rPr>
            <w:webHidden/>
          </w:rPr>
          <w:fldChar w:fldCharType="begin"/>
        </w:r>
        <w:r w:rsidR="00B64017">
          <w:rPr>
            <w:webHidden/>
          </w:rPr>
          <w:instrText xml:space="preserve"> PAGEREF _Toc497148282 \h </w:instrText>
        </w:r>
        <w:r w:rsidR="00B64017">
          <w:rPr>
            <w:webHidden/>
          </w:rPr>
        </w:r>
        <w:r w:rsidR="00B64017">
          <w:rPr>
            <w:webHidden/>
          </w:rPr>
          <w:fldChar w:fldCharType="separate"/>
        </w:r>
        <w:r>
          <w:rPr>
            <w:webHidden/>
          </w:rPr>
          <w:t>14</w:t>
        </w:r>
        <w:r w:rsidR="00B64017">
          <w:rPr>
            <w:webHidden/>
          </w:rPr>
          <w:fldChar w:fldCharType="end"/>
        </w:r>
      </w:hyperlink>
    </w:p>
    <w:p w14:paraId="2FFFF834" w14:textId="6678D693" w:rsidR="00B64017" w:rsidRDefault="003546A7">
      <w:pPr>
        <w:pStyle w:val="TOC3"/>
        <w:rPr>
          <w:rFonts w:asciiTheme="minorHAnsi" w:eastAsiaTheme="minorEastAsia" w:hAnsiTheme="minorHAnsi" w:cstheme="minorBidi"/>
          <w:i w:val="0"/>
          <w:sz w:val="22"/>
          <w:szCs w:val="22"/>
        </w:rPr>
      </w:pPr>
      <w:hyperlink w:anchor="_Toc497148283" w:history="1">
        <w:r w:rsidR="00B64017" w:rsidRPr="0032514B">
          <w:rPr>
            <w:rStyle w:val="Hyperlink"/>
          </w:rPr>
          <w:t>(d)</w:t>
        </w:r>
        <w:r w:rsidR="00B64017">
          <w:rPr>
            <w:rFonts w:asciiTheme="minorHAnsi" w:eastAsiaTheme="minorEastAsia" w:hAnsiTheme="minorHAnsi" w:cstheme="minorBidi"/>
            <w:i w:val="0"/>
            <w:sz w:val="22"/>
            <w:szCs w:val="22"/>
          </w:rPr>
          <w:tab/>
        </w:r>
        <w:r w:rsidR="00B64017" w:rsidRPr="0032514B">
          <w:rPr>
            <w:rStyle w:val="Hyperlink"/>
          </w:rPr>
          <w:t>Citizenship requirements (CERD article 2; CO 14)</w:t>
        </w:r>
        <w:r w:rsidR="00B64017">
          <w:rPr>
            <w:webHidden/>
          </w:rPr>
          <w:tab/>
        </w:r>
        <w:r w:rsidR="00B64017">
          <w:rPr>
            <w:webHidden/>
          </w:rPr>
          <w:fldChar w:fldCharType="begin"/>
        </w:r>
        <w:r w:rsidR="00B64017">
          <w:rPr>
            <w:webHidden/>
          </w:rPr>
          <w:instrText xml:space="preserve"> PAGEREF _Toc497148283 \h </w:instrText>
        </w:r>
        <w:r w:rsidR="00B64017">
          <w:rPr>
            <w:webHidden/>
          </w:rPr>
        </w:r>
        <w:r w:rsidR="00B64017">
          <w:rPr>
            <w:webHidden/>
          </w:rPr>
          <w:fldChar w:fldCharType="separate"/>
        </w:r>
        <w:r>
          <w:rPr>
            <w:webHidden/>
          </w:rPr>
          <w:t>14</w:t>
        </w:r>
        <w:r w:rsidR="00B64017">
          <w:rPr>
            <w:webHidden/>
          </w:rPr>
          <w:fldChar w:fldCharType="end"/>
        </w:r>
      </w:hyperlink>
    </w:p>
    <w:p w14:paraId="09E1C008" w14:textId="7B6743C6" w:rsidR="00B64017" w:rsidRDefault="003546A7">
      <w:pPr>
        <w:pStyle w:val="TOC2"/>
        <w:rPr>
          <w:rFonts w:asciiTheme="minorHAnsi" w:eastAsiaTheme="minorEastAsia" w:hAnsiTheme="minorHAnsi" w:cstheme="minorBidi"/>
          <w:b w:val="0"/>
          <w:i w:val="0"/>
          <w:sz w:val="22"/>
          <w:szCs w:val="22"/>
        </w:rPr>
      </w:pPr>
      <w:hyperlink w:anchor="_Toc497148284" w:history="1">
        <w:r w:rsidR="00B64017" w:rsidRPr="0032514B">
          <w:rPr>
            <w:rStyle w:val="Hyperlink"/>
            <w14:scene3d>
              <w14:camera w14:prst="orthographicFront"/>
              <w14:lightRig w14:rig="threePt" w14:dir="t">
                <w14:rot w14:lat="0" w14:lon="0" w14:rev="0"/>
              </w14:lightRig>
            </w14:scene3d>
          </w:rPr>
          <w:t>4.4</w:t>
        </w:r>
        <w:r w:rsidR="00B64017">
          <w:rPr>
            <w:rFonts w:asciiTheme="minorHAnsi" w:eastAsiaTheme="minorEastAsia" w:hAnsiTheme="minorHAnsi" w:cstheme="minorBidi"/>
            <w:b w:val="0"/>
            <w:i w:val="0"/>
            <w:sz w:val="22"/>
            <w:szCs w:val="22"/>
          </w:rPr>
          <w:tab/>
        </w:r>
        <w:r w:rsidR="00B64017" w:rsidRPr="0032514B">
          <w:rPr>
            <w:rStyle w:val="Hyperlink"/>
          </w:rPr>
          <w:t>Cultural diversity in Australian organisations and institutions (CERD article 5; CO 14)</w:t>
        </w:r>
        <w:r w:rsidR="00B64017">
          <w:rPr>
            <w:webHidden/>
          </w:rPr>
          <w:tab/>
        </w:r>
        <w:r w:rsidR="00B64017">
          <w:rPr>
            <w:webHidden/>
          </w:rPr>
          <w:fldChar w:fldCharType="begin"/>
        </w:r>
        <w:r w:rsidR="00B64017">
          <w:rPr>
            <w:webHidden/>
          </w:rPr>
          <w:instrText xml:space="preserve"> PAGEREF _Toc497148284 \h </w:instrText>
        </w:r>
        <w:r w:rsidR="00B64017">
          <w:rPr>
            <w:webHidden/>
          </w:rPr>
        </w:r>
        <w:r w:rsidR="00B64017">
          <w:rPr>
            <w:webHidden/>
          </w:rPr>
          <w:fldChar w:fldCharType="separate"/>
        </w:r>
        <w:r>
          <w:rPr>
            <w:webHidden/>
          </w:rPr>
          <w:t>15</w:t>
        </w:r>
        <w:r w:rsidR="00B64017">
          <w:rPr>
            <w:webHidden/>
          </w:rPr>
          <w:fldChar w:fldCharType="end"/>
        </w:r>
      </w:hyperlink>
    </w:p>
    <w:p w14:paraId="34909DEB" w14:textId="6DE132DF" w:rsidR="00B64017" w:rsidRDefault="003546A7">
      <w:pPr>
        <w:pStyle w:val="TOC3"/>
        <w:rPr>
          <w:rFonts w:asciiTheme="minorHAnsi" w:eastAsiaTheme="minorEastAsia" w:hAnsiTheme="minorHAnsi" w:cstheme="minorBidi"/>
          <w:i w:val="0"/>
          <w:sz w:val="22"/>
          <w:szCs w:val="22"/>
        </w:rPr>
      </w:pPr>
      <w:hyperlink w:anchor="_Toc497148285" w:history="1">
        <w:r w:rsidR="00B64017" w:rsidRPr="0032514B">
          <w:rPr>
            <w:rStyle w:val="Hyperlink"/>
          </w:rPr>
          <w:t>(a)</w:t>
        </w:r>
        <w:r w:rsidR="00B64017">
          <w:rPr>
            <w:rFonts w:asciiTheme="minorHAnsi" w:eastAsiaTheme="minorEastAsia" w:hAnsiTheme="minorHAnsi" w:cstheme="minorBidi"/>
            <w:i w:val="0"/>
            <w:sz w:val="22"/>
            <w:szCs w:val="22"/>
          </w:rPr>
          <w:tab/>
        </w:r>
        <w:r w:rsidR="00B64017" w:rsidRPr="0032514B">
          <w:rPr>
            <w:rStyle w:val="Hyperlink"/>
          </w:rPr>
          <w:t>Leadership</w:t>
        </w:r>
        <w:r w:rsidR="00B64017">
          <w:rPr>
            <w:webHidden/>
          </w:rPr>
          <w:tab/>
        </w:r>
        <w:r w:rsidR="00B64017">
          <w:rPr>
            <w:webHidden/>
          </w:rPr>
          <w:fldChar w:fldCharType="begin"/>
        </w:r>
        <w:r w:rsidR="00B64017">
          <w:rPr>
            <w:webHidden/>
          </w:rPr>
          <w:instrText xml:space="preserve"> PAGEREF _Toc497148285 \h </w:instrText>
        </w:r>
        <w:r w:rsidR="00B64017">
          <w:rPr>
            <w:webHidden/>
          </w:rPr>
        </w:r>
        <w:r w:rsidR="00B64017">
          <w:rPr>
            <w:webHidden/>
          </w:rPr>
          <w:fldChar w:fldCharType="separate"/>
        </w:r>
        <w:r>
          <w:rPr>
            <w:webHidden/>
          </w:rPr>
          <w:t>15</w:t>
        </w:r>
        <w:r w:rsidR="00B64017">
          <w:rPr>
            <w:webHidden/>
          </w:rPr>
          <w:fldChar w:fldCharType="end"/>
        </w:r>
      </w:hyperlink>
    </w:p>
    <w:p w14:paraId="2B06FDE4" w14:textId="30D6BB76" w:rsidR="00B64017" w:rsidRDefault="003546A7">
      <w:pPr>
        <w:pStyle w:val="TOC3"/>
        <w:rPr>
          <w:rFonts w:asciiTheme="minorHAnsi" w:eastAsiaTheme="minorEastAsia" w:hAnsiTheme="minorHAnsi" w:cstheme="minorBidi"/>
          <w:i w:val="0"/>
          <w:sz w:val="22"/>
          <w:szCs w:val="22"/>
        </w:rPr>
      </w:pPr>
      <w:hyperlink w:anchor="_Toc497148286" w:history="1">
        <w:r w:rsidR="00B64017" w:rsidRPr="0032514B">
          <w:rPr>
            <w:rStyle w:val="Hyperlink"/>
          </w:rPr>
          <w:t>(b)</w:t>
        </w:r>
        <w:r w:rsidR="00B64017">
          <w:rPr>
            <w:rFonts w:asciiTheme="minorHAnsi" w:eastAsiaTheme="minorEastAsia" w:hAnsiTheme="minorHAnsi" w:cstheme="minorBidi"/>
            <w:i w:val="0"/>
            <w:sz w:val="22"/>
            <w:szCs w:val="22"/>
          </w:rPr>
          <w:tab/>
        </w:r>
        <w:r w:rsidR="00B64017" w:rsidRPr="0032514B">
          <w:rPr>
            <w:rStyle w:val="Hyperlink"/>
          </w:rPr>
          <w:t>Media</w:t>
        </w:r>
        <w:r w:rsidR="00B64017">
          <w:rPr>
            <w:webHidden/>
          </w:rPr>
          <w:tab/>
        </w:r>
        <w:r w:rsidR="00B64017">
          <w:rPr>
            <w:webHidden/>
          </w:rPr>
          <w:fldChar w:fldCharType="begin"/>
        </w:r>
        <w:r w:rsidR="00B64017">
          <w:rPr>
            <w:webHidden/>
          </w:rPr>
          <w:instrText xml:space="preserve"> PAGEREF _Toc497148286 \h </w:instrText>
        </w:r>
        <w:r w:rsidR="00B64017">
          <w:rPr>
            <w:webHidden/>
          </w:rPr>
        </w:r>
        <w:r w:rsidR="00B64017">
          <w:rPr>
            <w:webHidden/>
          </w:rPr>
          <w:fldChar w:fldCharType="separate"/>
        </w:r>
        <w:r>
          <w:rPr>
            <w:webHidden/>
          </w:rPr>
          <w:t>16</w:t>
        </w:r>
        <w:r w:rsidR="00B64017">
          <w:rPr>
            <w:webHidden/>
          </w:rPr>
          <w:fldChar w:fldCharType="end"/>
        </w:r>
      </w:hyperlink>
    </w:p>
    <w:p w14:paraId="4646CC2D" w14:textId="607C4A6D" w:rsidR="00B64017" w:rsidRDefault="003546A7">
      <w:pPr>
        <w:pStyle w:val="TOC3"/>
        <w:rPr>
          <w:rFonts w:asciiTheme="minorHAnsi" w:eastAsiaTheme="minorEastAsia" w:hAnsiTheme="minorHAnsi" w:cstheme="minorBidi"/>
          <w:i w:val="0"/>
          <w:sz w:val="22"/>
          <w:szCs w:val="22"/>
        </w:rPr>
      </w:pPr>
      <w:hyperlink w:anchor="_Toc497148287" w:history="1">
        <w:r w:rsidR="00B64017" w:rsidRPr="0032514B">
          <w:rPr>
            <w:rStyle w:val="Hyperlink"/>
          </w:rPr>
          <w:t>(c)</w:t>
        </w:r>
        <w:r w:rsidR="00B64017">
          <w:rPr>
            <w:rFonts w:asciiTheme="minorHAnsi" w:eastAsiaTheme="minorEastAsia" w:hAnsiTheme="minorHAnsi" w:cstheme="minorBidi"/>
            <w:i w:val="0"/>
            <w:sz w:val="22"/>
            <w:szCs w:val="22"/>
          </w:rPr>
          <w:tab/>
        </w:r>
        <w:r w:rsidR="00B64017" w:rsidRPr="0032514B">
          <w:rPr>
            <w:rStyle w:val="Hyperlink"/>
          </w:rPr>
          <w:t>Law enforcement</w:t>
        </w:r>
        <w:r w:rsidR="00B64017">
          <w:rPr>
            <w:webHidden/>
          </w:rPr>
          <w:tab/>
        </w:r>
        <w:r w:rsidR="00B64017">
          <w:rPr>
            <w:webHidden/>
          </w:rPr>
          <w:fldChar w:fldCharType="begin"/>
        </w:r>
        <w:r w:rsidR="00B64017">
          <w:rPr>
            <w:webHidden/>
          </w:rPr>
          <w:instrText xml:space="preserve"> PAGEREF _Toc497148287 \h </w:instrText>
        </w:r>
        <w:r w:rsidR="00B64017">
          <w:rPr>
            <w:webHidden/>
          </w:rPr>
        </w:r>
        <w:r w:rsidR="00B64017">
          <w:rPr>
            <w:webHidden/>
          </w:rPr>
          <w:fldChar w:fldCharType="separate"/>
        </w:r>
        <w:r>
          <w:rPr>
            <w:webHidden/>
          </w:rPr>
          <w:t>16</w:t>
        </w:r>
        <w:r w:rsidR="00B64017">
          <w:rPr>
            <w:webHidden/>
          </w:rPr>
          <w:fldChar w:fldCharType="end"/>
        </w:r>
      </w:hyperlink>
    </w:p>
    <w:p w14:paraId="2513A49B" w14:textId="09254B19" w:rsidR="00B64017" w:rsidRDefault="003546A7">
      <w:pPr>
        <w:pStyle w:val="TOC2"/>
        <w:rPr>
          <w:rFonts w:asciiTheme="minorHAnsi" w:eastAsiaTheme="minorEastAsia" w:hAnsiTheme="minorHAnsi" w:cstheme="minorBidi"/>
          <w:b w:val="0"/>
          <w:i w:val="0"/>
          <w:sz w:val="22"/>
          <w:szCs w:val="22"/>
        </w:rPr>
      </w:pPr>
      <w:hyperlink w:anchor="_Toc497148288" w:history="1">
        <w:r w:rsidR="00B64017" w:rsidRPr="0032514B">
          <w:rPr>
            <w:rStyle w:val="Hyperlink"/>
            <w14:scene3d>
              <w14:camera w14:prst="orthographicFront"/>
              <w14:lightRig w14:rig="threePt" w14:dir="t">
                <w14:rot w14:lat="0" w14:lon="0" w14:rev="0"/>
              </w14:lightRig>
            </w14:scene3d>
          </w:rPr>
          <w:t>4.5</w:t>
        </w:r>
        <w:r w:rsidR="00B64017">
          <w:rPr>
            <w:rFonts w:asciiTheme="minorHAnsi" w:eastAsiaTheme="minorEastAsia" w:hAnsiTheme="minorHAnsi" w:cstheme="minorBidi"/>
            <w:b w:val="0"/>
            <w:i w:val="0"/>
            <w:sz w:val="22"/>
            <w:szCs w:val="22"/>
          </w:rPr>
          <w:tab/>
        </w:r>
        <w:r w:rsidR="00B64017" w:rsidRPr="0032514B">
          <w:rPr>
            <w:rStyle w:val="Hyperlink"/>
          </w:rPr>
          <w:t>Data collection (CERD article 2; CO 23)</w:t>
        </w:r>
        <w:r w:rsidR="00B64017">
          <w:rPr>
            <w:webHidden/>
          </w:rPr>
          <w:tab/>
        </w:r>
        <w:r w:rsidR="00B64017">
          <w:rPr>
            <w:webHidden/>
          </w:rPr>
          <w:fldChar w:fldCharType="begin"/>
        </w:r>
        <w:r w:rsidR="00B64017">
          <w:rPr>
            <w:webHidden/>
          </w:rPr>
          <w:instrText xml:space="preserve"> PAGEREF _Toc497148288 \h </w:instrText>
        </w:r>
        <w:r w:rsidR="00B64017">
          <w:rPr>
            <w:webHidden/>
          </w:rPr>
        </w:r>
        <w:r w:rsidR="00B64017">
          <w:rPr>
            <w:webHidden/>
          </w:rPr>
          <w:fldChar w:fldCharType="separate"/>
        </w:r>
        <w:r>
          <w:rPr>
            <w:webHidden/>
          </w:rPr>
          <w:t>16</w:t>
        </w:r>
        <w:r w:rsidR="00B64017">
          <w:rPr>
            <w:webHidden/>
          </w:rPr>
          <w:fldChar w:fldCharType="end"/>
        </w:r>
      </w:hyperlink>
    </w:p>
    <w:p w14:paraId="7D9E8201" w14:textId="0C471148" w:rsidR="00B64017" w:rsidRDefault="003546A7">
      <w:pPr>
        <w:pStyle w:val="TOC1"/>
        <w:rPr>
          <w:rFonts w:asciiTheme="minorHAnsi" w:eastAsiaTheme="minorEastAsia" w:hAnsiTheme="minorHAnsi" w:cstheme="minorBidi"/>
          <w:b w:val="0"/>
          <w:szCs w:val="22"/>
        </w:rPr>
      </w:pPr>
      <w:hyperlink w:anchor="_Toc497148289" w:history="1">
        <w:r w:rsidR="00B64017" w:rsidRPr="0032514B">
          <w:rPr>
            <w:rStyle w:val="Hyperlink"/>
          </w:rPr>
          <w:t>5</w:t>
        </w:r>
        <w:r w:rsidR="00B64017">
          <w:rPr>
            <w:rFonts w:asciiTheme="minorHAnsi" w:eastAsiaTheme="minorEastAsia" w:hAnsiTheme="minorHAnsi" w:cstheme="minorBidi"/>
            <w:b w:val="0"/>
            <w:szCs w:val="22"/>
          </w:rPr>
          <w:tab/>
        </w:r>
        <w:r w:rsidR="00B64017" w:rsidRPr="0032514B">
          <w:rPr>
            <w:rStyle w:val="Hyperlink"/>
          </w:rPr>
          <w:t>Aboriginal and Torres Strait Islander peoples</w:t>
        </w:r>
        <w:r w:rsidR="00B64017">
          <w:rPr>
            <w:webHidden/>
          </w:rPr>
          <w:tab/>
        </w:r>
        <w:r w:rsidR="00B64017">
          <w:rPr>
            <w:webHidden/>
          </w:rPr>
          <w:fldChar w:fldCharType="begin"/>
        </w:r>
        <w:r w:rsidR="00B64017">
          <w:rPr>
            <w:webHidden/>
          </w:rPr>
          <w:instrText xml:space="preserve"> PAGEREF _Toc497148289 \h </w:instrText>
        </w:r>
        <w:r w:rsidR="00B64017">
          <w:rPr>
            <w:webHidden/>
          </w:rPr>
        </w:r>
        <w:r w:rsidR="00B64017">
          <w:rPr>
            <w:webHidden/>
          </w:rPr>
          <w:fldChar w:fldCharType="separate"/>
        </w:r>
        <w:r>
          <w:rPr>
            <w:webHidden/>
          </w:rPr>
          <w:t>17</w:t>
        </w:r>
        <w:r w:rsidR="00B64017">
          <w:rPr>
            <w:webHidden/>
          </w:rPr>
          <w:fldChar w:fldCharType="end"/>
        </w:r>
      </w:hyperlink>
    </w:p>
    <w:p w14:paraId="44EE6D4E" w14:textId="38C5E3D6" w:rsidR="00B64017" w:rsidRDefault="003546A7">
      <w:pPr>
        <w:pStyle w:val="TOC2"/>
        <w:rPr>
          <w:rFonts w:asciiTheme="minorHAnsi" w:eastAsiaTheme="minorEastAsia" w:hAnsiTheme="minorHAnsi" w:cstheme="minorBidi"/>
          <w:b w:val="0"/>
          <w:i w:val="0"/>
          <w:sz w:val="22"/>
          <w:szCs w:val="22"/>
        </w:rPr>
      </w:pPr>
      <w:hyperlink w:anchor="_Toc497148290" w:history="1">
        <w:r w:rsidR="00B64017" w:rsidRPr="0032514B">
          <w:rPr>
            <w:rStyle w:val="Hyperlink"/>
            <w14:scene3d>
              <w14:camera w14:prst="orthographicFront"/>
              <w14:lightRig w14:rig="threePt" w14:dir="t">
                <w14:rot w14:lat="0" w14:lon="0" w14:rev="0"/>
              </w14:lightRig>
            </w14:scene3d>
          </w:rPr>
          <w:t>5.1</w:t>
        </w:r>
        <w:r w:rsidR="00B64017">
          <w:rPr>
            <w:rFonts w:asciiTheme="minorHAnsi" w:eastAsiaTheme="minorEastAsia" w:hAnsiTheme="minorHAnsi" w:cstheme="minorBidi"/>
            <w:b w:val="0"/>
            <w:i w:val="0"/>
            <w:sz w:val="22"/>
            <w:szCs w:val="22"/>
          </w:rPr>
          <w:tab/>
        </w:r>
        <w:r w:rsidR="00B64017" w:rsidRPr="0032514B">
          <w:rPr>
            <w:rStyle w:val="Hyperlink"/>
          </w:rPr>
          <w:t>Experiences of racial discrimination</w:t>
        </w:r>
        <w:r w:rsidR="00B64017">
          <w:rPr>
            <w:webHidden/>
          </w:rPr>
          <w:tab/>
        </w:r>
        <w:r w:rsidR="00B64017">
          <w:rPr>
            <w:webHidden/>
          </w:rPr>
          <w:fldChar w:fldCharType="begin"/>
        </w:r>
        <w:r w:rsidR="00B64017">
          <w:rPr>
            <w:webHidden/>
          </w:rPr>
          <w:instrText xml:space="preserve"> PAGEREF _Toc497148290 \h </w:instrText>
        </w:r>
        <w:r w:rsidR="00B64017">
          <w:rPr>
            <w:webHidden/>
          </w:rPr>
        </w:r>
        <w:r w:rsidR="00B64017">
          <w:rPr>
            <w:webHidden/>
          </w:rPr>
          <w:fldChar w:fldCharType="separate"/>
        </w:r>
        <w:r>
          <w:rPr>
            <w:webHidden/>
          </w:rPr>
          <w:t>17</w:t>
        </w:r>
        <w:r w:rsidR="00B64017">
          <w:rPr>
            <w:webHidden/>
          </w:rPr>
          <w:fldChar w:fldCharType="end"/>
        </w:r>
      </w:hyperlink>
    </w:p>
    <w:p w14:paraId="09E41671" w14:textId="2CB4922B" w:rsidR="00B64017" w:rsidRDefault="003546A7">
      <w:pPr>
        <w:pStyle w:val="TOC2"/>
        <w:rPr>
          <w:rFonts w:asciiTheme="minorHAnsi" w:eastAsiaTheme="minorEastAsia" w:hAnsiTheme="minorHAnsi" w:cstheme="minorBidi"/>
          <w:b w:val="0"/>
          <w:i w:val="0"/>
          <w:sz w:val="22"/>
          <w:szCs w:val="22"/>
        </w:rPr>
      </w:pPr>
      <w:hyperlink w:anchor="_Toc497148291" w:history="1">
        <w:r w:rsidR="00B64017" w:rsidRPr="0032514B">
          <w:rPr>
            <w:rStyle w:val="Hyperlink"/>
            <w14:scene3d>
              <w14:camera w14:prst="orthographicFront"/>
              <w14:lightRig w14:rig="threePt" w14:dir="t">
                <w14:rot w14:lat="0" w14:lon="0" w14:rev="0"/>
              </w14:lightRig>
            </w14:scene3d>
          </w:rPr>
          <w:t>5.2</w:t>
        </w:r>
        <w:r w:rsidR="00B64017">
          <w:rPr>
            <w:rFonts w:asciiTheme="minorHAnsi" w:eastAsiaTheme="minorEastAsia" w:hAnsiTheme="minorHAnsi" w:cstheme="minorBidi"/>
            <w:b w:val="0"/>
            <w:i w:val="0"/>
            <w:sz w:val="22"/>
            <w:szCs w:val="22"/>
          </w:rPr>
          <w:tab/>
        </w:r>
        <w:r w:rsidR="00B64017" w:rsidRPr="0032514B">
          <w:rPr>
            <w:rStyle w:val="Hyperlink"/>
          </w:rPr>
          <w:t>UN Declaration on Indigenous Peoples (CERD article 2; CO 15)</w:t>
        </w:r>
        <w:r w:rsidR="00B64017">
          <w:rPr>
            <w:webHidden/>
          </w:rPr>
          <w:tab/>
        </w:r>
        <w:r w:rsidR="00B64017">
          <w:rPr>
            <w:webHidden/>
          </w:rPr>
          <w:fldChar w:fldCharType="begin"/>
        </w:r>
        <w:r w:rsidR="00B64017">
          <w:rPr>
            <w:webHidden/>
          </w:rPr>
          <w:instrText xml:space="preserve"> PAGEREF _Toc497148291 \h </w:instrText>
        </w:r>
        <w:r w:rsidR="00B64017">
          <w:rPr>
            <w:webHidden/>
          </w:rPr>
        </w:r>
        <w:r w:rsidR="00B64017">
          <w:rPr>
            <w:webHidden/>
          </w:rPr>
          <w:fldChar w:fldCharType="separate"/>
        </w:r>
        <w:r>
          <w:rPr>
            <w:webHidden/>
          </w:rPr>
          <w:t>17</w:t>
        </w:r>
        <w:r w:rsidR="00B64017">
          <w:rPr>
            <w:webHidden/>
          </w:rPr>
          <w:fldChar w:fldCharType="end"/>
        </w:r>
      </w:hyperlink>
    </w:p>
    <w:p w14:paraId="0E3D9D02" w14:textId="217813B8" w:rsidR="00B64017" w:rsidRDefault="003546A7">
      <w:pPr>
        <w:pStyle w:val="TOC2"/>
        <w:rPr>
          <w:rFonts w:asciiTheme="minorHAnsi" w:eastAsiaTheme="minorEastAsia" w:hAnsiTheme="minorHAnsi" w:cstheme="minorBidi"/>
          <w:b w:val="0"/>
          <w:i w:val="0"/>
          <w:sz w:val="22"/>
          <w:szCs w:val="22"/>
        </w:rPr>
      </w:pPr>
      <w:hyperlink w:anchor="_Toc497148292" w:history="1">
        <w:r w:rsidR="00B64017" w:rsidRPr="0032514B">
          <w:rPr>
            <w:rStyle w:val="Hyperlink"/>
            <w14:scene3d>
              <w14:camera w14:prst="orthographicFront"/>
              <w14:lightRig w14:rig="threePt" w14:dir="t">
                <w14:rot w14:lat="0" w14:lon="0" w14:rev="0"/>
              </w14:lightRig>
            </w14:scene3d>
          </w:rPr>
          <w:t>5.3</w:t>
        </w:r>
        <w:r w:rsidR="00B64017">
          <w:rPr>
            <w:rFonts w:asciiTheme="minorHAnsi" w:eastAsiaTheme="minorEastAsia" w:hAnsiTheme="minorHAnsi" w:cstheme="minorBidi"/>
            <w:b w:val="0"/>
            <w:i w:val="0"/>
            <w:sz w:val="22"/>
            <w:szCs w:val="22"/>
          </w:rPr>
          <w:tab/>
        </w:r>
        <w:r w:rsidR="00B64017" w:rsidRPr="0032514B">
          <w:rPr>
            <w:rStyle w:val="Hyperlink"/>
          </w:rPr>
          <w:t>Constitutional recognition (CERD article 1, 2, 5, 6; CO 15)</w:t>
        </w:r>
        <w:r w:rsidR="00B64017">
          <w:rPr>
            <w:webHidden/>
          </w:rPr>
          <w:tab/>
        </w:r>
        <w:r w:rsidR="00B64017">
          <w:rPr>
            <w:webHidden/>
          </w:rPr>
          <w:fldChar w:fldCharType="begin"/>
        </w:r>
        <w:r w:rsidR="00B64017">
          <w:rPr>
            <w:webHidden/>
          </w:rPr>
          <w:instrText xml:space="preserve"> PAGEREF _Toc497148292 \h </w:instrText>
        </w:r>
        <w:r w:rsidR="00B64017">
          <w:rPr>
            <w:webHidden/>
          </w:rPr>
        </w:r>
        <w:r w:rsidR="00B64017">
          <w:rPr>
            <w:webHidden/>
          </w:rPr>
          <w:fldChar w:fldCharType="separate"/>
        </w:r>
        <w:r>
          <w:rPr>
            <w:webHidden/>
          </w:rPr>
          <w:t>18</w:t>
        </w:r>
        <w:r w:rsidR="00B64017">
          <w:rPr>
            <w:webHidden/>
          </w:rPr>
          <w:fldChar w:fldCharType="end"/>
        </w:r>
      </w:hyperlink>
    </w:p>
    <w:p w14:paraId="6CBD12CA" w14:textId="1143883C" w:rsidR="00B64017" w:rsidRDefault="003546A7">
      <w:pPr>
        <w:pStyle w:val="TOC2"/>
        <w:rPr>
          <w:rFonts w:asciiTheme="minorHAnsi" w:eastAsiaTheme="minorEastAsia" w:hAnsiTheme="minorHAnsi" w:cstheme="minorBidi"/>
          <w:b w:val="0"/>
          <w:i w:val="0"/>
          <w:sz w:val="22"/>
          <w:szCs w:val="22"/>
        </w:rPr>
      </w:pPr>
      <w:hyperlink w:anchor="_Toc497148293" w:history="1">
        <w:r w:rsidR="00B64017" w:rsidRPr="0032514B">
          <w:rPr>
            <w:rStyle w:val="Hyperlink"/>
            <w14:scene3d>
              <w14:camera w14:prst="orthographicFront"/>
              <w14:lightRig w14:rig="threePt" w14:dir="t">
                <w14:rot w14:lat="0" w14:lon="0" w14:rev="0"/>
              </w14:lightRig>
            </w14:scene3d>
          </w:rPr>
          <w:t>5.4</w:t>
        </w:r>
        <w:r w:rsidR="00B64017">
          <w:rPr>
            <w:rFonts w:asciiTheme="minorHAnsi" w:eastAsiaTheme="minorEastAsia" w:hAnsiTheme="minorHAnsi" w:cstheme="minorBidi"/>
            <w:b w:val="0"/>
            <w:i w:val="0"/>
            <w:sz w:val="22"/>
            <w:szCs w:val="22"/>
          </w:rPr>
          <w:tab/>
        </w:r>
        <w:r w:rsidR="00B64017" w:rsidRPr="0032514B">
          <w:rPr>
            <w:rStyle w:val="Hyperlink"/>
          </w:rPr>
          <w:t>Incarceration of Aboriginal and Torres Strait Islander people (CERD article 5; Declaration articles 7 &amp; 22; CO 19 &amp; 20)</w:t>
        </w:r>
        <w:r w:rsidR="00B64017">
          <w:rPr>
            <w:webHidden/>
          </w:rPr>
          <w:tab/>
        </w:r>
        <w:r w:rsidR="00B64017">
          <w:rPr>
            <w:webHidden/>
          </w:rPr>
          <w:fldChar w:fldCharType="begin"/>
        </w:r>
        <w:r w:rsidR="00B64017">
          <w:rPr>
            <w:webHidden/>
          </w:rPr>
          <w:instrText xml:space="preserve"> PAGEREF _Toc497148293 \h </w:instrText>
        </w:r>
        <w:r w:rsidR="00B64017">
          <w:rPr>
            <w:webHidden/>
          </w:rPr>
        </w:r>
        <w:r w:rsidR="00B64017">
          <w:rPr>
            <w:webHidden/>
          </w:rPr>
          <w:fldChar w:fldCharType="separate"/>
        </w:r>
        <w:r>
          <w:rPr>
            <w:webHidden/>
          </w:rPr>
          <w:t>19</w:t>
        </w:r>
        <w:r w:rsidR="00B64017">
          <w:rPr>
            <w:webHidden/>
          </w:rPr>
          <w:fldChar w:fldCharType="end"/>
        </w:r>
      </w:hyperlink>
    </w:p>
    <w:p w14:paraId="2C86D103" w14:textId="0D1C538D" w:rsidR="00B64017" w:rsidRDefault="003546A7">
      <w:pPr>
        <w:pStyle w:val="TOC3"/>
        <w:rPr>
          <w:rFonts w:asciiTheme="minorHAnsi" w:eastAsiaTheme="minorEastAsia" w:hAnsiTheme="minorHAnsi" w:cstheme="minorBidi"/>
          <w:i w:val="0"/>
          <w:sz w:val="22"/>
          <w:szCs w:val="22"/>
        </w:rPr>
      </w:pPr>
      <w:hyperlink w:anchor="_Toc497148294" w:history="1">
        <w:r w:rsidR="00B64017" w:rsidRPr="0032514B">
          <w:rPr>
            <w:rStyle w:val="Hyperlink"/>
          </w:rPr>
          <w:t>(a)</w:t>
        </w:r>
        <w:r w:rsidR="00B64017">
          <w:rPr>
            <w:rFonts w:asciiTheme="minorHAnsi" w:eastAsiaTheme="minorEastAsia" w:hAnsiTheme="minorHAnsi" w:cstheme="minorBidi"/>
            <w:i w:val="0"/>
            <w:sz w:val="22"/>
            <w:szCs w:val="22"/>
          </w:rPr>
          <w:tab/>
        </w:r>
        <w:r w:rsidR="00B64017" w:rsidRPr="0032514B">
          <w:rPr>
            <w:rStyle w:val="Hyperlink"/>
          </w:rPr>
          <w:t>Disproportionate rates of incarceration</w:t>
        </w:r>
        <w:r w:rsidR="00B64017">
          <w:rPr>
            <w:webHidden/>
          </w:rPr>
          <w:tab/>
        </w:r>
        <w:r w:rsidR="00B64017">
          <w:rPr>
            <w:webHidden/>
          </w:rPr>
          <w:fldChar w:fldCharType="begin"/>
        </w:r>
        <w:r w:rsidR="00B64017">
          <w:rPr>
            <w:webHidden/>
          </w:rPr>
          <w:instrText xml:space="preserve"> PAGEREF _Toc497148294 \h </w:instrText>
        </w:r>
        <w:r w:rsidR="00B64017">
          <w:rPr>
            <w:webHidden/>
          </w:rPr>
        </w:r>
        <w:r w:rsidR="00B64017">
          <w:rPr>
            <w:webHidden/>
          </w:rPr>
          <w:fldChar w:fldCharType="separate"/>
        </w:r>
        <w:r>
          <w:rPr>
            <w:webHidden/>
          </w:rPr>
          <w:t>19</w:t>
        </w:r>
        <w:r w:rsidR="00B64017">
          <w:rPr>
            <w:webHidden/>
          </w:rPr>
          <w:fldChar w:fldCharType="end"/>
        </w:r>
      </w:hyperlink>
    </w:p>
    <w:p w14:paraId="4B0D1CDB" w14:textId="1ECC83EC" w:rsidR="00B64017" w:rsidRDefault="003546A7">
      <w:pPr>
        <w:pStyle w:val="TOC3"/>
        <w:rPr>
          <w:rFonts w:asciiTheme="minorHAnsi" w:eastAsiaTheme="minorEastAsia" w:hAnsiTheme="minorHAnsi" w:cstheme="minorBidi"/>
          <w:i w:val="0"/>
          <w:sz w:val="22"/>
          <w:szCs w:val="22"/>
        </w:rPr>
      </w:pPr>
      <w:hyperlink w:anchor="_Toc497148295" w:history="1">
        <w:r w:rsidR="00B64017" w:rsidRPr="0032514B">
          <w:rPr>
            <w:rStyle w:val="Hyperlink"/>
          </w:rPr>
          <w:t>(b)</w:t>
        </w:r>
        <w:r w:rsidR="00B64017">
          <w:rPr>
            <w:rFonts w:asciiTheme="minorHAnsi" w:eastAsiaTheme="minorEastAsia" w:hAnsiTheme="minorHAnsi" w:cstheme="minorBidi"/>
            <w:i w:val="0"/>
            <w:sz w:val="22"/>
            <w:szCs w:val="22"/>
          </w:rPr>
          <w:tab/>
        </w:r>
        <w:r w:rsidR="00B64017" w:rsidRPr="0032514B">
          <w:rPr>
            <w:rStyle w:val="Hyperlink"/>
          </w:rPr>
          <w:t>Northern Territory Royal Commission</w:t>
        </w:r>
        <w:r w:rsidR="00B64017">
          <w:rPr>
            <w:webHidden/>
          </w:rPr>
          <w:tab/>
        </w:r>
        <w:r w:rsidR="00B64017">
          <w:rPr>
            <w:webHidden/>
          </w:rPr>
          <w:fldChar w:fldCharType="begin"/>
        </w:r>
        <w:r w:rsidR="00B64017">
          <w:rPr>
            <w:webHidden/>
          </w:rPr>
          <w:instrText xml:space="preserve"> PAGEREF _Toc497148295 \h </w:instrText>
        </w:r>
        <w:r w:rsidR="00B64017">
          <w:rPr>
            <w:webHidden/>
          </w:rPr>
        </w:r>
        <w:r w:rsidR="00B64017">
          <w:rPr>
            <w:webHidden/>
          </w:rPr>
          <w:fldChar w:fldCharType="separate"/>
        </w:r>
        <w:r>
          <w:rPr>
            <w:webHidden/>
          </w:rPr>
          <w:t>20</w:t>
        </w:r>
        <w:r w:rsidR="00B64017">
          <w:rPr>
            <w:webHidden/>
          </w:rPr>
          <w:fldChar w:fldCharType="end"/>
        </w:r>
      </w:hyperlink>
    </w:p>
    <w:p w14:paraId="5118E34F" w14:textId="0B6E36D6" w:rsidR="00B64017" w:rsidRDefault="003546A7">
      <w:pPr>
        <w:pStyle w:val="TOC3"/>
        <w:rPr>
          <w:rFonts w:asciiTheme="minorHAnsi" w:eastAsiaTheme="minorEastAsia" w:hAnsiTheme="minorHAnsi" w:cstheme="minorBidi"/>
          <w:i w:val="0"/>
          <w:sz w:val="22"/>
          <w:szCs w:val="22"/>
        </w:rPr>
      </w:pPr>
      <w:hyperlink w:anchor="_Toc497148296" w:history="1">
        <w:r w:rsidR="00B64017" w:rsidRPr="0032514B">
          <w:rPr>
            <w:rStyle w:val="Hyperlink"/>
          </w:rPr>
          <w:t>(c)</w:t>
        </w:r>
        <w:r w:rsidR="00B64017">
          <w:rPr>
            <w:rFonts w:asciiTheme="minorHAnsi" w:eastAsiaTheme="minorEastAsia" w:hAnsiTheme="minorHAnsi" w:cstheme="minorBidi"/>
            <w:i w:val="0"/>
            <w:sz w:val="22"/>
            <w:szCs w:val="22"/>
          </w:rPr>
          <w:tab/>
        </w:r>
        <w:r w:rsidR="00B64017" w:rsidRPr="0032514B">
          <w:rPr>
            <w:rStyle w:val="Hyperlink"/>
          </w:rPr>
          <w:t>Deaths in police custody</w:t>
        </w:r>
        <w:r w:rsidR="00B64017">
          <w:rPr>
            <w:webHidden/>
          </w:rPr>
          <w:tab/>
        </w:r>
        <w:r w:rsidR="00B64017">
          <w:rPr>
            <w:webHidden/>
          </w:rPr>
          <w:fldChar w:fldCharType="begin"/>
        </w:r>
        <w:r w:rsidR="00B64017">
          <w:rPr>
            <w:webHidden/>
          </w:rPr>
          <w:instrText xml:space="preserve"> PAGEREF _Toc497148296 \h </w:instrText>
        </w:r>
        <w:r w:rsidR="00B64017">
          <w:rPr>
            <w:webHidden/>
          </w:rPr>
        </w:r>
        <w:r w:rsidR="00B64017">
          <w:rPr>
            <w:webHidden/>
          </w:rPr>
          <w:fldChar w:fldCharType="separate"/>
        </w:r>
        <w:r>
          <w:rPr>
            <w:webHidden/>
          </w:rPr>
          <w:t>21</w:t>
        </w:r>
        <w:r w:rsidR="00B64017">
          <w:rPr>
            <w:webHidden/>
          </w:rPr>
          <w:fldChar w:fldCharType="end"/>
        </w:r>
      </w:hyperlink>
    </w:p>
    <w:p w14:paraId="42D5412A" w14:textId="437B504E" w:rsidR="00B64017" w:rsidRDefault="003546A7">
      <w:pPr>
        <w:pStyle w:val="TOC2"/>
        <w:rPr>
          <w:rFonts w:asciiTheme="minorHAnsi" w:eastAsiaTheme="minorEastAsia" w:hAnsiTheme="minorHAnsi" w:cstheme="minorBidi"/>
          <w:b w:val="0"/>
          <w:i w:val="0"/>
          <w:sz w:val="22"/>
          <w:szCs w:val="22"/>
        </w:rPr>
      </w:pPr>
      <w:hyperlink w:anchor="_Toc497148297" w:history="1">
        <w:r w:rsidR="00B64017" w:rsidRPr="0032514B">
          <w:rPr>
            <w:rStyle w:val="Hyperlink"/>
            <w14:scene3d>
              <w14:camera w14:prst="orthographicFront"/>
              <w14:lightRig w14:rig="threePt" w14:dir="t">
                <w14:rot w14:lat="0" w14:lon="0" w14:rev="0"/>
              </w14:lightRig>
            </w14:scene3d>
          </w:rPr>
          <w:t>5.5</w:t>
        </w:r>
        <w:r w:rsidR="00B64017">
          <w:rPr>
            <w:rFonts w:asciiTheme="minorHAnsi" w:eastAsiaTheme="minorEastAsia" w:hAnsiTheme="minorHAnsi" w:cstheme="minorBidi"/>
            <w:b w:val="0"/>
            <w:i w:val="0"/>
            <w:sz w:val="22"/>
            <w:szCs w:val="22"/>
          </w:rPr>
          <w:tab/>
        </w:r>
        <w:r w:rsidR="00B64017" w:rsidRPr="0032514B">
          <w:rPr>
            <w:rStyle w:val="Hyperlink"/>
          </w:rPr>
          <w:t>Family/domestic violence (CERD article 5 &amp; Declaration article 22)</w:t>
        </w:r>
        <w:r w:rsidR="00B64017">
          <w:rPr>
            <w:webHidden/>
          </w:rPr>
          <w:tab/>
        </w:r>
        <w:r w:rsidR="00B64017">
          <w:rPr>
            <w:webHidden/>
          </w:rPr>
          <w:fldChar w:fldCharType="begin"/>
        </w:r>
        <w:r w:rsidR="00B64017">
          <w:rPr>
            <w:webHidden/>
          </w:rPr>
          <w:instrText xml:space="preserve"> PAGEREF _Toc497148297 \h </w:instrText>
        </w:r>
        <w:r w:rsidR="00B64017">
          <w:rPr>
            <w:webHidden/>
          </w:rPr>
        </w:r>
        <w:r w:rsidR="00B64017">
          <w:rPr>
            <w:webHidden/>
          </w:rPr>
          <w:fldChar w:fldCharType="separate"/>
        </w:r>
        <w:r>
          <w:rPr>
            <w:webHidden/>
          </w:rPr>
          <w:t>21</w:t>
        </w:r>
        <w:r w:rsidR="00B64017">
          <w:rPr>
            <w:webHidden/>
          </w:rPr>
          <w:fldChar w:fldCharType="end"/>
        </w:r>
      </w:hyperlink>
    </w:p>
    <w:p w14:paraId="0A31BE94" w14:textId="4E2A78B5" w:rsidR="00B64017" w:rsidRDefault="003546A7">
      <w:pPr>
        <w:pStyle w:val="TOC2"/>
        <w:rPr>
          <w:rFonts w:asciiTheme="minorHAnsi" w:eastAsiaTheme="minorEastAsia" w:hAnsiTheme="minorHAnsi" w:cstheme="minorBidi"/>
          <w:b w:val="0"/>
          <w:i w:val="0"/>
          <w:sz w:val="22"/>
          <w:szCs w:val="22"/>
        </w:rPr>
      </w:pPr>
      <w:hyperlink w:anchor="_Toc497148298" w:history="1">
        <w:r w:rsidR="00B64017" w:rsidRPr="0032514B">
          <w:rPr>
            <w:rStyle w:val="Hyperlink"/>
            <w:lang w:eastAsia="en-GB"/>
            <w14:scene3d>
              <w14:camera w14:prst="orthographicFront"/>
              <w14:lightRig w14:rig="threePt" w14:dir="t">
                <w14:rot w14:lat="0" w14:lon="0" w14:rev="0"/>
              </w14:lightRig>
            </w14:scene3d>
          </w:rPr>
          <w:t>5.6</w:t>
        </w:r>
        <w:r w:rsidR="00B64017">
          <w:rPr>
            <w:rFonts w:asciiTheme="minorHAnsi" w:eastAsiaTheme="minorEastAsia" w:hAnsiTheme="minorHAnsi" w:cstheme="minorBidi"/>
            <w:b w:val="0"/>
            <w:i w:val="0"/>
            <w:sz w:val="22"/>
            <w:szCs w:val="22"/>
          </w:rPr>
          <w:tab/>
        </w:r>
        <w:r w:rsidR="00B64017" w:rsidRPr="0032514B">
          <w:rPr>
            <w:rStyle w:val="Hyperlink"/>
          </w:rPr>
          <w:t>Support to human rights defenders and related bodies (CERD article 2; CO 15 &amp; 19)</w:t>
        </w:r>
        <w:r w:rsidR="00B64017">
          <w:rPr>
            <w:webHidden/>
          </w:rPr>
          <w:tab/>
        </w:r>
        <w:r w:rsidR="00B64017">
          <w:rPr>
            <w:webHidden/>
          </w:rPr>
          <w:fldChar w:fldCharType="begin"/>
        </w:r>
        <w:r w:rsidR="00B64017">
          <w:rPr>
            <w:webHidden/>
          </w:rPr>
          <w:instrText xml:space="preserve"> PAGEREF _Toc497148298 \h </w:instrText>
        </w:r>
        <w:r w:rsidR="00B64017">
          <w:rPr>
            <w:webHidden/>
          </w:rPr>
        </w:r>
        <w:r w:rsidR="00B64017">
          <w:rPr>
            <w:webHidden/>
          </w:rPr>
          <w:fldChar w:fldCharType="separate"/>
        </w:r>
        <w:r>
          <w:rPr>
            <w:webHidden/>
          </w:rPr>
          <w:t>22</w:t>
        </w:r>
        <w:r w:rsidR="00B64017">
          <w:rPr>
            <w:webHidden/>
          </w:rPr>
          <w:fldChar w:fldCharType="end"/>
        </w:r>
      </w:hyperlink>
    </w:p>
    <w:p w14:paraId="3168F0D5" w14:textId="2B0AB4D2" w:rsidR="00B64017" w:rsidRDefault="003546A7">
      <w:pPr>
        <w:pStyle w:val="TOC2"/>
        <w:rPr>
          <w:rFonts w:asciiTheme="minorHAnsi" w:eastAsiaTheme="minorEastAsia" w:hAnsiTheme="minorHAnsi" w:cstheme="minorBidi"/>
          <w:b w:val="0"/>
          <w:i w:val="0"/>
          <w:sz w:val="22"/>
          <w:szCs w:val="22"/>
        </w:rPr>
      </w:pPr>
      <w:hyperlink w:anchor="_Toc497148299" w:history="1">
        <w:r w:rsidR="00B64017" w:rsidRPr="0032514B">
          <w:rPr>
            <w:rStyle w:val="Hyperlink"/>
            <w14:scene3d>
              <w14:camera w14:prst="orthographicFront"/>
              <w14:lightRig w14:rig="threePt" w14:dir="t">
                <w14:rot w14:lat="0" w14:lon="0" w14:rev="0"/>
              </w14:lightRig>
            </w14:scene3d>
          </w:rPr>
          <w:t>5.7</w:t>
        </w:r>
        <w:r w:rsidR="00B64017">
          <w:rPr>
            <w:rFonts w:asciiTheme="minorHAnsi" w:eastAsiaTheme="minorEastAsia" w:hAnsiTheme="minorHAnsi" w:cstheme="minorBidi"/>
            <w:b w:val="0"/>
            <w:i w:val="0"/>
            <w:sz w:val="22"/>
            <w:szCs w:val="22"/>
          </w:rPr>
          <w:tab/>
        </w:r>
        <w:r w:rsidR="00B64017" w:rsidRPr="0032514B">
          <w:rPr>
            <w:rStyle w:val="Hyperlink"/>
          </w:rPr>
          <w:t>Cultural rights (native title) (CERD articles 2, 5; Declaration articles 3, 10, 11, 20, 25, 26, 27, 28, 29, 32; CO 16 &amp; 18)</w:t>
        </w:r>
        <w:r w:rsidR="00B64017">
          <w:rPr>
            <w:webHidden/>
          </w:rPr>
          <w:tab/>
        </w:r>
        <w:r w:rsidR="00B64017">
          <w:rPr>
            <w:webHidden/>
          </w:rPr>
          <w:fldChar w:fldCharType="begin"/>
        </w:r>
        <w:r w:rsidR="00B64017">
          <w:rPr>
            <w:webHidden/>
          </w:rPr>
          <w:instrText xml:space="preserve"> PAGEREF _Toc497148299 \h </w:instrText>
        </w:r>
        <w:r w:rsidR="00B64017">
          <w:rPr>
            <w:webHidden/>
          </w:rPr>
        </w:r>
        <w:r w:rsidR="00B64017">
          <w:rPr>
            <w:webHidden/>
          </w:rPr>
          <w:fldChar w:fldCharType="separate"/>
        </w:r>
        <w:r>
          <w:rPr>
            <w:webHidden/>
          </w:rPr>
          <w:t>23</w:t>
        </w:r>
        <w:r w:rsidR="00B64017">
          <w:rPr>
            <w:webHidden/>
          </w:rPr>
          <w:fldChar w:fldCharType="end"/>
        </w:r>
      </w:hyperlink>
    </w:p>
    <w:p w14:paraId="21EBF6A5" w14:textId="0B892E56" w:rsidR="00B64017" w:rsidRDefault="003546A7">
      <w:pPr>
        <w:pStyle w:val="TOC2"/>
        <w:rPr>
          <w:rFonts w:asciiTheme="minorHAnsi" w:eastAsiaTheme="minorEastAsia" w:hAnsiTheme="minorHAnsi" w:cstheme="minorBidi"/>
          <w:b w:val="0"/>
          <w:i w:val="0"/>
          <w:sz w:val="22"/>
          <w:szCs w:val="22"/>
        </w:rPr>
      </w:pPr>
      <w:hyperlink w:anchor="_Toc497148300" w:history="1">
        <w:r w:rsidR="00B64017" w:rsidRPr="0032514B">
          <w:rPr>
            <w:rStyle w:val="Hyperlink"/>
            <w14:scene3d>
              <w14:camera w14:prst="orthographicFront"/>
              <w14:lightRig w14:rig="threePt" w14:dir="t">
                <w14:rot w14:lat="0" w14:lon="0" w14:rev="0"/>
              </w14:lightRig>
            </w14:scene3d>
          </w:rPr>
          <w:t>5.8</w:t>
        </w:r>
        <w:r w:rsidR="00B64017">
          <w:rPr>
            <w:rFonts w:asciiTheme="minorHAnsi" w:eastAsiaTheme="minorEastAsia" w:hAnsiTheme="minorHAnsi" w:cstheme="minorBidi"/>
            <w:b w:val="0"/>
            <w:i w:val="0"/>
            <w:sz w:val="22"/>
            <w:szCs w:val="22"/>
          </w:rPr>
          <w:tab/>
        </w:r>
        <w:r w:rsidR="00B64017" w:rsidRPr="0032514B">
          <w:rPr>
            <w:rStyle w:val="Hyperlink"/>
          </w:rPr>
          <w:t>Closing the Gap Strategy (CERD article 5; Declaration articles 3, 4, 13, 14, 19, 21, 23 &amp; 24; CO 21 &amp; 22)</w:t>
        </w:r>
        <w:r w:rsidR="00B64017">
          <w:rPr>
            <w:webHidden/>
          </w:rPr>
          <w:tab/>
        </w:r>
        <w:r w:rsidR="00B64017">
          <w:rPr>
            <w:webHidden/>
          </w:rPr>
          <w:fldChar w:fldCharType="begin"/>
        </w:r>
        <w:r w:rsidR="00B64017">
          <w:rPr>
            <w:webHidden/>
          </w:rPr>
          <w:instrText xml:space="preserve"> PAGEREF _Toc497148300 \h </w:instrText>
        </w:r>
        <w:r w:rsidR="00B64017">
          <w:rPr>
            <w:webHidden/>
          </w:rPr>
        </w:r>
        <w:r w:rsidR="00B64017">
          <w:rPr>
            <w:webHidden/>
          </w:rPr>
          <w:fldChar w:fldCharType="separate"/>
        </w:r>
        <w:r>
          <w:rPr>
            <w:webHidden/>
          </w:rPr>
          <w:t>23</w:t>
        </w:r>
        <w:r w:rsidR="00B64017">
          <w:rPr>
            <w:webHidden/>
          </w:rPr>
          <w:fldChar w:fldCharType="end"/>
        </w:r>
      </w:hyperlink>
    </w:p>
    <w:p w14:paraId="7461D48E" w14:textId="6A59DE5F" w:rsidR="00B64017" w:rsidRDefault="003546A7">
      <w:pPr>
        <w:pStyle w:val="TOC2"/>
        <w:rPr>
          <w:rFonts w:asciiTheme="minorHAnsi" w:eastAsiaTheme="minorEastAsia" w:hAnsiTheme="minorHAnsi" w:cstheme="minorBidi"/>
          <w:b w:val="0"/>
          <w:i w:val="0"/>
          <w:sz w:val="22"/>
          <w:szCs w:val="22"/>
        </w:rPr>
      </w:pPr>
      <w:hyperlink w:anchor="_Toc497148301" w:history="1">
        <w:r w:rsidR="00B64017" w:rsidRPr="0032514B">
          <w:rPr>
            <w:rStyle w:val="Hyperlink"/>
            <w14:scene3d>
              <w14:camera w14:prst="orthographicFront"/>
              <w14:lightRig w14:rig="threePt" w14:dir="t">
                <w14:rot w14:lat="0" w14:lon="0" w14:rev="0"/>
              </w14:lightRig>
            </w14:scene3d>
          </w:rPr>
          <w:t>5.9</w:t>
        </w:r>
        <w:r w:rsidR="00B64017">
          <w:rPr>
            <w:rFonts w:asciiTheme="minorHAnsi" w:eastAsiaTheme="minorEastAsia" w:hAnsiTheme="minorHAnsi" w:cstheme="minorBidi"/>
            <w:b w:val="0"/>
            <w:i w:val="0"/>
            <w:sz w:val="22"/>
            <w:szCs w:val="22"/>
          </w:rPr>
          <w:tab/>
        </w:r>
        <w:r w:rsidR="00B64017" w:rsidRPr="0032514B">
          <w:rPr>
            <w:rStyle w:val="Hyperlink"/>
          </w:rPr>
          <w:t>Compulsory income management schemes (CERD article 5; Declaration article 8; CO 16)</w:t>
        </w:r>
        <w:r w:rsidR="00B64017">
          <w:rPr>
            <w:webHidden/>
          </w:rPr>
          <w:tab/>
        </w:r>
        <w:r w:rsidR="00B64017">
          <w:rPr>
            <w:webHidden/>
          </w:rPr>
          <w:fldChar w:fldCharType="begin"/>
        </w:r>
        <w:r w:rsidR="00B64017">
          <w:rPr>
            <w:webHidden/>
          </w:rPr>
          <w:instrText xml:space="preserve"> PAGEREF _Toc497148301 \h </w:instrText>
        </w:r>
        <w:r w:rsidR="00B64017">
          <w:rPr>
            <w:webHidden/>
          </w:rPr>
        </w:r>
        <w:r w:rsidR="00B64017">
          <w:rPr>
            <w:webHidden/>
          </w:rPr>
          <w:fldChar w:fldCharType="separate"/>
        </w:r>
        <w:r>
          <w:rPr>
            <w:webHidden/>
          </w:rPr>
          <w:t>24</w:t>
        </w:r>
        <w:r w:rsidR="00B64017">
          <w:rPr>
            <w:webHidden/>
          </w:rPr>
          <w:fldChar w:fldCharType="end"/>
        </w:r>
      </w:hyperlink>
    </w:p>
    <w:p w14:paraId="682449C3" w14:textId="784830B9" w:rsidR="00B64017" w:rsidRDefault="003546A7">
      <w:pPr>
        <w:pStyle w:val="TOC1"/>
        <w:rPr>
          <w:rFonts w:asciiTheme="minorHAnsi" w:eastAsiaTheme="minorEastAsia" w:hAnsiTheme="minorHAnsi" w:cstheme="minorBidi"/>
          <w:b w:val="0"/>
          <w:szCs w:val="22"/>
        </w:rPr>
      </w:pPr>
      <w:hyperlink w:anchor="_Toc497148302" w:history="1">
        <w:r w:rsidR="00B64017" w:rsidRPr="0032514B">
          <w:rPr>
            <w:rStyle w:val="Hyperlink"/>
          </w:rPr>
          <w:t>6</w:t>
        </w:r>
        <w:r w:rsidR="00B64017">
          <w:rPr>
            <w:rFonts w:asciiTheme="minorHAnsi" w:eastAsiaTheme="minorEastAsia" w:hAnsiTheme="minorHAnsi" w:cstheme="minorBidi"/>
            <w:b w:val="0"/>
            <w:szCs w:val="22"/>
          </w:rPr>
          <w:tab/>
        </w:r>
        <w:r w:rsidR="00B64017" w:rsidRPr="0032514B">
          <w:rPr>
            <w:rStyle w:val="Hyperlink"/>
          </w:rPr>
          <w:t>Migrants, ethnic minorities and culturally and linguistically diverse (CALD) peoples</w:t>
        </w:r>
        <w:r w:rsidR="00B64017">
          <w:rPr>
            <w:webHidden/>
          </w:rPr>
          <w:tab/>
        </w:r>
        <w:r w:rsidR="00B64017">
          <w:rPr>
            <w:webHidden/>
          </w:rPr>
          <w:fldChar w:fldCharType="begin"/>
        </w:r>
        <w:r w:rsidR="00B64017">
          <w:rPr>
            <w:webHidden/>
          </w:rPr>
          <w:instrText xml:space="preserve"> PAGEREF _Toc497148302 \h </w:instrText>
        </w:r>
        <w:r w:rsidR="00B64017">
          <w:rPr>
            <w:webHidden/>
          </w:rPr>
        </w:r>
        <w:r w:rsidR="00B64017">
          <w:rPr>
            <w:webHidden/>
          </w:rPr>
          <w:fldChar w:fldCharType="separate"/>
        </w:r>
        <w:r>
          <w:rPr>
            <w:webHidden/>
          </w:rPr>
          <w:t>25</w:t>
        </w:r>
        <w:r w:rsidR="00B64017">
          <w:rPr>
            <w:webHidden/>
          </w:rPr>
          <w:fldChar w:fldCharType="end"/>
        </w:r>
      </w:hyperlink>
    </w:p>
    <w:p w14:paraId="532EB98C" w14:textId="0D061ABA" w:rsidR="00B64017" w:rsidRDefault="003546A7">
      <w:pPr>
        <w:pStyle w:val="TOC2"/>
        <w:rPr>
          <w:rFonts w:asciiTheme="minorHAnsi" w:eastAsiaTheme="minorEastAsia" w:hAnsiTheme="minorHAnsi" w:cstheme="minorBidi"/>
          <w:b w:val="0"/>
          <w:i w:val="0"/>
          <w:sz w:val="22"/>
          <w:szCs w:val="22"/>
        </w:rPr>
      </w:pPr>
      <w:hyperlink w:anchor="_Toc497148303" w:history="1">
        <w:r w:rsidR="00B64017" w:rsidRPr="0032514B">
          <w:rPr>
            <w:rStyle w:val="Hyperlink"/>
            <w14:scene3d>
              <w14:camera w14:prst="orthographicFront"/>
              <w14:lightRig w14:rig="threePt" w14:dir="t">
                <w14:rot w14:lat="0" w14:lon="0" w14:rev="0"/>
              </w14:lightRig>
            </w14:scene3d>
          </w:rPr>
          <w:t>6.1</w:t>
        </w:r>
        <w:r w:rsidR="00B64017">
          <w:rPr>
            <w:rFonts w:asciiTheme="minorHAnsi" w:eastAsiaTheme="minorEastAsia" w:hAnsiTheme="minorHAnsi" w:cstheme="minorBidi"/>
            <w:b w:val="0"/>
            <w:i w:val="0"/>
            <w:sz w:val="22"/>
            <w:szCs w:val="22"/>
          </w:rPr>
          <w:tab/>
        </w:r>
        <w:r w:rsidR="00B64017" w:rsidRPr="0032514B">
          <w:rPr>
            <w:rStyle w:val="Hyperlink"/>
          </w:rPr>
          <w:t>General</w:t>
        </w:r>
        <w:r w:rsidR="00B64017">
          <w:rPr>
            <w:webHidden/>
          </w:rPr>
          <w:tab/>
        </w:r>
        <w:r w:rsidR="00B64017">
          <w:rPr>
            <w:webHidden/>
          </w:rPr>
          <w:fldChar w:fldCharType="begin"/>
        </w:r>
        <w:r w:rsidR="00B64017">
          <w:rPr>
            <w:webHidden/>
          </w:rPr>
          <w:instrText xml:space="preserve"> PAGEREF _Toc497148303 \h </w:instrText>
        </w:r>
        <w:r w:rsidR="00B64017">
          <w:rPr>
            <w:webHidden/>
          </w:rPr>
        </w:r>
        <w:r w:rsidR="00B64017">
          <w:rPr>
            <w:webHidden/>
          </w:rPr>
          <w:fldChar w:fldCharType="separate"/>
        </w:r>
        <w:r>
          <w:rPr>
            <w:webHidden/>
          </w:rPr>
          <w:t>25</w:t>
        </w:r>
        <w:r w:rsidR="00B64017">
          <w:rPr>
            <w:webHidden/>
          </w:rPr>
          <w:fldChar w:fldCharType="end"/>
        </w:r>
      </w:hyperlink>
    </w:p>
    <w:p w14:paraId="4291056D" w14:textId="2112FE17" w:rsidR="00B64017" w:rsidRDefault="003546A7">
      <w:pPr>
        <w:pStyle w:val="TOC2"/>
        <w:rPr>
          <w:rFonts w:asciiTheme="minorHAnsi" w:eastAsiaTheme="minorEastAsia" w:hAnsiTheme="minorHAnsi" w:cstheme="minorBidi"/>
          <w:b w:val="0"/>
          <w:i w:val="0"/>
          <w:sz w:val="22"/>
          <w:szCs w:val="22"/>
        </w:rPr>
      </w:pPr>
      <w:hyperlink w:anchor="_Toc497148304" w:history="1">
        <w:r w:rsidR="00B64017" w:rsidRPr="0032514B">
          <w:rPr>
            <w:rStyle w:val="Hyperlink"/>
            <w14:scene3d>
              <w14:camera w14:prst="orthographicFront"/>
              <w14:lightRig w14:rig="threePt" w14:dir="t">
                <w14:rot w14:lat="0" w14:lon="0" w14:rev="0"/>
              </w14:lightRig>
            </w14:scene3d>
          </w:rPr>
          <w:t>6.2</w:t>
        </w:r>
        <w:r w:rsidR="00B64017">
          <w:rPr>
            <w:rFonts w:asciiTheme="minorHAnsi" w:eastAsiaTheme="minorEastAsia" w:hAnsiTheme="minorHAnsi" w:cstheme="minorBidi"/>
            <w:b w:val="0"/>
            <w:i w:val="0"/>
            <w:sz w:val="22"/>
            <w:szCs w:val="22"/>
          </w:rPr>
          <w:tab/>
        </w:r>
        <w:r w:rsidR="00B64017" w:rsidRPr="0032514B">
          <w:rPr>
            <w:rStyle w:val="Hyperlink"/>
          </w:rPr>
          <w:t>Muslim Australians (CERD article 2; CO 23)</w:t>
        </w:r>
        <w:r w:rsidR="00B64017">
          <w:rPr>
            <w:webHidden/>
          </w:rPr>
          <w:tab/>
        </w:r>
        <w:r w:rsidR="00B64017">
          <w:rPr>
            <w:webHidden/>
          </w:rPr>
          <w:fldChar w:fldCharType="begin"/>
        </w:r>
        <w:r w:rsidR="00B64017">
          <w:rPr>
            <w:webHidden/>
          </w:rPr>
          <w:instrText xml:space="preserve"> PAGEREF _Toc497148304 \h </w:instrText>
        </w:r>
        <w:r w:rsidR="00B64017">
          <w:rPr>
            <w:webHidden/>
          </w:rPr>
        </w:r>
        <w:r w:rsidR="00B64017">
          <w:rPr>
            <w:webHidden/>
          </w:rPr>
          <w:fldChar w:fldCharType="separate"/>
        </w:r>
        <w:r>
          <w:rPr>
            <w:webHidden/>
          </w:rPr>
          <w:t>25</w:t>
        </w:r>
        <w:r w:rsidR="00B64017">
          <w:rPr>
            <w:webHidden/>
          </w:rPr>
          <w:fldChar w:fldCharType="end"/>
        </w:r>
      </w:hyperlink>
    </w:p>
    <w:p w14:paraId="508A1112" w14:textId="5A3BBF65" w:rsidR="00B64017" w:rsidRDefault="003546A7">
      <w:pPr>
        <w:pStyle w:val="TOC2"/>
        <w:rPr>
          <w:rFonts w:asciiTheme="minorHAnsi" w:eastAsiaTheme="minorEastAsia" w:hAnsiTheme="minorHAnsi" w:cstheme="minorBidi"/>
          <w:b w:val="0"/>
          <w:i w:val="0"/>
          <w:sz w:val="22"/>
          <w:szCs w:val="22"/>
        </w:rPr>
      </w:pPr>
      <w:hyperlink w:anchor="_Toc497148305" w:history="1">
        <w:r w:rsidR="00B64017" w:rsidRPr="0032514B">
          <w:rPr>
            <w:rStyle w:val="Hyperlink"/>
            <w14:scene3d>
              <w14:camera w14:prst="orthographicFront"/>
              <w14:lightRig w14:rig="threePt" w14:dir="t">
                <w14:rot w14:lat="0" w14:lon="0" w14:rev="0"/>
              </w14:lightRig>
            </w14:scene3d>
          </w:rPr>
          <w:t>6.3</w:t>
        </w:r>
        <w:r w:rsidR="00B64017">
          <w:rPr>
            <w:rFonts w:asciiTheme="minorHAnsi" w:eastAsiaTheme="minorEastAsia" w:hAnsiTheme="minorHAnsi" w:cstheme="minorBidi"/>
            <w:b w:val="0"/>
            <w:i w:val="0"/>
            <w:sz w:val="22"/>
            <w:szCs w:val="22"/>
          </w:rPr>
          <w:tab/>
        </w:r>
        <w:r w:rsidR="00B64017" w:rsidRPr="0032514B">
          <w:rPr>
            <w:rStyle w:val="Hyperlink"/>
          </w:rPr>
          <w:t>African communities in Australia (CERD article 2; CO 23)</w:t>
        </w:r>
        <w:r w:rsidR="00B64017">
          <w:rPr>
            <w:webHidden/>
          </w:rPr>
          <w:tab/>
        </w:r>
        <w:r w:rsidR="00B64017">
          <w:rPr>
            <w:webHidden/>
          </w:rPr>
          <w:fldChar w:fldCharType="begin"/>
        </w:r>
        <w:r w:rsidR="00B64017">
          <w:rPr>
            <w:webHidden/>
          </w:rPr>
          <w:instrText xml:space="preserve"> PAGEREF _Toc497148305 \h </w:instrText>
        </w:r>
        <w:r w:rsidR="00B64017">
          <w:rPr>
            <w:webHidden/>
          </w:rPr>
        </w:r>
        <w:r w:rsidR="00B64017">
          <w:rPr>
            <w:webHidden/>
          </w:rPr>
          <w:fldChar w:fldCharType="separate"/>
        </w:r>
        <w:r>
          <w:rPr>
            <w:webHidden/>
          </w:rPr>
          <w:t>26</w:t>
        </w:r>
        <w:r w:rsidR="00B64017">
          <w:rPr>
            <w:webHidden/>
          </w:rPr>
          <w:fldChar w:fldCharType="end"/>
        </w:r>
      </w:hyperlink>
    </w:p>
    <w:p w14:paraId="5BBDBDA6" w14:textId="15208DBB" w:rsidR="00B64017" w:rsidRDefault="003546A7">
      <w:pPr>
        <w:pStyle w:val="TOC2"/>
        <w:rPr>
          <w:rFonts w:asciiTheme="minorHAnsi" w:eastAsiaTheme="minorEastAsia" w:hAnsiTheme="minorHAnsi" w:cstheme="minorBidi"/>
          <w:b w:val="0"/>
          <w:i w:val="0"/>
          <w:sz w:val="22"/>
          <w:szCs w:val="22"/>
        </w:rPr>
      </w:pPr>
      <w:hyperlink w:anchor="_Toc497148306" w:history="1">
        <w:r w:rsidR="00B64017" w:rsidRPr="0032514B">
          <w:rPr>
            <w:rStyle w:val="Hyperlink"/>
            <w14:scene3d>
              <w14:camera w14:prst="orthographicFront"/>
              <w14:lightRig w14:rig="threePt" w14:dir="t">
                <w14:rot w14:lat="0" w14:lon="0" w14:rev="0"/>
              </w14:lightRig>
            </w14:scene3d>
          </w:rPr>
          <w:t>6.4</w:t>
        </w:r>
        <w:r w:rsidR="00B64017">
          <w:rPr>
            <w:rFonts w:asciiTheme="minorHAnsi" w:eastAsiaTheme="minorEastAsia" w:hAnsiTheme="minorHAnsi" w:cstheme="minorBidi"/>
            <w:b w:val="0"/>
            <w:i w:val="0"/>
            <w:sz w:val="22"/>
            <w:szCs w:val="22"/>
          </w:rPr>
          <w:tab/>
        </w:r>
        <w:r w:rsidR="00B64017" w:rsidRPr="0032514B">
          <w:rPr>
            <w:rStyle w:val="Hyperlink"/>
          </w:rPr>
          <w:t>International students (CERD article 2; CO 23)</w:t>
        </w:r>
        <w:r w:rsidR="00B64017">
          <w:rPr>
            <w:webHidden/>
          </w:rPr>
          <w:tab/>
        </w:r>
        <w:r w:rsidR="00B64017">
          <w:rPr>
            <w:webHidden/>
          </w:rPr>
          <w:fldChar w:fldCharType="begin"/>
        </w:r>
        <w:r w:rsidR="00B64017">
          <w:rPr>
            <w:webHidden/>
          </w:rPr>
          <w:instrText xml:space="preserve"> PAGEREF _Toc497148306 \h </w:instrText>
        </w:r>
        <w:r w:rsidR="00B64017">
          <w:rPr>
            <w:webHidden/>
          </w:rPr>
        </w:r>
        <w:r w:rsidR="00B64017">
          <w:rPr>
            <w:webHidden/>
          </w:rPr>
          <w:fldChar w:fldCharType="separate"/>
        </w:r>
        <w:r>
          <w:rPr>
            <w:webHidden/>
          </w:rPr>
          <w:t>26</w:t>
        </w:r>
        <w:r w:rsidR="00B64017">
          <w:rPr>
            <w:webHidden/>
          </w:rPr>
          <w:fldChar w:fldCharType="end"/>
        </w:r>
      </w:hyperlink>
    </w:p>
    <w:p w14:paraId="1921688B" w14:textId="58BD1885" w:rsidR="00B64017" w:rsidRDefault="003546A7">
      <w:pPr>
        <w:pStyle w:val="TOC2"/>
        <w:rPr>
          <w:rFonts w:asciiTheme="minorHAnsi" w:eastAsiaTheme="minorEastAsia" w:hAnsiTheme="minorHAnsi" w:cstheme="minorBidi"/>
          <w:b w:val="0"/>
          <w:i w:val="0"/>
          <w:sz w:val="22"/>
          <w:szCs w:val="22"/>
        </w:rPr>
      </w:pPr>
      <w:hyperlink w:anchor="_Toc497148307" w:history="1">
        <w:r w:rsidR="00B64017" w:rsidRPr="0032514B">
          <w:rPr>
            <w:rStyle w:val="Hyperlink"/>
            <w14:scene3d>
              <w14:camera w14:prst="orthographicFront"/>
              <w14:lightRig w14:rig="threePt" w14:dir="t">
                <w14:rot w14:lat="0" w14:lon="0" w14:rev="0"/>
              </w14:lightRig>
            </w14:scene3d>
          </w:rPr>
          <w:t>6.5</w:t>
        </w:r>
        <w:r w:rsidR="00B64017">
          <w:rPr>
            <w:rFonts w:asciiTheme="minorHAnsi" w:eastAsiaTheme="minorEastAsia" w:hAnsiTheme="minorHAnsi" w:cstheme="minorBidi"/>
            <w:b w:val="0"/>
            <w:i w:val="0"/>
            <w:sz w:val="22"/>
            <w:szCs w:val="22"/>
          </w:rPr>
          <w:tab/>
        </w:r>
        <w:r w:rsidR="00B64017" w:rsidRPr="0032514B">
          <w:rPr>
            <w:rStyle w:val="Hyperlink"/>
          </w:rPr>
          <w:t>Religious discrimination or vilification (CERD articles 4 &amp; 5)</w:t>
        </w:r>
        <w:r w:rsidR="00B64017">
          <w:rPr>
            <w:webHidden/>
          </w:rPr>
          <w:tab/>
        </w:r>
        <w:r w:rsidR="00B64017">
          <w:rPr>
            <w:webHidden/>
          </w:rPr>
          <w:fldChar w:fldCharType="begin"/>
        </w:r>
        <w:r w:rsidR="00B64017">
          <w:rPr>
            <w:webHidden/>
          </w:rPr>
          <w:instrText xml:space="preserve"> PAGEREF _Toc497148307 \h </w:instrText>
        </w:r>
        <w:r w:rsidR="00B64017">
          <w:rPr>
            <w:webHidden/>
          </w:rPr>
        </w:r>
        <w:r w:rsidR="00B64017">
          <w:rPr>
            <w:webHidden/>
          </w:rPr>
          <w:fldChar w:fldCharType="separate"/>
        </w:r>
        <w:r>
          <w:rPr>
            <w:webHidden/>
          </w:rPr>
          <w:t>27</w:t>
        </w:r>
        <w:r w:rsidR="00B64017">
          <w:rPr>
            <w:webHidden/>
          </w:rPr>
          <w:fldChar w:fldCharType="end"/>
        </w:r>
      </w:hyperlink>
    </w:p>
    <w:p w14:paraId="31B44ACE" w14:textId="02CFD0B9" w:rsidR="00B64017" w:rsidRDefault="003546A7">
      <w:pPr>
        <w:pStyle w:val="TOC2"/>
        <w:rPr>
          <w:rFonts w:asciiTheme="minorHAnsi" w:eastAsiaTheme="minorEastAsia" w:hAnsiTheme="minorHAnsi" w:cstheme="minorBidi"/>
          <w:b w:val="0"/>
          <w:i w:val="0"/>
          <w:sz w:val="22"/>
          <w:szCs w:val="22"/>
        </w:rPr>
      </w:pPr>
      <w:hyperlink w:anchor="_Toc497148308" w:history="1">
        <w:r w:rsidR="00B64017" w:rsidRPr="0032514B">
          <w:rPr>
            <w:rStyle w:val="Hyperlink"/>
            <w14:scene3d>
              <w14:camera w14:prst="orthographicFront"/>
              <w14:lightRig w14:rig="threePt" w14:dir="t">
                <w14:rot w14:lat="0" w14:lon="0" w14:rev="0"/>
              </w14:lightRig>
            </w14:scene3d>
          </w:rPr>
          <w:t>6.6</w:t>
        </w:r>
        <w:r w:rsidR="00B64017">
          <w:rPr>
            <w:rFonts w:asciiTheme="minorHAnsi" w:eastAsiaTheme="minorEastAsia" w:hAnsiTheme="minorHAnsi" w:cstheme="minorBidi"/>
            <w:b w:val="0"/>
            <w:i w:val="0"/>
            <w:sz w:val="22"/>
            <w:szCs w:val="22"/>
          </w:rPr>
          <w:tab/>
        </w:r>
        <w:r w:rsidR="00B64017" w:rsidRPr="0032514B">
          <w:rPr>
            <w:rStyle w:val="Hyperlink"/>
          </w:rPr>
          <w:t>Migrant settlement outcomes (CERD article 5; CO 24)</w:t>
        </w:r>
        <w:r w:rsidR="00B64017">
          <w:rPr>
            <w:webHidden/>
          </w:rPr>
          <w:tab/>
        </w:r>
        <w:r w:rsidR="00B64017">
          <w:rPr>
            <w:webHidden/>
          </w:rPr>
          <w:fldChar w:fldCharType="begin"/>
        </w:r>
        <w:r w:rsidR="00B64017">
          <w:rPr>
            <w:webHidden/>
          </w:rPr>
          <w:instrText xml:space="preserve"> PAGEREF _Toc497148308 \h </w:instrText>
        </w:r>
        <w:r w:rsidR="00B64017">
          <w:rPr>
            <w:webHidden/>
          </w:rPr>
        </w:r>
        <w:r w:rsidR="00B64017">
          <w:rPr>
            <w:webHidden/>
          </w:rPr>
          <w:fldChar w:fldCharType="separate"/>
        </w:r>
        <w:r>
          <w:rPr>
            <w:webHidden/>
          </w:rPr>
          <w:t>28</w:t>
        </w:r>
        <w:r w:rsidR="00B64017">
          <w:rPr>
            <w:webHidden/>
          </w:rPr>
          <w:fldChar w:fldCharType="end"/>
        </w:r>
      </w:hyperlink>
    </w:p>
    <w:p w14:paraId="6CA67E0D" w14:textId="4CFFBB92" w:rsidR="00B64017" w:rsidRDefault="003546A7">
      <w:pPr>
        <w:pStyle w:val="TOC2"/>
        <w:rPr>
          <w:rFonts w:asciiTheme="minorHAnsi" w:eastAsiaTheme="minorEastAsia" w:hAnsiTheme="minorHAnsi" w:cstheme="minorBidi"/>
          <w:b w:val="0"/>
          <w:i w:val="0"/>
          <w:sz w:val="22"/>
          <w:szCs w:val="22"/>
        </w:rPr>
      </w:pPr>
      <w:hyperlink w:anchor="_Toc497148309" w:history="1">
        <w:r w:rsidR="00B64017" w:rsidRPr="0032514B">
          <w:rPr>
            <w:rStyle w:val="Hyperlink"/>
            <w14:scene3d>
              <w14:camera w14:prst="orthographicFront"/>
              <w14:lightRig w14:rig="threePt" w14:dir="t">
                <w14:rot w14:lat="0" w14:lon="0" w14:rev="0"/>
              </w14:lightRig>
            </w14:scene3d>
          </w:rPr>
          <w:t>6.7</w:t>
        </w:r>
        <w:r w:rsidR="00B64017">
          <w:rPr>
            <w:rFonts w:asciiTheme="minorHAnsi" w:eastAsiaTheme="minorEastAsia" w:hAnsiTheme="minorHAnsi" w:cstheme="minorBidi"/>
            <w:b w:val="0"/>
            <w:i w:val="0"/>
            <w:sz w:val="22"/>
            <w:szCs w:val="22"/>
          </w:rPr>
          <w:tab/>
        </w:r>
        <w:r w:rsidR="00B64017" w:rsidRPr="0032514B">
          <w:rPr>
            <w:rStyle w:val="Hyperlink"/>
          </w:rPr>
          <w:t>Refugees and asylum seekers</w:t>
        </w:r>
        <w:r w:rsidR="00B64017">
          <w:rPr>
            <w:webHidden/>
          </w:rPr>
          <w:tab/>
        </w:r>
        <w:r w:rsidR="00B64017">
          <w:rPr>
            <w:webHidden/>
          </w:rPr>
          <w:fldChar w:fldCharType="begin"/>
        </w:r>
        <w:r w:rsidR="00B64017">
          <w:rPr>
            <w:webHidden/>
          </w:rPr>
          <w:instrText xml:space="preserve"> PAGEREF _Toc497148309 \h </w:instrText>
        </w:r>
        <w:r w:rsidR="00B64017">
          <w:rPr>
            <w:webHidden/>
          </w:rPr>
        </w:r>
        <w:r w:rsidR="00B64017">
          <w:rPr>
            <w:webHidden/>
          </w:rPr>
          <w:fldChar w:fldCharType="separate"/>
        </w:r>
        <w:r>
          <w:rPr>
            <w:webHidden/>
          </w:rPr>
          <w:t>28</w:t>
        </w:r>
        <w:r w:rsidR="00B64017">
          <w:rPr>
            <w:webHidden/>
          </w:rPr>
          <w:fldChar w:fldCharType="end"/>
        </w:r>
      </w:hyperlink>
    </w:p>
    <w:p w14:paraId="4A3EA1EC" w14:textId="68B64693" w:rsidR="00B64017" w:rsidRDefault="003546A7">
      <w:pPr>
        <w:pStyle w:val="TOC2"/>
        <w:rPr>
          <w:rFonts w:asciiTheme="minorHAnsi" w:eastAsiaTheme="minorEastAsia" w:hAnsiTheme="minorHAnsi" w:cstheme="minorBidi"/>
          <w:b w:val="0"/>
          <w:i w:val="0"/>
          <w:sz w:val="22"/>
          <w:szCs w:val="22"/>
        </w:rPr>
      </w:pPr>
      <w:hyperlink w:anchor="_Toc497148310" w:history="1">
        <w:r w:rsidR="00B64017" w:rsidRPr="0032514B">
          <w:rPr>
            <w:rStyle w:val="Hyperlink"/>
            <w14:scene3d>
              <w14:camera w14:prst="orthographicFront"/>
              <w14:lightRig w14:rig="threePt" w14:dir="t">
                <w14:rot w14:lat="0" w14:lon="0" w14:rev="0"/>
              </w14:lightRig>
            </w14:scene3d>
          </w:rPr>
          <w:t>6.8</w:t>
        </w:r>
        <w:r w:rsidR="00B64017">
          <w:rPr>
            <w:rFonts w:asciiTheme="minorHAnsi" w:eastAsiaTheme="minorEastAsia" w:hAnsiTheme="minorHAnsi" w:cstheme="minorBidi"/>
            <w:b w:val="0"/>
            <w:i w:val="0"/>
            <w:sz w:val="22"/>
            <w:szCs w:val="22"/>
          </w:rPr>
          <w:tab/>
        </w:r>
        <w:r w:rsidR="00B64017" w:rsidRPr="0032514B">
          <w:rPr>
            <w:rStyle w:val="Hyperlink"/>
          </w:rPr>
          <w:t>Visa refusals and cancellations on character grounds</w:t>
        </w:r>
        <w:r w:rsidR="00B64017">
          <w:rPr>
            <w:webHidden/>
          </w:rPr>
          <w:tab/>
        </w:r>
        <w:r w:rsidR="00B64017">
          <w:rPr>
            <w:webHidden/>
          </w:rPr>
          <w:fldChar w:fldCharType="begin"/>
        </w:r>
        <w:r w:rsidR="00B64017">
          <w:rPr>
            <w:webHidden/>
          </w:rPr>
          <w:instrText xml:space="preserve"> PAGEREF _Toc497148310 \h </w:instrText>
        </w:r>
        <w:r w:rsidR="00B64017">
          <w:rPr>
            <w:webHidden/>
          </w:rPr>
        </w:r>
        <w:r w:rsidR="00B64017">
          <w:rPr>
            <w:webHidden/>
          </w:rPr>
          <w:fldChar w:fldCharType="separate"/>
        </w:r>
        <w:r>
          <w:rPr>
            <w:webHidden/>
          </w:rPr>
          <w:t>29</w:t>
        </w:r>
        <w:r w:rsidR="00B64017">
          <w:rPr>
            <w:webHidden/>
          </w:rPr>
          <w:fldChar w:fldCharType="end"/>
        </w:r>
      </w:hyperlink>
    </w:p>
    <w:p w14:paraId="5FD6B579" w14:textId="2C22D373" w:rsidR="00B64017" w:rsidRDefault="003546A7">
      <w:pPr>
        <w:pStyle w:val="TOC1"/>
        <w:rPr>
          <w:rFonts w:asciiTheme="minorHAnsi" w:eastAsiaTheme="minorEastAsia" w:hAnsiTheme="minorHAnsi" w:cstheme="minorBidi"/>
          <w:b w:val="0"/>
          <w:szCs w:val="22"/>
        </w:rPr>
      </w:pPr>
      <w:hyperlink w:anchor="_Toc497148311" w:history="1">
        <w:r w:rsidR="00B64017" w:rsidRPr="0032514B">
          <w:rPr>
            <w:rStyle w:val="Hyperlink"/>
          </w:rPr>
          <w:t>7</w:t>
        </w:r>
        <w:r w:rsidR="00B64017">
          <w:rPr>
            <w:rFonts w:asciiTheme="minorHAnsi" w:eastAsiaTheme="minorEastAsia" w:hAnsiTheme="minorHAnsi" w:cstheme="minorBidi"/>
            <w:b w:val="0"/>
            <w:szCs w:val="22"/>
          </w:rPr>
          <w:tab/>
        </w:r>
        <w:r w:rsidR="00B64017" w:rsidRPr="0032514B">
          <w:rPr>
            <w:rStyle w:val="Hyperlink"/>
          </w:rPr>
          <w:t>Police practices (CERD article 5)</w:t>
        </w:r>
        <w:r w:rsidR="00B64017">
          <w:rPr>
            <w:webHidden/>
          </w:rPr>
          <w:tab/>
        </w:r>
        <w:r w:rsidR="00B64017">
          <w:rPr>
            <w:webHidden/>
          </w:rPr>
          <w:fldChar w:fldCharType="begin"/>
        </w:r>
        <w:r w:rsidR="00B64017">
          <w:rPr>
            <w:webHidden/>
          </w:rPr>
          <w:instrText xml:space="preserve"> PAGEREF _Toc497148311 \h </w:instrText>
        </w:r>
        <w:r w:rsidR="00B64017">
          <w:rPr>
            <w:webHidden/>
          </w:rPr>
        </w:r>
        <w:r w:rsidR="00B64017">
          <w:rPr>
            <w:webHidden/>
          </w:rPr>
          <w:fldChar w:fldCharType="separate"/>
        </w:r>
        <w:r>
          <w:rPr>
            <w:webHidden/>
          </w:rPr>
          <w:t>29</w:t>
        </w:r>
        <w:r w:rsidR="00B64017">
          <w:rPr>
            <w:webHidden/>
          </w:rPr>
          <w:fldChar w:fldCharType="end"/>
        </w:r>
      </w:hyperlink>
    </w:p>
    <w:p w14:paraId="4AFCBB86" w14:textId="329FF57E" w:rsidR="00B64017" w:rsidRDefault="003546A7">
      <w:pPr>
        <w:pStyle w:val="TOC2"/>
        <w:rPr>
          <w:rFonts w:asciiTheme="minorHAnsi" w:eastAsiaTheme="minorEastAsia" w:hAnsiTheme="minorHAnsi" w:cstheme="minorBidi"/>
          <w:b w:val="0"/>
          <w:i w:val="0"/>
          <w:sz w:val="22"/>
          <w:szCs w:val="22"/>
        </w:rPr>
      </w:pPr>
      <w:hyperlink w:anchor="_Toc497148312" w:history="1">
        <w:r w:rsidR="00B64017" w:rsidRPr="0032514B">
          <w:rPr>
            <w:rStyle w:val="Hyperlink"/>
            <w14:scene3d>
              <w14:camera w14:prst="orthographicFront"/>
              <w14:lightRig w14:rig="threePt" w14:dir="t">
                <w14:rot w14:lat="0" w14:lon="0" w14:rev="0"/>
              </w14:lightRig>
            </w14:scene3d>
          </w:rPr>
          <w:t>7.1</w:t>
        </w:r>
        <w:r w:rsidR="00B64017">
          <w:rPr>
            <w:rFonts w:asciiTheme="minorHAnsi" w:eastAsiaTheme="minorEastAsia" w:hAnsiTheme="minorHAnsi" w:cstheme="minorBidi"/>
            <w:b w:val="0"/>
            <w:i w:val="0"/>
            <w:sz w:val="22"/>
            <w:szCs w:val="22"/>
          </w:rPr>
          <w:tab/>
        </w:r>
        <w:r w:rsidR="00B64017" w:rsidRPr="0032514B">
          <w:rPr>
            <w:rStyle w:val="Hyperlink"/>
          </w:rPr>
          <w:t>Palm Island</w:t>
        </w:r>
        <w:r w:rsidR="00B64017">
          <w:rPr>
            <w:webHidden/>
          </w:rPr>
          <w:tab/>
        </w:r>
        <w:r w:rsidR="00B64017">
          <w:rPr>
            <w:webHidden/>
          </w:rPr>
          <w:fldChar w:fldCharType="begin"/>
        </w:r>
        <w:r w:rsidR="00B64017">
          <w:rPr>
            <w:webHidden/>
          </w:rPr>
          <w:instrText xml:space="preserve"> PAGEREF _Toc497148312 \h </w:instrText>
        </w:r>
        <w:r w:rsidR="00B64017">
          <w:rPr>
            <w:webHidden/>
          </w:rPr>
        </w:r>
        <w:r w:rsidR="00B64017">
          <w:rPr>
            <w:webHidden/>
          </w:rPr>
          <w:fldChar w:fldCharType="separate"/>
        </w:r>
        <w:r>
          <w:rPr>
            <w:webHidden/>
          </w:rPr>
          <w:t>30</w:t>
        </w:r>
        <w:r w:rsidR="00B64017">
          <w:rPr>
            <w:webHidden/>
          </w:rPr>
          <w:fldChar w:fldCharType="end"/>
        </w:r>
      </w:hyperlink>
    </w:p>
    <w:p w14:paraId="5CB2D1FA" w14:textId="496D982E" w:rsidR="00B64017" w:rsidRDefault="003546A7">
      <w:pPr>
        <w:pStyle w:val="TOC2"/>
        <w:rPr>
          <w:rFonts w:asciiTheme="minorHAnsi" w:eastAsiaTheme="minorEastAsia" w:hAnsiTheme="minorHAnsi" w:cstheme="minorBidi"/>
          <w:b w:val="0"/>
          <w:i w:val="0"/>
          <w:sz w:val="22"/>
          <w:szCs w:val="22"/>
        </w:rPr>
      </w:pPr>
      <w:hyperlink w:anchor="_Toc497148313" w:history="1">
        <w:r w:rsidR="00B64017" w:rsidRPr="0032514B">
          <w:rPr>
            <w:rStyle w:val="Hyperlink"/>
            <w14:scene3d>
              <w14:camera w14:prst="orthographicFront"/>
              <w14:lightRig w14:rig="threePt" w14:dir="t">
                <w14:rot w14:lat="0" w14:lon="0" w14:rev="0"/>
              </w14:lightRig>
            </w14:scene3d>
          </w:rPr>
          <w:t>7.2</w:t>
        </w:r>
        <w:r w:rsidR="00B64017">
          <w:rPr>
            <w:rFonts w:asciiTheme="minorHAnsi" w:eastAsiaTheme="minorEastAsia" w:hAnsiTheme="minorHAnsi" w:cstheme="minorBidi"/>
            <w:b w:val="0"/>
            <w:i w:val="0"/>
            <w:sz w:val="22"/>
            <w:szCs w:val="22"/>
          </w:rPr>
          <w:tab/>
        </w:r>
        <w:r w:rsidR="00B64017" w:rsidRPr="0032514B">
          <w:rPr>
            <w:rStyle w:val="Hyperlink"/>
          </w:rPr>
          <w:t>Kalgoorlie</w:t>
        </w:r>
        <w:r w:rsidR="00B64017">
          <w:rPr>
            <w:webHidden/>
          </w:rPr>
          <w:tab/>
        </w:r>
        <w:r w:rsidR="00B64017">
          <w:rPr>
            <w:webHidden/>
          </w:rPr>
          <w:fldChar w:fldCharType="begin"/>
        </w:r>
        <w:r w:rsidR="00B64017">
          <w:rPr>
            <w:webHidden/>
          </w:rPr>
          <w:instrText xml:space="preserve"> PAGEREF _Toc497148313 \h </w:instrText>
        </w:r>
        <w:r w:rsidR="00B64017">
          <w:rPr>
            <w:webHidden/>
          </w:rPr>
        </w:r>
        <w:r w:rsidR="00B64017">
          <w:rPr>
            <w:webHidden/>
          </w:rPr>
          <w:fldChar w:fldCharType="separate"/>
        </w:r>
        <w:r>
          <w:rPr>
            <w:webHidden/>
          </w:rPr>
          <w:t>31</w:t>
        </w:r>
        <w:r w:rsidR="00B64017">
          <w:rPr>
            <w:webHidden/>
          </w:rPr>
          <w:fldChar w:fldCharType="end"/>
        </w:r>
      </w:hyperlink>
    </w:p>
    <w:p w14:paraId="532E5CE7" w14:textId="564AE1F7" w:rsidR="00B64017" w:rsidRDefault="003546A7">
      <w:pPr>
        <w:pStyle w:val="TOC1"/>
        <w:rPr>
          <w:rFonts w:asciiTheme="minorHAnsi" w:eastAsiaTheme="minorEastAsia" w:hAnsiTheme="minorHAnsi" w:cstheme="minorBidi"/>
          <w:b w:val="0"/>
          <w:szCs w:val="22"/>
        </w:rPr>
      </w:pPr>
      <w:hyperlink w:anchor="_Toc497148314" w:history="1">
        <w:r w:rsidR="00B64017" w:rsidRPr="0032514B">
          <w:rPr>
            <w:rStyle w:val="Hyperlink"/>
          </w:rPr>
          <w:t>8</w:t>
        </w:r>
        <w:r w:rsidR="00B64017">
          <w:rPr>
            <w:rFonts w:asciiTheme="minorHAnsi" w:eastAsiaTheme="minorEastAsia" w:hAnsiTheme="minorHAnsi" w:cstheme="minorBidi"/>
            <w:b w:val="0"/>
            <w:szCs w:val="22"/>
          </w:rPr>
          <w:tab/>
        </w:r>
        <w:r w:rsidR="00B64017" w:rsidRPr="0032514B">
          <w:rPr>
            <w:rStyle w:val="Hyperlink"/>
          </w:rPr>
          <w:t>Counterterrorism (CERD article 5; CO 12)</w:t>
        </w:r>
        <w:r w:rsidR="00B64017">
          <w:rPr>
            <w:webHidden/>
          </w:rPr>
          <w:tab/>
        </w:r>
        <w:r w:rsidR="00B64017">
          <w:rPr>
            <w:webHidden/>
          </w:rPr>
          <w:fldChar w:fldCharType="begin"/>
        </w:r>
        <w:r w:rsidR="00B64017">
          <w:rPr>
            <w:webHidden/>
          </w:rPr>
          <w:instrText xml:space="preserve"> PAGEREF _Toc497148314 \h </w:instrText>
        </w:r>
        <w:r w:rsidR="00B64017">
          <w:rPr>
            <w:webHidden/>
          </w:rPr>
        </w:r>
        <w:r w:rsidR="00B64017">
          <w:rPr>
            <w:webHidden/>
          </w:rPr>
          <w:fldChar w:fldCharType="separate"/>
        </w:r>
        <w:r>
          <w:rPr>
            <w:webHidden/>
          </w:rPr>
          <w:t>32</w:t>
        </w:r>
        <w:r w:rsidR="00B64017">
          <w:rPr>
            <w:webHidden/>
          </w:rPr>
          <w:fldChar w:fldCharType="end"/>
        </w:r>
      </w:hyperlink>
    </w:p>
    <w:p w14:paraId="34AEF823" w14:textId="4BECD997" w:rsidR="00B64017" w:rsidRDefault="003546A7">
      <w:pPr>
        <w:pStyle w:val="TOC1"/>
        <w:rPr>
          <w:rFonts w:asciiTheme="minorHAnsi" w:eastAsiaTheme="minorEastAsia" w:hAnsiTheme="minorHAnsi" w:cstheme="minorBidi"/>
          <w:b w:val="0"/>
          <w:szCs w:val="22"/>
        </w:rPr>
      </w:pPr>
      <w:hyperlink w:anchor="_Toc497148315" w:history="1">
        <w:r w:rsidR="00B64017" w:rsidRPr="0032514B">
          <w:rPr>
            <w:rStyle w:val="Hyperlink"/>
          </w:rPr>
          <w:t>9</w:t>
        </w:r>
        <w:r w:rsidR="00B64017">
          <w:rPr>
            <w:rFonts w:asciiTheme="minorHAnsi" w:eastAsiaTheme="minorEastAsia" w:hAnsiTheme="minorHAnsi" w:cstheme="minorBidi"/>
            <w:b w:val="0"/>
            <w:szCs w:val="22"/>
          </w:rPr>
          <w:tab/>
        </w:r>
        <w:r w:rsidR="00B64017" w:rsidRPr="0032514B">
          <w:rPr>
            <w:rStyle w:val="Hyperlink"/>
          </w:rPr>
          <w:t>Cyber-racism (CERD article 2)</w:t>
        </w:r>
        <w:r w:rsidR="00B64017">
          <w:rPr>
            <w:webHidden/>
          </w:rPr>
          <w:tab/>
        </w:r>
        <w:r w:rsidR="00B64017">
          <w:rPr>
            <w:webHidden/>
          </w:rPr>
          <w:fldChar w:fldCharType="begin"/>
        </w:r>
        <w:r w:rsidR="00B64017">
          <w:rPr>
            <w:webHidden/>
          </w:rPr>
          <w:instrText xml:space="preserve"> PAGEREF _Toc497148315 \h </w:instrText>
        </w:r>
        <w:r w:rsidR="00B64017">
          <w:rPr>
            <w:webHidden/>
          </w:rPr>
        </w:r>
        <w:r w:rsidR="00B64017">
          <w:rPr>
            <w:webHidden/>
          </w:rPr>
          <w:fldChar w:fldCharType="separate"/>
        </w:r>
        <w:r>
          <w:rPr>
            <w:webHidden/>
          </w:rPr>
          <w:t>33</w:t>
        </w:r>
        <w:r w:rsidR="00B64017">
          <w:rPr>
            <w:webHidden/>
          </w:rPr>
          <w:fldChar w:fldCharType="end"/>
        </w:r>
      </w:hyperlink>
    </w:p>
    <w:p w14:paraId="377237F9" w14:textId="19E241E4" w:rsidR="00B64017" w:rsidRDefault="003546A7">
      <w:pPr>
        <w:pStyle w:val="TOC1"/>
        <w:rPr>
          <w:rFonts w:asciiTheme="minorHAnsi" w:eastAsiaTheme="minorEastAsia" w:hAnsiTheme="minorHAnsi" w:cstheme="minorBidi"/>
          <w:b w:val="0"/>
          <w:szCs w:val="22"/>
        </w:rPr>
      </w:pPr>
      <w:hyperlink w:anchor="_Toc497148316" w:history="1">
        <w:r w:rsidR="00B64017" w:rsidRPr="0032514B">
          <w:rPr>
            <w:rStyle w:val="Hyperlink"/>
          </w:rPr>
          <w:t>10</w:t>
        </w:r>
        <w:r w:rsidR="00B64017">
          <w:rPr>
            <w:rFonts w:asciiTheme="minorHAnsi" w:eastAsiaTheme="minorEastAsia" w:hAnsiTheme="minorHAnsi" w:cstheme="minorBidi"/>
            <w:b w:val="0"/>
            <w:szCs w:val="22"/>
          </w:rPr>
          <w:tab/>
        </w:r>
        <w:r w:rsidR="00B64017" w:rsidRPr="0032514B">
          <w:rPr>
            <w:rStyle w:val="Hyperlink"/>
          </w:rPr>
          <w:t>Freedom of expression</w:t>
        </w:r>
        <w:r w:rsidR="00B64017">
          <w:rPr>
            <w:webHidden/>
          </w:rPr>
          <w:tab/>
        </w:r>
        <w:r w:rsidR="00B64017">
          <w:rPr>
            <w:webHidden/>
          </w:rPr>
          <w:fldChar w:fldCharType="begin"/>
        </w:r>
        <w:r w:rsidR="00B64017">
          <w:rPr>
            <w:webHidden/>
          </w:rPr>
          <w:instrText xml:space="preserve"> PAGEREF _Toc497148316 \h </w:instrText>
        </w:r>
        <w:r w:rsidR="00B64017">
          <w:rPr>
            <w:webHidden/>
          </w:rPr>
        </w:r>
        <w:r w:rsidR="00B64017">
          <w:rPr>
            <w:webHidden/>
          </w:rPr>
          <w:fldChar w:fldCharType="separate"/>
        </w:r>
        <w:r>
          <w:rPr>
            <w:webHidden/>
          </w:rPr>
          <w:t>34</w:t>
        </w:r>
        <w:r w:rsidR="00B64017">
          <w:rPr>
            <w:webHidden/>
          </w:rPr>
          <w:fldChar w:fldCharType="end"/>
        </w:r>
      </w:hyperlink>
    </w:p>
    <w:p w14:paraId="33DA1C75" w14:textId="4FF3C01F" w:rsidR="00B64017" w:rsidRDefault="003546A7">
      <w:pPr>
        <w:pStyle w:val="TOC2"/>
        <w:rPr>
          <w:rFonts w:asciiTheme="minorHAnsi" w:eastAsiaTheme="minorEastAsia" w:hAnsiTheme="minorHAnsi" w:cstheme="minorBidi"/>
          <w:b w:val="0"/>
          <w:i w:val="0"/>
          <w:sz w:val="22"/>
          <w:szCs w:val="22"/>
        </w:rPr>
      </w:pPr>
      <w:hyperlink w:anchor="_Toc497148317" w:history="1">
        <w:r w:rsidR="00B64017" w:rsidRPr="0032514B">
          <w:rPr>
            <w:rStyle w:val="Hyperlink"/>
            <w14:scene3d>
              <w14:camera w14:prst="orthographicFront"/>
              <w14:lightRig w14:rig="threePt" w14:dir="t">
                <w14:rot w14:lat="0" w14:lon="0" w14:rev="0"/>
              </w14:lightRig>
            </w14:scene3d>
          </w:rPr>
          <w:t>10.1</w:t>
        </w:r>
        <w:r w:rsidR="00B64017">
          <w:rPr>
            <w:rFonts w:asciiTheme="minorHAnsi" w:eastAsiaTheme="minorEastAsia" w:hAnsiTheme="minorHAnsi" w:cstheme="minorBidi"/>
            <w:b w:val="0"/>
            <w:i w:val="0"/>
            <w:sz w:val="22"/>
            <w:szCs w:val="22"/>
          </w:rPr>
          <w:tab/>
        </w:r>
        <w:r w:rsidR="00B64017" w:rsidRPr="0032514B">
          <w:rPr>
            <w:rStyle w:val="Hyperlink"/>
          </w:rPr>
          <w:t>Racial vilification and discrimination in public discourse (CERD article 2, 4 &amp; 7)</w:t>
        </w:r>
        <w:r w:rsidR="00B64017">
          <w:rPr>
            <w:webHidden/>
          </w:rPr>
          <w:tab/>
        </w:r>
        <w:r w:rsidR="00B64017">
          <w:rPr>
            <w:webHidden/>
          </w:rPr>
          <w:fldChar w:fldCharType="begin"/>
        </w:r>
        <w:r w:rsidR="00B64017">
          <w:rPr>
            <w:webHidden/>
          </w:rPr>
          <w:instrText xml:space="preserve"> PAGEREF _Toc497148317 \h </w:instrText>
        </w:r>
        <w:r w:rsidR="00B64017">
          <w:rPr>
            <w:webHidden/>
          </w:rPr>
        </w:r>
        <w:r w:rsidR="00B64017">
          <w:rPr>
            <w:webHidden/>
          </w:rPr>
          <w:fldChar w:fldCharType="separate"/>
        </w:r>
        <w:r>
          <w:rPr>
            <w:webHidden/>
          </w:rPr>
          <w:t>34</w:t>
        </w:r>
        <w:r w:rsidR="00B64017">
          <w:rPr>
            <w:webHidden/>
          </w:rPr>
          <w:fldChar w:fldCharType="end"/>
        </w:r>
      </w:hyperlink>
    </w:p>
    <w:p w14:paraId="5182758A" w14:textId="069B00C6" w:rsidR="00B64017" w:rsidRDefault="003546A7">
      <w:pPr>
        <w:pStyle w:val="TOC2"/>
        <w:rPr>
          <w:rFonts w:asciiTheme="minorHAnsi" w:eastAsiaTheme="minorEastAsia" w:hAnsiTheme="minorHAnsi" w:cstheme="minorBidi"/>
          <w:b w:val="0"/>
          <w:i w:val="0"/>
          <w:sz w:val="22"/>
          <w:szCs w:val="22"/>
        </w:rPr>
      </w:pPr>
      <w:hyperlink w:anchor="_Toc497148318" w:history="1">
        <w:r w:rsidR="00B64017" w:rsidRPr="0032514B">
          <w:rPr>
            <w:rStyle w:val="Hyperlink"/>
            <w14:scene3d>
              <w14:camera w14:prst="orthographicFront"/>
              <w14:lightRig w14:rig="threePt" w14:dir="t">
                <w14:rot w14:lat="0" w14:lon="0" w14:rev="0"/>
              </w14:lightRig>
            </w14:scene3d>
          </w:rPr>
          <w:t>10.2</w:t>
        </w:r>
        <w:r w:rsidR="00B64017">
          <w:rPr>
            <w:rFonts w:asciiTheme="minorHAnsi" w:eastAsiaTheme="minorEastAsia" w:hAnsiTheme="minorHAnsi" w:cstheme="minorBidi"/>
            <w:b w:val="0"/>
            <w:i w:val="0"/>
            <w:sz w:val="22"/>
            <w:szCs w:val="22"/>
          </w:rPr>
          <w:tab/>
        </w:r>
        <w:r w:rsidR="00B64017" w:rsidRPr="0032514B">
          <w:rPr>
            <w:rStyle w:val="Hyperlink"/>
          </w:rPr>
          <w:t>Inquiries into freedom of expression (CERD article 2 &amp; 7)</w:t>
        </w:r>
        <w:r w:rsidR="00B64017">
          <w:rPr>
            <w:webHidden/>
          </w:rPr>
          <w:tab/>
        </w:r>
        <w:r w:rsidR="00B64017">
          <w:rPr>
            <w:webHidden/>
          </w:rPr>
          <w:fldChar w:fldCharType="begin"/>
        </w:r>
        <w:r w:rsidR="00B64017">
          <w:rPr>
            <w:webHidden/>
          </w:rPr>
          <w:instrText xml:space="preserve"> PAGEREF _Toc497148318 \h </w:instrText>
        </w:r>
        <w:r w:rsidR="00B64017">
          <w:rPr>
            <w:webHidden/>
          </w:rPr>
        </w:r>
        <w:r w:rsidR="00B64017">
          <w:rPr>
            <w:webHidden/>
          </w:rPr>
          <w:fldChar w:fldCharType="separate"/>
        </w:r>
        <w:r>
          <w:rPr>
            <w:webHidden/>
          </w:rPr>
          <w:t>35</w:t>
        </w:r>
        <w:r w:rsidR="00B64017">
          <w:rPr>
            <w:webHidden/>
          </w:rPr>
          <w:fldChar w:fldCharType="end"/>
        </w:r>
      </w:hyperlink>
    </w:p>
    <w:p w14:paraId="14E42273" w14:textId="61EC2ED9" w:rsidR="00B64017" w:rsidRDefault="003546A7">
      <w:pPr>
        <w:pStyle w:val="TOC1"/>
        <w:rPr>
          <w:rFonts w:asciiTheme="minorHAnsi" w:eastAsiaTheme="minorEastAsia" w:hAnsiTheme="minorHAnsi" w:cstheme="minorBidi"/>
          <w:b w:val="0"/>
          <w:szCs w:val="22"/>
        </w:rPr>
      </w:pPr>
      <w:hyperlink w:anchor="_Toc497148319" w:history="1">
        <w:r w:rsidR="00B64017" w:rsidRPr="0032514B">
          <w:rPr>
            <w:rStyle w:val="Hyperlink"/>
          </w:rPr>
          <w:t>11</w:t>
        </w:r>
        <w:r w:rsidR="00B64017">
          <w:rPr>
            <w:rFonts w:asciiTheme="minorHAnsi" w:eastAsiaTheme="minorEastAsia" w:hAnsiTheme="minorHAnsi" w:cstheme="minorBidi"/>
            <w:b w:val="0"/>
            <w:szCs w:val="22"/>
          </w:rPr>
          <w:tab/>
        </w:r>
        <w:r w:rsidR="00B64017" w:rsidRPr="0032514B">
          <w:rPr>
            <w:rStyle w:val="Hyperlink"/>
          </w:rPr>
          <w:t>Immigration detention (CO 24)</w:t>
        </w:r>
        <w:r w:rsidR="00B64017">
          <w:rPr>
            <w:webHidden/>
          </w:rPr>
          <w:tab/>
        </w:r>
        <w:r w:rsidR="00B64017">
          <w:rPr>
            <w:webHidden/>
          </w:rPr>
          <w:fldChar w:fldCharType="begin"/>
        </w:r>
        <w:r w:rsidR="00B64017">
          <w:rPr>
            <w:webHidden/>
          </w:rPr>
          <w:instrText xml:space="preserve"> PAGEREF _Toc497148319 \h </w:instrText>
        </w:r>
        <w:r w:rsidR="00B64017">
          <w:rPr>
            <w:webHidden/>
          </w:rPr>
        </w:r>
        <w:r w:rsidR="00B64017">
          <w:rPr>
            <w:webHidden/>
          </w:rPr>
          <w:fldChar w:fldCharType="separate"/>
        </w:r>
        <w:r>
          <w:rPr>
            <w:webHidden/>
          </w:rPr>
          <w:t>35</w:t>
        </w:r>
        <w:r w:rsidR="00B64017">
          <w:rPr>
            <w:webHidden/>
          </w:rPr>
          <w:fldChar w:fldCharType="end"/>
        </w:r>
      </w:hyperlink>
    </w:p>
    <w:p w14:paraId="0F0A5E29" w14:textId="4CAAB1BD" w:rsidR="00B64017" w:rsidRDefault="003546A7">
      <w:pPr>
        <w:pStyle w:val="TOC2"/>
        <w:rPr>
          <w:rFonts w:asciiTheme="minorHAnsi" w:eastAsiaTheme="minorEastAsia" w:hAnsiTheme="minorHAnsi" w:cstheme="minorBidi"/>
          <w:b w:val="0"/>
          <w:i w:val="0"/>
          <w:sz w:val="22"/>
          <w:szCs w:val="22"/>
        </w:rPr>
      </w:pPr>
      <w:hyperlink w:anchor="_Toc497148320" w:history="1">
        <w:r w:rsidR="00B64017" w:rsidRPr="0032514B">
          <w:rPr>
            <w:rStyle w:val="Hyperlink"/>
            <w14:scene3d>
              <w14:camera w14:prst="orthographicFront"/>
              <w14:lightRig w14:rig="threePt" w14:dir="t">
                <w14:rot w14:lat="0" w14:lon="0" w14:rev="0"/>
              </w14:lightRig>
            </w14:scene3d>
          </w:rPr>
          <w:t>11.1</w:t>
        </w:r>
        <w:r w:rsidR="00B64017">
          <w:rPr>
            <w:rFonts w:asciiTheme="minorHAnsi" w:eastAsiaTheme="minorEastAsia" w:hAnsiTheme="minorHAnsi" w:cstheme="minorBidi"/>
            <w:b w:val="0"/>
            <w:i w:val="0"/>
            <w:sz w:val="22"/>
            <w:szCs w:val="22"/>
          </w:rPr>
          <w:tab/>
        </w:r>
        <w:r w:rsidR="00B64017" w:rsidRPr="0032514B">
          <w:rPr>
            <w:rStyle w:val="Hyperlink"/>
          </w:rPr>
          <w:t>Detainee numbers, nationalities and length of detention</w:t>
        </w:r>
        <w:r w:rsidR="00B64017">
          <w:rPr>
            <w:webHidden/>
          </w:rPr>
          <w:tab/>
        </w:r>
        <w:r w:rsidR="00B64017">
          <w:rPr>
            <w:webHidden/>
          </w:rPr>
          <w:fldChar w:fldCharType="begin"/>
        </w:r>
        <w:r w:rsidR="00B64017">
          <w:rPr>
            <w:webHidden/>
          </w:rPr>
          <w:instrText xml:space="preserve"> PAGEREF _Toc497148320 \h </w:instrText>
        </w:r>
        <w:r w:rsidR="00B64017">
          <w:rPr>
            <w:webHidden/>
          </w:rPr>
        </w:r>
        <w:r w:rsidR="00B64017">
          <w:rPr>
            <w:webHidden/>
          </w:rPr>
          <w:fldChar w:fldCharType="separate"/>
        </w:r>
        <w:r>
          <w:rPr>
            <w:webHidden/>
          </w:rPr>
          <w:t>35</w:t>
        </w:r>
        <w:r w:rsidR="00B64017">
          <w:rPr>
            <w:webHidden/>
          </w:rPr>
          <w:fldChar w:fldCharType="end"/>
        </w:r>
      </w:hyperlink>
    </w:p>
    <w:p w14:paraId="1BCB1035" w14:textId="59E4C577" w:rsidR="00B64017" w:rsidRDefault="003546A7">
      <w:pPr>
        <w:pStyle w:val="TOC2"/>
        <w:rPr>
          <w:rFonts w:asciiTheme="minorHAnsi" w:eastAsiaTheme="minorEastAsia" w:hAnsiTheme="minorHAnsi" w:cstheme="minorBidi"/>
          <w:b w:val="0"/>
          <w:i w:val="0"/>
          <w:sz w:val="22"/>
          <w:szCs w:val="22"/>
        </w:rPr>
      </w:pPr>
      <w:hyperlink w:anchor="_Toc497148321" w:history="1">
        <w:r w:rsidR="00B64017" w:rsidRPr="0032514B">
          <w:rPr>
            <w:rStyle w:val="Hyperlink"/>
            <w14:scene3d>
              <w14:camera w14:prst="orthographicFront"/>
              <w14:lightRig w14:rig="threePt" w14:dir="t">
                <w14:rot w14:lat="0" w14:lon="0" w14:rev="0"/>
              </w14:lightRig>
            </w14:scene3d>
          </w:rPr>
          <w:t>11.2</w:t>
        </w:r>
        <w:r w:rsidR="00B64017">
          <w:rPr>
            <w:rFonts w:asciiTheme="minorHAnsi" w:eastAsiaTheme="minorEastAsia" w:hAnsiTheme="minorHAnsi" w:cstheme="minorBidi"/>
            <w:b w:val="0"/>
            <w:i w:val="0"/>
            <w:sz w:val="22"/>
            <w:szCs w:val="22"/>
          </w:rPr>
          <w:tab/>
        </w:r>
        <w:r w:rsidR="00B64017" w:rsidRPr="0032514B">
          <w:rPr>
            <w:rStyle w:val="Hyperlink"/>
          </w:rPr>
          <w:t>Legislative framework</w:t>
        </w:r>
        <w:r w:rsidR="00B64017">
          <w:rPr>
            <w:webHidden/>
          </w:rPr>
          <w:tab/>
        </w:r>
        <w:r w:rsidR="00B64017">
          <w:rPr>
            <w:webHidden/>
          </w:rPr>
          <w:fldChar w:fldCharType="begin"/>
        </w:r>
        <w:r w:rsidR="00B64017">
          <w:rPr>
            <w:webHidden/>
          </w:rPr>
          <w:instrText xml:space="preserve"> PAGEREF _Toc497148321 \h </w:instrText>
        </w:r>
        <w:r w:rsidR="00B64017">
          <w:rPr>
            <w:webHidden/>
          </w:rPr>
        </w:r>
        <w:r w:rsidR="00B64017">
          <w:rPr>
            <w:webHidden/>
          </w:rPr>
          <w:fldChar w:fldCharType="separate"/>
        </w:r>
        <w:r>
          <w:rPr>
            <w:webHidden/>
          </w:rPr>
          <w:t>36</w:t>
        </w:r>
        <w:r w:rsidR="00B64017">
          <w:rPr>
            <w:webHidden/>
          </w:rPr>
          <w:fldChar w:fldCharType="end"/>
        </w:r>
      </w:hyperlink>
    </w:p>
    <w:p w14:paraId="58397567" w14:textId="7B41218C" w:rsidR="00B64017" w:rsidRDefault="003546A7">
      <w:pPr>
        <w:pStyle w:val="TOC1"/>
        <w:rPr>
          <w:rFonts w:asciiTheme="minorHAnsi" w:eastAsiaTheme="minorEastAsia" w:hAnsiTheme="minorHAnsi" w:cstheme="minorBidi"/>
          <w:b w:val="0"/>
          <w:szCs w:val="22"/>
        </w:rPr>
      </w:pPr>
      <w:hyperlink w:anchor="_Toc497148322" w:history="1">
        <w:r w:rsidR="00B64017" w:rsidRPr="0032514B">
          <w:rPr>
            <w:rStyle w:val="Hyperlink"/>
          </w:rPr>
          <w:t>12</w:t>
        </w:r>
        <w:r w:rsidR="00B64017">
          <w:rPr>
            <w:rFonts w:asciiTheme="minorHAnsi" w:eastAsiaTheme="minorEastAsia" w:hAnsiTheme="minorHAnsi" w:cstheme="minorBidi"/>
            <w:b w:val="0"/>
            <w:szCs w:val="22"/>
          </w:rPr>
          <w:tab/>
        </w:r>
        <w:r w:rsidR="00B64017" w:rsidRPr="0032514B">
          <w:rPr>
            <w:rStyle w:val="Hyperlink"/>
          </w:rPr>
          <w:t>Business and human rights (CO 13)</w:t>
        </w:r>
        <w:r w:rsidR="00B64017">
          <w:rPr>
            <w:webHidden/>
          </w:rPr>
          <w:tab/>
        </w:r>
        <w:r w:rsidR="00B64017">
          <w:rPr>
            <w:webHidden/>
          </w:rPr>
          <w:fldChar w:fldCharType="begin"/>
        </w:r>
        <w:r w:rsidR="00B64017">
          <w:rPr>
            <w:webHidden/>
          </w:rPr>
          <w:instrText xml:space="preserve"> PAGEREF _Toc497148322 \h </w:instrText>
        </w:r>
        <w:r w:rsidR="00B64017">
          <w:rPr>
            <w:webHidden/>
          </w:rPr>
        </w:r>
        <w:r w:rsidR="00B64017">
          <w:rPr>
            <w:webHidden/>
          </w:rPr>
          <w:fldChar w:fldCharType="separate"/>
        </w:r>
        <w:r>
          <w:rPr>
            <w:webHidden/>
          </w:rPr>
          <w:t>37</w:t>
        </w:r>
        <w:r w:rsidR="00B64017">
          <w:rPr>
            <w:webHidden/>
          </w:rPr>
          <w:fldChar w:fldCharType="end"/>
        </w:r>
      </w:hyperlink>
    </w:p>
    <w:p w14:paraId="2F59DA71" w14:textId="7D4E825D" w:rsidR="00B64017" w:rsidRDefault="003546A7">
      <w:pPr>
        <w:pStyle w:val="TOC2"/>
        <w:rPr>
          <w:rFonts w:asciiTheme="minorHAnsi" w:eastAsiaTheme="minorEastAsia" w:hAnsiTheme="minorHAnsi" w:cstheme="minorBidi"/>
          <w:b w:val="0"/>
          <w:i w:val="0"/>
          <w:sz w:val="22"/>
          <w:szCs w:val="22"/>
        </w:rPr>
      </w:pPr>
      <w:hyperlink w:anchor="_Toc497148323" w:history="1">
        <w:r w:rsidR="00B64017" w:rsidRPr="0032514B">
          <w:rPr>
            <w:rStyle w:val="Hyperlink"/>
            <w14:scene3d>
              <w14:camera w14:prst="orthographicFront"/>
              <w14:lightRig w14:rig="threePt" w14:dir="t">
                <w14:rot w14:lat="0" w14:lon="0" w14:rev="0"/>
              </w14:lightRig>
            </w14:scene3d>
          </w:rPr>
          <w:t>12.1</w:t>
        </w:r>
        <w:r w:rsidR="00B64017">
          <w:rPr>
            <w:rFonts w:asciiTheme="minorHAnsi" w:eastAsiaTheme="minorEastAsia" w:hAnsiTheme="minorHAnsi" w:cstheme="minorBidi"/>
            <w:b w:val="0"/>
            <w:i w:val="0"/>
            <w:sz w:val="22"/>
            <w:szCs w:val="22"/>
          </w:rPr>
          <w:tab/>
        </w:r>
        <w:r w:rsidR="00B64017" w:rsidRPr="0032514B">
          <w:rPr>
            <w:rStyle w:val="Hyperlink"/>
          </w:rPr>
          <w:t>National Action Plan</w:t>
        </w:r>
        <w:r w:rsidR="00B64017">
          <w:rPr>
            <w:webHidden/>
          </w:rPr>
          <w:tab/>
        </w:r>
        <w:r w:rsidR="00B64017">
          <w:rPr>
            <w:webHidden/>
          </w:rPr>
          <w:fldChar w:fldCharType="begin"/>
        </w:r>
        <w:r w:rsidR="00B64017">
          <w:rPr>
            <w:webHidden/>
          </w:rPr>
          <w:instrText xml:space="preserve"> PAGEREF _Toc497148323 \h </w:instrText>
        </w:r>
        <w:r w:rsidR="00B64017">
          <w:rPr>
            <w:webHidden/>
          </w:rPr>
        </w:r>
        <w:r w:rsidR="00B64017">
          <w:rPr>
            <w:webHidden/>
          </w:rPr>
          <w:fldChar w:fldCharType="separate"/>
        </w:r>
        <w:r>
          <w:rPr>
            <w:webHidden/>
          </w:rPr>
          <w:t>37</w:t>
        </w:r>
        <w:r w:rsidR="00B64017">
          <w:rPr>
            <w:webHidden/>
          </w:rPr>
          <w:fldChar w:fldCharType="end"/>
        </w:r>
      </w:hyperlink>
    </w:p>
    <w:p w14:paraId="251DFBB7" w14:textId="4B4CF27C" w:rsidR="00B64017" w:rsidRDefault="003546A7">
      <w:pPr>
        <w:pStyle w:val="TOC2"/>
        <w:rPr>
          <w:rFonts w:asciiTheme="minorHAnsi" w:eastAsiaTheme="minorEastAsia" w:hAnsiTheme="minorHAnsi" w:cstheme="minorBidi"/>
          <w:b w:val="0"/>
          <w:i w:val="0"/>
          <w:sz w:val="22"/>
          <w:szCs w:val="22"/>
        </w:rPr>
      </w:pPr>
      <w:hyperlink w:anchor="_Toc497148324" w:history="1">
        <w:r w:rsidR="00B64017" w:rsidRPr="0032514B">
          <w:rPr>
            <w:rStyle w:val="Hyperlink"/>
            <w14:scene3d>
              <w14:camera w14:prst="orthographicFront"/>
              <w14:lightRig w14:rig="threePt" w14:dir="t">
                <w14:rot w14:lat="0" w14:lon="0" w14:rev="0"/>
              </w14:lightRig>
            </w14:scene3d>
          </w:rPr>
          <w:t>12.2</w:t>
        </w:r>
        <w:r w:rsidR="00B64017">
          <w:rPr>
            <w:rFonts w:asciiTheme="minorHAnsi" w:eastAsiaTheme="minorEastAsia" w:hAnsiTheme="minorHAnsi" w:cstheme="minorBidi"/>
            <w:b w:val="0"/>
            <w:i w:val="0"/>
            <w:sz w:val="22"/>
            <w:szCs w:val="22"/>
          </w:rPr>
          <w:tab/>
        </w:r>
        <w:r w:rsidR="00B64017" w:rsidRPr="0032514B">
          <w:rPr>
            <w:rStyle w:val="Hyperlink"/>
          </w:rPr>
          <w:t>Modern slavery</w:t>
        </w:r>
        <w:r w:rsidR="00B64017">
          <w:rPr>
            <w:webHidden/>
          </w:rPr>
          <w:tab/>
        </w:r>
        <w:r w:rsidR="00B64017">
          <w:rPr>
            <w:webHidden/>
          </w:rPr>
          <w:fldChar w:fldCharType="begin"/>
        </w:r>
        <w:r w:rsidR="00B64017">
          <w:rPr>
            <w:webHidden/>
          </w:rPr>
          <w:instrText xml:space="preserve"> PAGEREF _Toc497148324 \h </w:instrText>
        </w:r>
        <w:r w:rsidR="00B64017">
          <w:rPr>
            <w:webHidden/>
          </w:rPr>
        </w:r>
        <w:r w:rsidR="00B64017">
          <w:rPr>
            <w:webHidden/>
          </w:rPr>
          <w:fldChar w:fldCharType="separate"/>
        </w:r>
        <w:r>
          <w:rPr>
            <w:webHidden/>
          </w:rPr>
          <w:t>37</w:t>
        </w:r>
        <w:r w:rsidR="00B64017">
          <w:rPr>
            <w:webHidden/>
          </w:rPr>
          <w:fldChar w:fldCharType="end"/>
        </w:r>
      </w:hyperlink>
    </w:p>
    <w:p w14:paraId="0A4E6D15" w14:textId="1D9CDBA5" w:rsidR="00B64017" w:rsidRDefault="003546A7">
      <w:pPr>
        <w:pStyle w:val="TOC2"/>
        <w:rPr>
          <w:rFonts w:asciiTheme="minorHAnsi" w:eastAsiaTheme="minorEastAsia" w:hAnsiTheme="minorHAnsi" w:cstheme="minorBidi"/>
          <w:b w:val="0"/>
          <w:i w:val="0"/>
          <w:sz w:val="22"/>
          <w:szCs w:val="22"/>
        </w:rPr>
      </w:pPr>
      <w:hyperlink w:anchor="_Toc497148325" w:history="1">
        <w:r w:rsidR="00B64017" w:rsidRPr="0032514B">
          <w:rPr>
            <w:rStyle w:val="Hyperlink"/>
            <w14:scene3d>
              <w14:camera w14:prst="orthographicFront"/>
              <w14:lightRig w14:rig="threePt" w14:dir="t">
                <w14:rot w14:lat="0" w14:lon="0" w14:rev="0"/>
              </w14:lightRig>
            </w14:scene3d>
          </w:rPr>
          <w:t>12.3</w:t>
        </w:r>
        <w:r w:rsidR="00B64017">
          <w:rPr>
            <w:rFonts w:asciiTheme="minorHAnsi" w:eastAsiaTheme="minorEastAsia" w:hAnsiTheme="minorHAnsi" w:cstheme="minorBidi"/>
            <w:b w:val="0"/>
            <w:i w:val="0"/>
            <w:sz w:val="22"/>
            <w:szCs w:val="22"/>
          </w:rPr>
          <w:tab/>
        </w:r>
        <w:r w:rsidR="00B64017" w:rsidRPr="0032514B">
          <w:rPr>
            <w:rStyle w:val="Hyperlink"/>
          </w:rPr>
          <w:t>Procurement</w:t>
        </w:r>
        <w:r w:rsidR="00B64017">
          <w:rPr>
            <w:webHidden/>
          </w:rPr>
          <w:tab/>
        </w:r>
        <w:r w:rsidR="00B64017">
          <w:rPr>
            <w:webHidden/>
          </w:rPr>
          <w:fldChar w:fldCharType="begin"/>
        </w:r>
        <w:r w:rsidR="00B64017">
          <w:rPr>
            <w:webHidden/>
          </w:rPr>
          <w:instrText xml:space="preserve"> PAGEREF _Toc497148325 \h </w:instrText>
        </w:r>
        <w:r w:rsidR="00B64017">
          <w:rPr>
            <w:webHidden/>
          </w:rPr>
        </w:r>
        <w:r w:rsidR="00B64017">
          <w:rPr>
            <w:webHidden/>
          </w:rPr>
          <w:fldChar w:fldCharType="separate"/>
        </w:r>
        <w:r>
          <w:rPr>
            <w:webHidden/>
          </w:rPr>
          <w:t>38</w:t>
        </w:r>
        <w:r w:rsidR="00B64017">
          <w:rPr>
            <w:webHidden/>
          </w:rPr>
          <w:fldChar w:fldCharType="end"/>
        </w:r>
      </w:hyperlink>
    </w:p>
    <w:p w14:paraId="7DBB6AAF" w14:textId="7C551D07" w:rsidR="00B64017" w:rsidRDefault="003546A7">
      <w:pPr>
        <w:pStyle w:val="TOC1"/>
        <w:rPr>
          <w:rFonts w:asciiTheme="minorHAnsi" w:eastAsiaTheme="minorEastAsia" w:hAnsiTheme="minorHAnsi" w:cstheme="minorBidi"/>
          <w:b w:val="0"/>
          <w:szCs w:val="22"/>
        </w:rPr>
      </w:pPr>
      <w:hyperlink w:anchor="_Toc497148326" w:history="1">
        <w:r w:rsidR="00B64017" w:rsidRPr="0032514B">
          <w:rPr>
            <w:rStyle w:val="Hyperlink"/>
          </w:rPr>
          <w:t>Attachment 1: Compilation of Recommendations</w:t>
        </w:r>
        <w:r w:rsidR="00B64017">
          <w:rPr>
            <w:webHidden/>
          </w:rPr>
          <w:tab/>
        </w:r>
        <w:r w:rsidR="00B64017">
          <w:rPr>
            <w:webHidden/>
          </w:rPr>
          <w:fldChar w:fldCharType="begin"/>
        </w:r>
        <w:r w:rsidR="00B64017">
          <w:rPr>
            <w:webHidden/>
          </w:rPr>
          <w:instrText xml:space="preserve"> PAGEREF _Toc497148326 \h </w:instrText>
        </w:r>
        <w:r w:rsidR="00B64017">
          <w:rPr>
            <w:webHidden/>
          </w:rPr>
        </w:r>
        <w:r w:rsidR="00B64017">
          <w:rPr>
            <w:webHidden/>
          </w:rPr>
          <w:fldChar w:fldCharType="separate"/>
        </w:r>
        <w:r>
          <w:rPr>
            <w:webHidden/>
          </w:rPr>
          <w:t>39</w:t>
        </w:r>
        <w:r w:rsidR="00B64017">
          <w:rPr>
            <w:webHidden/>
          </w:rPr>
          <w:fldChar w:fldCharType="end"/>
        </w:r>
      </w:hyperlink>
    </w:p>
    <w:p w14:paraId="19F8B449" w14:textId="1A7152EE" w:rsidR="00B64017" w:rsidRDefault="003546A7">
      <w:pPr>
        <w:pStyle w:val="TOC1"/>
        <w:rPr>
          <w:rFonts w:asciiTheme="minorHAnsi" w:eastAsiaTheme="minorEastAsia" w:hAnsiTheme="minorHAnsi" w:cstheme="minorBidi"/>
          <w:b w:val="0"/>
          <w:szCs w:val="22"/>
        </w:rPr>
      </w:pPr>
      <w:hyperlink w:anchor="_Toc497148327" w:history="1">
        <w:r w:rsidR="00B64017" w:rsidRPr="0032514B">
          <w:rPr>
            <w:rStyle w:val="Hyperlink"/>
          </w:rPr>
          <w:t>Endnotes</w:t>
        </w:r>
        <w:r w:rsidR="00B64017">
          <w:rPr>
            <w:webHidden/>
          </w:rPr>
          <w:tab/>
        </w:r>
        <w:r w:rsidR="00B64017">
          <w:rPr>
            <w:webHidden/>
          </w:rPr>
          <w:fldChar w:fldCharType="begin"/>
        </w:r>
        <w:r w:rsidR="00B64017">
          <w:rPr>
            <w:webHidden/>
          </w:rPr>
          <w:instrText xml:space="preserve"> PAGEREF _Toc497148327 \h </w:instrText>
        </w:r>
        <w:r w:rsidR="00B64017">
          <w:rPr>
            <w:webHidden/>
          </w:rPr>
        </w:r>
        <w:r w:rsidR="00B64017">
          <w:rPr>
            <w:webHidden/>
          </w:rPr>
          <w:fldChar w:fldCharType="separate"/>
        </w:r>
        <w:r>
          <w:rPr>
            <w:webHidden/>
          </w:rPr>
          <w:t>45</w:t>
        </w:r>
        <w:r w:rsidR="00B64017">
          <w:rPr>
            <w:webHidden/>
          </w:rPr>
          <w:fldChar w:fldCharType="end"/>
        </w:r>
      </w:hyperlink>
    </w:p>
    <w:p w14:paraId="76F56481" w14:textId="0C59D9E2" w:rsidR="007C25B4" w:rsidRDefault="00B63D24" w:rsidP="0045639E">
      <w:r>
        <w:fldChar w:fldCharType="end"/>
      </w:r>
    </w:p>
    <w:p w14:paraId="3F1D8E64" w14:textId="77777777" w:rsidR="007C25B4" w:rsidRDefault="007C25B4">
      <w:pPr>
        <w:spacing w:before="0" w:after="0"/>
      </w:pPr>
      <w:r>
        <w:br w:type="page"/>
      </w:r>
    </w:p>
    <w:p w14:paraId="6BEC70F6" w14:textId="77777777" w:rsidR="00B34946" w:rsidRPr="00511DA4" w:rsidRDefault="00B34946" w:rsidP="00EC4B73">
      <w:pPr>
        <w:pStyle w:val="Heading1"/>
      </w:pPr>
      <w:bookmarkStart w:id="3" w:name="_Toc207761830"/>
      <w:bookmarkStart w:id="4" w:name="_Toc209578266"/>
      <w:bookmarkStart w:id="5" w:name="_Toc497148262"/>
      <w:r w:rsidRPr="00511DA4">
        <w:lastRenderedPageBreak/>
        <w:t>Introduction</w:t>
      </w:r>
      <w:bookmarkEnd w:id="3"/>
      <w:bookmarkEnd w:id="4"/>
      <w:bookmarkEnd w:id="5"/>
      <w:r w:rsidRPr="00511DA4">
        <w:t xml:space="preserve"> </w:t>
      </w:r>
    </w:p>
    <w:p w14:paraId="68B67704" w14:textId="77777777" w:rsidR="00EE4605" w:rsidRPr="00511DA4" w:rsidRDefault="00950A08" w:rsidP="00EE4605">
      <w:pPr>
        <w:pStyle w:val="SubmissionNormal"/>
      </w:pPr>
      <w:r w:rsidRPr="00511DA4">
        <w:t>This submission is made by the Australian Human Rights Commission. The Commission is an ‘A status’ national human rights institution established and operating in full compliance with the Paris Principles</w:t>
      </w:r>
      <w:bookmarkStart w:id="6" w:name="OLE_LINK1"/>
      <w:r w:rsidRPr="00511DA4">
        <w:t>.</w:t>
      </w:r>
      <w:bookmarkEnd w:id="6"/>
      <w:r w:rsidRPr="00511DA4">
        <w:t xml:space="preserve"> </w:t>
      </w:r>
    </w:p>
    <w:p w14:paraId="2028BEDD" w14:textId="08154001" w:rsidR="00366A48" w:rsidRDefault="00EE4605" w:rsidP="00633CE6">
      <w:pPr>
        <w:pStyle w:val="SubmissionNormal"/>
      </w:pPr>
      <w:r w:rsidRPr="00511DA4">
        <w:t xml:space="preserve">The Commission has a statutory power to promote and protect human rights under the </w:t>
      </w:r>
      <w:r w:rsidRPr="00972292">
        <w:rPr>
          <w:i/>
        </w:rPr>
        <w:t>Australian Human Rights Commission Act 1986</w:t>
      </w:r>
      <w:r w:rsidRPr="00511DA4">
        <w:t xml:space="preserve"> (Cth) (AHRC Act). </w:t>
      </w:r>
      <w:r w:rsidR="00953A98" w:rsidRPr="00511DA4">
        <w:t>The</w:t>
      </w:r>
      <w:r w:rsidR="004F4513" w:rsidRPr="00511DA4">
        <w:t xml:space="preserve"> AHRC Act defines human rights</w:t>
      </w:r>
      <w:r w:rsidRPr="00511DA4">
        <w:t xml:space="preserve"> </w:t>
      </w:r>
      <w:r w:rsidR="00953A98" w:rsidRPr="00511DA4">
        <w:t xml:space="preserve">as the international instruments scheduled to or declared under the AHRC Act, which includes the </w:t>
      </w:r>
      <w:r w:rsidR="00511DA4" w:rsidRPr="00972292">
        <w:rPr>
          <w:i/>
        </w:rPr>
        <w:t xml:space="preserve">International Convention on the Elimination of All Forms of Racial Discrimination </w:t>
      </w:r>
      <w:r w:rsidR="00953A98" w:rsidRPr="00511DA4">
        <w:t>(</w:t>
      </w:r>
      <w:r w:rsidR="00F10670">
        <w:t>CERD</w:t>
      </w:r>
      <w:r w:rsidR="00953A98" w:rsidRPr="00511DA4">
        <w:t xml:space="preserve">). </w:t>
      </w:r>
      <w:r w:rsidR="00633CE6">
        <w:t xml:space="preserve">The Commission’s work relating in this area is led by </w:t>
      </w:r>
      <w:r w:rsidR="00633CE6" w:rsidRPr="00972292">
        <w:t xml:space="preserve">Dr Tim Soutphommasane, </w:t>
      </w:r>
      <w:r w:rsidR="009E2F27">
        <w:t>Australia’s</w:t>
      </w:r>
      <w:r w:rsidR="00633CE6" w:rsidRPr="00972292">
        <w:t xml:space="preserve"> R</w:t>
      </w:r>
      <w:r w:rsidR="00633CE6">
        <w:t>ace Discrimination Commissioner.</w:t>
      </w:r>
    </w:p>
    <w:p w14:paraId="194B8EF8" w14:textId="77777777" w:rsidR="00B3524E" w:rsidRDefault="00972292" w:rsidP="009C23BD">
      <w:pPr>
        <w:pStyle w:val="SubmissionNormal"/>
      </w:pPr>
      <w:r w:rsidRPr="00972292">
        <w:rPr>
          <w:i/>
        </w:rPr>
        <w:t>The Racial Discrimination Act 1975</w:t>
      </w:r>
      <w:r>
        <w:t xml:space="preserve"> (Cth) (RDA) gives effect to Australia’s international human rights commitments, including CERD, and promotes equality between people of different backgrounds. The </w:t>
      </w:r>
      <w:r w:rsidR="00182E4E">
        <w:t>RDA</w:t>
      </w:r>
      <w:r>
        <w:t xml:space="preserve"> protects people across Australia from unfair treatment on the basis of their race, colour, descent, or national or ethnic origin in different areas of public life. It also makes racial vilification </w:t>
      </w:r>
      <w:r w:rsidR="00182E4E">
        <w:t>unlawful</w:t>
      </w:r>
      <w:r>
        <w:t xml:space="preserve">. </w:t>
      </w:r>
    </w:p>
    <w:p w14:paraId="3B00B2CA" w14:textId="72A20DD9" w:rsidR="00950A08" w:rsidRPr="00511DA4" w:rsidRDefault="00972292" w:rsidP="009C23BD">
      <w:pPr>
        <w:pStyle w:val="SubmissionNormal"/>
      </w:pPr>
      <w:r>
        <w:t>T</w:t>
      </w:r>
      <w:r w:rsidRPr="00972292">
        <w:t>he Commission</w:t>
      </w:r>
      <w:r>
        <w:t xml:space="preserve"> has the power under the AHRC Act to investigate and conciliate complaints made under the RDA by p</w:t>
      </w:r>
      <w:r w:rsidRPr="00972292">
        <w:t>eople who experience direct or indirect discrimination.</w:t>
      </w:r>
      <w:r>
        <w:t xml:space="preserve"> </w:t>
      </w:r>
      <w:r w:rsidR="00EE4605" w:rsidRPr="00511DA4">
        <w:t>Further i</w:t>
      </w:r>
      <w:r w:rsidR="00950A08" w:rsidRPr="00511DA4">
        <w:t xml:space="preserve">nformation about the Commission can be found </w:t>
      </w:r>
      <w:r w:rsidR="00D80539" w:rsidRPr="00511DA4">
        <w:t>at</w:t>
      </w:r>
      <w:r w:rsidR="00511DA4" w:rsidRPr="00511DA4">
        <w:t xml:space="preserve"> </w:t>
      </w:r>
      <w:hyperlink r:id="rId14" w:history="1">
        <w:r w:rsidR="00511DA4" w:rsidRPr="00130B26">
          <w:rPr>
            <w:rStyle w:val="Hyperlink"/>
          </w:rPr>
          <w:t>www.humanrights.gov.au</w:t>
        </w:r>
      </w:hyperlink>
      <w:r w:rsidR="00950A08" w:rsidRPr="00511DA4">
        <w:t>.</w:t>
      </w:r>
    </w:p>
    <w:p w14:paraId="24D7BD29" w14:textId="2A1DE5A0" w:rsidR="00B34946" w:rsidRPr="00511DA4" w:rsidRDefault="009706AA" w:rsidP="009706AA">
      <w:pPr>
        <w:pStyle w:val="SubmissionNormal"/>
      </w:pPr>
      <w:r w:rsidRPr="00511DA4">
        <w:t xml:space="preserve">The Commission thanks the </w:t>
      </w:r>
      <w:r w:rsidR="00EE4605" w:rsidRPr="00511DA4">
        <w:t xml:space="preserve">United Nations </w:t>
      </w:r>
      <w:r w:rsidR="003E12D7">
        <w:t>Committee on the Elimination of Racial Discrimination</w:t>
      </w:r>
      <w:r w:rsidRPr="00511DA4">
        <w:t xml:space="preserve"> (</w:t>
      </w:r>
      <w:r w:rsidR="00EE4605" w:rsidRPr="00511DA4">
        <w:t>the Committee</w:t>
      </w:r>
      <w:r w:rsidRPr="00511DA4">
        <w:t xml:space="preserve">) for the opportunity to provide a written contribution prior to its consideration of Australia’s </w:t>
      </w:r>
      <w:r w:rsidR="00E17D61">
        <w:t>18</w:t>
      </w:r>
      <w:r w:rsidR="00E17D61" w:rsidRPr="00E17D61">
        <w:rPr>
          <w:vertAlign w:val="superscript"/>
        </w:rPr>
        <w:t>th</w:t>
      </w:r>
      <w:r w:rsidR="00E17D61">
        <w:t xml:space="preserve"> to 20</w:t>
      </w:r>
      <w:r w:rsidR="00E17D61" w:rsidRPr="00E17D61">
        <w:rPr>
          <w:vertAlign w:val="superscript"/>
        </w:rPr>
        <w:t>th</w:t>
      </w:r>
      <w:r w:rsidR="00E17D61">
        <w:t xml:space="preserve"> periodic</w:t>
      </w:r>
      <w:r w:rsidRPr="00511DA4">
        <w:t xml:space="preserve"> report under </w:t>
      </w:r>
      <w:r w:rsidR="00F10670">
        <w:t>CERD</w:t>
      </w:r>
      <w:r w:rsidRPr="00511DA4">
        <w:t xml:space="preserve">. </w:t>
      </w:r>
      <w:r w:rsidR="00953A98" w:rsidRPr="00511DA4">
        <w:t>The Commission</w:t>
      </w:r>
      <w:r w:rsidRPr="00511DA4">
        <w:t xml:space="preserve"> look</w:t>
      </w:r>
      <w:r w:rsidR="00953A98" w:rsidRPr="00511DA4">
        <w:t>s</w:t>
      </w:r>
      <w:r w:rsidRPr="00511DA4">
        <w:t xml:space="preserve"> forward to further engaging with the Committee</w:t>
      </w:r>
      <w:r w:rsidR="00B34946" w:rsidRPr="00511DA4">
        <w:t>.</w:t>
      </w:r>
    </w:p>
    <w:p w14:paraId="03809634" w14:textId="2BE9A40B" w:rsidR="00FC1673" w:rsidRPr="00483073" w:rsidRDefault="00FC1673" w:rsidP="00FC1673">
      <w:pPr>
        <w:pStyle w:val="SubmissionNormal"/>
        <w:rPr>
          <w:b/>
        </w:rPr>
      </w:pPr>
      <w:r w:rsidRPr="00511DA4">
        <w:t xml:space="preserve">The Commission </w:t>
      </w:r>
      <w:r w:rsidR="00D15828">
        <w:t xml:space="preserve">recognises the steps taken by </w:t>
      </w:r>
      <w:r w:rsidRPr="00511DA4">
        <w:t xml:space="preserve">the </w:t>
      </w:r>
      <w:r w:rsidR="00F91F55" w:rsidRPr="00511DA4">
        <w:t xml:space="preserve">Australian </w:t>
      </w:r>
      <w:r w:rsidRPr="00511DA4">
        <w:t xml:space="preserve">Government </w:t>
      </w:r>
      <w:r w:rsidR="00D1115C" w:rsidRPr="00511DA4">
        <w:t>to improve Au</w:t>
      </w:r>
      <w:r w:rsidR="00C30152" w:rsidRPr="00511DA4">
        <w:t xml:space="preserve">stralia’s human rights situation </w:t>
      </w:r>
      <w:r w:rsidRPr="00511DA4">
        <w:t xml:space="preserve">following the Committee’s concluding observations </w:t>
      </w:r>
      <w:r w:rsidR="00D1115C" w:rsidRPr="00511DA4">
        <w:t xml:space="preserve">in respect of </w:t>
      </w:r>
      <w:r w:rsidRPr="00511DA4">
        <w:t xml:space="preserve">Australia’s </w:t>
      </w:r>
      <w:r w:rsidR="00511DA4" w:rsidRPr="00511DA4">
        <w:t>15</w:t>
      </w:r>
      <w:r w:rsidR="00511DA4" w:rsidRPr="00511DA4">
        <w:rPr>
          <w:vertAlign w:val="superscript"/>
        </w:rPr>
        <w:t xml:space="preserve">th </w:t>
      </w:r>
      <w:r w:rsidR="005329BA">
        <w:t xml:space="preserve">to </w:t>
      </w:r>
      <w:r w:rsidR="00511DA4" w:rsidRPr="00511DA4">
        <w:t>17</w:t>
      </w:r>
      <w:r w:rsidR="00511DA4" w:rsidRPr="00511DA4">
        <w:rPr>
          <w:vertAlign w:val="superscript"/>
        </w:rPr>
        <w:t>th</w:t>
      </w:r>
      <w:r w:rsidR="006E2EAC" w:rsidRPr="00511DA4">
        <w:t xml:space="preserve"> </w:t>
      </w:r>
      <w:r w:rsidRPr="00511DA4">
        <w:t xml:space="preserve">periodic report. </w:t>
      </w:r>
      <w:r w:rsidR="00E64663">
        <w:t>T</w:t>
      </w:r>
      <w:r w:rsidRPr="00511DA4">
        <w:t>he</w:t>
      </w:r>
      <w:r w:rsidR="00C30152" w:rsidRPr="00511DA4">
        <w:t xml:space="preserve"> </w:t>
      </w:r>
      <w:r w:rsidR="00DE1984" w:rsidRPr="00511DA4">
        <w:t>primary purpose of this submission is to identify issues of concern</w:t>
      </w:r>
      <w:r w:rsidR="00511DA4" w:rsidRPr="00511DA4">
        <w:t xml:space="preserve"> to assist the Committee with its assessment of Australia’s 18</w:t>
      </w:r>
      <w:r w:rsidR="00511DA4" w:rsidRPr="00511DA4">
        <w:rPr>
          <w:vertAlign w:val="superscript"/>
        </w:rPr>
        <w:t>th</w:t>
      </w:r>
      <w:r w:rsidR="00511DA4" w:rsidRPr="00511DA4">
        <w:t xml:space="preserve"> </w:t>
      </w:r>
      <w:r w:rsidR="005329BA">
        <w:t>to</w:t>
      </w:r>
      <w:r w:rsidR="00511DA4" w:rsidRPr="00511DA4">
        <w:t xml:space="preserve"> 20</w:t>
      </w:r>
      <w:r w:rsidR="00511DA4" w:rsidRPr="00511DA4">
        <w:rPr>
          <w:vertAlign w:val="superscript"/>
        </w:rPr>
        <w:t>th</w:t>
      </w:r>
      <w:r w:rsidR="00511DA4" w:rsidRPr="00511DA4">
        <w:t xml:space="preserve"> </w:t>
      </w:r>
      <w:r w:rsidR="00511DA4" w:rsidRPr="00BB22D3">
        <w:t xml:space="preserve">periodic report at the </w:t>
      </w:r>
      <w:r w:rsidR="001165B7">
        <w:t>Committee’s 94</w:t>
      </w:r>
      <w:r w:rsidR="001165B7" w:rsidRPr="001165B7">
        <w:rPr>
          <w:vertAlign w:val="superscript"/>
        </w:rPr>
        <w:t>th</w:t>
      </w:r>
      <w:r w:rsidR="001165B7">
        <w:t xml:space="preserve"> session</w:t>
      </w:r>
      <w:r w:rsidR="00511DA4" w:rsidRPr="00BB22D3">
        <w:t xml:space="preserve"> in Geneva</w:t>
      </w:r>
      <w:r w:rsidRPr="00BB22D3">
        <w:t>.</w:t>
      </w:r>
      <w:r w:rsidR="00C30152" w:rsidRPr="00BB22D3">
        <w:t xml:space="preserve"> </w:t>
      </w:r>
      <w:r w:rsidRPr="00BB22D3">
        <w:t xml:space="preserve"> </w:t>
      </w:r>
    </w:p>
    <w:p w14:paraId="200F93B3" w14:textId="1B5D78E1" w:rsidR="001165B7" w:rsidRPr="00BB22D3" w:rsidRDefault="001165B7" w:rsidP="00FC1673">
      <w:pPr>
        <w:pStyle w:val="SubmissionNormal"/>
        <w:rPr>
          <w:b/>
        </w:rPr>
      </w:pPr>
      <w:r w:rsidRPr="00BB22D3">
        <w:t>This submission provides information concerning racial discrimination experienced by key population groups in Australia and other thematic issues relating to racial discrimination. In relation to each section, the Commission has</w:t>
      </w:r>
      <w:r>
        <w:t>, where appropriate,</w:t>
      </w:r>
      <w:r w:rsidRPr="00BB22D3">
        <w:t xml:space="preserve"> referred </w:t>
      </w:r>
      <w:r>
        <w:t xml:space="preserve">to the relevant articles of CERD engaged and </w:t>
      </w:r>
      <w:r w:rsidRPr="00BB22D3">
        <w:t>the relevant paragraph of the Committee’s concluding observations</w:t>
      </w:r>
      <w:r>
        <w:t xml:space="preserve"> of 13 </w:t>
      </w:r>
      <w:r w:rsidRPr="00BB22D3">
        <w:t>September 2010 on Australia’s 15</w:t>
      </w:r>
      <w:r w:rsidRPr="00BB22D3">
        <w:rPr>
          <w:vertAlign w:val="superscript"/>
        </w:rPr>
        <w:t>th</w:t>
      </w:r>
      <w:r w:rsidRPr="00BB22D3">
        <w:t xml:space="preserve"> </w:t>
      </w:r>
      <w:r>
        <w:t>to</w:t>
      </w:r>
      <w:r w:rsidRPr="00BB22D3">
        <w:t xml:space="preserve"> 17</w:t>
      </w:r>
      <w:r w:rsidRPr="00BB22D3">
        <w:rPr>
          <w:vertAlign w:val="superscript"/>
        </w:rPr>
        <w:t>th</w:t>
      </w:r>
      <w:r w:rsidRPr="00BB22D3">
        <w:t xml:space="preserve"> periodic report.</w:t>
      </w:r>
    </w:p>
    <w:p w14:paraId="770F073A" w14:textId="77777777" w:rsidR="009706AA" w:rsidRPr="00BB22D3" w:rsidRDefault="00EE4605" w:rsidP="009706AA">
      <w:pPr>
        <w:pStyle w:val="SubmissionNormal"/>
      </w:pPr>
      <w:r w:rsidRPr="00BB22D3">
        <w:t>This</w:t>
      </w:r>
      <w:r w:rsidR="009706AA" w:rsidRPr="00BB22D3">
        <w:t xml:space="preserve"> submission is based on work that has been undertaken by the Commission in accordance with </w:t>
      </w:r>
      <w:r w:rsidR="00953A98" w:rsidRPr="00BB22D3">
        <w:t>its</w:t>
      </w:r>
      <w:r w:rsidR="009706AA" w:rsidRPr="00BB22D3">
        <w:t xml:space="preserve"> mandate and functions</w:t>
      </w:r>
      <w:r w:rsidR="00DE1309" w:rsidRPr="00BB22D3">
        <w:t xml:space="preserve">, or otherwise </w:t>
      </w:r>
      <w:r w:rsidR="004F4513" w:rsidRPr="00BB22D3">
        <w:t xml:space="preserve">on </w:t>
      </w:r>
      <w:r w:rsidR="00DE1309" w:rsidRPr="00BB22D3">
        <w:t>publicly available information</w:t>
      </w:r>
      <w:r w:rsidR="009706AA" w:rsidRPr="00BB22D3">
        <w:t xml:space="preserve">. The </w:t>
      </w:r>
      <w:r w:rsidR="002365D9" w:rsidRPr="00BB22D3">
        <w:t xml:space="preserve">Commission has brought the issues raised in this submission to the </w:t>
      </w:r>
      <w:r w:rsidR="009706AA" w:rsidRPr="00BB22D3">
        <w:t xml:space="preserve">attention of the Australian </w:t>
      </w:r>
      <w:r w:rsidR="00DE1984" w:rsidRPr="00BB22D3">
        <w:t>G</w:t>
      </w:r>
      <w:r w:rsidR="009706AA" w:rsidRPr="00BB22D3">
        <w:t>overnment.</w:t>
      </w:r>
    </w:p>
    <w:p w14:paraId="76EE12E6" w14:textId="6B7610BF" w:rsidR="009706AA" w:rsidRDefault="009706AA" w:rsidP="001165B7">
      <w:pPr>
        <w:pStyle w:val="SubmissionNormal"/>
      </w:pPr>
      <w:r w:rsidRPr="00BB22D3">
        <w:lastRenderedPageBreak/>
        <w:t xml:space="preserve">The </w:t>
      </w:r>
      <w:r w:rsidR="00EE4605" w:rsidRPr="00BB22D3">
        <w:t xml:space="preserve">Commission’s </w:t>
      </w:r>
      <w:r w:rsidRPr="00BB22D3">
        <w:t xml:space="preserve">proposed recommendations are contained in the body of </w:t>
      </w:r>
      <w:r w:rsidR="00EE4605" w:rsidRPr="00BB22D3">
        <w:t>this</w:t>
      </w:r>
      <w:r w:rsidRPr="00BB22D3">
        <w:t xml:space="preserve"> submission and </w:t>
      </w:r>
      <w:r w:rsidR="00EE4605" w:rsidRPr="00BB22D3">
        <w:t xml:space="preserve">also </w:t>
      </w:r>
      <w:r w:rsidRPr="00BB22D3">
        <w:t xml:space="preserve">compiled in </w:t>
      </w:r>
      <w:r w:rsidR="00514832" w:rsidRPr="00483073">
        <w:rPr>
          <w:b/>
        </w:rPr>
        <w:t>Attachment</w:t>
      </w:r>
      <w:r w:rsidRPr="00483073">
        <w:rPr>
          <w:b/>
        </w:rPr>
        <w:t xml:space="preserve"> 1</w:t>
      </w:r>
      <w:r w:rsidRPr="00BB22D3">
        <w:t>.</w:t>
      </w:r>
    </w:p>
    <w:p w14:paraId="2D9CEC04" w14:textId="3064372E" w:rsidR="00EC66C9" w:rsidRPr="000E1C94" w:rsidRDefault="00EC66C9" w:rsidP="001E5718">
      <w:pPr>
        <w:pStyle w:val="Heading1"/>
      </w:pPr>
      <w:bookmarkStart w:id="7" w:name="_Toc497148263"/>
      <w:r w:rsidRPr="000E1C94">
        <w:t>Priority areas</w:t>
      </w:r>
      <w:bookmarkEnd w:id="7"/>
    </w:p>
    <w:p w14:paraId="66933FAC" w14:textId="2F25E932" w:rsidR="00CC5FC7" w:rsidRPr="000C722E" w:rsidRDefault="00CC5FC7" w:rsidP="00CC5FC7">
      <w:pPr>
        <w:pStyle w:val="SubmissionNormal"/>
        <w:tabs>
          <w:tab w:val="clear" w:pos="7383"/>
        </w:tabs>
        <w:rPr>
          <w:rFonts w:eastAsia="MS Mincho"/>
        </w:rPr>
      </w:pPr>
      <w:r>
        <w:t>The Commission considers all of the information and recommendations provided in this submission to be of importance to Australia’s compliance with CERD. However, the Commission wishes to draw the Committee’s attention to three areas of particular importance:</w:t>
      </w:r>
    </w:p>
    <w:p w14:paraId="327BC91E" w14:textId="0162FBBA" w:rsidR="004274F0" w:rsidRDefault="001C5F9A" w:rsidP="000F1F4B">
      <w:pPr>
        <w:pStyle w:val="ListParagraph"/>
        <w:numPr>
          <w:ilvl w:val="0"/>
          <w:numId w:val="25"/>
        </w:numPr>
        <w:contextualSpacing/>
        <w:rPr>
          <w:rFonts w:eastAsia="MS Mincho"/>
          <w:b w:val="0"/>
        </w:rPr>
      </w:pPr>
      <w:r>
        <w:rPr>
          <w:rFonts w:eastAsia="MS Mincho"/>
          <w:b w:val="0"/>
        </w:rPr>
        <w:t>The collection of</w:t>
      </w:r>
      <w:r w:rsidR="004274F0">
        <w:rPr>
          <w:rFonts w:eastAsia="MS Mincho"/>
          <w:b w:val="0"/>
        </w:rPr>
        <w:t xml:space="preserve"> comprehensive data in relation to racial discrimination, cultural diversity, racially motivated crimes and multiculturalism generally, as disc</w:t>
      </w:r>
      <w:r w:rsidR="00B37020">
        <w:rPr>
          <w:rFonts w:eastAsia="MS Mincho"/>
          <w:b w:val="0"/>
        </w:rPr>
        <w:t xml:space="preserve">ussed in </w:t>
      </w:r>
      <w:hyperlink w:anchor="_Data_collection_(CERD" w:history="1">
        <w:r w:rsidR="00B37020" w:rsidRPr="001C5F9A">
          <w:rPr>
            <w:rStyle w:val="Hyperlink"/>
            <w:rFonts w:eastAsia="MS Mincho"/>
            <w:b w:val="0"/>
          </w:rPr>
          <w:t>section 4</w:t>
        </w:r>
        <w:r w:rsidR="004274F0" w:rsidRPr="001C5F9A">
          <w:rPr>
            <w:rStyle w:val="Hyperlink"/>
            <w:rFonts w:eastAsia="MS Mincho"/>
            <w:b w:val="0"/>
          </w:rPr>
          <w:t>.5</w:t>
        </w:r>
      </w:hyperlink>
      <w:r w:rsidR="004274F0">
        <w:rPr>
          <w:rFonts w:eastAsia="MS Mincho"/>
          <w:b w:val="0"/>
        </w:rPr>
        <w:t xml:space="preserve">. </w:t>
      </w:r>
    </w:p>
    <w:p w14:paraId="4D5FB3E2" w14:textId="77777777" w:rsidR="00972B2B" w:rsidRDefault="00972B2B" w:rsidP="00972B2B">
      <w:pPr>
        <w:pStyle w:val="ListParagraph"/>
        <w:numPr>
          <w:ilvl w:val="0"/>
          <w:numId w:val="0"/>
        </w:numPr>
        <w:ind w:left="1440"/>
        <w:contextualSpacing/>
        <w:rPr>
          <w:rFonts w:eastAsia="MS Mincho"/>
          <w:b w:val="0"/>
        </w:rPr>
      </w:pPr>
    </w:p>
    <w:p w14:paraId="78B0E56D" w14:textId="15012319" w:rsidR="004274F0" w:rsidRDefault="001C5F9A" w:rsidP="000F1F4B">
      <w:pPr>
        <w:pStyle w:val="ListParagraph"/>
        <w:numPr>
          <w:ilvl w:val="0"/>
          <w:numId w:val="25"/>
        </w:numPr>
        <w:contextualSpacing/>
        <w:rPr>
          <w:rFonts w:eastAsia="MS Mincho"/>
          <w:b w:val="0"/>
        </w:rPr>
      </w:pPr>
      <w:r>
        <w:rPr>
          <w:rFonts w:eastAsia="MS Mincho"/>
          <w:b w:val="0"/>
        </w:rPr>
        <w:t>Consideration and</w:t>
      </w:r>
      <w:r w:rsidR="004274F0">
        <w:rPr>
          <w:rFonts w:eastAsia="MS Mincho"/>
          <w:b w:val="0"/>
        </w:rPr>
        <w:t xml:space="preserve"> implementation of relevant recommendations</w:t>
      </w:r>
      <w:r w:rsidR="002044E2">
        <w:rPr>
          <w:rFonts w:eastAsia="MS Mincho"/>
          <w:b w:val="0"/>
        </w:rPr>
        <w:t>, once released,</w:t>
      </w:r>
      <w:r w:rsidR="004274F0">
        <w:rPr>
          <w:rFonts w:eastAsia="MS Mincho"/>
          <w:b w:val="0"/>
        </w:rPr>
        <w:t xml:space="preserve"> of the </w:t>
      </w:r>
      <w:r w:rsidR="00BB1756">
        <w:rPr>
          <w:rFonts w:eastAsia="MS Mincho"/>
          <w:b w:val="0"/>
        </w:rPr>
        <w:t>Royal Commission into the Protection and Detention of Children in the Northern Territory</w:t>
      </w:r>
      <w:r w:rsidR="004274F0">
        <w:rPr>
          <w:rFonts w:eastAsia="MS Mincho"/>
          <w:b w:val="0"/>
        </w:rPr>
        <w:t xml:space="preserve">, as discussed in </w:t>
      </w:r>
      <w:hyperlink w:anchor="_NT_Royal_Commission" w:history="1">
        <w:r w:rsidR="004274F0" w:rsidRPr="001C5F9A">
          <w:rPr>
            <w:rStyle w:val="Hyperlink"/>
            <w:rFonts w:eastAsia="MS Mincho"/>
            <w:b w:val="0"/>
          </w:rPr>
          <w:t>section 5.4(</w:t>
        </w:r>
        <w:r>
          <w:rPr>
            <w:rStyle w:val="Hyperlink"/>
            <w:rFonts w:eastAsia="MS Mincho"/>
            <w:b w:val="0"/>
          </w:rPr>
          <w:t>b</w:t>
        </w:r>
        <w:r w:rsidR="004274F0" w:rsidRPr="001C5F9A">
          <w:rPr>
            <w:rStyle w:val="Hyperlink"/>
            <w:rFonts w:eastAsia="MS Mincho"/>
            <w:b w:val="0"/>
          </w:rPr>
          <w:t>)</w:t>
        </w:r>
      </w:hyperlink>
      <w:r w:rsidR="004274F0">
        <w:rPr>
          <w:rFonts w:eastAsia="MS Mincho"/>
          <w:b w:val="0"/>
        </w:rPr>
        <w:t xml:space="preserve">. </w:t>
      </w:r>
    </w:p>
    <w:p w14:paraId="4838BDE8" w14:textId="77777777" w:rsidR="00972B2B" w:rsidRPr="00972B2B" w:rsidRDefault="00972B2B" w:rsidP="00972B2B">
      <w:pPr>
        <w:pStyle w:val="ListParagraph"/>
        <w:numPr>
          <w:ilvl w:val="0"/>
          <w:numId w:val="0"/>
        </w:numPr>
        <w:ind w:left="1440"/>
        <w:contextualSpacing/>
        <w:rPr>
          <w:rFonts w:eastAsia="MS Mincho"/>
          <w:b w:val="0"/>
        </w:rPr>
      </w:pPr>
    </w:p>
    <w:p w14:paraId="04B203B5" w14:textId="08E654FB" w:rsidR="000E1C94" w:rsidRDefault="004F537C" w:rsidP="004F537C">
      <w:pPr>
        <w:pStyle w:val="ListParagraph"/>
        <w:numPr>
          <w:ilvl w:val="0"/>
          <w:numId w:val="25"/>
        </w:numPr>
        <w:contextualSpacing/>
        <w:rPr>
          <w:rFonts w:eastAsia="MS Mincho"/>
          <w:b w:val="0"/>
        </w:rPr>
      </w:pPr>
      <w:r w:rsidRPr="004F537C">
        <w:rPr>
          <w:rFonts w:eastAsia="Calibri"/>
          <w:b w:val="0"/>
          <w:lang w:val="en-NZ" w:eastAsia="en-US"/>
        </w:rPr>
        <w:t xml:space="preserve">Training of police in cultural competency and anti-racism; compliance of police practices with international human rights law (including those rights enshrined in CERD and given expression in the </w:t>
      </w:r>
      <w:r w:rsidRPr="004F537C">
        <w:rPr>
          <w:rFonts w:eastAsia="Calibri"/>
          <w:b w:val="0"/>
          <w:i/>
          <w:lang w:val="en-NZ" w:eastAsia="en-US"/>
        </w:rPr>
        <w:t>Racial Discrimination Act 1975</w:t>
      </w:r>
      <w:r w:rsidRPr="004F537C">
        <w:rPr>
          <w:rFonts w:eastAsia="Calibri"/>
          <w:b w:val="0"/>
          <w:lang w:val="en-NZ" w:eastAsia="en-US"/>
        </w:rPr>
        <w:t xml:space="preserve"> (Cth)); and the response of the Queensland Government to </w:t>
      </w:r>
      <w:r w:rsidRPr="004F537C">
        <w:rPr>
          <w:rFonts w:eastAsia="Calibri"/>
          <w:b w:val="0"/>
          <w:i/>
          <w:lang w:val="en-NZ" w:eastAsia="en-US"/>
        </w:rPr>
        <w:t>Wotton v State of Queensland (No 5)</w:t>
      </w:r>
      <w:r w:rsidRPr="004F537C">
        <w:rPr>
          <w:rFonts w:eastAsia="Calibri"/>
          <w:b w:val="0"/>
          <w:lang w:val="en-NZ" w:eastAsia="en-US"/>
        </w:rPr>
        <w:t xml:space="preserve"> [2016] FCA 1457</w:t>
      </w:r>
      <w:r w:rsidR="004274F0" w:rsidRPr="004F537C">
        <w:rPr>
          <w:rFonts w:eastAsia="Calibri"/>
          <w:b w:val="0"/>
          <w:lang w:val="en-NZ" w:eastAsia="en-US"/>
        </w:rPr>
        <w:t>,</w:t>
      </w:r>
      <w:r w:rsidR="004274F0">
        <w:rPr>
          <w:rFonts w:eastAsia="Calibri"/>
          <w:b w:val="0"/>
          <w:lang w:val="en-NZ" w:eastAsia="en-US"/>
        </w:rPr>
        <w:t xml:space="preserve"> as discussed in </w:t>
      </w:r>
      <w:hyperlink w:anchor="_Police_practices_(CERD" w:history="1">
        <w:r w:rsidR="004274F0" w:rsidRPr="001C5F9A">
          <w:rPr>
            <w:rStyle w:val="Hyperlink"/>
            <w:rFonts w:eastAsia="Calibri"/>
            <w:b w:val="0"/>
            <w:lang w:val="en-NZ" w:eastAsia="en-US"/>
          </w:rPr>
          <w:t xml:space="preserve">section </w:t>
        </w:r>
      </w:hyperlink>
      <w:r w:rsidR="00972B2B">
        <w:rPr>
          <w:rStyle w:val="Hyperlink"/>
          <w:rFonts w:eastAsia="Calibri"/>
          <w:b w:val="0"/>
          <w:lang w:val="en-NZ" w:eastAsia="en-US"/>
        </w:rPr>
        <w:t>7</w:t>
      </w:r>
      <w:r w:rsidR="004274F0">
        <w:rPr>
          <w:rFonts w:eastAsia="Calibri"/>
          <w:b w:val="0"/>
          <w:lang w:val="en-NZ" w:eastAsia="en-US"/>
        </w:rPr>
        <w:t xml:space="preserve">. </w:t>
      </w:r>
    </w:p>
    <w:p w14:paraId="7E23CBB8" w14:textId="659E2514" w:rsidR="000F0009" w:rsidRPr="000F0009" w:rsidRDefault="000E1C94" w:rsidP="000E1C94">
      <w:pPr>
        <w:pStyle w:val="BodyText"/>
        <w:rPr>
          <w:rFonts w:eastAsia="MS Mincho"/>
          <w:b/>
        </w:rPr>
      </w:pPr>
      <w:r w:rsidRPr="000F0009">
        <w:rPr>
          <w:b/>
        </w:rPr>
        <w:t xml:space="preserve">The </w:t>
      </w:r>
      <w:r w:rsidR="00E64663" w:rsidRPr="000F0009">
        <w:rPr>
          <w:b/>
        </w:rPr>
        <w:t xml:space="preserve">Commission recommends that the </w:t>
      </w:r>
      <w:r w:rsidRPr="000F0009">
        <w:rPr>
          <w:b/>
        </w:rPr>
        <w:t xml:space="preserve">Committee request an update from the Australian Government on progress in relation to </w:t>
      </w:r>
      <w:r w:rsidR="000F0009">
        <w:rPr>
          <w:b/>
        </w:rPr>
        <w:t>the following</w:t>
      </w:r>
      <w:r w:rsidR="000F0009" w:rsidRPr="000F0009">
        <w:rPr>
          <w:b/>
        </w:rPr>
        <w:t xml:space="preserve"> </w:t>
      </w:r>
      <w:r w:rsidRPr="000F0009">
        <w:rPr>
          <w:b/>
        </w:rPr>
        <w:t>priority areas in 12 months time under</w:t>
      </w:r>
      <w:r w:rsidR="00BB72F5" w:rsidRPr="000F0009">
        <w:rPr>
          <w:b/>
        </w:rPr>
        <w:t xml:space="preserve"> article 9(1) of CERD and</w:t>
      </w:r>
      <w:r w:rsidRPr="000F0009">
        <w:rPr>
          <w:b/>
        </w:rPr>
        <w:t xml:space="preserve"> </w:t>
      </w:r>
      <w:r w:rsidR="00BB72F5" w:rsidRPr="000F0009">
        <w:rPr>
          <w:b/>
        </w:rPr>
        <w:t>rule 65</w:t>
      </w:r>
      <w:r w:rsidRPr="000F0009">
        <w:rPr>
          <w:b/>
        </w:rPr>
        <w:t xml:space="preserve"> of the Rules of procedure</w:t>
      </w:r>
      <w:r w:rsidR="000F0009">
        <w:rPr>
          <w:b/>
        </w:rPr>
        <w:t>:</w:t>
      </w:r>
    </w:p>
    <w:p w14:paraId="331657EB" w14:textId="6628BF5F" w:rsidR="000F0009" w:rsidRPr="000F0009" w:rsidRDefault="000F0009" w:rsidP="000F0009">
      <w:pPr>
        <w:pStyle w:val="BodyText"/>
        <w:numPr>
          <w:ilvl w:val="2"/>
          <w:numId w:val="15"/>
        </w:numPr>
        <w:rPr>
          <w:rFonts w:eastAsia="MS Mincho"/>
          <w:b/>
        </w:rPr>
      </w:pPr>
      <w:r w:rsidRPr="000F0009">
        <w:rPr>
          <w:rFonts w:eastAsia="MS Mincho"/>
          <w:b/>
        </w:rPr>
        <w:t>The collection of comprehensive data in relation to racial discrimination, cultural diversity, racially motivated crimes and multiculturalism generally</w:t>
      </w:r>
      <w:r w:rsidR="00F062B8">
        <w:rPr>
          <w:rFonts w:eastAsia="MS Mincho"/>
          <w:b/>
        </w:rPr>
        <w:t xml:space="preserve"> (see Recommendation 18)</w:t>
      </w:r>
      <w:r w:rsidR="00BB1756">
        <w:rPr>
          <w:rFonts w:eastAsia="MS Mincho"/>
          <w:b/>
        </w:rPr>
        <w:t>.</w:t>
      </w:r>
    </w:p>
    <w:p w14:paraId="160F5B70" w14:textId="75258489" w:rsidR="000F0009" w:rsidRPr="000F0009" w:rsidRDefault="000F0009" w:rsidP="000F0009">
      <w:pPr>
        <w:pStyle w:val="BodyText"/>
        <w:numPr>
          <w:ilvl w:val="2"/>
          <w:numId w:val="15"/>
        </w:numPr>
        <w:rPr>
          <w:rFonts w:eastAsia="MS Mincho"/>
          <w:b/>
        </w:rPr>
      </w:pPr>
      <w:r w:rsidRPr="000F0009">
        <w:rPr>
          <w:rFonts w:eastAsia="MS Mincho"/>
          <w:b/>
        </w:rPr>
        <w:t>Consideration and implementation of relevant recommendations</w:t>
      </w:r>
      <w:r w:rsidR="002044E2">
        <w:rPr>
          <w:rFonts w:eastAsia="MS Mincho"/>
          <w:b/>
        </w:rPr>
        <w:t>, once released,</w:t>
      </w:r>
      <w:r w:rsidRPr="000F0009">
        <w:rPr>
          <w:rFonts w:eastAsia="MS Mincho"/>
          <w:b/>
        </w:rPr>
        <w:t xml:space="preserve"> of the Northern Territory Royal Commission into Children in Detention</w:t>
      </w:r>
      <w:r w:rsidR="00F062B8">
        <w:rPr>
          <w:rFonts w:eastAsia="MS Mincho"/>
          <w:b/>
        </w:rPr>
        <w:t xml:space="preserve"> (see Recommendation 22)</w:t>
      </w:r>
      <w:r w:rsidR="00BB1756">
        <w:rPr>
          <w:rFonts w:eastAsia="MS Mincho"/>
          <w:b/>
        </w:rPr>
        <w:t>.</w:t>
      </w:r>
    </w:p>
    <w:p w14:paraId="4C67AFBA" w14:textId="4AC31A30" w:rsidR="000F0009" w:rsidRPr="004F537C" w:rsidRDefault="004F537C" w:rsidP="004F537C">
      <w:pPr>
        <w:pStyle w:val="ListParagraph"/>
        <w:numPr>
          <w:ilvl w:val="2"/>
          <w:numId w:val="15"/>
        </w:numPr>
        <w:rPr>
          <w:rFonts w:eastAsia="Calibri"/>
          <w:lang w:val="en-NZ" w:eastAsia="en-US"/>
        </w:rPr>
      </w:pPr>
      <w:r w:rsidRPr="004F537C">
        <w:rPr>
          <w:rFonts w:eastAsia="Calibri"/>
          <w:lang w:val="en-NZ" w:eastAsia="en-US"/>
        </w:rPr>
        <w:t xml:space="preserve">Training of police in cultural competency and anti-racism; compliance of police practices with international human rights law (including those rights enshrined in CERD and given expression in the Racial Discrimination Act 1975 (Cth)); and the response of the Queensland Government to </w:t>
      </w:r>
      <w:r w:rsidRPr="004F537C">
        <w:rPr>
          <w:rFonts w:eastAsia="Calibri"/>
          <w:i/>
          <w:lang w:val="en-NZ" w:eastAsia="en-US"/>
        </w:rPr>
        <w:t>Wotton v State of Queensland (No 5)</w:t>
      </w:r>
      <w:r w:rsidRPr="004F537C">
        <w:rPr>
          <w:rFonts w:eastAsia="Calibri"/>
          <w:lang w:val="en-NZ" w:eastAsia="en-US"/>
        </w:rPr>
        <w:t xml:space="preserve"> [2016] FCA 1457 (see Recommendation 37).</w:t>
      </w:r>
      <w:r w:rsidR="009E2F27" w:rsidRPr="000F0009">
        <w:rPr>
          <w:rStyle w:val="EndnoteReference"/>
          <w:b w:val="0"/>
        </w:rPr>
        <w:endnoteReference w:id="2"/>
      </w:r>
    </w:p>
    <w:p w14:paraId="3321355B" w14:textId="77777777" w:rsidR="00B37020" w:rsidRPr="005329BA" w:rsidRDefault="00B37020" w:rsidP="00B37020">
      <w:pPr>
        <w:pStyle w:val="Heading1"/>
      </w:pPr>
      <w:bookmarkStart w:id="8" w:name="_Toc497148264"/>
      <w:bookmarkStart w:id="9" w:name="_Toc162769290"/>
      <w:bookmarkStart w:id="10" w:name="_Toc207761831"/>
      <w:bookmarkStart w:id="11" w:name="_Toc209578267"/>
      <w:r>
        <w:lastRenderedPageBreak/>
        <w:t>Human rights framework</w:t>
      </w:r>
      <w:bookmarkEnd w:id="8"/>
      <w:r w:rsidRPr="005329BA">
        <w:t xml:space="preserve"> </w:t>
      </w:r>
    </w:p>
    <w:p w14:paraId="1C08C4A5" w14:textId="77777777" w:rsidR="00B37020" w:rsidRPr="005329BA" w:rsidRDefault="00B37020" w:rsidP="00B37020">
      <w:pPr>
        <w:pStyle w:val="Heading2"/>
      </w:pPr>
      <w:bookmarkStart w:id="12" w:name="_Toc497148265"/>
      <w:r w:rsidRPr="005329BA">
        <w:t xml:space="preserve">Scrutiny of human rights and the Parliamentary Joint Committee on Human Rights </w:t>
      </w:r>
      <w:r w:rsidRPr="00C76BB8">
        <w:rPr>
          <w:color w:val="auto"/>
        </w:rPr>
        <w:t>(</w:t>
      </w:r>
      <w:r>
        <w:rPr>
          <w:color w:val="auto"/>
        </w:rPr>
        <w:t>CERD article 2</w:t>
      </w:r>
      <w:r w:rsidRPr="00C76BB8">
        <w:rPr>
          <w:color w:val="auto"/>
        </w:rPr>
        <w:t>; CO 9 &amp; 10)</w:t>
      </w:r>
      <w:bookmarkEnd w:id="12"/>
    </w:p>
    <w:p w14:paraId="176CA697" w14:textId="66EEB3F3" w:rsidR="00B37020" w:rsidRPr="005329BA" w:rsidRDefault="00B37020" w:rsidP="00B37020">
      <w:pPr>
        <w:pStyle w:val="SubmissionNormal"/>
      </w:pPr>
      <w:r w:rsidRPr="005329BA">
        <w:t xml:space="preserve">The Commission commends the </w:t>
      </w:r>
      <w:r>
        <w:t xml:space="preserve">Australian </w:t>
      </w:r>
      <w:r w:rsidRPr="005329BA">
        <w:t>Government for establishing the Parliamentary Joint Committee on Human Rights (PJCHR)</w:t>
      </w:r>
      <w:r w:rsidR="002044E2">
        <w:t xml:space="preserve"> in 2011</w:t>
      </w:r>
      <w:r w:rsidRPr="005329BA">
        <w:t>.</w:t>
      </w:r>
    </w:p>
    <w:p w14:paraId="3E3FAE9F" w14:textId="2D564D60" w:rsidR="00B37020" w:rsidRPr="005329BA" w:rsidRDefault="00B37020" w:rsidP="00B37020">
      <w:pPr>
        <w:pStyle w:val="SubmissionNormal"/>
      </w:pPr>
      <w:r w:rsidRPr="005329BA">
        <w:t>The PJCHR analyses bills and legislative instruments introduced into the federal Parliament for compliance with human rights. Since August 2012, the PJCHR has produced over 65 reports to Parliament assessing over 960 bills.</w:t>
      </w:r>
      <w:r w:rsidRPr="005329BA">
        <w:rPr>
          <w:vertAlign w:val="superscript"/>
        </w:rPr>
        <w:endnoteReference w:id="3"/>
      </w:r>
      <w:r w:rsidRPr="005329BA">
        <w:t xml:space="preserve"> </w:t>
      </w:r>
    </w:p>
    <w:p w14:paraId="2C1AD358" w14:textId="77777777" w:rsidR="00B37020" w:rsidRPr="005329BA" w:rsidRDefault="00B37020" w:rsidP="00B37020">
      <w:pPr>
        <w:pStyle w:val="SubmissionNormal"/>
      </w:pPr>
      <w:r w:rsidRPr="005329BA">
        <w:t xml:space="preserve">The </w:t>
      </w:r>
      <w:r w:rsidRPr="005329BA">
        <w:rPr>
          <w:i/>
        </w:rPr>
        <w:t>Human Rights (Parliamentary Scrutiny) Act 2011</w:t>
      </w:r>
      <w:r w:rsidRPr="005329BA">
        <w:t xml:space="preserve"> (Cth) requires each bill, regulation and ordinance introduced into Parliament to be accompanied by a statement of compatibility with human rights, defined as the seven core international human rights instruments to which Australia is a party.</w:t>
      </w:r>
      <w:r w:rsidRPr="005329BA">
        <w:rPr>
          <w:rStyle w:val="EndnoteReference"/>
        </w:rPr>
        <w:endnoteReference w:id="4"/>
      </w:r>
      <w:r w:rsidRPr="005329BA">
        <w:t xml:space="preserve"> </w:t>
      </w:r>
    </w:p>
    <w:p w14:paraId="1C2A98AF" w14:textId="5C875494" w:rsidR="00B37020" w:rsidRPr="005329BA" w:rsidRDefault="00B37020" w:rsidP="00B37020">
      <w:pPr>
        <w:pStyle w:val="SubmissionNormal"/>
      </w:pPr>
      <w:r w:rsidRPr="005329BA">
        <w:t xml:space="preserve">The Commission is concerned that the PJCHR’s views </w:t>
      </w:r>
      <w:r>
        <w:t xml:space="preserve">and concerns </w:t>
      </w:r>
      <w:r w:rsidR="00D15828">
        <w:t xml:space="preserve">do not always appear to be given consideration </w:t>
      </w:r>
      <w:r w:rsidRPr="005329BA">
        <w:t>during the legislative process</w:t>
      </w:r>
      <w:r>
        <w:t>. It is also concerned that it is possible for a bill to pass into law prior to the PJCHR releasing its conclusions in relation to the human rights compliance of the bill.</w:t>
      </w:r>
      <w:r w:rsidRPr="005329BA">
        <w:rPr>
          <w:rStyle w:val="EndnoteReference"/>
        </w:rPr>
        <w:endnoteReference w:id="5"/>
      </w:r>
      <w:r w:rsidRPr="005329BA">
        <w:t xml:space="preserve"> </w:t>
      </w:r>
    </w:p>
    <w:p w14:paraId="29303084" w14:textId="14D731EB" w:rsidR="00B37020" w:rsidRDefault="00B37020" w:rsidP="00B37020">
      <w:pPr>
        <w:pStyle w:val="SubmissionNormal"/>
      </w:pPr>
      <w:r w:rsidRPr="005329BA">
        <w:t>The Commission is concerned that there is var</w:t>
      </w:r>
      <w:r w:rsidR="00D15828">
        <w:t>iable</w:t>
      </w:r>
      <w:r w:rsidRPr="005329BA">
        <w:t xml:space="preserve"> quality in the drafting of statements of compatibility within and across Government departments.</w:t>
      </w:r>
      <w:r w:rsidRPr="005329BA">
        <w:rPr>
          <w:rStyle w:val="EndnoteReference"/>
        </w:rPr>
        <w:t xml:space="preserve"> </w:t>
      </w:r>
      <w:r w:rsidRPr="005329BA">
        <w:rPr>
          <w:rStyle w:val="EndnoteReference"/>
        </w:rPr>
        <w:endnoteReference w:id="6"/>
      </w:r>
      <w:r w:rsidRPr="005329BA">
        <w:t xml:space="preserve"> Some statements of compatibility devote cursory attention to assessing a draft law’s identified impingement on human rights and some simply assert (without due explanation) that a draft law is compatible with human rights even where an impingement on rights has been acknowledged.</w:t>
      </w:r>
      <w:r w:rsidRPr="005329BA">
        <w:rPr>
          <w:rStyle w:val="EndnoteReference"/>
        </w:rPr>
        <w:endnoteReference w:id="7"/>
      </w:r>
    </w:p>
    <w:p w14:paraId="1EA2C244" w14:textId="2B7C0743" w:rsidR="004D308F" w:rsidRDefault="004D308F" w:rsidP="00B37020">
      <w:pPr>
        <w:pStyle w:val="SubmissionNormal"/>
      </w:pPr>
      <w:r>
        <w:t>The Commission notes that some</w:t>
      </w:r>
      <w:r w:rsidRPr="005329BA">
        <w:t xml:space="preserve"> other parliamentary committees also scrutinise legislation </w:t>
      </w:r>
      <w:r>
        <w:t>and consider</w:t>
      </w:r>
      <w:r w:rsidRPr="005329BA">
        <w:t xml:space="preserve"> compliance with human rights.</w:t>
      </w:r>
      <w:r w:rsidRPr="005329BA">
        <w:rPr>
          <w:rStyle w:val="EndnoteReference"/>
        </w:rPr>
        <w:endnoteReference w:id="8"/>
      </w:r>
    </w:p>
    <w:p w14:paraId="502F636A" w14:textId="54B21A8C" w:rsidR="004D308F" w:rsidRPr="005329BA" w:rsidRDefault="004D308F" w:rsidP="004D308F">
      <w:pPr>
        <w:pStyle w:val="SubmissionNormal"/>
      </w:pPr>
      <w:r>
        <w:t>T</w:t>
      </w:r>
      <w:r w:rsidRPr="004D308F">
        <w:t>he Commission notes that the Australian Law Reform Commission (ALRC) has made a number of suggestions to improve the mechanisms and processes for the scrutiny of laws for compatibility with rights and freedoms (including the PJCHR)</w:t>
      </w:r>
      <w:r>
        <w:t>.</w:t>
      </w:r>
      <w:r>
        <w:rPr>
          <w:rStyle w:val="EndnoteReference"/>
        </w:rPr>
        <w:endnoteReference w:id="9"/>
      </w:r>
    </w:p>
    <w:p w14:paraId="38C2019C" w14:textId="77777777" w:rsidR="00B37020" w:rsidRPr="005329BA" w:rsidRDefault="00B37020" w:rsidP="00B37020">
      <w:pPr>
        <w:pStyle w:val="ListParagraph"/>
      </w:pPr>
      <w:r w:rsidRPr="005329BA">
        <w:t>That the Australian Government ensure that concerns raised by the Parliamentary Joint Committee on Human Rights are fully considered in the legislative process.</w:t>
      </w:r>
    </w:p>
    <w:p w14:paraId="05C4865B" w14:textId="77777777" w:rsidR="00B37020" w:rsidRPr="005329BA" w:rsidRDefault="00B37020" w:rsidP="00B37020">
      <w:pPr>
        <w:pStyle w:val="ListParagraph"/>
      </w:pPr>
      <w:r w:rsidRPr="005329BA">
        <w:t>That the Australian Government ensure that all statements of compatibility are consistently of a high standard and are supported by evidence and analysis.</w:t>
      </w:r>
    </w:p>
    <w:p w14:paraId="5F630BE0" w14:textId="77777777" w:rsidR="00B37020" w:rsidRPr="005A6CF3" w:rsidRDefault="00B37020" w:rsidP="00B37020">
      <w:pPr>
        <w:pStyle w:val="Heading2"/>
        <w:rPr>
          <w:color w:val="auto"/>
        </w:rPr>
      </w:pPr>
      <w:bookmarkStart w:id="13" w:name="_Toc497148266"/>
      <w:r w:rsidRPr="005A6CF3">
        <w:rPr>
          <w:color w:val="auto"/>
        </w:rPr>
        <w:lastRenderedPageBreak/>
        <w:t>Domestic incorporation (</w:t>
      </w:r>
      <w:r>
        <w:rPr>
          <w:color w:val="auto"/>
        </w:rPr>
        <w:t>CERD article 2</w:t>
      </w:r>
      <w:r w:rsidRPr="005A6CF3">
        <w:rPr>
          <w:color w:val="auto"/>
        </w:rPr>
        <w:t>; CO 9, 10 &amp; 17)</w:t>
      </w:r>
      <w:bookmarkEnd w:id="13"/>
    </w:p>
    <w:p w14:paraId="75CB80C4" w14:textId="77777777" w:rsidR="00B37020" w:rsidRPr="00C76BB8" w:rsidRDefault="00B37020" w:rsidP="00B37020">
      <w:pPr>
        <w:pStyle w:val="Heading3"/>
      </w:pPr>
      <w:bookmarkStart w:id="14" w:name="_Toc497148267"/>
      <w:r>
        <w:t>Incorporation of CERD</w:t>
      </w:r>
      <w:bookmarkEnd w:id="14"/>
    </w:p>
    <w:p w14:paraId="35BF6254" w14:textId="39A3A451" w:rsidR="00B27004" w:rsidRPr="00B27004" w:rsidRDefault="00B37020" w:rsidP="00182E4E">
      <w:pPr>
        <w:pStyle w:val="SubmissionNormal"/>
        <w:rPr>
          <w:lang w:val="en-GB"/>
        </w:rPr>
      </w:pPr>
      <w:r w:rsidRPr="004A267D">
        <w:t>Australia implements CERD primarily through the RDA</w:t>
      </w:r>
      <w:r w:rsidRPr="00DA7089">
        <w:rPr>
          <w:i/>
        </w:rPr>
        <w:t xml:space="preserve"> </w:t>
      </w:r>
      <w:r w:rsidRPr="004A267D">
        <w:t>and the work of the Commission.</w:t>
      </w:r>
      <w:r w:rsidRPr="004A267D">
        <w:rPr>
          <w:rStyle w:val="EndnoteReference"/>
        </w:rPr>
        <w:endnoteReference w:id="10"/>
      </w:r>
      <w:r w:rsidRPr="004A267D">
        <w:t xml:space="preserve"> </w:t>
      </w:r>
      <w:r w:rsidR="004A267D">
        <w:t xml:space="preserve">There </w:t>
      </w:r>
      <w:r w:rsidR="009F7EC2" w:rsidRPr="004A267D">
        <w:t xml:space="preserve">are also </w:t>
      </w:r>
      <w:r w:rsidRPr="004A267D">
        <w:t xml:space="preserve">anti-discrimination laws </w:t>
      </w:r>
      <w:r w:rsidR="009F7EC2" w:rsidRPr="004A267D">
        <w:t xml:space="preserve">at </w:t>
      </w:r>
      <w:r w:rsidRPr="004A267D">
        <w:t>state and territory level relating to racial discrimination.</w:t>
      </w:r>
      <w:r w:rsidRPr="004A267D">
        <w:rPr>
          <w:rStyle w:val="EndnoteReference"/>
        </w:rPr>
        <w:endnoteReference w:id="11"/>
      </w:r>
      <w:r w:rsidRPr="004A267D">
        <w:t xml:space="preserve"> </w:t>
      </w:r>
    </w:p>
    <w:p w14:paraId="4CB6A463" w14:textId="63FDE6AC" w:rsidR="00401984" w:rsidRPr="00DA7089" w:rsidRDefault="00B27004" w:rsidP="00182E4E">
      <w:pPr>
        <w:pStyle w:val="SubmissionNormal"/>
        <w:rPr>
          <w:lang w:val="en-GB"/>
        </w:rPr>
      </w:pPr>
      <w:r>
        <w:t>The</w:t>
      </w:r>
      <w:r w:rsidR="00C21627" w:rsidRPr="004A267D">
        <w:t xml:space="preserve"> Commission notes </w:t>
      </w:r>
      <w:r>
        <w:t>the following</w:t>
      </w:r>
      <w:r w:rsidR="00C21627" w:rsidRPr="004A267D">
        <w:t xml:space="preserve"> gaps </w:t>
      </w:r>
      <w:r w:rsidR="00876F4D">
        <w:t xml:space="preserve">that </w:t>
      </w:r>
      <w:r w:rsidR="00C21627" w:rsidRPr="004A267D">
        <w:t xml:space="preserve">remain in Australia’s domestic incorporation of </w:t>
      </w:r>
      <w:r w:rsidR="00B37020" w:rsidRPr="004A267D">
        <w:t>CERD</w:t>
      </w:r>
      <w:r>
        <w:t>:</w:t>
      </w:r>
      <w:r w:rsidR="000E4BD5" w:rsidRPr="004A267D">
        <w:t xml:space="preserve"> </w:t>
      </w:r>
    </w:p>
    <w:p w14:paraId="55071EB7" w14:textId="2BADAAF6" w:rsidR="000E4BD5" w:rsidRPr="007B5AD4" w:rsidRDefault="009D5537" w:rsidP="009D5537">
      <w:pPr>
        <w:pStyle w:val="SubmissionNormal"/>
        <w:numPr>
          <w:ilvl w:val="2"/>
          <w:numId w:val="15"/>
        </w:numPr>
        <w:rPr>
          <w:lang w:val="en-GB"/>
        </w:rPr>
      </w:pPr>
      <w:r w:rsidRPr="009D5537">
        <w:t xml:space="preserve">The federal Parliament may by express words, or by implication, amend any </w:t>
      </w:r>
      <w:r w:rsidR="00AA7C82">
        <w:t xml:space="preserve">existing federal </w:t>
      </w:r>
      <w:r w:rsidR="00BB1756">
        <w:t>legislation</w:t>
      </w:r>
      <w:r w:rsidR="00AA7C82">
        <w:t xml:space="preserve"> through</w:t>
      </w:r>
      <w:r w:rsidRPr="009D5537">
        <w:t xml:space="preserve"> the making of subsequent </w:t>
      </w:r>
      <w:r w:rsidR="00BB1756">
        <w:t>legislation</w:t>
      </w:r>
      <w:r w:rsidRPr="009D5537">
        <w:t>. The federal Parliament can therefore amend or repeal the RDA as it sees fit.</w:t>
      </w:r>
      <w:r>
        <w:rPr>
          <w:rStyle w:val="EndnoteReference"/>
        </w:rPr>
        <w:endnoteReference w:id="12"/>
      </w:r>
      <w:r w:rsidR="00B27004">
        <w:t xml:space="preserve"> Accordingly, the RDA </w:t>
      </w:r>
      <w:r w:rsidR="0046122C">
        <w:t>does not</w:t>
      </w:r>
      <w:r w:rsidR="008D10C2">
        <w:t xml:space="preserve"> offer </w:t>
      </w:r>
      <w:r>
        <w:t xml:space="preserve">comprehensive </w:t>
      </w:r>
      <w:r w:rsidR="008D10C2">
        <w:t xml:space="preserve">protection </w:t>
      </w:r>
      <w:r w:rsidR="008D10C2" w:rsidRPr="007B5AD4">
        <w:t>against racially discriminatory laws passed by the federal Parliament.</w:t>
      </w:r>
      <w:r w:rsidR="006F4D05" w:rsidRPr="007B5AD4">
        <w:t xml:space="preserve"> </w:t>
      </w:r>
      <w:r w:rsidR="00B27004">
        <w:t>The most recent example of a federal law that overrode the RD</w:t>
      </w:r>
      <w:r w:rsidR="00DF7154">
        <w:t xml:space="preserve">A protections was the </w:t>
      </w:r>
      <w:r w:rsidR="00C27BAD">
        <w:t xml:space="preserve">legislation that brought </w:t>
      </w:r>
      <w:r w:rsidR="00AA7C82">
        <w:t xml:space="preserve">into effect </w:t>
      </w:r>
      <w:r w:rsidR="00C27BAD">
        <w:t xml:space="preserve">the </w:t>
      </w:r>
      <w:r w:rsidR="00DF7154">
        <w:t>Northern T</w:t>
      </w:r>
      <w:r>
        <w:t xml:space="preserve">erritory Emergency Response (also referred to as the ‘Northern Territory </w:t>
      </w:r>
      <w:r w:rsidR="00B27004" w:rsidRPr="00AA7C82">
        <w:t>Intervention</w:t>
      </w:r>
      <w:r w:rsidRPr="00AA7C82">
        <w:t>’</w:t>
      </w:r>
      <w:r w:rsidR="00B27004" w:rsidRPr="00AA7C82">
        <w:t>).</w:t>
      </w:r>
      <w:r w:rsidR="00C27BAD" w:rsidRPr="00AA7C82">
        <w:rPr>
          <w:rStyle w:val="EndnoteReference"/>
        </w:rPr>
        <w:endnoteReference w:id="13"/>
      </w:r>
    </w:p>
    <w:p w14:paraId="7A16030E" w14:textId="14B3F89D" w:rsidR="000E4BD5" w:rsidRPr="00AA7C82" w:rsidRDefault="00B27004" w:rsidP="00DE2613">
      <w:pPr>
        <w:pStyle w:val="SubmissionNormal"/>
        <w:numPr>
          <w:ilvl w:val="2"/>
          <w:numId w:val="15"/>
        </w:numPr>
        <w:rPr>
          <w:lang w:val="en-GB"/>
        </w:rPr>
      </w:pPr>
      <w:r>
        <w:t>Judicial interpretation of what constitutes</w:t>
      </w:r>
      <w:r w:rsidRPr="007B5AD4">
        <w:t xml:space="preserve"> </w:t>
      </w:r>
      <w:r w:rsidR="00401984" w:rsidRPr="007B5AD4">
        <w:t>‘</w:t>
      </w:r>
      <w:r w:rsidR="009D4CC2">
        <w:t>s</w:t>
      </w:r>
      <w:r w:rsidR="00401984" w:rsidRPr="007B5AD4">
        <w:t xml:space="preserve">pecial measures’ under </w:t>
      </w:r>
      <w:r w:rsidR="00252827">
        <w:t>s</w:t>
      </w:r>
      <w:r w:rsidR="00F54687" w:rsidRPr="007B5AD4">
        <w:t xml:space="preserve"> 8 of the </w:t>
      </w:r>
      <w:r w:rsidR="00401984" w:rsidRPr="007B5AD4">
        <w:t>RDA do</w:t>
      </w:r>
      <w:r w:rsidR="00DF7154">
        <w:t>es</w:t>
      </w:r>
      <w:r w:rsidR="00401984" w:rsidRPr="007B5AD4">
        <w:t xml:space="preserve"> not</w:t>
      </w:r>
      <w:r w:rsidR="00E82384" w:rsidRPr="007B5AD4">
        <w:t xml:space="preserve"> fully</w:t>
      </w:r>
      <w:r w:rsidR="00401984" w:rsidRPr="007B5AD4">
        <w:t xml:space="preserve"> comply with </w:t>
      </w:r>
      <w:r w:rsidR="008A4A31" w:rsidRPr="007B5AD4">
        <w:t>the</w:t>
      </w:r>
      <w:r w:rsidR="00401984" w:rsidRPr="007B5AD4">
        <w:t xml:space="preserve"> Committee</w:t>
      </w:r>
      <w:r w:rsidR="00F54687" w:rsidRPr="007B5AD4">
        <w:t>’s</w:t>
      </w:r>
      <w:r w:rsidR="00401984" w:rsidRPr="007B5AD4">
        <w:t xml:space="preserve"> </w:t>
      </w:r>
      <w:r w:rsidR="00401984" w:rsidRPr="00BB1756">
        <w:rPr>
          <w:i/>
        </w:rPr>
        <w:t>General Recommendation No 32</w:t>
      </w:r>
      <w:r w:rsidR="00E82384" w:rsidRPr="007B5AD4">
        <w:t>.</w:t>
      </w:r>
      <w:r w:rsidR="00BB1756">
        <w:rPr>
          <w:rStyle w:val="EndnoteReference"/>
        </w:rPr>
        <w:endnoteReference w:id="14"/>
      </w:r>
      <w:r w:rsidR="00E82384" w:rsidRPr="007B5AD4">
        <w:t xml:space="preserve"> For example, there is no </w:t>
      </w:r>
      <w:r w:rsidR="00401984" w:rsidRPr="007B5AD4">
        <w:t>requirement that affected groups be consulted</w:t>
      </w:r>
      <w:r w:rsidR="008A4A31" w:rsidRPr="007B5AD4">
        <w:t xml:space="preserve"> and participate in the design and implementation of proposed special measures</w:t>
      </w:r>
      <w:r w:rsidR="007E7AAF" w:rsidRPr="007B5AD4">
        <w:t xml:space="preserve">. There is also no requirement for </w:t>
      </w:r>
      <w:r w:rsidR="0010789B" w:rsidRPr="007B5AD4">
        <w:t xml:space="preserve">the objective of </w:t>
      </w:r>
      <w:r w:rsidR="007E7AAF" w:rsidRPr="007B5AD4">
        <w:t xml:space="preserve">special measures to </w:t>
      </w:r>
      <w:r w:rsidR="00876F4D">
        <w:t>alleviate</w:t>
      </w:r>
      <w:r w:rsidR="0010789B" w:rsidRPr="007B5AD4">
        <w:t xml:space="preserve"> present disparities in the enjoyment of human rights, p</w:t>
      </w:r>
      <w:r w:rsidR="0010789B" w:rsidRPr="00AA7C82">
        <w:t>rotect</w:t>
      </w:r>
      <w:r w:rsidR="00876F4D">
        <w:t xml:space="preserve"> </w:t>
      </w:r>
      <w:r w:rsidR="0010789B" w:rsidRPr="00AA7C82">
        <w:t>groups and individuals from discrimination or prevent further imbalances.</w:t>
      </w:r>
      <w:r w:rsidR="0010789B" w:rsidRPr="00AA7C82">
        <w:rPr>
          <w:rStyle w:val="EndnoteReference"/>
        </w:rPr>
        <w:endnoteReference w:id="15"/>
      </w:r>
      <w:r w:rsidR="00F54687" w:rsidRPr="00AA7C82">
        <w:t xml:space="preserve"> The Committee is aware of successive </w:t>
      </w:r>
      <w:r w:rsidR="0046122C" w:rsidRPr="00AA7C82">
        <w:t>g</w:t>
      </w:r>
      <w:r w:rsidR="00F54687" w:rsidRPr="00AA7C82">
        <w:t xml:space="preserve">overnments’ reliance on special measures to implement racially discriminatory measures as part of </w:t>
      </w:r>
      <w:r w:rsidR="007659D5" w:rsidRPr="000639CE">
        <w:t>the NT Intervention</w:t>
      </w:r>
      <w:r w:rsidR="00F54687" w:rsidRPr="000639CE">
        <w:t>.</w:t>
      </w:r>
      <w:r w:rsidR="00403933" w:rsidRPr="00AA7C82">
        <w:rPr>
          <w:rStyle w:val="EndnoteReference"/>
        </w:rPr>
        <w:endnoteReference w:id="16"/>
      </w:r>
    </w:p>
    <w:p w14:paraId="14E643B5" w14:textId="7094EB40" w:rsidR="004A267D" w:rsidRPr="00AA7C82" w:rsidRDefault="004A267D" w:rsidP="000D1FEA">
      <w:pPr>
        <w:pStyle w:val="SubmissionNormal"/>
        <w:numPr>
          <w:ilvl w:val="2"/>
          <w:numId w:val="15"/>
        </w:numPr>
      </w:pPr>
      <w:r w:rsidRPr="00AA7C82">
        <w:t>Australia made a reservation</w:t>
      </w:r>
      <w:r w:rsidR="00876F4D">
        <w:t xml:space="preserve"> to CERD</w:t>
      </w:r>
      <w:r w:rsidRPr="00AA7C82">
        <w:t xml:space="preserve"> in relation to</w:t>
      </w:r>
      <w:r w:rsidR="000D1FEA" w:rsidRPr="00AA7C82">
        <w:t xml:space="preserve"> </w:t>
      </w:r>
      <w:r w:rsidR="0046122C" w:rsidRPr="00AA7C82">
        <w:t xml:space="preserve">the </w:t>
      </w:r>
      <w:r w:rsidR="000D1FEA" w:rsidRPr="00AA7C82">
        <w:t xml:space="preserve">criminalisation of racial hatred </w:t>
      </w:r>
      <w:r w:rsidR="0046122C" w:rsidRPr="000639CE">
        <w:t>(article 4)</w:t>
      </w:r>
      <w:r w:rsidR="000D1FEA" w:rsidRPr="000639CE">
        <w:t>.</w:t>
      </w:r>
      <w:r w:rsidRPr="00AA7C82">
        <w:rPr>
          <w:rStyle w:val="EndnoteReference"/>
        </w:rPr>
        <w:endnoteReference w:id="17"/>
      </w:r>
      <w:r w:rsidRPr="00AA7C82">
        <w:t xml:space="preserve"> </w:t>
      </w:r>
      <w:r w:rsidR="000D1FEA" w:rsidRPr="00AA7C82">
        <w:t xml:space="preserve">The Government </w:t>
      </w:r>
      <w:r w:rsidRPr="00AA7C82">
        <w:t>has recently maintained that it will not presently consider withdrawal of this reservation.</w:t>
      </w:r>
      <w:r w:rsidRPr="00AA7C82">
        <w:rPr>
          <w:rStyle w:val="EndnoteReference"/>
        </w:rPr>
        <w:endnoteReference w:id="18"/>
      </w:r>
      <w:r w:rsidR="000D1FEA" w:rsidRPr="00AA7C82">
        <w:t xml:space="preserve"> </w:t>
      </w:r>
    </w:p>
    <w:p w14:paraId="23AE65F4" w14:textId="5CA19FE3" w:rsidR="00CE48C2" w:rsidRPr="00CE48C2" w:rsidRDefault="00723B55" w:rsidP="00401984">
      <w:pPr>
        <w:pStyle w:val="SubmissionNormal"/>
        <w:rPr>
          <w:lang w:val="en-GB"/>
        </w:rPr>
      </w:pPr>
      <w:r w:rsidRPr="00AA7C82">
        <w:t xml:space="preserve">The Commission </w:t>
      </w:r>
      <w:r w:rsidR="00FF5BE5" w:rsidRPr="00AA7C82">
        <w:t xml:space="preserve">notes that Australia’s constitutional arrangements do not fully protect against racial discrimination. </w:t>
      </w:r>
      <w:r w:rsidR="00CE48C2">
        <w:t xml:space="preserve">In particular: </w:t>
      </w:r>
    </w:p>
    <w:p w14:paraId="3F7FBC47" w14:textId="280A8DC0" w:rsidR="00CE48C2" w:rsidRPr="00CE48C2" w:rsidRDefault="00CE48C2" w:rsidP="00CE48C2">
      <w:pPr>
        <w:pStyle w:val="SubmissionNormal"/>
        <w:numPr>
          <w:ilvl w:val="2"/>
          <w:numId w:val="15"/>
        </w:numPr>
      </w:pPr>
      <w:r>
        <w:t>Section 25 of the Australian Constitution contemplates the ability of Australian state governments to disqualify a group of people from voting based on race.</w:t>
      </w:r>
    </w:p>
    <w:p w14:paraId="02BEBAF1" w14:textId="78542283" w:rsidR="00FF5BE5" w:rsidRPr="00AA7C82" w:rsidRDefault="00FF5BE5" w:rsidP="00CE48C2">
      <w:pPr>
        <w:pStyle w:val="SubmissionNormal"/>
        <w:numPr>
          <w:ilvl w:val="2"/>
          <w:numId w:val="15"/>
        </w:numPr>
        <w:rPr>
          <w:lang w:val="en-GB"/>
        </w:rPr>
      </w:pPr>
      <w:r w:rsidRPr="00AA7C82">
        <w:t xml:space="preserve">Under </w:t>
      </w:r>
      <w:r w:rsidR="00582032" w:rsidRPr="00AA7C82">
        <w:t>Australia’s</w:t>
      </w:r>
      <w:r w:rsidRPr="00AA7C82">
        <w:t xml:space="preserve"> Constitution, the federal Parliament </w:t>
      </w:r>
      <w:r w:rsidR="007813C0">
        <w:t xml:space="preserve">is permitted to make laws under enumerated </w:t>
      </w:r>
      <w:r w:rsidRPr="00AA7C82">
        <w:t>‘head</w:t>
      </w:r>
      <w:r w:rsidR="007813C0">
        <w:t>s</w:t>
      </w:r>
      <w:r w:rsidRPr="00AA7C82">
        <w:t xml:space="preserve"> of power’ </w:t>
      </w:r>
      <w:r w:rsidR="007813C0">
        <w:t xml:space="preserve">in </w:t>
      </w:r>
      <w:r w:rsidR="00252827">
        <w:t>s</w:t>
      </w:r>
      <w:r w:rsidRPr="00AA7C82">
        <w:t xml:space="preserve"> 51</w:t>
      </w:r>
      <w:r w:rsidR="007813C0">
        <w:t xml:space="preserve">. </w:t>
      </w:r>
      <w:r w:rsidR="000E59EF">
        <w:t>Under</w:t>
      </w:r>
      <w:r w:rsidR="007813C0">
        <w:t xml:space="preserve"> </w:t>
      </w:r>
      <w:r w:rsidR="00252827">
        <w:t>s</w:t>
      </w:r>
      <w:r w:rsidR="00BB1756">
        <w:t xml:space="preserve"> </w:t>
      </w:r>
      <w:r w:rsidR="007813C0">
        <w:t xml:space="preserve">51(xxix), the </w:t>
      </w:r>
      <w:r w:rsidRPr="00AA7C82">
        <w:t>‘external affairs</w:t>
      </w:r>
      <w:r w:rsidR="007813C0">
        <w:t xml:space="preserve"> power</w:t>
      </w:r>
      <w:r w:rsidRPr="00AA7C82">
        <w:t>’</w:t>
      </w:r>
      <w:r w:rsidR="007659D5" w:rsidRPr="007813C0">
        <w:t>,</w:t>
      </w:r>
      <w:r w:rsidRPr="007813C0">
        <w:t xml:space="preserve"> </w:t>
      </w:r>
      <w:r w:rsidR="007813C0">
        <w:t xml:space="preserve">the federal Parliament </w:t>
      </w:r>
      <w:r w:rsidR="000E59EF">
        <w:t>may</w:t>
      </w:r>
      <w:r w:rsidRPr="007813C0">
        <w:t xml:space="preserve"> </w:t>
      </w:r>
      <w:r w:rsidR="007813C0">
        <w:t xml:space="preserve">pass </w:t>
      </w:r>
      <w:r w:rsidRPr="007813C0">
        <w:t>legislation that implements international treaty obligations.</w:t>
      </w:r>
      <w:r w:rsidR="00B949AD" w:rsidRPr="00AA7C82">
        <w:rPr>
          <w:rStyle w:val="EndnoteReference"/>
        </w:rPr>
        <w:endnoteReference w:id="19"/>
      </w:r>
      <w:r w:rsidRPr="00AA7C82">
        <w:t xml:space="preserve"> </w:t>
      </w:r>
      <w:r w:rsidR="000E59EF">
        <w:t>However, under</w:t>
      </w:r>
      <w:r w:rsidR="007813C0">
        <w:t xml:space="preserve"> </w:t>
      </w:r>
      <w:r w:rsidR="00252827">
        <w:t>s</w:t>
      </w:r>
      <w:r w:rsidR="007813C0">
        <w:t> </w:t>
      </w:r>
      <w:r w:rsidRPr="007813C0">
        <w:t>51</w:t>
      </w:r>
      <w:r w:rsidRPr="00AA7C82">
        <w:t>(xxvi)</w:t>
      </w:r>
      <w:r w:rsidR="00F86EC4" w:rsidRPr="00AA7C82">
        <w:t xml:space="preserve">, the ‘races power’, </w:t>
      </w:r>
      <w:r w:rsidR="000E59EF">
        <w:t xml:space="preserve">the federal Parliament may pass laws </w:t>
      </w:r>
      <w:r w:rsidR="00582032" w:rsidRPr="00AA7C82">
        <w:t xml:space="preserve">with respect to </w:t>
      </w:r>
      <w:r w:rsidR="00582032" w:rsidRPr="009707C8">
        <w:rPr>
          <w:lang w:val="en-GB"/>
        </w:rPr>
        <w:t>‘</w:t>
      </w:r>
      <w:r w:rsidR="00582032" w:rsidRPr="009707C8">
        <w:t>the people of any race for whom it is deemed necessary to make special laws’</w:t>
      </w:r>
      <w:r w:rsidRPr="007813C0">
        <w:t>.</w:t>
      </w:r>
      <w:r w:rsidR="00F86EC4" w:rsidRPr="00AA7C82">
        <w:rPr>
          <w:rStyle w:val="EndnoteReference"/>
        </w:rPr>
        <w:endnoteReference w:id="20"/>
      </w:r>
      <w:r w:rsidRPr="00AA7C82">
        <w:t xml:space="preserve"> Judicial interpretation of</w:t>
      </w:r>
      <w:r w:rsidR="007659D5" w:rsidRPr="00AA7C82">
        <w:t xml:space="preserve"> the ‘races power’ </w:t>
      </w:r>
      <w:r w:rsidR="00BB1756">
        <w:t>suggests</w:t>
      </w:r>
      <w:r w:rsidRPr="00AA7C82">
        <w:t xml:space="preserve"> that it is not limited to matters that are beneficial in </w:t>
      </w:r>
      <w:r w:rsidRPr="00AA7C82">
        <w:lastRenderedPageBreak/>
        <w:t>nature and could validly support the passage o</w:t>
      </w:r>
      <w:r w:rsidR="00F86EC4" w:rsidRPr="00AA7C82">
        <w:t>f</w:t>
      </w:r>
      <w:r w:rsidR="00BB1756">
        <w:t xml:space="preserve"> adverse</w:t>
      </w:r>
      <w:r w:rsidR="00F86EC4" w:rsidRPr="00AA7C82">
        <w:t xml:space="preserve"> racially discriminatory laws.</w:t>
      </w:r>
      <w:r w:rsidR="00F86EC4" w:rsidRPr="00AA7C82">
        <w:rPr>
          <w:rStyle w:val="EndnoteReference"/>
        </w:rPr>
        <w:endnoteReference w:id="21"/>
      </w:r>
    </w:p>
    <w:p w14:paraId="7301F717" w14:textId="66739A59" w:rsidR="00235F09" w:rsidRDefault="00E43AC7" w:rsidP="00375836">
      <w:pPr>
        <w:pStyle w:val="SubmissionNormal"/>
      </w:pPr>
      <w:r>
        <w:t>T</w:t>
      </w:r>
      <w:r w:rsidR="000E1F61">
        <w:t xml:space="preserve">here have been </w:t>
      </w:r>
      <w:r w:rsidR="00BB1756">
        <w:t xml:space="preserve">calls </w:t>
      </w:r>
      <w:r>
        <w:t xml:space="preserve">for the repeal </w:t>
      </w:r>
      <w:r w:rsidR="00EB09D0">
        <w:t xml:space="preserve">of </w:t>
      </w:r>
      <w:r w:rsidR="00252827">
        <w:t>s</w:t>
      </w:r>
      <w:r>
        <w:t xml:space="preserve"> 25 and the </w:t>
      </w:r>
      <w:r w:rsidR="00EB09D0">
        <w:t xml:space="preserve">reform or repeal of the </w:t>
      </w:r>
      <w:r w:rsidR="000E1F61">
        <w:t xml:space="preserve">‘races power’ as a means of removing </w:t>
      </w:r>
      <w:r w:rsidR="00FF5BE5" w:rsidRPr="00AA7C82">
        <w:t xml:space="preserve">the </w:t>
      </w:r>
      <w:r w:rsidR="000E1F61">
        <w:t xml:space="preserve">potential for discrimination </w:t>
      </w:r>
      <w:r w:rsidR="00CC0EB5" w:rsidRPr="000639CE">
        <w:t>on the basis of race</w:t>
      </w:r>
      <w:r w:rsidR="000E1F61">
        <w:t xml:space="preserve"> from the Constitution</w:t>
      </w:r>
      <w:r w:rsidR="00FF5BE5" w:rsidRPr="000639CE">
        <w:t>.</w:t>
      </w:r>
      <w:r>
        <w:rPr>
          <w:rStyle w:val="EndnoteReference"/>
        </w:rPr>
        <w:endnoteReference w:id="22"/>
      </w:r>
      <w:r>
        <w:t xml:space="preserve"> </w:t>
      </w:r>
    </w:p>
    <w:p w14:paraId="3A4B26AE" w14:textId="6A42E5C0" w:rsidR="00B55137" w:rsidRDefault="00235F09" w:rsidP="00375836">
      <w:pPr>
        <w:pStyle w:val="SubmissionNormal"/>
      </w:pPr>
      <w:r>
        <w:t>Recently</w:t>
      </w:r>
      <w:r w:rsidR="00375836" w:rsidRPr="00375836">
        <w:t>, the Australian Government appointed a Referendum Council to identify how best</w:t>
      </w:r>
      <w:r w:rsidR="00E07EAF">
        <w:t xml:space="preserve"> to</w:t>
      </w:r>
      <w:r w:rsidR="00375836" w:rsidRPr="00375836">
        <w:t xml:space="preserve"> recognise Aboriginal and Torres Strait Islander peoples in </w:t>
      </w:r>
      <w:r w:rsidR="009E2F27">
        <w:t>the Australian</w:t>
      </w:r>
      <w:r w:rsidR="00375836" w:rsidRPr="00375836">
        <w:t xml:space="preserve"> Constitution. </w:t>
      </w:r>
      <w:r w:rsidR="00AD2178">
        <w:t>In that context, t</w:t>
      </w:r>
      <w:r w:rsidR="00375836">
        <w:t xml:space="preserve">he </w:t>
      </w:r>
      <w:r w:rsidR="00B55137">
        <w:t>Referendum Council</w:t>
      </w:r>
      <w:r w:rsidR="00E43AC7">
        <w:t xml:space="preserve"> recommended the monitoring of the use of the ‘races power’.</w:t>
      </w:r>
      <w:r w:rsidR="00B55137">
        <w:rPr>
          <w:rStyle w:val="EndnoteReference"/>
        </w:rPr>
        <w:endnoteReference w:id="23"/>
      </w:r>
      <w:r w:rsidR="00B55137">
        <w:t xml:space="preserve"> </w:t>
      </w:r>
      <w:r w:rsidR="00375836">
        <w:t xml:space="preserve">It </w:t>
      </w:r>
      <w:r w:rsidR="00B55137">
        <w:t xml:space="preserve">did not otherwise recommend the repeal or amendment </w:t>
      </w:r>
      <w:r w:rsidR="009E2F27">
        <w:t>of</w:t>
      </w:r>
      <w:r w:rsidR="00B55137">
        <w:t xml:space="preserve"> the ‘races power’ or </w:t>
      </w:r>
      <w:r w:rsidR="00252827">
        <w:t>s </w:t>
      </w:r>
      <w:r w:rsidR="00B55137">
        <w:t>25, noting that it ‘does not go far enough and would not be acceptable to Aboriginal and Torres Strait Islander peoples’.</w:t>
      </w:r>
      <w:r w:rsidR="00B55137">
        <w:rPr>
          <w:rStyle w:val="EndnoteReference"/>
        </w:rPr>
        <w:endnoteReference w:id="24"/>
      </w:r>
      <w:r w:rsidR="00AD2178">
        <w:t xml:space="preserve"> </w:t>
      </w:r>
      <w:r w:rsidR="0091461C">
        <w:t xml:space="preserve">The Commission directs attention to </w:t>
      </w:r>
      <w:hyperlink w:anchor="_Constitutional_recognition_(CERD" w:history="1">
        <w:r w:rsidR="0091461C" w:rsidRPr="0091461C">
          <w:rPr>
            <w:rStyle w:val="Hyperlink"/>
          </w:rPr>
          <w:t>section 5.3</w:t>
        </w:r>
      </w:hyperlink>
      <w:r w:rsidR="0091461C">
        <w:t xml:space="preserve"> below regarding constitutional recognition of Aboriginal and Torres Strait Islander peoples. </w:t>
      </w:r>
    </w:p>
    <w:p w14:paraId="52EFFF15" w14:textId="3ACE0E88" w:rsidR="00174BB2" w:rsidRDefault="00F87B03" w:rsidP="00174BB2">
      <w:pPr>
        <w:pStyle w:val="SubmissionNormal"/>
      </w:pPr>
      <w:r>
        <w:t>To our knowledge, t</w:t>
      </w:r>
      <w:r w:rsidR="00174BB2">
        <w:t>h</w:t>
      </w:r>
      <w:r>
        <w:t xml:space="preserve">e Australian Government has not articulated a position on constitutional reform of </w:t>
      </w:r>
      <w:r w:rsidR="00252827">
        <w:t>s</w:t>
      </w:r>
      <w:r>
        <w:t xml:space="preserve"> 25 and the ‘races power’. </w:t>
      </w:r>
      <w:r w:rsidR="00174BB2">
        <w:t>In relation to these constitutional issues, the Commission has previously suggested the:</w:t>
      </w:r>
    </w:p>
    <w:p w14:paraId="191D2F41" w14:textId="691A7BBA" w:rsidR="00174BB2" w:rsidRDefault="00174BB2" w:rsidP="00174BB2">
      <w:pPr>
        <w:pStyle w:val="SubmissionNormal"/>
        <w:numPr>
          <w:ilvl w:val="2"/>
          <w:numId w:val="15"/>
        </w:numPr>
      </w:pPr>
      <w:r>
        <w:t>removal of</w:t>
      </w:r>
      <w:r w:rsidR="00E07EAF">
        <w:t xml:space="preserve"> </w:t>
      </w:r>
      <w:r w:rsidR="00252827">
        <w:t>s</w:t>
      </w:r>
      <w:r w:rsidR="00E07EAF">
        <w:t xml:space="preserve"> 25,</w:t>
      </w:r>
      <w:r>
        <w:t xml:space="preserve"> and </w:t>
      </w:r>
    </w:p>
    <w:p w14:paraId="46CDD838" w14:textId="7CCB0F4B" w:rsidR="00174BB2" w:rsidRDefault="00174BB2" w:rsidP="00174BB2">
      <w:pPr>
        <w:pStyle w:val="SubmissionNormal"/>
        <w:numPr>
          <w:ilvl w:val="2"/>
          <w:numId w:val="15"/>
        </w:numPr>
      </w:pPr>
      <w:r>
        <w:t xml:space="preserve">insertion of a provision guaranteeing, for all Australians, equality before the law and freedom from discrimination, with such a protection drafted in a way that would guide the operation of the ‘races power’ to ensure that ‘special laws’ for the people of a particular race could not be made if they were </w:t>
      </w:r>
      <w:r w:rsidR="009E2F27">
        <w:t xml:space="preserve">(adversely) </w:t>
      </w:r>
      <w:r>
        <w:t>discriminatory.</w:t>
      </w:r>
      <w:r>
        <w:rPr>
          <w:rStyle w:val="EndnoteReference"/>
        </w:rPr>
        <w:endnoteReference w:id="25"/>
      </w:r>
    </w:p>
    <w:p w14:paraId="1023B143" w14:textId="48F6DC8C" w:rsidR="00B37020" w:rsidRPr="00F87B03" w:rsidRDefault="00B37020" w:rsidP="009E3808">
      <w:pPr>
        <w:pStyle w:val="SubmissionNormal"/>
        <w:rPr>
          <w:lang w:val="en-GB"/>
        </w:rPr>
      </w:pPr>
      <w:r w:rsidRPr="00C76BB8">
        <w:t xml:space="preserve">The scrutiny provided for by the PJCHR, while a welcome extension of existing parliamentary rights review mechanisms, is not a substitute for full incorporation of </w:t>
      </w:r>
      <w:r>
        <w:t>CERD</w:t>
      </w:r>
      <w:r w:rsidRPr="00C76BB8">
        <w:t xml:space="preserve"> into domestic law through mechanisms such as a national human rights Act.</w:t>
      </w:r>
      <w:r w:rsidR="00403933">
        <w:t xml:space="preserve"> </w:t>
      </w:r>
      <w:r w:rsidR="00F87B03">
        <w:t xml:space="preserve">The </w:t>
      </w:r>
      <w:r w:rsidR="009F7EC2">
        <w:t>Special Rapporteur on contemporary forms of racism, racial discrimination, xenophobia and related intolerance (</w:t>
      </w:r>
      <w:r w:rsidR="009F7EC2" w:rsidRPr="009F6EF0">
        <w:t>Special Rapporteur on racial discrimination</w:t>
      </w:r>
      <w:r w:rsidR="009F7EC2">
        <w:t>)</w:t>
      </w:r>
      <w:r w:rsidR="00F87B03">
        <w:t>,</w:t>
      </w:r>
      <w:r>
        <w:t xml:space="preserve"> </w:t>
      </w:r>
      <w:r w:rsidR="00F87B03">
        <w:t>the Special Rapporteur on rights of indigenous peoples</w:t>
      </w:r>
      <w:r>
        <w:t xml:space="preserve"> and the </w:t>
      </w:r>
      <w:r w:rsidR="00692F96">
        <w:t xml:space="preserve">Special Rapporteur on </w:t>
      </w:r>
      <w:r>
        <w:t xml:space="preserve">human rights of migrants have each recently </w:t>
      </w:r>
      <w:r w:rsidR="00F87B03">
        <w:t>recommended that Australia adopt some form of comprehensive federal human rights Act, such as a bill or charter of rights.</w:t>
      </w:r>
      <w:r>
        <w:rPr>
          <w:rStyle w:val="EndnoteReference"/>
        </w:rPr>
        <w:endnoteReference w:id="26"/>
      </w:r>
    </w:p>
    <w:p w14:paraId="0FB84046" w14:textId="635DDC1F" w:rsidR="00174BB2" w:rsidRDefault="00E43AC7" w:rsidP="00174BB2">
      <w:pPr>
        <w:pStyle w:val="SubmissionNormal"/>
      </w:pPr>
      <w:r>
        <w:t xml:space="preserve">The Commission </w:t>
      </w:r>
      <w:r w:rsidRPr="007B5AD4">
        <w:t xml:space="preserve">considers that full incorporation of CERD requires a comprehensive protection against any racially discriminatory federal laws. </w:t>
      </w:r>
    </w:p>
    <w:p w14:paraId="281446E3" w14:textId="77777777" w:rsidR="005A5A84" w:rsidRDefault="005A5A84" w:rsidP="005A5A84">
      <w:pPr>
        <w:pStyle w:val="ListParagraph"/>
      </w:pPr>
      <w:r>
        <w:t xml:space="preserve">That the Australian Government: </w:t>
      </w:r>
    </w:p>
    <w:p w14:paraId="231E3329" w14:textId="2958D210" w:rsidR="005A5A84" w:rsidRDefault="005A5A84" w:rsidP="000F1F4B">
      <w:pPr>
        <w:pStyle w:val="ListParagraph"/>
        <w:numPr>
          <w:ilvl w:val="0"/>
          <w:numId w:val="27"/>
        </w:numPr>
      </w:pPr>
      <w:r>
        <w:t>fully incor</w:t>
      </w:r>
      <w:r w:rsidR="00E07EAF">
        <w:t>porate CERD into Australian law</w:t>
      </w:r>
      <w:r>
        <w:t xml:space="preserve"> </w:t>
      </w:r>
    </w:p>
    <w:p w14:paraId="17EA406F" w14:textId="08A5BAFB" w:rsidR="005A5A84" w:rsidRDefault="005A5A84" w:rsidP="000F1F4B">
      <w:pPr>
        <w:pStyle w:val="ListParagraph"/>
        <w:numPr>
          <w:ilvl w:val="0"/>
          <w:numId w:val="27"/>
        </w:numPr>
      </w:pPr>
      <w:r>
        <w:t xml:space="preserve">ensure that federal laws do not undermine the protections in the </w:t>
      </w:r>
      <w:r>
        <w:rPr>
          <w:i/>
        </w:rPr>
        <w:t xml:space="preserve">Racial Discrimination Act 1975 </w:t>
      </w:r>
      <w:r w:rsidR="00E07EAF">
        <w:t>(Cth),</w:t>
      </w:r>
      <w:r>
        <w:t xml:space="preserve"> and</w:t>
      </w:r>
    </w:p>
    <w:p w14:paraId="5960AB52" w14:textId="280C28D4" w:rsidR="00BB7B94" w:rsidRDefault="00BB7B94" w:rsidP="00BB7B94">
      <w:pPr>
        <w:pStyle w:val="ListParagraph"/>
        <w:numPr>
          <w:ilvl w:val="0"/>
          <w:numId w:val="27"/>
        </w:numPr>
      </w:pPr>
      <w:r>
        <w:t xml:space="preserve">explore options to remove any potential for racially discriminatory laws to be passed under the Australian Constitution. The Commission notes that this is a separate issue to developing </w:t>
      </w:r>
      <w:r w:rsidRPr="00CF169B">
        <w:rPr>
          <w:lang w:val="en-GB" w:eastAsia="en-GB"/>
        </w:rPr>
        <w:t xml:space="preserve">with </w:t>
      </w:r>
      <w:r w:rsidRPr="00CF169B">
        <w:rPr>
          <w:lang w:val="en-GB" w:eastAsia="en-GB"/>
        </w:rPr>
        <w:lastRenderedPageBreak/>
        <w:t xml:space="preserve">Aboriginal and Torres Strait Islander peoples </w:t>
      </w:r>
      <w:r w:rsidRPr="00CF169B">
        <w:t xml:space="preserve">a model for </w:t>
      </w:r>
      <w:r>
        <w:t>their</w:t>
      </w:r>
      <w:r w:rsidRPr="00CF169B">
        <w:t xml:space="preserve"> recognition </w:t>
      </w:r>
      <w:r>
        <w:t xml:space="preserve">in the Australian Constitution </w:t>
      </w:r>
      <w:r w:rsidRPr="004E3903">
        <w:t xml:space="preserve">and </w:t>
      </w:r>
      <w:r>
        <w:t>negotiating</w:t>
      </w:r>
      <w:r w:rsidRPr="004E3903">
        <w:t xml:space="preserve"> in good faith with Aboriginal and Torres Strait Islander peoples about nation</w:t>
      </w:r>
      <w:r>
        <w:t xml:space="preserve">al representative mechanisms.  </w:t>
      </w:r>
    </w:p>
    <w:p w14:paraId="6846990D" w14:textId="77777777" w:rsidR="00B37020" w:rsidRDefault="00B37020" w:rsidP="00B37020">
      <w:pPr>
        <w:pStyle w:val="Heading3"/>
      </w:pPr>
      <w:bookmarkStart w:id="16" w:name="_Toc497148268"/>
      <w:r>
        <w:t>Implementation of Committee’s Concluding Observations</w:t>
      </w:r>
      <w:bookmarkEnd w:id="16"/>
    </w:p>
    <w:p w14:paraId="4A721D5A" w14:textId="4BAF1927" w:rsidR="00B37020" w:rsidRPr="004C0D23" w:rsidRDefault="00B37020" w:rsidP="009F7EC2">
      <w:pPr>
        <w:pStyle w:val="BodyText"/>
      </w:pPr>
      <w:r>
        <w:t>The Commission notes that Australia’s 18</w:t>
      </w:r>
      <w:r w:rsidRPr="00093FDF">
        <w:rPr>
          <w:vertAlign w:val="superscript"/>
        </w:rPr>
        <w:t>th</w:t>
      </w:r>
      <w:r>
        <w:t xml:space="preserve"> to 20</w:t>
      </w:r>
      <w:r w:rsidRPr="00093FDF">
        <w:rPr>
          <w:vertAlign w:val="superscript"/>
        </w:rPr>
        <w:t>th</w:t>
      </w:r>
      <w:r>
        <w:t xml:space="preserve"> periodic report was due on 30 October 2014, but only submitted to the Committee on 2 February 2016. </w:t>
      </w:r>
      <w:r w:rsidRPr="004C0D23">
        <w:t xml:space="preserve">The Commission commends the </w:t>
      </w:r>
      <w:r>
        <w:t xml:space="preserve">Australian </w:t>
      </w:r>
      <w:r w:rsidRPr="004C0D23">
        <w:t>Government’s establishment of a Standing National Human Rights Mechanism to strengthen its engagement with human rights reporting. This is an opportunity to improve the timeliness of Australia’s responses to UN treaty body communications.</w:t>
      </w:r>
    </w:p>
    <w:p w14:paraId="16DCD532" w14:textId="62D21B3E" w:rsidR="00B37020" w:rsidRDefault="00B37020" w:rsidP="00B37020">
      <w:pPr>
        <w:pStyle w:val="SubmissionNormal"/>
      </w:pPr>
      <w:r>
        <w:t>The Commission also notes that t</w:t>
      </w:r>
      <w:r w:rsidRPr="00001E5E">
        <w:t xml:space="preserve">here is no </w:t>
      </w:r>
      <w:r>
        <w:t xml:space="preserve">domestic </w:t>
      </w:r>
      <w:r w:rsidRPr="00001E5E">
        <w:t xml:space="preserve">mechanism </w:t>
      </w:r>
      <w:r>
        <w:t xml:space="preserve">in place to </w:t>
      </w:r>
      <w:r w:rsidRPr="00001E5E">
        <w:t xml:space="preserve">consider, coordinate or </w:t>
      </w:r>
      <w:r w:rsidR="00E07EAF">
        <w:t>implement</w:t>
      </w:r>
      <w:r w:rsidRPr="00001E5E">
        <w:t xml:space="preserve"> the recommendations or the </w:t>
      </w:r>
      <w:r>
        <w:t>c</w:t>
      </w:r>
      <w:r w:rsidRPr="00001E5E">
        <w:t xml:space="preserve">oncluding </w:t>
      </w:r>
      <w:r>
        <w:t>o</w:t>
      </w:r>
      <w:r w:rsidRPr="00001E5E">
        <w:t>bservations of the Committee.</w:t>
      </w:r>
    </w:p>
    <w:p w14:paraId="30EBAE4A" w14:textId="3E49A1CF" w:rsidR="00B37020" w:rsidRDefault="00B37020" w:rsidP="00B37020">
      <w:pPr>
        <w:pStyle w:val="ListParagraph"/>
      </w:pPr>
      <w:r>
        <w:t xml:space="preserve">That the Australian Government </w:t>
      </w:r>
      <w:r w:rsidR="00316C45">
        <w:t xml:space="preserve">introduce formal mechanisms to consider and implement recommendations of treaty committees, </w:t>
      </w:r>
      <w:r w:rsidR="008D4822">
        <w:t xml:space="preserve">including </w:t>
      </w:r>
      <w:r w:rsidR="00182E4E">
        <w:t>the concluding observations of the Committee in relation to Australia’s 18</w:t>
      </w:r>
      <w:r w:rsidR="00182E4E" w:rsidRPr="00182E4E">
        <w:rPr>
          <w:vertAlign w:val="superscript"/>
        </w:rPr>
        <w:t>th</w:t>
      </w:r>
      <w:r w:rsidR="00182E4E">
        <w:t xml:space="preserve"> to 20</w:t>
      </w:r>
      <w:r w:rsidR="00182E4E" w:rsidRPr="00182E4E">
        <w:rPr>
          <w:vertAlign w:val="superscript"/>
        </w:rPr>
        <w:t>th</w:t>
      </w:r>
      <w:r w:rsidR="00182E4E">
        <w:t xml:space="preserve"> periodic report under CERD</w:t>
      </w:r>
      <w:r w:rsidR="00316C45">
        <w:t>.</w:t>
      </w:r>
      <w:r>
        <w:t xml:space="preserve"> </w:t>
      </w:r>
    </w:p>
    <w:p w14:paraId="5C8A1F87" w14:textId="77777777" w:rsidR="00B37020" w:rsidRDefault="00B37020" w:rsidP="00B37020">
      <w:pPr>
        <w:pStyle w:val="Heading3"/>
      </w:pPr>
      <w:bookmarkStart w:id="17" w:name="_Toc497148269"/>
      <w:r>
        <w:t>Ratification of OPCAT</w:t>
      </w:r>
      <w:bookmarkEnd w:id="17"/>
      <w:r>
        <w:t xml:space="preserve"> </w:t>
      </w:r>
    </w:p>
    <w:p w14:paraId="39E8654B" w14:textId="3583F211" w:rsidR="00B37020" w:rsidRDefault="00B37020" w:rsidP="00B37020">
      <w:pPr>
        <w:pStyle w:val="SubmissionNormal"/>
      </w:pPr>
      <w:r w:rsidRPr="00F561AD">
        <w:t xml:space="preserve">The Commission remains concerned by the gaps in independent monitoring of places of detention in </w:t>
      </w:r>
      <w:r>
        <w:t>Australia (including in respect of population groups which are prone to racial discrimination, particul</w:t>
      </w:r>
      <w:r w:rsidR="00E07EAF">
        <w:t>arly</w:t>
      </w:r>
      <w:r>
        <w:t xml:space="preserve"> </w:t>
      </w:r>
      <w:r w:rsidR="00E07EAF">
        <w:t xml:space="preserve">of </w:t>
      </w:r>
      <w:r>
        <w:t xml:space="preserve">Aboriginal and Torres Strait Islander peoples and refugees and asylum seekers). </w:t>
      </w:r>
    </w:p>
    <w:p w14:paraId="2382D3A0" w14:textId="77777777" w:rsidR="00B37020" w:rsidRDefault="00B37020" w:rsidP="00B37020">
      <w:pPr>
        <w:pStyle w:val="SubmissionNormal"/>
      </w:pPr>
      <w:r>
        <w:t xml:space="preserve">On 9 February 2017, the Australian Government announced its intention to ratify the </w:t>
      </w:r>
      <w:r w:rsidRPr="00910DFF">
        <w:rPr>
          <w:i/>
        </w:rPr>
        <w:t>Optional Protocol to the Convention Against Torture and other Cruel, Inhuman or Degrading Treatment or Punishment</w:t>
      </w:r>
      <w:r>
        <w:t xml:space="preserve"> (OPCAT). OPCAT provides for ongoing independent monitoring of places of detention, to ensure adherence to minimum standards in conditions and treatment. </w:t>
      </w:r>
    </w:p>
    <w:p w14:paraId="6CFD71BF" w14:textId="77777777" w:rsidR="00B37020" w:rsidRPr="00F561AD" w:rsidRDefault="00B37020" w:rsidP="00B37020">
      <w:pPr>
        <w:pStyle w:val="SubmissionNormal"/>
      </w:pPr>
      <w:r>
        <w:t>The Commission c</w:t>
      </w:r>
      <w:r w:rsidRPr="00F561AD">
        <w:t>ommend</w:t>
      </w:r>
      <w:r>
        <w:t>s</w:t>
      </w:r>
      <w:r w:rsidRPr="00F561AD">
        <w:t xml:space="preserve"> the</w:t>
      </w:r>
      <w:r>
        <w:t xml:space="preserve"> Australian</w:t>
      </w:r>
      <w:r w:rsidRPr="00F561AD">
        <w:t xml:space="preserve"> Government’s commitment to ratify OPCAT by December 2017.</w:t>
      </w:r>
      <w:r w:rsidRPr="00F561AD">
        <w:rPr>
          <w:vertAlign w:val="superscript"/>
        </w:rPr>
        <w:endnoteReference w:id="27"/>
      </w:r>
      <w:r w:rsidRPr="00F561AD">
        <w:t xml:space="preserve">  </w:t>
      </w:r>
    </w:p>
    <w:p w14:paraId="5201974F" w14:textId="3E6A3D82" w:rsidR="00B37020" w:rsidRDefault="00B37020" w:rsidP="00B37020">
      <w:pPr>
        <w:pStyle w:val="ListParagraph"/>
      </w:pPr>
      <w:r w:rsidRPr="006762E6">
        <w:t>That the Australian Government fulfil its commitment to</w:t>
      </w:r>
      <w:r w:rsidR="006B590B">
        <w:t xml:space="preserve"> ratify </w:t>
      </w:r>
      <w:r w:rsidR="00910DFF">
        <w:t xml:space="preserve">the </w:t>
      </w:r>
      <w:r w:rsidR="00910DFF" w:rsidRPr="00910DFF">
        <w:rPr>
          <w:i/>
        </w:rPr>
        <w:t>Optional Protocol to the Convention Against Torture and other Cruel, Inhuman or Degrading Treatment or Punishment</w:t>
      </w:r>
      <w:r w:rsidR="006B590B">
        <w:t xml:space="preserve"> </w:t>
      </w:r>
      <w:r w:rsidR="00910DFF">
        <w:t xml:space="preserve">(OPCAT) </w:t>
      </w:r>
      <w:r w:rsidR="006B590B">
        <w:t xml:space="preserve">by December 2017 </w:t>
      </w:r>
      <w:r w:rsidRPr="006762E6">
        <w:t>and commence its progressive implementation immediately thereafter.</w:t>
      </w:r>
    </w:p>
    <w:p w14:paraId="22169355" w14:textId="3C8E5DCF" w:rsidR="00B37020" w:rsidRPr="006762E6" w:rsidRDefault="00B37020" w:rsidP="00B37020">
      <w:pPr>
        <w:pStyle w:val="Heading3"/>
      </w:pPr>
      <w:bookmarkStart w:id="18" w:name="_Toc497148270"/>
      <w:r>
        <w:t>Other relevant instruments</w:t>
      </w:r>
      <w:bookmarkEnd w:id="18"/>
      <w:r>
        <w:t xml:space="preserve"> </w:t>
      </w:r>
    </w:p>
    <w:p w14:paraId="438D1852" w14:textId="77777777" w:rsidR="006B590B" w:rsidRDefault="006B590B" w:rsidP="006B590B">
      <w:pPr>
        <w:pStyle w:val="SubmissionNormal"/>
        <w:tabs>
          <w:tab w:val="clear" w:pos="720"/>
        </w:tabs>
      </w:pPr>
      <w:r>
        <w:t xml:space="preserve">The Commission notes that the </w:t>
      </w:r>
      <w:r w:rsidRPr="001E1AF5">
        <w:t xml:space="preserve">Australian Government has not </w:t>
      </w:r>
      <w:r w:rsidRPr="00ED5DFB">
        <w:t xml:space="preserve">ratified the </w:t>
      </w:r>
      <w:r w:rsidRPr="00ED5DFB">
        <w:rPr>
          <w:rFonts w:cs="Arial"/>
          <w:i/>
          <w:lang w:val="en"/>
        </w:rPr>
        <w:t>Convention on Protection of the Rights of All Migrant Workers and Members of Their Families</w:t>
      </w:r>
      <w:r w:rsidRPr="00ED5DFB">
        <w:rPr>
          <w:rFonts w:cs="Arial"/>
          <w:lang w:val="en"/>
        </w:rPr>
        <w:t xml:space="preserve"> (</w:t>
      </w:r>
      <w:r w:rsidRPr="00ED5DFB">
        <w:t xml:space="preserve">ICRMW) and is not a party to </w:t>
      </w:r>
      <w:r w:rsidRPr="00ED5DFB">
        <w:rPr>
          <w:i/>
        </w:rPr>
        <w:t>ILO Convention No 169 concerning Indigenous and Tribal Peoples in Independent Countries</w:t>
      </w:r>
      <w:r w:rsidRPr="00ED5DFB">
        <w:t xml:space="preserve">. The </w:t>
      </w:r>
      <w:r w:rsidRPr="00ED5DFB">
        <w:lastRenderedPageBreak/>
        <w:t>Commission considers that ratification of these instruments</w:t>
      </w:r>
      <w:r>
        <w:t xml:space="preserve"> would assist Australia’s compliance with CERD.</w:t>
      </w:r>
      <w:r>
        <w:rPr>
          <w:rStyle w:val="EndnoteReference"/>
        </w:rPr>
        <w:endnoteReference w:id="28"/>
      </w:r>
    </w:p>
    <w:p w14:paraId="6F605A61" w14:textId="77777777" w:rsidR="00B37020" w:rsidRDefault="00B37020" w:rsidP="00B37020">
      <w:pPr>
        <w:pStyle w:val="SubmissionNormal"/>
        <w:tabs>
          <w:tab w:val="clear" w:pos="720"/>
        </w:tabs>
      </w:pPr>
      <w:r>
        <w:t xml:space="preserve">As </w:t>
      </w:r>
      <w:r w:rsidRPr="00661A58">
        <w:t xml:space="preserve">noted in </w:t>
      </w:r>
      <w:hyperlink w:anchor="_UN_Declaration_on" w:history="1">
        <w:r w:rsidRPr="00661A58">
          <w:rPr>
            <w:rStyle w:val="Hyperlink"/>
          </w:rPr>
          <w:t>section 5.2</w:t>
        </w:r>
      </w:hyperlink>
      <w:r>
        <w:t xml:space="preserve"> below, the Commission also considers that the Australian Government should give effect to the UN Declaration on the Rights of Indigenous Peoples.</w:t>
      </w:r>
    </w:p>
    <w:p w14:paraId="5E783EBC" w14:textId="77777777" w:rsidR="00B37020" w:rsidRPr="002F6787" w:rsidRDefault="00B37020" w:rsidP="00B37020">
      <w:pPr>
        <w:pStyle w:val="ListParagraph"/>
      </w:pPr>
      <w:r>
        <w:t xml:space="preserve">That the Australian Government consider ratification of the </w:t>
      </w:r>
      <w:bookmarkStart w:id="19" w:name="_Toc162769291"/>
      <w:bookmarkStart w:id="20" w:name="_Toc207761832"/>
      <w:bookmarkStart w:id="21" w:name="_Toc209578268"/>
      <w:r w:rsidRPr="00F25DD2">
        <w:rPr>
          <w:rFonts w:cs="Arial"/>
          <w:i/>
          <w:lang w:val="en"/>
        </w:rPr>
        <w:t>Convention on Protection of the Rights of All Migrant Workers and Members of Their Families</w:t>
      </w:r>
      <w:r>
        <w:rPr>
          <w:rFonts w:cs="Arial"/>
          <w:lang w:val="en"/>
        </w:rPr>
        <w:t xml:space="preserve"> and</w:t>
      </w:r>
      <w:r>
        <w:t xml:space="preserve"> other international instruments relating to issues of racial discrimination.</w:t>
      </w:r>
    </w:p>
    <w:p w14:paraId="460BAA1B" w14:textId="77777777" w:rsidR="00B37020" w:rsidRPr="00645927" w:rsidRDefault="00B37020" w:rsidP="00B37020">
      <w:pPr>
        <w:pStyle w:val="Heading2"/>
        <w:rPr>
          <w:color w:val="auto"/>
        </w:rPr>
      </w:pPr>
      <w:bookmarkStart w:id="22" w:name="_Toc492904729"/>
      <w:bookmarkStart w:id="23" w:name="_Toc492904730"/>
      <w:bookmarkStart w:id="24" w:name="_Toc497148271"/>
      <w:bookmarkEnd w:id="19"/>
      <w:bookmarkEnd w:id="20"/>
      <w:bookmarkEnd w:id="21"/>
      <w:bookmarkEnd w:id="22"/>
      <w:bookmarkEnd w:id="23"/>
      <w:r>
        <w:rPr>
          <w:color w:val="auto"/>
        </w:rPr>
        <w:t>Education</w:t>
      </w:r>
      <w:r w:rsidRPr="00645927">
        <w:rPr>
          <w:color w:val="auto"/>
        </w:rPr>
        <w:t xml:space="preserve"> (</w:t>
      </w:r>
      <w:r>
        <w:rPr>
          <w:color w:val="auto"/>
        </w:rPr>
        <w:t>CERD</w:t>
      </w:r>
      <w:r w:rsidRPr="00645927">
        <w:rPr>
          <w:color w:val="auto"/>
        </w:rPr>
        <w:t xml:space="preserve"> article </w:t>
      </w:r>
      <w:r>
        <w:rPr>
          <w:color w:val="auto"/>
        </w:rPr>
        <w:t>7</w:t>
      </w:r>
      <w:r w:rsidRPr="00645927">
        <w:rPr>
          <w:color w:val="auto"/>
        </w:rPr>
        <w:t xml:space="preserve">; CO </w:t>
      </w:r>
      <w:r>
        <w:rPr>
          <w:color w:val="auto"/>
        </w:rPr>
        <w:t xml:space="preserve">11, 21 &amp; </w:t>
      </w:r>
      <w:r w:rsidRPr="00645927">
        <w:rPr>
          <w:color w:val="auto"/>
        </w:rPr>
        <w:t>27)</w:t>
      </w:r>
      <w:bookmarkEnd w:id="24"/>
    </w:p>
    <w:p w14:paraId="4889B8A8" w14:textId="77777777" w:rsidR="00B37020" w:rsidRDefault="00B37020" w:rsidP="00B37020">
      <w:pPr>
        <w:pStyle w:val="Heading3"/>
      </w:pPr>
      <w:bookmarkStart w:id="25" w:name="_Toc497148272"/>
      <w:r>
        <w:t>Human rights education in the national curriculum</w:t>
      </w:r>
      <w:bookmarkEnd w:id="25"/>
    </w:p>
    <w:p w14:paraId="667DDF9E" w14:textId="279C4C7A" w:rsidR="00B37020" w:rsidRDefault="00B37020" w:rsidP="00B37020">
      <w:pPr>
        <w:pStyle w:val="SubmissionNormal"/>
      </w:pPr>
      <w:r w:rsidRPr="00645927">
        <w:t xml:space="preserve">The Commission commends the inclusion of some references to human rights in the national school curriculum, </w:t>
      </w:r>
      <w:r>
        <w:t>but</w:t>
      </w:r>
      <w:r w:rsidRPr="00645927">
        <w:t xml:space="preserve"> considers that this </w:t>
      </w:r>
      <w:r w:rsidR="00D12421">
        <w:t>could be improved</w:t>
      </w:r>
      <w:r w:rsidRPr="00645927">
        <w:t xml:space="preserve">. </w:t>
      </w:r>
    </w:p>
    <w:p w14:paraId="05F8A165" w14:textId="77777777" w:rsidR="00B37020" w:rsidRDefault="00B37020" w:rsidP="00B37020">
      <w:pPr>
        <w:pStyle w:val="SubmissionNormal"/>
      </w:pPr>
      <w:r>
        <w:t>The Special Rapporteur on the rights of indigenous peoples noted that the mainstream education system contains inadequate components of Aboriginal and Torres Strait Islander history and the impact of colonisation.</w:t>
      </w:r>
      <w:r>
        <w:rPr>
          <w:rStyle w:val="EndnoteReference"/>
        </w:rPr>
        <w:endnoteReference w:id="29"/>
      </w:r>
    </w:p>
    <w:p w14:paraId="2E544FDF" w14:textId="51954D0A" w:rsidR="00B37020" w:rsidRDefault="00B37020" w:rsidP="00B37020">
      <w:pPr>
        <w:pStyle w:val="SubmissionNormal"/>
      </w:pPr>
      <w:r>
        <w:t xml:space="preserve">The Special Rapporteur on racial discrimination noted that the teaching of </w:t>
      </w:r>
      <w:r w:rsidR="00D12421">
        <w:t>I</w:t>
      </w:r>
      <w:r>
        <w:t>ndigenous subjects, particularly of languages and cultures, remains non-existent or very rare.</w:t>
      </w:r>
      <w:r>
        <w:rPr>
          <w:rStyle w:val="EndnoteReference"/>
        </w:rPr>
        <w:endnoteReference w:id="30"/>
      </w:r>
      <w:r w:rsidR="00106D51">
        <w:t xml:space="preserve"> The Commission welcomes the recent </w:t>
      </w:r>
      <w:r w:rsidR="00106D51">
        <w:rPr>
          <w:i/>
        </w:rPr>
        <w:t xml:space="preserve">Aboriginal Languages Act 2017 </w:t>
      </w:r>
      <w:r w:rsidR="004209FF">
        <w:rPr>
          <w:i/>
        </w:rPr>
        <w:t xml:space="preserve">No 51 </w:t>
      </w:r>
      <w:r w:rsidR="00106D51">
        <w:t xml:space="preserve">(NSW), which </w:t>
      </w:r>
      <w:r w:rsidR="00A21612">
        <w:t xml:space="preserve">received assent on 24 October 2017. The Act </w:t>
      </w:r>
      <w:r w:rsidR="00657257">
        <w:t>establishes</w:t>
      </w:r>
      <w:r w:rsidR="00106D51">
        <w:t xml:space="preserve"> an </w:t>
      </w:r>
      <w:r w:rsidR="00657257">
        <w:t>‘</w:t>
      </w:r>
      <w:r w:rsidR="00106D51">
        <w:t>Aboriginal Languages Trust</w:t>
      </w:r>
      <w:r w:rsidR="00657257">
        <w:t>’</w:t>
      </w:r>
      <w:r w:rsidR="00106D51">
        <w:t xml:space="preserve"> to bring together persons with relevant profession qualifications in languages and persons with knowledge of Aboriginal languages to </w:t>
      </w:r>
      <w:r w:rsidR="00A21612">
        <w:t xml:space="preserve">perform various functions, including promotion of </w:t>
      </w:r>
      <w:r w:rsidR="00106D51">
        <w:t>education in Aboriginal language activities.</w:t>
      </w:r>
      <w:r w:rsidR="00106D51">
        <w:rPr>
          <w:rStyle w:val="EndnoteReference"/>
        </w:rPr>
        <w:endnoteReference w:id="31"/>
      </w:r>
      <w:r w:rsidR="00106D51">
        <w:t xml:space="preserve"> The Commission </w:t>
      </w:r>
      <w:r w:rsidR="00657257">
        <w:t>considers it important that</w:t>
      </w:r>
      <w:r w:rsidR="00106D51">
        <w:t xml:space="preserve"> </w:t>
      </w:r>
      <w:r w:rsidR="00A21612">
        <w:t xml:space="preserve">sufficient </w:t>
      </w:r>
      <w:r w:rsidR="00106D51">
        <w:t xml:space="preserve">ongoing funding </w:t>
      </w:r>
      <w:r w:rsidR="00657257">
        <w:t>be provided to</w:t>
      </w:r>
      <w:r w:rsidR="00106D51">
        <w:t xml:space="preserve"> the Aboriginal Languages Trust </w:t>
      </w:r>
      <w:r w:rsidR="00657257">
        <w:t xml:space="preserve">so that it can successfully </w:t>
      </w:r>
      <w:r w:rsidR="00A21612">
        <w:t>fulfil its functions</w:t>
      </w:r>
      <w:r w:rsidR="00657257">
        <w:t xml:space="preserve">. The Commission also considers it important for the NSW government to ensure that the </w:t>
      </w:r>
      <w:r w:rsidR="00106D51">
        <w:t xml:space="preserve">legislation </w:t>
      </w:r>
      <w:r w:rsidR="00657257">
        <w:t xml:space="preserve">does not </w:t>
      </w:r>
      <w:r w:rsidR="00106D51">
        <w:t>seek to impose ministerial controls or intervention in relation to Aboriginal languages.</w:t>
      </w:r>
      <w:r w:rsidR="00A21612">
        <w:rPr>
          <w:rStyle w:val="EndnoteReference"/>
        </w:rPr>
        <w:endnoteReference w:id="32"/>
      </w:r>
    </w:p>
    <w:p w14:paraId="7388EFFB" w14:textId="77777777" w:rsidR="00B37020" w:rsidRDefault="00B37020" w:rsidP="00B37020">
      <w:pPr>
        <w:pStyle w:val="ListParagraph"/>
      </w:pPr>
      <w:r w:rsidRPr="00645927">
        <w:t xml:space="preserve">That the Australian Government </w:t>
      </w:r>
      <w:r>
        <w:t>in</w:t>
      </w:r>
      <w:r w:rsidRPr="00645927">
        <w:t>corporate more comprehensive human rights education (including</w:t>
      </w:r>
      <w:r>
        <w:t xml:space="preserve"> in relation to racial discrimination and CERD</w:t>
      </w:r>
      <w:r w:rsidRPr="00645927">
        <w:t>) in the national school curriculum.</w:t>
      </w:r>
    </w:p>
    <w:p w14:paraId="676B6572" w14:textId="77777777" w:rsidR="00B37020" w:rsidRDefault="00B37020" w:rsidP="00B37020">
      <w:pPr>
        <w:pStyle w:val="Heading3"/>
      </w:pPr>
      <w:bookmarkStart w:id="26" w:name="_Toc497148273"/>
      <w:r>
        <w:t>Multiculturalism education in the national curriculum</w:t>
      </w:r>
      <w:bookmarkEnd w:id="26"/>
    </w:p>
    <w:p w14:paraId="1E1FAA98" w14:textId="7DD26D08" w:rsidR="00B37020" w:rsidRDefault="00E2491E" w:rsidP="00E2491E">
      <w:pPr>
        <w:pStyle w:val="SubmissionNormal"/>
      </w:pPr>
      <w:r>
        <w:t>While surveys consistently demonstrate strong public support for multiculturalism in Australia,</w:t>
      </w:r>
      <w:r w:rsidR="008D4822">
        <w:rPr>
          <w:rStyle w:val="EndnoteReference"/>
        </w:rPr>
        <w:endnoteReference w:id="33"/>
      </w:r>
      <w:r>
        <w:t xml:space="preserve"> public understanding about cultural diversity can be strengthened.</w:t>
      </w:r>
      <w:r w:rsidR="00B37020">
        <w:t xml:space="preserve"> </w:t>
      </w:r>
      <w:r>
        <w:t>In more general terms, Australians’ civic knowledge, including their understanding of the political system, has been found to be low.</w:t>
      </w:r>
      <w:r>
        <w:rPr>
          <w:rStyle w:val="EndnoteReference"/>
        </w:rPr>
        <w:endnoteReference w:id="34"/>
      </w:r>
      <w:r>
        <w:t xml:space="preserve"> </w:t>
      </w:r>
      <w:r w:rsidR="00B37020">
        <w:t xml:space="preserve">A more comprehensive civics education, including through the formal school curriculum, could encompass a clear articulation of multiculturalism and values of cultural diversity. </w:t>
      </w:r>
    </w:p>
    <w:p w14:paraId="3FE05D70" w14:textId="1729379D" w:rsidR="00B37020" w:rsidRDefault="009F7EC2" w:rsidP="009F7EC2">
      <w:pPr>
        <w:pStyle w:val="BodyText"/>
      </w:pPr>
      <w:r>
        <w:lastRenderedPageBreak/>
        <w:t>The Commission refers to the recent parliamentary inquiry into strengthening multiculturalism and the resulting report of the Select Committee on Strengthening Multiculturalism.</w:t>
      </w:r>
      <w:r>
        <w:rPr>
          <w:rStyle w:val="EndnoteReference"/>
        </w:rPr>
        <w:endnoteReference w:id="35"/>
      </w:r>
      <w:r>
        <w:t xml:space="preserve"> </w:t>
      </w:r>
      <w:r w:rsidR="00B37020">
        <w:t xml:space="preserve">Noting the social and economic value of a multilingual Australia, and the role of interfaith and intercultural understanding in promoting social cohesion, the Select Committee has recommended the development of an intercultural and multicultural education curriculum including </w:t>
      </w:r>
      <w:r w:rsidR="00876690">
        <w:t>‘</w:t>
      </w:r>
      <w:r w:rsidR="00B37020">
        <w:t>compulsory language education</w:t>
      </w:r>
      <w:r w:rsidR="00876690">
        <w:t>’</w:t>
      </w:r>
      <w:r w:rsidR="00B37020">
        <w:t xml:space="preserve"> and </w:t>
      </w:r>
      <w:r w:rsidR="009E2F27">
        <w:t>‘</w:t>
      </w:r>
      <w:r w:rsidR="00B37020">
        <w:t>comprehensive intercultural education</w:t>
      </w:r>
      <w:r w:rsidR="009E2F27">
        <w:t>’</w:t>
      </w:r>
      <w:r w:rsidR="00B37020">
        <w:t xml:space="preserve"> for primary and secondary school students.</w:t>
      </w:r>
      <w:r w:rsidR="00B37020">
        <w:rPr>
          <w:rStyle w:val="EndnoteReference"/>
        </w:rPr>
        <w:endnoteReference w:id="36"/>
      </w:r>
    </w:p>
    <w:p w14:paraId="1D6D71D3" w14:textId="0E08C430" w:rsidR="00B37020" w:rsidRPr="00645927" w:rsidRDefault="00B37020" w:rsidP="00B37020">
      <w:pPr>
        <w:pStyle w:val="ListParagraph"/>
      </w:pPr>
      <w:r w:rsidRPr="002612DB">
        <w:t xml:space="preserve">That the </w:t>
      </w:r>
      <w:r>
        <w:t xml:space="preserve">Australian </w:t>
      </w:r>
      <w:r w:rsidRPr="002612DB">
        <w:t>Gov</w:t>
      </w:r>
      <w:r>
        <w:t>ernment</w:t>
      </w:r>
      <w:r w:rsidRPr="002612DB">
        <w:t xml:space="preserve"> </w:t>
      </w:r>
      <w:r w:rsidR="004C28FB">
        <w:t>strengthen</w:t>
      </w:r>
      <w:r w:rsidRPr="002612DB">
        <w:t xml:space="preserve"> public education about multiculturalism, including through the </w:t>
      </w:r>
      <w:r>
        <w:t xml:space="preserve">national </w:t>
      </w:r>
      <w:r w:rsidRPr="002612DB">
        <w:t>school curriculum</w:t>
      </w:r>
      <w:r>
        <w:t>.</w:t>
      </w:r>
    </w:p>
    <w:p w14:paraId="0AB460DB" w14:textId="77777777" w:rsidR="00B37020" w:rsidRDefault="00B37020" w:rsidP="00B37020">
      <w:pPr>
        <w:pStyle w:val="Heading3"/>
      </w:pPr>
      <w:bookmarkStart w:id="27" w:name="_Toc497148274"/>
      <w:r>
        <w:t>Human rights education in the public service</w:t>
      </w:r>
      <w:bookmarkEnd w:id="27"/>
    </w:p>
    <w:p w14:paraId="44F463B0" w14:textId="191421F1" w:rsidR="00B37020" w:rsidRDefault="00876690" w:rsidP="00B37020">
      <w:pPr>
        <w:pStyle w:val="SubmissionNormal"/>
      </w:pPr>
      <w:r>
        <w:t>The Commission considers that h</w:t>
      </w:r>
      <w:r w:rsidR="00B37020" w:rsidRPr="00645927">
        <w:t xml:space="preserve">uman rights education for public servants </w:t>
      </w:r>
      <w:r>
        <w:t>could be improved</w:t>
      </w:r>
      <w:r w:rsidR="00B37020" w:rsidRPr="00645927">
        <w:t xml:space="preserve">, especially for those officials in the administration of justice and with legislative responsibilities to develop statements of compatibility with human rights for </w:t>
      </w:r>
      <w:r w:rsidR="00BB1756">
        <w:t>newly proposed</w:t>
      </w:r>
      <w:r w:rsidR="00B37020" w:rsidRPr="00645927">
        <w:t xml:space="preserve"> legislation.</w:t>
      </w:r>
    </w:p>
    <w:p w14:paraId="6EA11E44" w14:textId="44127580" w:rsidR="00B37020" w:rsidRPr="00645927" w:rsidRDefault="00B37020" w:rsidP="00B37020">
      <w:pPr>
        <w:pStyle w:val="BodyText"/>
      </w:pPr>
      <w:r w:rsidRPr="00645927">
        <w:t>The Commission also notes that Australia’s activities for the World Program</w:t>
      </w:r>
      <w:r w:rsidR="00876690">
        <w:t xml:space="preserve"> for Human Rights Education are</w:t>
      </w:r>
      <w:r w:rsidRPr="00645927">
        <w:t xml:space="preserve"> uncoordinated</w:t>
      </w:r>
      <w:r w:rsidR="00876690">
        <w:t xml:space="preserve"> and not systematic</w:t>
      </w:r>
      <w:r w:rsidRPr="00645927">
        <w:t>.</w:t>
      </w:r>
    </w:p>
    <w:p w14:paraId="361313E9" w14:textId="77777777" w:rsidR="00B37020" w:rsidRPr="00645927" w:rsidRDefault="00B37020" w:rsidP="000F1F4B">
      <w:pPr>
        <w:pStyle w:val="SubmissionNormal"/>
        <w:numPr>
          <w:ilvl w:val="0"/>
          <w:numId w:val="17"/>
        </w:numPr>
      </w:pPr>
      <w:r w:rsidRPr="00645927">
        <w:rPr>
          <w:b/>
        </w:rPr>
        <w:t xml:space="preserve">That the Australian Government support human rights education for all areas of the public sector, particularly in the administration of justice and places of detention, </w:t>
      </w:r>
      <w:r w:rsidRPr="00645927">
        <w:rPr>
          <w:rFonts w:eastAsia="Calibri" w:cs="Arial"/>
          <w:b/>
          <w:lang w:val="en-NZ" w:eastAsia="en-US"/>
        </w:rPr>
        <w:t>including targeted initiatives for public officials</w:t>
      </w:r>
      <w:r w:rsidRPr="00645927">
        <w:rPr>
          <w:b/>
        </w:rPr>
        <w:t>.</w:t>
      </w:r>
    </w:p>
    <w:p w14:paraId="14EF9934" w14:textId="77777777" w:rsidR="00B37020" w:rsidRDefault="00B37020" w:rsidP="00B37020">
      <w:pPr>
        <w:pStyle w:val="Heading3"/>
      </w:pPr>
      <w:bookmarkStart w:id="28" w:name="_Toc497148275"/>
      <w:r>
        <w:t>National Anti-Racism Strategy</w:t>
      </w:r>
      <w:bookmarkEnd w:id="28"/>
    </w:p>
    <w:p w14:paraId="46D52546" w14:textId="77777777" w:rsidR="00B37020" w:rsidRDefault="00B37020" w:rsidP="00B37020">
      <w:pPr>
        <w:pStyle w:val="BodyText"/>
      </w:pPr>
      <w:r>
        <w:t>E</w:t>
      </w:r>
      <w:r w:rsidRPr="00A7118B">
        <w:t>ducation initiatives such as the National Anti-Racism Partnership and Strategy (</w:t>
      </w:r>
      <w:r>
        <w:t>the Strategy</w:t>
      </w:r>
      <w:r w:rsidRPr="00A7118B">
        <w:t>), coordinated by the Commission, play a vital role in supporting the maintenance of racial tolerance</w:t>
      </w:r>
      <w:r>
        <w:t>. The aim of the Strategy is to promote a clear understanding in the Australian community of what racism is, and how it can be prevented and red</w:t>
      </w:r>
      <w:r w:rsidRPr="00F561AD">
        <w:t>uced.</w:t>
      </w:r>
      <w:r w:rsidRPr="00F561AD">
        <w:rPr>
          <w:rStyle w:val="EndnoteReference"/>
        </w:rPr>
        <w:endnoteReference w:id="37"/>
      </w:r>
    </w:p>
    <w:p w14:paraId="7A03CFE8" w14:textId="77777777" w:rsidR="00B37020" w:rsidRPr="00F561AD" w:rsidRDefault="00B37020" w:rsidP="00B37020">
      <w:pPr>
        <w:pStyle w:val="BodyText"/>
      </w:pPr>
      <w:r>
        <w:t>The Commission conducted an evaluation of the Strategy in 2015 and concluded that it has been effective in raising awareness of racism and how best to respond to it.</w:t>
      </w:r>
      <w:r>
        <w:rPr>
          <w:rStyle w:val="EndnoteReference"/>
        </w:rPr>
        <w:endnoteReference w:id="38"/>
      </w:r>
    </w:p>
    <w:p w14:paraId="7F4C038B" w14:textId="77777777" w:rsidR="00B37020" w:rsidRPr="00F561AD" w:rsidRDefault="00B37020" w:rsidP="00B37020">
      <w:pPr>
        <w:pStyle w:val="BodyText"/>
      </w:pPr>
      <w:r w:rsidRPr="00F561AD">
        <w:t xml:space="preserve">A key component of the </w:t>
      </w:r>
      <w:r>
        <w:t>Strategy</w:t>
      </w:r>
      <w:r w:rsidRPr="00F561AD">
        <w:t xml:space="preserve"> is a national anti-racism campaign, </w:t>
      </w:r>
      <w:r w:rsidRPr="00F561AD">
        <w:rPr>
          <w:i/>
        </w:rPr>
        <w:t>Racism. It Stops with Me.</w:t>
      </w:r>
      <w:r w:rsidRPr="00F561AD">
        <w:rPr>
          <w:rStyle w:val="EndnoteReference"/>
        </w:rPr>
        <w:endnoteReference w:id="39"/>
      </w:r>
      <w:r w:rsidRPr="00F561AD">
        <w:rPr>
          <w:i/>
        </w:rPr>
        <w:t xml:space="preserve"> </w:t>
      </w:r>
      <w:r w:rsidRPr="00F561AD">
        <w:t xml:space="preserve">The campaign now has more than </w:t>
      </w:r>
      <w:r>
        <w:t>360</w:t>
      </w:r>
      <w:r w:rsidRPr="00F561AD">
        <w:t xml:space="preserve"> organisational supporters, from across local and state governments, business, education, sporting organisations, the arts and civil society.</w:t>
      </w:r>
    </w:p>
    <w:p w14:paraId="2230ECE6" w14:textId="77777777" w:rsidR="00B37020" w:rsidRDefault="00B37020" w:rsidP="00B37020">
      <w:pPr>
        <w:pStyle w:val="BodyText"/>
      </w:pPr>
      <w:r w:rsidRPr="00F561AD">
        <w:t xml:space="preserve">The Commission commends the Australian Government’s commitment to support the Strategy and the </w:t>
      </w:r>
      <w:r w:rsidRPr="00F561AD">
        <w:rPr>
          <w:i/>
        </w:rPr>
        <w:t xml:space="preserve">Racism. It Stops </w:t>
      </w:r>
      <w:r>
        <w:rPr>
          <w:i/>
        </w:rPr>
        <w:t>w</w:t>
      </w:r>
      <w:r w:rsidRPr="00F561AD">
        <w:rPr>
          <w:i/>
        </w:rPr>
        <w:t>ith Me</w:t>
      </w:r>
      <w:r w:rsidRPr="00F561AD">
        <w:t xml:space="preserve"> campaign</w:t>
      </w:r>
      <w:r w:rsidRPr="00F561AD">
        <w:rPr>
          <w:i/>
        </w:rPr>
        <w:t>.</w:t>
      </w:r>
      <w:r w:rsidRPr="00F561AD">
        <w:rPr>
          <w:rStyle w:val="EndnoteReference"/>
        </w:rPr>
        <w:t xml:space="preserve"> </w:t>
      </w:r>
      <w:r w:rsidRPr="00F561AD">
        <w:rPr>
          <w:rStyle w:val="EndnoteReference"/>
        </w:rPr>
        <w:endnoteReference w:id="40"/>
      </w:r>
    </w:p>
    <w:p w14:paraId="49FD01B4" w14:textId="77777777" w:rsidR="00B37020" w:rsidRPr="00F561AD" w:rsidRDefault="00B37020" w:rsidP="00B37020">
      <w:pPr>
        <w:pStyle w:val="BodyText"/>
      </w:pPr>
      <w:r>
        <w:t xml:space="preserve">The Commission notes that the Select Committee on Strengthening Multiculturalism has recommended that the Australian Government continue to provide ongoing support for the Strategy, through continuing to fund activities that raise public awareness and empower individuals and communities to </w:t>
      </w:r>
      <w:r>
        <w:lastRenderedPageBreak/>
        <w:t>prevent and reduce the incidence of racism, and promoting the Strategy at relevant opportunities.</w:t>
      </w:r>
      <w:r>
        <w:rPr>
          <w:rStyle w:val="EndnoteReference"/>
        </w:rPr>
        <w:endnoteReference w:id="41"/>
      </w:r>
    </w:p>
    <w:p w14:paraId="0A37418B" w14:textId="77777777" w:rsidR="00B37020" w:rsidRDefault="00B37020" w:rsidP="00B37020">
      <w:pPr>
        <w:pStyle w:val="ListParagraph"/>
      </w:pPr>
      <w:r w:rsidRPr="00F561AD">
        <w:t xml:space="preserve">That the </w:t>
      </w:r>
      <w:r>
        <w:t xml:space="preserve">Australian </w:t>
      </w:r>
      <w:r w:rsidRPr="00F561AD">
        <w:t>Government continue to support the anti-racism and other educative work of the Commission, including the National Anti-Racism Partnership and Strategy.</w:t>
      </w:r>
    </w:p>
    <w:p w14:paraId="6715D2A5" w14:textId="1FB4FCAA" w:rsidR="00860AC5" w:rsidRDefault="00483073" w:rsidP="001E5718">
      <w:pPr>
        <w:pStyle w:val="Heading1"/>
      </w:pPr>
      <w:bookmarkStart w:id="29" w:name="_Toc497148276"/>
      <w:bookmarkEnd w:id="9"/>
      <w:bookmarkEnd w:id="10"/>
      <w:bookmarkEnd w:id="11"/>
      <w:r>
        <w:t>Racial discrimination in Australia</w:t>
      </w:r>
      <w:bookmarkEnd w:id="29"/>
    </w:p>
    <w:p w14:paraId="2FEB0889" w14:textId="566CD731" w:rsidR="00483073" w:rsidRPr="00483073" w:rsidRDefault="00EC66C9" w:rsidP="00483073">
      <w:pPr>
        <w:pStyle w:val="Heading2"/>
      </w:pPr>
      <w:bookmarkStart w:id="30" w:name="_Toc497148277"/>
      <w:r>
        <w:t>Multicultural Australia</w:t>
      </w:r>
      <w:bookmarkEnd w:id="30"/>
    </w:p>
    <w:p w14:paraId="73994914" w14:textId="17C84CAF" w:rsidR="00483073" w:rsidRPr="00E370EA" w:rsidRDefault="00483073" w:rsidP="00483073">
      <w:pPr>
        <w:pStyle w:val="BodyText"/>
        <w:tabs>
          <w:tab w:val="clear" w:pos="7383"/>
        </w:tabs>
      </w:pPr>
      <w:r w:rsidRPr="00104CBE">
        <w:t xml:space="preserve">Australia has </w:t>
      </w:r>
      <w:r w:rsidRPr="00E370EA">
        <w:t>experienced successive waves of mass immigration since the end of the Second World War. An estimated 2</w:t>
      </w:r>
      <w:r w:rsidR="008961A6">
        <w:t>6</w:t>
      </w:r>
      <w:r>
        <w:t>%</w:t>
      </w:r>
      <w:r w:rsidRPr="00E370EA">
        <w:t xml:space="preserve"> of the Australian population </w:t>
      </w:r>
      <w:r w:rsidR="00354D31">
        <w:t>was</w:t>
      </w:r>
      <w:r w:rsidRPr="00E370EA">
        <w:t xml:space="preserve"> born overseas</w:t>
      </w:r>
      <w:r w:rsidR="008D4822">
        <w:t xml:space="preserve"> and about 49</w:t>
      </w:r>
      <w:r>
        <w:t>%</w:t>
      </w:r>
      <w:r w:rsidRPr="00E370EA">
        <w:t xml:space="preserve"> of the Australian population has at least one parent who was born overseas.</w:t>
      </w:r>
      <w:r w:rsidRPr="00E370EA">
        <w:rPr>
          <w:rStyle w:val="EndnoteReference"/>
        </w:rPr>
        <w:endnoteReference w:id="42"/>
      </w:r>
      <w:r w:rsidRPr="00E370EA">
        <w:t xml:space="preserve"> </w:t>
      </w:r>
      <w:r w:rsidRPr="00D2682E">
        <w:t xml:space="preserve"> </w:t>
      </w:r>
      <w:r w:rsidRPr="00E370EA">
        <w:t xml:space="preserve">The two largest source countries of permanent settlement are </w:t>
      </w:r>
      <w:r w:rsidR="005818EF">
        <w:t xml:space="preserve">currently </w:t>
      </w:r>
      <w:r w:rsidRPr="00E370EA">
        <w:t>China and India.</w:t>
      </w:r>
      <w:r w:rsidRPr="00E370EA">
        <w:rPr>
          <w:rStyle w:val="EndnoteReference"/>
        </w:rPr>
        <w:endnoteReference w:id="43"/>
      </w:r>
    </w:p>
    <w:p w14:paraId="09D95580" w14:textId="45482093" w:rsidR="006707B8" w:rsidRDefault="00483073" w:rsidP="00483073">
      <w:pPr>
        <w:pStyle w:val="BodyText"/>
        <w:tabs>
          <w:tab w:val="clear" w:pos="7383"/>
        </w:tabs>
      </w:pPr>
      <w:r w:rsidRPr="00E370EA">
        <w:t xml:space="preserve">Australia has been highly successful in the economic and civic integration of immigrants. In 2015 the </w:t>
      </w:r>
      <w:r w:rsidR="00DF7068">
        <w:t>‘foreign</w:t>
      </w:r>
      <w:r w:rsidRPr="00E370EA">
        <w:t>-born</w:t>
      </w:r>
      <w:r w:rsidR="00DF7068">
        <w:t>’</w:t>
      </w:r>
      <w:r w:rsidRPr="00E370EA">
        <w:t xml:space="preserve"> unemployment rate was lower than the </w:t>
      </w:r>
      <w:r w:rsidR="00DF7068">
        <w:t>‘</w:t>
      </w:r>
      <w:r w:rsidRPr="00E370EA">
        <w:t>native-born</w:t>
      </w:r>
      <w:r w:rsidR="00DF7068">
        <w:t>’</w:t>
      </w:r>
      <w:r w:rsidRPr="00E370EA">
        <w:t xml:space="preserve"> rate, and was the fifth lowest in the OECD.</w:t>
      </w:r>
      <w:r w:rsidRPr="00E370EA">
        <w:rPr>
          <w:rStyle w:val="EndnoteReference"/>
        </w:rPr>
        <w:endnoteReference w:id="44"/>
      </w:r>
      <w:r w:rsidRPr="00E370EA">
        <w:t xml:space="preserve"> The children of immigrants constitute a higher proportion of people in highly skilled occupations than the children of </w:t>
      </w:r>
      <w:r w:rsidR="00DF7068">
        <w:t>‘</w:t>
      </w:r>
      <w:r w:rsidRPr="00E370EA">
        <w:t>native-born</w:t>
      </w:r>
      <w:r w:rsidR="00DF7068">
        <w:t>’</w:t>
      </w:r>
      <w:r w:rsidRPr="00E370EA">
        <w:t xml:space="preserve"> parents.</w:t>
      </w:r>
      <w:r w:rsidRPr="00E370EA">
        <w:rPr>
          <w:rStyle w:val="EndnoteReference"/>
        </w:rPr>
        <w:endnoteReference w:id="45"/>
      </w:r>
      <w:r w:rsidR="006707B8">
        <w:t xml:space="preserve"> </w:t>
      </w:r>
    </w:p>
    <w:p w14:paraId="749D4AC9" w14:textId="0ACE6D35" w:rsidR="00483073" w:rsidRDefault="006707B8" w:rsidP="00483073">
      <w:pPr>
        <w:pStyle w:val="BodyText"/>
        <w:tabs>
          <w:tab w:val="clear" w:pos="7383"/>
        </w:tabs>
      </w:pPr>
      <w:r>
        <w:t>In</w:t>
      </w:r>
      <w:r w:rsidRPr="004C258E">
        <w:t xml:space="preserve"> the Scanlon Foundation</w:t>
      </w:r>
      <w:r>
        <w:t>’s</w:t>
      </w:r>
      <w:r w:rsidRPr="004C258E">
        <w:t xml:space="preserve"> </w:t>
      </w:r>
      <w:r>
        <w:rPr>
          <w:i/>
        </w:rPr>
        <w:t>Australians Today</w:t>
      </w:r>
      <w:r w:rsidRPr="004C258E">
        <w:t xml:space="preserve"> survey, </w:t>
      </w:r>
      <w:r>
        <w:t>a</w:t>
      </w:r>
      <w:r w:rsidRPr="004C258E">
        <w:t>lmost two-thirds</w:t>
      </w:r>
      <w:r>
        <w:t xml:space="preserve"> of migrant respondents</w:t>
      </w:r>
      <w:r w:rsidRPr="004C258E">
        <w:t xml:space="preserve"> indicated a sense of belonging</w:t>
      </w:r>
      <w:r>
        <w:t xml:space="preserve"> in Australia</w:t>
      </w:r>
      <w:r w:rsidRPr="004C258E">
        <w:t xml:space="preserve"> to a ‘great’ or ‘moderate’ extent</w:t>
      </w:r>
      <w:r>
        <w:t>, while only</w:t>
      </w:r>
      <w:r w:rsidR="009F7EC2">
        <w:t xml:space="preserve"> 9</w:t>
      </w:r>
      <w:r>
        <w:t>%</w:t>
      </w:r>
      <w:r w:rsidRPr="004C258E">
        <w:t xml:space="preserve"> of recent arrivals indicated no sense of belonging in Australia ‘at all’.</w:t>
      </w:r>
      <w:r>
        <w:rPr>
          <w:rStyle w:val="EndnoteReference"/>
          <w:rFonts w:cs="Arial"/>
        </w:rPr>
        <w:endnoteReference w:id="46"/>
      </w:r>
    </w:p>
    <w:p w14:paraId="11342050" w14:textId="24CF3324" w:rsidR="00483073" w:rsidRDefault="00483073" w:rsidP="00483073">
      <w:pPr>
        <w:pStyle w:val="BodyText"/>
        <w:tabs>
          <w:tab w:val="clear" w:pos="7383"/>
        </w:tabs>
      </w:pPr>
      <w:r w:rsidRPr="00E370EA">
        <w:t>The Commission further notes that migrants to Australia have a high uptake of citizenship</w:t>
      </w:r>
      <w:r w:rsidRPr="00483073">
        <w:rPr>
          <w:szCs w:val="28"/>
          <w:shd w:val="clear" w:color="auto" w:fill="FFFFFF"/>
        </w:rPr>
        <w:t>.</w:t>
      </w:r>
      <w:r w:rsidRPr="00E370EA">
        <w:rPr>
          <w:rStyle w:val="EndnoteReference"/>
          <w:sz w:val="24"/>
          <w:szCs w:val="28"/>
          <w:shd w:val="clear" w:color="auto" w:fill="FFFFFF"/>
        </w:rPr>
        <w:endnoteReference w:id="47"/>
      </w:r>
      <w:r w:rsidRPr="00483073">
        <w:rPr>
          <w:szCs w:val="28"/>
          <w:shd w:val="clear" w:color="auto" w:fill="FFFFFF"/>
        </w:rPr>
        <w:t xml:space="preserve"> </w:t>
      </w:r>
      <w:r w:rsidRPr="00E370EA">
        <w:t xml:space="preserve">The national Au@2015 survey found </w:t>
      </w:r>
      <w:r>
        <w:t>that 82% of those migrants who had been resident in Australia for between 15 and 24 years had become citizens. The highest take-up of citizenship for those who had been resident in Australia for between five and nine years was by migrants from South Sudan (91%), Iraq (89%), and the Philippines (83%).</w:t>
      </w:r>
      <w:r>
        <w:rPr>
          <w:rStyle w:val="EndnoteReference"/>
        </w:rPr>
        <w:endnoteReference w:id="48"/>
      </w:r>
    </w:p>
    <w:p w14:paraId="45515290" w14:textId="7FE40B2F" w:rsidR="00483073" w:rsidRPr="00483073" w:rsidRDefault="00483073" w:rsidP="00483073">
      <w:pPr>
        <w:pStyle w:val="Heading2"/>
      </w:pPr>
      <w:bookmarkStart w:id="31" w:name="_Toc497148278"/>
      <w:r>
        <w:t>Racial discrimination generally</w:t>
      </w:r>
      <w:bookmarkEnd w:id="31"/>
    </w:p>
    <w:p w14:paraId="673AF15B" w14:textId="685B25EE" w:rsidR="001E5718" w:rsidRDefault="009F7EC2" w:rsidP="00483073">
      <w:pPr>
        <w:pStyle w:val="BodyText"/>
      </w:pPr>
      <w:r>
        <w:t>Despite Australia’s success as a multicultural nation,</w:t>
      </w:r>
      <w:r w:rsidR="004274F0">
        <w:t xml:space="preserve"> </w:t>
      </w:r>
      <w:r w:rsidR="001E5718">
        <w:t>racial discrimination continues to be present in Australian society.</w:t>
      </w:r>
    </w:p>
    <w:p w14:paraId="5B4A1210" w14:textId="00063799" w:rsidR="001E5718" w:rsidRDefault="001E5718" w:rsidP="00483073">
      <w:pPr>
        <w:pStyle w:val="BodyText"/>
      </w:pPr>
      <w:r>
        <w:t>The Commission draws the Committee’s attention to</w:t>
      </w:r>
      <w:r w:rsidR="00DF7068">
        <w:t xml:space="preserve"> the Scanlon Foundation’s 2016 ‘</w:t>
      </w:r>
      <w:r>
        <w:t>Mapping Social Cohesion</w:t>
      </w:r>
      <w:r w:rsidR="00DF7068">
        <w:t>’</w:t>
      </w:r>
      <w:r>
        <w:t xml:space="preserve"> Survey report (2016 Scanlon Survey).</w:t>
      </w:r>
      <w:r>
        <w:rPr>
          <w:rStyle w:val="EndnoteReference"/>
        </w:rPr>
        <w:endnoteReference w:id="49"/>
      </w:r>
      <w:r>
        <w:t xml:space="preserve"> The 2016 Scanlon Survey brings together a series of detailed surveys on social cohesion, immigration and population issues in Australia.</w:t>
      </w:r>
    </w:p>
    <w:p w14:paraId="43A3E021" w14:textId="50F0B05E" w:rsidR="001E5718" w:rsidRDefault="001E5718" w:rsidP="00483073">
      <w:pPr>
        <w:pStyle w:val="BodyText"/>
      </w:pPr>
      <w:r>
        <w:t>According to the 2016 Scanlon Survey</w:t>
      </w:r>
      <w:r w:rsidR="00DF7068">
        <w:t>,</w:t>
      </w:r>
      <w:r w:rsidR="00CF763C">
        <w:t xml:space="preserve"> </w:t>
      </w:r>
      <w:r>
        <w:t xml:space="preserve">those of non-English speaking backgrounds </w:t>
      </w:r>
      <w:r w:rsidR="00EC66C9">
        <w:t xml:space="preserve">in the Australian population </w:t>
      </w:r>
      <w:r>
        <w:t>reported the highest experience of discrimination, 27% compared to 17% of those born in Australia and 19% of those born overseas in English speaking countries.</w:t>
      </w:r>
      <w:r>
        <w:rPr>
          <w:rStyle w:val="EndnoteReference"/>
        </w:rPr>
        <w:endnoteReference w:id="50"/>
      </w:r>
    </w:p>
    <w:p w14:paraId="00DA368C" w14:textId="0C634B4B" w:rsidR="001E5718" w:rsidRDefault="001E5718" w:rsidP="00483073">
      <w:pPr>
        <w:pStyle w:val="BodyText"/>
      </w:pPr>
      <w:r>
        <w:lastRenderedPageBreak/>
        <w:t>The 2016 Scanlon Survey also reveals an increase of 5% in the number of respondents indicating experience of discrimination based on skin colour, ethnicity or religion, from 15% to 20%. This is the highest level recorded in the history of the Scanlon Foundation Surveys.</w:t>
      </w:r>
      <w:r>
        <w:rPr>
          <w:rStyle w:val="EndnoteReference"/>
        </w:rPr>
        <w:endnoteReference w:id="51"/>
      </w:r>
    </w:p>
    <w:p w14:paraId="4D382ABB" w14:textId="6942B5D9" w:rsidR="00E2491E" w:rsidRDefault="00E2491E" w:rsidP="00BF4178">
      <w:pPr>
        <w:pStyle w:val="BodyText"/>
      </w:pPr>
      <w:r>
        <w:t xml:space="preserve">In its national consultations in 2015, </w:t>
      </w:r>
      <w:r w:rsidR="00BF4178">
        <w:t>which focused on lived experience</w:t>
      </w:r>
      <w:r w:rsidR="00DF7068">
        <w:t>s</w:t>
      </w:r>
      <w:r w:rsidR="00BF4178">
        <w:t xml:space="preserve"> of racism, the Commission found the persistence of the following forms of racial discrimination: discrimination in employment; racial vilification and bigotry; and social exclusion.</w:t>
      </w:r>
      <w:r w:rsidR="00BF4178">
        <w:rPr>
          <w:rStyle w:val="EndnoteReference"/>
        </w:rPr>
        <w:endnoteReference w:id="52"/>
      </w:r>
      <w:r w:rsidR="00BF4178">
        <w:t xml:space="preserve"> It also found strong community support for existing legislative protections against racial discrimination and hatred.</w:t>
      </w:r>
      <w:r w:rsidR="00BF4178">
        <w:rPr>
          <w:rStyle w:val="EndnoteReference"/>
        </w:rPr>
        <w:endnoteReference w:id="53"/>
      </w:r>
      <w:r w:rsidR="00987523">
        <w:t xml:space="preserve"> This is a finding supported by survey evidence.</w:t>
      </w:r>
      <w:r w:rsidR="00850901">
        <w:rPr>
          <w:rStyle w:val="EndnoteReference"/>
        </w:rPr>
        <w:endnoteReference w:id="54"/>
      </w:r>
    </w:p>
    <w:p w14:paraId="4E6B4331" w14:textId="79A1130B" w:rsidR="009F7EC2" w:rsidRDefault="001E5718" w:rsidP="009F7EC2">
      <w:pPr>
        <w:pStyle w:val="BodyText"/>
      </w:pPr>
      <w:r>
        <w:t xml:space="preserve">In carrying out its conciliation function, the Commission records statistics relating to complaints of </w:t>
      </w:r>
      <w:r w:rsidRPr="00C2286C">
        <w:t>discrimination, harassment and vilification.</w:t>
      </w:r>
      <w:r>
        <w:t xml:space="preserve"> In the 201</w:t>
      </w:r>
      <w:r w:rsidR="00D54451">
        <w:t>6</w:t>
      </w:r>
      <w:r w:rsidR="00DF7068">
        <w:t>–</w:t>
      </w:r>
      <w:r>
        <w:t>1</w:t>
      </w:r>
      <w:r w:rsidR="00D54451">
        <w:t>7</w:t>
      </w:r>
      <w:r>
        <w:t xml:space="preserve"> reporting year, 21% of all complaints (4</w:t>
      </w:r>
      <w:r w:rsidR="00D54451">
        <w:t>0</w:t>
      </w:r>
      <w:r>
        <w:t xml:space="preserve">9 complaints) received by the Commission were received under the </w:t>
      </w:r>
      <w:r w:rsidRPr="00A5068A">
        <w:rPr>
          <w:i/>
        </w:rPr>
        <w:t>Racial Discrimination Act</w:t>
      </w:r>
      <w:r w:rsidR="00EC66C9">
        <w:rPr>
          <w:i/>
        </w:rPr>
        <w:t xml:space="preserve"> 1975 </w:t>
      </w:r>
      <w:r w:rsidR="00EC66C9">
        <w:t>(Cth)</w:t>
      </w:r>
      <w:r>
        <w:t xml:space="preserve"> (RDA). Of those complaints, </w:t>
      </w:r>
      <w:r w:rsidR="00D54451">
        <w:t>26</w:t>
      </w:r>
      <w:r>
        <w:t xml:space="preserve">% related to employment, </w:t>
      </w:r>
      <w:r w:rsidR="00D54451">
        <w:t>20</w:t>
      </w:r>
      <w:r>
        <w:t xml:space="preserve">% related to the provision of goods and services, and </w:t>
      </w:r>
      <w:r w:rsidR="00D54451">
        <w:t>34</w:t>
      </w:r>
      <w:r>
        <w:t>% related to racial hatred.</w:t>
      </w:r>
      <w:r w:rsidR="00D54451">
        <w:rPr>
          <w:rStyle w:val="EndnoteReference"/>
        </w:rPr>
        <w:endnoteReference w:id="55"/>
      </w:r>
      <w:r>
        <w:t xml:space="preserve"> </w:t>
      </w:r>
    </w:p>
    <w:p w14:paraId="340A8F34" w14:textId="0E4C7EA2" w:rsidR="001E5718" w:rsidRDefault="001E5718" w:rsidP="001E5718">
      <w:pPr>
        <w:pStyle w:val="ListParagraph"/>
      </w:pPr>
      <w:r>
        <w:t xml:space="preserve">That the </w:t>
      </w:r>
      <w:r w:rsidR="00E37ED0">
        <w:t xml:space="preserve">Australian </w:t>
      </w:r>
      <w:r>
        <w:t>Government recognise the importance of maintaining effective legal protections against racial discrimination and hatred in setting a standard for public conduct in a multicultural society.</w:t>
      </w:r>
    </w:p>
    <w:p w14:paraId="0A0584F4" w14:textId="57F3C897" w:rsidR="006E2654" w:rsidRDefault="006E2654" w:rsidP="00EC66C9">
      <w:pPr>
        <w:pStyle w:val="Heading2"/>
      </w:pPr>
      <w:bookmarkStart w:id="32" w:name="_Toc497148279"/>
      <w:r>
        <w:t>Strengthening multiculturalism</w:t>
      </w:r>
      <w:bookmarkEnd w:id="32"/>
    </w:p>
    <w:p w14:paraId="2B5F34AF" w14:textId="23D7BFD8" w:rsidR="004274F0" w:rsidRDefault="00F30909" w:rsidP="00F30909">
      <w:pPr>
        <w:pStyle w:val="BodyText"/>
      </w:pPr>
      <w:r>
        <w:t>The Commission considers that strengthening multiculturalism is an important aspect of protecting persons from racial discrimination</w:t>
      </w:r>
      <w:r w:rsidR="004274F0">
        <w:t>, improving cultural diversity in institutions and organisations</w:t>
      </w:r>
      <w:r>
        <w:t xml:space="preserve"> and</w:t>
      </w:r>
      <w:r w:rsidR="004274F0">
        <w:t xml:space="preserve"> promoting</w:t>
      </w:r>
      <w:r>
        <w:t xml:space="preserve"> </w:t>
      </w:r>
      <w:r w:rsidR="004274F0">
        <w:t>CERD</w:t>
      </w:r>
      <w:r>
        <w:t xml:space="preserve"> rights. </w:t>
      </w:r>
    </w:p>
    <w:p w14:paraId="3897F2A0" w14:textId="09D6A1B0" w:rsidR="001E5718" w:rsidRDefault="001E5718" w:rsidP="006E2654">
      <w:pPr>
        <w:pStyle w:val="Heading3"/>
      </w:pPr>
      <w:bookmarkStart w:id="33" w:name="_Toc497148280"/>
      <w:r>
        <w:t>Multiculturalism policy (CERD article 2; CO 14)</w:t>
      </w:r>
      <w:bookmarkEnd w:id="33"/>
    </w:p>
    <w:p w14:paraId="3843AB75" w14:textId="5EDAE653" w:rsidR="001E5718" w:rsidRDefault="001E5718" w:rsidP="001E5718">
      <w:pPr>
        <w:pStyle w:val="BodyText"/>
        <w:tabs>
          <w:tab w:val="clear" w:pos="7383"/>
        </w:tabs>
      </w:pPr>
      <w:r>
        <w:t xml:space="preserve">The Commission commends </w:t>
      </w:r>
      <w:r w:rsidR="009F7EC2">
        <w:t>the Australian G</w:t>
      </w:r>
      <w:r>
        <w:t>overnment’s 2017 multicultural policy statement, ‘Multicultural Australia: United, Strong, Successful’. The statement rejects racism, affirms the value of mutual respect, and emphasises the safety and productivity of Australia.</w:t>
      </w:r>
      <w:r>
        <w:rPr>
          <w:rStyle w:val="EndnoteReference"/>
        </w:rPr>
        <w:endnoteReference w:id="56"/>
      </w:r>
    </w:p>
    <w:p w14:paraId="2E9CE3D1" w14:textId="035AC0ED" w:rsidR="001E5718" w:rsidRDefault="001E5718" w:rsidP="001E5718">
      <w:pPr>
        <w:pStyle w:val="ListParagraph"/>
      </w:pPr>
      <w:r w:rsidRPr="002612DB">
        <w:t xml:space="preserve">That the </w:t>
      </w:r>
      <w:r w:rsidR="00E37ED0">
        <w:t xml:space="preserve">Australian </w:t>
      </w:r>
      <w:r w:rsidRPr="002612DB">
        <w:t>Government continue to support a policy of multiculturalism as a means of promoting social cohesion, cultural harmony and national unity.</w:t>
      </w:r>
    </w:p>
    <w:p w14:paraId="53DC8757" w14:textId="7225F6DD" w:rsidR="001E5718" w:rsidRDefault="001E5718" w:rsidP="006E2654">
      <w:pPr>
        <w:pStyle w:val="Heading3"/>
      </w:pPr>
      <w:bookmarkStart w:id="34" w:name="_Toc497148281"/>
      <w:r>
        <w:t>Multiculturalism legislation (CERD article 2; CO 14)</w:t>
      </w:r>
      <w:bookmarkEnd w:id="34"/>
    </w:p>
    <w:p w14:paraId="4E40FA35" w14:textId="6161D031" w:rsidR="001E5718" w:rsidRDefault="001E5718" w:rsidP="001E5718">
      <w:pPr>
        <w:pStyle w:val="SubmissionNormal"/>
        <w:tabs>
          <w:tab w:val="clear" w:pos="720"/>
          <w:tab w:val="clear" w:pos="7383"/>
          <w:tab w:val="num" w:pos="851"/>
        </w:tabs>
        <w:ind w:left="851" w:hanging="851"/>
      </w:pPr>
      <w:r>
        <w:t xml:space="preserve">The Commission </w:t>
      </w:r>
      <w:r w:rsidR="005818EF">
        <w:t>considers that public recognition of Australian multiculturalism is important</w:t>
      </w:r>
      <w:r w:rsidRPr="00BF7BFA">
        <w:t xml:space="preserve">. </w:t>
      </w:r>
    </w:p>
    <w:p w14:paraId="2DCBA8C8" w14:textId="24FF945B" w:rsidR="001E5718" w:rsidRDefault="001E5718" w:rsidP="001E5718">
      <w:pPr>
        <w:pStyle w:val="SubmissionNormal"/>
        <w:tabs>
          <w:tab w:val="clear" w:pos="720"/>
          <w:tab w:val="clear" w:pos="7383"/>
          <w:tab w:val="num" w:pos="851"/>
        </w:tabs>
        <w:ind w:left="851" w:hanging="851"/>
      </w:pPr>
      <w:r>
        <w:t xml:space="preserve">The Select Committee </w:t>
      </w:r>
      <w:r w:rsidR="006707B8">
        <w:t xml:space="preserve">on Strengthening Multiculturalism </w:t>
      </w:r>
      <w:r>
        <w:t>recommended that the Australian Government consider</w:t>
      </w:r>
      <w:r w:rsidR="000C5D45">
        <w:t xml:space="preserve"> developing and implementing a f</w:t>
      </w:r>
      <w:r>
        <w:t>ederal Multicultural Act to enshrine agreed principles of multiculturalism to support and frame multiculturalism in Australia.</w:t>
      </w:r>
      <w:r>
        <w:rPr>
          <w:rStyle w:val="EndnoteReference"/>
        </w:rPr>
        <w:endnoteReference w:id="57"/>
      </w:r>
      <w:r>
        <w:t xml:space="preserve"> Others</w:t>
      </w:r>
      <w:r w:rsidRPr="00BF7BFA">
        <w:t xml:space="preserve"> have </w:t>
      </w:r>
      <w:r>
        <w:t xml:space="preserve">also </w:t>
      </w:r>
      <w:r w:rsidRPr="00BF7BFA">
        <w:t xml:space="preserve">advocated for the introduction of a federal </w:t>
      </w:r>
      <w:r w:rsidR="000C5D45">
        <w:t>M</w:t>
      </w:r>
      <w:r w:rsidRPr="00BF7BFA">
        <w:t>ulticultural Act.</w:t>
      </w:r>
      <w:r w:rsidRPr="00BF7BFA">
        <w:rPr>
          <w:rStyle w:val="EndnoteReference"/>
        </w:rPr>
        <w:endnoteReference w:id="58"/>
      </w:r>
      <w:r w:rsidRPr="00BF7BFA">
        <w:t xml:space="preserve"> </w:t>
      </w:r>
    </w:p>
    <w:p w14:paraId="7916DF36" w14:textId="48E7B430" w:rsidR="001E5718" w:rsidRPr="00BF7BFA" w:rsidRDefault="001E5718" w:rsidP="001E5718">
      <w:pPr>
        <w:pStyle w:val="SubmissionNormal"/>
        <w:tabs>
          <w:tab w:val="clear" w:pos="720"/>
          <w:tab w:val="clear" w:pos="7383"/>
          <w:tab w:val="num" w:pos="851"/>
        </w:tabs>
        <w:ind w:left="851" w:hanging="851"/>
      </w:pPr>
      <w:r>
        <w:lastRenderedPageBreak/>
        <w:t>The Commission notes that Parliament may be well positioned to clarify the meaning of multiculturalism in Australia and that an annual parliamentary statement of multicultural principles may be an appropriate mechanism for a regular re-commitment to multicultural values and cultural diversity.</w:t>
      </w:r>
      <w:r w:rsidRPr="00F01088">
        <w:t xml:space="preserve"> </w:t>
      </w:r>
      <w:r>
        <w:t>In 2016 Parliament reiterated its ‘commitment to maintaining Australia as a culturally diverse, tolerant and open society, united by an overriding commitment to our nation, and its democratic institutions and values’</w:t>
      </w:r>
      <w:r w:rsidR="00D70F99">
        <w:t>.</w:t>
      </w:r>
      <w:r>
        <w:rPr>
          <w:rStyle w:val="EndnoteReference"/>
        </w:rPr>
        <w:endnoteReference w:id="59"/>
      </w:r>
    </w:p>
    <w:p w14:paraId="7D7E23A8" w14:textId="5D5C064A" w:rsidR="001E5718" w:rsidRDefault="003A3C7B" w:rsidP="003A3C7B">
      <w:pPr>
        <w:pStyle w:val="ListParagraph"/>
      </w:pPr>
      <w:r w:rsidRPr="003A3C7B">
        <w:t>That the Australian Parliament consider further public recognition of Australian multiculturalism, including periodic public statements affirming parliamentarians’ support of a multicultural Australia.</w:t>
      </w:r>
    </w:p>
    <w:p w14:paraId="6B2AECC6" w14:textId="1A348774" w:rsidR="001E5718" w:rsidRDefault="001E5718" w:rsidP="006E2654">
      <w:pPr>
        <w:pStyle w:val="Heading3"/>
      </w:pPr>
      <w:bookmarkStart w:id="35" w:name="_Toc497148282"/>
      <w:r>
        <w:t>Policy machinery (CERD article 2; CO 14)</w:t>
      </w:r>
      <w:bookmarkEnd w:id="35"/>
    </w:p>
    <w:p w14:paraId="68CA54CC" w14:textId="66C832F1" w:rsidR="001E5718" w:rsidRDefault="001E5718" w:rsidP="001E5718">
      <w:pPr>
        <w:pStyle w:val="SubmissionNormal"/>
        <w:tabs>
          <w:tab w:val="clear" w:pos="720"/>
          <w:tab w:val="clear" w:pos="7383"/>
          <w:tab w:val="num" w:pos="851"/>
        </w:tabs>
        <w:ind w:left="851" w:hanging="851"/>
      </w:pPr>
      <w:r>
        <w:t xml:space="preserve">The Commission considers that the Australian Government can strengthen </w:t>
      </w:r>
      <w:r w:rsidR="00BF4178">
        <w:t xml:space="preserve">the </w:t>
      </w:r>
      <w:r>
        <w:t>policy machinery for multiculturalism. An Office of Multicultural Affairs functioned in the 1980s and 1990s. Such an office would ensure coordinated leadership on multicultural affairs</w:t>
      </w:r>
      <w:r w:rsidR="006707B8">
        <w:t xml:space="preserve"> and, </w:t>
      </w:r>
      <w:r>
        <w:t>if established in an appropriate departmental home (such as the Department of P</w:t>
      </w:r>
      <w:r w:rsidR="006707B8">
        <w:t>rime Minister and Cabinet</w:t>
      </w:r>
      <w:r>
        <w:t>), would send a strong message about multiculturalism being a policy priority.</w:t>
      </w:r>
    </w:p>
    <w:p w14:paraId="29574595" w14:textId="4553F5B1" w:rsidR="008961A6" w:rsidRPr="008961A6" w:rsidRDefault="008961A6" w:rsidP="008961A6">
      <w:pPr>
        <w:pStyle w:val="SubmissionNormal"/>
      </w:pPr>
      <w:r>
        <w:t xml:space="preserve">The Commission also notes that the Select Committee on Strengthening Multiculturalism recommended that the Australian Government, </w:t>
      </w:r>
      <w:r w:rsidRPr="008961A6">
        <w:t>in consultation with relevant government, non-government and community bodies, consider developing and implementing federal legislation to establish an ongoing Multicultural Commission that is sufficiently resourced to promote and protect multiculturalism throughout Australia, ensuring that all Australians recognise that multiculturalism is essential to the fabric of the Australian nation.</w:t>
      </w:r>
      <w:r>
        <w:rPr>
          <w:rStyle w:val="EndnoteReference"/>
        </w:rPr>
        <w:endnoteReference w:id="60"/>
      </w:r>
    </w:p>
    <w:p w14:paraId="35241377" w14:textId="74F221AF" w:rsidR="001E5718" w:rsidRDefault="001E5718" w:rsidP="001E5718">
      <w:pPr>
        <w:pStyle w:val="ListParagraph"/>
      </w:pPr>
      <w:r w:rsidRPr="002612DB">
        <w:t>That the</w:t>
      </w:r>
      <w:r w:rsidR="006707B8">
        <w:t xml:space="preserve"> Australian</w:t>
      </w:r>
      <w:r w:rsidRPr="002612DB">
        <w:t xml:space="preserve"> Gov</w:t>
      </w:r>
      <w:r>
        <w:t>ernment</w:t>
      </w:r>
      <w:r w:rsidRPr="002612DB">
        <w:t xml:space="preserve"> </w:t>
      </w:r>
      <w:r w:rsidR="004C28FB">
        <w:t xml:space="preserve">strengthen </w:t>
      </w:r>
      <w:r w:rsidRPr="002612DB">
        <w:t xml:space="preserve">the policy machinery of Australian multiculturalism, including through the </w:t>
      </w:r>
      <w:r>
        <w:t>re-</w:t>
      </w:r>
      <w:r w:rsidRPr="002612DB">
        <w:t>establishment of an Office of Multicultural Affairs</w:t>
      </w:r>
      <w:r>
        <w:t>.</w:t>
      </w:r>
    </w:p>
    <w:p w14:paraId="440B91A6" w14:textId="6F390059" w:rsidR="001E5718" w:rsidRPr="009D7FC3" w:rsidRDefault="001E5718" w:rsidP="006E2654">
      <w:pPr>
        <w:pStyle w:val="Heading3"/>
      </w:pPr>
      <w:bookmarkStart w:id="36" w:name="_Toc497148283"/>
      <w:r>
        <w:t>C</w:t>
      </w:r>
      <w:r w:rsidRPr="009D7FC3">
        <w:t>itizenship requirements</w:t>
      </w:r>
      <w:r>
        <w:t xml:space="preserve"> (CERD article 2; CO 14)</w:t>
      </w:r>
      <w:bookmarkEnd w:id="36"/>
    </w:p>
    <w:p w14:paraId="0ADF69D8" w14:textId="6F30F053" w:rsidR="001E5718" w:rsidRDefault="001E5718" w:rsidP="001E5718">
      <w:pPr>
        <w:pStyle w:val="SubmissionNormal"/>
        <w:tabs>
          <w:tab w:val="clear" w:pos="7383"/>
        </w:tabs>
      </w:pPr>
      <w:r w:rsidRPr="009D7FC3">
        <w:t>The Commission is concerned about the Australian Citizenship Legislation Amendment (Strengthening the Requirements for Australian Citizenship and Other Measures) Bill 2017 (Cth), which, if passed, will make it more difficult to obtain Australian citizenship by</w:t>
      </w:r>
      <w:r>
        <w:t>:</w:t>
      </w:r>
      <w:r w:rsidRPr="009D7FC3">
        <w:t xml:space="preserve"> imposing additional requirements on people seeking to obtain Australian citizenship by conferral;</w:t>
      </w:r>
      <w:r w:rsidRPr="009D7FC3">
        <w:rPr>
          <w:rStyle w:val="EndnoteReference"/>
        </w:rPr>
        <w:endnoteReference w:id="61"/>
      </w:r>
      <w:r w:rsidRPr="009D7FC3">
        <w:t xml:space="preserve"> centralising discretionary power in the hands of the Minister to make decisions about who should and who should not be an Australian citizen, with very limited rights of external review; and reducing the ability of particular groups of people to qualify for citizenship.</w:t>
      </w:r>
      <w:r w:rsidRPr="009D7FC3">
        <w:rPr>
          <w:rStyle w:val="EndnoteReference"/>
        </w:rPr>
        <w:endnoteReference w:id="62"/>
      </w:r>
    </w:p>
    <w:p w14:paraId="00548482" w14:textId="77777777" w:rsidR="00567E89" w:rsidRDefault="00567E89" w:rsidP="00567E89">
      <w:pPr>
        <w:pStyle w:val="SubmissionNormal"/>
        <w:tabs>
          <w:tab w:val="clear" w:pos="7383"/>
        </w:tabs>
      </w:pPr>
      <w:r>
        <w:t>A Senate Legal and Constitutional Affairs Committee inquiry into the Bill recommended that the Senate pass the Bill subject to numerous proposed amendments, including lowering the standard for English-level competency.</w:t>
      </w:r>
      <w:r>
        <w:rPr>
          <w:rStyle w:val="EndnoteReference"/>
        </w:rPr>
        <w:endnoteReference w:id="63"/>
      </w:r>
      <w:r>
        <w:t xml:space="preserve"> The Senate Select Committee for Strengthening Multiculturalism, however, recommended that the Bill not be passed.</w:t>
      </w:r>
      <w:r>
        <w:rPr>
          <w:rStyle w:val="EndnoteReference"/>
        </w:rPr>
        <w:endnoteReference w:id="64"/>
      </w:r>
    </w:p>
    <w:p w14:paraId="54EDA8C2" w14:textId="6080218E" w:rsidR="002B0307" w:rsidRDefault="002B0307" w:rsidP="001E5718">
      <w:pPr>
        <w:pStyle w:val="SubmissionNormal"/>
        <w:tabs>
          <w:tab w:val="clear" w:pos="7383"/>
        </w:tabs>
      </w:pPr>
      <w:r>
        <w:lastRenderedPageBreak/>
        <w:t>The Bill passed the Australian House of Representatives on 14 August 2017. However, the Bill was discharged from the Notice Paper in the Australian Senate on 18 October 2017 and is no longer under active consideration.</w:t>
      </w:r>
      <w:r>
        <w:rPr>
          <w:rStyle w:val="EndnoteReference"/>
        </w:rPr>
        <w:endnoteReference w:id="65"/>
      </w:r>
    </w:p>
    <w:p w14:paraId="7DE4BDFC" w14:textId="77777777" w:rsidR="001E5718" w:rsidRPr="009D7FC3" w:rsidRDefault="001E5718" w:rsidP="001E5718">
      <w:pPr>
        <w:pStyle w:val="SubmissionNormal"/>
        <w:tabs>
          <w:tab w:val="clear" w:pos="7383"/>
        </w:tabs>
      </w:pPr>
      <w:r w:rsidRPr="009D7FC3">
        <w:t xml:space="preserve">The Commission </w:t>
      </w:r>
      <w:r>
        <w:t xml:space="preserve">also </w:t>
      </w:r>
      <w:r w:rsidRPr="009D7FC3">
        <w:t>notes the Australian Government’s ongoing consultation regarding simplification of Australia’s visa system.</w:t>
      </w:r>
      <w:r w:rsidRPr="009D7FC3">
        <w:rPr>
          <w:rStyle w:val="EndnoteReference"/>
        </w:rPr>
        <w:endnoteReference w:id="66"/>
      </w:r>
      <w:r>
        <w:t xml:space="preserve"> </w:t>
      </w:r>
    </w:p>
    <w:p w14:paraId="4B596E9F" w14:textId="77777777" w:rsidR="001E5718" w:rsidRDefault="001E5718" w:rsidP="000F1F4B">
      <w:pPr>
        <w:pStyle w:val="SubmissionNormal"/>
        <w:numPr>
          <w:ilvl w:val="0"/>
          <w:numId w:val="17"/>
        </w:numPr>
        <w:rPr>
          <w:b/>
        </w:rPr>
      </w:pPr>
      <w:r w:rsidRPr="009D7FC3">
        <w:rPr>
          <w:b/>
        </w:rPr>
        <w:t>That the Australian Parliament not pass the Australian Citizenship Legislation Amendment (Strengthening the Requirements for Australian Citizenship and Other Measures) Bill 2017 in its current form.</w:t>
      </w:r>
    </w:p>
    <w:p w14:paraId="40F5B030" w14:textId="77777777" w:rsidR="001E5718" w:rsidRDefault="001E5718" w:rsidP="000F1F4B">
      <w:pPr>
        <w:pStyle w:val="SubmissionNormal"/>
        <w:numPr>
          <w:ilvl w:val="0"/>
          <w:numId w:val="17"/>
        </w:numPr>
        <w:rPr>
          <w:b/>
        </w:rPr>
      </w:pPr>
      <w:r w:rsidRPr="009D7FC3">
        <w:rPr>
          <w:b/>
        </w:rPr>
        <w:t>That the Australian Government ensure that any amendment to Australia’s visa system comply with international human rights law (including rights enshrined in CERD).</w:t>
      </w:r>
    </w:p>
    <w:p w14:paraId="2C7506E4" w14:textId="56225A8B" w:rsidR="001E5718" w:rsidRDefault="004274F0" w:rsidP="001E5718">
      <w:pPr>
        <w:pStyle w:val="Heading2"/>
      </w:pPr>
      <w:bookmarkStart w:id="37" w:name="_Toc482970547"/>
      <w:bookmarkStart w:id="38" w:name="_Toc497148284"/>
      <w:r>
        <w:t>Cultural d</w:t>
      </w:r>
      <w:r w:rsidR="001E5718">
        <w:t>iversity</w:t>
      </w:r>
      <w:bookmarkEnd w:id="37"/>
      <w:r w:rsidR="001E5718">
        <w:t xml:space="preserve"> in Australian organisations and institutions (CERD article 5; CO 14)</w:t>
      </w:r>
      <w:bookmarkEnd w:id="38"/>
    </w:p>
    <w:p w14:paraId="2096306C" w14:textId="77777777" w:rsidR="001E5718" w:rsidRDefault="001E5718" w:rsidP="001E5718">
      <w:pPr>
        <w:pStyle w:val="Heading3"/>
      </w:pPr>
      <w:bookmarkStart w:id="39" w:name="_Toc497148285"/>
      <w:r>
        <w:t>Leadership</w:t>
      </w:r>
      <w:bookmarkEnd w:id="39"/>
    </w:p>
    <w:p w14:paraId="3CCC5FAC" w14:textId="07EB2FD9" w:rsidR="001E5718" w:rsidRDefault="001E5718" w:rsidP="001E5718">
      <w:pPr>
        <w:pStyle w:val="BodyText"/>
        <w:tabs>
          <w:tab w:val="clear" w:pos="7383"/>
        </w:tabs>
      </w:pPr>
      <w:r>
        <w:t xml:space="preserve">There </w:t>
      </w:r>
      <w:r w:rsidR="00A709FF">
        <w:t>is currently</w:t>
      </w:r>
      <w:r>
        <w:t xml:space="preserve"> a limited level of cultural diversity represented in the leadership of Australian organisations and institutions.</w:t>
      </w:r>
      <w:r>
        <w:rPr>
          <w:rStyle w:val="EndnoteReference"/>
        </w:rPr>
        <w:endnoteReference w:id="67"/>
      </w:r>
      <w:r>
        <w:t xml:space="preserve"> </w:t>
      </w:r>
    </w:p>
    <w:p w14:paraId="077F2B6B" w14:textId="095BD67D" w:rsidR="001E5718" w:rsidRDefault="001E5718" w:rsidP="001E5718">
      <w:pPr>
        <w:pStyle w:val="BodyText"/>
        <w:tabs>
          <w:tab w:val="clear" w:pos="7383"/>
        </w:tabs>
      </w:pPr>
      <w:r>
        <w:t xml:space="preserve">The Commission notes the 2016 Blueprint for cultural diversity and inclusive leadership, </w:t>
      </w:r>
      <w:r w:rsidRPr="00174CFB">
        <w:rPr>
          <w:i/>
        </w:rPr>
        <w:t>Leading for Change</w:t>
      </w:r>
      <w:r>
        <w:t xml:space="preserve">, a publication of the </w:t>
      </w:r>
      <w:r w:rsidRPr="00FA78C6">
        <w:t>Working Group on Cultural Diversity and Inclusive Leadership</w:t>
      </w:r>
      <w:r w:rsidR="00A709FF">
        <w:t xml:space="preserve">, </w:t>
      </w:r>
      <w:r w:rsidR="00A709FF" w:rsidRPr="006765B0">
        <w:t xml:space="preserve">convened by </w:t>
      </w:r>
      <w:r w:rsidR="00421797">
        <w:t xml:space="preserve">the </w:t>
      </w:r>
      <w:r w:rsidR="00A709FF" w:rsidRPr="006765B0">
        <w:t>Race Discrimination Commissioner</w:t>
      </w:r>
      <w:r w:rsidR="00A709FF">
        <w:t>.</w:t>
      </w:r>
      <w:r>
        <w:rPr>
          <w:rStyle w:val="EndnoteReference"/>
        </w:rPr>
        <w:endnoteReference w:id="68"/>
      </w:r>
      <w:r>
        <w:t xml:space="preserve"> The</w:t>
      </w:r>
      <w:r w:rsidRPr="0028651A">
        <w:t xml:space="preserve"> </w:t>
      </w:r>
      <w:r>
        <w:t>B</w:t>
      </w:r>
      <w:r w:rsidRPr="0028651A">
        <w:t>lueprint provides</w:t>
      </w:r>
      <w:r>
        <w:t xml:space="preserve"> </w:t>
      </w:r>
      <w:r w:rsidRPr="0028651A">
        <w:t xml:space="preserve">a snapshot of the cultural composition of senior leaders in Australian business, politics, government and civil society. </w:t>
      </w:r>
      <w:r>
        <w:t xml:space="preserve">The Blueprint </w:t>
      </w:r>
      <w:r w:rsidR="00BF4178">
        <w:t xml:space="preserve">found an </w:t>
      </w:r>
      <w:r w:rsidR="00A709FF">
        <w:t>‘</w:t>
      </w:r>
      <w:r w:rsidR="00BF4178">
        <w:t>under</w:t>
      </w:r>
      <w:r w:rsidR="00A709FF">
        <w:t>-</w:t>
      </w:r>
      <w:r w:rsidR="00BF4178">
        <w:t>representation</w:t>
      </w:r>
      <w:r w:rsidR="00A709FF">
        <w:t>’</w:t>
      </w:r>
      <w:r w:rsidR="00BF4178">
        <w:t xml:space="preserve"> of cultural diversity in leadership positions in Australia. It </w:t>
      </w:r>
      <w:r>
        <w:t>notes that:</w:t>
      </w:r>
    </w:p>
    <w:p w14:paraId="34B16ADC" w14:textId="6CE277B3" w:rsidR="001E5718" w:rsidRDefault="001E5718" w:rsidP="000F1F4B">
      <w:pPr>
        <w:pStyle w:val="SubmissionNormal"/>
        <w:numPr>
          <w:ilvl w:val="0"/>
          <w:numId w:val="21"/>
        </w:numPr>
      </w:pPr>
      <w:r>
        <w:t xml:space="preserve">of CEOs in ASX 200 companies, 76.62% </w:t>
      </w:r>
      <w:r w:rsidR="00C76169">
        <w:t xml:space="preserve">had an </w:t>
      </w:r>
      <w:r w:rsidR="009047E8">
        <w:t>‘</w:t>
      </w:r>
      <w:r>
        <w:t>Anglo-Celtic</w:t>
      </w:r>
      <w:r w:rsidR="009047E8">
        <w:t>’</w:t>
      </w:r>
      <w:r w:rsidR="00D54451">
        <w:t xml:space="preserve"> background</w:t>
      </w:r>
      <w:r>
        <w:t xml:space="preserve">, 18.41% </w:t>
      </w:r>
      <w:r w:rsidR="00C76169">
        <w:t xml:space="preserve">had a </w:t>
      </w:r>
      <w:r w:rsidR="009047E8">
        <w:t>‘</w:t>
      </w:r>
      <w:r>
        <w:t>European</w:t>
      </w:r>
      <w:r w:rsidR="009047E8">
        <w:t>’</w:t>
      </w:r>
      <w:r w:rsidR="00D54451">
        <w:t xml:space="preserve"> background</w:t>
      </w:r>
      <w:r>
        <w:t xml:space="preserve">, 4.98% </w:t>
      </w:r>
      <w:r w:rsidR="00C76169">
        <w:t xml:space="preserve">had a </w:t>
      </w:r>
      <w:r w:rsidR="009047E8">
        <w:t>‘</w:t>
      </w:r>
      <w:r>
        <w:t>non-European</w:t>
      </w:r>
      <w:r w:rsidR="009047E8">
        <w:t>’</w:t>
      </w:r>
      <w:r w:rsidR="00C76169">
        <w:t xml:space="preserve"> background</w:t>
      </w:r>
      <w:r w:rsidR="009047E8">
        <w:t xml:space="preserve"> and n</w:t>
      </w:r>
      <w:r>
        <w:t xml:space="preserve">one </w:t>
      </w:r>
      <w:r w:rsidR="00C76169">
        <w:t xml:space="preserve">had an </w:t>
      </w:r>
      <w:r w:rsidR="009047E8">
        <w:t>‘</w:t>
      </w:r>
      <w:r>
        <w:t>Indigenous</w:t>
      </w:r>
      <w:r w:rsidR="009047E8">
        <w:t>’</w:t>
      </w:r>
      <w:r w:rsidR="00C76169">
        <w:t xml:space="preserve"> background</w:t>
      </w:r>
    </w:p>
    <w:p w14:paraId="155D3C3D" w14:textId="3AD44F86" w:rsidR="001E5718" w:rsidRDefault="001E5718" w:rsidP="000F1F4B">
      <w:pPr>
        <w:pStyle w:val="SubmissionNormal"/>
        <w:numPr>
          <w:ilvl w:val="0"/>
          <w:numId w:val="21"/>
        </w:numPr>
      </w:pPr>
      <w:r>
        <w:t xml:space="preserve">of federal parliamentarians, 78.76% </w:t>
      </w:r>
      <w:r w:rsidR="00C76169">
        <w:t xml:space="preserve">had an </w:t>
      </w:r>
      <w:r w:rsidR="009047E8">
        <w:t>‘</w:t>
      </w:r>
      <w:r>
        <w:t>Anglo-Celtic</w:t>
      </w:r>
      <w:r w:rsidR="009047E8">
        <w:t>’</w:t>
      </w:r>
      <w:r w:rsidR="00C76169">
        <w:t xml:space="preserve"> background</w:t>
      </w:r>
      <w:r>
        <w:t xml:space="preserve">, 15.93% </w:t>
      </w:r>
      <w:r w:rsidR="00C76169">
        <w:t xml:space="preserve">had a </w:t>
      </w:r>
      <w:r w:rsidR="009047E8">
        <w:t>‘</w:t>
      </w:r>
      <w:r>
        <w:t>European</w:t>
      </w:r>
      <w:r w:rsidR="009047E8">
        <w:t>’</w:t>
      </w:r>
      <w:r w:rsidR="00C76169">
        <w:t xml:space="preserve"> background</w:t>
      </w:r>
      <w:r>
        <w:t xml:space="preserve">, 3.54% </w:t>
      </w:r>
      <w:r w:rsidR="00C76169">
        <w:t xml:space="preserve">had a </w:t>
      </w:r>
      <w:r w:rsidR="009047E8">
        <w:t>‘</w:t>
      </w:r>
      <w:r>
        <w:t>non-European</w:t>
      </w:r>
      <w:r w:rsidR="009047E8">
        <w:t>’</w:t>
      </w:r>
      <w:r>
        <w:t xml:space="preserve"> </w:t>
      </w:r>
      <w:r w:rsidR="00C76169">
        <w:t xml:space="preserve">background </w:t>
      </w:r>
      <w:r>
        <w:t xml:space="preserve">and 1.77% </w:t>
      </w:r>
      <w:r w:rsidR="00C76169">
        <w:t xml:space="preserve">had an </w:t>
      </w:r>
      <w:r w:rsidR="009047E8">
        <w:t>‘</w:t>
      </w:r>
      <w:r>
        <w:t>Indigenous</w:t>
      </w:r>
      <w:r w:rsidR="009047E8">
        <w:t>’</w:t>
      </w:r>
      <w:r w:rsidR="00C76169">
        <w:t xml:space="preserve"> background</w:t>
      </w:r>
    </w:p>
    <w:p w14:paraId="34DC9A1F" w14:textId="02940ED3" w:rsidR="001E5718" w:rsidRDefault="001E5718" w:rsidP="000F1F4B">
      <w:pPr>
        <w:pStyle w:val="SubmissionNormal"/>
        <w:numPr>
          <w:ilvl w:val="0"/>
          <w:numId w:val="21"/>
        </w:numPr>
      </w:pPr>
      <w:r>
        <w:t xml:space="preserve">of federal Ministers and Assistant Ministers, 85.71% </w:t>
      </w:r>
      <w:r w:rsidR="00C76169">
        <w:t xml:space="preserve">had an </w:t>
      </w:r>
      <w:r w:rsidR="009047E8">
        <w:t>‘</w:t>
      </w:r>
      <w:r>
        <w:t>Anglo-Celtic</w:t>
      </w:r>
      <w:r w:rsidR="009047E8">
        <w:t>’</w:t>
      </w:r>
      <w:r w:rsidR="00C76169">
        <w:t xml:space="preserve"> background</w:t>
      </w:r>
      <w:r>
        <w:t xml:space="preserve">, 11.90% </w:t>
      </w:r>
      <w:r w:rsidR="00C76169">
        <w:t xml:space="preserve">had a </w:t>
      </w:r>
      <w:r w:rsidR="009047E8">
        <w:t>‘</w:t>
      </w:r>
      <w:r>
        <w:t>European</w:t>
      </w:r>
      <w:r w:rsidR="009047E8">
        <w:t>’</w:t>
      </w:r>
      <w:r w:rsidR="00C76169">
        <w:t xml:space="preserve"> background</w:t>
      </w:r>
      <w:r>
        <w:t xml:space="preserve">, 2.38% </w:t>
      </w:r>
      <w:r w:rsidR="00C76169">
        <w:t xml:space="preserve">had an </w:t>
      </w:r>
      <w:r w:rsidR="009047E8">
        <w:t>‘</w:t>
      </w:r>
      <w:r>
        <w:t>Indigenous</w:t>
      </w:r>
      <w:r w:rsidR="009047E8">
        <w:t>’</w:t>
      </w:r>
      <w:r>
        <w:t xml:space="preserve"> </w:t>
      </w:r>
      <w:r w:rsidR="00C76169">
        <w:t xml:space="preserve">background </w:t>
      </w:r>
      <w:r>
        <w:t xml:space="preserve">and none </w:t>
      </w:r>
      <w:r w:rsidR="00C76169">
        <w:t xml:space="preserve">had a </w:t>
      </w:r>
      <w:r w:rsidR="009047E8">
        <w:t>‘</w:t>
      </w:r>
      <w:r>
        <w:t>non-European</w:t>
      </w:r>
      <w:r w:rsidR="009047E8">
        <w:t>’</w:t>
      </w:r>
      <w:r w:rsidR="00C76169">
        <w:t xml:space="preserve"> background</w:t>
      </w:r>
    </w:p>
    <w:p w14:paraId="0E116650" w14:textId="3514164C" w:rsidR="001E5718" w:rsidRDefault="001E5718" w:rsidP="000F1F4B">
      <w:pPr>
        <w:pStyle w:val="SubmissionNormal"/>
        <w:numPr>
          <w:ilvl w:val="0"/>
          <w:numId w:val="21"/>
        </w:numPr>
      </w:pPr>
      <w:r>
        <w:t xml:space="preserve">of federal and state public service leaders (Secretaries and heads of departments), 82.26% </w:t>
      </w:r>
      <w:r w:rsidR="00C76169">
        <w:t xml:space="preserve">had an </w:t>
      </w:r>
      <w:r w:rsidR="009047E8">
        <w:t>‘</w:t>
      </w:r>
      <w:r>
        <w:t>Anglo-Celtic</w:t>
      </w:r>
      <w:r w:rsidR="009047E8">
        <w:t>’</w:t>
      </w:r>
      <w:r w:rsidR="00C76169">
        <w:t xml:space="preserve"> background</w:t>
      </w:r>
      <w:r>
        <w:t xml:space="preserve">, 15.32% </w:t>
      </w:r>
      <w:r w:rsidR="00C76169">
        <w:t xml:space="preserve">had a </w:t>
      </w:r>
      <w:r w:rsidR="009047E8">
        <w:t>‘</w:t>
      </w:r>
      <w:r>
        <w:t>European</w:t>
      </w:r>
      <w:r w:rsidR="009047E8">
        <w:t>’</w:t>
      </w:r>
      <w:r w:rsidR="00C76169">
        <w:t xml:space="preserve"> background</w:t>
      </w:r>
      <w:r>
        <w:t xml:space="preserve">, 1.61% </w:t>
      </w:r>
      <w:r w:rsidR="00C76169">
        <w:t xml:space="preserve">had a </w:t>
      </w:r>
      <w:r w:rsidR="009047E8">
        <w:t>‘</w:t>
      </w:r>
      <w:r>
        <w:t>non-European</w:t>
      </w:r>
      <w:r w:rsidR="009047E8">
        <w:t>’</w:t>
      </w:r>
      <w:r>
        <w:t xml:space="preserve"> </w:t>
      </w:r>
      <w:r w:rsidR="00C76169">
        <w:t xml:space="preserve">background </w:t>
      </w:r>
      <w:r>
        <w:t xml:space="preserve">and 0.81% </w:t>
      </w:r>
      <w:r w:rsidR="00C76169">
        <w:t xml:space="preserve">had an </w:t>
      </w:r>
      <w:r w:rsidR="009047E8">
        <w:t>‘</w:t>
      </w:r>
      <w:r>
        <w:t>Indigenous</w:t>
      </w:r>
      <w:r w:rsidR="009047E8">
        <w:t>’</w:t>
      </w:r>
      <w:r w:rsidR="00C76169">
        <w:t xml:space="preserve"> background</w:t>
      </w:r>
    </w:p>
    <w:p w14:paraId="4C8ED6BD" w14:textId="5D25C954" w:rsidR="001E5718" w:rsidRDefault="001E5718" w:rsidP="000F1F4B">
      <w:pPr>
        <w:pStyle w:val="SubmissionNormal"/>
        <w:numPr>
          <w:ilvl w:val="0"/>
          <w:numId w:val="21"/>
        </w:numPr>
      </w:pPr>
      <w:r>
        <w:lastRenderedPageBreak/>
        <w:t xml:space="preserve">of university Vice-Chancellors, 85% </w:t>
      </w:r>
      <w:r w:rsidR="00C76169">
        <w:t xml:space="preserve">had an </w:t>
      </w:r>
      <w:r w:rsidR="009047E8">
        <w:t>‘</w:t>
      </w:r>
      <w:r>
        <w:t>Anglo-Celtic</w:t>
      </w:r>
      <w:r w:rsidR="009047E8">
        <w:t>’</w:t>
      </w:r>
      <w:r>
        <w:t xml:space="preserve"> </w:t>
      </w:r>
      <w:r w:rsidR="009047E8">
        <w:t xml:space="preserve">background, </w:t>
      </w:r>
      <w:r>
        <w:t xml:space="preserve">15% </w:t>
      </w:r>
      <w:r w:rsidR="00C76169">
        <w:t xml:space="preserve">had a </w:t>
      </w:r>
      <w:r w:rsidR="009047E8">
        <w:t>‘</w:t>
      </w:r>
      <w:r>
        <w:t>European</w:t>
      </w:r>
      <w:r w:rsidR="009047E8">
        <w:t>’</w:t>
      </w:r>
      <w:r w:rsidR="00C76169">
        <w:t xml:space="preserve"> background</w:t>
      </w:r>
      <w:r w:rsidR="009047E8">
        <w:t>, and n</w:t>
      </w:r>
      <w:r>
        <w:t xml:space="preserve">one </w:t>
      </w:r>
      <w:r w:rsidR="00C76169">
        <w:t xml:space="preserve">had a </w:t>
      </w:r>
      <w:r w:rsidR="009047E8">
        <w:t>‘</w:t>
      </w:r>
      <w:r>
        <w:t>non-European</w:t>
      </w:r>
      <w:r w:rsidR="009047E8">
        <w:t>’ or ‘</w:t>
      </w:r>
      <w:r>
        <w:t>Indigenous</w:t>
      </w:r>
      <w:r w:rsidR="009047E8">
        <w:t>’</w:t>
      </w:r>
      <w:r w:rsidR="00C76169">
        <w:t xml:space="preserve"> background</w:t>
      </w:r>
      <w:r>
        <w:t>.</w:t>
      </w:r>
      <w:r>
        <w:rPr>
          <w:rStyle w:val="EndnoteReference"/>
        </w:rPr>
        <w:endnoteReference w:id="69"/>
      </w:r>
    </w:p>
    <w:p w14:paraId="1ED0FC09" w14:textId="77777777" w:rsidR="001E5718" w:rsidRDefault="001E5718" w:rsidP="001E5718">
      <w:pPr>
        <w:pStyle w:val="Heading3"/>
      </w:pPr>
      <w:bookmarkStart w:id="40" w:name="_Toc497148286"/>
      <w:r>
        <w:t>Media</w:t>
      </w:r>
      <w:bookmarkEnd w:id="40"/>
    </w:p>
    <w:p w14:paraId="5261A3E9" w14:textId="59B587D6" w:rsidR="001E5718" w:rsidRDefault="001E5718" w:rsidP="001E5718">
      <w:pPr>
        <w:pStyle w:val="BodyText"/>
        <w:tabs>
          <w:tab w:val="clear" w:pos="7383"/>
        </w:tabs>
        <w:rPr>
          <w:sz w:val="22"/>
          <w:szCs w:val="22"/>
        </w:rPr>
      </w:pPr>
      <w:r>
        <w:t xml:space="preserve">A Screen Australia study on diversity in Australian TV drama </w:t>
      </w:r>
      <w:r w:rsidR="006707B8">
        <w:t xml:space="preserve">in 2016 </w:t>
      </w:r>
      <w:r w:rsidR="00A709FF">
        <w:t>found an under</w:t>
      </w:r>
      <w:r>
        <w:t xml:space="preserve">representation of culturally diverse, </w:t>
      </w:r>
      <w:r w:rsidR="00A134B2">
        <w:t>‘</w:t>
      </w:r>
      <w:r>
        <w:t>non-Anglo-Celtic</w:t>
      </w:r>
      <w:r w:rsidR="00A134B2">
        <w:t>’</w:t>
      </w:r>
      <w:r>
        <w:t xml:space="preserve"> groups on Australian television. The study notes that people of </w:t>
      </w:r>
      <w:r w:rsidR="00A134B2">
        <w:t>‘</w:t>
      </w:r>
      <w:r>
        <w:t>non-European</w:t>
      </w:r>
      <w:r w:rsidR="00A134B2">
        <w:t>’</w:t>
      </w:r>
      <w:r>
        <w:t xml:space="preserve"> back</w:t>
      </w:r>
      <w:r w:rsidR="00A709FF">
        <w:t>grounds were particularly under</w:t>
      </w:r>
      <w:r>
        <w:t>represented</w:t>
      </w:r>
      <w:r w:rsidRPr="00B97640">
        <w:rPr>
          <w:sz w:val="22"/>
          <w:szCs w:val="22"/>
        </w:rPr>
        <w:t>.</w:t>
      </w:r>
      <w:r w:rsidRPr="001A13F7">
        <w:rPr>
          <w:rStyle w:val="EndnoteReference"/>
        </w:rPr>
        <w:t xml:space="preserve"> </w:t>
      </w:r>
      <w:r>
        <w:rPr>
          <w:rStyle w:val="EndnoteReference"/>
        </w:rPr>
        <w:endnoteReference w:id="70"/>
      </w:r>
      <w:r w:rsidRPr="00B97640">
        <w:rPr>
          <w:sz w:val="22"/>
          <w:szCs w:val="22"/>
        </w:rPr>
        <w:t xml:space="preserve"> </w:t>
      </w:r>
    </w:p>
    <w:p w14:paraId="06D9F5CB" w14:textId="7C4053DF" w:rsidR="001E5718" w:rsidRPr="00B97640" w:rsidRDefault="000D4F84" w:rsidP="001E5718">
      <w:pPr>
        <w:pStyle w:val="BodyText"/>
        <w:tabs>
          <w:tab w:val="clear" w:pos="7383"/>
        </w:tabs>
        <w:rPr>
          <w:sz w:val="22"/>
          <w:szCs w:val="22"/>
        </w:rPr>
      </w:pPr>
      <w:r>
        <w:t>The Commission refers to its 2010 review of human rights and social inclusion issues affecting African Australians (</w:t>
      </w:r>
      <w:r>
        <w:rPr>
          <w:i/>
        </w:rPr>
        <w:t xml:space="preserve">In Our Own Words </w:t>
      </w:r>
      <w:r>
        <w:t>report)</w:t>
      </w:r>
      <w:r w:rsidR="00601946">
        <w:t>,</w:t>
      </w:r>
      <w:r>
        <w:rPr>
          <w:rStyle w:val="EndnoteReference"/>
        </w:rPr>
        <w:endnoteReference w:id="71"/>
      </w:r>
      <w:r>
        <w:t xml:space="preserve"> </w:t>
      </w:r>
      <w:r w:rsidR="00601946">
        <w:t xml:space="preserve">and notes that </w:t>
      </w:r>
      <w:r w:rsidR="001E5718" w:rsidRPr="008A0F17">
        <w:t>African Australians expressed concern about the negative coverage</w:t>
      </w:r>
      <w:r w:rsidR="009047E8">
        <w:t xml:space="preserve"> of</w:t>
      </w:r>
      <w:r w:rsidR="001E5718" w:rsidRPr="008A0F17">
        <w:t xml:space="preserve"> their communities in the mainstream media, often triggered by comments from public figures, which influenced overall perceptions of their communities and undermined their relationships with the broader Australian community.</w:t>
      </w:r>
      <w:r w:rsidR="001E5718">
        <w:rPr>
          <w:rStyle w:val="EndnoteReference"/>
        </w:rPr>
        <w:endnoteReference w:id="72"/>
      </w:r>
    </w:p>
    <w:p w14:paraId="72B71F8B" w14:textId="05B3E5BE" w:rsidR="001E5718" w:rsidRDefault="001E5718" w:rsidP="001E5718">
      <w:pPr>
        <w:pStyle w:val="BodyText"/>
        <w:tabs>
          <w:tab w:val="clear" w:pos="7383"/>
        </w:tabs>
      </w:pPr>
      <w:r>
        <w:t>The Select Committee on Strengthening Multiculturalism concluded that the evidence presented throughout its inquiry into multiculturalism demonstrate</w:t>
      </w:r>
      <w:r w:rsidR="009047E8">
        <w:t>d</w:t>
      </w:r>
      <w:r>
        <w:t xml:space="preserve"> a lack of diversity in on-screen media content, which is in part due to systemic barriers to participation by, and representation of, culturally and linguistically diverse communities. The Select Committee recommended that all media broadcasters seek to improve pathways for culturally and linguistically diverse individuals and communities to participate in broadcast media.</w:t>
      </w:r>
      <w:r w:rsidRPr="00D24495">
        <w:rPr>
          <w:rStyle w:val="EndnoteReference"/>
        </w:rPr>
        <w:t xml:space="preserve"> </w:t>
      </w:r>
      <w:r>
        <w:rPr>
          <w:rStyle w:val="EndnoteReference"/>
        </w:rPr>
        <w:endnoteReference w:id="73"/>
      </w:r>
    </w:p>
    <w:p w14:paraId="617435AF" w14:textId="77777777" w:rsidR="001E5718" w:rsidRDefault="001E5718" w:rsidP="001E5718">
      <w:pPr>
        <w:pStyle w:val="Heading3"/>
      </w:pPr>
      <w:bookmarkStart w:id="41" w:name="_Toc497148287"/>
      <w:r>
        <w:t>Law enforcement</w:t>
      </w:r>
      <w:bookmarkEnd w:id="41"/>
    </w:p>
    <w:p w14:paraId="423C72D6" w14:textId="799026A8" w:rsidR="001E5718" w:rsidRDefault="009F7EC2" w:rsidP="001E5718">
      <w:pPr>
        <w:pStyle w:val="SubmissionNormal"/>
        <w:tabs>
          <w:tab w:val="clear" w:pos="7383"/>
        </w:tabs>
      </w:pPr>
      <w:r>
        <w:t xml:space="preserve">The </w:t>
      </w:r>
      <w:r w:rsidR="001E5718" w:rsidRPr="009F6EF0">
        <w:t>Special Rapporteur on racial discrimination</w:t>
      </w:r>
      <w:r w:rsidR="009047E8">
        <w:t>,</w:t>
      </w:r>
      <w:r w:rsidR="001E5718">
        <w:t xml:space="preserve"> </w:t>
      </w:r>
      <w:r w:rsidR="009047E8">
        <w:t>in the report of his recent country visit to Australia,</w:t>
      </w:r>
      <w:r w:rsidR="009047E8" w:rsidRPr="009F6EF0">
        <w:t xml:space="preserve"> </w:t>
      </w:r>
      <w:r w:rsidR="00601946">
        <w:t>has</w:t>
      </w:r>
      <w:r w:rsidR="001E5718" w:rsidRPr="009F6EF0">
        <w:t xml:space="preserve"> recommended that the Australian Government ensure that law enforcement agencies, in particular police forces, reflect the diversity of Australian society and the communities they serve and increase their intake of recruits from </w:t>
      </w:r>
      <w:r w:rsidR="000D4F84">
        <w:t>I</w:t>
      </w:r>
      <w:r w:rsidR="001E5718" w:rsidRPr="009F6EF0">
        <w:t>ndigenous and minority communities.</w:t>
      </w:r>
      <w:r w:rsidR="001E5718" w:rsidRPr="009F6EF0">
        <w:rPr>
          <w:rStyle w:val="EndnoteReference"/>
        </w:rPr>
        <w:t xml:space="preserve"> </w:t>
      </w:r>
      <w:r w:rsidR="001E5718" w:rsidRPr="009F6EF0">
        <w:rPr>
          <w:rStyle w:val="EndnoteReference"/>
        </w:rPr>
        <w:endnoteReference w:id="74"/>
      </w:r>
      <w:r w:rsidR="001E5718">
        <w:t xml:space="preserve"> </w:t>
      </w:r>
    </w:p>
    <w:p w14:paraId="565B5380" w14:textId="66808BF6" w:rsidR="009F7EC2" w:rsidRDefault="009F7EC2" w:rsidP="000061ED">
      <w:pPr>
        <w:pStyle w:val="ListParagraph"/>
      </w:pPr>
      <w:r>
        <w:t xml:space="preserve">That the Australian Government consider the recommendations </w:t>
      </w:r>
      <w:r w:rsidR="000061ED">
        <w:t xml:space="preserve">of the Select Committee on Strengthening Multiculturalism and </w:t>
      </w:r>
      <w:r>
        <w:t xml:space="preserve">investigate pathways to improve cultural diversity in Australian </w:t>
      </w:r>
      <w:r w:rsidR="00EC5177">
        <w:t xml:space="preserve">institutions </w:t>
      </w:r>
      <w:r>
        <w:t>and organisation</w:t>
      </w:r>
      <w:r w:rsidR="00EC5177">
        <w:t>s</w:t>
      </w:r>
      <w:r>
        <w:t xml:space="preserve">. </w:t>
      </w:r>
    </w:p>
    <w:p w14:paraId="09B2E3FF" w14:textId="77777777" w:rsidR="001E5718" w:rsidRDefault="001E5718" w:rsidP="001E5718">
      <w:pPr>
        <w:pStyle w:val="Heading2"/>
      </w:pPr>
      <w:bookmarkStart w:id="42" w:name="_Data_collection_(CERD"/>
      <w:bookmarkStart w:id="43" w:name="_Toc497148288"/>
      <w:bookmarkEnd w:id="42"/>
      <w:r>
        <w:t xml:space="preserve">Data collection </w:t>
      </w:r>
      <w:r>
        <w:rPr>
          <w:color w:val="auto"/>
        </w:rPr>
        <w:t>(</w:t>
      </w:r>
      <w:r w:rsidRPr="009D7FC3">
        <w:rPr>
          <w:color w:val="auto"/>
        </w:rPr>
        <w:t xml:space="preserve">CERD article </w:t>
      </w:r>
      <w:r>
        <w:rPr>
          <w:color w:val="auto"/>
        </w:rPr>
        <w:t>2; CO 23</w:t>
      </w:r>
      <w:r w:rsidRPr="009D7FC3">
        <w:rPr>
          <w:color w:val="auto"/>
        </w:rPr>
        <w:t>)</w:t>
      </w:r>
      <w:bookmarkEnd w:id="43"/>
    </w:p>
    <w:p w14:paraId="68E2BE0B" w14:textId="460B584F" w:rsidR="009047E8" w:rsidRDefault="009047E8" w:rsidP="001E5718">
      <w:pPr>
        <w:pStyle w:val="BodyText"/>
        <w:tabs>
          <w:tab w:val="clear" w:pos="7383"/>
        </w:tabs>
      </w:pPr>
      <w:r>
        <w:t>The Commission refers to its own collection of data relating to complaints of discrimination, harassment and vilification.</w:t>
      </w:r>
      <w:r w:rsidR="00603567">
        <w:rPr>
          <w:rStyle w:val="EndnoteReference"/>
        </w:rPr>
        <w:endnoteReference w:id="75"/>
      </w:r>
      <w:r>
        <w:t xml:space="preserve"> </w:t>
      </w:r>
    </w:p>
    <w:p w14:paraId="2EE16F0D" w14:textId="1846A2DD" w:rsidR="001E5718" w:rsidRDefault="001E5718" w:rsidP="001E5718">
      <w:pPr>
        <w:pStyle w:val="BodyText"/>
        <w:tabs>
          <w:tab w:val="clear" w:pos="7383"/>
        </w:tabs>
      </w:pPr>
      <w:r>
        <w:t xml:space="preserve">The Commission </w:t>
      </w:r>
      <w:r w:rsidR="00601946">
        <w:t>is concerned</w:t>
      </w:r>
      <w:r>
        <w:t xml:space="preserve"> that there is currently no comprehensive process in Australia for collecting data on crimes motivated by racial hatred or prejudice.</w:t>
      </w:r>
      <w:r>
        <w:rPr>
          <w:rStyle w:val="EndnoteReference"/>
        </w:rPr>
        <w:endnoteReference w:id="76"/>
      </w:r>
      <w:r>
        <w:t xml:space="preserve"> The Commission refers to </w:t>
      </w:r>
      <w:r w:rsidR="00601946">
        <w:t xml:space="preserve">and endorses </w:t>
      </w:r>
      <w:r>
        <w:t>the recommendation of the Select Committee on Strengthening Multiculturalism that the Australian Government consider developing options for collecting more comprehensive data on issues concerning multiculturalism and racially motivated crimes.</w:t>
      </w:r>
      <w:r>
        <w:rPr>
          <w:rStyle w:val="EndnoteReference"/>
        </w:rPr>
        <w:endnoteReference w:id="77"/>
      </w:r>
    </w:p>
    <w:p w14:paraId="196E0F28" w14:textId="6C864052" w:rsidR="001E5718" w:rsidRDefault="000061ED" w:rsidP="001E5718">
      <w:pPr>
        <w:pStyle w:val="BodyText"/>
        <w:tabs>
          <w:tab w:val="clear" w:pos="7383"/>
        </w:tabs>
      </w:pPr>
      <w:r>
        <w:lastRenderedPageBreak/>
        <w:t>T</w:t>
      </w:r>
      <w:r w:rsidR="001E5718">
        <w:t>he Commission</w:t>
      </w:r>
      <w:r w:rsidR="00601946">
        <w:t xml:space="preserve"> strongly</w:t>
      </w:r>
      <w:r w:rsidR="001E5718">
        <w:t xml:space="preserve"> considers that t</w:t>
      </w:r>
      <w:r w:rsidR="001E5718" w:rsidRPr="004C6E17">
        <w:t xml:space="preserve">here is a need for the </w:t>
      </w:r>
      <w:r w:rsidR="00E37ED0">
        <w:t xml:space="preserve">Australian </w:t>
      </w:r>
      <w:r w:rsidR="001E5718">
        <w:t>G</w:t>
      </w:r>
      <w:r w:rsidR="001E5718" w:rsidRPr="004C6E17">
        <w:t>overnment to collect better data</w:t>
      </w:r>
      <w:r>
        <w:t xml:space="preserve"> on cultural diversity in Australian organisations and institutions</w:t>
      </w:r>
      <w:r w:rsidR="001E5718" w:rsidRPr="004C6E17">
        <w:t>.</w:t>
      </w:r>
      <w:r w:rsidR="001E5718">
        <w:t xml:space="preserve"> </w:t>
      </w:r>
    </w:p>
    <w:p w14:paraId="56C15F2C" w14:textId="3EA14FFD" w:rsidR="00601946" w:rsidRPr="004D5DCC" w:rsidRDefault="00601946" w:rsidP="004D5DCC">
      <w:pPr>
        <w:pStyle w:val="BodyText"/>
      </w:pPr>
      <w:r w:rsidRPr="004D5DCC">
        <w:t xml:space="preserve">The Commission draws the Committee’s attention to the UK </w:t>
      </w:r>
      <w:r w:rsidR="00DC2F8D" w:rsidRPr="004D5DCC">
        <w:t xml:space="preserve">Race Disparity Audit, a </w:t>
      </w:r>
      <w:r w:rsidRPr="004D5DCC">
        <w:t xml:space="preserve">governmental audit into racial disparities </w:t>
      </w:r>
      <w:r w:rsidR="004D5DCC" w:rsidRPr="004D5DCC">
        <w:t xml:space="preserve">performed </w:t>
      </w:r>
      <w:r w:rsidRPr="004D5DCC">
        <w:t>across Britain</w:t>
      </w:r>
      <w:r w:rsidR="004D5DCC" w:rsidRPr="004D5DCC">
        <w:t xml:space="preserve"> to examine how people of different backgrounds are treated across areas including health, education, employment and the criminal justice system</w:t>
      </w:r>
      <w:r w:rsidRPr="004D5DCC">
        <w:t>.</w:t>
      </w:r>
      <w:r w:rsidRPr="004D5DCC">
        <w:rPr>
          <w:rStyle w:val="EndnoteReference"/>
        </w:rPr>
        <w:endnoteReference w:id="78"/>
      </w:r>
      <w:r w:rsidRPr="004D5DCC">
        <w:t xml:space="preserve"> </w:t>
      </w:r>
      <w:r w:rsidR="0092629A">
        <w:t>The</w:t>
      </w:r>
      <w:r w:rsidR="0092629A" w:rsidRPr="004D5DCC">
        <w:t xml:space="preserve"> </w:t>
      </w:r>
      <w:r w:rsidR="004D5DCC" w:rsidRPr="004D5DCC">
        <w:t>Prime Minister</w:t>
      </w:r>
      <w:r w:rsidR="0092629A">
        <w:t xml:space="preserve"> of the United Kingdom,</w:t>
      </w:r>
      <w:r w:rsidR="004D5DCC" w:rsidRPr="004D5DCC">
        <w:t xml:space="preserve"> Theresa May</w:t>
      </w:r>
      <w:r w:rsidR="0092629A">
        <w:t xml:space="preserve">, </w:t>
      </w:r>
      <w:r w:rsidR="004D5DCC" w:rsidRPr="004D5DCC">
        <w:t>has said that the audit d</w:t>
      </w:r>
      <w:r w:rsidR="009047E8">
        <w:t>ata may be ‘</w:t>
      </w:r>
      <w:r w:rsidR="000061ED">
        <w:t>uncomfortable</w:t>
      </w:r>
      <w:r w:rsidR="009047E8">
        <w:t>’</w:t>
      </w:r>
      <w:r w:rsidR="00105847">
        <w:t>,</w:t>
      </w:r>
      <w:r w:rsidR="000061ED">
        <w:t xml:space="preserve"> but </w:t>
      </w:r>
      <w:r w:rsidR="00182E4E">
        <w:t xml:space="preserve">will also be </w:t>
      </w:r>
      <w:r w:rsidR="009047E8">
        <w:t>‘</w:t>
      </w:r>
      <w:r w:rsidR="004D5DCC" w:rsidRPr="004D5DCC">
        <w:t>regarded as the central resource in the bat</w:t>
      </w:r>
      <w:r w:rsidR="009047E8">
        <w:t>tle to defeat ethnic injustice’.</w:t>
      </w:r>
      <w:r w:rsidR="004D5DCC" w:rsidRPr="004D5DCC">
        <w:rPr>
          <w:rStyle w:val="EndnoteReference"/>
        </w:rPr>
        <w:endnoteReference w:id="79"/>
      </w:r>
      <w:r w:rsidR="004D5DCC" w:rsidRPr="004D5DCC">
        <w:t xml:space="preserve"> </w:t>
      </w:r>
      <w:r w:rsidRPr="004D5DCC">
        <w:t>The Commission encourages the Australian Government to commission a comprehensive audit into racial disparity in Australia.</w:t>
      </w:r>
    </w:p>
    <w:p w14:paraId="513B613A" w14:textId="109894AE" w:rsidR="00601946" w:rsidRDefault="001E5718" w:rsidP="00601946">
      <w:pPr>
        <w:pStyle w:val="ListParagraph"/>
      </w:pPr>
      <w:r w:rsidRPr="00FD71E5">
        <w:t xml:space="preserve">That the </w:t>
      </w:r>
      <w:r w:rsidR="00E37ED0">
        <w:t xml:space="preserve">Australian </w:t>
      </w:r>
      <w:r w:rsidRPr="00FD71E5">
        <w:t xml:space="preserve">Government </w:t>
      </w:r>
      <w:r w:rsidR="00421797">
        <w:t>collect</w:t>
      </w:r>
      <w:r w:rsidRPr="00FD71E5">
        <w:t xml:space="preserve"> more comprehensive data on </w:t>
      </w:r>
      <w:r w:rsidR="00601946">
        <w:t xml:space="preserve">racial discrimination, </w:t>
      </w:r>
      <w:r w:rsidRPr="00601946">
        <w:t>racially</w:t>
      </w:r>
      <w:r w:rsidRPr="00FD71E5">
        <w:t xml:space="preserve"> motivated crimes</w:t>
      </w:r>
      <w:r w:rsidR="00601946">
        <w:t xml:space="preserve">, cultural diversity and multiculturalism generally. </w:t>
      </w:r>
    </w:p>
    <w:p w14:paraId="75FA1162" w14:textId="68138DFF" w:rsidR="00601946" w:rsidRPr="00601946" w:rsidRDefault="00601946" w:rsidP="0036190D">
      <w:pPr>
        <w:pStyle w:val="ListParagraph"/>
        <w:numPr>
          <w:ilvl w:val="0"/>
          <w:numId w:val="0"/>
        </w:numPr>
        <w:ind w:left="720"/>
      </w:pPr>
      <w:r w:rsidRPr="00601946">
        <w:rPr>
          <w:i/>
        </w:rPr>
        <w:t>The Commission considers this to be of such importance that the Committee should request an update from the Australian Government on progress in 12 months.</w:t>
      </w:r>
    </w:p>
    <w:p w14:paraId="57168A93" w14:textId="4CCC9057" w:rsidR="00532B69" w:rsidRDefault="00532B69" w:rsidP="00532B69">
      <w:pPr>
        <w:pStyle w:val="Heading1"/>
      </w:pPr>
      <w:bookmarkStart w:id="44" w:name="_Prevention_of_torture"/>
      <w:bookmarkStart w:id="45" w:name="_Toc497148289"/>
      <w:bookmarkEnd w:id="44"/>
      <w:r w:rsidRPr="00491B1E">
        <w:t>Aboriginal and Torres Strait Islander peoples</w:t>
      </w:r>
      <w:bookmarkEnd w:id="45"/>
    </w:p>
    <w:p w14:paraId="22A3374C" w14:textId="5DA1B4E0" w:rsidR="006762E6" w:rsidRPr="006762E6" w:rsidRDefault="006762E6" w:rsidP="006762E6">
      <w:pPr>
        <w:pStyle w:val="Heading2"/>
      </w:pPr>
      <w:bookmarkStart w:id="46" w:name="_Toc497148290"/>
      <w:r>
        <w:t>Experiences of racial discrimination</w:t>
      </w:r>
      <w:bookmarkEnd w:id="46"/>
    </w:p>
    <w:p w14:paraId="422272A2" w14:textId="29A5976E" w:rsidR="006762E6" w:rsidRDefault="006762E6" w:rsidP="008A3EF0">
      <w:pPr>
        <w:pStyle w:val="BodyText"/>
      </w:pPr>
      <w:r>
        <w:t>Aboriginal and Torres Strait Islander peoples are particularly affected by racial discrimination</w:t>
      </w:r>
      <w:r w:rsidR="00105847">
        <w:t>,</w:t>
      </w:r>
      <w:r>
        <w:t xml:space="preserve"> including institutional racism.</w:t>
      </w:r>
      <w:r w:rsidR="00093FDF" w:rsidRPr="00093FDF">
        <w:t xml:space="preserve"> </w:t>
      </w:r>
      <w:r w:rsidR="00093FDF">
        <w:t>There are numerous studies into institutional racism and Aboriginal and Torres Strait Islander peoples.</w:t>
      </w:r>
      <w:r w:rsidR="00093FDF">
        <w:rPr>
          <w:rStyle w:val="EndnoteReference"/>
        </w:rPr>
        <w:endnoteReference w:id="80"/>
      </w:r>
      <w:r w:rsidR="00093FDF">
        <w:t xml:space="preserve"> S</w:t>
      </w:r>
      <w:r w:rsidR="00093FDF" w:rsidRPr="00D27150">
        <w:t>ettings identif</w:t>
      </w:r>
      <w:r w:rsidR="00093FDF">
        <w:t xml:space="preserve">ied as being of special concern include </w:t>
      </w:r>
      <w:r w:rsidR="00093FDF" w:rsidRPr="00D27150">
        <w:t>employment</w:t>
      </w:r>
      <w:r w:rsidR="00093FDF">
        <w:t xml:space="preserve">, </w:t>
      </w:r>
      <w:r w:rsidR="00093FDF" w:rsidRPr="00D27150">
        <w:t>education</w:t>
      </w:r>
      <w:r w:rsidR="00093FDF">
        <w:t>, shops, public spaces and sport</w:t>
      </w:r>
      <w:r w:rsidR="001A764E">
        <w:t>, health and justice</w:t>
      </w:r>
      <w:r w:rsidR="006F1D64">
        <w:t>.</w:t>
      </w:r>
      <w:r w:rsidR="006F1D64">
        <w:rPr>
          <w:rStyle w:val="EndnoteReference"/>
        </w:rPr>
        <w:endnoteReference w:id="81"/>
      </w:r>
    </w:p>
    <w:p w14:paraId="5E2E1F71" w14:textId="53767C40" w:rsidR="008A3EF0" w:rsidRDefault="008A3EF0" w:rsidP="008A3EF0">
      <w:pPr>
        <w:pStyle w:val="BodyText"/>
      </w:pPr>
      <w:r>
        <w:t>The Commission noted in its 201</w:t>
      </w:r>
      <w:r w:rsidR="00093FDF">
        <w:t>6 Social Justice Report</w:t>
      </w:r>
      <w:r w:rsidR="00C30882">
        <w:t xml:space="preserve"> that</w:t>
      </w:r>
      <w:r>
        <w:t xml:space="preserve"> </w:t>
      </w:r>
      <w:r w:rsidR="006762E6">
        <w:t>most</w:t>
      </w:r>
      <w:r>
        <w:t xml:space="preserve"> complaints </w:t>
      </w:r>
      <w:r w:rsidR="00C01315">
        <w:t xml:space="preserve">to the Commission </w:t>
      </w:r>
      <w:r>
        <w:t>made by Aboriginal and Torres Strait Islander peoples were about racial discrimination.</w:t>
      </w:r>
      <w:r w:rsidR="00C01315" w:rsidRPr="00C01315">
        <w:rPr>
          <w:rStyle w:val="EndnoteReference"/>
          <w:lang w:val="en"/>
        </w:rPr>
        <w:t xml:space="preserve"> </w:t>
      </w:r>
      <w:r w:rsidR="00C01315">
        <w:rPr>
          <w:rStyle w:val="EndnoteReference"/>
          <w:lang w:val="en"/>
        </w:rPr>
        <w:endnoteReference w:id="82"/>
      </w:r>
      <w:r>
        <w:t xml:space="preserve"> </w:t>
      </w:r>
      <w:r w:rsidR="003C7EC3">
        <w:t>While the 2016 Australian Census found that Aboriginal and Torres Strait Islander people represented 2.8% of the Australian population, o</w:t>
      </w:r>
      <w:r>
        <w:t>f all complaints made under the RDA</w:t>
      </w:r>
      <w:r w:rsidR="00093FDF">
        <w:t xml:space="preserve"> in 201</w:t>
      </w:r>
      <w:r w:rsidR="00C01315">
        <w:t>6</w:t>
      </w:r>
      <w:r w:rsidR="00105847">
        <w:t>–</w:t>
      </w:r>
      <w:r w:rsidR="00093FDF">
        <w:t>1</w:t>
      </w:r>
      <w:r w:rsidR="00C01315">
        <w:t>7</w:t>
      </w:r>
      <w:r>
        <w:t xml:space="preserve">, </w:t>
      </w:r>
      <w:r w:rsidR="00C01315">
        <w:t>25</w:t>
      </w:r>
      <w:r>
        <w:t>% were made by Aboriginal and Torres Strait Islander people.</w:t>
      </w:r>
      <w:r w:rsidR="00C01315">
        <w:rPr>
          <w:rStyle w:val="EndnoteReference"/>
        </w:rPr>
        <w:endnoteReference w:id="83"/>
      </w:r>
      <w:r w:rsidR="006762E6">
        <w:t xml:space="preserve"> </w:t>
      </w:r>
    </w:p>
    <w:p w14:paraId="74518E05" w14:textId="70EE3AF1" w:rsidR="006762E6" w:rsidRDefault="006762E6" w:rsidP="006762E6">
      <w:pPr>
        <w:pStyle w:val="BodyText"/>
      </w:pPr>
      <w:r>
        <w:t xml:space="preserve">The Special Rapporteur on the rights of indigenous peoples found the prevalence of racism against Aboriginal and Torres Strait Islander peoples to be </w:t>
      </w:r>
      <w:r w:rsidR="00C30882">
        <w:t>‘</w:t>
      </w:r>
      <w:r>
        <w:t>deeply disturbing</w:t>
      </w:r>
      <w:r w:rsidR="00C30882">
        <w:t>’</w:t>
      </w:r>
      <w:r>
        <w:t>,</w:t>
      </w:r>
      <w:r>
        <w:rPr>
          <w:rStyle w:val="EndnoteReference"/>
        </w:rPr>
        <w:endnoteReference w:id="84"/>
      </w:r>
      <w:r>
        <w:t xml:space="preserve"> and that </w:t>
      </w:r>
      <w:r w:rsidR="00C30882">
        <w:t>‘</w:t>
      </w:r>
      <w:r>
        <w:t>racism manifests itself in different ways, ranging from public stereotyped portrayals as violent criminals, welfare profiteers a</w:t>
      </w:r>
      <w:r w:rsidR="000C5D45">
        <w:t>n</w:t>
      </w:r>
      <w:r>
        <w:t>d poor parents, to discrimination in the administration of justice</w:t>
      </w:r>
      <w:r w:rsidR="00C30882">
        <w:t>’</w:t>
      </w:r>
      <w:r>
        <w:t>.</w:t>
      </w:r>
      <w:r w:rsidRPr="00CF2FFA">
        <w:rPr>
          <w:rStyle w:val="EndnoteReference"/>
        </w:rPr>
        <w:t xml:space="preserve"> </w:t>
      </w:r>
      <w:r>
        <w:rPr>
          <w:rStyle w:val="EndnoteReference"/>
        </w:rPr>
        <w:endnoteReference w:id="85"/>
      </w:r>
    </w:p>
    <w:p w14:paraId="16CF1201" w14:textId="7284C946" w:rsidR="00532B69" w:rsidRPr="00491B1E" w:rsidRDefault="00E927C5" w:rsidP="00E927C5">
      <w:pPr>
        <w:pStyle w:val="Heading2"/>
        <w:rPr>
          <w:color w:val="auto"/>
        </w:rPr>
      </w:pPr>
      <w:bookmarkStart w:id="47" w:name="_UN_Declaration_on"/>
      <w:bookmarkStart w:id="48" w:name="_Toc497148291"/>
      <w:bookmarkEnd w:id="47"/>
      <w:r w:rsidRPr="00491B1E">
        <w:rPr>
          <w:color w:val="auto"/>
        </w:rPr>
        <w:t>UN Declaration on Indigenous Peoples (</w:t>
      </w:r>
      <w:r w:rsidR="004D49C5">
        <w:rPr>
          <w:color w:val="auto"/>
        </w:rPr>
        <w:t xml:space="preserve">CERD article 2; </w:t>
      </w:r>
      <w:r w:rsidRPr="00491B1E">
        <w:rPr>
          <w:color w:val="auto"/>
        </w:rPr>
        <w:t>CO 15)</w:t>
      </w:r>
      <w:bookmarkEnd w:id="48"/>
    </w:p>
    <w:p w14:paraId="20F279B8" w14:textId="47C8E977" w:rsidR="00532B69" w:rsidRPr="00491B1E" w:rsidRDefault="00532B69" w:rsidP="00093FDF">
      <w:pPr>
        <w:pStyle w:val="SubmissionNormal"/>
      </w:pPr>
      <w:r w:rsidRPr="00491B1E">
        <w:t xml:space="preserve">The Commission considers that </w:t>
      </w:r>
      <w:r w:rsidR="002D734C" w:rsidRPr="00491B1E">
        <w:t xml:space="preserve">more robust consideration and </w:t>
      </w:r>
      <w:r w:rsidRPr="00491B1E">
        <w:t xml:space="preserve">implementation of the </w:t>
      </w:r>
      <w:r w:rsidR="00E927C5" w:rsidRPr="000061ED">
        <w:rPr>
          <w:i/>
        </w:rPr>
        <w:t>UN Declaration on Indigenous Peoples</w:t>
      </w:r>
      <w:r w:rsidR="00E927C5" w:rsidRPr="00491B1E">
        <w:t xml:space="preserve"> </w:t>
      </w:r>
      <w:r w:rsidR="000061ED">
        <w:t xml:space="preserve">(Declaration) </w:t>
      </w:r>
      <w:r w:rsidRPr="00491B1E">
        <w:lastRenderedPageBreak/>
        <w:t xml:space="preserve">would </w:t>
      </w:r>
      <w:r w:rsidR="00E927C5" w:rsidRPr="00491B1E">
        <w:t>address a number of racial discrimination issues faced by Aboriginal and Torres Strait Islander peoples</w:t>
      </w:r>
      <w:r w:rsidRPr="00491B1E">
        <w:t xml:space="preserve">. </w:t>
      </w:r>
      <w:r w:rsidR="00093FDF" w:rsidRPr="003C57E3">
        <w:t>The Commission supports the use of the Declaration as a guide for interpreting Australia</w:t>
      </w:r>
      <w:r w:rsidR="00093FDF">
        <w:t xml:space="preserve">’s obligations under </w:t>
      </w:r>
      <w:r w:rsidR="00093FDF" w:rsidRPr="003C57E3">
        <w:t>CERD as they relate to Indigenous peoples.</w:t>
      </w:r>
      <w:r w:rsidR="00093FDF" w:rsidRPr="00227A32">
        <w:rPr>
          <w:rStyle w:val="Footnote"/>
        </w:rPr>
        <w:endnoteReference w:id="86"/>
      </w:r>
    </w:p>
    <w:p w14:paraId="11345B04" w14:textId="56996CD1" w:rsidR="00532B69" w:rsidRDefault="00532B69" w:rsidP="00532B69">
      <w:pPr>
        <w:pStyle w:val="SubmissionNormal"/>
      </w:pPr>
      <w:r w:rsidRPr="00491B1E">
        <w:t xml:space="preserve">The Special Rapporteur on the rights of </w:t>
      </w:r>
      <w:r w:rsidR="00591C44" w:rsidRPr="00491B1E">
        <w:t>i</w:t>
      </w:r>
      <w:r w:rsidRPr="00491B1E">
        <w:t xml:space="preserve">ndigenous </w:t>
      </w:r>
      <w:r w:rsidR="00591C44" w:rsidRPr="00491B1E">
        <w:t>p</w:t>
      </w:r>
      <w:r w:rsidRPr="00491B1E">
        <w:t xml:space="preserve">eoples has called for the Declaration to be specifically included </w:t>
      </w:r>
      <w:r w:rsidR="004F4513" w:rsidRPr="00491B1E">
        <w:t>in the definition of human rights</w:t>
      </w:r>
      <w:r w:rsidRPr="00491B1E">
        <w:t xml:space="preserve"> in the </w:t>
      </w:r>
      <w:r w:rsidRPr="00491B1E">
        <w:rPr>
          <w:i/>
        </w:rPr>
        <w:t>Human Rights (Parliamentary Scrutiny) Act 2011</w:t>
      </w:r>
      <w:r w:rsidRPr="00491B1E">
        <w:t xml:space="preserve"> (Cth).</w:t>
      </w:r>
      <w:r w:rsidRPr="00491B1E">
        <w:rPr>
          <w:rStyle w:val="EndnoteReference"/>
        </w:rPr>
        <w:endnoteReference w:id="87"/>
      </w:r>
    </w:p>
    <w:p w14:paraId="56F05FE5" w14:textId="56091BE5" w:rsidR="006E7202" w:rsidRPr="00491B1E" w:rsidRDefault="006E7202" w:rsidP="006E7202">
      <w:pPr>
        <w:pStyle w:val="SubmissionNormal"/>
      </w:pPr>
      <w:r>
        <w:t xml:space="preserve">Further, the Commission considers that the Declaration should be used to frame the </w:t>
      </w:r>
      <w:r w:rsidR="006762E6">
        <w:t xml:space="preserve">Australian </w:t>
      </w:r>
      <w:r>
        <w:t xml:space="preserve">Government’s engagement with Indigenous peoples. In particular, the Commission </w:t>
      </w:r>
      <w:r w:rsidRPr="00344192">
        <w:t xml:space="preserve">considers that </w:t>
      </w:r>
      <w:r w:rsidRPr="00344192">
        <w:rPr>
          <w:rFonts w:cs="Arial"/>
        </w:rPr>
        <w:t xml:space="preserve">the Australian </w:t>
      </w:r>
      <w:r w:rsidRPr="00344192">
        <w:t>Government</w:t>
      </w:r>
      <w:r w:rsidRPr="00344192">
        <w:rPr>
          <w:rFonts w:cs="Arial"/>
        </w:rPr>
        <w:t xml:space="preserve"> should consult and cooperate with Aboriginal and Torres Strait Islander peoples in order to obtain their free, prior and informed consent before adopting and implementing legislative or administrative measures that may affect them.</w:t>
      </w:r>
    </w:p>
    <w:p w14:paraId="209473C2" w14:textId="29DCFDFA" w:rsidR="00251241" w:rsidRPr="00491B1E" w:rsidRDefault="00532B69" w:rsidP="000F1F4B">
      <w:pPr>
        <w:pStyle w:val="SubmissionNormal"/>
        <w:numPr>
          <w:ilvl w:val="0"/>
          <w:numId w:val="17"/>
        </w:numPr>
        <w:rPr>
          <w:b/>
        </w:rPr>
      </w:pPr>
      <w:r w:rsidRPr="00491B1E">
        <w:rPr>
          <w:b/>
        </w:rPr>
        <w:t xml:space="preserve">That the </w:t>
      </w:r>
      <w:r w:rsidR="00AE030D" w:rsidRPr="00491B1E">
        <w:rPr>
          <w:b/>
        </w:rPr>
        <w:t xml:space="preserve">Australian </w:t>
      </w:r>
      <w:r w:rsidRPr="00491B1E">
        <w:rPr>
          <w:b/>
        </w:rPr>
        <w:t xml:space="preserve">Government, in partnership with Aboriginal and Torres Strait Islander peoples, develop a National Strategy to give effect to the </w:t>
      </w:r>
      <w:r w:rsidR="00BC081D" w:rsidRPr="00491B1E">
        <w:rPr>
          <w:b/>
          <w:i/>
        </w:rPr>
        <w:t>UN Declaration on the Rights of Indigenous Peoples</w:t>
      </w:r>
      <w:r w:rsidR="002D734C" w:rsidRPr="00491B1E">
        <w:rPr>
          <w:b/>
        </w:rPr>
        <w:t xml:space="preserve">. </w:t>
      </w:r>
    </w:p>
    <w:p w14:paraId="7A29A201" w14:textId="5E7BB0FE" w:rsidR="00532B69" w:rsidRDefault="002D734C" w:rsidP="005D67D9">
      <w:pPr>
        <w:pStyle w:val="SubmissionNormal"/>
        <w:numPr>
          <w:ilvl w:val="0"/>
          <w:numId w:val="0"/>
        </w:numPr>
        <w:ind w:left="720"/>
        <w:rPr>
          <w:b/>
        </w:rPr>
      </w:pPr>
      <w:r w:rsidRPr="00491B1E">
        <w:rPr>
          <w:b/>
        </w:rPr>
        <w:t xml:space="preserve">Further, that </w:t>
      </w:r>
      <w:r w:rsidR="00532B69" w:rsidRPr="00491B1E">
        <w:rPr>
          <w:b/>
        </w:rPr>
        <w:t xml:space="preserve">the Declaration </w:t>
      </w:r>
      <w:r w:rsidRPr="00491B1E">
        <w:rPr>
          <w:b/>
        </w:rPr>
        <w:t xml:space="preserve">be included </w:t>
      </w:r>
      <w:r w:rsidR="00532B69" w:rsidRPr="00491B1E">
        <w:rPr>
          <w:b/>
        </w:rPr>
        <w:t xml:space="preserve">in the definition of ‘human rights’ in the </w:t>
      </w:r>
      <w:r w:rsidR="00532B69" w:rsidRPr="00491B1E">
        <w:rPr>
          <w:b/>
          <w:i/>
        </w:rPr>
        <w:t xml:space="preserve">Human Rights (Parliamentary Scrutiny) Act 2011 </w:t>
      </w:r>
      <w:r w:rsidR="00532B69" w:rsidRPr="00491B1E">
        <w:rPr>
          <w:b/>
        </w:rPr>
        <w:t xml:space="preserve">(Cth) </w:t>
      </w:r>
      <w:r w:rsidRPr="00491B1E">
        <w:rPr>
          <w:b/>
        </w:rPr>
        <w:t>to ensure that</w:t>
      </w:r>
      <w:r w:rsidR="00532B69" w:rsidRPr="00491B1E">
        <w:rPr>
          <w:b/>
        </w:rPr>
        <w:t xml:space="preserve"> </w:t>
      </w:r>
      <w:r w:rsidR="00251241" w:rsidRPr="00491B1E">
        <w:rPr>
          <w:b/>
        </w:rPr>
        <w:t>legislation</w:t>
      </w:r>
      <w:r w:rsidR="00532B69" w:rsidRPr="00491B1E">
        <w:rPr>
          <w:b/>
        </w:rPr>
        <w:t xml:space="preserve"> </w:t>
      </w:r>
      <w:r w:rsidRPr="00491B1E">
        <w:rPr>
          <w:b/>
        </w:rPr>
        <w:t>is regularly assessed for</w:t>
      </w:r>
      <w:r w:rsidR="00532B69" w:rsidRPr="00491B1E">
        <w:rPr>
          <w:b/>
        </w:rPr>
        <w:t xml:space="preserve"> conformity with the Declaration.  </w:t>
      </w:r>
    </w:p>
    <w:p w14:paraId="03C810E6" w14:textId="5F859F04" w:rsidR="006B4BBF" w:rsidRPr="007A0CA9" w:rsidRDefault="006B4BBF" w:rsidP="006B4BBF">
      <w:pPr>
        <w:pStyle w:val="Heading2"/>
      </w:pPr>
      <w:bookmarkStart w:id="49" w:name="_Constitutional_recognition_(CERD"/>
      <w:bookmarkStart w:id="50" w:name="_Toc497148292"/>
      <w:bookmarkEnd w:id="49"/>
      <w:r w:rsidRPr="006B4BBF">
        <w:rPr>
          <w:color w:val="auto"/>
        </w:rPr>
        <w:t>Constitutional recognition (</w:t>
      </w:r>
      <w:r w:rsidR="00F10670">
        <w:rPr>
          <w:color w:val="auto"/>
        </w:rPr>
        <w:t>CERD</w:t>
      </w:r>
      <w:r w:rsidR="00C0595E">
        <w:rPr>
          <w:color w:val="auto"/>
        </w:rPr>
        <w:t xml:space="preserve"> article 1, 2, 5</w:t>
      </w:r>
      <w:r w:rsidR="006E7202">
        <w:rPr>
          <w:color w:val="auto"/>
        </w:rPr>
        <w:t>, 6</w:t>
      </w:r>
      <w:r w:rsidRPr="006B4BBF">
        <w:rPr>
          <w:color w:val="auto"/>
        </w:rPr>
        <w:t>; CO 15)</w:t>
      </w:r>
      <w:bookmarkEnd w:id="50"/>
    </w:p>
    <w:p w14:paraId="0C166163" w14:textId="4BC44D8F" w:rsidR="006B4BBF" w:rsidRDefault="006B4BBF" w:rsidP="006B4BBF">
      <w:pPr>
        <w:pStyle w:val="SubmissionNormal"/>
      </w:pPr>
      <w:r w:rsidRPr="006B4BBF">
        <w:t>The Commission notes the First Nations National Constitutional Convention to discuss constitutional recognition, held on 23–26 May 2017</w:t>
      </w:r>
      <w:r w:rsidR="00421797">
        <w:t xml:space="preserve">. The </w:t>
      </w:r>
      <w:r w:rsidRPr="006B4BBF">
        <w:t xml:space="preserve">Uluru Statement </w:t>
      </w:r>
      <w:r w:rsidR="00C01315">
        <w:t>from</w:t>
      </w:r>
      <w:r w:rsidR="00C01315" w:rsidRPr="006B4BBF">
        <w:t xml:space="preserve"> </w:t>
      </w:r>
      <w:r w:rsidRPr="006B4BBF">
        <w:t>the Heart (Uluru Statement) was adopted</w:t>
      </w:r>
      <w:r w:rsidR="00421797">
        <w:t xml:space="preserve"> at the Convention</w:t>
      </w:r>
      <w:r w:rsidRPr="006B4BBF">
        <w:t xml:space="preserve">. The Uluru Statement calls for the establishment of a First Nations’ Voice enshrined in the Constitution and of a Makarrata Commission to supervise a process of agreement making between governments and First Nations that includes </w:t>
      </w:r>
      <w:r w:rsidR="00F62D7B" w:rsidRPr="006B4BBF">
        <w:t>truth telling</w:t>
      </w:r>
      <w:r w:rsidRPr="006B4BBF">
        <w:t xml:space="preserve"> about Aboriginal and Torres Strait </w:t>
      </w:r>
      <w:r w:rsidRPr="00CF169B">
        <w:t xml:space="preserve">Islander peoples’ history. The Commission welcomes the Uluru Statement and supports </w:t>
      </w:r>
      <w:r w:rsidR="00105847">
        <w:t>the calls for a First Nations’ V</w:t>
      </w:r>
      <w:r w:rsidRPr="00CF169B">
        <w:t>oice to Parliament.</w:t>
      </w:r>
      <w:r w:rsidRPr="00CF169B">
        <w:rPr>
          <w:rStyle w:val="EndnoteReference"/>
        </w:rPr>
        <w:endnoteReference w:id="88"/>
      </w:r>
    </w:p>
    <w:p w14:paraId="0FF935BD" w14:textId="5BD6A5AD" w:rsidR="004D4C8C" w:rsidRDefault="00A134B2" w:rsidP="008B3FDE">
      <w:pPr>
        <w:pStyle w:val="SubmissionNormal"/>
      </w:pPr>
      <w:r>
        <w:t>T</w:t>
      </w:r>
      <w:r w:rsidR="004D4C8C">
        <w:t xml:space="preserve">he Commission is very concerned by the Australian Government’s recent </w:t>
      </w:r>
      <w:r w:rsidR="008B3FDE">
        <w:t xml:space="preserve">announcement that it rejects </w:t>
      </w:r>
      <w:r w:rsidR="008B3FDE" w:rsidRPr="008B3FDE">
        <w:t xml:space="preserve">the </w:t>
      </w:r>
      <w:r w:rsidR="008B3FDE">
        <w:t xml:space="preserve">proposal for the </w:t>
      </w:r>
      <w:r w:rsidR="008B3FDE" w:rsidRPr="008B3FDE">
        <w:t xml:space="preserve">establishment of a </w:t>
      </w:r>
      <w:r w:rsidR="008B3FDE">
        <w:t xml:space="preserve">constitutionally enshrined </w:t>
      </w:r>
      <w:r w:rsidR="008B3FDE" w:rsidRPr="008B3FDE">
        <w:t xml:space="preserve">First Nations’ </w:t>
      </w:r>
      <w:r>
        <w:t xml:space="preserve">Voice </w:t>
      </w:r>
      <w:r w:rsidR="008B3FDE">
        <w:t>to Parliament.</w:t>
      </w:r>
      <w:r w:rsidR="008B3FDE">
        <w:rPr>
          <w:rStyle w:val="EndnoteReference"/>
        </w:rPr>
        <w:endnoteReference w:id="89"/>
      </w:r>
      <w:r w:rsidR="008B3FDE">
        <w:t xml:space="preserve"> </w:t>
      </w:r>
    </w:p>
    <w:p w14:paraId="35BABE35" w14:textId="0402176C" w:rsidR="0035337D" w:rsidRDefault="00A134B2" w:rsidP="00CA2D65">
      <w:pPr>
        <w:pStyle w:val="SubmissionNormal"/>
      </w:pPr>
      <w:r>
        <w:t>The Australian Government has recently suggested that</w:t>
      </w:r>
      <w:r w:rsidR="0035337D">
        <w:t xml:space="preserve"> a parliamentary Joint Select Committee will consider the question of constitutional recognition of Aboriginal and Torres </w:t>
      </w:r>
      <w:r w:rsidR="00CA2D65">
        <w:t>Strait</w:t>
      </w:r>
      <w:r w:rsidR="0035337D">
        <w:t xml:space="preserve"> Islander peoples</w:t>
      </w:r>
      <w:r w:rsidR="00CA2D65">
        <w:t>.</w:t>
      </w:r>
      <w:r w:rsidR="00CA2D65">
        <w:rPr>
          <w:rStyle w:val="EndnoteReference"/>
        </w:rPr>
        <w:endnoteReference w:id="90"/>
      </w:r>
      <w:r w:rsidR="00CA2D65">
        <w:t xml:space="preserve"> This parliamentary Committee will give</w:t>
      </w:r>
      <w:r w:rsidR="0035337D">
        <w:t xml:space="preserve"> consideration to </w:t>
      </w:r>
      <w:r w:rsidR="0035337D" w:rsidRPr="0035337D">
        <w:t xml:space="preserve">the recommendations of the existing bodies of work developed by the </w:t>
      </w:r>
      <w:r w:rsidR="00CA2D65" w:rsidRPr="00E50AA5">
        <w:t>Expert Panel on Constitutional Recognition of Indigenous Australians</w:t>
      </w:r>
      <w:r w:rsidR="00CA2D65">
        <w:t xml:space="preserve"> </w:t>
      </w:r>
      <w:r w:rsidR="0035337D" w:rsidRPr="0035337D">
        <w:t>(2012)</w:t>
      </w:r>
      <w:r w:rsidR="00CA2D65" w:rsidRPr="00CA2D65">
        <w:rPr>
          <w:rStyle w:val="EndnoteReference"/>
        </w:rPr>
        <w:t xml:space="preserve"> </w:t>
      </w:r>
      <w:r w:rsidR="00CA2D65">
        <w:rPr>
          <w:rStyle w:val="EndnoteReference"/>
        </w:rPr>
        <w:endnoteReference w:id="91"/>
      </w:r>
      <w:r w:rsidR="0035337D" w:rsidRPr="0035337D">
        <w:t xml:space="preserve">, the </w:t>
      </w:r>
      <w:r w:rsidR="00CA2D65">
        <w:t xml:space="preserve">Joint Select Committee on Constitutional Recognition of Aboriginal and Torres Strait Islander Peoples </w:t>
      </w:r>
      <w:r w:rsidR="0035337D" w:rsidRPr="0035337D">
        <w:t>(2015)</w:t>
      </w:r>
      <w:r w:rsidR="00CA2D65">
        <w:rPr>
          <w:rStyle w:val="EndnoteReference"/>
        </w:rPr>
        <w:endnoteReference w:id="92"/>
      </w:r>
      <w:r w:rsidR="0035337D" w:rsidRPr="0035337D">
        <w:t xml:space="preserve"> and the Referendum Council (2017)</w:t>
      </w:r>
      <w:r w:rsidR="00CA2D65">
        <w:rPr>
          <w:rStyle w:val="EndnoteReference"/>
        </w:rPr>
        <w:endnoteReference w:id="93"/>
      </w:r>
      <w:r w:rsidR="0035337D">
        <w:t>.</w:t>
      </w:r>
      <w:r w:rsidR="00CA2D65">
        <w:rPr>
          <w:rStyle w:val="EndnoteReference"/>
        </w:rPr>
        <w:endnoteReference w:id="94"/>
      </w:r>
    </w:p>
    <w:p w14:paraId="70D5E627" w14:textId="6B7FED7E" w:rsidR="006B4BBF" w:rsidRPr="00CF169B" w:rsidRDefault="006B4BBF" w:rsidP="001A764E">
      <w:pPr>
        <w:pStyle w:val="SubmissionNormal"/>
        <w:rPr>
          <w:color w:val="2E74B5" w:themeColor="accent1" w:themeShade="BF"/>
        </w:rPr>
      </w:pPr>
      <w:r w:rsidRPr="00CF169B">
        <w:lastRenderedPageBreak/>
        <w:t xml:space="preserve">The Special Rapporteur on the rights of indigenous peoples has encouraged the Australian Government to explore the possibility of a national </w:t>
      </w:r>
      <w:r w:rsidR="009E3E5D">
        <w:t>‘</w:t>
      </w:r>
      <w:r w:rsidRPr="00CF169B">
        <w:t>treaty</w:t>
      </w:r>
      <w:r w:rsidR="009E3E5D">
        <w:t>’</w:t>
      </w:r>
      <w:r w:rsidRPr="00CF169B">
        <w:t xml:space="preserve"> with Aboriginal and Torres Strait Islander peoples.</w:t>
      </w:r>
      <w:r w:rsidR="006F1D64" w:rsidRPr="00CF169B">
        <w:rPr>
          <w:rStyle w:val="EndnoteReference"/>
        </w:rPr>
        <w:endnoteReference w:id="95"/>
      </w:r>
      <w:r w:rsidRPr="00CF169B">
        <w:t xml:space="preserve"> </w:t>
      </w:r>
      <w:r w:rsidR="001A764E">
        <w:t xml:space="preserve"> The Commission notes that, while </w:t>
      </w:r>
      <w:r w:rsidR="001A764E" w:rsidRPr="001A764E">
        <w:t xml:space="preserve">there </w:t>
      </w:r>
      <w:r w:rsidR="004D4C8C">
        <w:t>are discussions about</w:t>
      </w:r>
      <w:r w:rsidR="001A764E" w:rsidRPr="001A764E">
        <w:t xml:space="preserve"> a Makarrata Commission at the national level, </w:t>
      </w:r>
      <w:r w:rsidR="009E3E5D">
        <w:t>‘</w:t>
      </w:r>
      <w:r w:rsidR="001A764E" w:rsidRPr="001A764E">
        <w:t>treaty</w:t>
      </w:r>
      <w:r w:rsidR="009E3E5D">
        <w:t>’</w:t>
      </w:r>
      <w:r w:rsidR="001A764E" w:rsidRPr="001A764E">
        <w:t xml:space="preserve"> </w:t>
      </w:r>
      <w:r w:rsidR="00CA2D65">
        <w:t>negotiations are</w:t>
      </w:r>
      <w:r w:rsidR="001A764E" w:rsidRPr="001A764E">
        <w:t xml:space="preserve"> </w:t>
      </w:r>
      <w:r w:rsidR="001A764E">
        <w:t>more</w:t>
      </w:r>
      <w:r w:rsidR="001A764E" w:rsidRPr="001A764E">
        <w:t xml:space="preserve"> likely to take place at the state level</w:t>
      </w:r>
      <w:r w:rsidR="001A764E">
        <w:t>.</w:t>
      </w:r>
      <w:r w:rsidR="007A514F">
        <w:t xml:space="preserve"> The Commission notes that </w:t>
      </w:r>
      <w:r w:rsidR="009E3E5D">
        <w:t>‘</w:t>
      </w:r>
      <w:r w:rsidR="007A514F">
        <w:t>treaty</w:t>
      </w:r>
      <w:r w:rsidR="009E3E5D">
        <w:t>’</w:t>
      </w:r>
      <w:r w:rsidR="007A514F">
        <w:t xml:space="preserve"> discussions have commenced in Victoria and South Australia.</w:t>
      </w:r>
      <w:r w:rsidR="007A514F">
        <w:rPr>
          <w:rStyle w:val="EndnoteReference"/>
        </w:rPr>
        <w:endnoteReference w:id="96"/>
      </w:r>
    </w:p>
    <w:p w14:paraId="51A2C970" w14:textId="72AB7566" w:rsidR="006B4BBF" w:rsidRPr="00CF169B" w:rsidRDefault="006B4BBF" w:rsidP="006B4BBF">
      <w:pPr>
        <w:pStyle w:val="SubmissionNormal"/>
        <w:rPr>
          <w:color w:val="2E74B5" w:themeColor="accent1" w:themeShade="BF"/>
        </w:rPr>
      </w:pPr>
      <w:r w:rsidRPr="00CF169B">
        <w:t>The Special Rapporteur on racial discrimination has recommended that the Australian Government finalise a constitutional amendment in order to recognise the inherent rights and culture of Aboriginal and Torres Strait Islander peoples and set up constitutionally protected institutions to protect their ancestral rights and promote their culture and identity.</w:t>
      </w:r>
      <w:r w:rsidRPr="00CF169B">
        <w:rPr>
          <w:rStyle w:val="EndnoteReference"/>
        </w:rPr>
        <w:endnoteReference w:id="97"/>
      </w:r>
      <w:r w:rsidRPr="00CF169B">
        <w:t xml:space="preserve"> </w:t>
      </w:r>
    </w:p>
    <w:p w14:paraId="70E23B48" w14:textId="5B4BD048" w:rsidR="006B4BBF" w:rsidRPr="00CF169B" w:rsidRDefault="006B4BBF" w:rsidP="004E3903">
      <w:pPr>
        <w:pStyle w:val="ListParagraph"/>
      </w:pPr>
      <w:r w:rsidRPr="00CF169B">
        <w:t xml:space="preserve">That the Australian Government </w:t>
      </w:r>
      <w:r w:rsidRPr="00CF169B">
        <w:rPr>
          <w:lang w:val="en-GB" w:eastAsia="en-GB"/>
        </w:rPr>
        <w:t xml:space="preserve">develop with Aboriginal and Torres Strait Islander peoples </w:t>
      </w:r>
      <w:r w:rsidRPr="00CF169B">
        <w:t>a model for constitutional recognition and</w:t>
      </w:r>
      <w:r w:rsidR="00426B0C">
        <w:t xml:space="preserve"> </w:t>
      </w:r>
      <w:r w:rsidR="004E3903" w:rsidRPr="004E3903">
        <w:t>negotiate in good faith with Aboriginal and Torres Strait Islander peoples about national representative mechanisms.</w:t>
      </w:r>
    </w:p>
    <w:p w14:paraId="2A38F9F9" w14:textId="42A861EA" w:rsidR="00532B69" w:rsidRPr="00CF169B" w:rsidRDefault="00093FDF" w:rsidP="00E24F0F">
      <w:pPr>
        <w:pStyle w:val="Heading2"/>
        <w:rPr>
          <w:color w:val="auto"/>
        </w:rPr>
      </w:pPr>
      <w:bookmarkStart w:id="51" w:name="_Justice_system_(ICCPR"/>
      <w:bookmarkStart w:id="52" w:name="_Toc497148293"/>
      <w:bookmarkEnd w:id="51"/>
      <w:r>
        <w:rPr>
          <w:color w:val="auto"/>
        </w:rPr>
        <w:t>I</w:t>
      </w:r>
      <w:r w:rsidR="005F7113">
        <w:rPr>
          <w:color w:val="auto"/>
        </w:rPr>
        <w:t>ncarceration</w:t>
      </w:r>
      <w:r>
        <w:rPr>
          <w:color w:val="auto"/>
        </w:rPr>
        <w:t xml:space="preserve"> of Aboriginal and Torres Strait Islander people</w:t>
      </w:r>
      <w:r w:rsidR="00E24F0F" w:rsidRPr="00CF169B">
        <w:rPr>
          <w:color w:val="auto"/>
        </w:rPr>
        <w:t xml:space="preserve"> (</w:t>
      </w:r>
      <w:r w:rsidR="00F10670">
        <w:rPr>
          <w:color w:val="auto"/>
        </w:rPr>
        <w:t>CERD</w:t>
      </w:r>
      <w:r w:rsidR="00081A0B">
        <w:rPr>
          <w:color w:val="auto"/>
        </w:rPr>
        <w:t xml:space="preserve"> article 5</w:t>
      </w:r>
      <w:r w:rsidR="00E24F0F" w:rsidRPr="00CF169B">
        <w:rPr>
          <w:color w:val="auto"/>
        </w:rPr>
        <w:t>;</w:t>
      </w:r>
      <w:r w:rsidR="00CF1763">
        <w:rPr>
          <w:color w:val="auto"/>
        </w:rPr>
        <w:t xml:space="preserve"> Declaration articles 7 &amp; 22;</w:t>
      </w:r>
      <w:r w:rsidR="00E24F0F" w:rsidRPr="00CF169B">
        <w:rPr>
          <w:color w:val="auto"/>
        </w:rPr>
        <w:t xml:space="preserve"> CO 19 &amp; 20)</w:t>
      </w:r>
      <w:bookmarkEnd w:id="52"/>
    </w:p>
    <w:p w14:paraId="31306D68" w14:textId="700E020C" w:rsidR="00FE27C9" w:rsidRPr="00FE27C9" w:rsidRDefault="00FE27C9" w:rsidP="00FE27C9">
      <w:pPr>
        <w:pStyle w:val="Heading3"/>
      </w:pPr>
      <w:bookmarkStart w:id="53" w:name="_Toc497148294"/>
      <w:r>
        <w:t>Disproportionate rates of incarceration</w:t>
      </w:r>
      <w:bookmarkEnd w:id="53"/>
    </w:p>
    <w:p w14:paraId="70D8DF4E" w14:textId="30F13950" w:rsidR="004D49C5" w:rsidRDefault="00532B69" w:rsidP="00517D0C">
      <w:pPr>
        <w:pStyle w:val="SubmissionNormal"/>
        <w:rPr>
          <w:rFonts w:cs="Arial"/>
        </w:rPr>
      </w:pPr>
      <w:r w:rsidRPr="009F6EF0">
        <w:t>The Commission is extremely concerned that Aboriginal and Torres Strait Islander people are significantly overrepresented in Australia’s prison population,</w:t>
      </w:r>
      <w:r w:rsidRPr="009F6EF0">
        <w:rPr>
          <w:rStyle w:val="EndnoteReference"/>
          <w:rFonts w:cs="Arial"/>
        </w:rPr>
        <w:endnoteReference w:id="98"/>
      </w:r>
      <w:r w:rsidRPr="009F6EF0">
        <w:t xml:space="preserve"> especially </w:t>
      </w:r>
      <w:r w:rsidRPr="009F6EF0">
        <w:rPr>
          <w:rFonts w:cs="Arial"/>
        </w:rPr>
        <w:t>those with mental health disorders</w:t>
      </w:r>
      <w:r w:rsidR="00BC081D" w:rsidRPr="009F6EF0">
        <w:rPr>
          <w:rFonts w:cs="Arial"/>
        </w:rPr>
        <w:t xml:space="preserve"> or</w:t>
      </w:r>
      <w:r w:rsidRPr="009F6EF0">
        <w:rPr>
          <w:rFonts w:cs="Arial"/>
        </w:rPr>
        <w:t xml:space="preserve"> cognitive disability</w:t>
      </w:r>
      <w:r w:rsidRPr="009F6EF0">
        <w:rPr>
          <w:rStyle w:val="EndnoteReference"/>
          <w:rFonts w:cs="Arial"/>
        </w:rPr>
        <w:endnoteReference w:id="99"/>
      </w:r>
      <w:r w:rsidRPr="009F6EF0">
        <w:rPr>
          <w:rFonts w:cs="Arial"/>
        </w:rPr>
        <w:t xml:space="preserve"> and children.</w:t>
      </w:r>
      <w:r w:rsidRPr="009F6EF0">
        <w:rPr>
          <w:rStyle w:val="EndnoteReference"/>
          <w:rFonts w:cs="Arial"/>
        </w:rPr>
        <w:endnoteReference w:id="100"/>
      </w:r>
      <w:r w:rsidR="004947D5" w:rsidRPr="009F6EF0">
        <w:rPr>
          <w:rFonts w:cs="Arial"/>
        </w:rPr>
        <w:t xml:space="preserve"> </w:t>
      </w:r>
    </w:p>
    <w:p w14:paraId="37CB5274" w14:textId="6938577D" w:rsidR="004D49C5" w:rsidRPr="004D49C5" w:rsidRDefault="00251241" w:rsidP="004D49C5">
      <w:pPr>
        <w:pStyle w:val="SubmissionNormal"/>
        <w:rPr>
          <w:rFonts w:cs="Arial"/>
        </w:rPr>
      </w:pPr>
      <w:r w:rsidRPr="009F6EF0">
        <w:rPr>
          <w:rFonts w:cs="Arial"/>
        </w:rPr>
        <w:t xml:space="preserve">Rates of </w:t>
      </w:r>
      <w:r w:rsidR="00024C7A" w:rsidRPr="009F6EF0">
        <w:rPr>
          <w:rFonts w:cs="Arial"/>
        </w:rPr>
        <w:t xml:space="preserve">imprisonment of </w:t>
      </w:r>
      <w:r w:rsidRPr="009F6EF0">
        <w:rPr>
          <w:rFonts w:cs="Arial"/>
        </w:rPr>
        <w:t xml:space="preserve">Indigenous women </w:t>
      </w:r>
      <w:r w:rsidR="00237A52">
        <w:rPr>
          <w:rFonts w:cs="Arial"/>
        </w:rPr>
        <w:t>are extremely concerning</w:t>
      </w:r>
      <w:r w:rsidR="00517D0C">
        <w:rPr>
          <w:rFonts w:cs="Arial"/>
        </w:rPr>
        <w:t xml:space="preserve">. </w:t>
      </w:r>
      <w:r w:rsidR="004D49C5" w:rsidRPr="009E01A9">
        <w:t>Aboriginal and Torres Strait Islander women account for 34% of the adult female prison population.</w:t>
      </w:r>
      <w:r w:rsidR="004D49C5" w:rsidRPr="009E01A9">
        <w:rPr>
          <w:rStyle w:val="EndnoteReference"/>
        </w:rPr>
        <w:endnoteReference w:id="101"/>
      </w:r>
      <w:r w:rsidR="004D49C5" w:rsidRPr="009E01A9">
        <w:t xml:space="preserve"> It is also important to note that 80% of Aboriginal and Torres Strait Islander women in prison are mothers.</w:t>
      </w:r>
      <w:r w:rsidR="004D49C5" w:rsidRPr="009E01A9">
        <w:rPr>
          <w:rStyle w:val="EndnoteReference"/>
        </w:rPr>
        <w:endnoteReference w:id="102"/>
      </w:r>
    </w:p>
    <w:p w14:paraId="7A5CDF77" w14:textId="33A7DDB5" w:rsidR="00517D0C" w:rsidRPr="00517D0C" w:rsidRDefault="00517D0C" w:rsidP="00517D0C">
      <w:pPr>
        <w:pStyle w:val="SubmissionNormal"/>
        <w:rPr>
          <w:rFonts w:cs="Arial"/>
        </w:rPr>
      </w:pPr>
      <w:r w:rsidRPr="0049648D">
        <w:t>Despite currently being only 2% of the total Australian population aged over 18 years, Aboriginal and Torres Strait Islander prisoners represent over a quarter (27%) of all prisoners in Australia.</w:t>
      </w:r>
      <w:r>
        <w:rPr>
          <w:rStyle w:val="EndnoteReference"/>
          <w:lang w:val="en-US"/>
        </w:rPr>
        <w:endnoteReference w:id="103"/>
      </w:r>
      <w:r w:rsidRPr="0049648D">
        <w:t xml:space="preserve"> </w:t>
      </w:r>
    </w:p>
    <w:p w14:paraId="7EA417E4" w14:textId="77777777" w:rsidR="00CF169B" w:rsidRPr="009F6EF0" w:rsidRDefault="00CF169B" w:rsidP="00CF169B">
      <w:pPr>
        <w:pStyle w:val="SubmissionNormal"/>
        <w:rPr>
          <w:rFonts w:cs="Arial"/>
        </w:rPr>
      </w:pPr>
      <w:r w:rsidRPr="009F6EF0">
        <w:rPr>
          <w:rFonts w:cs="Arial"/>
        </w:rPr>
        <w:t xml:space="preserve">Laws and policies </w:t>
      </w:r>
      <w:r w:rsidRPr="009F6EF0">
        <w:t>disproportionately affecting Aboriginal and Torres Strait Islander people</w:t>
      </w:r>
      <w:r w:rsidRPr="009F6EF0">
        <w:rPr>
          <w:rFonts w:cs="Arial"/>
        </w:rPr>
        <w:t xml:space="preserve"> have contributed to these incarceration rates</w:t>
      </w:r>
      <w:r w:rsidRPr="009F6EF0">
        <w:t>.</w:t>
      </w:r>
      <w:r w:rsidRPr="009F6EF0">
        <w:rPr>
          <w:rFonts w:cs="Arial"/>
        </w:rPr>
        <w:t xml:space="preserve"> In particular, the Commission notes:</w:t>
      </w:r>
    </w:p>
    <w:p w14:paraId="3030EE1B" w14:textId="0CAB5F56" w:rsidR="00421797" w:rsidRPr="00421797" w:rsidRDefault="00421797" w:rsidP="005F7113">
      <w:pPr>
        <w:pStyle w:val="SubmissionNormal"/>
        <w:numPr>
          <w:ilvl w:val="0"/>
          <w:numId w:val="16"/>
        </w:numPr>
        <w:rPr>
          <w:rFonts w:cs="Arial"/>
        </w:rPr>
      </w:pPr>
      <w:r w:rsidRPr="009F6EF0">
        <w:t>Imprisonment from fine default — often caused by small overdue fines for criminal offences that, on their own, do not carry an imprisonment penalty — is contributing to high incarceration rates.</w:t>
      </w:r>
      <w:r w:rsidRPr="009F6EF0">
        <w:rPr>
          <w:rStyle w:val="EndnoteReference"/>
        </w:rPr>
        <w:endnoteReference w:id="104"/>
      </w:r>
    </w:p>
    <w:p w14:paraId="36A346D4" w14:textId="46EDEF20" w:rsidR="00CF169B" w:rsidRPr="009F6EF0" w:rsidRDefault="00CF169B" w:rsidP="005F7113">
      <w:pPr>
        <w:pStyle w:val="SubmissionNormal"/>
        <w:numPr>
          <w:ilvl w:val="0"/>
          <w:numId w:val="16"/>
        </w:numPr>
        <w:rPr>
          <w:rFonts w:cs="Arial"/>
        </w:rPr>
      </w:pPr>
      <w:r w:rsidRPr="009F6EF0">
        <w:t>Bail laws and policies have become more restrictive in Australia and have led to a significant increase in the number of Aboriginal and Torres Strait Islander people held on remand.</w:t>
      </w:r>
      <w:r w:rsidRPr="009F6EF0">
        <w:rPr>
          <w:rStyle w:val="EndnoteReference"/>
        </w:rPr>
        <w:endnoteReference w:id="105"/>
      </w:r>
      <w:r w:rsidRPr="009F6EF0">
        <w:t xml:space="preserve">  </w:t>
      </w:r>
      <w:r w:rsidR="002962DA">
        <w:t xml:space="preserve">Research indicates that the length of time individuals spend on remand affects the </w:t>
      </w:r>
      <w:r w:rsidR="002962DA">
        <w:lastRenderedPageBreak/>
        <w:t xml:space="preserve">likelihood of them receiving </w:t>
      </w:r>
      <w:r w:rsidR="00903F30">
        <w:t>a custodial rather than non-custodial sentence.</w:t>
      </w:r>
      <w:r w:rsidR="00606D74">
        <w:rPr>
          <w:rStyle w:val="EndnoteReference"/>
        </w:rPr>
        <w:endnoteReference w:id="106"/>
      </w:r>
    </w:p>
    <w:p w14:paraId="30E10A29" w14:textId="77777777" w:rsidR="00CF169B" w:rsidRPr="009F6EF0" w:rsidRDefault="00CF169B" w:rsidP="005F7113">
      <w:pPr>
        <w:pStyle w:val="SubmissionNormal"/>
        <w:numPr>
          <w:ilvl w:val="0"/>
          <w:numId w:val="16"/>
        </w:numPr>
        <w:rPr>
          <w:rFonts w:cs="Arial"/>
        </w:rPr>
      </w:pPr>
      <w:r w:rsidRPr="009F6EF0">
        <w:t xml:space="preserve">The Special Rapporteur on the rights of Indigenous peoples has said that </w:t>
      </w:r>
      <w:r w:rsidRPr="009F6EF0">
        <w:rPr>
          <w:rFonts w:cs="Arial"/>
        </w:rPr>
        <w:t>mandatory</w:t>
      </w:r>
      <w:r w:rsidRPr="009F6EF0">
        <w:t xml:space="preserve"> sentencing laws need to be reviewed.</w:t>
      </w:r>
      <w:r w:rsidRPr="009F6EF0">
        <w:rPr>
          <w:rStyle w:val="EndnoteReference"/>
        </w:rPr>
        <w:endnoteReference w:id="107"/>
      </w:r>
      <w:r w:rsidRPr="009F6EF0">
        <w:t xml:space="preserve"> </w:t>
      </w:r>
    </w:p>
    <w:p w14:paraId="444F83E3" w14:textId="6C151D5F" w:rsidR="00CF169B" w:rsidRPr="009F6EF0" w:rsidRDefault="00CF169B" w:rsidP="005F7113">
      <w:pPr>
        <w:pStyle w:val="SubmissionNormal"/>
        <w:numPr>
          <w:ilvl w:val="0"/>
          <w:numId w:val="16"/>
        </w:numPr>
      </w:pPr>
      <w:r w:rsidRPr="009F6EF0">
        <w:t xml:space="preserve">The Commission has previously reported on several cases where </w:t>
      </w:r>
      <w:r w:rsidR="00ED57F6">
        <w:t>I</w:t>
      </w:r>
      <w:r w:rsidRPr="009F6EF0">
        <w:t>ndigenous people are in prolonged detention due to being considered ‘unfit to plead’</w:t>
      </w:r>
      <w:r w:rsidR="00486154">
        <w:t>,</w:t>
      </w:r>
      <w:r w:rsidRPr="009F6EF0">
        <w:t xml:space="preserve"> resulting in them being detained for a period longer than the maximum sentence if they had been tried and found guilty.</w:t>
      </w:r>
      <w:r w:rsidRPr="009F6EF0">
        <w:rPr>
          <w:rStyle w:val="EndnoteReference"/>
          <w:rFonts w:eastAsia="MS Mincho"/>
          <w:iCs/>
        </w:rPr>
        <w:t xml:space="preserve"> </w:t>
      </w:r>
      <w:r w:rsidRPr="009F6EF0">
        <w:rPr>
          <w:rStyle w:val="EndnoteReference"/>
          <w:rFonts w:eastAsia="MS Mincho"/>
          <w:iCs/>
        </w:rPr>
        <w:endnoteReference w:id="108"/>
      </w:r>
      <w:r w:rsidRPr="009F6EF0">
        <w:rPr>
          <w:rFonts w:eastAsia="MS Mincho"/>
          <w:iCs/>
        </w:rPr>
        <w:t xml:space="preserve"> </w:t>
      </w:r>
    </w:p>
    <w:p w14:paraId="02634C95" w14:textId="0B055445" w:rsidR="00CF169B" w:rsidRPr="009F6EF0" w:rsidRDefault="00CF169B" w:rsidP="00CF169B">
      <w:pPr>
        <w:pStyle w:val="SubmissionNormal"/>
        <w:rPr>
          <w:rFonts w:cs="Arial"/>
        </w:rPr>
      </w:pPr>
      <w:r w:rsidRPr="009F6EF0">
        <w:rPr>
          <w:rFonts w:cs="Arial"/>
        </w:rPr>
        <w:t>The Commission notes that the current inquiry by the ALRC into the incarceration of Aboriginal and Torres Strait Islander peoples</w:t>
      </w:r>
      <w:r w:rsidR="00486154">
        <w:rPr>
          <w:rFonts w:cs="Arial"/>
        </w:rPr>
        <w:t>, reporting in December 2017,</w:t>
      </w:r>
      <w:r w:rsidRPr="009F6EF0">
        <w:rPr>
          <w:rFonts w:cs="Arial"/>
        </w:rPr>
        <w:t xml:space="preserve"> will assist in identifying laws requiring amendment to reduce Indigenous incarceration.</w:t>
      </w:r>
      <w:r w:rsidRPr="009F6EF0">
        <w:rPr>
          <w:rStyle w:val="EndnoteReference"/>
          <w:rFonts w:cs="Arial"/>
        </w:rPr>
        <w:endnoteReference w:id="109"/>
      </w:r>
    </w:p>
    <w:p w14:paraId="559BE161" w14:textId="40616168" w:rsidR="009E01A9" w:rsidRDefault="00CF169B" w:rsidP="004D49C5">
      <w:pPr>
        <w:pStyle w:val="SubmissionNormal"/>
        <w:rPr>
          <w:rFonts w:cs="Arial"/>
        </w:rPr>
      </w:pPr>
      <w:r w:rsidRPr="009F6EF0">
        <w:rPr>
          <w:rFonts w:eastAsia="MS Mincho"/>
          <w:iCs/>
        </w:rPr>
        <w:t xml:space="preserve">The Commission </w:t>
      </w:r>
      <w:r w:rsidRPr="009F6EF0">
        <w:t>has advocated that justice targets be set to halve the gap in rates of incarceration for Aboriginal and Torres Strait Islander peoples, as compared with non-Indigenous people.</w:t>
      </w:r>
      <w:r w:rsidRPr="009F6EF0">
        <w:rPr>
          <w:sz w:val="20"/>
          <w:szCs w:val="23"/>
          <w:vertAlign w:val="superscript"/>
        </w:rPr>
        <w:endnoteReference w:id="110"/>
      </w:r>
      <w:r w:rsidRPr="009F6EF0">
        <w:t xml:space="preserve"> The Senate Legal and Constitutional Affairs Committee</w:t>
      </w:r>
      <w:r w:rsidR="00486154">
        <w:t>,</w:t>
      </w:r>
      <w:r w:rsidRPr="009F6EF0">
        <w:t xml:space="preserve"> and successive Social Justice Commissioners</w:t>
      </w:r>
      <w:r w:rsidR="00486154">
        <w:t>,</w:t>
      </w:r>
      <w:r w:rsidRPr="009F6EF0">
        <w:t xml:space="preserve"> have </w:t>
      </w:r>
      <w:r w:rsidRPr="009F6EF0">
        <w:rPr>
          <w:rFonts w:cs="Arial"/>
        </w:rPr>
        <w:t xml:space="preserve">recommended </w:t>
      </w:r>
      <w:r w:rsidR="007068E6">
        <w:rPr>
          <w:rFonts w:cs="Arial"/>
        </w:rPr>
        <w:t xml:space="preserve">justice reinvestment strategies, which involve </w:t>
      </w:r>
      <w:r w:rsidR="007068E6" w:rsidRPr="00892424">
        <w:rPr>
          <w:rFonts w:cs="Arial"/>
        </w:rPr>
        <w:t>diverting and reinvesting funds used for imprisonment to services that address underlying causes of crime in communitie</w:t>
      </w:r>
      <w:r w:rsidR="007068E6">
        <w:rPr>
          <w:rFonts w:cs="Arial"/>
        </w:rPr>
        <w:t>s with high rates of offending.</w:t>
      </w:r>
      <w:r w:rsidRPr="009F6EF0">
        <w:rPr>
          <w:rFonts w:cs="Arial"/>
          <w:vertAlign w:val="superscript"/>
        </w:rPr>
        <w:endnoteReference w:id="111"/>
      </w:r>
      <w:r w:rsidR="007068E6">
        <w:rPr>
          <w:rFonts w:cs="Arial"/>
        </w:rPr>
        <w:t xml:space="preserve"> </w:t>
      </w:r>
    </w:p>
    <w:p w14:paraId="4CE6A5D9" w14:textId="6086E9E5" w:rsidR="000C5D45" w:rsidRPr="00B2395E" w:rsidRDefault="000C5D45" w:rsidP="00B2395E">
      <w:pPr>
        <w:pStyle w:val="SubmissionNormal"/>
        <w:rPr>
          <w:rFonts w:cs="Arial"/>
        </w:rPr>
      </w:pPr>
      <w:r>
        <w:t xml:space="preserve">The Commission notes that the Australian Government recently expressed </w:t>
      </w:r>
      <w:r w:rsidR="00F377F1">
        <w:t xml:space="preserve">its </w:t>
      </w:r>
      <w:r>
        <w:t xml:space="preserve">support for </w:t>
      </w:r>
      <w:r w:rsidRPr="000C5D45">
        <w:rPr>
          <w:rFonts w:cs="Arial"/>
        </w:rPr>
        <w:t>states and territories to implement a justice reinvestme</w:t>
      </w:r>
      <w:r w:rsidR="00B2395E">
        <w:rPr>
          <w:rFonts w:cs="Arial"/>
        </w:rPr>
        <w:t xml:space="preserve">nt approach, but noted that </w:t>
      </w:r>
      <w:r w:rsidR="00B2395E" w:rsidRPr="00B2395E">
        <w:rPr>
          <w:rFonts w:cs="Arial"/>
        </w:rPr>
        <w:t>it ‘cannot effectively fund justice reinvestment projects because state and territory governments are solely responsible for managing corrections systems in Australia</w:t>
      </w:r>
      <w:r w:rsidR="00B2395E">
        <w:rPr>
          <w:rFonts w:cs="Arial"/>
        </w:rPr>
        <w:t xml:space="preserve">’ and that </w:t>
      </w:r>
      <w:r w:rsidR="00B2395E" w:rsidRPr="00B2395E">
        <w:rPr>
          <w:rFonts w:cs="Arial"/>
        </w:rPr>
        <w:t>‘the success of justice reinvestment … ultimately rests with the states and territories’.</w:t>
      </w:r>
      <w:r w:rsidR="00B2395E">
        <w:rPr>
          <w:rStyle w:val="EndnoteReference"/>
          <w:rFonts w:cs="Arial"/>
        </w:rPr>
        <w:endnoteReference w:id="112"/>
      </w:r>
    </w:p>
    <w:p w14:paraId="76377237" w14:textId="0DDEC4A9" w:rsidR="0040066F" w:rsidRDefault="006F1D64" w:rsidP="0040066F">
      <w:pPr>
        <w:pStyle w:val="ListParagraph"/>
      </w:pPr>
      <w:r w:rsidRPr="00E54D64">
        <w:t xml:space="preserve">That </w:t>
      </w:r>
      <w:r>
        <w:t>all</w:t>
      </w:r>
      <w:r w:rsidRPr="00E54D64">
        <w:t xml:space="preserve"> </w:t>
      </w:r>
      <w:bookmarkStart w:id="54" w:name="_Hlk492861405"/>
      <w:r>
        <w:t xml:space="preserve">Australian governments </w:t>
      </w:r>
      <w:r w:rsidRPr="00251241">
        <w:t>commit to national justice targets to reduce the rates of imprisonment of Aboriginal and Torres Strait Islander adults and juveniles</w:t>
      </w:r>
      <w:r w:rsidR="008E2436">
        <w:t xml:space="preserve"> and that these targets be introduced into the </w:t>
      </w:r>
      <w:r w:rsidR="001A764E">
        <w:t>Closing the Gap Strategy</w:t>
      </w:r>
      <w:bookmarkEnd w:id="54"/>
      <w:r>
        <w:t>.</w:t>
      </w:r>
      <w:r w:rsidR="005F7113">
        <w:t xml:space="preserve"> </w:t>
      </w:r>
    </w:p>
    <w:p w14:paraId="362B4463" w14:textId="69A61B8D" w:rsidR="0036190D" w:rsidRDefault="0036190D" w:rsidP="0036190D">
      <w:pPr>
        <w:pStyle w:val="Heading3"/>
      </w:pPr>
      <w:bookmarkStart w:id="55" w:name="_NT_Royal_Commission"/>
      <w:bookmarkStart w:id="56" w:name="_Toc497148295"/>
      <w:bookmarkEnd w:id="55"/>
      <w:r>
        <w:t>N</w:t>
      </w:r>
      <w:r w:rsidR="00735D18">
        <w:t>orthern Territory</w:t>
      </w:r>
      <w:r>
        <w:t xml:space="preserve"> Royal Commission</w:t>
      </w:r>
      <w:bookmarkEnd w:id="56"/>
      <w:r>
        <w:t xml:space="preserve"> </w:t>
      </w:r>
    </w:p>
    <w:p w14:paraId="25877061" w14:textId="77777777" w:rsidR="0036190D" w:rsidRPr="0036190D" w:rsidRDefault="0036190D" w:rsidP="0036190D">
      <w:pPr>
        <w:pStyle w:val="SubmissionNormal"/>
        <w:rPr>
          <w:rFonts w:cs="Arial"/>
        </w:rPr>
      </w:pPr>
      <w:r>
        <w:t xml:space="preserve">The Commission is extremely concerned about the conditions of detention for Aboriginal and Torres Strait Islander juveniles. </w:t>
      </w:r>
    </w:p>
    <w:p w14:paraId="5C2DAD37" w14:textId="68A40D64" w:rsidR="0036190D" w:rsidRPr="0036190D" w:rsidRDefault="0036190D" w:rsidP="0036190D">
      <w:pPr>
        <w:pStyle w:val="SubmissionNormal"/>
        <w:rPr>
          <w:rFonts w:cs="Arial"/>
        </w:rPr>
      </w:pPr>
      <w:r>
        <w:t>The Commission commends the Australian Government’s establishment of a Royal Commission into the Protection and Detention of Children in the Northern Territory (NT Royal Commission).</w:t>
      </w:r>
      <w:r>
        <w:rPr>
          <w:rStyle w:val="EndnoteReference"/>
          <w:rFonts w:cs="Arial"/>
        </w:rPr>
        <w:endnoteReference w:id="113"/>
      </w:r>
      <w:r>
        <w:t xml:space="preserve"> </w:t>
      </w:r>
      <w:r w:rsidR="005B434A">
        <w:t xml:space="preserve">The inquiry is considering the </w:t>
      </w:r>
      <w:r w:rsidR="005B434A" w:rsidRPr="00F704E4">
        <w:t xml:space="preserve">situation of all juveniles in detention and care and protection in the </w:t>
      </w:r>
      <w:r w:rsidR="00735D18">
        <w:t>Northern Territory</w:t>
      </w:r>
      <w:r w:rsidR="005B434A" w:rsidRPr="00F704E4">
        <w:t xml:space="preserve">. However, statistics show that </w:t>
      </w:r>
      <w:r w:rsidR="0049336F" w:rsidRPr="00F704E4">
        <w:t>94</w:t>
      </w:r>
      <w:r w:rsidR="005B434A" w:rsidRPr="00F704E4">
        <w:t xml:space="preserve">% </w:t>
      </w:r>
      <w:r w:rsidR="0049336F" w:rsidRPr="00F704E4">
        <w:t>of the children and young people in detention in the Northern Territory</w:t>
      </w:r>
      <w:r w:rsidR="005B434A" w:rsidRPr="00F704E4">
        <w:t xml:space="preserve"> are Aboriginal.</w:t>
      </w:r>
      <w:r w:rsidR="0049336F" w:rsidRPr="00F704E4">
        <w:rPr>
          <w:rStyle w:val="EndnoteReference"/>
        </w:rPr>
        <w:endnoteReference w:id="114"/>
      </w:r>
      <w:r w:rsidR="00F66C2C">
        <w:t xml:space="preserve"> Furthermore, 89% of children and young people in out-of-home care in the Northern Territory are Aboriginal.</w:t>
      </w:r>
      <w:r w:rsidR="00F66C2C" w:rsidRPr="00F704E4">
        <w:rPr>
          <w:rStyle w:val="EndnoteReference"/>
        </w:rPr>
        <w:endnoteReference w:id="115"/>
      </w:r>
    </w:p>
    <w:p w14:paraId="57EEF09C" w14:textId="163DCEA7" w:rsidR="0036190D" w:rsidRPr="0036190D" w:rsidRDefault="0036190D" w:rsidP="0036190D">
      <w:pPr>
        <w:pStyle w:val="SubmissionNormal"/>
        <w:rPr>
          <w:rFonts w:cs="Arial"/>
        </w:rPr>
      </w:pPr>
      <w:r>
        <w:t>The NT Royal Commission released its interim report on 31 March 2017. The interim findings noted that s</w:t>
      </w:r>
      <w:r w:rsidRPr="00FA2D44">
        <w:t xml:space="preserve">ite visits to the current youth detention centres </w:t>
      </w:r>
      <w:r w:rsidRPr="00FA2D44">
        <w:lastRenderedPageBreak/>
        <w:t>have revealed fundamental problems with the structural design of the Northern Territory youth detention centres.</w:t>
      </w:r>
      <w:r>
        <w:t xml:space="preserve"> T</w:t>
      </w:r>
      <w:r w:rsidRPr="00FA2D44">
        <w:t xml:space="preserve">he </w:t>
      </w:r>
      <w:r>
        <w:t xml:space="preserve">NT Royal </w:t>
      </w:r>
      <w:r w:rsidRPr="00FA2D44">
        <w:t>Commission has heard concerns about the age and unhygienic conditions of the detention centres, their inappropriate design, the absence of privacy and the lack of windows for natural light and ventilation</w:t>
      </w:r>
      <w:r>
        <w:t>.</w:t>
      </w:r>
      <w:r>
        <w:rPr>
          <w:rStyle w:val="EndnoteReference"/>
        </w:rPr>
        <w:endnoteReference w:id="116"/>
      </w:r>
      <w:r>
        <w:t xml:space="preserve"> </w:t>
      </w:r>
    </w:p>
    <w:p w14:paraId="0491736E" w14:textId="77777777" w:rsidR="0036190D" w:rsidRDefault="0036190D" w:rsidP="0036190D">
      <w:pPr>
        <w:pStyle w:val="SubmissionNormal"/>
        <w:rPr>
          <w:rFonts w:cs="Arial"/>
        </w:rPr>
      </w:pPr>
      <w:r>
        <w:t xml:space="preserve">The </w:t>
      </w:r>
      <w:r w:rsidRPr="003668DA">
        <w:rPr>
          <w:rFonts w:cs="Arial"/>
        </w:rPr>
        <w:t xml:space="preserve">Royal Commission </w:t>
      </w:r>
      <w:r>
        <w:t xml:space="preserve">will deliver its final </w:t>
      </w:r>
      <w:r w:rsidRPr="009A2D3F">
        <w:t xml:space="preserve">report on </w:t>
      </w:r>
      <w:r>
        <w:t>17 November</w:t>
      </w:r>
      <w:r w:rsidRPr="009A2D3F">
        <w:t xml:space="preserve"> 2017.</w:t>
      </w:r>
    </w:p>
    <w:p w14:paraId="41C755A1" w14:textId="45A63D18" w:rsidR="0036190D" w:rsidRDefault="00080827" w:rsidP="00080827">
      <w:pPr>
        <w:pStyle w:val="ListParagraph"/>
      </w:pPr>
      <w:r w:rsidRPr="00080827">
        <w:t xml:space="preserve">That the Australian Government, with the Northern Territory Government, swiftly </w:t>
      </w:r>
      <w:r>
        <w:t xml:space="preserve">consider the implementation of </w:t>
      </w:r>
      <w:r w:rsidRPr="00080827">
        <w:t>its response to the recommendations of the Royal Commission into the Protection and Detention of Children in the Northern Territory once its final report is delivered.</w:t>
      </w:r>
      <w:r w:rsidR="0040066F">
        <w:t xml:space="preserve"> </w:t>
      </w:r>
    </w:p>
    <w:p w14:paraId="543BAA3D" w14:textId="7F49802E" w:rsidR="0016070F" w:rsidRPr="0016070F" w:rsidRDefault="0016070F" w:rsidP="0036190D">
      <w:pPr>
        <w:pStyle w:val="ListParagraph"/>
        <w:numPr>
          <w:ilvl w:val="0"/>
          <w:numId w:val="0"/>
        </w:numPr>
        <w:ind w:left="720"/>
      </w:pPr>
      <w:r w:rsidRPr="0040066F">
        <w:rPr>
          <w:i/>
        </w:rPr>
        <w:t>The Commission considers this issue to be of such importance that the Committee should request an update from the Australian Government on progress in 12 months time.</w:t>
      </w:r>
    </w:p>
    <w:p w14:paraId="729D4C6C" w14:textId="19423FFB" w:rsidR="0040066F" w:rsidRDefault="0040066F" w:rsidP="000061ED">
      <w:pPr>
        <w:pStyle w:val="Heading3"/>
      </w:pPr>
      <w:bookmarkStart w:id="57" w:name="_Toc497148296"/>
      <w:r>
        <w:t>Deaths in police custody</w:t>
      </w:r>
      <w:bookmarkEnd w:id="57"/>
    </w:p>
    <w:p w14:paraId="7B73E418" w14:textId="5162C7D0" w:rsidR="00FE27C9" w:rsidRDefault="0040066F" w:rsidP="00FE27C9">
      <w:pPr>
        <w:pStyle w:val="SubmissionNormal"/>
        <w:rPr>
          <w:rFonts w:cs="Arial"/>
        </w:rPr>
      </w:pPr>
      <w:r w:rsidRPr="009F6EF0">
        <w:t xml:space="preserve">The issue of Aboriginal and Torres Strait Islander deaths in police custody and in prison has been cause for alarm for several decades. </w:t>
      </w:r>
      <w:r w:rsidRPr="00236975">
        <w:rPr>
          <w:rFonts w:cs="Arial"/>
        </w:rPr>
        <w:t>The 25 year anniversary of the recommendations of the Royal Commission int</w:t>
      </w:r>
      <w:r>
        <w:rPr>
          <w:rFonts w:cs="Arial"/>
        </w:rPr>
        <w:t>o Aboriginal Deaths in Custody</w:t>
      </w:r>
      <w:r w:rsidRPr="00236975">
        <w:rPr>
          <w:rFonts w:cs="Arial"/>
        </w:rPr>
        <w:t xml:space="preserve"> was in 2016.</w:t>
      </w:r>
      <w:r>
        <w:rPr>
          <w:rStyle w:val="EndnoteReference"/>
          <w:rFonts w:eastAsia="MS Mincho"/>
        </w:rPr>
        <w:endnoteReference w:id="117"/>
      </w:r>
      <w:r w:rsidRPr="00236975">
        <w:rPr>
          <w:rFonts w:ascii="Times New Roman" w:hAnsi="Times New Roman"/>
        </w:rPr>
        <w:t xml:space="preserve"> </w:t>
      </w:r>
      <w:r w:rsidRPr="00CB2CE9">
        <w:rPr>
          <w:rFonts w:cs="Arial"/>
        </w:rPr>
        <w:t>The Commission is concerned that the issue of deaths in police custody remains a se</w:t>
      </w:r>
      <w:r w:rsidR="00486154">
        <w:rPr>
          <w:rFonts w:cs="Arial"/>
        </w:rPr>
        <w:t>rious issue. Nationally in 2014–1</w:t>
      </w:r>
      <w:r w:rsidRPr="00CB2CE9">
        <w:rPr>
          <w:rFonts w:cs="Arial"/>
        </w:rPr>
        <w:t>5, there were 11 deaths in police custody, of which five were Aboriginal and Torres Strait Islander deaths.</w:t>
      </w:r>
      <w:r w:rsidRPr="009F6EF0">
        <w:rPr>
          <w:rFonts w:cs="Arial"/>
          <w:sz w:val="20"/>
          <w:szCs w:val="20"/>
          <w:vertAlign w:val="superscript"/>
        </w:rPr>
        <w:endnoteReference w:id="118"/>
      </w:r>
      <w:r w:rsidR="0098373C">
        <w:rPr>
          <w:rFonts w:cs="Arial"/>
        </w:rPr>
        <w:t xml:space="preserve"> </w:t>
      </w:r>
    </w:p>
    <w:p w14:paraId="687A7ABD" w14:textId="60B75537" w:rsidR="0040066F" w:rsidRPr="00421797" w:rsidRDefault="00FE27C9" w:rsidP="00FE27C9">
      <w:pPr>
        <w:pStyle w:val="SubmissionNormal"/>
        <w:rPr>
          <w:rFonts w:cs="Arial"/>
        </w:rPr>
      </w:pPr>
      <w:r>
        <w:rPr>
          <w:rFonts w:cs="Arial"/>
        </w:rPr>
        <w:t xml:space="preserve">The Commission notes the death of </w:t>
      </w:r>
      <w:r>
        <w:t xml:space="preserve">Cameron Doomadgee (known posthumously as Mulrunji) in police custody in 2004 </w:t>
      </w:r>
      <w:r w:rsidR="00486154">
        <w:t xml:space="preserve">on </w:t>
      </w:r>
      <w:r>
        <w:t>Palm Island and its aftermath and directs attention to issues of</w:t>
      </w:r>
      <w:r w:rsidR="000061ED">
        <w:t xml:space="preserve"> discriminatory</w:t>
      </w:r>
      <w:r>
        <w:t xml:space="preserve"> police </w:t>
      </w:r>
      <w:r w:rsidR="000061ED">
        <w:t>practices, as</w:t>
      </w:r>
      <w:r>
        <w:t xml:space="preserve"> discussed in </w:t>
      </w:r>
      <w:hyperlink w:anchor="_Police_practices_(CERD" w:history="1">
        <w:r w:rsidRPr="000061ED">
          <w:rPr>
            <w:rStyle w:val="Hyperlink"/>
          </w:rPr>
          <w:t xml:space="preserve">section </w:t>
        </w:r>
      </w:hyperlink>
      <w:r w:rsidR="008169CC">
        <w:rPr>
          <w:rStyle w:val="Hyperlink"/>
        </w:rPr>
        <w:t>7</w:t>
      </w:r>
      <w:r>
        <w:t xml:space="preserve"> below. </w:t>
      </w:r>
    </w:p>
    <w:p w14:paraId="5BF68198" w14:textId="5102C34E" w:rsidR="00421797" w:rsidRPr="009F6EF0" w:rsidRDefault="00421797" w:rsidP="00421797">
      <w:pPr>
        <w:pStyle w:val="SubmissionNormal"/>
        <w:rPr>
          <w:rFonts w:cs="Arial"/>
        </w:rPr>
      </w:pPr>
      <w:r>
        <w:t xml:space="preserve">The Commission </w:t>
      </w:r>
      <w:r w:rsidR="00903F30">
        <w:t xml:space="preserve">also </w:t>
      </w:r>
      <w:r w:rsidR="007D52E3">
        <w:t xml:space="preserve">refers to </w:t>
      </w:r>
      <w:r w:rsidRPr="009F6EF0">
        <w:t>‘</w:t>
      </w:r>
      <w:r>
        <w:t>p</w:t>
      </w:r>
      <w:r w:rsidRPr="009F6EF0">
        <w:t>aperless arrest’</w:t>
      </w:r>
      <w:r>
        <w:t xml:space="preserve"> laws in the Northern Territory, which </w:t>
      </w:r>
      <w:r w:rsidRPr="009F6EF0">
        <w:t>provide police with the power to detain a person for up to four hours (or longer if the person is intoxicated) if they suspect the person has committed or is about to commit an ‘infringement no</w:t>
      </w:r>
      <w:r w:rsidR="007D52E3">
        <w:t>tice offence’ (a minor offence).</w:t>
      </w:r>
      <w:r w:rsidR="007D52E3" w:rsidRPr="009F6EF0">
        <w:rPr>
          <w:rStyle w:val="EndnoteReference"/>
        </w:rPr>
        <w:endnoteReference w:id="119"/>
      </w:r>
      <w:r w:rsidR="007D52E3">
        <w:t xml:space="preserve"> </w:t>
      </w:r>
      <w:r w:rsidR="009B5409">
        <w:t xml:space="preserve">The Commission considers that </w:t>
      </w:r>
      <w:r w:rsidR="007D52E3">
        <w:t>‘</w:t>
      </w:r>
      <w:r w:rsidR="009B5409">
        <w:t>p</w:t>
      </w:r>
      <w:r w:rsidR="007D52E3">
        <w:t xml:space="preserve">aperless arrest’ laws </w:t>
      </w:r>
      <w:r w:rsidR="00903F30">
        <w:t xml:space="preserve">lead to the unnecessary locking up of Aboriginal and Torres Strait Islander people and </w:t>
      </w:r>
      <w:r w:rsidR="007D52E3">
        <w:t xml:space="preserve">are inconsistent with </w:t>
      </w:r>
      <w:r w:rsidR="00903F30">
        <w:t xml:space="preserve">the </w:t>
      </w:r>
      <w:r w:rsidR="007D52E3">
        <w:t>recommendations of the Royal Commission into Aboriginal Deaths and Custody.</w:t>
      </w:r>
      <w:r w:rsidR="009B5409">
        <w:rPr>
          <w:rStyle w:val="EndnoteReference"/>
        </w:rPr>
        <w:endnoteReference w:id="120"/>
      </w:r>
    </w:p>
    <w:p w14:paraId="4344325E" w14:textId="2D3D2E88" w:rsidR="0072407D" w:rsidRDefault="00C0595E" w:rsidP="005F7113">
      <w:pPr>
        <w:pStyle w:val="Heading2"/>
      </w:pPr>
      <w:bookmarkStart w:id="58" w:name="_Toc497148297"/>
      <w:r>
        <w:t>Family</w:t>
      </w:r>
      <w:r w:rsidR="00E20CC7">
        <w:t>/domestic</w:t>
      </w:r>
      <w:r>
        <w:t xml:space="preserve"> violence (CERD article 5 &amp; Declaration article 22)</w:t>
      </w:r>
      <w:bookmarkEnd w:id="58"/>
    </w:p>
    <w:p w14:paraId="79CE7E90" w14:textId="73F8CCB0" w:rsidR="00272BC8" w:rsidRPr="0072407D" w:rsidRDefault="00272BC8" w:rsidP="00272BC8">
      <w:pPr>
        <w:pStyle w:val="BodyText"/>
        <w:rPr>
          <w:lang w:val="en-US"/>
        </w:rPr>
      </w:pPr>
      <w:r w:rsidRPr="009E5CE5">
        <w:t>Aboriginal and Torres Strait Islander women</w:t>
      </w:r>
      <w:r>
        <w:t xml:space="preserve"> are particularly at risk of violence.</w:t>
      </w:r>
      <w:r w:rsidRPr="00B51BC2">
        <w:rPr>
          <w:rStyle w:val="EndnoteReference"/>
        </w:rPr>
        <w:endnoteReference w:id="121"/>
      </w:r>
      <w:r>
        <w:t xml:space="preserve"> They </w:t>
      </w:r>
      <w:r w:rsidRPr="009E5CE5">
        <w:t>are hospitalised for family violence</w:t>
      </w:r>
      <w:r>
        <w:t>-</w:t>
      </w:r>
      <w:r w:rsidRPr="009E5CE5">
        <w:t>related assault at 3</w:t>
      </w:r>
      <w:r>
        <w:t>0</w:t>
      </w:r>
      <w:r w:rsidRPr="009E5CE5">
        <w:t xml:space="preserve"> times the rate of non-Indigenous </w:t>
      </w:r>
      <w:r w:rsidRPr="009E5CE5">
        <w:rPr>
          <w:lang w:val="en-GB" w:eastAsia="en-GB"/>
        </w:rPr>
        <w:t>women.</w:t>
      </w:r>
      <w:r w:rsidRPr="00B51BC2">
        <w:rPr>
          <w:rStyle w:val="EndnoteReference"/>
          <w:rFonts w:cs="Arial"/>
        </w:rPr>
        <w:endnoteReference w:id="122"/>
      </w:r>
      <w:r w:rsidRPr="009E5CE5">
        <w:rPr>
          <w:lang w:val="en-GB" w:eastAsia="en-GB"/>
        </w:rPr>
        <w:t xml:space="preserve"> </w:t>
      </w:r>
      <w:r>
        <w:rPr>
          <w:lang w:val="en-GB" w:eastAsia="en-GB"/>
        </w:rPr>
        <w:t>Aboriginal and Torres Strait Islander children are overrepresented as child victims of physical assault and sexual assault in a residential location.</w:t>
      </w:r>
      <w:r>
        <w:rPr>
          <w:rStyle w:val="EndnoteReference"/>
          <w:lang w:val="en-GB" w:eastAsia="en-GB"/>
        </w:rPr>
        <w:endnoteReference w:id="123"/>
      </w:r>
      <w:r>
        <w:rPr>
          <w:lang w:val="en-GB" w:eastAsia="en-GB"/>
        </w:rPr>
        <w:t xml:space="preserve"> </w:t>
      </w:r>
      <w:r w:rsidRPr="00E312EF">
        <w:t>Th</w:t>
      </w:r>
      <w:r>
        <w:t>e</w:t>
      </w:r>
      <w:r w:rsidRPr="00E312EF">
        <w:t xml:space="preserve"> issue</w:t>
      </w:r>
      <w:r>
        <w:t xml:space="preserve"> of violence against Aboriginal and Torres Strait Islander women and children</w:t>
      </w:r>
      <w:r w:rsidRPr="00E312EF">
        <w:t xml:space="preserve"> remains a national </w:t>
      </w:r>
      <w:r w:rsidRPr="00E312EF">
        <w:lastRenderedPageBreak/>
        <w:t xml:space="preserve">crisis. Indigenous women, men and children must be included in national discussions to appropriately identify and address violence. </w:t>
      </w:r>
    </w:p>
    <w:p w14:paraId="01DA45EA" w14:textId="1B505121" w:rsidR="00272BC8" w:rsidRDefault="00272BC8" w:rsidP="00272BC8">
      <w:pPr>
        <w:pStyle w:val="SubmissionNormal"/>
      </w:pPr>
      <w:r w:rsidRPr="00254671">
        <w:t xml:space="preserve">The </w:t>
      </w:r>
      <w:r>
        <w:t xml:space="preserve">Commission notes that the </w:t>
      </w:r>
      <w:r w:rsidRPr="00FC1015">
        <w:rPr>
          <w:rFonts w:cs="Arial"/>
          <w:i/>
        </w:rPr>
        <w:t xml:space="preserve">National Plan to Reduce Violence against Women </w:t>
      </w:r>
      <w:r w:rsidR="00486154">
        <w:rPr>
          <w:rFonts w:cs="Arial"/>
          <w:i/>
        </w:rPr>
        <w:t>and their Children 2010</w:t>
      </w:r>
      <w:r w:rsidRPr="00FC1015">
        <w:rPr>
          <w:rFonts w:cs="Arial"/>
          <w:i/>
        </w:rPr>
        <w:t>–2022</w:t>
      </w:r>
      <w:r>
        <w:rPr>
          <w:rFonts w:cs="Arial"/>
        </w:rPr>
        <w:t xml:space="preserve">, which </w:t>
      </w:r>
      <w:r>
        <w:t xml:space="preserve">has </w:t>
      </w:r>
      <w:r w:rsidRPr="00FC1015">
        <w:t xml:space="preserve">been developed to support all women </w:t>
      </w:r>
      <w:r>
        <w:t xml:space="preserve">(including Indigenous women) </w:t>
      </w:r>
      <w:r w:rsidRPr="00FC1015">
        <w:t>and their c</w:t>
      </w:r>
      <w:r>
        <w:t xml:space="preserve">hildren experiencing violence, builds on the </w:t>
      </w:r>
      <w:r w:rsidRPr="00B61062">
        <w:t>Council of Australian Governments’ (COAG’s)</w:t>
      </w:r>
      <w:r>
        <w:t xml:space="preserve"> commitment under the Close the Gap framework.</w:t>
      </w:r>
      <w:r>
        <w:rPr>
          <w:rStyle w:val="EndnoteReference"/>
        </w:rPr>
        <w:endnoteReference w:id="124"/>
      </w:r>
      <w:r>
        <w:t xml:space="preserve"> </w:t>
      </w:r>
    </w:p>
    <w:p w14:paraId="2DB8CF31" w14:textId="77777777" w:rsidR="00272BC8" w:rsidRDefault="00272BC8" w:rsidP="00272BC8">
      <w:pPr>
        <w:pStyle w:val="SubmissionNormal"/>
      </w:pPr>
      <w:r>
        <w:t xml:space="preserve">The Commission considers that action </w:t>
      </w:r>
      <w:r w:rsidRPr="00254671">
        <w:t xml:space="preserve">on violence against Aboriginal and Torres Strait Islander women </w:t>
      </w:r>
      <w:r>
        <w:t>and children should</w:t>
      </w:r>
      <w:r w:rsidRPr="00254671">
        <w:t xml:space="preserve"> be developed in close consultation with Aboriginal and Torres Strait Islander women </w:t>
      </w:r>
      <w:r>
        <w:t xml:space="preserve">and children, </w:t>
      </w:r>
      <w:r w:rsidRPr="00254671">
        <w:t>and other relevant stakeholders.</w:t>
      </w:r>
    </w:p>
    <w:p w14:paraId="07FB8380" w14:textId="36D41B65" w:rsidR="0072407D" w:rsidRPr="00E312EF" w:rsidRDefault="0072407D" w:rsidP="00F62D7B">
      <w:pPr>
        <w:pStyle w:val="SubmissionNormal"/>
      </w:pPr>
      <w:r w:rsidRPr="004E3903">
        <w:rPr>
          <w:rFonts w:eastAsia="MS Mincho"/>
        </w:rPr>
        <w:t xml:space="preserve">Several of the recommendations made to Australia at the </w:t>
      </w:r>
      <w:r w:rsidR="003954EE" w:rsidRPr="004E3903">
        <w:rPr>
          <w:rFonts w:eastAsia="MS Mincho"/>
        </w:rPr>
        <w:t xml:space="preserve">Universal Periodic Review </w:t>
      </w:r>
      <w:r w:rsidRPr="004E3903">
        <w:rPr>
          <w:rFonts w:eastAsia="MS Mincho"/>
        </w:rPr>
        <w:t>in 2015 concerned violence against women and their children and in particular Aboriginal and Torres Strait Islander women and children.</w:t>
      </w:r>
      <w:r w:rsidRPr="00E312EF">
        <w:rPr>
          <w:rStyle w:val="EndnoteReference"/>
          <w:rFonts w:eastAsia="MS Mincho"/>
        </w:rPr>
        <w:endnoteReference w:id="125"/>
      </w:r>
    </w:p>
    <w:p w14:paraId="613E6D6C" w14:textId="1606F803" w:rsidR="0072407D" w:rsidRPr="0072407D" w:rsidRDefault="0072407D" w:rsidP="0072407D">
      <w:pPr>
        <w:pStyle w:val="SubmissionNormal"/>
        <w:rPr>
          <w:rFonts w:cs="Arial"/>
        </w:rPr>
      </w:pPr>
      <w:r w:rsidRPr="009F6EF0">
        <w:t xml:space="preserve">Noting that a federal approach is needed to address imprisonment rates and the experience of violence, the Commission welcomes the Change the Record Coalition’s </w:t>
      </w:r>
      <w:r w:rsidRPr="009F6EF0">
        <w:rPr>
          <w:i/>
        </w:rPr>
        <w:t>Blueprint for change</w:t>
      </w:r>
      <w:r w:rsidRPr="009F6EF0">
        <w:t>.</w:t>
      </w:r>
      <w:r w:rsidRPr="009F6EF0">
        <w:rPr>
          <w:rStyle w:val="EndnoteReference"/>
          <w:rFonts w:cs="Arial"/>
          <w:sz w:val="24"/>
        </w:rPr>
        <w:endnoteReference w:id="126"/>
      </w:r>
    </w:p>
    <w:p w14:paraId="576E745B" w14:textId="2D9F5010" w:rsidR="00CF169B" w:rsidRPr="009F6EF0" w:rsidRDefault="005F7113" w:rsidP="00CF169B">
      <w:pPr>
        <w:pStyle w:val="ListParagraph"/>
      </w:pPr>
      <w:r>
        <w:t>That all Australian governments</w:t>
      </w:r>
      <w:r w:rsidR="00CF169B" w:rsidRPr="009F6EF0">
        <w:t>:</w:t>
      </w:r>
    </w:p>
    <w:p w14:paraId="57789DE1" w14:textId="16568A31" w:rsidR="009F6EF0" w:rsidRPr="0072407D" w:rsidRDefault="006F1D64" w:rsidP="000F1F4B">
      <w:pPr>
        <w:pStyle w:val="ListParagraph"/>
        <w:numPr>
          <w:ilvl w:val="3"/>
          <w:numId w:val="22"/>
        </w:numPr>
      </w:pPr>
      <w:r>
        <w:rPr>
          <w:rFonts w:cs="Arial"/>
        </w:rPr>
        <w:t>implement policies to reduce</w:t>
      </w:r>
      <w:r w:rsidR="00CF169B" w:rsidRPr="009F6EF0">
        <w:rPr>
          <w:rFonts w:cs="Arial"/>
        </w:rPr>
        <w:t xml:space="preserve"> disproportionate rates of violence against Aboriginal and Torres Strait Islander people to close the gap by 2040, with priority strategies for women and children</w:t>
      </w:r>
      <w:r w:rsidR="00486154">
        <w:rPr>
          <w:rFonts w:cs="Arial"/>
        </w:rPr>
        <w:t>,</w:t>
      </w:r>
      <w:r w:rsidR="003E4E15">
        <w:rPr>
          <w:rFonts w:cs="Arial"/>
        </w:rPr>
        <w:t xml:space="preserve"> and</w:t>
      </w:r>
    </w:p>
    <w:p w14:paraId="243B1DBB" w14:textId="3CE5F2AD" w:rsidR="0072407D" w:rsidRPr="0072407D" w:rsidRDefault="0072407D" w:rsidP="000F1F4B">
      <w:pPr>
        <w:pStyle w:val="ListParagraph"/>
        <w:numPr>
          <w:ilvl w:val="3"/>
          <w:numId w:val="22"/>
        </w:numPr>
      </w:pPr>
      <w:r w:rsidRPr="0072407D">
        <w:t>prioritise early intervention and prevention initiatives that provide comprehensive support and protection from violence to vulnerable Indigenous populations</w:t>
      </w:r>
      <w:r w:rsidR="00486154">
        <w:t>,</w:t>
      </w:r>
      <w:r w:rsidRPr="0072407D">
        <w:t xml:space="preserve"> including women, children and the elderly.</w:t>
      </w:r>
    </w:p>
    <w:p w14:paraId="70B30BF5" w14:textId="1088BC00" w:rsidR="0049648D" w:rsidRDefault="005F7113" w:rsidP="0049648D">
      <w:pPr>
        <w:pStyle w:val="Heading2"/>
        <w:rPr>
          <w:lang w:eastAsia="en-GB"/>
        </w:rPr>
      </w:pPr>
      <w:bookmarkStart w:id="59" w:name="_Toc497148298"/>
      <w:r>
        <w:rPr>
          <w:color w:val="auto"/>
        </w:rPr>
        <w:t>Support</w:t>
      </w:r>
      <w:r w:rsidR="006762E6">
        <w:rPr>
          <w:color w:val="auto"/>
        </w:rPr>
        <w:t xml:space="preserve"> to human rights defenders and related bodies</w:t>
      </w:r>
      <w:r>
        <w:rPr>
          <w:color w:val="auto"/>
        </w:rPr>
        <w:t xml:space="preserve"> </w:t>
      </w:r>
      <w:r w:rsidRPr="00CF169B">
        <w:rPr>
          <w:color w:val="auto"/>
        </w:rPr>
        <w:t>(</w:t>
      </w:r>
      <w:r>
        <w:rPr>
          <w:color w:val="auto"/>
        </w:rPr>
        <w:t>CERD article 2</w:t>
      </w:r>
      <w:r w:rsidRPr="00CF169B">
        <w:rPr>
          <w:color w:val="auto"/>
        </w:rPr>
        <w:t>; CO 15</w:t>
      </w:r>
      <w:r w:rsidR="0086044F">
        <w:rPr>
          <w:color w:val="auto"/>
        </w:rPr>
        <w:t xml:space="preserve"> &amp; 19</w:t>
      </w:r>
      <w:r w:rsidRPr="00CF169B">
        <w:rPr>
          <w:color w:val="auto"/>
        </w:rPr>
        <w:t>)</w:t>
      </w:r>
      <w:bookmarkEnd w:id="59"/>
    </w:p>
    <w:p w14:paraId="5D4A1271" w14:textId="0EF06150" w:rsidR="005F7113" w:rsidRPr="00CF169B" w:rsidRDefault="00080827" w:rsidP="006F1D64">
      <w:pPr>
        <w:pStyle w:val="SubmissionNormal"/>
      </w:pPr>
      <w:r w:rsidRPr="00CF169B">
        <w:t xml:space="preserve">The </w:t>
      </w:r>
      <w:r>
        <w:t xml:space="preserve">Australian </w:t>
      </w:r>
      <w:r w:rsidRPr="00CF169B">
        <w:t xml:space="preserve">Government has provided </w:t>
      </w:r>
      <w:r>
        <w:t>some</w:t>
      </w:r>
      <w:r w:rsidRPr="00CF169B">
        <w:t xml:space="preserve"> funding support for</w:t>
      </w:r>
      <w:r w:rsidRPr="006F1D64">
        <w:t xml:space="preserve"> Aboriginal and Torres Strait Islander peak organisations</w:t>
      </w:r>
      <w:r>
        <w:t>. However, it has provided limited funding support to the</w:t>
      </w:r>
      <w:r w:rsidRPr="00CF169B">
        <w:t xml:space="preserve"> National</w:t>
      </w:r>
      <w:r w:rsidRPr="00CF169B">
        <w:rPr>
          <w:rStyle w:val="Hyperlink"/>
          <w:rFonts w:cs="Arial"/>
          <w:color w:val="auto"/>
          <w:u w:val="none"/>
        </w:rPr>
        <w:t xml:space="preserve"> Congress</w:t>
      </w:r>
      <w:r w:rsidRPr="00CF169B">
        <w:t xml:space="preserve"> of Australia’s First Peoples</w:t>
      </w:r>
      <w:r>
        <w:t xml:space="preserve"> despite it being a newly established national representative body.</w:t>
      </w:r>
      <w:r w:rsidRPr="00CF169B">
        <w:rPr>
          <w:rStyle w:val="EndnoteReference"/>
        </w:rPr>
        <w:endnoteReference w:id="127"/>
      </w:r>
      <w:r w:rsidRPr="00CF169B">
        <w:t xml:space="preserve"> </w:t>
      </w:r>
      <w:r w:rsidR="005F7113" w:rsidRPr="00CF169B">
        <w:t xml:space="preserve"> </w:t>
      </w:r>
    </w:p>
    <w:p w14:paraId="0E143AD0" w14:textId="53F1F266" w:rsidR="006762E6" w:rsidRDefault="005F7113" w:rsidP="0049648D">
      <w:pPr>
        <w:pStyle w:val="BodyText"/>
      </w:pPr>
      <w:r>
        <w:rPr>
          <w:rFonts w:cs="Arial"/>
        </w:rPr>
        <w:t xml:space="preserve">The Commission emphasises the importance of </w:t>
      </w:r>
      <w:r w:rsidR="00C01315">
        <w:rPr>
          <w:rFonts w:cs="Arial"/>
        </w:rPr>
        <w:t xml:space="preserve">Indigenous </w:t>
      </w:r>
      <w:r>
        <w:rPr>
          <w:rFonts w:cs="Arial"/>
        </w:rPr>
        <w:t>legal aid services to assisting Aboriginal and Torres Strait Islander people with legal issues in relation to their interactions with the criminal and civil justice systems.</w:t>
      </w:r>
    </w:p>
    <w:p w14:paraId="18211B6B" w14:textId="77777777" w:rsidR="005F7113" w:rsidRDefault="0049648D" w:rsidP="0049648D">
      <w:pPr>
        <w:pStyle w:val="BodyText"/>
      </w:pPr>
      <w:r w:rsidRPr="003E3E22">
        <w:t xml:space="preserve">The Special Rapporteur on the situation of human rights defenders </w:t>
      </w:r>
      <w:r w:rsidR="005F7113">
        <w:t>noted</w:t>
      </w:r>
      <w:r w:rsidRPr="003E3E22">
        <w:t xml:space="preserve"> that</w:t>
      </w:r>
      <w:r w:rsidR="005F7113">
        <w:t>:</w:t>
      </w:r>
    </w:p>
    <w:p w14:paraId="1FDE9970" w14:textId="633F5F3E" w:rsidR="0049648D" w:rsidRPr="005F7113" w:rsidRDefault="00A134B2" w:rsidP="005F7113">
      <w:pPr>
        <w:pStyle w:val="BodyText"/>
        <w:numPr>
          <w:ilvl w:val="0"/>
          <w:numId w:val="0"/>
        </w:numPr>
        <w:ind w:left="1440"/>
      </w:pPr>
      <w:r>
        <w:rPr>
          <w:sz w:val="22"/>
          <w:lang w:val="en-US"/>
        </w:rPr>
        <w:t>'</w:t>
      </w:r>
      <w:r w:rsidR="0049648D" w:rsidRPr="005F7113">
        <w:rPr>
          <w:sz w:val="22"/>
          <w:lang w:val="en-US"/>
        </w:rPr>
        <w:t xml:space="preserve">many indigenous human rights defenders still experience severe disadvantages compared with non-indigenous defenders. They are marginalised and unsupported by state and territory governments. This situation is compounded by the tendency of the central government to use the </w:t>
      </w:r>
      <w:r w:rsidR="0049648D" w:rsidRPr="005F7113">
        <w:rPr>
          <w:sz w:val="22"/>
          <w:lang w:val="en-US"/>
        </w:rPr>
        <w:lastRenderedPageBreak/>
        <w:t>federal system as limitation on its ability to exercise responsibility for supporting indigenous rights defenders</w:t>
      </w:r>
      <w:r>
        <w:rPr>
          <w:sz w:val="22"/>
          <w:lang w:val="en-US"/>
        </w:rPr>
        <w:t>’</w:t>
      </w:r>
      <w:r w:rsidR="0049648D" w:rsidRPr="005F7113">
        <w:rPr>
          <w:sz w:val="22"/>
          <w:lang w:val="en-US"/>
        </w:rPr>
        <w:t>.</w:t>
      </w:r>
      <w:r w:rsidR="0049648D" w:rsidRPr="003E3E22">
        <w:rPr>
          <w:rStyle w:val="EndnoteReference"/>
          <w:rFonts w:cs="Arial"/>
          <w:sz w:val="24"/>
          <w:lang w:val="en-US"/>
        </w:rPr>
        <w:endnoteReference w:id="128"/>
      </w:r>
    </w:p>
    <w:p w14:paraId="627B45C2" w14:textId="44AA3054" w:rsidR="005F7113" w:rsidRPr="00CF169B" w:rsidRDefault="005F7113" w:rsidP="006F1D64">
      <w:pPr>
        <w:pStyle w:val="ListParagraph"/>
      </w:pPr>
      <w:r w:rsidRPr="00CF169B">
        <w:t xml:space="preserve">That the Australian Government provide adequate ongoing funding </w:t>
      </w:r>
      <w:r w:rsidRPr="00CF169B">
        <w:rPr>
          <w:rFonts w:cs="Arial"/>
        </w:rPr>
        <w:t>of</w:t>
      </w:r>
      <w:r w:rsidRPr="00CF169B">
        <w:t xml:space="preserve"> the </w:t>
      </w:r>
      <w:r w:rsidR="006F1D64" w:rsidRPr="006F1D64">
        <w:t>Aboriginal and Torres Strait Islander peak organisations</w:t>
      </w:r>
      <w:r>
        <w:t xml:space="preserve"> and </w:t>
      </w:r>
      <w:r w:rsidR="00080827">
        <w:t>for</w:t>
      </w:r>
      <w:r>
        <w:t xml:space="preserve"> Indigenous legal assistance.</w:t>
      </w:r>
    </w:p>
    <w:p w14:paraId="62AE0CE3" w14:textId="41FBFB07" w:rsidR="00532B69" w:rsidRPr="00317B47" w:rsidRDefault="00B61062" w:rsidP="00317B47">
      <w:pPr>
        <w:pStyle w:val="Heading2"/>
        <w:rPr>
          <w:color w:val="auto"/>
        </w:rPr>
      </w:pPr>
      <w:bookmarkStart w:id="60" w:name="_Toc497148299"/>
      <w:r>
        <w:rPr>
          <w:color w:val="auto"/>
        </w:rPr>
        <w:t>Cultural rights (native title)</w:t>
      </w:r>
      <w:r w:rsidR="00317B47" w:rsidRPr="00317B47">
        <w:rPr>
          <w:color w:val="auto"/>
        </w:rPr>
        <w:t xml:space="preserve"> (</w:t>
      </w:r>
      <w:r w:rsidR="00F10670">
        <w:rPr>
          <w:color w:val="auto"/>
        </w:rPr>
        <w:t>CERD</w:t>
      </w:r>
      <w:r w:rsidR="003E3E22">
        <w:rPr>
          <w:color w:val="auto"/>
        </w:rPr>
        <w:t xml:space="preserve"> articles 2, 5</w:t>
      </w:r>
      <w:r w:rsidR="00317B47" w:rsidRPr="00317B47">
        <w:rPr>
          <w:color w:val="auto"/>
        </w:rPr>
        <w:t xml:space="preserve">; </w:t>
      </w:r>
      <w:r w:rsidR="003E3E22">
        <w:rPr>
          <w:color w:val="auto"/>
        </w:rPr>
        <w:t xml:space="preserve">Declaration articles 3, 10, 11, 20, 25, 26, 27, 28, 29, 32; </w:t>
      </w:r>
      <w:r w:rsidR="00317B47" w:rsidRPr="00317B47">
        <w:rPr>
          <w:color w:val="auto"/>
        </w:rPr>
        <w:t>CO 16 &amp; 18)</w:t>
      </w:r>
      <w:bookmarkEnd w:id="60"/>
    </w:p>
    <w:p w14:paraId="4A315521" w14:textId="12CB2F13" w:rsidR="00532B69" w:rsidRPr="00B61062" w:rsidRDefault="00532B69" w:rsidP="00532B69">
      <w:pPr>
        <w:pStyle w:val="SubmissionNormal"/>
        <w:tabs>
          <w:tab w:val="clear" w:pos="720"/>
        </w:tabs>
      </w:pPr>
      <w:r w:rsidRPr="00B61062">
        <w:rPr>
          <w:rFonts w:cs="Arial"/>
        </w:rPr>
        <w:t>The Commission welcomes recent initiatives</w:t>
      </w:r>
      <w:r w:rsidRPr="00B61062">
        <w:rPr>
          <w:lang w:val="en"/>
        </w:rPr>
        <w:t xml:space="preserve"> t</w:t>
      </w:r>
      <w:r w:rsidRPr="00B61062">
        <w:rPr>
          <w:rFonts w:cs="Arial"/>
        </w:rPr>
        <w:t xml:space="preserve">o </w:t>
      </w:r>
      <w:r w:rsidRPr="00B61062">
        <w:rPr>
          <w:lang w:val="en"/>
        </w:rPr>
        <w:t xml:space="preserve">address barriers to </w:t>
      </w:r>
      <w:r w:rsidR="00F5597E" w:rsidRPr="00B61062">
        <w:rPr>
          <w:lang w:val="en"/>
        </w:rPr>
        <w:t xml:space="preserve">the </w:t>
      </w:r>
      <w:r w:rsidRPr="00B61062">
        <w:rPr>
          <w:lang w:val="en"/>
        </w:rPr>
        <w:t>recognition of native title and challenges to enabling Indigenous-led devel</w:t>
      </w:r>
      <w:r w:rsidR="004F4513" w:rsidRPr="00B61062">
        <w:rPr>
          <w:lang w:val="en"/>
        </w:rPr>
        <w:t>opment on the Indigenous Estate, such</w:t>
      </w:r>
      <w:r w:rsidR="000542D6">
        <w:rPr>
          <w:lang w:val="en"/>
        </w:rPr>
        <w:t xml:space="preserve"> as</w:t>
      </w:r>
      <w:r w:rsidR="004F4513" w:rsidRPr="00B61062">
        <w:rPr>
          <w:lang w:val="en"/>
        </w:rPr>
        <w:t xml:space="preserve"> </w:t>
      </w:r>
      <w:r w:rsidR="004F4513" w:rsidRPr="00B61062">
        <w:t>COAG’s Investigation into Indigenous Land Administration and Use</w:t>
      </w:r>
      <w:r w:rsidR="004F4513" w:rsidRPr="00B61062">
        <w:rPr>
          <w:sz w:val="20"/>
          <w:vertAlign w:val="superscript"/>
        </w:rPr>
        <w:endnoteReference w:id="129"/>
      </w:r>
      <w:r w:rsidR="004F4513" w:rsidRPr="00B61062">
        <w:t xml:space="preserve"> and the ALRC’s </w:t>
      </w:r>
      <w:r w:rsidR="00484E57" w:rsidRPr="00B61062">
        <w:t>r</w:t>
      </w:r>
      <w:r w:rsidR="004F4513" w:rsidRPr="00B61062">
        <w:t>eview of the</w:t>
      </w:r>
      <w:r w:rsidR="004F4513" w:rsidRPr="00B61062">
        <w:rPr>
          <w:i/>
        </w:rPr>
        <w:t xml:space="preserve"> Native Title Act 1993</w:t>
      </w:r>
      <w:r w:rsidR="004F4513" w:rsidRPr="00B61062">
        <w:t xml:space="preserve"> (Cth).</w:t>
      </w:r>
      <w:r w:rsidR="004F4513" w:rsidRPr="00B61062">
        <w:rPr>
          <w:sz w:val="20"/>
          <w:vertAlign w:val="superscript"/>
        </w:rPr>
        <w:endnoteReference w:id="130"/>
      </w:r>
    </w:p>
    <w:p w14:paraId="619BA5B5" w14:textId="64A306B2" w:rsidR="00532B69" w:rsidRPr="00B61062" w:rsidRDefault="00532B69" w:rsidP="00532B69">
      <w:pPr>
        <w:pStyle w:val="SubmissionNormal"/>
      </w:pPr>
      <w:r w:rsidRPr="00B61062">
        <w:t>The</w:t>
      </w:r>
      <w:r w:rsidR="00E37ED0">
        <w:t xml:space="preserve"> Australian</w:t>
      </w:r>
      <w:r w:rsidRPr="00B61062">
        <w:t xml:space="preserve"> Government has released a White Paper on the development of </w:t>
      </w:r>
      <w:r w:rsidR="00484E57" w:rsidRPr="00B61062">
        <w:t>n</w:t>
      </w:r>
      <w:r w:rsidRPr="00B61062">
        <w:t xml:space="preserve">orthern Australia. Significant tranches of land in </w:t>
      </w:r>
      <w:r w:rsidR="00484E57" w:rsidRPr="00B61062">
        <w:t>n</w:t>
      </w:r>
      <w:r w:rsidRPr="00B61062">
        <w:t>orthern Australia (Western Australia, Queensland and the Northern Territory) are held by Aboriginal and Torres Strait Islander peoples</w:t>
      </w:r>
      <w:r w:rsidR="00930B30" w:rsidRPr="00B61062">
        <w:t>.</w:t>
      </w:r>
      <w:r w:rsidRPr="00B61062">
        <w:t xml:space="preserve"> </w:t>
      </w:r>
      <w:r w:rsidR="00930B30" w:rsidRPr="00B61062">
        <w:t xml:space="preserve">Serious </w:t>
      </w:r>
      <w:r w:rsidRPr="00B61062">
        <w:t xml:space="preserve">concerns have been raised about the extent of </w:t>
      </w:r>
      <w:r w:rsidR="00930B30" w:rsidRPr="00B61062">
        <w:t xml:space="preserve">genuine </w:t>
      </w:r>
      <w:r w:rsidRPr="00B61062">
        <w:t>engagement</w:t>
      </w:r>
      <w:r w:rsidR="00930B30" w:rsidRPr="00B61062">
        <w:t xml:space="preserve"> by governments</w:t>
      </w:r>
      <w:r w:rsidRPr="00B61062">
        <w:t xml:space="preserve"> with these land holders</w:t>
      </w:r>
      <w:r w:rsidR="00930B30" w:rsidRPr="00B61062">
        <w:t xml:space="preserve"> on issues that affect them and the effectiveness of laws for the protection and management of Indigenous heritage sites and knowledge</w:t>
      </w:r>
      <w:r w:rsidRPr="00B61062">
        <w:t>.</w:t>
      </w:r>
      <w:r w:rsidR="005A19DD" w:rsidRPr="00B61062">
        <w:rPr>
          <w:rStyle w:val="EndnoteReference"/>
        </w:rPr>
        <w:endnoteReference w:id="131"/>
      </w:r>
      <w:r w:rsidRPr="00B61062">
        <w:t xml:space="preserve"> </w:t>
      </w:r>
    </w:p>
    <w:p w14:paraId="11B277B8" w14:textId="398CFAB2" w:rsidR="00532B69" w:rsidRPr="00B61062" w:rsidRDefault="00532B69" w:rsidP="00B61062">
      <w:pPr>
        <w:pStyle w:val="ListParagraph"/>
      </w:pPr>
      <w:r w:rsidRPr="00B61062">
        <w:t xml:space="preserve">That the </w:t>
      </w:r>
      <w:r w:rsidR="00C72D0D" w:rsidRPr="00B61062">
        <w:t xml:space="preserve">Australian </w:t>
      </w:r>
      <w:r w:rsidR="00B61062" w:rsidRPr="00B61062">
        <w:t xml:space="preserve">Government </w:t>
      </w:r>
      <w:r w:rsidR="00BC081D" w:rsidRPr="00B61062">
        <w:t>e</w:t>
      </w:r>
      <w:r w:rsidR="00251241" w:rsidRPr="00B61062">
        <w:t xml:space="preserve">nsure that any reforms that affect </w:t>
      </w:r>
      <w:r w:rsidRPr="00B61062">
        <w:t>Aboriginal and Torres Strait Islander peoples</w:t>
      </w:r>
      <w:r w:rsidR="00213E00" w:rsidRPr="00B61062">
        <w:t>’</w:t>
      </w:r>
      <w:r w:rsidRPr="00B61062">
        <w:t xml:space="preserve"> lands are undertaken with their </w:t>
      </w:r>
      <w:r w:rsidR="000542D6">
        <w:t xml:space="preserve">participation and </w:t>
      </w:r>
      <w:r w:rsidRPr="00B61062">
        <w:t>free, prior and informed consent</w:t>
      </w:r>
      <w:r w:rsidR="00D91CCD" w:rsidRPr="00B61062">
        <w:t>.</w:t>
      </w:r>
    </w:p>
    <w:p w14:paraId="61C5C7B8" w14:textId="755EEAD9" w:rsidR="00532B69" w:rsidRPr="00B61062" w:rsidRDefault="00B61062" w:rsidP="00B61062">
      <w:pPr>
        <w:pStyle w:val="ListParagraph"/>
      </w:pPr>
      <w:r w:rsidRPr="00B61062">
        <w:t xml:space="preserve">That the Australian Government </w:t>
      </w:r>
      <w:r w:rsidR="00514832" w:rsidRPr="00B61062">
        <w:t>i</w:t>
      </w:r>
      <w:r w:rsidR="00532B69" w:rsidRPr="00B61062">
        <w:t xml:space="preserve">mplement the recommendations of the ALRC’s Connection to Country Review of the </w:t>
      </w:r>
      <w:r w:rsidR="00532B69" w:rsidRPr="00B61062">
        <w:rPr>
          <w:i/>
        </w:rPr>
        <w:t>Native Title Act 1993</w:t>
      </w:r>
      <w:r w:rsidR="00532B69" w:rsidRPr="00B61062">
        <w:t xml:space="preserve"> (Cth) and the </w:t>
      </w:r>
      <w:r w:rsidR="00213E00" w:rsidRPr="00B61062">
        <w:rPr>
          <w:rFonts w:cs="Arial"/>
          <w:iCs/>
        </w:rPr>
        <w:t>Council of Australian Governments’</w:t>
      </w:r>
      <w:r w:rsidR="00532B69" w:rsidRPr="00B61062">
        <w:t xml:space="preserve"> Investigation into Indigenous Land Administration and Use in order to better recognise and protect Aboriginal and Torres Strait Islander peoples’ native title rights and interests</w:t>
      </w:r>
      <w:r w:rsidR="008A67D5" w:rsidRPr="00B61062">
        <w:t>.</w:t>
      </w:r>
    </w:p>
    <w:p w14:paraId="3DE3DA47" w14:textId="063104A0" w:rsidR="00532B69" w:rsidRDefault="00B61062" w:rsidP="00B61062">
      <w:pPr>
        <w:pStyle w:val="ListParagraph"/>
      </w:pPr>
      <w:r w:rsidRPr="00B61062">
        <w:t xml:space="preserve">That the Australian Government </w:t>
      </w:r>
      <w:r w:rsidR="00514832" w:rsidRPr="00B61062">
        <w:t>e</w:t>
      </w:r>
      <w:r w:rsidR="00532B69" w:rsidRPr="00B61062">
        <w:t xml:space="preserve">nsure that Aboriginal and Torres Strait Islander peoples’ rights to their traditional estates are not negatively </w:t>
      </w:r>
      <w:r w:rsidR="00D91CCD" w:rsidRPr="00B61062">
        <w:t xml:space="preserve">affected </w:t>
      </w:r>
      <w:r w:rsidR="00532B69" w:rsidRPr="00B61062">
        <w:t>by the</w:t>
      </w:r>
      <w:r w:rsidR="00DE1309" w:rsidRPr="00B61062">
        <w:t xml:space="preserve"> development of </w:t>
      </w:r>
      <w:r w:rsidR="007C61A0" w:rsidRPr="00B61062">
        <w:t>n</w:t>
      </w:r>
      <w:r w:rsidR="00DE1309" w:rsidRPr="00B61062">
        <w:t>orthern Australia.</w:t>
      </w:r>
    </w:p>
    <w:p w14:paraId="288CF8B1" w14:textId="6FABCDF9" w:rsidR="00B61062" w:rsidRPr="00317B47" w:rsidRDefault="00C52BE0" w:rsidP="00B61062">
      <w:pPr>
        <w:pStyle w:val="Heading2"/>
        <w:rPr>
          <w:color w:val="auto"/>
        </w:rPr>
      </w:pPr>
      <w:bookmarkStart w:id="61" w:name="_Toc497148300"/>
      <w:r>
        <w:rPr>
          <w:color w:val="auto"/>
        </w:rPr>
        <w:t>Closing the Gap Strategy</w:t>
      </w:r>
      <w:r w:rsidR="00B61062" w:rsidRPr="00317B47">
        <w:rPr>
          <w:color w:val="auto"/>
        </w:rPr>
        <w:t xml:space="preserve"> (</w:t>
      </w:r>
      <w:r w:rsidR="00F10670">
        <w:rPr>
          <w:color w:val="auto"/>
        </w:rPr>
        <w:t>CERD</w:t>
      </w:r>
      <w:r w:rsidR="00B61062" w:rsidRPr="00317B47">
        <w:rPr>
          <w:color w:val="auto"/>
        </w:rPr>
        <w:t xml:space="preserve"> article </w:t>
      </w:r>
      <w:r w:rsidR="00B942DB">
        <w:rPr>
          <w:color w:val="auto"/>
        </w:rPr>
        <w:t>5</w:t>
      </w:r>
      <w:r w:rsidR="00B61062" w:rsidRPr="00317B47">
        <w:rPr>
          <w:color w:val="auto"/>
        </w:rPr>
        <w:t xml:space="preserve">; </w:t>
      </w:r>
      <w:r w:rsidR="00B942DB">
        <w:rPr>
          <w:color w:val="auto"/>
        </w:rPr>
        <w:t xml:space="preserve">Declaration articles 3, 4, 13, 14, 19, 21, 23 &amp; 24; </w:t>
      </w:r>
      <w:r w:rsidR="00B61062" w:rsidRPr="00317B47">
        <w:rPr>
          <w:color w:val="auto"/>
        </w:rPr>
        <w:t xml:space="preserve">CO </w:t>
      </w:r>
      <w:r w:rsidR="00B942DB">
        <w:rPr>
          <w:color w:val="auto"/>
        </w:rPr>
        <w:t>21 &amp; 22</w:t>
      </w:r>
      <w:r w:rsidR="00B61062" w:rsidRPr="00317B47">
        <w:rPr>
          <w:color w:val="auto"/>
        </w:rPr>
        <w:t>)</w:t>
      </w:r>
      <w:bookmarkEnd w:id="61"/>
    </w:p>
    <w:p w14:paraId="2A209660" w14:textId="6DFEA96B" w:rsidR="00C52BE0" w:rsidRDefault="009E01A9" w:rsidP="006E2654">
      <w:pPr>
        <w:pStyle w:val="SubmissionNormal"/>
        <w:tabs>
          <w:tab w:val="clear" w:pos="720"/>
        </w:tabs>
      </w:pPr>
      <w:r w:rsidRPr="00CF763C">
        <w:rPr>
          <w:lang w:val="en-NZ"/>
        </w:rPr>
        <w:t>The Commission welcomes the</w:t>
      </w:r>
      <w:r w:rsidR="00CF763C">
        <w:rPr>
          <w:lang w:val="en-NZ"/>
        </w:rPr>
        <w:t xml:space="preserve"> targets in </w:t>
      </w:r>
      <w:r w:rsidR="000542D6">
        <w:rPr>
          <w:lang w:val="en-NZ"/>
        </w:rPr>
        <w:t xml:space="preserve">the </w:t>
      </w:r>
      <w:r w:rsidR="00CF763C">
        <w:rPr>
          <w:lang w:val="en-NZ"/>
        </w:rPr>
        <w:t xml:space="preserve">Australian Government’s </w:t>
      </w:r>
      <w:r w:rsidR="00C52BE0">
        <w:t>Closing the Gap strategy</w:t>
      </w:r>
      <w:r w:rsidR="00CF763C">
        <w:t>. These targets are</w:t>
      </w:r>
      <w:r w:rsidR="00C52BE0">
        <w:t>:</w:t>
      </w:r>
    </w:p>
    <w:p w14:paraId="1302A384" w14:textId="7AFA09BD" w:rsidR="00C52BE0" w:rsidRDefault="00C52BE0" w:rsidP="00093FDF">
      <w:pPr>
        <w:pStyle w:val="SubmissionNormal"/>
        <w:numPr>
          <w:ilvl w:val="2"/>
          <w:numId w:val="15"/>
        </w:numPr>
        <w:ind w:hanging="181"/>
        <w:contextualSpacing/>
      </w:pPr>
      <w:r>
        <w:t>to halve the gap in child mortality by 201</w:t>
      </w:r>
      <w:r w:rsidR="000542D6">
        <w:t>8</w:t>
      </w:r>
      <w:r>
        <w:t xml:space="preserve"> </w:t>
      </w:r>
    </w:p>
    <w:p w14:paraId="3CB5E79C" w14:textId="34A65327" w:rsidR="00C52BE0" w:rsidRDefault="00C52BE0" w:rsidP="00093FDF">
      <w:pPr>
        <w:pStyle w:val="SubmissionNormal"/>
        <w:numPr>
          <w:ilvl w:val="2"/>
          <w:numId w:val="15"/>
        </w:numPr>
        <w:ind w:hanging="181"/>
        <w:contextualSpacing/>
      </w:pPr>
      <w:r>
        <w:t xml:space="preserve">to close the gap in life expectancy by 2031 </w:t>
      </w:r>
    </w:p>
    <w:p w14:paraId="7F7001F7" w14:textId="2F943B56" w:rsidR="00C52BE0" w:rsidRDefault="00C52BE0" w:rsidP="00093FDF">
      <w:pPr>
        <w:pStyle w:val="SubmissionNormal"/>
        <w:numPr>
          <w:ilvl w:val="2"/>
          <w:numId w:val="15"/>
        </w:numPr>
        <w:ind w:hanging="181"/>
        <w:contextualSpacing/>
      </w:pPr>
      <w:r>
        <w:t>to have 85% of all Indigenous four-year-olds enrolled in ear</w:t>
      </w:r>
      <w:r w:rsidR="000542D6">
        <w:t>ly childhood education by 2025</w:t>
      </w:r>
    </w:p>
    <w:p w14:paraId="1F82ABC9" w14:textId="01DB16AC" w:rsidR="00C52BE0" w:rsidRDefault="00C52BE0" w:rsidP="00093FDF">
      <w:pPr>
        <w:pStyle w:val="SubmissionNormal"/>
        <w:numPr>
          <w:ilvl w:val="2"/>
          <w:numId w:val="15"/>
        </w:numPr>
        <w:ind w:hanging="181"/>
        <w:contextualSpacing/>
      </w:pPr>
      <w:r>
        <w:lastRenderedPageBreak/>
        <w:t>to close the gap in school</w:t>
      </w:r>
      <w:r w:rsidR="000542D6">
        <w:t xml:space="preserve"> attendance by the end of 2018</w:t>
      </w:r>
    </w:p>
    <w:p w14:paraId="5F4982A0" w14:textId="17B00860" w:rsidR="00C52BE0" w:rsidRDefault="00C52BE0" w:rsidP="00093FDF">
      <w:pPr>
        <w:pStyle w:val="SubmissionNormal"/>
        <w:numPr>
          <w:ilvl w:val="2"/>
          <w:numId w:val="15"/>
        </w:numPr>
        <w:ind w:hanging="181"/>
        <w:contextualSpacing/>
      </w:pPr>
      <w:r>
        <w:t>to halve the gap in reading an</w:t>
      </w:r>
      <w:r w:rsidR="006D0718">
        <w:t>d</w:t>
      </w:r>
      <w:r>
        <w:t xml:space="preserve"> numeracy for Indigenou</w:t>
      </w:r>
      <w:r w:rsidR="000542D6">
        <w:t>s students by 2018</w:t>
      </w:r>
    </w:p>
    <w:p w14:paraId="5C88F01E" w14:textId="2E6C6590" w:rsidR="00C52BE0" w:rsidRDefault="00C52BE0" w:rsidP="00093FDF">
      <w:pPr>
        <w:pStyle w:val="SubmissionNormal"/>
        <w:numPr>
          <w:ilvl w:val="2"/>
          <w:numId w:val="15"/>
        </w:numPr>
        <w:ind w:hanging="181"/>
        <w:contextualSpacing/>
      </w:pPr>
      <w:r>
        <w:t>to have the gap</w:t>
      </w:r>
      <w:r w:rsidR="000542D6">
        <w:t xml:space="preserve"> in Year 12 attainment by 2020, </w:t>
      </w:r>
      <w:r>
        <w:t xml:space="preserve">and </w:t>
      </w:r>
    </w:p>
    <w:p w14:paraId="261E2833" w14:textId="198E1F43" w:rsidR="00C52BE0" w:rsidRDefault="00C52BE0" w:rsidP="00093FDF">
      <w:pPr>
        <w:pStyle w:val="SubmissionNormal"/>
        <w:numPr>
          <w:ilvl w:val="2"/>
          <w:numId w:val="15"/>
        </w:numPr>
        <w:ind w:hanging="181"/>
        <w:contextualSpacing/>
      </w:pPr>
      <w:r>
        <w:t>to halve the gap in employment by 2018.</w:t>
      </w:r>
      <w:r w:rsidRPr="00C52BE0">
        <w:rPr>
          <w:rStyle w:val="EndnoteReference"/>
          <w:rFonts w:cs="Arial"/>
          <w:color w:val="000000"/>
          <w:shd w:val="clear" w:color="auto" w:fill="FFFFFF"/>
        </w:rPr>
        <w:t xml:space="preserve"> </w:t>
      </w:r>
      <w:r>
        <w:rPr>
          <w:rStyle w:val="EndnoteReference"/>
          <w:rFonts w:cs="Arial"/>
          <w:color w:val="000000"/>
          <w:shd w:val="clear" w:color="auto" w:fill="FFFFFF"/>
        </w:rPr>
        <w:endnoteReference w:id="132"/>
      </w:r>
      <w:r>
        <w:t xml:space="preserve"> </w:t>
      </w:r>
    </w:p>
    <w:p w14:paraId="7C5208D4" w14:textId="77777777" w:rsidR="00093FDF" w:rsidRPr="00D70537" w:rsidRDefault="00093FDF" w:rsidP="00093FDF">
      <w:pPr>
        <w:pStyle w:val="SubmissionNormal"/>
        <w:numPr>
          <w:ilvl w:val="0"/>
          <w:numId w:val="0"/>
        </w:numPr>
        <w:ind w:left="1451"/>
        <w:contextualSpacing/>
      </w:pPr>
    </w:p>
    <w:p w14:paraId="40EB8756" w14:textId="0A6004A3" w:rsidR="009E01A9" w:rsidRPr="00564C36" w:rsidRDefault="00C52BE0" w:rsidP="009E01A9">
      <w:pPr>
        <w:pStyle w:val="SubmissionNormal"/>
        <w:tabs>
          <w:tab w:val="clear" w:pos="720"/>
        </w:tabs>
      </w:pPr>
      <w:r>
        <w:rPr>
          <w:lang w:val="en-NZ"/>
        </w:rPr>
        <w:t>The Commission notes that only the target to halve the gap in year 12 attainment rates is on track; the other s</w:t>
      </w:r>
      <w:r w:rsidR="009E01A9" w:rsidRPr="00717295">
        <w:rPr>
          <w:rFonts w:cs="Arial"/>
          <w:color w:val="000000"/>
          <w:shd w:val="clear" w:color="auto" w:fill="FFFFFF"/>
        </w:rPr>
        <w:t>ix</w:t>
      </w:r>
      <w:r>
        <w:rPr>
          <w:rFonts w:cs="Arial"/>
          <w:color w:val="000000"/>
          <w:shd w:val="clear" w:color="auto" w:fill="FFFFFF"/>
        </w:rPr>
        <w:t xml:space="preserve"> targets were </w:t>
      </w:r>
      <w:r w:rsidR="009E01A9">
        <w:rPr>
          <w:rFonts w:cs="Arial"/>
          <w:color w:val="000000"/>
          <w:shd w:val="clear" w:color="auto" w:fill="FFFFFF"/>
        </w:rPr>
        <w:t xml:space="preserve">either </w:t>
      </w:r>
      <w:r w:rsidR="009E01A9" w:rsidRPr="00717295">
        <w:rPr>
          <w:rFonts w:cs="Arial"/>
          <w:color w:val="000000"/>
          <w:shd w:val="clear" w:color="auto" w:fill="FFFFFF"/>
        </w:rPr>
        <w:t>not on track</w:t>
      </w:r>
      <w:r w:rsidR="009E01A9">
        <w:rPr>
          <w:rFonts w:cs="Arial"/>
          <w:color w:val="000000"/>
          <w:shd w:val="clear" w:color="auto" w:fill="FFFFFF"/>
        </w:rPr>
        <w:t xml:space="preserve"> or stalled</w:t>
      </w:r>
      <w:r w:rsidR="009E01A9" w:rsidRPr="00717295">
        <w:rPr>
          <w:rFonts w:cs="Arial"/>
          <w:color w:val="000000"/>
          <w:shd w:val="clear" w:color="auto" w:fill="FFFFFF"/>
        </w:rPr>
        <w:t xml:space="preserve"> </w:t>
      </w:r>
      <w:r w:rsidR="009E01A9">
        <w:rPr>
          <w:rFonts w:cs="Arial"/>
          <w:color w:val="000000"/>
          <w:shd w:val="clear" w:color="auto" w:fill="FFFFFF"/>
        </w:rPr>
        <w:t>this year.</w:t>
      </w:r>
      <w:r w:rsidR="009E01A9">
        <w:rPr>
          <w:rStyle w:val="EndnoteReference"/>
          <w:rFonts w:cs="Arial"/>
          <w:color w:val="000000"/>
          <w:shd w:val="clear" w:color="auto" w:fill="FFFFFF"/>
        </w:rPr>
        <w:endnoteReference w:id="133"/>
      </w:r>
      <w:r>
        <w:rPr>
          <w:rFonts w:cs="Arial"/>
          <w:color w:val="000000"/>
          <w:shd w:val="clear" w:color="auto" w:fill="FFFFFF"/>
        </w:rPr>
        <w:t xml:space="preserve">  </w:t>
      </w:r>
    </w:p>
    <w:p w14:paraId="26B3B5F3" w14:textId="3FD61544" w:rsidR="009E01A9" w:rsidRDefault="00C52BE0" w:rsidP="009E01A9">
      <w:pPr>
        <w:pStyle w:val="SubmissionNormal"/>
        <w:tabs>
          <w:tab w:val="clear" w:pos="720"/>
        </w:tabs>
      </w:pPr>
      <w:r>
        <w:t>The Commission commends the Australian Government’s commitment to the</w:t>
      </w:r>
      <w:r w:rsidR="009E01A9">
        <w:t xml:space="preserve"> Implementation Plan for the National Aboriginal and Torres S</w:t>
      </w:r>
      <w:r w:rsidR="000542D6">
        <w:t>trait Islander Health Plan 2013–</w:t>
      </w:r>
      <w:r w:rsidR="009E01A9">
        <w:t>2023,</w:t>
      </w:r>
      <w:r w:rsidR="009E01A9">
        <w:rPr>
          <w:rStyle w:val="EndnoteReference"/>
        </w:rPr>
        <w:endnoteReference w:id="134"/>
      </w:r>
      <w:r>
        <w:t xml:space="preserve"> a human</w:t>
      </w:r>
      <w:r w:rsidR="006D0718">
        <w:t xml:space="preserve"> </w:t>
      </w:r>
      <w:r>
        <w:t>rights</w:t>
      </w:r>
      <w:r w:rsidR="006D0718">
        <w:t>-</w:t>
      </w:r>
      <w:r>
        <w:t>based approach to improving the health of Indigenous peoples d</w:t>
      </w:r>
      <w:r w:rsidR="009E01A9">
        <w:t xml:space="preserve">eveloped in partnership with </w:t>
      </w:r>
      <w:r w:rsidR="00ED57F6">
        <w:t xml:space="preserve">Indigenous </w:t>
      </w:r>
      <w:r w:rsidR="009E01A9">
        <w:t>peak bodies. Future federal Budgets must adequately resource its application and operation to ensure that rights are progressively realised.</w:t>
      </w:r>
    </w:p>
    <w:p w14:paraId="29A7D377" w14:textId="70396AB0" w:rsidR="00B942DB" w:rsidRDefault="00B942DB" w:rsidP="009E01A9">
      <w:pPr>
        <w:pStyle w:val="SubmissionNormal"/>
        <w:tabs>
          <w:tab w:val="clear" w:pos="720"/>
        </w:tabs>
      </w:pPr>
      <w:r w:rsidRPr="00B97640">
        <w:t xml:space="preserve">The Special Rapporteur on racial discrimination expressed concern about the disparity in employment rates between </w:t>
      </w:r>
      <w:r w:rsidR="006D0718">
        <w:t>I</w:t>
      </w:r>
      <w:r w:rsidRPr="00B97640">
        <w:t>ndigenous and non-</w:t>
      </w:r>
      <w:r w:rsidR="006D0718">
        <w:t>I</w:t>
      </w:r>
      <w:r w:rsidRPr="00B97640">
        <w:t>ndigenous Australians, particularly that Indigenous Australians are three times more likely to be unemployed that non-</w:t>
      </w:r>
      <w:r w:rsidR="006F1AFF">
        <w:t>I</w:t>
      </w:r>
      <w:r w:rsidRPr="00B97640">
        <w:t>ndigenous peoples.</w:t>
      </w:r>
      <w:r w:rsidRPr="00B97640">
        <w:rPr>
          <w:rStyle w:val="EndnoteReference"/>
        </w:rPr>
        <w:t xml:space="preserve"> </w:t>
      </w:r>
      <w:r w:rsidRPr="00B97640">
        <w:rPr>
          <w:rStyle w:val="EndnoteReference"/>
        </w:rPr>
        <w:endnoteReference w:id="135"/>
      </w:r>
    </w:p>
    <w:p w14:paraId="218B3097" w14:textId="5C0793B1" w:rsidR="00B61062" w:rsidRPr="00B61062" w:rsidRDefault="009E01A9" w:rsidP="009E01A9">
      <w:pPr>
        <w:pStyle w:val="ListParagraph"/>
      </w:pPr>
      <w:r>
        <w:t xml:space="preserve">That all Australian governments </w:t>
      </w:r>
      <w:r w:rsidR="000542D6">
        <w:t>increase</w:t>
      </w:r>
      <w:r>
        <w:t xml:space="preserve"> their efforts to achi</w:t>
      </w:r>
      <w:r w:rsidR="000061ED">
        <w:t>eve the Closing the Gap targets</w:t>
      </w:r>
      <w:r>
        <w:t>.</w:t>
      </w:r>
    </w:p>
    <w:p w14:paraId="26D9BDCB" w14:textId="639D2463" w:rsidR="00C62917" w:rsidRDefault="00C52BE0" w:rsidP="00C62917">
      <w:pPr>
        <w:pStyle w:val="Heading2"/>
        <w:rPr>
          <w:color w:val="auto"/>
        </w:rPr>
      </w:pPr>
      <w:bookmarkStart w:id="62" w:name="_Toc497148301"/>
      <w:r>
        <w:rPr>
          <w:color w:val="auto"/>
        </w:rPr>
        <w:t>Compulsory i</w:t>
      </w:r>
      <w:r w:rsidR="00C62917" w:rsidRPr="00C62917">
        <w:rPr>
          <w:color w:val="auto"/>
        </w:rPr>
        <w:t>ncome management schemes (</w:t>
      </w:r>
      <w:r w:rsidR="00F10670">
        <w:rPr>
          <w:color w:val="auto"/>
        </w:rPr>
        <w:t>CERD</w:t>
      </w:r>
      <w:r w:rsidR="00C62917" w:rsidRPr="00C62917">
        <w:rPr>
          <w:color w:val="auto"/>
        </w:rPr>
        <w:t xml:space="preserve"> article </w:t>
      </w:r>
      <w:r w:rsidR="004D26ED">
        <w:rPr>
          <w:color w:val="auto"/>
        </w:rPr>
        <w:t>5</w:t>
      </w:r>
      <w:r w:rsidR="00C62917" w:rsidRPr="00C62917">
        <w:rPr>
          <w:color w:val="auto"/>
        </w:rPr>
        <w:t xml:space="preserve">; </w:t>
      </w:r>
      <w:r w:rsidR="00E773DD">
        <w:rPr>
          <w:color w:val="auto"/>
        </w:rPr>
        <w:t xml:space="preserve">Declaration article 8; </w:t>
      </w:r>
      <w:r w:rsidR="00C62917" w:rsidRPr="00C62917">
        <w:rPr>
          <w:color w:val="auto"/>
        </w:rPr>
        <w:t>CO 16)</w:t>
      </w:r>
      <w:bookmarkEnd w:id="62"/>
    </w:p>
    <w:p w14:paraId="442C201A" w14:textId="1E317AD6" w:rsidR="00E85614" w:rsidRDefault="00C62917" w:rsidP="00E85614">
      <w:pPr>
        <w:pStyle w:val="BodyText"/>
      </w:pPr>
      <w:r>
        <w:t>The Commission is concerned by the operation of income management schemes, such as the Australian Governme</w:t>
      </w:r>
      <w:r w:rsidR="00C52BE0">
        <w:t>nt’s Healthy Welfare Card trials</w:t>
      </w:r>
      <w:r w:rsidR="001A2684">
        <w:t>,</w:t>
      </w:r>
      <w:r w:rsidR="00E85614">
        <w:t xml:space="preserve"> and </w:t>
      </w:r>
      <w:r w:rsidR="00414F75">
        <w:t xml:space="preserve">the </w:t>
      </w:r>
      <w:r w:rsidR="00E85614">
        <w:t>disproportionate impact</w:t>
      </w:r>
      <w:r w:rsidR="00414F75">
        <w:t xml:space="preserve"> of these income management measures </w:t>
      </w:r>
      <w:r w:rsidR="00E85614">
        <w:t>on</w:t>
      </w:r>
      <w:r w:rsidR="00414F75">
        <w:t xml:space="preserve"> Aboriginal an</w:t>
      </w:r>
      <w:r w:rsidR="00E85614">
        <w:t>d Torres Strait Islander people</w:t>
      </w:r>
      <w:r w:rsidR="00414F75">
        <w:t>.</w:t>
      </w:r>
      <w:r w:rsidR="002F42D8">
        <w:rPr>
          <w:rStyle w:val="EndnoteReference"/>
        </w:rPr>
        <w:endnoteReference w:id="136"/>
      </w:r>
      <w:r w:rsidR="00414F75">
        <w:t xml:space="preserve"> </w:t>
      </w:r>
    </w:p>
    <w:p w14:paraId="3B61E73D" w14:textId="4C3D4E1C" w:rsidR="00B96079" w:rsidRDefault="00414F75" w:rsidP="00E85614">
      <w:pPr>
        <w:pStyle w:val="BodyText"/>
      </w:pPr>
      <w:r>
        <w:t>As at September 2016, 75% of trial participants in Ceduna and 82% of trial participants in the East Kimberley were Indigenous.</w:t>
      </w:r>
      <w:r w:rsidR="002F42D8">
        <w:rPr>
          <w:rStyle w:val="EndnoteReference"/>
        </w:rPr>
        <w:endnoteReference w:id="137"/>
      </w:r>
      <w:r w:rsidR="00E85614">
        <w:t xml:space="preserve"> </w:t>
      </w:r>
      <w:r w:rsidRPr="00B53930">
        <w:t>The Commission remains concerned that the measures will continue to disproportionately affect Aboriginal and Torres Strait Isla</w:t>
      </w:r>
      <w:r w:rsidR="00C52BE0">
        <w:t>nder people</w:t>
      </w:r>
      <w:r w:rsidR="00B96079">
        <w:t>.</w:t>
      </w:r>
      <w:r w:rsidR="00C52BE0">
        <w:t xml:space="preserve"> Although </w:t>
      </w:r>
      <w:r w:rsidR="00B96079" w:rsidRPr="00B53930">
        <w:t xml:space="preserve">the measures may not directly target Aboriginal and Torres Strait Islander peoples, their practical effect will unduly </w:t>
      </w:r>
      <w:r w:rsidR="000542D6">
        <w:t>affect</w:t>
      </w:r>
      <w:r w:rsidR="00B96079" w:rsidRPr="00B53930">
        <w:t xml:space="preserve"> them, as government pensions and allowances are </w:t>
      </w:r>
      <w:r w:rsidR="00B96079">
        <w:t>a</w:t>
      </w:r>
      <w:r w:rsidR="00B96079" w:rsidRPr="00B53930">
        <w:t xml:space="preserve"> main source of income for approximately 46.9% of this group.</w:t>
      </w:r>
      <w:r w:rsidR="002F42D8">
        <w:rPr>
          <w:rStyle w:val="EndnoteReference"/>
        </w:rPr>
        <w:endnoteReference w:id="138"/>
      </w:r>
      <w:r w:rsidR="00B96079">
        <w:t xml:space="preserve">  </w:t>
      </w:r>
    </w:p>
    <w:p w14:paraId="649F123E" w14:textId="7D4A6EED" w:rsidR="00C52BE0" w:rsidRDefault="00C52BE0" w:rsidP="00C52BE0">
      <w:pPr>
        <w:pStyle w:val="BodyText"/>
      </w:pPr>
      <w:r>
        <w:t xml:space="preserve">Most recently, the </w:t>
      </w:r>
      <w:r w:rsidRPr="00414F75">
        <w:t>Social Services Legislation Amendment (Cashless Debit Card) Bill 2017</w:t>
      </w:r>
      <w:r>
        <w:t xml:space="preserve"> has been referred </w:t>
      </w:r>
      <w:r w:rsidRPr="00414F75">
        <w:rPr>
          <w:rFonts w:cs="Arial"/>
        </w:rPr>
        <w:t xml:space="preserve">to the Senate </w:t>
      </w:r>
      <w:r w:rsidR="006F1AFF">
        <w:rPr>
          <w:rFonts w:cs="Arial"/>
        </w:rPr>
        <w:t xml:space="preserve">Community </w:t>
      </w:r>
      <w:r w:rsidRPr="00414F75">
        <w:rPr>
          <w:rFonts w:cs="Arial"/>
        </w:rPr>
        <w:t xml:space="preserve">Affairs Legislation Committee for inquiry. </w:t>
      </w:r>
      <w:r>
        <w:t xml:space="preserve">The </w:t>
      </w:r>
      <w:r w:rsidR="004E4A57">
        <w:t>B</w:t>
      </w:r>
      <w:r>
        <w:t xml:space="preserve">ill seeks to remove </w:t>
      </w:r>
      <w:r w:rsidR="000542D6">
        <w:t>s</w:t>
      </w:r>
      <w:r>
        <w:t xml:space="preserve"> 124PF </w:t>
      </w:r>
      <w:r w:rsidRPr="00DE173D">
        <w:t xml:space="preserve">of the </w:t>
      </w:r>
      <w:r w:rsidRPr="00414F75">
        <w:rPr>
          <w:i/>
          <w:iCs/>
        </w:rPr>
        <w:t>Social Security (Administration) Act 1999</w:t>
      </w:r>
      <w:r w:rsidRPr="00DE173D">
        <w:t xml:space="preserve">, </w:t>
      </w:r>
      <w:r>
        <w:t xml:space="preserve">which currently provides for the trial of the cashless debit card in three discrete locations, to no more than 10,000 participants, expiring on 30 June 2018. The Bill proposes to amend these arrangements, allowing for the continuation of the trial in existing sites and enabling the expansion of the cashless debit card to further locations. </w:t>
      </w:r>
    </w:p>
    <w:p w14:paraId="204458C7" w14:textId="66BCD369" w:rsidR="00C62917" w:rsidRDefault="00B96079" w:rsidP="00C52BE0">
      <w:pPr>
        <w:pStyle w:val="BodyText"/>
      </w:pPr>
      <w:r w:rsidRPr="00B96079">
        <w:rPr>
          <w:rFonts w:cs="Arial"/>
        </w:rPr>
        <w:lastRenderedPageBreak/>
        <w:t>The Commission</w:t>
      </w:r>
      <w:r w:rsidR="00C52BE0">
        <w:rPr>
          <w:rFonts w:cs="Arial"/>
        </w:rPr>
        <w:t xml:space="preserve"> has made a submission in relation to </w:t>
      </w:r>
      <w:r w:rsidR="004E4A57">
        <w:rPr>
          <w:rFonts w:cs="Arial"/>
        </w:rPr>
        <w:t>t</w:t>
      </w:r>
      <w:r w:rsidR="00C52BE0">
        <w:rPr>
          <w:rFonts w:cs="Arial"/>
        </w:rPr>
        <w:t xml:space="preserve">his </w:t>
      </w:r>
      <w:r w:rsidR="004E4A57">
        <w:rPr>
          <w:rFonts w:cs="Arial"/>
        </w:rPr>
        <w:t>B</w:t>
      </w:r>
      <w:r w:rsidR="00C52BE0">
        <w:rPr>
          <w:rFonts w:cs="Arial"/>
        </w:rPr>
        <w:t xml:space="preserve">ill, arguing that </w:t>
      </w:r>
      <w:r w:rsidRPr="00B96079">
        <w:rPr>
          <w:rFonts w:cs="Arial"/>
        </w:rPr>
        <w:t>the measures are not proportionate to the benefits sought by the Bill because their purpose could be achieved through other, less restrictive means</w:t>
      </w:r>
      <w:r w:rsidR="00C52BE0">
        <w:t>.</w:t>
      </w:r>
      <w:r w:rsidR="002F42D8">
        <w:rPr>
          <w:rStyle w:val="EndnoteReference"/>
        </w:rPr>
        <w:endnoteReference w:id="139"/>
      </w:r>
      <w:r w:rsidR="002F42D8">
        <w:rPr>
          <w:rFonts w:eastAsia="MS Mincho"/>
          <w:lang w:val="en-US"/>
        </w:rPr>
        <w:t xml:space="preserve"> </w:t>
      </w:r>
      <w:r w:rsidR="00C62917">
        <w:t>As designed, these programs are not opt-in schemes, are insufficiently tailored to individual circumstances and disproportionately impact upon Aboriginal and Torres Strait Islander peoples’ human rights.</w:t>
      </w:r>
      <w:r w:rsidR="00C62917">
        <w:rPr>
          <w:rStyle w:val="EndnoteReference"/>
        </w:rPr>
        <w:endnoteReference w:id="140"/>
      </w:r>
    </w:p>
    <w:p w14:paraId="3592B48B" w14:textId="564035CD" w:rsidR="00C52BE0" w:rsidRPr="00956858" w:rsidRDefault="00C62917" w:rsidP="007A59FC">
      <w:pPr>
        <w:pStyle w:val="ListParagraph"/>
      </w:pPr>
      <w:r w:rsidRPr="00956858">
        <w:t xml:space="preserve">That the Australian Government </w:t>
      </w:r>
      <w:r w:rsidR="003368C7">
        <w:t xml:space="preserve">ensure that </w:t>
      </w:r>
      <w:r w:rsidR="00C52BE0" w:rsidRPr="00956858">
        <w:t>current models of income management schemes be discontinued or redesigned on a voluntary, opt</w:t>
      </w:r>
      <w:r w:rsidR="006D3438">
        <w:t>-</w:t>
      </w:r>
      <w:r w:rsidR="00C52BE0" w:rsidRPr="00956858">
        <w:t>in basis with appropriate oversight of decision making and monitoring.</w:t>
      </w:r>
    </w:p>
    <w:p w14:paraId="4FCC232A" w14:textId="77777777" w:rsidR="009C23BD" w:rsidRDefault="009C23BD" w:rsidP="009C23BD">
      <w:pPr>
        <w:pStyle w:val="Heading1"/>
      </w:pPr>
      <w:bookmarkStart w:id="63" w:name="_Refugees_and_asylum"/>
      <w:bookmarkStart w:id="64" w:name="_Toc497148302"/>
      <w:bookmarkStart w:id="65" w:name="_Toc491243306"/>
      <w:bookmarkEnd w:id="63"/>
      <w:r>
        <w:t>Migrants, ethnic minorities and culturally and linguistically diverse (CALD) peoples</w:t>
      </w:r>
      <w:bookmarkEnd w:id="64"/>
    </w:p>
    <w:p w14:paraId="656DEA7B" w14:textId="77777777" w:rsidR="009C23BD" w:rsidRPr="007A6FEC" w:rsidRDefault="009C23BD" w:rsidP="009C23BD">
      <w:pPr>
        <w:pStyle w:val="Heading2"/>
      </w:pPr>
      <w:bookmarkStart w:id="66" w:name="_Toc497148303"/>
      <w:r>
        <w:t>General</w:t>
      </w:r>
      <w:bookmarkEnd w:id="66"/>
    </w:p>
    <w:p w14:paraId="44C963EC" w14:textId="77777777" w:rsidR="009C23BD" w:rsidRDefault="009C23BD" w:rsidP="009C23BD">
      <w:pPr>
        <w:pStyle w:val="BodyText"/>
        <w:tabs>
          <w:tab w:val="clear" w:pos="7383"/>
        </w:tabs>
      </w:pPr>
      <w:bookmarkStart w:id="67" w:name="_Toc492904768"/>
      <w:bookmarkEnd w:id="65"/>
      <w:bookmarkEnd w:id="67"/>
      <w:r w:rsidRPr="005F7763">
        <w:t xml:space="preserve">Racial discrimination continues to affect migrants and Australia-born people of many cultural backgrounds. </w:t>
      </w:r>
      <w:r>
        <w:t>Among migrants, higher levels of discrimination are reported by more recent arrivals, as well as by migrants from non-English speaking backgrounds.</w:t>
      </w:r>
      <w:r>
        <w:rPr>
          <w:rStyle w:val="EndnoteReference"/>
        </w:rPr>
        <w:endnoteReference w:id="141"/>
      </w:r>
      <w:r>
        <w:t xml:space="preserve"> </w:t>
      </w:r>
    </w:p>
    <w:p w14:paraId="7D0B3C82" w14:textId="48024994" w:rsidR="009C23BD" w:rsidRDefault="009C23BD" w:rsidP="009C23BD">
      <w:pPr>
        <w:pStyle w:val="BodyText"/>
        <w:tabs>
          <w:tab w:val="clear" w:pos="7383"/>
        </w:tabs>
      </w:pPr>
      <w:r>
        <w:t xml:space="preserve">In respect of young people, a Foundation of Young Australians report found that over 80% of </w:t>
      </w:r>
      <w:r w:rsidR="00A134B2">
        <w:t>‘</w:t>
      </w:r>
      <w:r>
        <w:t>non-Anglo Australian</w:t>
      </w:r>
      <w:r w:rsidR="00A134B2">
        <w:t>’</w:t>
      </w:r>
      <w:r>
        <w:t xml:space="preserve"> </w:t>
      </w:r>
      <w:r w:rsidRPr="0042388E">
        <w:t>background children indicated they had been subjected to some form of racism.</w:t>
      </w:r>
      <w:r w:rsidRPr="0042388E">
        <w:rPr>
          <w:rStyle w:val="EndnoteReference"/>
        </w:rPr>
        <w:endnoteReference w:id="142"/>
      </w:r>
    </w:p>
    <w:p w14:paraId="331D3705" w14:textId="77777777" w:rsidR="009C23BD" w:rsidRDefault="009C23BD" w:rsidP="009C23BD">
      <w:pPr>
        <w:pStyle w:val="BodyText"/>
        <w:tabs>
          <w:tab w:val="clear" w:pos="7383"/>
        </w:tabs>
      </w:pPr>
      <w:r>
        <w:t>Migrant communities report to the Commission the damaging social and civic effects of racism. In addition to the harm it can inflict on a person’s wellbeing and sense of freedom, it can also undermine a sense of belonging to the community and feed social disillusionment.</w:t>
      </w:r>
      <w:r>
        <w:rPr>
          <w:rStyle w:val="EndnoteReference"/>
        </w:rPr>
        <w:endnoteReference w:id="143"/>
      </w:r>
    </w:p>
    <w:p w14:paraId="02D494F6" w14:textId="77777777" w:rsidR="009C23BD" w:rsidRDefault="009C23BD" w:rsidP="009C23BD">
      <w:pPr>
        <w:pStyle w:val="BodyText"/>
        <w:tabs>
          <w:tab w:val="clear" w:pos="7383"/>
        </w:tabs>
      </w:pPr>
      <w:r>
        <w:t>Australia has a civil prohibition of racial hatred under the RDA.</w:t>
      </w:r>
      <w:r>
        <w:rPr>
          <w:rStyle w:val="EndnoteReference"/>
        </w:rPr>
        <w:endnoteReference w:id="144"/>
      </w:r>
      <w:r>
        <w:t xml:space="preserve"> It also criminalises the urging of violence against a person or group when the targeted group is ‘distinguished by race, religion, nationality, national or ethnic origin or political opinion’.</w:t>
      </w:r>
      <w:r>
        <w:rPr>
          <w:rStyle w:val="EndnoteReference"/>
        </w:rPr>
        <w:endnoteReference w:id="145"/>
      </w:r>
      <w:r>
        <w:t xml:space="preserve"> States and territories also criminalise serious racial vilification, including the incitement of racial hatred. </w:t>
      </w:r>
    </w:p>
    <w:p w14:paraId="30634230" w14:textId="77777777" w:rsidR="009C23BD" w:rsidRPr="00E310D9" w:rsidRDefault="009C23BD" w:rsidP="009C23BD">
      <w:pPr>
        <w:pStyle w:val="Heading2"/>
      </w:pPr>
      <w:bookmarkStart w:id="68" w:name="_Toc497148304"/>
      <w:r w:rsidRPr="00E310D9">
        <w:t xml:space="preserve">Muslim Australians </w:t>
      </w:r>
      <w:r w:rsidRPr="00E310D9">
        <w:rPr>
          <w:color w:val="auto"/>
        </w:rPr>
        <w:t>(CERD article 2; CO 23)</w:t>
      </w:r>
      <w:bookmarkEnd w:id="68"/>
    </w:p>
    <w:p w14:paraId="6AEEF458" w14:textId="77777777" w:rsidR="009C23BD" w:rsidRDefault="009C23BD" w:rsidP="009C23BD">
      <w:pPr>
        <w:pStyle w:val="SubmissionNormal"/>
        <w:tabs>
          <w:tab w:val="clear" w:pos="720"/>
          <w:tab w:val="clear" w:pos="7383"/>
        </w:tabs>
      </w:pPr>
      <w:r>
        <w:t>The Commission is concerned at the high prevalence of negative attitudes towards Muslim Australians, as reported in the Scanlon Survey. Of particular concern is the finding from the 2016 survey that strong negative views towards Muslims increased from 11% to 14%.</w:t>
      </w:r>
      <w:r>
        <w:rPr>
          <w:rStyle w:val="EndnoteReference"/>
        </w:rPr>
        <w:endnoteReference w:id="146"/>
      </w:r>
      <w:r>
        <w:t xml:space="preserve"> The Special Rapporteur on racial discrimination noted that anti-Muslim hate speech has been on the increase in recent years, especially on social media platforms.</w:t>
      </w:r>
      <w:r>
        <w:rPr>
          <w:rStyle w:val="EndnoteReference"/>
        </w:rPr>
        <w:endnoteReference w:id="147"/>
      </w:r>
    </w:p>
    <w:p w14:paraId="6C20BAB1" w14:textId="1D6113BC" w:rsidR="009C23BD" w:rsidRDefault="009C23BD" w:rsidP="009C23BD">
      <w:pPr>
        <w:pStyle w:val="SubmissionNormal"/>
        <w:tabs>
          <w:tab w:val="clear" w:pos="720"/>
          <w:tab w:val="clear" w:pos="7383"/>
        </w:tabs>
      </w:pPr>
      <w:r>
        <w:t xml:space="preserve">A study commissioned by the Challenging Racism Project of Western Sydney University and the Islamic Sciences and Research Academy found ‘high experiences’ of racism by </w:t>
      </w:r>
      <w:r w:rsidR="00ED57F6">
        <w:t>Muslims</w:t>
      </w:r>
      <w:r>
        <w:t xml:space="preserve">. A majority (57%) of respondents had </w:t>
      </w:r>
      <w:r>
        <w:lastRenderedPageBreak/>
        <w:t xml:space="preserve">experienced racism </w:t>
      </w:r>
      <w:r w:rsidR="00A134B2">
        <w:t>‘</w:t>
      </w:r>
      <w:r>
        <w:t>at least sometimes</w:t>
      </w:r>
      <w:r w:rsidR="00A134B2">
        <w:t>’</w:t>
      </w:r>
      <w:r>
        <w:t xml:space="preserve"> in at least one of the situations noted in the study (in the workplace, at school, etc).</w:t>
      </w:r>
      <w:r>
        <w:rPr>
          <w:rStyle w:val="EndnoteReference"/>
        </w:rPr>
        <w:endnoteReference w:id="148"/>
      </w:r>
    </w:p>
    <w:p w14:paraId="3EA719B4" w14:textId="77777777" w:rsidR="009C23BD" w:rsidRPr="0066314C" w:rsidRDefault="009C23BD" w:rsidP="009C23BD">
      <w:pPr>
        <w:pStyle w:val="SubmissionNormal"/>
        <w:tabs>
          <w:tab w:val="clear" w:pos="720"/>
          <w:tab w:val="clear" w:pos="7383"/>
        </w:tabs>
      </w:pPr>
      <w:r>
        <w:t>There are also several recently established groups dedicated to reporting anti-Muslim or anti-Islam behaviour and sentiments. Islamophobia Register Australia and Islamophobia Watch Australia have begun to aggregate data and information, and allow those who witness Islamophobia to report it</w:t>
      </w:r>
      <w:r w:rsidRPr="0066314C">
        <w:t>.</w:t>
      </w:r>
      <w:r w:rsidRPr="0066314C">
        <w:rPr>
          <w:rStyle w:val="EndnoteReference"/>
        </w:rPr>
        <w:endnoteReference w:id="149"/>
      </w:r>
      <w:r w:rsidRPr="0066314C">
        <w:t xml:space="preserve"> </w:t>
      </w:r>
    </w:p>
    <w:p w14:paraId="2B91DC8B" w14:textId="13B50B96" w:rsidR="009C23BD" w:rsidRDefault="009C23BD" w:rsidP="009C23BD">
      <w:pPr>
        <w:pStyle w:val="BodyText"/>
        <w:tabs>
          <w:tab w:val="clear" w:pos="7383"/>
        </w:tabs>
      </w:pPr>
      <w:r>
        <w:t>Arab and Muslim Australians have reported to the Commission that global concerns about terrorism and national security have produced a political environment hostile to them.</w:t>
      </w:r>
      <w:r>
        <w:rPr>
          <w:rStyle w:val="EndnoteReference"/>
        </w:rPr>
        <w:endnoteReference w:id="150"/>
      </w:r>
      <w:r>
        <w:t xml:space="preserve"> A Western Sydney University study found that 78% of surveyed Muslims </w:t>
      </w:r>
      <w:r w:rsidR="000542D6">
        <w:t>considered</w:t>
      </w:r>
      <w:r>
        <w:t xml:space="preserve"> that the Australian media’s portrayal of Muslims is ‘unfair’.</w:t>
      </w:r>
      <w:r>
        <w:rPr>
          <w:rStyle w:val="EndnoteReference"/>
        </w:rPr>
        <w:endnoteReference w:id="151"/>
      </w:r>
      <w:r>
        <w:t xml:space="preserve"> </w:t>
      </w:r>
    </w:p>
    <w:p w14:paraId="15C68548" w14:textId="77777777" w:rsidR="009C23BD" w:rsidRDefault="009C23BD" w:rsidP="009C23BD">
      <w:pPr>
        <w:pStyle w:val="BodyText"/>
        <w:tabs>
          <w:tab w:val="clear" w:pos="7383"/>
        </w:tabs>
      </w:pPr>
      <w:r w:rsidRPr="00A57A41">
        <w:t xml:space="preserve">As with discrimination experienced by other groups, the hostile treatment towards Muslim </w:t>
      </w:r>
      <w:r w:rsidRPr="00683A59">
        <w:t>Australians</w:t>
      </w:r>
      <w:r w:rsidRPr="00A57A41">
        <w:t xml:space="preserve"> has had demonstrable negative effects, impinging upon</w:t>
      </w:r>
      <w:r>
        <w:t xml:space="preserve"> the exercise of their freedoms.</w:t>
      </w:r>
      <w:r>
        <w:rPr>
          <w:rStyle w:val="EndnoteReference"/>
          <w:rFonts w:cs="Arial"/>
        </w:rPr>
        <w:endnoteReference w:id="152"/>
      </w:r>
    </w:p>
    <w:p w14:paraId="7BF3EB40" w14:textId="749557D0" w:rsidR="009C23BD" w:rsidRPr="00A421BE" w:rsidRDefault="009C23BD" w:rsidP="009C23BD">
      <w:pPr>
        <w:pStyle w:val="BodyText"/>
        <w:tabs>
          <w:tab w:val="clear" w:pos="7383"/>
        </w:tabs>
      </w:pPr>
      <w:r>
        <w:t xml:space="preserve">The Commission directs attention </w:t>
      </w:r>
      <w:r w:rsidRPr="00661A58">
        <w:t xml:space="preserve">to </w:t>
      </w:r>
      <w:hyperlink w:anchor="_Religious_discrimination_or" w:history="1">
        <w:r w:rsidRPr="00661A58">
          <w:rPr>
            <w:rStyle w:val="Hyperlink"/>
          </w:rPr>
          <w:t xml:space="preserve">section </w:t>
        </w:r>
        <w:r w:rsidR="008169CC">
          <w:rPr>
            <w:rStyle w:val="Hyperlink"/>
          </w:rPr>
          <w:t>6</w:t>
        </w:r>
        <w:r w:rsidRPr="00661A58">
          <w:rPr>
            <w:rStyle w:val="Hyperlink"/>
          </w:rPr>
          <w:t>.5</w:t>
        </w:r>
      </w:hyperlink>
      <w:r w:rsidRPr="00661A58">
        <w:t xml:space="preserve"> below</w:t>
      </w:r>
      <w:r>
        <w:t>.</w:t>
      </w:r>
    </w:p>
    <w:p w14:paraId="5794FD1F" w14:textId="77777777" w:rsidR="009C23BD" w:rsidRPr="0016392E" w:rsidRDefault="009C23BD" w:rsidP="009C23BD">
      <w:pPr>
        <w:pStyle w:val="Heading2"/>
      </w:pPr>
      <w:bookmarkStart w:id="69" w:name="_Toc497148305"/>
      <w:r w:rsidRPr="0016392E">
        <w:t xml:space="preserve">African communities in Australia </w:t>
      </w:r>
      <w:r w:rsidRPr="0016392E">
        <w:rPr>
          <w:color w:val="auto"/>
        </w:rPr>
        <w:t>(CERD article 2; CO 23)</w:t>
      </w:r>
      <w:bookmarkEnd w:id="69"/>
    </w:p>
    <w:p w14:paraId="09BF664E" w14:textId="77777777" w:rsidR="009C23BD" w:rsidRDefault="009C23BD" w:rsidP="009C23BD">
      <w:pPr>
        <w:pStyle w:val="BodyText"/>
        <w:tabs>
          <w:tab w:val="clear" w:pos="720"/>
          <w:tab w:val="clear" w:pos="7383"/>
        </w:tabs>
      </w:pPr>
      <w:r>
        <w:t>Migrants from African countries, including Ethiopia, Kenya, Zimbabwe and South Sudan, have reported particularly high levels of discrimination and racial profiling.</w:t>
      </w:r>
      <w:r>
        <w:rPr>
          <w:rStyle w:val="EndnoteReference"/>
        </w:rPr>
        <w:endnoteReference w:id="153"/>
      </w:r>
      <w:r>
        <w:t xml:space="preserve"> Young people, particularly those of African descent, report concerns about encountering racism from public institutions, including police.</w:t>
      </w:r>
      <w:r w:rsidRPr="0042388E">
        <w:rPr>
          <w:rStyle w:val="EndnoteReference"/>
        </w:rPr>
        <w:endnoteReference w:id="154"/>
      </w:r>
    </w:p>
    <w:p w14:paraId="0EC48239" w14:textId="180E6FC0" w:rsidR="009C23BD" w:rsidRDefault="009C23BD" w:rsidP="009C23BD">
      <w:pPr>
        <w:pStyle w:val="BodyText"/>
        <w:tabs>
          <w:tab w:val="clear" w:pos="720"/>
          <w:tab w:val="clear" w:pos="7383"/>
        </w:tabs>
      </w:pPr>
      <w:r>
        <w:t>The Special Rapporteur on racial discrimination</w:t>
      </w:r>
      <w:r w:rsidR="000542D6">
        <w:t>, during his recent country visit to Australia,</w:t>
      </w:r>
      <w:r>
        <w:t xml:space="preserve"> was made aware of incidents of racial profiling of members of sub-Saharan African and Arab communities.</w:t>
      </w:r>
      <w:r>
        <w:rPr>
          <w:rStyle w:val="EndnoteReference"/>
        </w:rPr>
        <w:endnoteReference w:id="155"/>
      </w:r>
    </w:p>
    <w:p w14:paraId="23C48DEA" w14:textId="4439C89B" w:rsidR="009C23BD" w:rsidRDefault="009C23BD" w:rsidP="009C23BD">
      <w:pPr>
        <w:pStyle w:val="BodyText"/>
        <w:tabs>
          <w:tab w:val="clear" w:pos="7383"/>
        </w:tabs>
      </w:pPr>
      <w:r>
        <w:t xml:space="preserve">The </w:t>
      </w:r>
      <w:r>
        <w:rPr>
          <w:i/>
        </w:rPr>
        <w:t xml:space="preserve">In Our Own Words </w:t>
      </w:r>
      <w:r>
        <w:t>report</w:t>
      </w:r>
      <w:r w:rsidR="000542D6">
        <w:t xml:space="preserve"> included consultations with </w:t>
      </w:r>
      <w:r w:rsidRPr="008A0F17">
        <w:t xml:space="preserve">community members and other stakeholders </w:t>
      </w:r>
      <w:r>
        <w:t xml:space="preserve">and </w:t>
      </w:r>
      <w:r w:rsidRPr="008A0F17">
        <w:t>provided a number of specific su</w:t>
      </w:r>
      <w:r>
        <w:t xml:space="preserve">ggestions for improvements in several areas, including </w:t>
      </w:r>
      <w:r w:rsidRPr="008A0F17">
        <w:t>training and employment, education, health, housing and the justice system.</w:t>
      </w:r>
      <w:r>
        <w:rPr>
          <w:rStyle w:val="EndnoteReference"/>
        </w:rPr>
        <w:endnoteReference w:id="156"/>
      </w:r>
    </w:p>
    <w:p w14:paraId="46850F3E" w14:textId="28A8AB16" w:rsidR="009C23BD" w:rsidRDefault="00080827" w:rsidP="009C23BD">
      <w:pPr>
        <w:pStyle w:val="ListParagraph"/>
      </w:pPr>
      <w:r>
        <w:t>That the Australian Government support measures to address discrimination faced by African people and communities, including by ensuring targeted</w:t>
      </w:r>
      <w:r w:rsidRPr="002E4A80">
        <w:t xml:space="preserve"> </w:t>
      </w:r>
      <w:r>
        <w:t>settlement services</w:t>
      </w:r>
      <w:r w:rsidR="009C23BD">
        <w:t xml:space="preserve">. </w:t>
      </w:r>
    </w:p>
    <w:p w14:paraId="79A69111" w14:textId="77777777" w:rsidR="009C23BD" w:rsidRPr="00075836" w:rsidRDefault="009C23BD" w:rsidP="009C23BD">
      <w:pPr>
        <w:pStyle w:val="Heading2"/>
      </w:pPr>
      <w:bookmarkStart w:id="70" w:name="_Toc497148306"/>
      <w:r w:rsidRPr="00075836">
        <w:t xml:space="preserve">International students </w:t>
      </w:r>
      <w:r w:rsidRPr="00075836">
        <w:rPr>
          <w:color w:val="auto"/>
        </w:rPr>
        <w:t>(CERD article 2; CO 23)</w:t>
      </w:r>
      <w:bookmarkEnd w:id="70"/>
    </w:p>
    <w:p w14:paraId="06182753" w14:textId="77777777" w:rsidR="009C23BD" w:rsidRDefault="009C23BD" w:rsidP="009C23BD">
      <w:pPr>
        <w:pStyle w:val="BodyText"/>
        <w:tabs>
          <w:tab w:val="clear" w:pos="7383"/>
        </w:tabs>
      </w:pPr>
      <w:r>
        <w:t xml:space="preserve">Following a number of incidents of racist violence directed at international students, the Commission launched its publication, </w:t>
      </w:r>
      <w:r w:rsidRPr="00E84C77">
        <w:rPr>
          <w:i/>
        </w:rPr>
        <w:t>Principles to promote and protect the human rights of International Students</w:t>
      </w:r>
      <w:r>
        <w:t xml:space="preserve"> (the Principles).</w:t>
      </w:r>
      <w:r>
        <w:rPr>
          <w:rStyle w:val="EndnoteReference"/>
          <w:rFonts w:cs="Arial"/>
        </w:rPr>
        <w:endnoteReference w:id="157"/>
      </w:r>
      <w:r>
        <w:t xml:space="preserve"> </w:t>
      </w:r>
    </w:p>
    <w:p w14:paraId="67A94F3A" w14:textId="34FA5598" w:rsidR="009C23BD" w:rsidRDefault="009C23BD" w:rsidP="009C23BD">
      <w:pPr>
        <w:pStyle w:val="BodyText"/>
        <w:tabs>
          <w:tab w:val="clear" w:pos="7383"/>
        </w:tabs>
      </w:pPr>
      <w:r>
        <w:t xml:space="preserve">In 2014, the Commission reviewed the Principles by conducting a telephone survey of key stakeholders. The telephone survey revealed that the top three human rights issues facing international students identified by respondents </w:t>
      </w:r>
      <w:r>
        <w:lastRenderedPageBreak/>
        <w:t>were employment,</w:t>
      </w:r>
      <w:r w:rsidR="000542D6">
        <w:rPr>
          <w:rStyle w:val="EndnoteReference"/>
        </w:rPr>
        <w:endnoteReference w:id="158"/>
      </w:r>
      <w:r>
        <w:t xml:space="preserve"> accommodation,</w:t>
      </w:r>
      <w:r w:rsidR="000542D6">
        <w:rPr>
          <w:rStyle w:val="EndnoteReference"/>
        </w:rPr>
        <w:endnoteReference w:id="159"/>
      </w:r>
      <w:r>
        <w:t xml:space="preserve"> and racism and racial discrimination</w:t>
      </w:r>
      <w:r w:rsidRPr="00B97640">
        <w:t>.</w:t>
      </w:r>
      <w:r w:rsidR="000542D6">
        <w:rPr>
          <w:rStyle w:val="EndnoteReference"/>
        </w:rPr>
        <w:endnoteReference w:id="160"/>
      </w:r>
    </w:p>
    <w:p w14:paraId="65514720" w14:textId="5922B82E" w:rsidR="009C23BD" w:rsidRDefault="009C23BD" w:rsidP="009C23BD">
      <w:pPr>
        <w:pStyle w:val="SubmissionNormal"/>
        <w:tabs>
          <w:tab w:val="clear" w:pos="7383"/>
        </w:tabs>
      </w:pPr>
      <w:r>
        <w:t>The</w:t>
      </w:r>
      <w:r w:rsidRPr="00007B8C">
        <w:t xml:space="preserve"> Commission </w:t>
      </w:r>
      <w:r>
        <w:t>conducted</w:t>
      </w:r>
      <w:r w:rsidRPr="00007B8C">
        <w:t xml:space="preserve"> a </w:t>
      </w:r>
      <w:r>
        <w:t>n</w:t>
      </w:r>
      <w:r w:rsidRPr="00DA0AEB">
        <w:t>ational</w:t>
      </w:r>
      <w:r>
        <w:t xml:space="preserve"> survey on sexual assault and sexual harassment in Australian universities and released a report in 2017 (</w:t>
      </w:r>
      <w:r>
        <w:rPr>
          <w:i/>
        </w:rPr>
        <w:t xml:space="preserve">Change The Course </w:t>
      </w:r>
      <w:r>
        <w:t>report).</w:t>
      </w:r>
      <w:r w:rsidRPr="00075836">
        <w:rPr>
          <w:rStyle w:val="EndnoteReference"/>
        </w:rPr>
        <w:t xml:space="preserve"> </w:t>
      </w:r>
      <w:r w:rsidR="00A134B2">
        <w:t>In the Commission’s suvey,</w:t>
      </w:r>
      <w:r>
        <w:t xml:space="preserve"> </w:t>
      </w:r>
      <w:r w:rsidRPr="00075836">
        <w:t xml:space="preserve">5.1% of international students </w:t>
      </w:r>
      <w:r w:rsidR="00A134B2">
        <w:t>reported being</w:t>
      </w:r>
      <w:r w:rsidRPr="00075836">
        <w:t xml:space="preserve"> sexually assaulted in 2015 and/or 2016, and 1.4%</w:t>
      </w:r>
      <w:r w:rsidR="00A134B2">
        <w:t xml:space="preserve"> reported</w:t>
      </w:r>
      <w:r w:rsidRPr="00075836">
        <w:t xml:space="preserve"> </w:t>
      </w:r>
      <w:r w:rsidR="00A134B2">
        <w:t xml:space="preserve">experiencing </w:t>
      </w:r>
      <w:r w:rsidRPr="00075836">
        <w:t>this in a university setting.</w:t>
      </w:r>
      <w:r>
        <w:rPr>
          <w:rStyle w:val="EndnoteReference"/>
        </w:rPr>
        <w:endnoteReference w:id="161"/>
      </w:r>
    </w:p>
    <w:p w14:paraId="7A227568" w14:textId="487626C0" w:rsidR="009C23BD" w:rsidRPr="009C57C3" w:rsidRDefault="00080827" w:rsidP="009C23BD">
      <w:pPr>
        <w:pStyle w:val="ListParagraph"/>
      </w:pPr>
      <w:r>
        <w:t>That all Australian governments provide targeted services to protect international students from discrimination. Further, that the Australian Government ensure appropriate data is compiled on the experience of international students in Australia, particularly in relation to income and expenditure, housing experiences, employment discrimination and experiences of violence and sexual harassment</w:t>
      </w:r>
      <w:r w:rsidR="009C23BD">
        <w:t xml:space="preserve">. </w:t>
      </w:r>
    </w:p>
    <w:p w14:paraId="16FF0E5F" w14:textId="77777777" w:rsidR="009C23BD" w:rsidRPr="00617845" w:rsidRDefault="009C23BD" w:rsidP="009C23BD">
      <w:pPr>
        <w:pStyle w:val="Heading2"/>
      </w:pPr>
      <w:bookmarkStart w:id="71" w:name="_Religious_discrimination_or"/>
      <w:bookmarkStart w:id="72" w:name="_Toc476059376"/>
      <w:bookmarkStart w:id="73" w:name="_Toc497148307"/>
      <w:bookmarkEnd w:id="71"/>
      <w:r>
        <w:t>R</w:t>
      </w:r>
      <w:r w:rsidRPr="00174CFB">
        <w:t>eligious discrimination or vilification</w:t>
      </w:r>
      <w:bookmarkEnd w:id="72"/>
      <w:r w:rsidRPr="00617845">
        <w:t xml:space="preserve"> </w:t>
      </w:r>
      <w:r>
        <w:t>(CERD articles 4 &amp; 5)</w:t>
      </w:r>
      <w:bookmarkEnd w:id="73"/>
    </w:p>
    <w:p w14:paraId="51D70217" w14:textId="77777777" w:rsidR="009C23BD" w:rsidRDefault="009C23BD" w:rsidP="009C23BD">
      <w:pPr>
        <w:pStyle w:val="SubmissionNormal"/>
        <w:tabs>
          <w:tab w:val="clear" w:pos="720"/>
          <w:tab w:val="clear" w:pos="7383"/>
        </w:tabs>
      </w:pPr>
      <w:r>
        <w:t>Attacks on places of worship and on people who are visibly religious are regularly reported in the news media. Attacks on and threats towards mosques and Islamic prayer rooms,</w:t>
      </w:r>
      <w:r>
        <w:rPr>
          <w:rStyle w:val="EndnoteReference"/>
        </w:rPr>
        <w:endnoteReference w:id="162"/>
      </w:r>
      <w:r>
        <w:t xml:space="preserve"> synagogues,</w:t>
      </w:r>
      <w:r>
        <w:rPr>
          <w:rStyle w:val="EndnoteReference"/>
        </w:rPr>
        <w:endnoteReference w:id="163"/>
      </w:r>
      <w:r>
        <w:t xml:space="preserve"> and churches</w:t>
      </w:r>
      <w:r>
        <w:rPr>
          <w:rStyle w:val="EndnoteReference"/>
        </w:rPr>
        <w:endnoteReference w:id="164"/>
      </w:r>
      <w:r>
        <w:t xml:space="preserve"> occur, as do instances of public abuse and physical attack on people perceived to belong to a particular religion, such as Muslims,</w:t>
      </w:r>
      <w:r>
        <w:rPr>
          <w:rStyle w:val="EndnoteReference"/>
        </w:rPr>
        <w:endnoteReference w:id="165"/>
      </w:r>
      <w:r>
        <w:t xml:space="preserve"> Jews</w:t>
      </w:r>
      <w:r>
        <w:rPr>
          <w:rStyle w:val="EndnoteReference"/>
        </w:rPr>
        <w:endnoteReference w:id="166"/>
      </w:r>
      <w:r>
        <w:t xml:space="preserve"> and Sikhs.</w:t>
      </w:r>
      <w:r>
        <w:rPr>
          <w:rStyle w:val="EndnoteReference"/>
        </w:rPr>
        <w:endnoteReference w:id="167"/>
      </w:r>
      <w:r>
        <w:t xml:space="preserve">  </w:t>
      </w:r>
    </w:p>
    <w:p w14:paraId="4078134F" w14:textId="4A5DD9B1" w:rsidR="009C23BD" w:rsidRDefault="009C23BD" w:rsidP="009C23BD">
      <w:pPr>
        <w:pStyle w:val="SubmissionNormal"/>
        <w:tabs>
          <w:tab w:val="clear" w:pos="720"/>
          <w:tab w:val="clear" w:pos="7383"/>
        </w:tabs>
      </w:pPr>
      <w:r>
        <w:t xml:space="preserve">In the context of discrimination, the distinction between religion and race is not always clear. </w:t>
      </w:r>
      <w:r w:rsidRPr="00A57A41">
        <w:t xml:space="preserve">For </w:t>
      </w:r>
      <w:r>
        <w:t xml:space="preserve">example, many Muslim Australians have described </w:t>
      </w:r>
      <w:r w:rsidRPr="00A57A41">
        <w:t>anti-Muslim sentiment in terms of racism.</w:t>
      </w:r>
      <w:r>
        <w:t xml:space="preserve"> Muslim Australians have altered their participation in public life and cancelled public events due to fears of being attacked or abused for their </w:t>
      </w:r>
      <w:r w:rsidRPr="00023D0D">
        <w:t>religion.</w:t>
      </w:r>
      <w:r w:rsidRPr="00023D0D">
        <w:rPr>
          <w:rStyle w:val="EndnoteReference"/>
        </w:rPr>
        <w:endnoteReference w:id="168"/>
      </w:r>
      <w:r>
        <w:t xml:space="preserve"> However, the RDA does not protect against discrimination based on religion rather than race. </w:t>
      </w:r>
    </w:p>
    <w:p w14:paraId="59898734" w14:textId="77777777" w:rsidR="009C23BD" w:rsidRDefault="009C23BD" w:rsidP="009C23BD">
      <w:pPr>
        <w:pStyle w:val="SubmissionNormal"/>
        <w:tabs>
          <w:tab w:val="clear" w:pos="720"/>
          <w:tab w:val="clear" w:pos="7383"/>
        </w:tabs>
      </w:pPr>
      <w:r>
        <w:t>For the period covering 1 October 2015 – 30 September 2016, the Executive Council of Australian Jewry reported that 210 anti-Semitic incidents were logged, including 12 physical attacks, 22 instances of property damage and vandalism, and dozens of instances of abuse, harassment, intimidation, and threats.</w:t>
      </w:r>
      <w:r>
        <w:rPr>
          <w:rStyle w:val="EndnoteReference"/>
        </w:rPr>
        <w:endnoteReference w:id="169"/>
      </w:r>
      <w:r>
        <w:t xml:space="preserve"> Anti-Semitic incidents occur regularly ‘around synagogues on the Jewish Sabbath’.</w:t>
      </w:r>
      <w:r>
        <w:rPr>
          <w:rStyle w:val="EndnoteReference"/>
        </w:rPr>
        <w:endnoteReference w:id="170"/>
      </w:r>
      <w:r>
        <w:t xml:space="preserve"> The report notes that many instances go unreported.</w:t>
      </w:r>
      <w:r w:rsidRPr="007B5F4A">
        <w:rPr>
          <w:rStyle w:val="EndnoteReference"/>
        </w:rPr>
        <w:endnoteReference w:id="171"/>
      </w:r>
    </w:p>
    <w:p w14:paraId="0C14B700" w14:textId="06058F4F" w:rsidR="009C23BD" w:rsidRPr="004D600F" w:rsidRDefault="009C23BD" w:rsidP="009C23BD">
      <w:pPr>
        <w:pStyle w:val="SubmissionNormal"/>
        <w:tabs>
          <w:tab w:val="clear" w:pos="720"/>
          <w:tab w:val="clear" w:pos="7383"/>
        </w:tabs>
      </w:pPr>
      <w:r>
        <w:t>T</w:t>
      </w:r>
      <w:r w:rsidRPr="00A57A41">
        <w:t>he Federal Court</w:t>
      </w:r>
      <w:r>
        <w:t xml:space="preserve"> of Australia</w:t>
      </w:r>
      <w:r w:rsidRPr="00A57A41">
        <w:t xml:space="preserve"> has indicated that Jewish people constitute an ethnic group </w:t>
      </w:r>
      <w:r>
        <w:t xml:space="preserve">for the purposes of the RDA </w:t>
      </w:r>
      <w:r w:rsidRPr="00A57A41">
        <w:t>on account of their shared customs, beliefs, traditions and characteristics derived from</w:t>
      </w:r>
      <w:r>
        <w:t xml:space="preserve"> a common history and identity.</w:t>
      </w:r>
      <w:r>
        <w:rPr>
          <w:rStyle w:val="EndnoteReference"/>
          <w:rFonts w:cs="Arial"/>
        </w:rPr>
        <w:endnoteReference w:id="172"/>
      </w:r>
      <w:r>
        <w:t xml:space="preserve"> The</w:t>
      </w:r>
      <w:r w:rsidRPr="00A57A41">
        <w:t xml:space="preserve"> Federal Court has not directly considered whether other religious groups </w:t>
      </w:r>
      <w:r w:rsidR="001B6654">
        <w:t>—</w:t>
      </w:r>
      <w:r w:rsidRPr="00A57A41">
        <w:t xml:space="preserve"> including Muslims </w:t>
      </w:r>
      <w:r w:rsidR="001B6654">
        <w:t>—</w:t>
      </w:r>
      <w:r w:rsidRPr="00A57A41">
        <w:t xml:space="preserve"> fall within the scope of the </w:t>
      </w:r>
      <w:r>
        <w:t>RDA.</w:t>
      </w:r>
      <w:r>
        <w:rPr>
          <w:rStyle w:val="EndnoteReference"/>
        </w:rPr>
        <w:endnoteReference w:id="173"/>
      </w:r>
    </w:p>
    <w:p w14:paraId="11BD3E10" w14:textId="77777777" w:rsidR="009C23BD" w:rsidRDefault="009C23BD" w:rsidP="009C23BD">
      <w:pPr>
        <w:pStyle w:val="SubmissionNormal"/>
        <w:tabs>
          <w:tab w:val="clear" w:pos="720"/>
          <w:tab w:val="clear" w:pos="7383"/>
        </w:tabs>
      </w:pPr>
      <w:r>
        <w:t>The Commission notes that a parliamentary inquiry is underway relating to the status of the right to freedom of religion and belief in Australia.</w:t>
      </w:r>
      <w:r>
        <w:rPr>
          <w:rStyle w:val="EndnoteReference"/>
        </w:rPr>
        <w:endnoteReference w:id="174"/>
      </w:r>
    </w:p>
    <w:p w14:paraId="2402B518" w14:textId="539F1C9D" w:rsidR="009C23BD" w:rsidRDefault="00080827" w:rsidP="00080827">
      <w:pPr>
        <w:pStyle w:val="ListParagraph"/>
      </w:pPr>
      <w:r w:rsidRPr="00080827">
        <w:t>That the Australian Government consider how Australian law could better reflect international human rights law relating to religious belief and observance.</w:t>
      </w:r>
    </w:p>
    <w:p w14:paraId="16EA25EC" w14:textId="77777777" w:rsidR="009C23BD" w:rsidRDefault="009C23BD" w:rsidP="009C23BD">
      <w:pPr>
        <w:pStyle w:val="Heading2"/>
      </w:pPr>
      <w:bookmarkStart w:id="74" w:name="_Toc497148308"/>
      <w:r>
        <w:lastRenderedPageBreak/>
        <w:t>Migrant settlement outcomes (</w:t>
      </w:r>
      <w:r w:rsidRPr="009D7FC3">
        <w:t xml:space="preserve">CERD article </w:t>
      </w:r>
      <w:r>
        <w:t>5</w:t>
      </w:r>
      <w:r w:rsidRPr="009D7FC3">
        <w:t>; CO 24)</w:t>
      </w:r>
      <w:bookmarkEnd w:id="74"/>
    </w:p>
    <w:p w14:paraId="2FBD9E29" w14:textId="57CFBA33" w:rsidR="009C23BD" w:rsidRDefault="009C23BD" w:rsidP="009C23BD">
      <w:pPr>
        <w:pStyle w:val="SubmissionNormal"/>
        <w:tabs>
          <w:tab w:val="clear" w:pos="720"/>
          <w:tab w:val="clear" w:pos="7383"/>
        </w:tabs>
      </w:pPr>
      <w:r>
        <w:t>Attitudes</w:t>
      </w:r>
      <w:r w:rsidRPr="004C258E">
        <w:t xml:space="preserve"> </w:t>
      </w:r>
      <w:r w:rsidR="001B6654">
        <w:t>within the existing population</w:t>
      </w:r>
      <w:r w:rsidR="001B6654" w:rsidRPr="004C258E">
        <w:t xml:space="preserve"> </w:t>
      </w:r>
      <w:r w:rsidRPr="004C258E">
        <w:t>towards immigration</w:t>
      </w:r>
      <w:r>
        <w:t xml:space="preserve"> continue to be </w:t>
      </w:r>
      <w:r w:rsidRPr="004C258E">
        <w:t>broadly positive.</w:t>
      </w:r>
      <w:r>
        <w:rPr>
          <w:rStyle w:val="EndnoteReference"/>
        </w:rPr>
        <w:endnoteReference w:id="175"/>
      </w:r>
      <w:r>
        <w:t xml:space="preserve"> However, r</w:t>
      </w:r>
      <w:r w:rsidRPr="003024D7">
        <w:t xml:space="preserve">acial discrimination </w:t>
      </w:r>
      <w:r>
        <w:t xml:space="preserve">still occurs and </w:t>
      </w:r>
      <w:r w:rsidRPr="003024D7">
        <w:t xml:space="preserve">can have a significant negative impact on settlement outcomes. </w:t>
      </w:r>
      <w:r>
        <w:t>E</w:t>
      </w:r>
      <w:r w:rsidRPr="003024D7">
        <w:t>xperiences of racial vilification can undermine a sense of belonging to the community, alienate victims from society and feed a sense of disillusion and disempowerment.</w:t>
      </w:r>
      <w:r>
        <w:rPr>
          <w:rStyle w:val="EndnoteReference"/>
        </w:rPr>
        <w:endnoteReference w:id="176"/>
      </w:r>
    </w:p>
    <w:p w14:paraId="1869530E" w14:textId="73431A19" w:rsidR="009C23BD" w:rsidRPr="00391BE9" w:rsidRDefault="009C23BD" w:rsidP="009C23BD">
      <w:pPr>
        <w:pStyle w:val="SubmissionNormal"/>
        <w:tabs>
          <w:tab w:val="clear" w:pos="720"/>
          <w:tab w:val="clear" w:pos="7383"/>
        </w:tabs>
      </w:pPr>
      <w:r w:rsidRPr="004C258E">
        <w:t xml:space="preserve">While many </w:t>
      </w:r>
      <w:r>
        <w:t xml:space="preserve">humanitarian migrants </w:t>
      </w:r>
      <w:r w:rsidRPr="004C258E">
        <w:t xml:space="preserve">have significant ‘background disadvantages’ that impede a completely smooth settlement </w:t>
      </w:r>
      <w:r>
        <w:t xml:space="preserve">journey </w:t>
      </w:r>
      <w:r w:rsidRPr="004C258E">
        <w:t>(such as a low level</w:t>
      </w:r>
      <w:r>
        <w:t xml:space="preserve"> of English proficiency,</w:t>
      </w:r>
      <w:r w:rsidRPr="004C258E">
        <w:t xml:space="preserve"> </w:t>
      </w:r>
      <w:r>
        <w:t>disrupted e</w:t>
      </w:r>
      <w:r w:rsidRPr="004C258E">
        <w:t>ducation</w:t>
      </w:r>
      <w:r>
        <w:t xml:space="preserve"> and experiences of torture or trauma</w:t>
      </w:r>
      <w:r w:rsidRPr="004C258E">
        <w:t>), these migrants are reported to have high levels of English uptake and engagement in study and work upon settling in Australia.</w:t>
      </w:r>
      <w:r>
        <w:rPr>
          <w:rStyle w:val="EndnoteReference"/>
          <w:rFonts w:cs="Arial"/>
        </w:rPr>
        <w:endnoteReference w:id="177"/>
      </w:r>
      <w:r w:rsidRPr="004C258E">
        <w:t xml:space="preserve"> </w:t>
      </w:r>
      <w:r>
        <w:t xml:space="preserve">Integration is a generational process, and while humanitarian migrants’ disadvantages mean they may struggle with unemployment and workforce participation initially, labour force engagement rates converge towards </w:t>
      </w:r>
      <w:r w:rsidR="001B6654">
        <w:t xml:space="preserve">those of </w:t>
      </w:r>
      <w:r>
        <w:t>Australia-born people over time, as residence in Australia continues.</w:t>
      </w:r>
      <w:r>
        <w:rPr>
          <w:rStyle w:val="EndnoteReference"/>
        </w:rPr>
        <w:endnoteReference w:id="178"/>
      </w:r>
      <w:r>
        <w:t xml:space="preserve"> </w:t>
      </w:r>
    </w:p>
    <w:p w14:paraId="1BA3F07E" w14:textId="77777777" w:rsidR="009C23BD" w:rsidRDefault="009C23BD" w:rsidP="009C23BD">
      <w:pPr>
        <w:pStyle w:val="SubmissionNormal"/>
        <w:tabs>
          <w:tab w:val="clear" w:pos="720"/>
          <w:tab w:val="clear" w:pos="7383"/>
        </w:tabs>
      </w:pPr>
      <w:r>
        <w:t>The Commission notes the Joint Standing Committee inquiry into migrant settlement outcomes,</w:t>
      </w:r>
      <w:r>
        <w:rPr>
          <w:rStyle w:val="EndnoteReference"/>
        </w:rPr>
        <w:endnoteReference w:id="179"/>
      </w:r>
      <w:r>
        <w:t xml:space="preserve"> and the recommendations it has made in its submission to that inquiry.</w:t>
      </w:r>
      <w:r>
        <w:rPr>
          <w:rStyle w:val="EndnoteReference"/>
        </w:rPr>
        <w:endnoteReference w:id="180"/>
      </w:r>
    </w:p>
    <w:p w14:paraId="7B4DD249" w14:textId="3C4F1F15" w:rsidR="009C23BD" w:rsidRDefault="009C23BD" w:rsidP="00DE0482">
      <w:pPr>
        <w:pStyle w:val="ListParagraph"/>
      </w:pPr>
      <w:r w:rsidRPr="00956858">
        <w:t xml:space="preserve">That the </w:t>
      </w:r>
      <w:r>
        <w:t>Australian Government</w:t>
      </w:r>
      <w:r w:rsidRPr="00956858">
        <w:t xml:space="preserve"> maintain a migration policy and program that do</w:t>
      </w:r>
      <w:r w:rsidR="001B6654">
        <w:t>es</w:t>
      </w:r>
      <w:r w:rsidRPr="00956858">
        <w:t xml:space="preserve"> not discriminate against visa applicants on the basis of their race, colour, descent, religion or national or ethnic origin.</w:t>
      </w:r>
    </w:p>
    <w:p w14:paraId="7389236B" w14:textId="77777777" w:rsidR="009C23BD" w:rsidRPr="00D1023D" w:rsidRDefault="009C23BD" w:rsidP="009C23BD">
      <w:pPr>
        <w:pStyle w:val="ListParagraph"/>
      </w:pPr>
      <w:r>
        <w:t>That the Australian Government continue to fund and support initiatives to address racism and racial discrimination as a complementary measure to settlement services.</w:t>
      </w:r>
    </w:p>
    <w:p w14:paraId="6F20A519" w14:textId="77777777" w:rsidR="009C23BD" w:rsidRDefault="009C23BD" w:rsidP="009C23BD">
      <w:pPr>
        <w:pStyle w:val="Heading2"/>
      </w:pPr>
      <w:bookmarkStart w:id="75" w:name="_Toc497148309"/>
      <w:r>
        <w:t>Refugees and asylum seekers</w:t>
      </w:r>
      <w:bookmarkEnd w:id="75"/>
    </w:p>
    <w:p w14:paraId="526A9935" w14:textId="172EDC81" w:rsidR="009C23BD" w:rsidRPr="00D3461F" w:rsidRDefault="009C23BD" w:rsidP="00D3461F">
      <w:pPr>
        <w:pStyle w:val="SubmissionNormal"/>
        <w:rPr>
          <w:rFonts w:cs="Arial"/>
        </w:rPr>
      </w:pPr>
      <w:r w:rsidRPr="00AF4D07">
        <w:t>Australia maintain</w:t>
      </w:r>
      <w:r>
        <w:t>s</w:t>
      </w:r>
      <w:r w:rsidRPr="00AF4D07">
        <w:t xml:space="preserve"> a range of poli</w:t>
      </w:r>
      <w:r>
        <w:t xml:space="preserve">cies which discriminate against </w:t>
      </w:r>
      <w:r w:rsidRPr="00AF4D07">
        <w:t xml:space="preserve">refugees </w:t>
      </w:r>
      <w:r>
        <w:t xml:space="preserve">and asylum seekers </w:t>
      </w:r>
      <w:r w:rsidRPr="00AF4D07">
        <w:t xml:space="preserve">on the basis of their mode of arrival in Australia </w:t>
      </w:r>
      <w:r>
        <w:t>(</w:t>
      </w:r>
      <w:r w:rsidRPr="00AF4D07">
        <w:t>specifically, whether they arrived by boat and whether the</w:t>
      </w:r>
      <w:r>
        <w:t>y held a valid visa on arrival).</w:t>
      </w:r>
      <w:r>
        <w:rPr>
          <w:rStyle w:val="EndnoteReference"/>
          <w:rFonts w:cs="Arial"/>
        </w:rPr>
        <w:endnoteReference w:id="181"/>
      </w:r>
      <w:r w:rsidR="00D3461F">
        <w:t xml:space="preserve"> </w:t>
      </w:r>
      <w:r w:rsidR="00D3461F" w:rsidRPr="00D3461F">
        <w:rPr>
          <w:rFonts w:cs="Arial"/>
        </w:rPr>
        <w:t>The main countries of origin for asylum seekers arriving by boat are Iran, Sri Lanka, Afghanistan, Pakistan, Iraq, Vietnam and Bangladesh</w:t>
      </w:r>
      <w:r w:rsidR="00D3461F">
        <w:rPr>
          <w:rFonts w:cs="Arial"/>
        </w:rPr>
        <w:t>.</w:t>
      </w:r>
      <w:r w:rsidR="00D3461F">
        <w:rPr>
          <w:rStyle w:val="EndnoteReference"/>
          <w:rFonts w:cs="Arial"/>
        </w:rPr>
        <w:endnoteReference w:id="182"/>
      </w:r>
      <w:r w:rsidR="00D3461F" w:rsidRPr="00D3461F">
        <w:t xml:space="preserve"> </w:t>
      </w:r>
      <w:r w:rsidR="00D3461F" w:rsidRPr="00D3461F">
        <w:rPr>
          <w:rFonts w:cs="Arial"/>
        </w:rPr>
        <w:t>A significant number of these asylum seekers have refugee claims based on their race, ethnicity or religion. These include stateless Kurds from Iran and Iraq, Tamils from Sri Lanka, Hazaras from Afghanistan and Pakistan, and stateless Rohingya from Burma.</w:t>
      </w:r>
    </w:p>
    <w:p w14:paraId="5E845A19" w14:textId="77777777" w:rsidR="009C23BD" w:rsidRPr="00AF4D07" w:rsidRDefault="009C23BD" w:rsidP="009C23BD">
      <w:pPr>
        <w:pStyle w:val="SubmissionNormal"/>
      </w:pPr>
      <w:r>
        <w:rPr>
          <w:rFonts w:cs="Arial"/>
        </w:rPr>
        <w:t xml:space="preserve">Asylum seekers who arrived in Australia by boat after August 2012 may be subject to third country processing in Nauru or Manus Island, Papua New Guinea. Those permitted to remain in Australia are subject to a ‘fast track’ assessment process, which does not provide for full merits review of negative decisions. Most asylum seekers who arrive without valid visas are not eligible for government-funded legal advice to assist them in preparing their claims. </w:t>
      </w:r>
    </w:p>
    <w:p w14:paraId="168154BD" w14:textId="77777777" w:rsidR="009C23BD" w:rsidRDefault="009C23BD" w:rsidP="009C23BD">
      <w:pPr>
        <w:pStyle w:val="SubmissionNormal"/>
      </w:pPr>
      <w:r>
        <w:lastRenderedPageBreak/>
        <w:t xml:space="preserve">Asylum seekers who arrive with valid visas and are subsequently found to be refugees are granted permanent visas. Those who arrive without valid visas are granted temporary visas, which last for three to five years and provide limited access to support services and entitlements. </w:t>
      </w:r>
    </w:p>
    <w:p w14:paraId="7A9CA076" w14:textId="77777777" w:rsidR="009C23BD" w:rsidRPr="00753EF9" w:rsidRDefault="009C23BD" w:rsidP="009C23BD">
      <w:pPr>
        <w:pStyle w:val="SubmissionNormal"/>
      </w:pPr>
      <w:r>
        <w:t xml:space="preserve">Refugees on temporary visas are permitted to work; are eligible for Medicare, limited social security benefits and free primary and secondary education; and can receive free English language tuition. However, they have limited access to tertiary education; are not eligible to receive settlement services; are not permitted to sponsor relatives (including immediate family members) to join them in Australia; and cannot travel overseas without losing their visa </w:t>
      </w:r>
      <w:r w:rsidRPr="005B00DE">
        <w:rPr>
          <w:rFonts w:cs="Arial"/>
        </w:rPr>
        <w:t>unless there are ‘compassionate or compelling circumstances’ to justify their travel and they have received written approval.</w:t>
      </w:r>
    </w:p>
    <w:p w14:paraId="65C4CBD8" w14:textId="4253463D" w:rsidR="009C23BD" w:rsidRPr="009C23BD" w:rsidRDefault="009C23BD" w:rsidP="009C23BD">
      <w:pPr>
        <w:pStyle w:val="ListParagraph"/>
        <w:rPr>
          <w:color w:val="2E74B5" w:themeColor="accent1" w:themeShade="BF"/>
        </w:rPr>
      </w:pPr>
      <w:r w:rsidRPr="00753EF9">
        <w:t xml:space="preserve">That the Australian Government </w:t>
      </w:r>
      <w:r>
        <w:t xml:space="preserve">revise policies that discriminate against refugees and asylum seekers on the basis of </w:t>
      </w:r>
      <w:r w:rsidRPr="00753EF9">
        <w:t xml:space="preserve">their mode of arrival. </w:t>
      </w:r>
    </w:p>
    <w:p w14:paraId="49CD1CC6" w14:textId="77777777" w:rsidR="009C23BD" w:rsidRPr="00936628" w:rsidRDefault="009C23BD" w:rsidP="009C23BD">
      <w:pPr>
        <w:pStyle w:val="Heading2"/>
      </w:pPr>
      <w:bookmarkStart w:id="76" w:name="_Toc497148310"/>
      <w:r w:rsidRPr="009D7FC3">
        <w:t>Visa refusals and cance</w:t>
      </w:r>
      <w:r>
        <w:t>llations on character grounds</w:t>
      </w:r>
      <w:bookmarkEnd w:id="76"/>
    </w:p>
    <w:p w14:paraId="5CD5A2B5" w14:textId="68D669E7" w:rsidR="009C23BD" w:rsidRPr="007B0065" w:rsidRDefault="001B6654" w:rsidP="009C23BD">
      <w:pPr>
        <w:pStyle w:val="SubmissionNormal"/>
        <w:tabs>
          <w:tab w:val="clear" w:pos="7383"/>
        </w:tabs>
        <w:rPr>
          <w:rFonts w:ascii="Times New Roman" w:hAnsi="Times New Roman"/>
        </w:rPr>
      </w:pPr>
      <w:r>
        <w:rPr>
          <w:rFonts w:cs="Arial"/>
        </w:rPr>
        <w:t>Under s</w:t>
      </w:r>
      <w:r w:rsidR="009C23BD" w:rsidRPr="00936628">
        <w:rPr>
          <w:rFonts w:cs="Arial"/>
        </w:rPr>
        <w:t xml:space="preserve"> 501 of the Migration Act, the Minister for Immigration or their delegate can refuse or cancel a visa on the basis that the person does not pass the ‘character test’. Legislation passed in 2014 significantly broadened the scope of s 501, resulting in an increase in visa refusals and cancellations on character grounds.</w:t>
      </w:r>
      <w:r w:rsidR="009C23BD">
        <w:rPr>
          <w:rFonts w:cs="Arial"/>
        </w:rPr>
        <w:t xml:space="preserve"> </w:t>
      </w:r>
    </w:p>
    <w:p w14:paraId="0ACFDE3C" w14:textId="60A810A5" w:rsidR="009C23BD" w:rsidRPr="00B97640" w:rsidRDefault="009C23BD" w:rsidP="009C23BD">
      <w:pPr>
        <w:pStyle w:val="SubmissionNormal"/>
        <w:tabs>
          <w:tab w:val="clear" w:pos="7383"/>
        </w:tabs>
        <w:rPr>
          <w:rFonts w:ascii="Times New Roman" w:hAnsi="Times New Roman"/>
        </w:rPr>
      </w:pPr>
      <w:r w:rsidRPr="00936628">
        <w:t>The Commission has previously raised concerns that decisions to refuse or cancel visas on</w:t>
      </w:r>
      <w:r w:rsidR="001B6654">
        <w:t xml:space="preserve"> character grounds under s</w:t>
      </w:r>
      <w:r w:rsidRPr="00936628">
        <w:t xml:space="preserve"> 501 may lead to breaches of Australia’s international human rights obligations.</w:t>
      </w:r>
      <w:r w:rsidRPr="00936628">
        <w:rPr>
          <w:rStyle w:val="EndnoteReference"/>
        </w:rPr>
        <w:endnoteReference w:id="183"/>
      </w:r>
    </w:p>
    <w:p w14:paraId="638D6D86" w14:textId="5B689027" w:rsidR="009C23BD" w:rsidRPr="00E10BB1" w:rsidRDefault="009C23BD" w:rsidP="009C23BD">
      <w:pPr>
        <w:pStyle w:val="ListParagraph"/>
        <w:rPr>
          <w:rFonts w:cs="Arial"/>
        </w:rPr>
      </w:pPr>
      <w:r w:rsidRPr="00936628">
        <w:t xml:space="preserve">That the Australian Government put in place transparent </w:t>
      </w:r>
      <w:r w:rsidR="0058226B" w:rsidRPr="00936628">
        <w:t>decision-making</w:t>
      </w:r>
      <w:r w:rsidRPr="00936628">
        <w:t xml:space="preserve"> and external review processes to ensure the exercise of discretionary power in s 501 of the Migration Act complies with</w:t>
      </w:r>
      <w:r>
        <w:t xml:space="preserve"> international human rights law (including CERD).</w:t>
      </w:r>
    </w:p>
    <w:p w14:paraId="43AFA3B1" w14:textId="77777777" w:rsidR="009C23BD" w:rsidRPr="0004557A" w:rsidRDefault="009C23BD" w:rsidP="009C23BD">
      <w:pPr>
        <w:pStyle w:val="Heading1"/>
      </w:pPr>
      <w:bookmarkStart w:id="77" w:name="_Police_practices_(CERD"/>
      <w:bookmarkStart w:id="78" w:name="_Toc497148311"/>
      <w:bookmarkEnd w:id="77"/>
      <w:r w:rsidRPr="0004557A">
        <w:t xml:space="preserve">Police </w:t>
      </w:r>
      <w:r>
        <w:t>practices</w:t>
      </w:r>
      <w:r w:rsidRPr="0004557A">
        <w:t xml:space="preserve"> (CERD article 5)</w:t>
      </w:r>
      <w:bookmarkEnd w:id="78"/>
    </w:p>
    <w:p w14:paraId="44279A5D" w14:textId="3D92DA71" w:rsidR="009C23BD" w:rsidRDefault="009C23BD" w:rsidP="009C23BD">
      <w:pPr>
        <w:pStyle w:val="SubmissionNormal"/>
      </w:pPr>
      <w:r>
        <w:t>The Commission is concerned about a</w:t>
      </w:r>
      <w:r w:rsidR="0058226B">
        <w:t>llegations of systemic racially</w:t>
      </w:r>
      <w:r w:rsidR="0058226B">
        <w:noBreakHyphen/>
      </w:r>
      <w:r>
        <w:t xml:space="preserve">discriminatory policing practices and allegations of profiling, excessive force and harassment. The Commission notes the </w:t>
      </w:r>
      <w:r w:rsidRPr="0076791D">
        <w:t>Flemington &amp; Kensington Community Legal Centre</w:t>
      </w:r>
      <w:r>
        <w:t>’s Police Accountability Project</w:t>
      </w:r>
      <w:r w:rsidRPr="0076791D">
        <w:t xml:space="preserve">, </w:t>
      </w:r>
      <w:r>
        <w:t xml:space="preserve">which focuses on </w:t>
      </w:r>
      <w:r w:rsidRPr="0076791D">
        <w:t>police ac</w:t>
      </w:r>
      <w:r>
        <w:t xml:space="preserve">countability law and strategies and undertakes </w:t>
      </w:r>
      <w:r w:rsidRPr="0076791D">
        <w:t>independent investigations of police misconduct</w:t>
      </w:r>
      <w:r>
        <w:t>.</w:t>
      </w:r>
      <w:r>
        <w:rPr>
          <w:rStyle w:val="EndnoteReference"/>
        </w:rPr>
        <w:endnoteReference w:id="184"/>
      </w:r>
      <w:r>
        <w:t xml:space="preserve"> </w:t>
      </w:r>
    </w:p>
    <w:p w14:paraId="3E59AC30" w14:textId="32DFA046" w:rsidR="009C23BD" w:rsidRDefault="009C23BD" w:rsidP="009C23BD">
      <w:pPr>
        <w:pStyle w:val="SubmissionNormal"/>
        <w:tabs>
          <w:tab w:val="clear" w:pos="7383"/>
        </w:tabs>
      </w:pPr>
      <w:r w:rsidRPr="009F6EF0">
        <w:rPr>
          <w:rFonts w:cs="Arial"/>
        </w:rPr>
        <w:t>The Special Rapporteur on the rights of indigenous</w:t>
      </w:r>
      <w:r w:rsidRPr="009F6EF0">
        <w:t xml:space="preserve"> peoples has </w:t>
      </w:r>
      <w:r>
        <w:t xml:space="preserve">noted several instances of police profiling of Indigenous peoples. </w:t>
      </w:r>
      <w:r w:rsidR="00A134B2">
        <w:t>She</w:t>
      </w:r>
      <w:r>
        <w:t xml:space="preserve"> has </w:t>
      </w:r>
      <w:r w:rsidRPr="009F6EF0">
        <w:t>recommended that efforts be made to recruit Aboriginal and Torres Strait Islander prison staff and that police and prison staff be trained in cultural sensitivity.</w:t>
      </w:r>
      <w:r w:rsidRPr="009F6EF0">
        <w:rPr>
          <w:rStyle w:val="EndnoteReference"/>
        </w:rPr>
        <w:endnoteReference w:id="185"/>
      </w:r>
    </w:p>
    <w:p w14:paraId="112F9571" w14:textId="77777777" w:rsidR="009C23BD" w:rsidRDefault="009C23BD" w:rsidP="009C23BD">
      <w:pPr>
        <w:pStyle w:val="Heading2"/>
      </w:pPr>
      <w:bookmarkStart w:id="79" w:name="_Toc497148312"/>
      <w:r>
        <w:lastRenderedPageBreak/>
        <w:t>Palm Island</w:t>
      </w:r>
      <w:bookmarkEnd w:id="79"/>
    </w:p>
    <w:p w14:paraId="6984C805" w14:textId="634AD2D9" w:rsidR="009C23BD" w:rsidRDefault="009C23BD" w:rsidP="009C23BD">
      <w:pPr>
        <w:pStyle w:val="SubmissionNormal"/>
      </w:pPr>
      <w:r>
        <w:t xml:space="preserve">The Commission notes conduct of officers of the Queensland Police Service (QPS) following the death of 36-year-old Aboriginal man named Cameron Doomadgee (known posthumously as Mulrunji) in police custody </w:t>
      </w:r>
      <w:r w:rsidR="0058226B">
        <w:t>on</w:t>
      </w:r>
      <w:r>
        <w:t xml:space="preserve"> Palm Island.</w:t>
      </w:r>
      <w:r>
        <w:rPr>
          <w:rStyle w:val="EndnoteReference"/>
        </w:rPr>
        <w:endnoteReference w:id="186"/>
      </w:r>
      <w:r>
        <w:t xml:space="preserve"> The way QPS officers dealt with the aftermath of Mulrunji’s death led to numerous coronial inquests and reviews, a number of court cases and</w:t>
      </w:r>
      <w:r w:rsidR="0058226B">
        <w:t>,</w:t>
      </w:r>
      <w:r>
        <w:t xml:space="preserve"> most relevantly</w:t>
      </w:r>
      <w:r w:rsidR="0058226B">
        <w:t>,</w:t>
      </w:r>
      <w:r>
        <w:t xml:space="preserve"> a representative proceeding brought to the Federal Court of Australia in 2016 by a group of people on Palm Island alleging unlawful racial discrimination </w:t>
      </w:r>
      <w:r w:rsidR="0058226B">
        <w:t>by</w:t>
      </w:r>
      <w:r>
        <w:t xml:space="preserve"> QPS officers during that time.</w:t>
      </w:r>
      <w:r w:rsidRPr="00672553">
        <w:t xml:space="preserve"> </w:t>
      </w:r>
    </w:p>
    <w:p w14:paraId="25FA5BF5" w14:textId="67520EFE" w:rsidR="009C23BD" w:rsidRDefault="00FF5E7B" w:rsidP="00FF5E7B">
      <w:pPr>
        <w:pStyle w:val="SubmissionNormal"/>
      </w:pPr>
      <w:r>
        <w:t xml:space="preserve">In </w:t>
      </w:r>
      <w:r w:rsidRPr="00FF5E7B">
        <w:rPr>
          <w:i/>
        </w:rPr>
        <w:t>Wotton v State of Queensland (No 5)</w:t>
      </w:r>
      <w:r w:rsidRPr="00FF5E7B">
        <w:t xml:space="preserve"> [2016] FCA 1457</w:t>
      </w:r>
      <w:r>
        <w:t xml:space="preserve"> (‘</w:t>
      </w:r>
      <w:r>
        <w:rPr>
          <w:i/>
        </w:rPr>
        <w:t>Wotton (No 5)</w:t>
      </w:r>
      <w:r>
        <w:t>’), t</w:t>
      </w:r>
      <w:r w:rsidR="009C23BD">
        <w:t>he Federal Court was asked to decide whether, in the police investigation into Mulrunji’s death, in the management of community concerns, tension and anger on Palm Island in the week after his death, and in the police responses to protests and fires that occurred in the aftermath (including a fire at the police station), officer</w:t>
      </w:r>
      <w:r w:rsidR="0058226B">
        <w:t>s of the QPS contravened s</w:t>
      </w:r>
      <w:r w:rsidR="009C23BD">
        <w:t xml:space="preserve"> 9(1) of the RDA. </w:t>
      </w:r>
    </w:p>
    <w:p w14:paraId="10A68E50" w14:textId="77777777" w:rsidR="009C23BD" w:rsidRDefault="009C23BD" w:rsidP="009C23BD">
      <w:pPr>
        <w:pStyle w:val="SubmissionNormal"/>
      </w:pPr>
      <w:r>
        <w:t>Section 9(1) of the RDA provides:</w:t>
      </w:r>
    </w:p>
    <w:p w14:paraId="60AE5167" w14:textId="43CA64B1" w:rsidR="009C23BD" w:rsidRPr="00776C4C" w:rsidRDefault="0058226B" w:rsidP="009C23BD">
      <w:pPr>
        <w:pStyle w:val="SubmissionNormal"/>
        <w:numPr>
          <w:ilvl w:val="0"/>
          <w:numId w:val="0"/>
        </w:numPr>
        <w:ind w:left="1440"/>
        <w:rPr>
          <w:sz w:val="22"/>
        </w:rPr>
      </w:pPr>
      <w:r>
        <w:rPr>
          <w:sz w:val="22"/>
        </w:rPr>
        <w:t>‘</w:t>
      </w:r>
      <w:r w:rsidR="009C23BD" w:rsidRPr="00776C4C">
        <w:rPr>
          <w:sz w:val="22"/>
        </w:rPr>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r>
        <w:rPr>
          <w:sz w:val="22"/>
        </w:rPr>
        <w:t>’</w:t>
      </w:r>
    </w:p>
    <w:p w14:paraId="1A75BB0E" w14:textId="6A157D1D" w:rsidR="009C23BD" w:rsidRDefault="009C23BD" w:rsidP="009C23BD">
      <w:pPr>
        <w:pStyle w:val="SubmissionNormal"/>
      </w:pPr>
      <w:r>
        <w:t>The Federal Court held that the State of Queensland, through th</w:t>
      </w:r>
      <w:r w:rsidR="0058226B">
        <w:t>e QPS officers, breached s</w:t>
      </w:r>
      <w:r>
        <w:t xml:space="preserve"> 9 of the RDA.</w:t>
      </w:r>
      <w:r>
        <w:rPr>
          <w:rStyle w:val="EndnoteReference"/>
        </w:rPr>
        <w:endnoteReference w:id="187"/>
      </w:r>
      <w:r w:rsidR="00735D18">
        <w:t xml:space="preserve"> The Federal Court found that:</w:t>
      </w:r>
    </w:p>
    <w:p w14:paraId="3195CB5F" w14:textId="77777777" w:rsidR="009C23BD" w:rsidRPr="0004557A" w:rsidRDefault="009C23BD" w:rsidP="000F1F4B">
      <w:pPr>
        <w:pStyle w:val="ListParagraph"/>
        <w:numPr>
          <w:ilvl w:val="0"/>
          <w:numId w:val="26"/>
        </w:numPr>
        <w:ind w:left="1080"/>
        <w:rPr>
          <w:b w:val="0"/>
        </w:rPr>
      </w:pPr>
      <w:r w:rsidRPr="0004557A">
        <w:rPr>
          <w:b w:val="0"/>
        </w:rPr>
        <w:t>The QPS officers with command and control of the investigation did not act impartially and independently.</w:t>
      </w:r>
      <w:r w:rsidRPr="0004557A">
        <w:rPr>
          <w:rStyle w:val="EndnoteReference"/>
          <w:b w:val="0"/>
        </w:rPr>
        <w:endnoteReference w:id="188"/>
      </w:r>
    </w:p>
    <w:p w14:paraId="5AA7D9B2" w14:textId="77777777" w:rsidR="009C23BD" w:rsidRPr="0004557A" w:rsidRDefault="009C23BD" w:rsidP="000F1F4B">
      <w:pPr>
        <w:pStyle w:val="ListParagraph"/>
        <w:numPr>
          <w:ilvl w:val="0"/>
          <w:numId w:val="26"/>
        </w:numPr>
        <w:ind w:left="1080"/>
        <w:rPr>
          <w:b w:val="0"/>
        </w:rPr>
      </w:pPr>
      <w:r w:rsidRPr="0004557A">
        <w:rPr>
          <w:b w:val="0"/>
        </w:rPr>
        <w:t>There were substantial failures by QPS officers on the island to communicate with the Palm Island community and defuse tensions.</w:t>
      </w:r>
      <w:r w:rsidRPr="0004557A">
        <w:rPr>
          <w:rStyle w:val="EndnoteReference"/>
          <w:b w:val="0"/>
        </w:rPr>
        <w:endnoteReference w:id="189"/>
      </w:r>
      <w:r w:rsidRPr="0004557A">
        <w:rPr>
          <w:b w:val="0"/>
        </w:rPr>
        <w:t xml:space="preserve"> </w:t>
      </w:r>
    </w:p>
    <w:p w14:paraId="745767DD" w14:textId="77777777" w:rsidR="009C23BD" w:rsidRPr="0004557A" w:rsidRDefault="009C23BD" w:rsidP="000F1F4B">
      <w:pPr>
        <w:pStyle w:val="ListParagraph"/>
        <w:numPr>
          <w:ilvl w:val="0"/>
          <w:numId w:val="26"/>
        </w:numPr>
        <w:ind w:left="1080"/>
        <w:rPr>
          <w:b w:val="0"/>
        </w:rPr>
      </w:pPr>
      <w:r w:rsidRPr="0004557A">
        <w:rPr>
          <w:b w:val="0"/>
        </w:rPr>
        <w:t xml:space="preserve">An emergency declaration was issued which triggered the evacuation of non-Aboriginal people from the island. Only local Palm Islanders could not travel to and from the Island. </w:t>
      </w:r>
    </w:p>
    <w:p w14:paraId="58388032" w14:textId="77777777" w:rsidR="009C23BD" w:rsidRPr="0004557A" w:rsidRDefault="009C23BD" w:rsidP="000F1F4B">
      <w:pPr>
        <w:pStyle w:val="ListParagraph"/>
        <w:numPr>
          <w:ilvl w:val="0"/>
          <w:numId w:val="26"/>
        </w:numPr>
        <w:ind w:left="1080"/>
        <w:rPr>
          <w:b w:val="0"/>
        </w:rPr>
      </w:pPr>
      <w:r w:rsidRPr="0004557A">
        <w:rPr>
          <w:b w:val="0"/>
        </w:rPr>
        <w:t xml:space="preserve">A special group of armed officers were used to arrest suspects and to conduct entries and searches of houses on Palm Island. </w:t>
      </w:r>
      <w:r>
        <w:rPr>
          <w:b w:val="0"/>
        </w:rPr>
        <w:t>They</w:t>
      </w:r>
      <w:r w:rsidRPr="0004557A">
        <w:rPr>
          <w:b w:val="0"/>
        </w:rPr>
        <w:t xml:space="preserve"> broke into houses with assault rifles raised and confronted unarmed men, women and children. The use of these officers to effect the arrests was unnecessary, disproportionate and undertaken as a show of force against local people who had protested about the conduct of police. </w:t>
      </w:r>
    </w:p>
    <w:p w14:paraId="0A9AE232" w14:textId="25111A5B" w:rsidR="009C23BD" w:rsidRDefault="009C23BD" w:rsidP="009C23BD">
      <w:pPr>
        <w:pStyle w:val="BodyText"/>
      </w:pPr>
      <w:r>
        <w:t xml:space="preserve">The Court found that </w:t>
      </w:r>
      <w:r w:rsidR="0058226B">
        <w:t>QPS officers</w:t>
      </w:r>
      <w:r>
        <w:t xml:space="preserve"> acted in these ways because they were dealing with an Aboriginal community. If the events took place in an isolated non-Aboriginal community in Queensland, the above conduct would not have occurred.</w:t>
      </w:r>
      <w:r w:rsidR="00136335">
        <w:rPr>
          <w:rStyle w:val="EndnoteReference"/>
        </w:rPr>
        <w:endnoteReference w:id="190"/>
      </w:r>
      <w:r>
        <w:t xml:space="preserve"> </w:t>
      </w:r>
    </w:p>
    <w:p w14:paraId="72E45E72" w14:textId="1D1BA00A" w:rsidR="009C23BD" w:rsidRDefault="009C23BD" w:rsidP="009C23BD">
      <w:pPr>
        <w:pStyle w:val="BodyText"/>
      </w:pPr>
      <w:r>
        <w:lastRenderedPageBreak/>
        <w:t>Importantly, the Court also noted that the conduct of the investigation, treatment of Aboriginal wi</w:t>
      </w:r>
      <w:r w:rsidR="0058226B">
        <w:t>tnesses, failure to communicate</w:t>
      </w:r>
      <w:r>
        <w:t xml:space="preserve"> </w:t>
      </w:r>
      <w:r w:rsidRPr="00952305">
        <w:t>with the community or defuse tensions</w:t>
      </w:r>
      <w:r>
        <w:t xml:space="preserve">, and various other aspects of police conduct violated </w:t>
      </w:r>
      <w:r w:rsidRPr="00952305">
        <w:t xml:space="preserve">the right to access services intended for the public </w:t>
      </w:r>
      <w:r>
        <w:t xml:space="preserve">under art 5(f) of </w:t>
      </w:r>
      <w:r w:rsidRPr="00952305">
        <w:t>CERD</w:t>
      </w:r>
      <w:r>
        <w:t>.</w:t>
      </w:r>
      <w:r>
        <w:rPr>
          <w:rStyle w:val="EndnoteReference"/>
        </w:rPr>
        <w:endnoteReference w:id="191"/>
      </w:r>
    </w:p>
    <w:p w14:paraId="3E0823CA" w14:textId="2085D3BF" w:rsidR="009C23BD" w:rsidRDefault="009C23BD" w:rsidP="009C23BD">
      <w:pPr>
        <w:pStyle w:val="BodyText"/>
      </w:pPr>
      <w:r>
        <w:t>The State of Queensland has decided not to proceed with an appeal of the decision</w:t>
      </w:r>
      <w:r w:rsidR="00FF5E7B">
        <w:t xml:space="preserve"> in </w:t>
      </w:r>
      <w:r w:rsidR="00FF5E7B" w:rsidRPr="00FF5E7B">
        <w:rPr>
          <w:i/>
        </w:rPr>
        <w:t>Wotton</w:t>
      </w:r>
      <w:r w:rsidR="00FF5E7B" w:rsidRPr="00FF5E7B">
        <w:rPr>
          <w:i/>
        </w:rPr>
        <w:t xml:space="preserve"> (No 5)</w:t>
      </w:r>
      <w:r>
        <w:t>.</w:t>
      </w:r>
      <w:r>
        <w:rPr>
          <w:rStyle w:val="EndnoteReference"/>
        </w:rPr>
        <w:endnoteReference w:id="192"/>
      </w:r>
    </w:p>
    <w:p w14:paraId="5951D745" w14:textId="77777777" w:rsidR="009C23BD" w:rsidRDefault="009C23BD" w:rsidP="009C23BD">
      <w:pPr>
        <w:pStyle w:val="Heading2"/>
      </w:pPr>
      <w:bookmarkStart w:id="80" w:name="_Toc497148313"/>
      <w:r>
        <w:t>Kalgoorlie</w:t>
      </w:r>
      <w:bookmarkEnd w:id="80"/>
    </w:p>
    <w:p w14:paraId="33BC5892" w14:textId="5B641E9B" w:rsidR="009C23BD" w:rsidRDefault="009C23BD" w:rsidP="009C23BD">
      <w:pPr>
        <w:pStyle w:val="BodyText"/>
      </w:pPr>
      <w:r>
        <w:t>The Commission notes</w:t>
      </w:r>
      <w:r w:rsidR="001C41DA">
        <w:t xml:space="preserve"> in passing</w:t>
      </w:r>
      <w:r>
        <w:t xml:space="preserve"> that </w:t>
      </w:r>
      <w:r w:rsidRPr="00431943">
        <w:t>Indigenous communities</w:t>
      </w:r>
      <w:r>
        <w:t xml:space="preserve"> in </w:t>
      </w:r>
      <w:r w:rsidRPr="00431943">
        <w:t xml:space="preserve">Western Australia are considering legal action </w:t>
      </w:r>
      <w:r>
        <w:t xml:space="preserve">under the RDA </w:t>
      </w:r>
      <w:r w:rsidRPr="00431943">
        <w:t xml:space="preserve">in relation to </w:t>
      </w:r>
      <w:r>
        <w:t xml:space="preserve">alleged racial discrimination in the community and in </w:t>
      </w:r>
      <w:r w:rsidRPr="00431943">
        <w:t xml:space="preserve">police handling of </w:t>
      </w:r>
      <w:r w:rsidR="005F54EA">
        <w:t>a riot</w:t>
      </w:r>
      <w:r w:rsidR="005F54EA" w:rsidRPr="00431943">
        <w:t xml:space="preserve"> </w:t>
      </w:r>
      <w:r>
        <w:t xml:space="preserve">following </w:t>
      </w:r>
      <w:r w:rsidRPr="00431943">
        <w:t xml:space="preserve">the death of a 14-year-old </w:t>
      </w:r>
      <w:r>
        <w:t>I</w:t>
      </w:r>
      <w:r w:rsidRPr="00431943">
        <w:t>ndigenous boy</w:t>
      </w:r>
      <w:r>
        <w:t>, Elijah Doughty, in Kalgoorlie in 2016.</w:t>
      </w:r>
      <w:r>
        <w:rPr>
          <w:rStyle w:val="EndnoteReference"/>
        </w:rPr>
        <w:endnoteReference w:id="193"/>
      </w:r>
      <w:r>
        <w:t xml:space="preserve"> </w:t>
      </w:r>
    </w:p>
    <w:p w14:paraId="5B9E9F18" w14:textId="0A0D6B90" w:rsidR="009C23BD" w:rsidRDefault="009C23BD" w:rsidP="009C23BD">
      <w:pPr>
        <w:pStyle w:val="BodyText"/>
      </w:pPr>
      <w:r>
        <w:t>Elijah</w:t>
      </w:r>
      <w:r w:rsidRPr="00C817A3">
        <w:t xml:space="preserve"> was killed after he was struck by </w:t>
      </w:r>
      <w:r>
        <w:t xml:space="preserve">a vehicle while riding a motorcycle. </w:t>
      </w:r>
      <w:r w:rsidRPr="00C817A3">
        <w:t>The motorcycle was allegedly stolen</w:t>
      </w:r>
      <w:r>
        <w:t xml:space="preserve"> and</w:t>
      </w:r>
      <w:r w:rsidRPr="00C817A3">
        <w:t xml:space="preserve"> </w:t>
      </w:r>
      <w:r w:rsidR="00136335">
        <w:t xml:space="preserve">was said to have </w:t>
      </w:r>
      <w:r w:rsidR="0058226B">
        <w:t>belonged</w:t>
      </w:r>
      <w:r w:rsidRPr="00C817A3">
        <w:t xml:space="preserve"> to the driver.</w:t>
      </w:r>
      <w:r>
        <w:rPr>
          <w:rStyle w:val="EndnoteReference"/>
        </w:rPr>
        <w:endnoteReference w:id="194"/>
      </w:r>
      <w:r>
        <w:t xml:space="preserve"> The driver was </w:t>
      </w:r>
      <w:r w:rsidR="00A851EE">
        <w:t>charged with manslaughter</w:t>
      </w:r>
      <w:r>
        <w:t>.</w:t>
      </w:r>
      <w:r w:rsidR="00B32FAC" w:rsidRPr="00B32FAC">
        <w:rPr>
          <w:rStyle w:val="EndnoteReference"/>
        </w:rPr>
        <w:t xml:space="preserve"> </w:t>
      </w:r>
      <w:r w:rsidR="00B32FAC">
        <w:rPr>
          <w:rStyle w:val="EndnoteReference"/>
        </w:rPr>
        <w:endnoteReference w:id="195"/>
      </w:r>
      <w:r>
        <w:t xml:space="preserve"> </w:t>
      </w:r>
    </w:p>
    <w:p w14:paraId="0B213D08" w14:textId="47B7CD85" w:rsidR="00B32FAC" w:rsidRDefault="00B32FAC" w:rsidP="00A851EE">
      <w:pPr>
        <w:pStyle w:val="BodyText"/>
      </w:pPr>
      <w:r>
        <w:t>Violent riots</w:t>
      </w:r>
      <w:r w:rsidR="00A851EE">
        <w:t xml:space="preserve"> were sparked by frustrations that the charge was not more serious than manslaughter. </w:t>
      </w:r>
      <w:r>
        <w:t>Race</w:t>
      </w:r>
      <w:r w:rsidRPr="00A851EE">
        <w:t xml:space="preserve">-based comments on </w:t>
      </w:r>
      <w:r>
        <w:t xml:space="preserve">social media pages were said to have contributed </w:t>
      </w:r>
      <w:r w:rsidRPr="00A851EE">
        <w:t xml:space="preserve">to </w:t>
      </w:r>
      <w:r>
        <w:t xml:space="preserve">an </w:t>
      </w:r>
      <w:r w:rsidRPr="00A851EE">
        <w:t>atmosphere of tension in the town</w:t>
      </w:r>
      <w:r>
        <w:t xml:space="preserve"> and helped to spark the violence</w:t>
      </w:r>
      <w:r w:rsidRPr="00A851EE">
        <w:t>.</w:t>
      </w:r>
      <w:r w:rsidRPr="00B32FAC">
        <w:rPr>
          <w:rStyle w:val="EndnoteReference"/>
        </w:rPr>
        <w:t xml:space="preserve"> </w:t>
      </w:r>
      <w:r>
        <w:rPr>
          <w:rStyle w:val="EndnoteReference"/>
        </w:rPr>
        <w:endnoteReference w:id="196"/>
      </w:r>
    </w:p>
    <w:p w14:paraId="6F4A558D" w14:textId="6AB6F0A2" w:rsidR="009C23BD" w:rsidRDefault="009C23BD" w:rsidP="001C41DA">
      <w:pPr>
        <w:pStyle w:val="BodyText"/>
      </w:pPr>
      <w:r>
        <w:t xml:space="preserve">A relative of Elijah, Mr Yarran, </w:t>
      </w:r>
      <w:r w:rsidRPr="0042441B">
        <w:t xml:space="preserve">was sentenced to one year </w:t>
      </w:r>
      <w:r>
        <w:t xml:space="preserve">in jail </w:t>
      </w:r>
      <w:r w:rsidRPr="0042441B">
        <w:t>for yelling obscenities at police prior to</w:t>
      </w:r>
      <w:r w:rsidR="00B32FAC">
        <w:t xml:space="preserve"> the riots</w:t>
      </w:r>
      <w:r>
        <w:t xml:space="preserve">. On appeal, Mr Yarran’s sentence was reduced </w:t>
      </w:r>
      <w:r w:rsidRPr="00CB5F21">
        <w:t>to a suspended 12 month jail term and supervision order.</w:t>
      </w:r>
      <w:r>
        <w:rPr>
          <w:rStyle w:val="EndnoteReference"/>
        </w:rPr>
        <w:endnoteReference w:id="197"/>
      </w:r>
      <w:r w:rsidR="00A851EE">
        <w:t xml:space="preserve"> </w:t>
      </w:r>
      <w:r w:rsidR="00562E32">
        <w:t xml:space="preserve">Mr Yarran’s lawyer claims the </w:t>
      </w:r>
      <w:r w:rsidR="001C41DA">
        <w:t xml:space="preserve">initial </w:t>
      </w:r>
      <w:r w:rsidR="00562E32">
        <w:t xml:space="preserve">punishment </w:t>
      </w:r>
      <w:r w:rsidR="00562E32" w:rsidRPr="00562E32">
        <w:t>was excessive and racially discriminatory</w:t>
      </w:r>
      <w:r w:rsidR="00562E32">
        <w:t xml:space="preserve"> and that ‘</w:t>
      </w:r>
      <w:r w:rsidR="00562E32" w:rsidRPr="00562E32">
        <w:t>the harsh sentence and actions of the police and courts following Elijah's death revealed fractures within the WA justice system</w:t>
      </w:r>
      <w:r w:rsidR="001C41DA">
        <w:t>’</w:t>
      </w:r>
      <w:r w:rsidR="00562E32" w:rsidRPr="00562E32">
        <w:t>.</w:t>
      </w:r>
      <w:r w:rsidR="001C41DA" w:rsidRPr="001C41DA">
        <w:rPr>
          <w:rStyle w:val="EndnoteReference"/>
        </w:rPr>
        <w:t xml:space="preserve"> </w:t>
      </w:r>
      <w:r w:rsidR="001C41DA">
        <w:rPr>
          <w:rStyle w:val="EndnoteReference"/>
        </w:rPr>
        <w:endnoteReference w:id="198"/>
      </w:r>
    </w:p>
    <w:p w14:paraId="4DFCF99C" w14:textId="6D0F2613" w:rsidR="00CE21D6" w:rsidRDefault="00CE21D6" w:rsidP="00A851EE">
      <w:pPr>
        <w:pStyle w:val="BodyText"/>
      </w:pPr>
      <w:r>
        <w:t xml:space="preserve">The driver responsible for Elijah’s death was eventually found not guilty of manslaughter but was convicted for </w:t>
      </w:r>
      <w:r w:rsidRPr="0042441B">
        <w:t>dangerous driving causing death</w:t>
      </w:r>
      <w:r>
        <w:t xml:space="preserve"> and sentenced to three years jail.</w:t>
      </w:r>
      <w:r w:rsidR="001C41DA" w:rsidRPr="001C41DA">
        <w:rPr>
          <w:rStyle w:val="EndnoteReference"/>
        </w:rPr>
        <w:t xml:space="preserve"> </w:t>
      </w:r>
      <w:r w:rsidR="001C41DA">
        <w:rPr>
          <w:rStyle w:val="EndnoteReference"/>
        </w:rPr>
        <w:endnoteReference w:id="199"/>
      </w:r>
    </w:p>
    <w:p w14:paraId="1DE18456" w14:textId="77777777" w:rsidR="00B9337E" w:rsidRDefault="00B9337E" w:rsidP="00B9337E">
      <w:pPr>
        <w:pStyle w:val="ListParagraph"/>
      </w:pPr>
      <w:r w:rsidRPr="00567E89">
        <w:t>That</w:t>
      </w:r>
      <w:r>
        <w:t xml:space="preserve">: </w:t>
      </w:r>
    </w:p>
    <w:p w14:paraId="6F9E9CFF" w14:textId="77777777" w:rsidR="00B9337E" w:rsidRDefault="00B9337E" w:rsidP="00B9337E">
      <w:pPr>
        <w:pStyle w:val="ListParagraph"/>
        <w:numPr>
          <w:ilvl w:val="3"/>
          <w:numId w:val="22"/>
        </w:numPr>
      </w:pPr>
      <w:r w:rsidRPr="00567E89">
        <w:t>all Australian governments</w:t>
      </w:r>
      <w:r>
        <w:t xml:space="preserve"> </w:t>
      </w:r>
      <w:r w:rsidRPr="00567E89">
        <w:t>ensure police are trained in cultu</w:t>
      </w:r>
      <w:r>
        <w:t>ral competency and anti-racism</w:t>
      </w:r>
    </w:p>
    <w:p w14:paraId="32F9E6F6" w14:textId="77777777" w:rsidR="00B9337E" w:rsidRDefault="00B9337E" w:rsidP="00B9337E">
      <w:pPr>
        <w:pStyle w:val="ListParagraph"/>
        <w:numPr>
          <w:ilvl w:val="3"/>
          <w:numId w:val="22"/>
        </w:numPr>
      </w:pPr>
      <w:r w:rsidRPr="00567E89">
        <w:t>all Australian governments</w:t>
      </w:r>
      <w:r>
        <w:t xml:space="preserve"> </w:t>
      </w:r>
      <w:r w:rsidRPr="00567E89">
        <w:t xml:space="preserve">implement independent review mechanisms to monitor compliance of police practices with international human rights law (including CERD and the </w:t>
      </w:r>
      <w:r w:rsidRPr="00567E89">
        <w:rPr>
          <w:i/>
        </w:rPr>
        <w:t>Racial Discrimination Act 1975</w:t>
      </w:r>
      <w:r>
        <w:t xml:space="preserve"> (Cth)), and</w:t>
      </w:r>
      <w:r w:rsidRPr="00567E89">
        <w:t xml:space="preserve"> </w:t>
      </w:r>
    </w:p>
    <w:p w14:paraId="381E3CD1" w14:textId="77777777" w:rsidR="00B9337E" w:rsidRDefault="00B9337E" w:rsidP="00B9337E">
      <w:pPr>
        <w:pStyle w:val="ListParagraph"/>
        <w:numPr>
          <w:ilvl w:val="3"/>
          <w:numId w:val="22"/>
        </w:numPr>
      </w:pPr>
      <w:r w:rsidRPr="00567E89">
        <w:t xml:space="preserve">the Queensland Government respond appropriately to the Federal Court of Australia’s decision in </w:t>
      </w:r>
      <w:r w:rsidRPr="00B9337E">
        <w:rPr>
          <w:i/>
        </w:rPr>
        <w:t>Wotton v State of Queensland (No 5)</w:t>
      </w:r>
      <w:r w:rsidRPr="00567E89">
        <w:t xml:space="preserve"> [2016] FCA 1457.</w:t>
      </w:r>
      <w:r>
        <w:t xml:space="preserve"> </w:t>
      </w:r>
    </w:p>
    <w:p w14:paraId="30C6CC8A" w14:textId="2FA2B9FE" w:rsidR="009C23BD" w:rsidRDefault="009C23BD" w:rsidP="009C23BD">
      <w:pPr>
        <w:pStyle w:val="SubmissionNormal"/>
        <w:numPr>
          <w:ilvl w:val="0"/>
          <w:numId w:val="0"/>
        </w:numPr>
        <w:ind w:left="720"/>
      </w:pPr>
      <w:r w:rsidRPr="00EE6B76">
        <w:rPr>
          <w:b/>
          <w:i/>
        </w:rPr>
        <w:lastRenderedPageBreak/>
        <w:t xml:space="preserve">The Commission considers </w:t>
      </w:r>
      <w:r w:rsidR="00423B7A">
        <w:rPr>
          <w:b/>
          <w:i/>
        </w:rPr>
        <w:t>these</w:t>
      </w:r>
      <w:r w:rsidRPr="00EE6B76">
        <w:rPr>
          <w:b/>
          <w:i/>
        </w:rPr>
        <w:t xml:space="preserve"> issue</w:t>
      </w:r>
      <w:r w:rsidR="00423B7A">
        <w:rPr>
          <w:b/>
          <w:i/>
        </w:rPr>
        <w:t>s</w:t>
      </w:r>
      <w:r w:rsidRPr="00EE6B76">
        <w:rPr>
          <w:b/>
          <w:i/>
        </w:rPr>
        <w:t xml:space="preserve"> to be of such importance that the Committee should request an update from the Australian Government on progress in 12 months time.</w:t>
      </w:r>
    </w:p>
    <w:p w14:paraId="55A1A5D8" w14:textId="1C26130A" w:rsidR="009C23BD" w:rsidRPr="00D8654A" w:rsidRDefault="009C23BD" w:rsidP="009C23BD">
      <w:pPr>
        <w:pStyle w:val="Heading1"/>
      </w:pPr>
      <w:bookmarkStart w:id="81" w:name="_Toc497148314"/>
      <w:r>
        <w:t>C</w:t>
      </w:r>
      <w:r w:rsidRPr="00D8654A">
        <w:t xml:space="preserve">ounterterrorism </w:t>
      </w:r>
      <w:r>
        <w:t>(CERD article 5; CO 12)</w:t>
      </w:r>
      <w:bookmarkEnd w:id="81"/>
    </w:p>
    <w:p w14:paraId="356435E6" w14:textId="77777777" w:rsidR="009C23BD" w:rsidRDefault="009C23BD" w:rsidP="009C23BD">
      <w:pPr>
        <w:pStyle w:val="SubmissionNormal"/>
        <w:tabs>
          <w:tab w:val="clear" w:pos="7383"/>
        </w:tabs>
      </w:pPr>
      <w:r w:rsidRPr="00D8654A">
        <w:t xml:space="preserve">The Commission recognises the vital importance of ensuring that intelligence and </w:t>
      </w:r>
      <w:r w:rsidRPr="00F01088">
        <w:rPr>
          <w:rFonts w:cs="Arial"/>
        </w:rPr>
        <w:t>law</w:t>
      </w:r>
      <w:r w:rsidRPr="00D8654A">
        <w:t xml:space="preserve"> enforcement agencies have appropriate powers to protect Australia’s national security and to protect the community from terrorism.</w:t>
      </w:r>
      <w:r>
        <w:t xml:space="preserve"> </w:t>
      </w:r>
    </w:p>
    <w:p w14:paraId="607477A5" w14:textId="77777777" w:rsidR="009C23BD" w:rsidRDefault="009C23BD" w:rsidP="009C23BD">
      <w:pPr>
        <w:pStyle w:val="SubmissionNormal"/>
        <w:tabs>
          <w:tab w:val="clear" w:pos="7383"/>
        </w:tabs>
      </w:pPr>
      <w:r w:rsidRPr="00D8654A">
        <w:t>The Commission also recognises that human rights law accepts, subject to certain conditions, that the exercise of those powers might impinge to some extent on individual rights and freedoms. However, any such limitation on human rights must be clearly expressed, unambiguous in its terms, and necessary and proportionate in how it responds to potential harm.</w:t>
      </w:r>
    </w:p>
    <w:p w14:paraId="6F1ECC88" w14:textId="77777777" w:rsidR="009C23BD" w:rsidRPr="003F6006" w:rsidRDefault="009C23BD" w:rsidP="009C23BD">
      <w:pPr>
        <w:pStyle w:val="SubmissionNormal"/>
        <w:tabs>
          <w:tab w:val="clear" w:pos="720"/>
          <w:tab w:val="clear" w:pos="7383"/>
        </w:tabs>
      </w:pPr>
      <w:r w:rsidRPr="003F6006">
        <w:t xml:space="preserve">On 3 October 2017, Australia’s Prime Minister </w:t>
      </w:r>
      <w:r>
        <w:t>announced an intention to introduce new counterterrorism laws</w:t>
      </w:r>
      <w:r w:rsidRPr="003F6006">
        <w:t>.</w:t>
      </w:r>
      <w:r w:rsidRPr="003F6006">
        <w:rPr>
          <w:rStyle w:val="EndnoteReference"/>
        </w:rPr>
        <w:endnoteReference w:id="200"/>
      </w:r>
      <w:r w:rsidRPr="003F6006">
        <w:t xml:space="preserve"> </w:t>
      </w:r>
      <w:r>
        <w:t>A bill has not yet been introduced, but the media has</w:t>
      </w:r>
      <w:r w:rsidRPr="003F6006">
        <w:t xml:space="preserve"> </w:t>
      </w:r>
      <w:r>
        <w:t>so far</w:t>
      </w:r>
      <w:r w:rsidRPr="00CB3B9C">
        <w:t xml:space="preserve"> </w:t>
      </w:r>
      <w:r>
        <w:t xml:space="preserve">relevantly </w:t>
      </w:r>
      <w:r w:rsidRPr="003F6006">
        <w:t xml:space="preserve">reported </w:t>
      </w:r>
      <w:r>
        <w:t>the following new measures</w:t>
      </w:r>
      <w:r w:rsidRPr="003F6006">
        <w:t>:</w:t>
      </w:r>
    </w:p>
    <w:p w14:paraId="0B996436" w14:textId="6D463440" w:rsidR="009C23BD" w:rsidRPr="007B0065" w:rsidRDefault="009C23BD" w:rsidP="000F1F4B">
      <w:pPr>
        <w:pStyle w:val="ListParagraph"/>
        <w:numPr>
          <w:ilvl w:val="0"/>
          <w:numId w:val="24"/>
        </w:numPr>
        <w:spacing w:before="0" w:after="120"/>
        <w:rPr>
          <w:b w:val="0"/>
        </w:rPr>
      </w:pPr>
      <w:r w:rsidRPr="007B0065">
        <w:rPr>
          <w:b w:val="0"/>
        </w:rPr>
        <w:t>adding driver licences to the Government’s database of passport and immigration information to allow authorities to immediately identify people suspected of or i</w:t>
      </w:r>
      <w:r w:rsidR="0058226B">
        <w:rPr>
          <w:b w:val="0"/>
        </w:rPr>
        <w:t>nvolved in terrorist activities</w:t>
      </w:r>
    </w:p>
    <w:p w14:paraId="16A62730" w14:textId="07DD83FB" w:rsidR="009C23BD" w:rsidRPr="007B0065" w:rsidRDefault="009C23BD" w:rsidP="000F1F4B">
      <w:pPr>
        <w:pStyle w:val="ListParagraph"/>
        <w:numPr>
          <w:ilvl w:val="0"/>
          <w:numId w:val="24"/>
        </w:numPr>
        <w:spacing w:before="0" w:after="120"/>
        <w:rPr>
          <w:b w:val="0"/>
        </w:rPr>
      </w:pPr>
      <w:r w:rsidRPr="007B0065">
        <w:rPr>
          <w:b w:val="0"/>
        </w:rPr>
        <w:t>biometric screening at airports and information sharing between States to better detect anyone posing a national security risk</w:t>
      </w:r>
    </w:p>
    <w:p w14:paraId="7F3A1F6B" w14:textId="76156126" w:rsidR="009C23BD" w:rsidRPr="007B0065" w:rsidRDefault="009C23BD" w:rsidP="000F1F4B">
      <w:pPr>
        <w:pStyle w:val="ListParagraph"/>
        <w:numPr>
          <w:ilvl w:val="0"/>
          <w:numId w:val="24"/>
        </w:numPr>
        <w:spacing w:before="0" w:after="120"/>
        <w:rPr>
          <w:b w:val="0"/>
        </w:rPr>
      </w:pPr>
      <w:r w:rsidRPr="007B0065">
        <w:rPr>
          <w:b w:val="0"/>
        </w:rPr>
        <w:t>laws to detain terror suspects indefinitely, including those radicalised in prison, after their sentences were complete</w:t>
      </w:r>
    </w:p>
    <w:p w14:paraId="73D45AE8" w14:textId="29616718" w:rsidR="009C23BD" w:rsidRPr="007B0065" w:rsidRDefault="009C23BD" w:rsidP="000F1F4B">
      <w:pPr>
        <w:pStyle w:val="ListParagraph"/>
        <w:numPr>
          <w:ilvl w:val="0"/>
          <w:numId w:val="24"/>
        </w:numPr>
        <w:spacing w:before="0" w:after="120"/>
        <w:rPr>
          <w:b w:val="0"/>
        </w:rPr>
      </w:pPr>
      <w:r w:rsidRPr="007B0065">
        <w:rPr>
          <w:b w:val="0"/>
        </w:rPr>
        <w:t>increasing the pre-charge detentio</w:t>
      </w:r>
      <w:r w:rsidR="0058226B">
        <w:rPr>
          <w:b w:val="0"/>
        </w:rPr>
        <w:t>n periods from seven to 14 days</w:t>
      </w:r>
    </w:p>
    <w:p w14:paraId="34B06D0B" w14:textId="4AE2690D" w:rsidR="009C23BD" w:rsidRPr="007B0065" w:rsidRDefault="009C23BD" w:rsidP="000F1F4B">
      <w:pPr>
        <w:pStyle w:val="ListParagraph"/>
        <w:numPr>
          <w:ilvl w:val="0"/>
          <w:numId w:val="24"/>
        </w:numPr>
        <w:spacing w:before="0" w:after="120"/>
        <w:rPr>
          <w:b w:val="0"/>
        </w:rPr>
      </w:pPr>
      <w:r w:rsidRPr="007B0065">
        <w:rPr>
          <w:b w:val="0"/>
        </w:rPr>
        <w:t>more scope for security agencies to question suspects while they are detained but before they have been charged</w:t>
      </w:r>
    </w:p>
    <w:p w14:paraId="6F541516" w14:textId="7B5D5C68" w:rsidR="009C23BD" w:rsidRPr="007B0065" w:rsidRDefault="009C23BD" w:rsidP="000F1F4B">
      <w:pPr>
        <w:pStyle w:val="ListParagraph"/>
        <w:numPr>
          <w:ilvl w:val="0"/>
          <w:numId w:val="24"/>
        </w:numPr>
        <w:spacing w:before="0" w:after="120"/>
        <w:rPr>
          <w:b w:val="0"/>
        </w:rPr>
      </w:pPr>
      <w:r w:rsidRPr="007B0065">
        <w:rPr>
          <w:b w:val="0"/>
        </w:rPr>
        <w:t>new crimes for terr</w:t>
      </w:r>
      <w:r w:rsidR="0058226B">
        <w:rPr>
          <w:b w:val="0"/>
        </w:rPr>
        <w:t>orist hoaxes and the spread of ‘</w:t>
      </w:r>
      <w:r w:rsidRPr="007B0065">
        <w:rPr>
          <w:b w:val="0"/>
        </w:rPr>
        <w:t>i</w:t>
      </w:r>
      <w:r w:rsidR="0058226B">
        <w:rPr>
          <w:b w:val="0"/>
        </w:rPr>
        <w:t>nstructional terrorist material’</w:t>
      </w:r>
    </w:p>
    <w:p w14:paraId="07B9E1E2" w14:textId="6506D6F1" w:rsidR="009C23BD" w:rsidRPr="007B0065" w:rsidRDefault="009C23BD" w:rsidP="000F1F4B">
      <w:pPr>
        <w:pStyle w:val="ListParagraph"/>
        <w:numPr>
          <w:ilvl w:val="0"/>
          <w:numId w:val="24"/>
        </w:numPr>
        <w:spacing w:before="0" w:after="120"/>
        <w:rPr>
          <w:b w:val="0"/>
        </w:rPr>
      </w:pPr>
      <w:r w:rsidRPr="007B0065">
        <w:rPr>
          <w:b w:val="0"/>
        </w:rPr>
        <w:t>changes to preven</w:t>
      </w:r>
      <w:r w:rsidR="0058226B">
        <w:rPr>
          <w:b w:val="0"/>
        </w:rPr>
        <w:t>ta</w:t>
      </w:r>
      <w:r w:rsidRPr="007B0065">
        <w:rPr>
          <w:b w:val="0"/>
        </w:rPr>
        <w:t>tive detention orders to allow police to question suspects, while removing the need for a court order before a period of interim detention starts</w:t>
      </w:r>
    </w:p>
    <w:p w14:paraId="011B5C5E" w14:textId="052729B0" w:rsidR="009C23BD" w:rsidRPr="007B0065" w:rsidRDefault="009C23BD" w:rsidP="000F1F4B">
      <w:pPr>
        <w:pStyle w:val="ListParagraph"/>
        <w:numPr>
          <w:ilvl w:val="0"/>
          <w:numId w:val="24"/>
        </w:numPr>
        <w:spacing w:before="0" w:after="120"/>
        <w:rPr>
          <w:b w:val="0"/>
        </w:rPr>
      </w:pPr>
      <w:r w:rsidRPr="007B0065">
        <w:rPr>
          <w:b w:val="0"/>
        </w:rPr>
        <w:t xml:space="preserve">amending laws to include a </w:t>
      </w:r>
      <w:r w:rsidR="0058226B">
        <w:rPr>
          <w:b w:val="0"/>
        </w:rPr>
        <w:t>‘presumption against parole’</w:t>
      </w:r>
      <w:r w:rsidRPr="007B0065">
        <w:rPr>
          <w:b w:val="0"/>
        </w:rPr>
        <w:t xml:space="preserve"> for those with terror links</w:t>
      </w:r>
      <w:r w:rsidR="00101A62">
        <w:rPr>
          <w:b w:val="0"/>
        </w:rPr>
        <w:t>, and</w:t>
      </w:r>
    </w:p>
    <w:p w14:paraId="11B33DA5" w14:textId="0F6DB17B" w:rsidR="009C23BD" w:rsidRPr="007B0065" w:rsidRDefault="0058226B" w:rsidP="000F1F4B">
      <w:pPr>
        <w:pStyle w:val="ListParagraph"/>
        <w:numPr>
          <w:ilvl w:val="0"/>
          <w:numId w:val="24"/>
        </w:numPr>
        <w:spacing w:before="0" w:after="120"/>
        <w:rPr>
          <w:b w:val="0"/>
        </w:rPr>
      </w:pPr>
      <w:r>
        <w:rPr>
          <w:b w:val="0"/>
        </w:rPr>
        <w:t>‘</w:t>
      </w:r>
      <w:r w:rsidR="009C23BD" w:rsidRPr="007B0065">
        <w:rPr>
          <w:b w:val="0"/>
        </w:rPr>
        <w:t>intervention ord</w:t>
      </w:r>
      <w:r>
        <w:rPr>
          <w:b w:val="0"/>
        </w:rPr>
        <w:t>ers’</w:t>
      </w:r>
      <w:r w:rsidR="009C23BD" w:rsidRPr="007B0065">
        <w:rPr>
          <w:b w:val="0"/>
        </w:rPr>
        <w:t xml:space="preserve"> that would allow a magistrate to prevent someone contacting others — for instance, a young person who is at risk of being radicalised</w:t>
      </w:r>
      <w:r>
        <w:rPr>
          <w:b w:val="0"/>
        </w:rPr>
        <w:t xml:space="preserve"> by suspected terror recruiters.</w:t>
      </w:r>
      <w:r w:rsidR="009C23BD" w:rsidRPr="007B0065">
        <w:rPr>
          <w:rStyle w:val="EndnoteReference"/>
          <w:b w:val="0"/>
        </w:rPr>
        <w:endnoteReference w:id="201"/>
      </w:r>
    </w:p>
    <w:p w14:paraId="24509EF6" w14:textId="287B6565" w:rsidR="009C23BD" w:rsidRDefault="009C23BD" w:rsidP="009C23BD">
      <w:pPr>
        <w:pStyle w:val="SubmissionNormal"/>
        <w:tabs>
          <w:tab w:val="clear" w:pos="7383"/>
        </w:tabs>
      </w:pPr>
      <w:r>
        <w:t>The Commission is concerned by stereotypes of Muslim Australians with regard to terrorism and emphasises the importanc</w:t>
      </w:r>
      <w:r w:rsidR="0058226B">
        <w:t>e of ongoing reviews of counter</w:t>
      </w:r>
      <w:r>
        <w:t>terrorism laws to ensure compliance with international human rights law, including rights enshrined in CERD. The Commission notes that governments should be vigilant in avoiding any risk of racial profiling in the exercise of counterterrorism measures.</w:t>
      </w:r>
    </w:p>
    <w:p w14:paraId="43EF154D" w14:textId="331C75B4" w:rsidR="009C23BD" w:rsidRPr="00D8654A" w:rsidRDefault="009C23BD" w:rsidP="009C23BD">
      <w:pPr>
        <w:pStyle w:val="SubmissionNormal"/>
        <w:tabs>
          <w:tab w:val="clear" w:pos="7383"/>
        </w:tabs>
      </w:pPr>
      <w:r w:rsidRPr="00D8654A">
        <w:rPr>
          <w:lang w:eastAsia="en-US"/>
        </w:rPr>
        <w:lastRenderedPageBreak/>
        <w:t>The Commission notes the role of the Independent National Security Legislation Monitor (INSLM).</w:t>
      </w:r>
      <w:r w:rsidRPr="00D8654A">
        <w:rPr>
          <w:rStyle w:val="EndnoteReference"/>
          <w:rFonts w:cs="Arial"/>
          <w:lang w:eastAsia="en-US"/>
        </w:rPr>
        <w:endnoteReference w:id="202"/>
      </w:r>
      <w:r w:rsidRPr="00D8654A">
        <w:rPr>
          <w:lang w:eastAsia="en-US"/>
        </w:rPr>
        <w:t xml:space="preserve"> </w:t>
      </w:r>
      <w:r w:rsidRPr="00D8654A">
        <w:t>The INSLM reviews the operation, effectiveness and impl</w:t>
      </w:r>
      <w:r w:rsidR="0058226B">
        <w:t>ications of Australia’s counter</w:t>
      </w:r>
      <w:r w:rsidRPr="00D8654A">
        <w:t>terrorism and national security legislation on an ongoing basis. In performing that function, the INSLM has regard to Australia’s international human rights obligations.</w:t>
      </w:r>
      <w:r w:rsidRPr="00D8654A">
        <w:rPr>
          <w:rStyle w:val="EndnoteReference"/>
        </w:rPr>
        <w:endnoteReference w:id="203"/>
      </w:r>
      <w:r w:rsidRPr="00D8654A">
        <w:t xml:space="preserve">  </w:t>
      </w:r>
    </w:p>
    <w:p w14:paraId="46110992" w14:textId="0D55D47D" w:rsidR="009C23BD" w:rsidRPr="0058226B" w:rsidRDefault="009C23BD" w:rsidP="003A3C7B">
      <w:pPr>
        <w:pStyle w:val="BodyText"/>
      </w:pPr>
      <w:r w:rsidRPr="0058226B">
        <w:t xml:space="preserve">The Commission is concerned that the Australian </w:t>
      </w:r>
      <w:r w:rsidR="0058226B" w:rsidRPr="0058226B">
        <w:t>Government has passed counter</w:t>
      </w:r>
      <w:r w:rsidRPr="0058226B">
        <w:t xml:space="preserve">terrorism measures despite concerns raised by </w:t>
      </w:r>
      <w:r w:rsidR="00260775">
        <w:t>a</w:t>
      </w:r>
      <w:r w:rsidRPr="0058226B">
        <w:t xml:space="preserve"> </w:t>
      </w:r>
      <w:r w:rsidR="00735D18" w:rsidRPr="0058226B">
        <w:t xml:space="preserve">previous </w:t>
      </w:r>
      <w:r w:rsidRPr="0058226B">
        <w:t>INSLM. This has occurred in relation to the control order</w:t>
      </w:r>
      <w:r w:rsidRPr="0058226B">
        <w:rPr>
          <w:rStyle w:val="EndnoteReference"/>
          <w:sz w:val="24"/>
        </w:rPr>
        <w:endnoteReference w:id="204"/>
      </w:r>
      <w:r w:rsidRPr="0058226B">
        <w:t xml:space="preserve"> and preventative detention order</w:t>
      </w:r>
      <w:r w:rsidRPr="0058226B">
        <w:rPr>
          <w:rStyle w:val="EndnoteReference"/>
          <w:sz w:val="24"/>
        </w:rPr>
        <w:endnoteReference w:id="205"/>
      </w:r>
      <w:r w:rsidRPr="0058226B">
        <w:t xml:space="preserve"> regimes. </w:t>
      </w:r>
      <w:r w:rsidR="00104443" w:rsidRPr="0058226B">
        <w:t xml:space="preserve">The current INSLM has </w:t>
      </w:r>
      <w:r w:rsidR="00104443" w:rsidRPr="0058226B">
        <w:rPr>
          <w:rFonts w:cs="Arial"/>
          <w:lang w:val="en-GB"/>
        </w:rPr>
        <w:t xml:space="preserve">concluded that each regime is consistent with Australia’s human rights, </w:t>
      </w:r>
      <w:r w:rsidR="00104443" w:rsidRPr="0058226B">
        <w:rPr>
          <w:rFonts w:cs="Arial"/>
        </w:rPr>
        <w:t>counter</w:t>
      </w:r>
      <w:r w:rsidR="00104443" w:rsidRPr="0058226B">
        <w:rPr>
          <w:rFonts w:cs="Arial"/>
          <w:lang w:val="en-GB"/>
        </w:rPr>
        <w:t>-terrorism and international security obligations; proportionate to the current threats of terrorism and to national security; and necessary. He has recommended that, subject to implementation of suggested safeguards, each of these laws be renewed for a further period of five years.</w:t>
      </w:r>
      <w:r w:rsidR="00104443" w:rsidRPr="0058226B">
        <w:rPr>
          <w:rStyle w:val="EndnoteReference"/>
          <w:rFonts w:cs="Arial"/>
          <w:sz w:val="24"/>
          <w:lang w:val="en-GB"/>
        </w:rPr>
        <w:endnoteReference w:id="206"/>
      </w:r>
      <w:r w:rsidR="003A3C7B" w:rsidRPr="0058226B">
        <w:rPr>
          <w:rFonts w:cs="Arial"/>
          <w:lang w:val="en-GB"/>
        </w:rPr>
        <w:t xml:space="preserve"> </w:t>
      </w:r>
      <w:r w:rsidRPr="0058226B">
        <w:t xml:space="preserve">These </w:t>
      </w:r>
      <w:r w:rsidR="00104443" w:rsidRPr="0058226B">
        <w:t>laws</w:t>
      </w:r>
      <w:r w:rsidR="003A3C7B" w:rsidRPr="0058226B">
        <w:t xml:space="preserve"> and others</w:t>
      </w:r>
      <w:r w:rsidR="00104443" w:rsidRPr="0058226B">
        <w:t xml:space="preserve"> </w:t>
      </w:r>
      <w:r w:rsidRPr="0058226B">
        <w:t xml:space="preserve">are currently the subject of further review </w:t>
      </w:r>
      <w:r w:rsidR="00735D18" w:rsidRPr="0058226B">
        <w:t xml:space="preserve">by </w:t>
      </w:r>
      <w:r w:rsidRPr="0058226B">
        <w:t>a parliamentary joint committee.</w:t>
      </w:r>
      <w:r w:rsidRPr="0058226B">
        <w:rPr>
          <w:rStyle w:val="EndnoteReference"/>
          <w:sz w:val="24"/>
        </w:rPr>
        <w:endnoteReference w:id="207"/>
      </w:r>
      <w:r w:rsidRPr="0058226B">
        <w:t xml:space="preserve">  </w:t>
      </w:r>
    </w:p>
    <w:p w14:paraId="16A8F910" w14:textId="0A1114EA" w:rsidR="009C23BD" w:rsidRPr="00EE6B76" w:rsidRDefault="009C23BD" w:rsidP="000F1F4B">
      <w:pPr>
        <w:pStyle w:val="SubmissionNormal"/>
        <w:numPr>
          <w:ilvl w:val="0"/>
          <w:numId w:val="17"/>
        </w:numPr>
      </w:pPr>
      <w:r w:rsidRPr="00D8654A">
        <w:rPr>
          <w:rFonts w:eastAsia="Calibri"/>
          <w:b/>
          <w:lang w:val="en-NZ" w:eastAsia="en-US"/>
        </w:rPr>
        <w:t xml:space="preserve">That the Australian Government </w:t>
      </w:r>
      <w:r>
        <w:rPr>
          <w:b/>
        </w:rPr>
        <w:t>ensures</w:t>
      </w:r>
      <w:r w:rsidR="0058226B">
        <w:rPr>
          <w:b/>
        </w:rPr>
        <w:t xml:space="preserve"> that counter</w:t>
      </w:r>
      <w:r w:rsidRPr="00D8654A">
        <w:rPr>
          <w:b/>
        </w:rPr>
        <w:t>terrorism measures do not u</w:t>
      </w:r>
      <w:r>
        <w:rPr>
          <w:b/>
        </w:rPr>
        <w:t xml:space="preserve">nnecessarily limit human rights (including rights enshrined in CERD) and </w:t>
      </w:r>
      <w:r w:rsidRPr="00D8654A">
        <w:rPr>
          <w:rFonts w:eastAsia="Calibri"/>
          <w:b/>
          <w:lang w:val="en-NZ" w:eastAsia="en-US"/>
        </w:rPr>
        <w:t>consider</w:t>
      </w:r>
      <w:r>
        <w:rPr>
          <w:rFonts w:eastAsia="Calibri"/>
          <w:b/>
          <w:lang w:val="en-NZ" w:eastAsia="en-US"/>
        </w:rPr>
        <w:t>s</w:t>
      </w:r>
      <w:r w:rsidRPr="00D8654A">
        <w:rPr>
          <w:b/>
        </w:rPr>
        <w:t xml:space="preserve"> the concerns raised by the Independent National Security Legislation Monitor in</w:t>
      </w:r>
      <w:r>
        <w:rPr>
          <w:b/>
        </w:rPr>
        <w:t xml:space="preserve"> that process.</w:t>
      </w:r>
      <w:r w:rsidRPr="00D8654A">
        <w:rPr>
          <w:b/>
        </w:rPr>
        <w:t xml:space="preserve"> </w:t>
      </w:r>
    </w:p>
    <w:p w14:paraId="6B67982D" w14:textId="77777777" w:rsidR="009C23BD" w:rsidRPr="009A694D" w:rsidRDefault="009C23BD" w:rsidP="009C23BD">
      <w:pPr>
        <w:pStyle w:val="Heading1"/>
      </w:pPr>
      <w:bookmarkStart w:id="82" w:name="_Toc497148315"/>
      <w:r w:rsidRPr="009A694D">
        <w:t>Cyber-racism (CERD article 2)</w:t>
      </w:r>
      <w:bookmarkEnd w:id="82"/>
      <w:r w:rsidRPr="009A694D">
        <w:t xml:space="preserve"> </w:t>
      </w:r>
    </w:p>
    <w:p w14:paraId="0045ED7D" w14:textId="77777777" w:rsidR="009C23BD" w:rsidRDefault="009C23BD" w:rsidP="009C23BD">
      <w:pPr>
        <w:pStyle w:val="BodyText"/>
        <w:tabs>
          <w:tab w:val="clear" w:pos="7383"/>
        </w:tabs>
      </w:pPr>
      <w:r>
        <w:t>The Commission notes that developing strategies to address contemporary forms and manifestations of racism (such as racist materials promoted through communication technologies) is outlined in paragraph 143 of the Durban Declaration.</w:t>
      </w:r>
      <w:r>
        <w:rPr>
          <w:rStyle w:val="EndnoteReference"/>
        </w:rPr>
        <w:endnoteReference w:id="208"/>
      </w:r>
    </w:p>
    <w:p w14:paraId="15B480B2" w14:textId="107BE6CD" w:rsidR="009C23BD" w:rsidRPr="006A5995" w:rsidRDefault="009C23BD" w:rsidP="009C23BD">
      <w:pPr>
        <w:pStyle w:val="BodyText"/>
        <w:tabs>
          <w:tab w:val="clear" w:pos="7383"/>
        </w:tabs>
      </w:pPr>
      <w:r w:rsidRPr="006A5995">
        <w:t>The Commission is concerned about complaints received in relation to web based racist content in recent years. In 201</w:t>
      </w:r>
      <w:r w:rsidR="00F75788">
        <w:t>6</w:t>
      </w:r>
      <w:r w:rsidRPr="006A5995">
        <w:t>/1</w:t>
      </w:r>
      <w:r w:rsidR="00F75788">
        <w:t>7</w:t>
      </w:r>
      <w:r w:rsidRPr="006A5995">
        <w:t xml:space="preserve">, </w:t>
      </w:r>
      <w:r w:rsidR="00F75788">
        <w:t>internet-based racial hatred</w:t>
      </w:r>
      <w:r w:rsidRPr="006A5995">
        <w:t xml:space="preserve"> represented </w:t>
      </w:r>
      <w:r w:rsidR="00F75788">
        <w:t>5</w:t>
      </w:r>
      <w:r w:rsidRPr="006A5995">
        <w:t>% of the complaints of racial hatred received by the Commission.</w:t>
      </w:r>
      <w:r w:rsidRPr="006A5995">
        <w:rPr>
          <w:rStyle w:val="EndnoteReference"/>
        </w:rPr>
        <w:endnoteReference w:id="209"/>
      </w:r>
    </w:p>
    <w:p w14:paraId="48B9ED8E" w14:textId="77777777" w:rsidR="009C23BD" w:rsidRDefault="009C23BD" w:rsidP="009C23BD">
      <w:pPr>
        <w:pStyle w:val="BodyText"/>
        <w:tabs>
          <w:tab w:val="clear" w:pos="7383"/>
        </w:tabs>
      </w:pPr>
      <w:r w:rsidRPr="006A5995">
        <w:t>The Special Rapporteur on racial discrimination gave attention to cyber-racism on the internet and social media platforms in his recent report on his mission to Australia, and noted in particular that anti-Muslim hate speech has been on the increase in recent years</w:t>
      </w:r>
      <w:r>
        <w:t>,</w:t>
      </w:r>
      <w:r w:rsidRPr="006A5995">
        <w:t xml:space="preserve"> especially on social media platforms.</w:t>
      </w:r>
      <w:r w:rsidRPr="006A5995">
        <w:rPr>
          <w:rStyle w:val="EndnoteReference"/>
        </w:rPr>
        <w:endnoteReference w:id="210"/>
      </w:r>
      <w:r w:rsidRPr="006A5995">
        <w:t xml:space="preserve"> </w:t>
      </w:r>
    </w:p>
    <w:p w14:paraId="1FDB2DF8" w14:textId="77777777" w:rsidR="009C23BD" w:rsidRDefault="009C23BD" w:rsidP="009C23BD">
      <w:pPr>
        <w:pStyle w:val="SubmissionNormal"/>
        <w:tabs>
          <w:tab w:val="clear" w:pos="7383"/>
        </w:tabs>
        <w:rPr>
          <w:rFonts w:ascii="Calibri" w:eastAsiaTheme="minorHAnsi" w:hAnsi="Calibri"/>
          <w:sz w:val="22"/>
          <w:szCs w:val="22"/>
        </w:rPr>
      </w:pPr>
      <w:r>
        <w:t xml:space="preserve">The Australian Senate has referred an </w:t>
      </w:r>
      <w:r w:rsidRPr="006A5995">
        <w:rPr>
          <w:rFonts w:eastAsia="MS Mincho"/>
        </w:rPr>
        <w:t>inquiry</w:t>
      </w:r>
      <w:r>
        <w:t xml:space="preserve"> into cyberbullying to the Legal and Constitutional Affairs References Committee.</w:t>
      </w:r>
      <w:r>
        <w:rPr>
          <w:rStyle w:val="EndnoteReference"/>
        </w:rPr>
        <w:endnoteReference w:id="211"/>
      </w:r>
      <w:r>
        <w:t xml:space="preserve"> The inquiry is in relation to the capacity of existing offences in the Commonwealth Criminal Code and of state and territory criminal laws to capture cyberbullying. </w:t>
      </w:r>
    </w:p>
    <w:p w14:paraId="367F56CA" w14:textId="77777777" w:rsidR="009C23BD" w:rsidRDefault="009C23BD" w:rsidP="009C23BD">
      <w:pPr>
        <w:pStyle w:val="SubmissionNormal"/>
        <w:tabs>
          <w:tab w:val="clear" w:pos="7383"/>
        </w:tabs>
      </w:pPr>
      <w:r>
        <w:t>The Commission commends the establishment of an eSafety Commissioner.</w:t>
      </w:r>
      <w:r>
        <w:rPr>
          <w:rStyle w:val="EndnoteReference"/>
        </w:rPr>
        <w:endnoteReference w:id="212"/>
      </w:r>
      <w:r>
        <w:t xml:space="preserve"> The eSafety Commissioner’s role has focused on </w:t>
      </w:r>
      <w:r w:rsidRPr="00E122EC">
        <w:t>cyberbullying</w:t>
      </w:r>
      <w:r>
        <w:t xml:space="preserve"> of young people and cyber abuse (including cyber-racism).</w:t>
      </w:r>
      <w:r>
        <w:rPr>
          <w:rStyle w:val="EndnoteReference"/>
        </w:rPr>
        <w:endnoteReference w:id="213"/>
      </w:r>
    </w:p>
    <w:p w14:paraId="4E31591A" w14:textId="77777777" w:rsidR="009C23BD" w:rsidRDefault="009C23BD" w:rsidP="009C23BD">
      <w:pPr>
        <w:pStyle w:val="BodyText"/>
        <w:tabs>
          <w:tab w:val="clear" w:pos="7383"/>
        </w:tabs>
      </w:pPr>
      <w:r>
        <w:t>The Commission notes that t</w:t>
      </w:r>
      <w:r w:rsidRPr="006441C6">
        <w:t>he Cyber Racism and Commun</w:t>
      </w:r>
      <w:r>
        <w:t xml:space="preserve">ity Resilience research project, </w:t>
      </w:r>
      <w:r w:rsidRPr="006441C6">
        <w:t>a joint project involving a number of Australian Universities with</w:t>
      </w:r>
      <w:r>
        <w:t xml:space="preserve"> support from industry partners, </w:t>
      </w:r>
      <w:r w:rsidRPr="009A694D">
        <w:t xml:space="preserve">seeks to examine the production of, </w:t>
      </w:r>
      <w:r w:rsidRPr="009A694D">
        <w:lastRenderedPageBreak/>
        <w:t>prevalence of, exposure to, and strategies for responding to and limiting the negative impact of cyber-racism</w:t>
      </w:r>
      <w:r>
        <w:t>.</w:t>
      </w:r>
      <w:r>
        <w:rPr>
          <w:rStyle w:val="EndnoteReference"/>
        </w:rPr>
        <w:endnoteReference w:id="214"/>
      </w:r>
    </w:p>
    <w:p w14:paraId="56340C7E" w14:textId="77777777" w:rsidR="009C23BD" w:rsidRPr="006A5995" w:rsidRDefault="009C23BD" w:rsidP="009C23BD">
      <w:pPr>
        <w:pStyle w:val="ListParagraph"/>
      </w:pPr>
      <w:r w:rsidRPr="009A694D">
        <w:t xml:space="preserve">That </w:t>
      </w:r>
      <w:r>
        <w:t xml:space="preserve">the Australian Government continue to support </w:t>
      </w:r>
      <w:r w:rsidRPr="009A694D">
        <w:t>evidence</w:t>
      </w:r>
      <w:r>
        <w:t>-</w:t>
      </w:r>
      <w:r w:rsidRPr="009A694D">
        <w:t xml:space="preserve">based strategies to address cyber-racism </w:t>
      </w:r>
      <w:r>
        <w:t>a</w:t>
      </w:r>
      <w:r w:rsidRPr="009A694D">
        <w:t>s part of a coordinated approach to address racism.</w:t>
      </w:r>
    </w:p>
    <w:p w14:paraId="25D013A5" w14:textId="46E662C5" w:rsidR="009C23BD" w:rsidRDefault="009C23BD" w:rsidP="009C23BD">
      <w:pPr>
        <w:pStyle w:val="Heading1"/>
      </w:pPr>
      <w:bookmarkStart w:id="83" w:name="_Multiculturalism"/>
      <w:bookmarkStart w:id="84" w:name="_Toc497148316"/>
      <w:bookmarkEnd w:id="83"/>
      <w:r>
        <w:t>Freedom of expression</w:t>
      </w:r>
      <w:bookmarkEnd w:id="84"/>
    </w:p>
    <w:p w14:paraId="3A8E5A90" w14:textId="77777777" w:rsidR="009C23BD" w:rsidRPr="001B54AF" w:rsidRDefault="009C23BD" w:rsidP="009C23BD">
      <w:pPr>
        <w:pStyle w:val="Heading2"/>
      </w:pPr>
      <w:bookmarkStart w:id="85" w:name="_Toc497148317"/>
      <w:r>
        <w:t>Racial vilification and discrimination in public discourse (CERD article 2, 4 &amp; 7)</w:t>
      </w:r>
      <w:bookmarkEnd w:id="85"/>
    </w:p>
    <w:p w14:paraId="023513F1" w14:textId="5B34EF4A" w:rsidR="009C23BD" w:rsidRDefault="009C23BD" w:rsidP="009C23BD">
      <w:pPr>
        <w:pStyle w:val="BodyText"/>
        <w:tabs>
          <w:tab w:val="clear" w:pos="7383"/>
        </w:tabs>
      </w:pPr>
      <w:r>
        <w:t>Racial vilification is consistently raised as a concern by communities that experience racism. It is encountered not only in public places</w:t>
      </w:r>
      <w:r w:rsidR="0058226B">
        <w:t>,</w:t>
      </w:r>
      <w:r>
        <w:t xml:space="preserve"> such as on streets or in public transport, but also </w:t>
      </w:r>
      <w:r w:rsidR="0058226B">
        <w:t>in</w:t>
      </w:r>
      <w:r>
        <w:t xml:space="preserve"> public debates.</w:t>
      </w:r>
      <w:r>
        <w:rPr>
          <w:rStyle w:val="EndnoteReference"/>
        </w:rPr>
        <w:endnoteReference w:id="215"/>
      </w:r>
      <w:r>
        <w:t xml:space="preserve"> </w:t>
      </w:r>
    </w:p>
    <w:p w14:paraId="494ABEEB" w14:textId="77777777" w:rsidR="009C23BD" w:rsidRDefault="009C23BD" w:rsidP="009C23BD">
      <w:pPr>
        <w:pStyle w:val="BodyText"/>
        <w:tabs>
          <w:tab w:val="clear" w:pos="7383"/>
        </w:tabs>
      </w:pPr>
      <w:r>
        <w:t>The Commission considers that those who participate in public discussion have a responsibility to do so in a civil manner without resorting to prejudice or hatred. Parliamentarians and the news media, in particular, set a standard for public discussion of race and cultural diversity.</w:t>
      </w:r>
    </w:p>
    <w:p w14:paraId="538B2A51" w14:textId="59072552" w:rsidR="009C23BD" w:rsidRDefault="009C23BD" w:rsidP="009C23BD">
      <w:pPr>
        <w:pStyle w:val="SubmissionNormal"/>
        <w:tabs>
          <w:tab w:val="clear" w:pos="7383"/>
        </w:tabs>
      </w:pPr>
      <w:r>
        <w:t xml:space="preserve">The Select Committee on Strengthening Multiculturalism has called for a Parliamentary Code of Multicultural Ethics to set an appropriate standard for public discourse, particularly when discussing issues relating to multicultural affairs, migration and citizenship, </w:t>
      </w:r>
      <w:r w:rsidR="0058226B">
        <w:t>to</w:t>
      </w:r>
      <w:r>
        <w:t xml:space="preserve"> guide respectful public debate.</w:t>
      </w:r>
      <w:r w:rsidRPr="00D82661">
        <w:rPr>
          <w:rStyle w:val="EndnoteReference"/>
        </w:rPr>
        <w:t xml:space="preserve"> </w:t>
      </w:r>
      <w:r>
        <w:rPr>
          <w:rStyle w:val="EndnoteReference"/>
        </w:rPr>
        <w:endnoteReference w:id="216"/>
      </w:r>
      <w:r>
        <w:rPr>
          <w:rStyle w:val="EndnoteReference"/>
        </w:rPr>
        <w:t xml:space="preserve"> </w:t>
      </w:r>
    </w:p>
    <w:p w14:paraId="1CE35A51" w14:textId="65FB740C" w:rsidR="009C23BD" w:rsidRDefault="009C23BD" w:rsidP="009C23BD">
      <w:pPr>
        <w:pStyle w:val="BodyText"/>
        <w:tabs>
          <w:tab w:val="clear" w:pos="7383"/>
        </w:tabs>
      </w:pPr>
      <w:r>
        <w:t>The Australian Press Council’s Statement of General Principles instructs publishers to ‘avoid causing or contributing materially to substantial offence, distress or prejudice, or a substantial risk to health or safety, unless doing so is sufficiently in the public interest’</w:t>
      </w:r>
      <w:r w:rsidR="0058226B">
        <w:t>.</w:t>
      </w:r>
      <w:r>
        <w:rPr>
          <w:rStyle w:val="EndnoteReference"/>
        </w:rPr>
        <w:endnoteReference w:id="217"/>
      </w:r>
      <w:r>
        <w:t xml:space="preserve"> The Select Committee on Strengthening Multiculturalism recommended that the Australian Press Council develop a broadcast media Code of Conduct, requiring commercial broadcasters to report in such a way that raises awareness of Australia’s diversity and prohibits misrepresentation of culturally and linguistically diverse communities.</w:t>
      </w:r>
      <w:r>
        <w:rPr>
          <w:rStyle w:val="EndnoteReference"/>
        </w:rPr>
        <w:endnoteReference w:id="218"/>
      </w:r>
    </w:p>
    <w:p w14:paraId="590C96B0" w14:textId="237BB910" w:rsidR="009C23BD" w:rsidRPr="001B54AF" w:rsidRDefault="009C23BD" w:rsidP="009C23BD">
      <w:pPr>
        <w:pStyle w:val="BodyText"/>
        <w:tabs>
          <w:tab w:val="clear" w:pos="7383"/>
        </w:tabs>
        <w:rPr>
          <w:rStyle w:val="EndnoteReference"/>
          <w:sz w:val="24"/>
          <w:vertAlign w:val="baseline"/>
        </w:rPr>
      </w:pPr>
      <w:r>
        <w:t xml:space="preserve">The Commission’s </w:t>
      </w:r>
      <w:r w:rsidR="0058226B">
        <w:t>considers</w:t>
      </w:r>
      <w:r>
        <w:t xml:space="preserve"> that recognising a responsibility for civil discourse does not risk shutting down debate or rendering certain topics relating to race and ethnicity ‘off limits’. One large-scale study on the impact of hate speech laws analysed ‘letters to the editor’ published in Australian newspapers over many years. It found that the public debate on matters of race and ethnicity had not abated over the 1990s and 2000s, though the manner in which issues were articulated became less prejudicial or discriminatory as time went on.</w:t>
      </w:r>
      <w:r w:rsidRPr="00E870A8">
        <w:rPr>
          <w:rStyle w:val="EndnoteReference"/>
        </w:rPr>
        <w:t xml:space="preserve"> </w:t>
      </w:r>
      <w:r>
        <w:rPr>
          <w:rStyle w:val="EndnoteReference"/>
        </w:rPr>
        <w:endnoteReference w:id="219"/>
      </w:r>
    </w:p>
    <w:p w14:paraId="52FDBFCB" w14:textId="77777777" w:rsidR="009C23BD" w:rsidRDefault="009C23BD" w:rsidP="009C23BD">
      <w:pPr>
        <w:pStyle w:val="ListParagraph"/>
      </w:pPr>
      <w:r w:rsidRPr="002612DB">
        <w:t xml:space="preserve">That the </w:t>
      </w:r>
      <w:r>
        <w:t xml:space="preserve">Australian </w:t>
      </w:r>
      <w:r w:rsidRPr="002612DB">
        <w:t>Gov</w:t>
      </w:r>
      <w:r>
        <w:t>ernmen</w:t>
      </w:r>
      <w:r w:rsidRPr="002612DB">
        <w:t>t recognise that Australian race relations and community harmony can be profoundly influenced by the tone of public debate about immigration, multiculturalism and national security</w:t>
      </w:r>
      <w:r>
        <w:t xml:space="preserve">. </w:t>
      </w:r>
    </w:p>
    <w:p w14:paraId="6BB3B120" w14:textId="77777777" w:rsidR="009C23BD" w:rsidRPr="001B54AF" w:rsidRDefault="009C23BD" w:rsidP="009C23BD">
      <w:pPr>
        <w:pStyle w:val="Heading2"/>
      </w:pPr>
      <w:bookmarkStart w:id="86" w:name="_Toc497148318"/>
      <w:r>
        <w:lastRenderedPageBreak/>
        <w:t>Inquiries into freedom of expression (CERD article 2 &amp; 7)</w:t>
      </w:r>
      <w:bookmarkEnd w:id="86"/>
      <w:r>
        <w:t xml:space="preserve"> </w:t>
      </w:r>
    </w:p>
    <w:p w14:paraId="679F056B" w14:textId="77777777" w:rsidR="009C23BD" w:rsidRDefault="009C23BD" w:rsidP="009C23BD">
      <w:pPr>
        <w:pStyle w:val="BodyText"/>
        <w:tabs>
          <w:tab w:val="clear" w:pos="7383"/>
        </w:tabs>
      </w:pPr>
      <w:r>
        <w:t>The Commission notes that a number of inquiries have been held into particular aspects of freedom of expression:</w:t>
      </w:r>
    </w:p>
    <w:p w14:paraId="5A9FD02E" w14:textId="770CFC65" w:rsidR="009C23BD" w:rsidRPr="00322777" w:rsidRDefault="009C23BD" w:rsidP="000F1F4B">
      <w:pPr>
        <w:pStyle w:val="ListParagraph"/>
        <w:numPr>
          <w:ilvl w:val="0"/>
          <w:numId w:val="20"/>
        </w:numPr>
        <w:rPr>
          <w:b w:val="0"/>
        </w:rPr>
      </w:pPr>
      <w:r w:rsidRPr="00322777">
        <w:rPr>
          <w:b w:val="0"/>
        </w:rPr>
        <w:t>the ALRC’s report, Traditional Rights and Freedoms — Enc</w:t>
      </w:r>
      <w:r w:rsidR="00101A62">
        <w:rPr>
          <w:b w:val="0"/>
        </w:rPr>
        <w:t>roachments by Commonwealth Laws</w:t>
      </w:r>
      <w:r w:rsidRPr="00322777">
        <w:rPr>
          <w:rStyle w:val="EndnoteReference"/>
          <w:b w:val="0"/>
        </w:rPr>
        <w:endnoteReference w:id="220"/>
      </w:r>
      <w:r w:rsidRPr="00322777">
        <w:rPr>
          <w:b w:val="0"/>
        </w:rPr>
        <w:t xml:space="preserve"> </w:t>
      </w:r>
    </w:p>
    <w:p w14:paraId="40026DA5" w14:textId="3FCEA8DD" w:rsidR="009C23BD" w:rsidRPr="00322777" w:rsidRDefault="009C23BD" w:rsidP="000F1F4B">
      <w:pPr>
        <w:pStyle w:val="ListParagraph"/>
        <w:numPr>
          <w:ilvl w:val="0"/>
          <w:numId w:val="20"/>
        </w:numPr>
        <w:rPr>
          <w:b w:val="0"/>
        </w:rPr>
      </w:pPr>
      <w:r w:rsidRPr="00322777">
        <w:rPr>
          <w:b w:val="0"/>
        </w:rPr>
        <w:t>the PJCHR’s report in relation to whether the operation of Part IIA of the Racial Discrimination Act 1975 (Cth) (RDA) imposes unreasonable restrictions upon freedom of speech</w:t>
      </w:r>
      <w:r w:rsidR="00101A62">
        <w:rPr>
          <w:b w:val="0"/>
        </w:rPr>
        <w:t>,</w:t>
      </w:r>
      <w:r w:rsidRPr="00322777">
        <w:rPr>
          <w:rStyle w:val="EndnoteReference"/>
          <w:b w:val="0"/>
        </w:rPr>
        <w:endnoteReference w:id="221"/>
      </w:r>
      <w:r w:rsidR="00101A62">
        <w:rPr>
          <w:b w:val="0"/>
        </w:rPr>
        <w:t xml:space="preserve"> and</w:t>
      </w:r>
    </w:p>
    <w:p w14:paraId="3835333A" w14:textId="77777777" w:rsidR="009C23BD" w:rsidRDefault="009C23BD" w:rsidP="000F1F4B">
      <w:pPr>
        <w:pStyle w:val="ListParagraph"/>
        <w:numPr>
          <w:ilvl w:val="0"/>
          <w:numId w:val="20"/>
        </w:numPr>
        <w:rPr>
          <w:b w:val="0"/>
        </w:rPr>
      </w:pPr>
      <w:r w:rsidRPr="00322777">
        <w:rPr>
          <w:b w:val="0"/>
        </w:rPr>
        <w:t>the current Senate inquiry into laws of contempt in Australia, which will consider how competing principles, including freedom of speech, are balanced in contempt laws.</w:t>
      </w:r>
      <w:r w:rsidRPr="00322777">
        <w:rPr>
          <w:rStyle w:val="EndnoteReference"/>
          <w:b w:val="0"/>
        </w:rPr>
        <w:endnoteReference w:id="222"/>
      </w:r>
    </w:p>
    <w:p w14:paraId="6BFAFB34" w14:textId="6898DA98" w:rsidR="009C23BD" w:rsidRPr="003662C7" w:rsidRDefault="009C23BD" w:rsidP="008169CC">
      <w:pPr>
        <w:pStyle w:val="BodyText"/>
      </w:pPr>
      <w:r>
        <w:t>The Commission refers to its submission to the PJCHR’s inquiry, and the importance of both freedom of speech and freedom from racial vilification.</w:t>
      </w:r>
      <w:r w:rsidR="008169CC">
        <w:rPr>
          <w:rStyle w:val="EndnoteReference"/>
        </w:rPr>
        <w:endnoteReference w:id="223"/>
      </w:r>
    </w:p>
    <w:p w14:paraId="1683F081" w14:textId="77777777" w:rsidR="009C23BD" w:rsidRDefault="009C23BD" w:rsidP="009C23BD">
      <w:pPr>
        <w:pStyle w:val="BodyText"/>
        <w:tabs>
          <w:tab w:val="clear" w:pos="7383"/>
        </w:tabs>
      </w:pPr>
      <w:r>
        <w:t>The Commission considers the inquiries to date to be narrowly tailored to specific areas and that Australia would benefit form a broader inquiry into freedom of expression in Australia. Such an inquiry should cover criminal laws,</w:t>
      </w:r>
      <w:r>
        <w:rPr>
          <w:rStyle w:val="EndnoteReference"/>
        </w:rPr>
        <w:endnoteReference w:id="224"/>
      </w:r>
      <w:r>
        <w:t xml:space="preserve"> secrecy laws,</w:t>
      </w:r>
      <w:r>
        <w:rPr>
          <w:rStyle w:val="EndnoteReference"/>
        </w:rPr>
        <w:endnoteReference w:id="225"/>
      </w:r>
      <w:r>
        <w:t xml:space="preserve"> laws regarding participation in the democratic process,</w:t>
      </w:r>
      <w:r>
        <w:rPr>
          <w:rStyle w:val="EndnoteReference"/>
        </w:rPr>
        <w:endnoteReference w:id="226"/>
      </w:r>
      <w:r>
        <w:t xml:space="preserve"> media, broadcasting and communications laws and freedom of information laws, while maintaining respect for the importance of multiculturalism in Australian society. </w:t>
      </w:r>
    </w:p>
    <w:p w14:paraId="5EAE4D05" w14:textId="77777777" w:rsidR="009C23BD" w:rsidRPr="00D8654A" w:rsidRDefault="009C23BD" w:rsidP="009C23BD">
      <w:pPr>
        <w:pStyle w:val="ListParagraph"/>
      </w:pPr>
      <w:r w:rsidRPr="00324D76">
        <w:t xml:space="preserve">That the </w:t>
      </w:r>
      <w:r>
        <w:t xml:space="preserve">Australian </w:t>
      </w:r>
      <w:r w:rsidRPr="00324D76">
        <w:t xml:space="preserve">Government </w:t>
      </w:r>
      <w:r>
        <w:t xml:space="preserve">commission an independent, </w:t>
      </w:r>
      <w:r w:rsidRPr="00324D76">
        <w:t>broad</w:t>
      </w:r>
      <w:r>
        <w:t>ly focused</w:t>
      </w:r>
      <w:r w:rsidRPr="00324D76">
        <w:t xml:space="preserve"> inquiry into freedom of </w:t>
      </w:r>
      <w:r>
        <w:t xml:space="preserve">expression </w:t>
      </w:r>
      <w:r w:rsidRPr="00324D76">
        <w:t>in Australia.</w:t>
      </w:r>
    </w:p>
    <w:p w14:paraId="4C105D22" w14:textId="77777777" w:rsidR="00182E4E" w:rsidRDefault="00182E4E" w:rsidP="00182E4E">
      <w:pPr>
        <w:pStyle w:val="Heading1"/>
      </w:pPr>
      <w:bookmarkStart w:id="87" w:name="_Toc491243302"/>
      <w:bookmarkStart w:id="88" w:name="_Toc497148319"/>
      <w:r>
        <w:t xml:space="preserve">Immigration detention </w:t>
      </w:r>
      <w:bookmarkEnd w:id="87"/>
      <w:r>
        <w:t>(CO 24)</w:t>
      </w:r>
      <w:bookmarkEnd w:id="88"/>
    </w:p>
    <w:p w14:paraId="2AD1B9EB" w14:textId="77777777" w:rsidR="00182E4E" w:rsidRPr="00784C20" w:rsidRDefault="00182E4E" w:rsidP="00182E4E">
      <w:pPr>
        <w:pStyle w:val="BodyText"/>
      </w:pPr>
      <w:r>
        <w:t>The Commission notes the Committee’s interest in Australia’s mandatory detention regime and treatment of refugees and asylum seekers, as expressed in paragraph 24 of its concluding observations of 2010. The Commission provides up-to-date information in this regard below.</w:t>
      </w:r>
    </w:p>
    <w:p w14:paraId="4AD63AAC" w14:textId="77777777" w:rsidR="00182E4E" w:rsidRDefault="00182E4E" w:rsidP="00910DFF">
      <w:pPr>
        <w:pStyle w:val="Heading2"/>
      </w:pPr>
      <w:bookmarkStart w:id="89" w:name="_Toc497148320"/>
      <w:r>
        <w:t>Detainee numbers, nationalities and length of detention</w:t>
      </w:r>
      <w:bookmarkEnd w:id="89"/>
    </w:p>
    <w:p w14:paraId="1795AB35" w14:textId="69744520" w:rsidR="00182E4E" w:rsidRPr="00554CAE" w:rsidRDefault="00182E4E" w:rsidP="00182E4E">
      <w:pPr>
        <w:pStyle w:val="BodyText"/>
      </w:pPr>
      <w:r w:rsidRPr="008616F1">
        <w:t xml:space="preserve">At 31 </w:t>
      </w:r>
      <w:r>
        <w:t>August</w:t>
      </w:r>
      <w:r w:rsidRPr="008616F1">
        <w:t xml:space="preserve"> 2017, there were 1</w:t>
      </w:r>
      <w:r>
        <w:t>,</w:t>
      </w:r>
      <w:r w:rsidRPr="008616F1">
        <w:t>2</w:t>
      </w:r>
      <w:r>
        <w:t>59</w:t>
      </w:r>
      <w:r w:rsidRPr="008616F1">
        <w:t xml:space="preserve"> people in immigration detention facilities, including 9</w:t>
      </w:r>
      <w:r>
        <w:t>48</w:t>
      </w:r>
      <w:r w:rsidRPr="008616F1">
        <w:t xml:space="preserve"> on mainland</w:t>
      </w:r>
      <w:r>
        <w:t xml:space="preserve"> Australia and 311 </w:t>
      </w:r>
      <w:r w:rsidRPr="008616F1">
        <w:t xml:space="preserve">on Christmas </w:t>
      </w:r>
      <w:r w:rsidR="00101A62">
        <w:t>Island:</w:t>
      </w:r>
      <w:r w:rsidRPr="00554CAE">
        <w:t xml:space="preserve"> </w:t>
      </w:r>
    </w:p>
    <w:p w14:paraId="63D5D81C" w14:textId="698927DC" w:rsidR="00182E4E" w:rsidRDefault="00182E4E" w:rsidP="000F1F4B">
      <w:pPr>
        <w:pStyle w:val="ListParagraph"/>
        <w:numPr>
          <w:ilvl w:val="0"/>
          <w:numId w:val="19"/>
        </w:numPr>
        <w:rPr>
          <w:b w:val="0"/>
        </w:rPr>
      </w:pPr>
      <w:r w:rsidRPr="00554CAE">
        <w:rPr>
          <w:b w:val="0"/>
        </w:rPr>
        <w:t>17</w:t>
      </w:r>
      <w:r>
        <w:rPr>
          <w:b w:val="0"/>
        </w:rPr>
        <w:t>6</w:t>
      </w:r>
      <w:r w:rsidRPr="00554CAE">
        <w:rPr>
          <w:b w:val="0"/>
        </w:rPr>
        <w:t xml:space="preserve"> from New Zealand, 9</w:t>
      </w:r>
      <w:r>
        <w:rPr>
          <w:b w:val="0"/>
        </w:rPr>
        <w:t>2</w:t>
      </w:r>
      <w:r w:rsidRPr="00554CAE">
        <w:rPr>
          <w:b w:val="0"/>
        </w:rPr>
        <w:t xml:space="preserve"> from Iran, </w:t>
      </w:r>
      <w:r>
        <w:rPr>
          <w:b w:val="0"/>
        </w:rPr>
        <w:t>88 from Vietnam, 74</w:t>
      </w:r>
      <w:r w:rsidRPr="00554CAE">
        <w:rPr>
          <w:b w:val="0"/>
        </w:rPr>
        <w:t xml:space="preserve"> from Sri Lanka, 6</w:t>
      </w:r>
      <w:r>
        <w:rPr>
          <w:b w:val="0"/>
        </w:rPr>
        <w:t>3</w:t>
      </w:r>
      <w:r w:rsidRPr="00554CAE">
        <w:rPr>
          <w:b w:val="0"/>
        </w:rPr>
        <w:t xml:space="preserve"> from Malaysia, 6</w:t>
      </w:r>
      <w:r>
        <w:rPr>
          <w:b w:val="0"/>
        </w:rPr>
        <w:t>1</w:t>
      </w:r>
      <w:r w:rsidRPr="00554CAE">
        <w:rPr>
          <w:b w:val="0"/>
        </w:rPr>
        <w:t xml:space="preserve"> from China, </w:t>
      </w:r>
      <w:r>
        <w:rPr>
          <w:b w:val="0"/>
        </w:rPr>
        <w:t>56</w:t>
      </w:r>
      <w:r w:rsidRPr="00554CAE">
        <w:rPr>
          <w:b w:val="0"/>
        </w:rPr>
        <w:t xml:space="preserve"> from India, 5</w:t>
      </w:r>
      <w:r>
        <w:rPr>
          <w:b w:val="0"/>
        </w:rPr>
        <w:t>0</w:t>
      </w:r>
      <w:r w:rsidRPr="00554CAE">
        <w:rPr>
          <w:b w:val="0"/>
        </w:rPr>
        <w:t xml:space="preserve"> from the United Kingdom, </w:t>
      </w:r>
      <w:r>
        <w:rPr>
          <w:b w:val="0"/>
        </w:rPr>
        <w:t>39</w:t>
      </w:r>
      <w:r w:rsidRPr="00554CAE">
        <w:rPr>
          <w:b w:val="0"/>
        </w:rPr>
        <w:t xml:space="preserve"> from Afghanistan and 5</w:t>
      </w:r>
      <w:r>
        <w:rPr>
          <w:b w:val="0"/>
        </w:rPr>
        <w:t>60</w:t>
      </w:r>
      <w:r w:rsidRPr="00554CAE">
        <w:rPr>
          <w:b w:val="0"/>
        </w:rPr>
        <w:t xml:space="preserve"> of other nationalities.</w:t>
      </w:r>
      <w:r w:rsidRPr="00554CAE">
        <w:rPr>
          <w:rStyle w:val="EndnoteReference"/>
          <w:b w:val="0"/>
        </w:rPr>
        <w:endnoteReference w:id="227"/>
      </w:r>
    </w:p>
    <w:p w14:paraId="1DD08B6E" w14:textId="50891490" w:rsidR="00182E4E" w:rsidRDefault="00182E4E" w:rsidP="000F1F4B">
      <w:pPr>
        <w:pStyle w:val="ListParagraph"/>
        <w:numPr>
          <w:ilvl w:val="0"/>
          <w:numId w:val="19"/>
        </w:numPr>
        <w:rPr>
          <w:b w:val="0"/>
        </w:rPr>
      </w:pPr>
      <w:r>
        <w:rPr>
          <w:b w:val="0"/>
        </w:rPr>
        <w:t xml:space="preserve">1,180 adult men, 78 adult women and one </w:t>
      </w:r>
      <w:r w:rsidR="00101A62">
        <w:rPr>
          <w:b w:val="0"/>
        </w:rPr>
        <w:t>c</w:t>
      </w:r>
      <w:r>
        <w:rPr>
          <w:b w:val="0"/>
        </w:rPr>
        <w:t>hild.</w:t>
      </w:r>
      <w:r>
        <w:rPr>
          <w:rStyle w:val="EndnoteReference"/>
          <w:b w:val="0"/>
        </w:rPr>
        <w:endnoteReference w:id="228"/>
      </w:r>
    </w:p>
    <w:p w14:paraId="6481CBF5" w14:textId="77777777" w:rsidR="00182E4E" w:rsidRPr="00554CAE" w:rsidRDefault="00182E4E" w:rsidP="000F1F4B">
      <w:pPr>
        <w:pStyle w:val="ListParagraph"/>
        <w:numPr>
          <w:ilvl w:val="0"/>
          <w:numId w:val="19"/>
        </w:numPr>
        <w:rPr>
          <w:b w:val="0"/>
        </w:rPr>
      </w:pPr>
      <w:r>
        <w:rPr>
          <w:b w:val="0"/>
        </w:rPr>
        <w:t xml:space="preserve">468 had been detained after having their visa cancelled on character grounds, 332 were asylum seekers who had arrived by boat, 265 had </w:t>
      </w:r>
      <w:r>
        <w:rPr>
          <w:b w:val="0"/>
        </w:rPr>
        <w:lastRenderedPageBreak/>
        <w:t>overstayed their visas, 145 had been detained after having their visa cancelled on non-character grounds, 44 had been detained after being denied entry at an Australian airport and five were undocumented or inadequately documented seaport arrivals (such as stowaways).</w:t>
      </w:r>
      <w:r>
        <w:rPr>
          <w:rStyle w:val="EndnoteReference"/>
          <w:b w:val="0"/>
        </w:rPr>
        <w:endnoteReference w:id="229"/>
      </w:r>
    </w:p>
    <w:p w14:paraId="627A5D67" w14:textId="77777777" w:rsidR="00182E4E" w:rsidRDefault="00182E4E" w:rsidP="00182E4E">
      <w:pPr>
        <w:pStyle w:val="BodyText"/>
      </w:pPr>
      <w:r>
        <w:t>The average length of detention in immigration detention facilities has increased significantly in recent years. The average rose from 72 days in July 2013</w:t>
      </w:r>
      <w:r>
        <w:rPr>
          <w:rStyle w:val="EndnoteReference"/>
        </w:rPr>
        <w:endnoteReference w:id="230"/>
      </w:r>
      <w:r>
        <w:t xml:space="preserve"> to almost 400 days by August 2014, and has remained at or above that level ever since.</w:t>
      </w:r>
      <w:r>
        <w:rPr>
          <w:rStyle w:val="EndnoteReference"/>
        </w:rPr>
        <w:endnoteReference w:id="231"/>
      </w:r>
      <w:r>
        <w:t xml:space="preserve"> </w:t>
      </w:r>
      <w:r w:rsidRPr="005656EA">
        <w:t xml:space="preserve">As at 31 </w:t>
      </w:r>
      <w:r>
        <w:t>August</w:t>
      </w:r>
      <w:r w:rsidRPr="005656EA">
        <w:t xml:space="preserve"> 2017, the average length of detention was 4</w:t>
      </w:r>
      <w:r>
        <w:t>45</w:t>
      </w:r>
      <w:r w:rsidRPr="005656EA">
        <w:t xml:space="preserve"> days.</w:t>
      </w:r>
      <w:r>
        <w:t xml:space="preserve"> Over a third of people in detention (36%) had been detained for at least a year, and around a fifth (22%) had been detained for </w:t>
      </w:r>
      <w:r w:rsidRPr="005656EA">
        <w:t>more than two years</w:t>
      </w:r>
      <w:r>
        <w:t>.</w:t>
      </w:r>
      <w:r>
        <w:rPr>
          <w:rStyle w:val="EndnoteReference"/>
        </w:rPr>
        <w:endnoteReference w:id="232"/>
      </w:r>
      <w:r>
        <w:t xml:space="preserve"> </w:t>
      </w:r>
    </w:p>
    <w:p w14:paraId="0B5E2BBC" w14:textId="77777777" w:rsidR="00182E4E" w:rsidRPr="00554CAE" w:rsidRDefault="00182E4E" w:rsidP="00182E4E">
      <w:pPr>
        <w:pStyle w:val="SubmissionNormal"/>
      </w:pPr>
      <w:r>
        <w:t>As at 31 August 2017, there were 369 people (including 43 children) residing in the Regional Processing Centre in Nauru and 773 adult men residing in the Regional Processing Centre in Manus Island, Papua New Guinea. In both countries, a significant number of people are also residing in the community after having been released from Regional Processing Centres.</w:t>
      </w:r>
      <w:r>
        <w:rPr>
          <w:rStyle w:val="EndnoteReference"/>
        </w:rPr>
        <w:endnoteReference w:id="233"/>
      </w:r>
    </w:p>
    <w:p w14:paraId="36C093AE" w14:textId="77777777" w:rsidR="00182E4E" w:rsidRPr="004839D6" w:rsidRDefault="00182E4E" w:rsidP="00910DFF">
      <w:pPr>
        <w:pStyle w:val="Heading2"/>
      </w:pPr>
      <w:bookmarkStart w:id="90" w:name="_Toc497148321"/>
      <w:r>
        <w:t>Legislative framework</w:t>
      </w:r>
      <w:bookmarkEnd w:id="90"/>
      <w:r w:rsidRPr="004839D6">
        <w:t xml:space="preserve"> </w:t>
      </w:r>
    </w:p>
    <w:p w14:paraId="14EE3F86" w14:textId="77777777" w:rsidR="00182E4E" w:rsidRPr="004839D6" w:rsidRDefault="00182E4E" w:rsidP="00182E4E">
      <w:pPr>
        <w:pStyle w:val="SubmissionNormal"/>
        <w:tabs>
          <w:tab w:val="clear" w:pos="7383"/>
        </w:tabs>
      </w:pPr>
      <w:r w:rsidRPr="004839D6">
        <w:t xml:space="preserve">Under the </w:t>
      </w:r>
      <w:r w:rsidRPr="004839D6">
        <w:rPr>
          <w:i/>
        </w:rPr>
        <w:t xml:space="preserve">Migration Act 1958 </w:t>
      </w:r>
      <w:r w:rsidRPr="004839D6">
        <w:t>(Cth) (the Migration Act), immigration detention remains mandatory for all unlawful non-citizens.</w:t>
      </w:r>
      <w:r w:rsidRPr="004839D6">
        <w:rPr>
          <w:rStyle w:val="EndnoteReference"/>
        </w:rPr>
        <w:endnoteReference w:id="234"/>
      </w:r>
      <w:r w:rsidRPr="004839D6">
        <w:t xml:space="preserve"> Australian courts do not have jurisdiction to remove a person from detention on the basis that their detention is arbitrary, and there is no legislative time limit on detention.</w:t>
      </w:r>
    </w:p>
    <w:p w14:paraId="1307ABD5" w14:textId="77777777" w:rsidR="00182E4E" w:rsidRPr="004839D6" w:rsidRDefault="00182E4E" w:rsidP="00182E4E">
      <w:pPr>
        <w:pStyle w:val="SubmissionNormal"/>
        <w:tabs>
          <w:tab w:val="clear" w:pos="720"/>
          <w:tab w:val="clear" w:pos="7383"/>
        </w:tabs>
      </w:pPr>
      <w:r w:rsidRPr="004839D6">
        <w:t xml:space="preserve">Positive developments relating to immigration detention </w:t>
      </w:r>
      <w:r>
        <w:t>in recent years</w:t>
      </w:r>
      <w:r w:rsidRPr="004839D6">
        <w:t xml:space="preserve"> include: the release of almost all children from closed facilities into alternative community arrangements;</w:t>
      </w:r>
      <w:r w:rsidRPr="004839D6">
        <w:rPr>
          <w:rStyle w:val="EndnoteReference"/>
        </w:rPr>
        <w:endnoteReference w:id="235"/>
      </w:r>
      <w:r w:rsidRPr="004839D6">
        <w:t xml:space="preserve"> the closure of several detention facilities;</w:t>
      </w:r>
      <w:r w:rsidRPr="004839D6">
        <w:rPr>
          <w:rStyle w:val="EndnoteReference"/>
        </w:rPr>
        <w:endnoteReference w:id="236"/>
      </w:r>
      <w:r w:rsidRPr="004839D6">
        <w:t xml:space="preserve"> increased use of community alternatives to detention; commitment to ratification of OPCAT; and the release of a number of refugees who previously had been detained indefinitely due to having received an adverse security assessment.</w:t>
      </w:r>
    </w:p>
    <w:p w14:paraId="2857CE0A" w14:textId="77777777" w:rsidR="00182E4E" w:rsidRDefault="00182E4E" w:rsidP="00182E4E">
      <w:pPr>
        <w:pStyle w:val="SubmissionNormal"/>
        <w:tabs>
          <w:tab w:val="clear" w:pos="720"/>
          <w:tab w:val="clear" w:pos="7383"/>
        </w:tabs>
      </w:pPr>
      <w:r w:rsidRPr="004839D6">
        <w:t xml:space="preserve">However, the Commission is concerned about an increase in long-term detention, an increase in the number of people detained due to visa cancellation, and a small number of refugees who continue to be indefinitely detained due to adverse security assessments. </w:t>
      </w:r>
    </w:p>
    <w:p w14:paraId="4B88304C" w14:textId="77777777" w:rsidR="00182E4E" w:rsidRDefault="00182E4E" w:rsidP="00182E4E">
      <w:pPr>
        <w:pStyle w:val="SubmissionNormal"/>
        <w:tabs>
          <w:tab w:val="clear" w:pos="720"/>
          <w:tab w:val="clear" w:pos="7383"/>
        </w:tabs>
      </w:pPr>
      <w:r>
        <w:t xml:space="preserve">The Commission has recommended that </w:t>
      </w:r>
      <w:r w:rsidRPr="00AB154D">
        <w:t>the Australian Government continue to expand the use of alternatives to closed detention and, where immigration detention is necessary, ensure that it is time limited, strictly necessary (such as for the purpose of public health and security checks) and subject to individualised decision-making and judicial oversight.</w:t>
      </w:r>
    </w:p>
    <w:p w14:paraId="7455FA84" w14:textId="77777777" w:rsidR="00182E4E" w:rsidRDefault="00182E4E" w:rsidP="00182E4E">
      <w:pPr>
        <w:pStyle w:val="BodyText"/>
        <w:tabs>
          <w:tab w:val="clear" w:pos="7383"/>
        </w:tabs>
      </w:pPr>
      <w:r w:rsidRPr="00D6098E">
        <w:t xml:space="preserve">There are no minimum standards for conditions of detention codified in Australian law. Introducing these standards would help to ensure greater consistency in conditions across the detention network, prevent breaches of Australia’s international obligations and facilitate access to appropriate remedies if breaches do occur. The Commission’s publication </w:t>
      </w:r>
      <w:r w:rsidRPr="00D6098E">
        <w:rPr>
          <w:i/>
        </w:rPr>
        <w:t>Human rights standards for immigration detention</w:t>
      </w:r>
      <w:r w:rsidRPr="00D6098E">
        <w:t xml:space="preserve">, which sets out benchmarks for the </w:t>
      </w:r>
      <w:r w:rsidRPr="00D6098E">
        <w:lastRenderedPageBreak/>
        <w:t>humane treatment of people held in immigration detention, could provide the basis for these minimum standards</w:t>
      </w:r>
      <w:r w:rsidRPr="00027A6D">
        <w:t>.</w:t>
      </w:r>
      <w:r>
        <w:rPr>
          <w:rStyle w:val="EndnoteReference"/>
        </w:rPr>
        <w:endnoteReference w:id="237"/>
      </w:r>
    </w:p>
    <w:p w14:paraId="77FDDFD9" w14:textId="6CD2F6E1" w:rsidR="00182E4E" w:rsidRDefault="00182E4E" w:rsidP="00182E4E">
      <w:pPr>
        <w:pStyle w:val="BodyText"/>
        <w:tabs>
          <w:tab w:val="clear" w:pos="7383"/>
        </w:tabs>
      </w:pPr>
      <w:r>
        <w:t>Ratification of OPCAT will likely result in more systematic consideration of the adequacy and appropriateness of conditions of detention in the coming years.</w:t>
      </w:r>
    </w:p>
    <w:p w14:paraId="5FCD8F95" w14:textId="2650774F" w:rsidR="009C23BD" w:rsidRDefault="009C23BD" w:rsidP="009C23BD">
      <w:pPr>
        <w:pStyle w:val="Heading1"/>
      </w:pPr>
      <w:bookmarkStart w:id="91" w:name="_Toc497148322"/>
      <w:r>
        <w:t>Business and human rights (CO 13)</w:t>
      </w:r>
      <w:bookmarkEnd w:id="91"/>
    </w:p>
    <w:p w14:paraId="6C0A2E01" w14:textId="77777777" w:rsidR="009C23BD" w:rsidRDefault="009C23BD" w:rsidP="009C23BD">
      <w:pPr>
        <w:pStyle w:val="BodyText"/>
        <w:tabs>
          <w:tab w:val="clear" w:pos="7383"/>
        </w:tabs>
      </w:pPr>
      <w:r>
        <w:t>The Commission notes that, in paragraph 13 of its concluding observations, the Committee indicated its interest in legislative or administrative measures to prevent acts by Australian corporations infringing the rights of Indigenous peoples domestically and overseas and to regulate the extraterritorial activities of Australian corporations abroad. The Committee also encouraged Australia to fulfil its commitments under the international initiatives it supports to advance responsible corporate citizenship.</w:t>
      </w:r>
    </w:p>
    <w:p w14:paraId="5D93C543" w14:textId="77777777" w:rsidR="009C23BD" w:rsidRDefault="009C23BD" w:rsidP="009C23BD">
      <w:pPr>
        <w:pStyle w:val="BodyText"/>
        <w:tabs>
          <w:tab w:val="clear" w:pos="7383"/>
        </w:tabs>
      </w:pPr>
      <w:r>
        <w:t xml:space="preserve">The Commission provides up-to-date information in this regard below. </w:t>
      </w:r>
    </w:p>
    <w:p w14:paraId="09038092" w14:textId="77777777" w:rsidR="009C23BD" w:rsidRPr="00141EAD" w:rsidRDefault="009C23BD" w:rsidP="009C23BD">
      <w:pPr>
        <w:pStyle w:val="Heading2"/>
      </w:pPr>
      <w:bookmarkStart w:id="92" w:name="_Toc497148323"/>
      <w:bookmarkStart w:id="93" w:name="_Toc493251757"/>
      <w:r w:rsidRPr="00141EAD">
        <w:t>National Action Plan</w:t>
      </w:r>
      <w:bookmarkEnd w:id="92"/>
      <w:r>
        <w:t xml:space="preserve"> </w:t>
      </w:r>
      <w:bookmarkEnd w:id="93"/>
    </w:p>
    <w:p w14:paraId="026C7633" w14:textId="77777777" w:rsidR="005C012D" w:rsidRPr="005C012D" w:rsidRDefault="009C23BD" w:rsidP="00401984">
      <w:pPr>
        <w:pStyle w:val="SubmissionNormal"/>
        <w:tabs>
          <w:tab w:val="clear" w:pos="720"/>
          <w:tab w:val="clear" w:pos="7383"/>
        </w:tabs>
      </w:pPr>
      <w:r w:rsidRPr="005C012D">
        <w:rPr>
          <w:rFonts w:eastAsia="Calibri" w:cs="Arial"/>
          <w:lang w:val="en-NZ" w:eastAsia="en-US"/>
        </w:rPr>
        <w:t>The Commission commends the Australian business community’s support for the UN Guiding Principles on Business and Human Rights (UNGP) through the Global Compact Network Australia.</w:t>
      </w:r>
      <w:r>
        <w:rPr>
          <w:rStyle w:val="EndnoteReference"/>
          <w:rFonts w:eastAsia="Calibri" w:cs="Arial"/>
          <w:lang w:val="en-NZ" w:eastAsia="en-US"/>
        </w:rPr>
        <w:endnoteReference w:id="238"/>
      </w:r>
      <w:r w:rsidRPr="005C012D">
        <w:rPr>
          <w:rFonts w:eastAsia="Calibri" w:cs="Arial"/>
          <w:lang w:val="en-NZ" w:eastAsia="en-US"/>
        </w:rPr>
        <w:t xml:space="preserve"> </w:t>
      </w:r>
    </w:p>
    <w:p w14:paraId="4B928A4F" w14:textId="4B322705" w:rsidR="005C012D" w:rsidRDefault="009C23BD" w:rsidP="00DD24EF">
      <w:pPr>
        <w:pStyle w:val="SubmissionNormal"/>
      </w:pPr>
      <w:r>
        <w:t xml:space="preserve">The </w:t>
      </w:r>
      <w:r w:rsidRPr="001E2A06">
        <w:t xml:space="preserve">Commission notes that the </w:t>
      </w:r>
      <w:r>
        <w:t xml:space="preserve">Australian </w:t>
      </w:r>
      <w:r w:rsidRPr="001E2A06">
        <w:t xml:space="preserve">Government is undertaking a national consultation on the implementation of the </w:t>
      </w:r>
      <w:r>
        <w:t>UNGP</w:t>
      </w:r>
      <w:r w:rsidR="005C012D">
        <w:t>,</w:t>
      </w:r>
      <w:r w:rsidRPr="001E2A06">
        <w:rPr>
          <w:rStyle w:val="EndnoteReference"/>
        </w:rPr>
        <w:endnoteReference w:id="239"/>
      </w:r>
      <w:r w:rsidR="005C012D">
        <w:t xml:space="preserve"> and established a Mul</w:t>
      </w:r>
      <w:r w:rsidR="005C012D" w:rsidRPr="005C012D">
        <w:t xml:space="preserve">ti-Stakeholder Advisory Group on the Implementation of the </w:t>
      </w:r>
      <w:r w:rsidR="005C012D">
        <w:t>UNGP.</w:t>
      </w:r>
      <w:r w:rsidR="005C012D">
        <w:rPr>
          <w:rStyle w:val="EndnoteReference"/>
        </w:rPr>
        <w:endnoteReference w:id="240"/>
      </w:r>
      <w:r w:rsidR="00DD24EF">
        <w:t xml:space="preserve"> </w:t>
      </w:r>
      <w:r w:rsidR="00DD24EF" w:rsidRPr="00DD24EF">
        <w:t>Members of the Advisory Group represent a broad range of perspectives and have been drawn from across business sectors and civil society.</w:t>
      </w:r>
      <w:r w:rsidR="00DD24EF" w:rsidRPr="00DD24EF">
        <w:rPr>
          <w:rStyle w:val="EndnoteReference"/>
        </w:rPr>
        <w:t xml:space="preserve"> </w:t>
      </w:r>
      <w:r w:rsidR="00DD24EF">
        <w:rPr>
          <w:rStyle w:val="EndnoteReference"/>
        </w:rPr>
        <w:endnoteReference w:id="241"/>
      </w:r>
    </w:p>
    <w:p w14:paraId="59483385" w14:textId="1B0C9CF9" w:rsidR="005C012D" w:rsidRPr="005C012D" w:rsidRDefault="005C012D" w:rsidP="005C012D">
      <w:pPr>
        <w:pStyle w:val="SubmissionNormal"/>
        <w:rPr>
          <w:rFonts w:eastAsia="Calibri" w:cs="Arial"/>
          <w:lang w:val="en-NZ" w:eastAsia="en-US"/>
        </w:rPr>
      </w:pPr>
      <w:r>
        <w:rPr>
          <w:rFonts w:eastAsia="Calibri"/>
          <w:lang w:val="en-NZ" w:eastAsia="en-US"/>
        </w:rPr>
        <w:t xml:space="preserve">The Commission notes the advice of the </w:t>
      </w:r>
      <w:r w:rsidRPr="005C012D">
        <w:rPr>
          <w:rFonts w:eastAsia="Calibri"/>
          <w:lang w:val="en-NZ" w:eastAsia="en-US"/>
        </w:rPr>
        <w:t xml:space="preserve">Multi-Stakeholder Advisory Group </w:t>
      </w:r>
      <w:r>
        <w:rPr>
          <w:rFonts w:eastAsia="Calibri" w:cs="Arial"/>
          <w:lang w:val="en-NZ" w:eastAsia="en-US"/>
        </w:rPr>
        <w:t>that t</w:t>
      </w:r>
      <w:r w:rsidRPr="005C012D">
        <w:rPr>
          <w:rFonts w:eastAsia="Calibri" w:cs="Arial"/>
          <w:lang w:val="en-NZ" w:eastAsia="en-US"/>
        </w:rPr>
        <w:t xml:space="preserve">he Australian Government </w:t>
      </w:r>
      <w:r>
        <w:rPr>
          <w:rFonts w:eastAsia="Calibri" w:cs="Arial"/>
          <w:lang w:val="en-NZ" w:eastAsia="en-US"/>
        </w:rPr>
        <w:t>deliver</w:t>
      </w:r>
      <w:r w:rsidRPr="005C012D">
        <w:rPr>
          <w:rFonts w:eastAsia="Calibri" w:cs="Arial"/>
          <w:lang w:val="en-NZ" w:eastAsia="en-US"/>
        </w:rPr>
        <w:t xml:space="preserve"> a coordinated policy statement in the form of a National Action Plan, which sets out the concrete steps </w:t>
      </w:r>
      <w:r w:rsidR="00F84257">
        <w:rPr>
          <w:rFonts w:eastAsia="Calibri" w:cs="Arial"/>
          <w:lang w:val="en-NZ" w:eastAsia="en-US"/>
        </w:rPr>
        <w:t xml:space="preserve">that </w:t>
      </w:r>
      <w:r w:rsidRPr="005C012D">
        <w:rPr>
          <w:rFonts w:eastAsia="Calibri" w:cs="Arial"/>
          <w:lang w:val="en-NZ" w:eastAsia="en-US"/>
        </w:rPr>
        <w:t>it w</w:t>
      </w:r>
      <w:r w:rsidR="00F84257">
        <w:rPr>
          <w:rFonts w:eastAsia="Calibri" w:cs="Arial"/>
          <w:lang w:val="en-NZ" w:eastAsia="en-US"/>
        </w:rPr>
        <w:t>ill take to implement the UNGPs</w:t>
      </w:r>
      <w:r w:rsidRPr="005C012D">
        <w:rPr>
          <w:rFonts w:eastAsia="Calibri" w:cs="Arial"/>
          <w:lang w:val="en-NZ" w:eastAsia="en-US"/>
        </w:rPr>
        <w:t>.</w:t>
      </w:r>
      <w:r>
        <w:rPr>
          <w:rStyle w:val="EndnoteReference"/>
          <w:rFonts w:eastAsia="Calibri" w:cs="Arial"/>
          <w:lang w:val="en-NZ" w:eastAsia="en-US"/>
        </w:rPr>
        <w:endnoteReference w:id="242"/>
      </w:r>
    </w:p>
    <w:p w14:paraId="442F635F" w14:textId="1D7E5991" w:rsidR="009C23BD" w:rsidRPr="00DD24EF" w:rsidRDefault="00DD24EF" w:rsidP="00DD24EF">
      <w:pPr>
        <w:pStyle w:val="SubmissionNormal"/>
        <w:rPr>
          <w:rFonts w:eastAsia="Calibri" w:cs="Arial"/>
          <w:lang w:val="en-NZ" w:eastAsia="en-US"/>
        </w:rPr>
      </w:pPr>
      <w:r>
        <w:rPr>
          <w:rFonts w:eastAsia="Calibri"/>
          <w:lang w:val="en-NZ" w:eastAsia="en-US"/>
        </w:rPr>
        <w:t xml:space="preserve">The Commission is very concerned that Australia’s Foreign Minister has advised the </w:t>
      </w:r>
      <w:r w:rsidRPr="00DD24EF">
        <w:rPr>
          <w:rFonts w:eastAsia="Calibri" w:cs="Arial"/>
          <w:lang w:val="en-NZ" w:eastAsia="en-US"/>
        </w:rPr>
        <w:t>Multi-Stakeholder Advisory Group</w:t>
      </w:r>
      <w:r>
        <w:rPr>
          <w:rFonts w:eastAsia="Calibri" w:cs="Arial"/>
          <w:lang w:val="en-NZ" w:eastAsia="en-US"/>
        </w:rPr>
        <w:t xml:space="preserve"> that the Australian Government </w:t>
      </w:r>
      <w:r w:rsidR="00F84257">
        <w:rPr>
          <w:rFonts w:eastAsia="Calibri" w:cs="Arial"/>
          <w:lang w:val="en-NZ" w:eastAsia="en-US"/>
        </w:rPr>
        <w:t>is</w:t>
      </w:r>
      <w:r>
        <w:rPr>
          <w:rFonts w:eastAsia="Calibri" w:cs="Arial"/>
          <w:lang w:val="en-NZ" w:eastAsia="en-US"/>
        </w:rPr>
        <w:t xml:space="preserve"> not proceeding with </w:t>
      </w:r>
      <w:r w:rsidR="00F971FA">
        <w:rPr>
          <w:rFonts w:eastAsia="Calibri" w:cs="Arial"/>
          <w:lang w:val="en-NZ" w:eastAsia="en-US"/>
        </w:rPr>
        <w:t>a</w:t>
      </w:r>
      <w:r>
        <w:rPr>
          <w:rFonts w:eastAsia="Calibri" w:cs="Arial"/>
          <w:lang w:val="en-NZ" w:eastAsia="en-US"/>
        </w:rPr>
        <w:t xml:space="preserve"> </w:t>
      </w:r>
      <w:r w:rsidR="00F84257">
        <w:rPr>
          <w:rFonts w:eastAsia="Calibri" w:cs="Arial"/>
          <w:lang w:val="en-NZ" w:eastAsia="en-US"/>
        </w:rPr>
        <w:t xml:space="preserve">National Action Plan </w:t>
      </w:r>
      <w:r>
        <w:rPr>
          <w:rFonts w:eastAsia="Calibri" w:cs="Arial"/>
          <w:lang w:val="en-NZ" w:eastAsia="en-US"/>
        </w:rPr>
        <w:t>at this time.</w:t>
      </w:r>
      <w:r>
        <w:rPr>
          <w:rStyle w:val="EndnoteReference"/>
          <w:rFonts w:eastAsia="Calibri" w:cs="Arial"/>
          <w:lang w:val="en-NZ" w:eastAsia="en-US"/>
        </w:rPr>
        <w:endnoteReference w:id="243"/>
      </w:r>
    </w:p>
    <w:p w14:paraId="69041451" w14:textId="3B7A9BD6" w:rsidR="009C23BD" w:rsidRDefault="009C23BD" w:rsidP="00A438F2">
      <w:pPr>
        <w:pStyle w:val="ListParagraph"/>
      </w:pPr>
      <w:r w:rsidRPr="00403EB4">
        <w:rPr>
          <w:rFonts w:eastAsia="Calibri" w:cs="Arial"/>
          <w:lang w:val="en-NZ" w:eastAsia="en-US"/>
        </w:rPr>
        <w:t xml:space="preserve">That the </w:t>
      </w:r>
      <w:r>
        <w:rPr>
          <w:rFonts w:eastAsia="Calibri" w:cs="Arial"/>
          <w:lang w:val="en-NZ" w:eastAsia="en-US"/>
        </w:rPr>
        <w:t xml:space="preserve">Australian </w:t>
      </w:r>
      <w:r w:rsidRPr="00403EB4">
        <w:rPr>
          <w:rFonts w:eastAsia="Calibri" w:cs="Arial"/>
          <w:lang w:val="en-NZ" w:eastAsia="en-US"/>
        </w:rPr>
        <w:t>Government</w:t>
      </w:r>
      <w:r w:rsidR="00A438F2">
        <w:rPr>
          <w:rFonts w:eastAsia="Calibri" w:cs="Arial"/>
          <w:lang w:val="en-NZ" w:eastAsia="en-US"/>
        </w:rPr>
        <w:t>,</w:t>
      </w:r>
      <w:r w:rsidR="00A438F2" w:rsidRPr="00A438F2">
        <w:rPr>
          <w:rFonts w:eastAsia="Calibri" w:cs="Arial"/>
          <w:lang w:val="en-NZ" w:eastAsia="en-US"/>
        </w:rPr>
        <w:t xml:space="preserve"> </w:t>
      </w:r>
      <w:r w:rsidR="00A438F2" w:rsidRPr="00403EB4">
        <w:rPr>
          <w:rFonts w:eastAsia="Calibri" w:cs="Arial"/>
          <w:lang w:val="en-NZ" w:eastAsia="en-US"/>
        </w:rPr>
        <w:t>in consultation with the business secto</w:t>
      </w:r>
      <w:r w:rsidR="00A438F2">
        <w:rPr>
          <w:rFonts w:eastAsia="Calibri" w:cs="Arial"/>
          <w:lang w:val="en-NZ" w:eastAsia="en-US"/>
        </w:rPr>
        <w:t xml:space="preserve">r, </w:t>
      </w:r>
      <w:r w:rsidR="00912115">
        <w:rPr>
          <w:rFonts w:eastAsia="Calibri" w:cs="Arial"/>
          <w:lang w:val="en-NZ" w:eastAsia="en-US"/>
        </w:rPr>
        <w:t>take measures to implement</w:t>
      </w:r>
      <w:r w:rsidR="00A438F2" w:rsidRPr="00A438F2">
        <w:rPr>
          <w:rFonts w:eastAsia="Calibri" w:cs="Arial"/>
          <w:lang w:val="en-NZ" w:eastAsia="en-US"/>
        </w:rPr>
        <w:t xml:space="preserve"> Australia’s international law obligations in </w:t>
      </w:r>
      <w:r w:rsidR="00A438F2">
        <w:rPr>
          <w:rFonts w:eastAsia="Calibri" w:cs="Arial"/>
          <w:lang w:val="en-NZ" w:eastAsia="en-US"/>
        </w:rPr>
        <w:t xml:space="preserve">the area of business and human rights and to </w:t>
      </w:r>
      <w:r w:rsidR="00A438F2" w:rsidRPr="00A438F2">
        <w:rPr>
          <w:rFonts w:eastAsia="Calibri" w:cs="Arial"/>
          <w:lang w:val="en-NZ" w:eastAsia="en-US"/>
        </w:rPr>
        <w:t>enhance protections for those harmed by Australian business activities</w:t>
      </w:r>
      <w:r w:rsidR="00A438F2">
        <w:rPr>
          <w:rFonts w:eastAsia="Calibri" w:cs="Arial"/>
          <w:lang w:val="en-NZ" w:eastAsia="en-US"/>
        </w:rPr>
        <w:t>.</w:t>
      </w:r>
    </w:p>
    <w:p w14:paraId="5C8C5B57" w14:textId="77777777" w:rsidR="009C23BD" w:rsidRPr="00403EB4" w:rsidRDefault="009C23BD" w:rsidP="009C23BD">
      <w:pPr>
        <w:pStyle w:val="Heading2"/>
        <w:rPr>
          <w:i w:val="0"/>
        </w:rPr>
      </w:pPr>
      <w:bookmarkStart w:id="94" w:name="_Toc497148324"/>
      <w:bookmarkStart w:id="95" w:name="_Toc493251758"/>
      <w:r w:rsidRPr="00403EB4">
        <w:rPr>
          <w:i w:val="0"/>
        </w:rPr>
        <w:t>Modern slavery</w:t>
      </w:r>
      <w:bookmarkEnd w:id="94"/>
      <w:r>
        <w:rPr>
          <w:i w:val="0"/>
        </w:rPr>
        <w:t xml:space="preserve"> </w:t>
      </w:r>
      <w:bookmarkEnd w:id="95"/>
    </w:p>
    <w:p w14:paraId="0F98F25F" w14:textId="77777777" w:rsidR="009C23BD" w:rsidRPr="00F01088" w:rsidRDefault="009C23BD" w:rsidP="009C23BD">
      <w:pPr>
        <w:pStyle w:val="SubmissionNormal"/>
        <w:tabs>
          <w:tab w:val="clear" w:pos="7383"/>
        </w:tabs>
        <w:rPr>
          <w:b/>
        </w:rPr>
      </w:pPr>
      <w:r w:rsidRPr="002A36CF">
        <w:t xml:space="preserve">The Commission welcomes the </w:t>
      </w:r>
      <w:r>
        <w:t xml:space="preserve">Australian </w:t>
      </w:r>
      <w:r w:rsidRPr="002A36CF">
        <w:t>Government's propos</w:t>
      </w:r>
      <w:r>
        <w:t>al</w:t>
      </w:r>
      <w:r w:rsidRPr="002A36CF">
        <w:t xml:space="preserve"> for large corporations and other entities operating in Australia to publish annual statements outlining their actions to address modern slavery in the</w:t>
      </w:r>
      <w:r>
        <w:t>ir operations and supply chains</w:t>
      </w:r>
      <w:r w:rsidRPr="002A36CF">
        <w:t>.</w:t>
      </w:r>
      <w:r>
        <w:rPr>
          <w:rStyle w:val="EndnoteReference"/>
        </w:rPr>
        <w:endnoteReference w:id="244"/>
      </w:r>
      <w:r w:rsidRPr="002A36CF">
        <w:t xml:space="preserve"> </w:t>
      </w:r>
      <w:r>
        <w:t xml:space="preserve">At this stage, it is not proposed that these </w:t>
      </w:r>
      <w:r>
        <w:lastRenderedPageBreak/>
        <w:t>requirements will apply to Australian governments, despite them having supply chains of significant scale.</w:t>
      </w:r>
      <w:r w:rsidRPr="00F01088">
        <w:rPr>
          <w:b/>
        </w:rPr>
        <w:t xml:space="preserve"> </w:t>
      </w:r>
      <w:r w:rsidRPr="00F01088">
        <w:rPr>
          <w:lang w:val="en"/>
        </w:rPr>
        <w:t xml:space="preserve">The Commission notes that </w:t>
      </w:r>
      <w:r>
        <w:rPr>
          <w:lang w:val="en"/>
        </w:rPr>
        <w:t>a</w:t>
      </w:r>
      <w:r w:rsidRPr="00F01088">
        <w:rPr>
          <w:lang w:val="en"/>
        </w:rPr>
        <w:t xml:space="preserve"> national</w:t>
      </w:r>
      <w:r w:rsidRPr="00F01088">
        <w:rPr>
          <w:rFonts w:eastAsia="Calibri" w:cs="Arial"/>
        </w:rPr>
        <w:t xml:space="preserve"> consultation process to refine the </w:t>
      </w:r>
      <w:r>
        <w:rPr>
          <w:rFonts w:eastAsia="Calibri" w:cs="Arial"/>
        </w:rPr>
        <w:t xml:space="preserve">Australian </w:t>
      </w:r>
      <w:r w:rsidRPr="00F01088">
        <w:rPr>
          <w:rFonts w:eastAsia="Calibri" w:cs="Arial"/>
        </w:rPr>
        <w:t xml:space="preserve">Government’s proposed model is underway. </w:t>
      </w:r>
    </w:p>
    <w:p w14:paraId="7996F136" w14:textId="097F3B27" w:rsidR="009C23BD" w:rsidRPr="0098247B" w:rsidRDefault="009C23BD" w:rsidP="009C23BD">
      <w:pPr>
        <w:pStyle w:val="SubmissionNormal"/>
        <w:tabs>
          <w:tab w:val="clear" w:pos="7383"/>
        </w:tabs>
        <w:rPr>
          <w:b/>
        </w:rPr>
      </w:pPr>
      <w:r w:rsidRPr="00A04DB6">
        <w:rPr>
          <w:rFonts w:eastAsia="Calibri"/>
        </w:rPr>
        <w:t>The Commission welcomes the Joint Standing Committee on Foreign Affairs, Defence and Trade inquiry into establishing a Modern Slavery Act in Australia</w:t>
      </w:r>
      <w:r>
        <w:rPr>
          <w:rFonts w:eastAsia="Calibri"/>
        </w:rPr>
        <w:t xml:space="preserve">. The Commission also notes the Joint Committee’s recommendation </w:t>
      </w:r>
      <w:r w:rsidRPr="00A04DB6">
        <w:rPr>
          <w:rFonts w:eastAsia="Calibri"/>
        </w:rPr>
        <w:t xml:space="preserve">that the </w:t>
      </w:r>
      <w:r>
        <w:rPr>
          <w:rFonts w:eastAsia="Calibri"/>
        </w:rPr>
        <w:t xml:space="preserve">Australian </w:t>
      </w:r>
      <w:r w:rsidRPr="00A04DB6">
        <w:rPr>
          <w:rFonts w:eastAsia="Calibri"/>
        </w:rPr>
        <w:t>Government consider supporting in-principle the development of a Modern Slavery Act in Australia, including</w:t>
      </w:r>
      <w:r>
        <w:rPr>
          <w:rFonts w:eastAsia="Calibri"/>
        </w:rPr>
        <w:t>:</w:t>
      </w:r>
      <w:r w:rsidR="003D50EB">
        <w:rPr>
          <w:rFonts w:eastAsia="Calibri"/>
        </w:rPr>
        <w:t xml:space="preserve"> </w:t>
      </w:r>
    </w:p>
    <w:p w14:paraId="2EB0A87E" w14:textId="60D41A83" w:rsidR="009C23BD" w:rsidRPr="0098247B" w:rsidRDefault="009C23BD" w:rsidP="000F1F4B">
      <w:pPr>
        <w:pStyle w:val="SubmissionNormal"/>
        <w:numPr>
          <w:ilvl w:val="0"/>
          <w:numId w:val="23"/>
        </w:numPr>
        <w:rPr>
          <w:b/>
        </w:rPr>
      </w:pPr>
      <w:r>
        <w:rPr>
          <w:rFonts w:eastAsia="Calibri"/>
        </w:rPr>
        <w:t>s</w:t>
      </w:r>
      <w:r w:rsidRPr="00A04DB6">
        <w:rPr>
          <w:rFonts w:eastAsia="Calibri"/>
        </w:rPr>
        <w:t>upply</w:t>
      </w:r>
      <w:r>
        <w:rPr>
          <w:rFonts w:eastAsia="Calibri"/>
        </w:rPr>
        <w:t xml:space="preserve"> </w:t>
      </w:r>
      <w:r w:rsidRPr="00A04DB6">
        <w:rPr>
          <w:rFonts w:eastAsia="Calibri"/>
        </w:rPr>
        <w:t>chain reporting requirements for companies, businesses, organisatio</w:t>
      </w:r>
      <w:r>
        <w:rPr>
          <w:rFonts w:eastAsia="Calibri"/>
        </w:rPr>
        <w:t>ns and governments in Australia</w:t>
      </w:r>
      <w:r w:rsidR="00101A62">
        <w:rPr>
          <w:rFonts w:eastAsia="Calibri"/>
        </w:rPr>
        <w:t>,</w:t>
      </w:r>
      <w:r>
        <w:rPr>
          <w:rFonts w:eastAsia="Calibri"/>
        </w:rPr>
        <w:t xml:space="preserve"> and</w:t>
      </w:r>
      <w:r w:rsidRPr="00A04DB6">
        <w:rPr>
          <w:rFonts w:eastAsia="Calibri"/>
        </w:rPr>
        <w:t xml:space="preserve"> </w:t>
      </w:r>
    </w:p>
    <w:p w14:paraId="4A3CB7A0" w14:textId="77777777" w:rsidR="009C23BD" w:rsidRPr="00A04DB6" w:rsidRDefault="009C23BD" w:rsidP="000F1F4B">
      <w:pPr>
        <w:pStyle w:val="SubmissionNormal"/>
        <w:numPr>
          <w:ilvl w:val="0"/>
          <w:numId w:val="23"/>
        </w:numPr>
        <w:rPr>
          <w:b/>
        </w:rPr>
      </w:pPr>
      <w:r w:rsidRPr="00A04DB6">
        <w:rPr>
          <w:rFonts w:eastAsia="Calibri"/>
        </w:rPr>
        <w:t>an Independent Anti-Slavery Commissioner, subject to reviewing the recommendations of the Committee’s final report.</w:t>
      </w:r>
      <w:r>
        <w:rPr>
          <w:rStyle w:val="EndnoteReference"/>
          <w:rFonts w:eastAsia="Calibri"/>
        </w:rPr>
        <w:endnoteReference w:id="245"/>
      </w:r>
      <w:r w:rsidRPr="00A04DB6">
        <w:rPr>
          <w:rFonts w:eastAsia="Calibri"/>
        </w:rPr>
        <w:t xml:space="preserve"> </w:t>
      </w:r>
    </w:p>
    <w:p w14:paraId="165D4467" w14:textId="09C4972D" w:rsidR="009C23BD" w:rsidRPr="002A36CF" w:rsidRDefault="009C23BD" w:rsidP="000F1F4B">
      <w:pPr>
        <w:pStyle w:val="SubmissionNormal"/>
        <w:numPr>
          <w:ilvl w:val="0"/>
          <w:numId w:val="17"/>
        </w:numPr>
        <w:rPr>
          <w:b/>
        </w:rPr>
      </w:pPr>
      <w:r>
        <w:rPr>
          <w:b/>
        </w:rPr>
        <w:t xml:space="preserve">That the Australian Government </w:t>
      </w:r>
      <w:r w:rsidR="00912115">
        <w:rPr>
          <w:rFonts w:eastAsia="Calibri"/>
          <w:b/>
        </w:rPr>
        <w:t>legislate</w:t>
      </w:r>
      <w:r w:rsidRPr="000E7AEC">
        <w:rPr>
          <w:rFonts w:eastAsia="Calibri"/>
          <w:b/>
        </w:rPr>
        <w:t xml:space="preserve"> a </w:t>
      </w:r>
      <w:r>
        <w:rPr>
          <w:rFonts w:eastAsia="Calibri"/>
          <w:b/>
        </w:rPr>
        <w:t xml:space="preserve">Modern Slavery Act in Australia. </w:t>
      </w:r>
    </w:p>
    <w:p w14:paraId="1315DDA4" w14:textId="77777777" w:rsidR="009C23BD" w:rsidRDefault="009C23BD" w:rsidP="009C23BD">
      <w:pPr>
        <w:pStyle w:val="Heading2"/>
      </w:pPr>
      <w:bookmarkStart w:id="96" w:name="_Toc493251761"/>
      <w:bookmarkStart w:id="97" w:name="_Toc497148325"/>
      <w:r>
        <w:t>Procurement</w:t>
      </w:r>
      <w:bookmarkEnd w:id="96"/>
      <w:bookmarkEnd w:id="97"/>
    </w:p>
    <w:p w14:paraId="48E49539" w14:textId="77777777" w:rsidR="009C23BD" w:rsidRDefault="009C23BD" w:rsidP="009C23BD">
      <w:pPr>
        <w:pStyle w:val="SubmissionNormal"/>
        <w:tabs>
          <w:tab w:val="clear" w:pos="720"/>
          <w:tab w:val="clear" w:pos="7383"/>
        </w:tabs>
      </w:pPr>
      <w:r>
        <w:t>T</w:t>
      </w:r>
      <w:r w:rsidRPr="00462632">
        <w:t>he Commonwealth Procurement Rules do not explicitly refer to human rights.</w:t>
      </w:r>
      <w:r w:rsidRPr="00BB083A">
        <w:t xml:space="preserve"> </w:t>
      </w:r>
      <w:r>
        <w:t>The Commission notes that t</w:t>
      </w:r>
      <w:r w:rsidRPr="00462632">
        <w:t>he Australian regulatory framework is insufficient to prevent human rights abuses from occurr</w:t>
      </w:r>
      <w:r>
        <w:t>ing in Commonwealth procurement.</w:t>
      </w:r>
      <w:r w:rsidRPr="00462632">
        <w:rPr>
          <w:rStyle w:val="EndnoteReference"/>
          <w:sz w:val="24"/>
        </w:rPr>
        <w:endnoteReference w:id="246"/>
      </w:r>
    </w:p>
    <w:p w14:paraId="043D91D7" w14:textId="37FDADBF" w:rsidR="009C23BD" w:rsidRPr="00E316F3" w:rsidRDefault="009C23BD" w:rsidP="009C23BD">
      <w:pPr>
        <w:pStyle w:val="SubmissionNormal"/>
        <w:tabs>
          <w:tab w:val="clear" w:pos="7383"/>
        </w:tabs>
      </w:pPr>
      <w:r>
        <w:rPr>
          <w:rFonts w:eastAsia="Calibri" w:cs="Arial"/>
        </w:rPr>
        <w:t xml:space="preserve">A parliamentary committee </w:t>
      </w:r>
      <w:r>
        <w:t xml:space="preserve">has recommended that the Australian Government develop a procurement policy </w:t>
      </w:r>
      <w:r w:rsidRPr="00EB65D1">
        <w:t>requiring Commonwealth agencies to evaluate suppliers’ compliance with human rights regulation</w:t>
      </w:r>
      <w:r>
        <w:t>.</w:t>
      </w:r>
      <w:r>
        <w:rPr>
          <w:rStyle w:val="EndnoteReference"/>
        </w:rPr>
        <w:endnoteReference w:id="247"/>
      </w:r>
      <w:r>
        <w:t xml:space="preserve"> Another parliamentary committee has noted that </w:t>
      </w:r>
      <w:r w:rsidRPr="00EB65D1">
        <w:t>consideration of modern slavery risks s</w:t>
      </w:r>
      <w:r>
        <w:t>hould be included in this procurement policy</w:t>
      </w:r>
      <w:r w:rsidRPr="007C25B4">
        <w:rPr>
          <w:rFonts w:eastAsia="Calibri"/>
        </w:rPr>
        <w:t>.</w:t>
      </w:r>
      <w:r>
        <w:rPr>
          <w:rStyle w:val="EndnoteReference"/>
          <w:rFonts w:eastAsia="Calibri"/>
        </w:rPr>
        <w:endnoteReference w:id="248"/>
      </w:r>
      <w:r w:rsidR="00F07DA0">
        <w:rPr>
          <w:rFonts w:eastAsia="Calibri" w:cs="Arial"/>
        </w:rPr>
        <w:t xml:space="preserve"> </w:t>
      </w:r>
    </w:p>
    <w:p w14:paraId="49108852" w14:textId="7BAD9F68" w:rsidR="000F1F4B" w:rsidRDefault="009C23BD" w:rsidP="009C23BD">
      <w:pPr>
        <w:pStyle w:val="ListParagraph"/>
      </w:pPr>
      <w:r w:rsidRPr="00A51F41">
        <w:t>That the</w:t>
      </w:r>
      <w:r>
        <w:t xml:space="preserve"> Australian Government amend the</w:t>
      </w:r>
      <w:r w:rsidRPr="00A51F41">
        <w:t xml:space="preserve"> Commonwealth Procurement Rules </w:t>
      </w:r>
      <w:r>
        <w:t xml:space="preserve">to align </w:t>
      </w:r>
      <w:r w:rsidRPr="00A51F41">
        <w:t xml:space="preserve">with the </w:t>
      </w:r>
      <w:r>
        <w:t>UN Guiding Principles on Business and Human Rights, including</w:t>
      </w:r>
      <w:r w:rsidRPr="00A51F41">
        <w:t xml:space="preserve"> </w:t>
      </w:r>
      <w:r>
        <w:t xml:space="preserve">in regard to </w:t>
      </w:r>
      <w:r w:rsidRPr="00A51F41">
        <w:t>human rights due diligence in procurement.</w:t>
      </w:r>
    </w:p>
    <w:p w14:paraId="4EC9596F" w14:textId="77777777" w:rsidR="000F1F4B" w:rsidRDefault="000F1F4B">
      <w:pPr>
        <w:spacing w:before="0" w:after="0"/>
        <w:rPr>
          <w:rFonts w:eastAsia="Times New Roman"/>
          <w:b/>
        </w:rPr>
      </w:pPr>
      <w:r>
        <w:br w:type="page"/>
      </w:r>
    </w:p>
    <w:p w14:paraId="1A4A99DE" w14:textId="77777777" w:rsidR="009C23BD" w:rsidRDefault="009C23BD" w:rsidP="009C23BD">
      <w:pPr>
        <w:pStyle w:val="Heading1"/>
        <w:numPr>
          <w:ilvl w:val="0"/>
          <w:numId w:val="0"/>
        </w:numPr>
        <w:ind w:left="851" w:hanging="851"/>
      </w:pPr>
      <w:bookmarkStart w:id="98" w:name="_Hlk492233243"/>
      <w:bookmarkStart w:id="99" w:name="_Toc497148326"/>
      <w:r>
        <w:lastRenderedPageBreak/>
        <w:t>Attachment 1: Compilation of Recommendations</w:t>
      </w:r>
      <w:bookmarkEnd w:id="98"/>
      <w:bookmarkEnd w:id="99"/>
    </w:p>
    <w:p w14:paraId="17FFB81F" w14:textId="54862D2A" w:rsidR="003879A8" w:rsidRPr="003879A8" w:rsidRDefault="003879A8" w:rsidP="003879A8">
      <w:pPr>
        <w:pStyle w:val="BodyText"/>
        <w:numPr>
          <w:ilvl w:val="0"/>
          <w:numId w:val="0"/>
        </w:numPr>
        <w:ind w:left="720" w:hanging="720"/>
        <w:rPr>
          <w:b/>
          <w:sz w:val="28"/>
          <w:szCs w:val="28"/>
        </w:rPr>
      </w:pPr>
      <w:r w:rsidRPr="003879A8">
        <w:rPr>
          <w:b/>
          <w:sz w:val="28"/>
          <w:szCs w:val="28"/>
        </w:rPr>
        <w:t>Priority Areas</w:t>
      </w:r>
    </w:p>
    <w:p w14:paraId="11F681ED" w14:textId="0BA6F22B" w:rsidR="00D170DC" w:rsidRPr="003879A8" w:rsidRDefault="003B0C87" w:rsidP="00D170DC">
      <w:pPr>
        <w:pStyle w:val="BodyText"/>
        <w:numPr>
          <w:ilvl w:val="0"/>
          <w:numId w:val="0"/>
        </w:numPr>
        <w:ind w:left="371"/>
        <w:rPr>
          <w:rFonts w:eastAsia="MS Mincho"/>
          <w:b/>
        </w:rPr>
      </w:pPr>
      <w:r w:rsidRPr="003879A8">
        <w:rPr>
          <w:b/>
        </w:rPr>
        <w:t>In addition to the recommendations below, t</w:t>
      </w:r>
      <w:r w:rsidR="00D170DC" w:rsidRPr="003879A8">
        <w:rPr>
          <w:b/>
        </w:rPr>
        <w:t>he Commission recommends that the Committee request an update from the Australian Government on progress in relation to the following priority areas in 12 months time under article 9(1) of CERD and rule 65 of the Rules of procedure:</w:t>
      </w:r>
    </w:p>
    <w:p w14:paraId="38E30DC1" w14:textId="2B2BE382" w:rsidR="00D170DC" w:rsidRPr="003879A8" w:rsidRDefault="00D170DC" w:rsidP="000F1F4B">
      <w:pPr>
        <w:pStyle w:val="BodyText"/>
        <w:numPr>
          <w:ilvl w:val="1"/>
          <w:numId w:val="28"/>
        </w:numPr>
        <w:tabs>
          <w:tab w:val="clear" w:pos="731"/>
          <w:tab w:val="num" w:pos="1102"/>
        </w:tabs>
        <w:ind w:left="1102"/>
        <w:rPr>
          <w:rFonts w:eastAsia="MS Mincho"/>
          <w:b/>
        </w:rPr>
      </w:pPr>
      <w:r w:rsidRPr="003879A8">
        <w:rPr>
          <w:rFonts w:eastAsia="MS Mincho"/>
          <w:b/>
        </w:rPr>
        <w:t>The collection of comprehensive data in relation to racial discrimination, cultural diversity, racially motivated crimes and multiculturalism generally</w:t>
      </w:r>
      <w:r w:rsidR="003B0C87" w:rsidRPr="003879A8">
        <w:rPr>
          <w:rFonts w:eastAsia="MS Mincho"/>
          <w:b/>
        </w:rPr>
        <w:t xml:space="preserve"> (see Recommendation 18)</w:t>
      </w:r>
      <w:r w:rsidRPr="003879A8">
        <w:rPr>
          <w:rFonts w:eastAsia="MS Mincho"/>
          <w:b/>
        </w:rPr>
        <w:t>.</w:t>
      </w:r>
    </w:p>
    <w:p w14:paraId="4543E06B" w14:textId="77777777" w:rsidR="003F7671" w:rsidRDefault="00D170DC" w:rsidP="003F7671">
      <w:pPr>
        <w:pStyle w:val="BodyText"/>
        <w:numPr>
          <w:ilvl w:val="1"/>
          <w:numId w:val="28"/>
        </w:numPr>
        <w:tabs>
          <w:tab w:val="clear" w:pos="731"/>
          <w:tab w:val="num" w:pos="1102"/>
        </w:tabs>
        <w:ind w:left="1102"/>
        <w:rPr>
          <w:rFonts w:eastAsia="MS Mincho"/>
          <w:b/>
        </w:rPr>
      </w:pPr>
      <w:r w:rsidRPr="003879A8">
        <w:rPr>
          <w:rFonts w:eastAsia="MS Mincho"/>
          <w:b/>
        </w:rPr>
        <w:t>Consideration and implementation of relevant recommendations, once released, of the Northern Territory Royal Commission into Children in Detention</w:t>
      </w:r>
      <w:r w:rsidR="003B0C87" w:rsidRPr="003879A8">
        <w:rPr>
          <w:rFonts w:eastAsia="MS Mincho"/>
          <w:b/>
        </w:rPr>
        <w:t xml:space="preserve"> (see Recommendation 22).</w:t>
      </w:r>
    </w:p>
    <w:p w14:paraId="6E43FFAF" w14:textId="4FD8A522" w:rsidR="003F7671" w:rsidRPr="003F7671" w:rsidRDefault="003F7671" w:rsidP="003F7671">
      <w:pPr>
        <w:pStyle w:val="BodyText"/>
        <w:numPr>
          <w:ilvl w:val="1"/>
          <w:numId w:val="28"/>
        </w:numPr>
        <w:tabs>
          <w:tab w:val="clear" w:pos="731"/>
          <w:tab w:val="num" w:pos="1102"/>
        </w:tabs>
        <w:ind w:left="1102"/>
        <w:rPr>
          <w:rFonts w:eastAsia="MS Mincho"/>
          <w:b/>
        </w:rPr>
      </w:pPr>
      <w:r w:rsidRPr="003F7671">
        <w:rPr>
          <w:b/>
        </w:rPr>
        <w:t xml:space="preserve">Training of police in cultural competency and anti-racism; compliance of police practices with international human rights law (including those rights enshrined in CERD and given expression in the </w:t>
      </w:r>
      <w:r w:rsidRPr="003F7671">
        <w:rPr>
          <w:b/>
          <w:i/>
        </w:rPr>
        <w:t>Racial Discrimination Act 1975</w:t>
      </w:r>
      <w:r w:rsidRPr="003F7671">
        <w:rPr>
          <w:b/>
        </w:rPr>
        <w:t xml:space="preserve"> (Cth)); and the response of the Queensland Government to </w:t>
      </w:r>
      <w:r w:rsidRPr="003F7671">
        <w:rPr>
          <w:b/>
          <w:i/>
        </w:rPr>
        <w:t>Wotton v State of Queensland (No 5)</w:t>
      </w:r>
      <w:r w:rsidRPr="003F7671">
        <w:rPr>
          <w:b/>
        </w:rPr>
        <w:t xml:space="preserve"> [2016] FCA 1457 (see Recommendation 37). </w:t>
      </w:r>
    </w:p>
    <w:p w14:paraId="2118317F" w14:textId="75FB7FD6" w:rsidR="003879A8" w:rsidRPr="000F1F4B" w:rsidRDefault="003879A8" w:rsidP="000F1F4B">
      <w:pPr>
        <w:pStyle w:val="ListParagraph"/>
        <w:numPr>
          <w:ilvl w:val="0"/>
          <w:numId w:val="0"/>
        </w:numPr>
        <w:rPr>
          <w:sz w:val="28"/>
          <w:szCs w:val="28"/>
        </w:rPr>
      </w:pPr>
      <w:r w:rsidRPr="000F1F4B">
        <w:rPr>
          <w:sz w:val="28"/>
          <w:szCs w:val="28"/>
        </w:rPr>
        <w:t>Human rights framework</w:t>
      </w:r>
    </w:p>
    <w:p w14:paraId="7D1DA2D6" w14:textId="77777777" w:rsidR="00D170DC" w:rsidRPr="005329BA" w:rsidRDefault="00D170DC" w:rsidP="000F1F4B">
      <w:pPr>
        <w:pStyle w:val="ListParagraph"/>
        <w:numPr>
          <w:ilvl w:val="0"/>
          <w:numId w:val="29"/>
        </w:numPr>
      </w:pPr>
      <w:r w:rsidRPr="005329BA">
        <w:t>That the Australian Government ensure that concerns raised by the Parliamentary Joint Committee on Human Rights are fully considered in the legislative process.</w:t>
      </w:r>
    </w:p>
    <w:p w14:paraId="74FCF6A8" w14:textId="77777777" w:rsidR="00D170DC" w:rsidRPr="005329BA" w:rsidRDefault="00D170DC" w:rsidP="00D170DC">
      <w:pPr>
        <w:pStyle w:val="ListParagraph"/>
      </w:pPr>
      <w:r w:rsidRPr="005329BA">
        <w:t>That the Australian Government ensure that all statements of compatibility are consistently of a high standard and are supported by evidence and analysis.</w:t>
      </w:r>
    </w:p>
    <w:p w14:paraId="278F823E" w14:textId="77777777" w:rsidR="00D170DC" w:rsidRDefault="00D170DC" w:rsidP="00D170DC">
      <w:pPr>
        <w:pStyle w:val="ListParagraph"/>
      </w:pPr>
      <w:r>
        <w:t xml:space="preserve">That the Australian Government: </w:t>
      </w:r>
    </w:p>
    <w:p w14:paraId="47845E10" w14:textId="77777777" w:rsidR="00D170DC" w:rsidRDefault="00D170DC" w:rsidP="000F1F4B">
      <w:pPr>
        <w:pStyle w:val="ListParagraph"/>
        <w:numPr>
          <w:ilvl w:val="0"/>
          <w:numId w:val="27"/>
        </w:numPr>
      </w:pPr>
      <w:r>
        <w:t xml:space="preserve">fully incorporate CERD into Australian law </w:t>
      </w:r>
    </w:p>
    <w:p w14:paraId="3C1967FA" w14:textId="77777777" w:rsidR="00D170DC" w:rsidRDefault="00D170DC" w:rsidP="000F1F4B">
      <w:pPr>
        <w:pStyle w:val="ListParagraph"/>
        <w:numPr>
          <w:ilvl w:val="0"/>
          <w:numId w:val="27"/>
        </w:numPr>
      </w:pPr>
      <w:r>
        <w:t xml:space="preserve">ensure that federal laws do not undermine the protections in the </w:t>
      </w:r>
      <w:r>
        <w:rPr>
          <w:i/>
        </w:rPr>
        <w:t xml:space="preserve">Racial Discrimination Act 1975 </w:t>
      </w:r>
      <w:r>
        <w:t>(Cth), and</w:t>
      </w:r>
    </w:p>
    <w:p w14:paraId="35B6A555" w14:textId="30BD4E52" w:rsidR="00D170DC" w:rsidRDefault="00BB7B94" w:rsidP="00BB7B94">
      <w:pPr>
        <w:pStyle w:val="ListParagraph"/>
        <w:numPr>
          <w:ilvl w:val="0"/>
          <w:numId w:val="27"/>
        </w:numPr>
      </w:pPr>
      <w:r>
        <w:t xml:space="preserve">explore options to remove any potential for racially discriminatory laws to be passed under the Australian Constitution. The Commission notes that this is a separate issue to developing </w:t>
      </w:r>
      <w:r w:rsidRPr="00CF169B">
        <w:rPr>
          <w:lang w:val="en-GB" w:eastAsia="en-GB"/>
        </w:rPr>
        <w:t xml:space="preserve">with Aboriginal and Torres Strait Islander peoples </w:t>
      </w:r>
      <w:r w:rsidRPr="00CF169B">
        <w:t xml:space="preserve">a model for </w:t>
      </w:r>
      <w:r>
        <w:t>their</w:t>
      </w:r>
      <w:r w:rsidRPr="00CF169B">
        <w:t xml:space="preserve"> recognition </w:t>
      </w:r>
      <w:r>
        <w:t xml:space="preserve">in the Australian Constitution </w:t>
      </w:r>
      <w:r w:rsidRPr="004E3903">
        <w:t xml:space="preserve">and </w:t>
      </w:r>
      <w:r>
        <w:t>negotiating</w:t>
      </w:r>
      <w:r w:rsidRPr="004E3903">
        <w:t xml:space="preserve"> in good faith with Aboriginal and Torres Strait Islander peoples about nation</w:t>
      </w:r>
      <w:r>
        <w:t xml:space="preserve">al representative mechanisms.  </w:t>
      </w:r>
      <w:r w:rsidR="00D170DC">
        <w:t xml:space="preserve"> </w:t>
      </w:r>
    </w:p>
    <w:p w14:paraId="3AF17A9B" w14:textId="77777777" w:rsidR="00D170DC" w:rsidRDefault="00D170DC" w:rsidP="00D170DC">
      <w:pPr>
        <w:pStyle w:val="ListParagraph"/>
      </w:pPr>
      <w:r>
        <w:t xml:space="preserve">That the Australian Government introduce formal mechanisms to consider and implement recommendations of treaty </w:t>
      </w:r>
      <w:r>
        <w:lastRenderedPageBreak/>
        <w:t>committees, including the concluding observations of the Committee in relation to Australia’s 18</w:t>
      </w:r>
      <w:r w:rsidRPr="00182E4E">
        <w:rPr>
          <w:vertAlign w:val="superscript"/>
        </w:rPr>
        <w:t>th</w:t>
      </w:r>
      <w:r>
        <w:t xml:space="preserve"> to 20</w:t>
      </w:r>
      <w:r w:rsidRPr="00182E4E">
        <w:rPr>
          <w:vertAlign w:val="superscript"/>
        </w:rPr>
        <w:t>th</w:t>
      </w:r>
      <w:r>
        <w:t xml:space="preserve"> periodic report under CERD. </w:t>
      </w:r>
    </w:p>
    <w:p w14:paraId="5CF96625" w14:textId="3153E1B1" w:rsidR="00D170DC" w:rsidRDefault="00D170DC" w:rsidP="00D170DC">
      <w:pPr>
        <w:pStyle w:val="ListParagraph"/>
      </w:pPr>
      <w:r w:rsidRPr="006762E6">
        <w:t xml:space="preserve">That the Australian Government fulfil its commitment to ratify </w:t>
      </w:r>
      <w:r w:rsidR="00910DFF" w:rsidRPr="00910DFF">
        <w:rPr>
          <w:i/>
        </w:rPr>
        <w:t>Optional Protocol to the Convention Against Torture and other Cruel, Inhuman or Degrading Treatment or Punishment</w:t>
      </w:r>
      <w:r w:rsidR="00910DFF">
        <w:t xml:space="preserve">  (OPCAT) </w:t>
      </w:r>
      <w:r w:rsidRPr="006762E6">
        <w:t>by December 2017</w:t>
      </w:r>
      <w:r w:rsidR="006B590B">
        <w:t xml:space="preserve"> </w:t>
      </w:r>
      <w:r w:rsidRPr="006762E6">
        <w:t>and commence its progressive implementation immediately thereafter.</w:t>
      </w:r>
    </w:p>
    <w:p w14:paraId="66D09179" w14:textId="77777777" w:rsidR="00D170DC" w:rsidRPr="002F6787" w:rsidRDefault="00D170DC" w:rsidP="00D170DC">
      <w:pPr>
        <w:pStyle w:val="ListParagraph"/>
      </w:pPr>
      <w:r>
        <w:t xml:space="preserve">That the Australian Government consider ratification of the </w:t>
      </w:r>
      <w:r w:rsidRPr="00F25DD2">
        <w:rPr>
          <w:rFonts w:cs="Arial"/>
          <w:i/>
          <w:lang w:val="en"/>
        </w:rPr>
        <w:t>Convention on Protection of the Rights of All Migrant Workers and Members of Their Families</w:t>
      </w:r>
      <w:r>
        <w:rPr>
          <w:rFonts w:cs="Arial"/>
          <w:lang w:val="en"/>
        </w:rPr>
        <w:t xml:space="preserve"> and</w:t>
      </w:r>
      <w:r>
        <w:t xml:space="preserve"> other international instruments relating to issues of racial discrimination.</w:t>
      </w:r>
    </w:p>
    <w:p w14:paraId="6A69CEB5" w14:textId="77777777" w:rsidR="00D170DC" w:rsidRDefault="00D170DC" w:rsidP="00D170DC">
      <w:pPr>
        <w:pStyle w:val="ListParagraph"/>
      </w:pPr>
      <w:r w:rsidRPr="00645927">
        <w:t xml:space="preserve">That the Australian Government </w:t>
      </w:r>
      <w:r>
        <w:t>in</w:t>
      </w:r>
      <w:r w:rsidRPr="00645927">
        <w:t>corporate more comprehensive human rights education (including</w:t>
      </w:r>
      <w:r>
        <w:t xml:space="preserve"> in relation to racial discrimination and CERD</w:t>
      </w:r>
      <w:r w:rsidRPr="00645927">
        <w:t>) in the national school curriculum.</w:t>
      </w:r>
    </w:p>
    <w:p w14:paraId="1E52F34C" w14:textId="77777777" w:rsidR="004C28FB" w:rsidRPr="00645927" w:rsidRDefault="004C28FB" w:rsidP="004C28FB">
      <w:pPr>
        <w:pStyle w:val="ListParagraph"/>
      </w:pPr>
      <w:r w:rsidRPr="002612DB">
        <w:t xml:space="preserve">That the </w:t>
      </w:r>
      <w:r>
        <w:t xml:space="preserve">Australian </w:t>
      </w:r>
      <w:r w:rsidRPr="002612DB">
        <w:t>Gov</w:t>
      </w:r>
      <w:r>
        <w:t>ernment</w:t>
      </w:r>
      <w:r w:rsidRPr="002612DB">
        <w:t xml:space="preserve"> </w:t>
      </w:r>
      <w:r>
        <w:t>strengthen</w:t>
      </w:r>
      <w:r w:rsidRPr="002612DB">
        <w:t xml:space="preserve"> public education about multiculturalism, including through the </w:t>
      </w:r>
      <w:r>
        <w:t xml:space="preserve">national </w:t>
      </w:r>
      <w:r w:rsidRPr="002612DB">
        <w:t>school curriculum</w:t>
      </w:r>
      <w:r>
        <w:t>.</w:t>
      </w:r>
    </w:p>
    <w:p w14:paraId="47C9FDB9" w14:textId="77777777" w:rsidR="00D170DC" w:rsidRPr="00645927" w:rsidRDefault="00D170DC" w:rsidP="000F1F4B">
      <w:pPr>
        <w:pStyle w:val="SubmissionNormal"/>
        <w:numPr>
          <w:ilvl w:val="0"/>
          <w:numId w:val="17"/>
        </w:numPr>
      </w:pPr>
      <w:r w:rsidRPr="00645927">
        <w:rPr>
          <w:b/>
        </w:rPr>
        <w:t xml:space="preserve">That the Australian Government support human rights education for all areas of the public sector, particularly in the administration of justice and places of detention, </w:t>
      </w:r>
      <w:r w:rsidRPr="00645927">
        <w:rPr>
          <w:rFonts w:eastAsia="Calibri" w:cs="Arial"/>
          <w:b/>
          <w:lang w:val="en-NZ" w:eastAsia="en-US"/>
        </w:rPr>
        <w:t>including targeted initiatives for public officials</w:t>
      </w:r>
      <w:r w:rsidRPr="00645927">
        <w:rPr>
          <w:b/>
        </w:rPr>
        <w:t>.</w:t>
      </w:r>
    </w:p>
    <w:p w14:paraId="2B176E43" w14:textId="4BD1B3DB" w:rsidR="00D170DC" w:rsidRDefault="00D170DC" w:rsidP="00D170DC">
      <w:pPr>
        <w:pStyle w:val="ListParagraph"/>
      </w:pPr>
      <w:r w:rsidRPr="00F561AD">
        <w:t xml:space="preserve">That the </w:t>
      </w:r>
      <w:r>
        <w:t xml:space="preserve">Australian </w:t>
      </w:r>
      <w:r w:rsidRPr="00F561AD">
        <w:t>Government continue to support the anti-racism and other educative work of the Commission, including the National Anti-Racism Partnership and Strategy.</w:t>
      </w:r>
    </w:p>
    <w:p w14:paraId="46EDBEFC" w14:textId="4C4FBC96" w:rsidR="003879A8" w:rsidRPr="000F1F4B" w:rsidRDefault="003879A8" w:rsidP="000F1F4B">
      <w:pPr>
        <w:pStyle w:val="ListParagraph"/>
        <w:numPr>
          <w:ilvl w:val="0"/>
          <w:numId w:val="0"/>
        </w:numPr>
        <w:rPr>
          <w:sz w:val="28"/>
          <w:szCs w:val="28"/>
        </w:rPr>
      </w:pPr>
      <w:r w:rsidRPr="000F1F4B">
        <w:rPr>
          <w:sz w:val="28"/>
          <w:szCs w:val="28"/>
        </w:rPr>
        <w:t>Racial discrimination in Australia</w:t>
      </w:r>
    </w:p>
    <w:p w14:paraId="3CEDC1D4" w14:textId="77777777" w:rsidR="00D170DC" w:rsidRDefault="00D170DC" w:rsidP="00D170DC">
      <w:pPr>
        <w:pStyle w:val="ListParagraph"/>
      </w:pPr>
      <w:r>
        <w:t>That the Australian Government recognise the importance of maintaining effective legal protections against racial discrimination and hatred in setting a standard for public conduct in a multicultural society.</w:t>
      </w:r>
    </w:p>
    <w:p w14:paraId="0831B26B" w14:textId="59125124" w:rsidR="00D170DC" w:rsidRDefault="00D170DC" w:rsidP="00D170DC">
      <w:pPr>
        <w:pStyle w:val="ListParagraph"/>
      </w:pPr>
      <w:r w:rsidRPr="002612DB">
        <w:t xml:space="preserve">That the </w:t>
      </w:r>
      <w:r>
        <w:t xml:space="preserve">Australian </w:t>
      </w:r>
      <w:r w:rsidRPr="002612DB">
        <w:t>Government continue to support a policy of multiculturalism as a means of promoting social cohesion, cultural harmony and national unity.</w:t>
      </w:r>
    </w:p>
    <w:p w14:paraId="2DD17D3D" w14:textId="77777777" w:rsidR="003B0C87" w:rsidRDefault="003B0C87" w:rsidP="003B0C87">
      <w:pPr>
        <w:pStyle w:val="ListParagraph"/>
      </w:pPr>
      <w:r w:rsidRPr="003A3C7B">
        <w:t>That the Australian Parliament consider further public recognition of Australian multiculturalism, including periodic public statements affirming parliamentarians’ support of a multicultural Australia.</w:t>
      </w:r>
    </w:p>
    <w:p w14:paraId="58BE4967" w14:textId="2A993377" w:rsidR="003B0C87" w:rsidRDefault="003B0C87" w:rsidP="003B0C87">
      <w:pPr>
        <w:pStyle w:val="ListParagraph"/>
      </w:pPr>
      <w:r w:rsidRPr="002612DB">
        <w:t>That the</w:t>
      </w:r>
      <w:r>
        <w:t xml:space="preserve"> Australian</w:t>
      </w:r>
      <w:r w:rsidRPr="002612DB">
        <w:t xml:space="preserve"> Gov</w:t>
      </w:r>
      <w:r>
        <w:t>ernment</w:t>
      </w:r>
      <w:r w:rsidRPr="002612DB">
        <w:t xml:space="preserve"> </w:t>
      </w:r>
      <w:r w:rsidR="004C28FB">
        <w:t>strengthen</w:t>
      </w:r>
      <w:r w:rsidRPr="002612DB">
        <w:t xml:space="preserve"> the policy machinery of Australian multiculturalism, including through the </w:t>
      </w:r>
      <w:r>
        <w:t>re-</w:t>
      </w:r>
      <w:r w:rsidRPr="002612DB">
        <w:t>establishment of an Office of Multicultural Affairs</w:t>
      </w:r>
      <w:r>
        <w:t>.</w:t>
      </w:r>
    </w:p>
    <w:p w14:paraId="1712CFC2" w14:textId="77777777" w:rsidR="003B0C87" w:rsidRDefault="003B0C87" w:rsidP="000F1F4B">
      <w:pPr>
        <w:pStyle w:val="SubmissionNormal"/>
        <w:numPr>
          <w:ilvl w:val="0"/>
          <w:numId w:val="17"/>
        </w:numPr>
        <w:rPr>
          <w:b/>
        </w:rPr>
      </w:pPr>
      <w:r w:rsidRPr="009D7FC3">
        <w:rPr>
          <w:b/>
        </w:rPr>
        <w:lastRenderedPageBreak/>
        <w:t>That the Australian Parliament not pass the Australian Citizenship Legislation Amendment (Strengthening the Requirements for Australian Citizenship and Other Measures) Bill 2017 in its current form.</w:t>
      </w:r>
    </w:p>
    <w:p w14:paraId="47B90910" w14:textId="77777777" w:rsidR="003B0C87" w:rsidRDefault="003B0C87" w:rsidP="000F1F4B">
      <w:pPr>
        <w:pStyle w:val="SubmissionNormal"/>
        <w:numPr>
          <w:ilvl w:val="0"/>
          <w:numId w:val="17"/>
        </w:numPr>
        <w:rPr>
          <w:b/>
        </w:rPr>
      </w:pPr>
      <w:r w:rsidRPr="009D7FC3">
        <w:rPr>
          <w:b/>
        </w:rPr>
        <w:t>That the Australian Government ensure that any amendment to Australia’s visa system comply with international human rights law (including rights enshrined in CERD).</w:t>
      </w:r>
    </w:p>
    <w:p w14:paraId="209D7E82" w14:textId="77777777" w:rsidR="003B0C87" w:rsidRDefault="003B0C87" w:rsidP="003B0C87">
      <w:pPr>
        <w:pStyle w:val="ListParagraph"/>
      </w:pPr>
      <w:r>
        <w:t xml:space="preserve">That the Australian Government consider the recommendations of the Select Committee on Strengthening Multiculturalism and investigate pathways to improve cultural diversity in Australian institutions and organisations. </w:t>
      </w:r>
    </w:p>
    <w:p w14:paraId="257C13F6" w14:textId="27D4CC0B" w:rsidR="003B0C87" w:rsidRPr="000F1F4B" w:rsidRDefault="00421797" w:rsidP="00421797">
      <w:pPr>
        <w:pStyle w:val="ListParagraph"/>
      </w:pPr>
      <w:r w:rsidRPr="00FD71E5">
        <w:t xml:space="preserve">That the </w:t>
      </w:r>
      <w:r>
        <w:t xml:space="preserve">Australian </w:t>
      </w:r>
      <w:r w:rsidRPr="00FD71E5">
        <w:t xml:space="preserve">Government </w:t>
      </w:r>
      <w:r>
        <w:t>collect</w:t>
      </w:r>
      <w:r w:rsidRPr="00FD71E5">
        <w:t xml:space="preserve"> more comprehensive data on </w:t>
      </w:r>
      <w:r>
        <w:t xml:space="preserve">racial discrimination, </w:t>
      </w:r>
      <w:r w:rsidRPr="00601946">
        <w:t>racially</w:t>
      </w:r>
      <w:r w:rsidRPr="00FD71E5">
        <w:t xml:space="preserve"> motivated crimes</w:t>
      </w:r>
      <w:r>
        <w:t xml:space="preserve">, cultural diversity and multiculturalism generally. </w:t>
      </w:r>
      <w:r w:rsidR="003B0C87" w:rsidRPr="00421797">
        <w:rPr>
          <w:i/>
        </w:rPr>
        <w:t>The Commission considers this to be of such importance that the Committee should request an update from the Australian Government on progress in 12 months.</w:t>
      </w:r>
    </w:p>
    <w:p w14:paraId="0FC2FA87" w14:textId="10D725B1" w:rsidR="003879A8" w:rsidRPr="000F1F4B" w:rsidRDefault="003879A8" w:rsidP="000F1F4B">
      <w:pPr>
        <w:pStyle w:val="ListParagraph"/>
        <w:numPr>
          <w:ilvl w:val="0"/>
          <w:numId w:val="0"/>
        </w:numPr>
        <w:rPr>
          <w:sz w:val="28"/>
          <w:szCs w:val="28"/>
        </w:rPr>
      </w:pPr>
      <w:r w:rsidRPr="000F1F4B">
        <w:rPr>
          <w:sz w:val="28"/>
          <w:szCs w:val="28"/>
        </w:rPr>
        <w:t>Aboriginal and Torres Strait Islander Peoples</w:t>
      </w:r>
    </w:p>
    <w:p w14:paraId="1227CFC8" w14:textId="494E48C9" w:rsidR="003B0C87" w:rsidRPr="007E4BFF" w:rsidRDefault="003B0C87" w:rsidP="007E4BFF">
      <w:pPr>
        <w:pStyle w:val="SubmissionNormal"/>
        <w:numPr>
          <w:ilvl w:val="0"/>
          <w:numId w:val="17"/>
        </w:numPr>
        <w:rPr>
          <w:b/>
        </w:rPr>
      </w:pPr>
      <w:r w:rsidRPr="00491B1E">
        <w:rPr>
          <w:b/>
        </w:rPr>
        <w:t xml:space="preserve">That the Australian Government, in partnership with Aboriginal and Torres Strait Islander peoples, develop a National Strategy to give effect to the </w:t>
      </w:r>
      <w:r w:rsidRPr="00491B1E">
        <w:rPr>
          <w:b/>
          <w:i/>
        </w:rPr>
        <w:t>UN Declaration on the Rights of Indigenous Peoples</w:t>
      </w:r>
      <w:r w:rsidRPr="00491B1E">
        <w:rPr>
          <w:b/>
        </w:rPr>
        <w:t xml:space="preserve">. </w:t>
      </w:r>
      <w:r w:rsidRPr="007E4BFF">
        <w:rPr>
          <w:b/>
        </w:rPr>
        <w:t xml:space="preserve">Further, that the Declaration be included in the definition of ‘human rights’ in the </w:t>
      </w:r>
      <w:r w:rsidRPr="007E4BFF">
        <w:rPr>
          <w:b/>
          <w:i/>
        </w:rPr>
        <w:t xml:space="preserve">Human Rights (Parliamentary Scrutiny) Act 2011 </w:t>
      </w:r>
      <w:r w:rsidRPr="007E4BFF">
        <w:rPr>
          <w:b/>
        </w:rPr>
        <w:t xml:space="preserve">(Cth) to ensure that legislation is regularly assessed for conformity with the Declaration.  </w:t>
      </w:r>
    </w:p>
    <w:p w14:paraId="1C5AF949" w14:textId="77777777" w:rsidR="003B0C87" w:rsidRPr="00CF169B" w:rsidRDefault="003B0C87" w:rsidP="003B0C87">
      <w:pPr>
        <w:pStyle w:val="ListParagraph"/>
      </w:pPr>
      <w:r w:rsidRPr="00CF169B">
        <w:t xml:space="preserve">That the Australian Government </w:t>
      </w:r>
      <w:r w:rsidRPr="00CF169B">
        <w:rPr>
          <w:lang w:val="en-GB" w:eastAsia="en-GB"/>
        </w:rPr>
        <w:t xml:space="preserve">develop with Aboriginal and Torres Strait Islander peoples </w:t>
      </w:r>
      <w:r w:rsidRPr="00CF169B">
        <w:t>a model for constitutional recognition and</w:t>
      </w:r>
      <w:r>
        <w:t xml:space="preserve"> </w:t>
      </w:r>
      <w:r w:rsidRPr="004E3903">
        <w:t>negotiate in good faith with Aboriginal and Torres Strait Islander peoples about national representative mechanisms.</w:t>
      </w:r>
    </w:p>
    <w:p w14:paraId="6E8419CF" w14:textId="77777777" w:rsidR="003B0C87" w:rsidRDefault="003B0C87" w:rsidP="003B0C87">
      <w:pPr>
        <w:pStyle w:val="ListParagraph"/>
      </w:pPr>
      <w:r w:rsidRPr="00E54D64">
        <w:t xml:space="preserve">That </w:t>
      </w:r>
      <w:r>
        <w:t>all</w:t>
      </w:r>
      <w:r w:rsidRPr="00E54D64">
        <w:t xml:space="preserve"> </w:t>
      </w:r>
      <w:r>
        <w:t xml:space="preserve">Australian governments </w:t>
      </w:r>
      <w:r w:rsidRPr="00251241">
        <w:t>commit to national justice targets to reduce the rates of imprisonment of Aboriginal and Torres Strait Islander adults and juveniles</w:t>
      </w:r>
      <w:r>
        <w:t xml:space="preserve"> and that these targets be introduced into the Closing the Gap Strategy. </w:t>
      </w:r>
    </w:p>
    <w:p w14:paraId="758ED88A" w14:textId="3D791971" w:rsidR="003B0C87" w:rsidRPr="0016070F" w:rsidRDefault="00080827" w:rsidP="00080827">
      <w:pPr>
        <w:pStyle w:val="ListParagraph"/>
      </w:pPr>
      <w:r w:rsidRPr="00080827">
        <w:t>That the Australian Government, with the Northern Territory Government, swiftly consider the implementation of its response to the recommendations of the Royal Commission into the Protection and Detention of Children in the Northern Territory once its final report is deliv</w:t>
      </w:r>
      <w:r>
        <w:t>ered.</w:t>
      </w:r>
      <w:r w:rsidRPr="00080827">
        <w:t xml:space="preserve"> </w:t>
      </w:r>
      <w:r w:rsidR="003B0C87" w:rsidRPr="000F1F4B">
        <w:rPr>
          <w:i/>
        </w:rPr>
        <w:t>The Commission considers this issue to be of such importance that the Committee should request an update from the Australian Government on progress in 12 months time.</w:t>
      </w:r>
    </w:p>
    <w:p w14:paraId="04161CF9" w14:textId="77777777" w:rsidR="003B0C87" w:rsidRPr="009F6EF0" w:rsidRDefault="003B0C87" w:rsidP="003B0C87">
      <w:pPr>
        <w:pStyle w:val="ListParagraph"/>
      </w:pPr>
      <w:r>
        <w:t>That all Australian governments</w:t>
      </w:r>
      <w:r w:rsidRPr="009F6EF0">
        <w:t>:</w:t>
      </w:r>
    </w:p>
    <w:p w14:paraId="5F62333A" w14:textId="77777777" w:rsidR="003B0C87" w:rsidRPr="0072407D" w:rsidRDefault="003B0C87" w:rsidP="000F1F4B">
      <w:pPr>
        <w:pStyle w:val="ListParagraph"/>
        <w:numPr>
          <w:ilvl w:val="3"/>
          <w:numId w:val="22"/>
        </w:numPr>
      </w:pPr>
      <w:r>
        <w:rPr>
          <w:rFonts w:cs="Arial"/>
        </w:rPr>
        <w:lastRenderedPageBreak/>
        <w:t>implement policies to reduce</w:t>
      </w:r>
      <w:r w:rsidRPr="009F6EF0">
        <w:rPr>
          <w:rFonts w:cs="Arial"/>
        </w:rPr>
        <w:t xml:space="preserve"> disproportionate rates of violence against Aboriginal and Torres Strait Islander people to close the gap by 2040, with priority strategies for women and children</w:t>
      </w:r>
      <w:r>
        <w:rPr>
          <w:rFonts w:cs="Arial"/>
        </w:rPr>
        <w:t>, and</w:t>
      </w:r>
    </w:p>
    <w:p w14:paraId="55542FCE" w14:textId="77777777" w:rsidR="003B0C87" w:rsidRPr="0072407D" w:rsidRDefault="003B0C87" w:rsidP="000F1F4B">
      <w:pPr>
        <w:pStyle w:val="ListParagraph"/>
        <w:numPr>
          <w:ilvl w:val="3"/>
          <w:numId w:val="22"/>
        </w:numPr>
      </w:pPr>
      <w:r w:rsidRPr="0072407D">
        <w:t>prioritise early intervention and prevention initiatives that provide comprehensive support and protection from violence to vulnerable Indigenous populations</w:t>
      </w:r>
      <w:r>
        <w:t>,</w:t>
      </w:r>
      <w:r w:rsidRPr="0072407D">
        <w:t xml:space="preserve"> including women, children and the elderly.</w:t>
      </w:r>
    </w:p>
    <w:p w14:paraId="19BAD5B8" w14:textId="3805EC30" w:rsidR="003B0C87" w:rsidRPr="00CF169B" w:rsidRDefault="003B0C87" w:rsidP="003B0C87">
      <w:pPr>
        <w:pStyle w:val="ListParagraph"/>
      </w:pPr>
      <w:r w:rsidRPr="00CF169B">
        <w:t xml:space="preserve">That the Australian Government provide adequate ongoing funding </w:t>
      </w:r>
      <w:r w:rsidRPr="00CF169B">
        <w:rPr>
          <w:rFonts w:cs="Arial"/>
        </w:rPr>
        <w:t>of</w:t>
      </w:r>
      <w:r w:rsidRPr="00CF169B">
        <w:t xml:space="preserve"> the </w:t>
      </w:r>
      <w:r w:rsidRPr="006F1D64">
        <w:t>Aboriginal and Torres Strait Islander peak organisations</w:t>
      </w:r>
      <w:r>
        <w:t xml:space="preserve"> and </w:t>
      </w:r>
      <w:r w:rsidR="00080827">
        <w:t>for</w:t>
      </w:r>
      <w:r>
        <w:t xml:space="preserve"> Indigenous legal assistance.</w:t>
      </w:r>
    </w:p>
    <w:p w14:paraId="2FA5AC31" w14:textId="77777777" w:rsidR="003B0C87" w:rsidRPr="00B61062" w:rsidRDefault="003B0C87" w:rsidP="003B0C87">
      <w:pPr>
        <w:pStyle w:val="ListParagraph"/>
      </w:pPr>
      <w:r w:rsidRPr="00B61062">
        <w:t xml:space="preserve">That the Australian Government ensure that any reforms that affect Aboriginal and Torres Strait Islander peoples’ lands are undertaken with their </w:t>
      </w:r>
      <w:r>
        <w:t xml:space="preserve">participation and </w:t>
      </w:r>
      <w:r w:rsidRPr="00B61062">
        <w:t>free, prior and informed consent.</w:t>
      </w:r>
    </w:p>
    <w:p w14:paraId="01CB9E0F" w14:textId="77777777" w:rsidR="003B0C87" w:rsidRPr="00B61062" w:rsidRDefault="003B0C87" w:rsidP="003B0C87">
      <w:pPr>
        <w:pStyle w:val="ListParagraph"/>
      </w:pPr>
      <w:r w:rsidRPr="00B61062">
        <w:t xml:space="preserve">That the Australian Government implement the recommendations of the ALRC’s Connection to Country Review of the </w:t>
      </w:r>
      <w:r w:rsidRPr="00B61062">
        <w:rPr>
          <w:i/>
        </w:rPr>
        <w:t>Native Title Act 1993</w:t>
      </w:r>
      <w:r w:rsidRPr="00B61062">
        <w:t xml:space="preserve"> (Cth) and the </w:t>
      </w:r>
      <w:r w:rsidRPr="00B61062">
        <w:rPr>
          <w:rFonts w:cs="Arial"/>
          <w:iCs/>
        </w:rPr>
        <w:t>Council of Australian Governments’</w:t>
      </w:r>
      <w:r w:rsidRPr="00B61062">
        <w:t xml:space="preserve"> Investigation into Indigenous Land Administration and Use in order to better recognise and protect Aboriginal and Torres Strait Islander peoples’ native title rights and interests.</w:t>
      </w:r>
    </w:p>
    <w:p w14:paraId="7B7B5925" w14:textId="77777777" w:rsidR="003B0C87" w:rsidRDefault="003B0C87" w:rsidP="003B0C87">
      <w:pPr>
        <w:pStyle w:val="ListParagraph"/>
      </w:pPr>
      <w:r w:rsidRPr="00B61062">
        <w:t>That the Australian Government ensure that Aboriginal and Torres Strait Islander peoples’ rights to their traditional estates are not negatively affected by the development of northern Australia.</w:t>
      </w:r>
    </w:p>
    <w:p w14:paraId="4617ED62" w14:textId="1422F0FF" w:rsidR="003B0C87" w:rsidRDefault="003B0C87" w:rsidP="003B0C87">
      <w:pPr>
        <w:pStyle w:val="ListParagraph"/>
      </w:pPr>
      <w:r>
        <w:t>That all Australian governments increase their efforts to achieve the Closing the Gap targets.</w:t>
      </w:r>
    </w:p>
    <w:p w14:paraId="1EFAACA2" w14:textId="58008344" w:rsidR="003B0C87" w:rsidRDefault="003B0C87" w:rsidP="003B0C87">
      <w:pPr>
        <w:pStyle w:val="ListParagraph"/>
      </w:pPr>
      <w:r w:rsidRPr="00956858">
        <w:t xml:space="preserve">That the Australian Government </w:t>
      </w:r>
      <w:r>
        <w:t xml:space="preserve">ensure that </w:t>
      </w:r>
      <w:r w:rsidRPr="00956858">
        <w:t>current models of income management schemes be discontinued or redesigned on a voluntary, opt</w:t>
      </w:r>
      <w:r>
        <w:t>-</w:t>
      </w:r>
      <w:r w:rsidRPr="00956858">
        <w:t>in basis with appropriate oversight of decision making and monitoring.</w:t>
      </w:r>
    </w:p>
    <w:p w14:paraId="6C26E327" w14:textId="77777777" w:rsidR="007E4BFF" w:rsidRPr="007E4BFF" w:rsidRDefault="007E4BFF" w:rsidP="007E4BFF">
      <w:pPr>
        <w:pStyle w:val="ListParagraph"/>
        <w:numPr>
          <w:ilvl w:val="0"/>
          <w:numId w:val="0"/>
        </w:numPr>
        <w:rPr>
          <w:sz w:val="28"/>
          <w:szCs w:val="28"/>
        </w:rPr>
      </w:pPr>
      <w:r w:rsidRPr="007E4BFF">
        <w:rPr>
          <w:sz w:val="28"/>
          <w:szCs w:val="28"/>
        </w:rPr>
        <w:t>Migrants, ethnic minorities and culturally and linguistically diverse (CALD) peoples</w:t>
      </w:r>
    </w:p>
    <w:p w14:paraId="1823604B" w14:textId="31F26FFE" w:rsidR="003B0C87" w:rsidRDefault="00080827" w:rsidP="003B0C87">
      <w:pPr>
        <w:pStyle w:val="ListParagraph"/>
      </w:pPr>
      <w:r>
        <w:t>That the Australian Government support measures to address discrimination faced by African people and communities, including by ensuring targeted</w:t>
      </w:r>
      <w:r w:rsidRPr="002E4A80">
        <w:t xml:space="preserve"> </w:t>
      </w:r>
      <w:r>
        <w:t>settlement services</w:t>
      </w:r>
      <w:r w:rsidR="003B0C87">
        <w:t xml:space="preserve">. </w:t>
      </w:r>
    </w:p>
    <w:p w14:paraId="2031D7FE" w14:textId="7E2868D4" w:rsidR="003B0C87" w:rsidRPr="009C57C3" w:rsidRDefault="00080827" w:rsidP="00080827">
      <w:pPr>
        <w:pStyle w:val="ListParagraph"/>
      </w:pPr>
      <w:r>
        <w:t xml:space="preserve">That all Australian governments provide targeted services to protect international students from discrimination. Further, that the Australian Government ensure appropriate data is compiled on the experience of international students in Australia, particularly in relation to income and expenditure, housing experiences, employment discrimination and experiences of violence and sexual harassment. </w:t>
      </w:r>
      <w:r w:rsidR="003B0C87">
        <w:t xml:space="preserve"> </w:t>
      </w:r>
    </w:p>
    <w:p w14:paraId="37DC917C" w14:textId="237B37B0" w:rsidR="00080827" w:rsidRDefault="00080827" w:rsidP="00080827">
      <w:pPr>
        <w:pStyle w:val="ListParagraph"/>
      </w:pPr>
      <w:r w:rsidRPr="00AE6045">
        <w:lastRenderedPageBreak/>
        <w:t>That</w:t>
      </w:r>
      <w:r>
        <w:t xml:space="preserve"> the Australian </w:t>
      </w:r>
      <w:r w:rsidRPr="00AE6045">
        <w:t xml:space="preserve">Government consider </w:t>
      </w:r>
      <w:r w:rsidRPr="00361B48">
        <w:t xml:space="preserve">how </w:t>
      </w:r>
      <w:r>
        <w:t xml:space="preserve">Australian </w:t>
      </w:r>
      <w:r w:rsidRPr="00361B48">
        <w:t xml:space="preserve">law could </w:t>
      </w:r>
      <w:r>
        <w:t xml:space="preserve">better reflect </w:t>
      </w:r>
      <w:r w:rsidRPr="00361B48">
        <w:t xml:space="preserve">international human rights law relating </w:t>
      </w:r>
      <w:r>
        <w:t>to religious belief and observance.</w:t>
      </w:r>
    </w:p>
    <w:p w14:paraId="03BF2287" w14:textId="77777777" w:rsidR="003B0C87" w:rsidRDefault="003B0C87" w:rsidP="003B0C87">
      <w:pPr>
        <w:pStyle w:val="ListParagraph"/>
      </w:pPr>
      <w:r w:rsidRPr="00956858">
        <w:t xml:space="preserve">That the </w:t>
      </w:r>
      <w:r>
        <w:t>Australian Government</w:t>
      </w:r>
      <w:r w:rsidRPr="00956858">
        <w:t xml:space="preserve"> maintain a migration policy and program that do</w:t>
      </w:r>
      <w:r>
        <w:t>es</w:t>
      </w:r>
      <w:r w:rsidRPr="00956858">
        <w:t xml:space="preserve"> not discriminate against visa applicants on the basis of their race, colour, descent, religion or national or ethnic origin.</w:t>
      </w:r>
    </w:p>
    <w:p w14:paraId="569C3AE1" w14:textId="77777777" w:rsidR="003B0C87" w:rsidRPr="00D1023D" w:rsidRDefault="003B0C87" w:rsidP="003B0C87">
      <w:pPr>
        <w:pStyle w:val="ListParagraph"/>
      </w:pPr>
      <w:r>
        <w:t>That the Australian Government continue to fund and support initiatives to address racism and racial discrimination as a complementary measure to settlement services.</w:t>
      </w:r>
    </w:p>
    <w:p w14:paraId="428BBF87" w14:textId="77777777" w:rsidR="003B0C87" w:rsidRPr="009C23BD" w:rsidRDefault="003B0C87" w:rsidP="003B0C87">
      <w:pPr>
        <w:pStyle w:val="ListParagraph"/>
        <w:rPr>
          <w:color w:val="2E74B5" w:themeColor="accent1" w:themeShade="BF"/>
        </w:rPr>
      </w:pPr>
      <w:r w:rsidRPr="00753EF9">
        <w:t xml:space="preserve">That the Australian Government </w:t>
      </w:r>
      <w:r>
        <w:t xml:space="preserve">revise policies that discriminate against refugees and asylum seekers on the basis of </w:t>
      </w:r>
      <w:r w:rsidRPr="00753EF9">
        <w:t xml:space="preserve">their mode of arrival. </w:t>
      </w:r>
    </w:p>
    <w:p w14:paraId="063F6634" w14:textId="6610C9F9" w:rsidR="003B0C87" w:rsidRPr="003879A8" w:rsidRDefault="003B0C87" w:rsidP="003B0C87">
      <w:pPr>
        <w:pStyle w:val="ListParagraph"/>
        <w:rPr>
          <w:rFonts w:cs="Arial"/>
        </w:rPr>
      </w:pPr>
      <w:r w:rsidRPr="00936628">
        <w:t>That the Australian Government put in place transparent decision-making and external review processes to ensure the exercise of discretionary power in s 501 of the Migration Act complies with</w:t>
      </w:r>
      <w:r>
        <w:t xml:space="preserve"> international human rights law (including CERD).</w:t>
      </w:r>
    </w:p>
    <w:p w14:paraId="2D212FBF" w14:textId="57126B8F" w:rsidR="003879A8" w:rsidRPr="000F1F4B" w:rsidRDefault="003879A8" w:rsidP="000F1F4B">
      <w:pPr>
        <w:pStyle w:val="ListParagraph"/>
        <w:numPr>
          <w:ilvl w:val="0"/>
          <w:numId w:val="0"/>
        </w:numPr>
        <w:rPr>
          <w:sz w:val="28"/>
          <w:szCs w:val="28"/>
        </w:rPr>
      </w:pPr>
      <w:r w:rsidRPr="000F1F4B">
        <w:rPr>
          <w:sz w:val="28"/>
          <w:szCs w:val="28"/>
        </w:rPr>
        <w:t>Police Practices</w:t>
      </w:r>
    </w:p>
    <w:p w14:paraId="5AB010AF" w14:textId="4714252C" w:rsidR="00206B90" w:rsidRDefault="00567E89" w:rsidP="00567E89">
      <w:pPr>
        <w:pStyle w:val="ListParagraph"/>
      </w:pPr>
      <w:r w:rsidRPr="00567E89">
        <w:t>That</w:t>
      </w:r>
      <w:r w:rsidR="00B9337E">
        <w:t>:</w:t>
      </w:r>
      <w:r w:rsidR="00206B90">
        <w:t xml:space="preserve"> </w:t>
      </w:r>
    </w:p>
    <w:p w14:paraId="1A29BAC8" w14:textId="277FBBF3" w:rsidR="00206B90" w:rsidRDefault="00B9337E" w:rsidP="00206B90">
      <w:pPr>
        <w:pStyle w:val="ListParagraph"/>
        <w:numPr>
          <w:ilvl w:val="3"/>
          <w:numId w:val="22"/>
        </w:numPr>
      </w:pPr>
      <w:r w:rsidRPr="00567E89">
        <w:t>all Australian governments</w:t>
      </w:r>
      <w:r>
        <w:t xml:space="preserve"> </w:t>
      </w:r>
      <w:r w:rsidR="00567E89" w:rsidRPr="00567E89">
        <w:t>ensure police are trained in cultu</w:t>
      </w:r>
      <w:r>
        <w:t>ral competency and anti-racism</w:t>
      </w:r>
    </w:p>
    <w:p w14:paraId="47EC2586" w14:textId="77777777" w:rsidR="00B9337E" w:rsidRDefault="00B9337E" w:rsidP="00B9337E">
      <w:pPr>
        <w:pStyle w:val="ListParagraph"/>
        <w:numPr>
          <w:ilvl w:val="3"/>
          <w:numId w:val="22"/>
        </w:numPr>
      </w:pPr>
      <w:r w:rsidRPr="00567E89">
        <w:t>all Australian governments</w:t>
      </w:r>
      <w:r>
        <w:t xml:space="preserve"> </w:t>
      </w:r>
      <w:r w:rsidR="00567E89" w:rsidRPr="00567E89">
        <w:t xml:space="preserve">implement independent review mechanisms to monitor compliance of police practices with international human rights law (including CERD and the </w:t>
      </w:r>
      <w:r w:rsidR="00567E89" w:rsidRPr="00567E89">
        <w:rPr>
          <w:i/>
        </w:rPr>
        <w:t>Racial Discrimination Act 1975</w:t>
      </w:r>
      <w:r>
        <w:t xml:space="preserve"> (Cth)), and</w:t>
      </w:r>
      <w:r w:rsidR="00567E89" w:rsidRPr="00567E89">
        <w:t xml:space="preserve"> </w:t>
      </w:r>
    </w:p>
    <w:p w14:paraId="6243B260" w14:textId="77777777" w:rsidR="00B9337E" w:rsidRDefault="00567E89" w:rsidP="00B9337E">
      <w:pPr>
        <w:pStyle w:val="ListParagraph"/>
        <w:numPr>
          <w:ilvl w:val="3"/>
          <w:numId w:val="22"/>
        </w:numPr>
      </w:pPr>
      <w:r w:rsidRPr="00567E89">
        <w:t xml:space="preserve">the Queensland Government respond appropriately to the Federal Court of Australia’s decision in </w:t>
      </w:r>
      <w:r w:rsidRPr="00B9337E">
        <w:rPr>
          <w:i/>
        </w:rPr>
        <w:t>Wotton v State of Queensland (No 5)</w:t>
      </w:r>
      <w:r w:rsidRPr="00567E89">
        <w:t xml:space="preserve"> [2016] FCA 1457.</w:t>
      </w:r>
      <w:r>
        <w:t xml:space="preserve"> </w:t>
      </w:r>
    </w:p>
    <w:p w14:paraId="4BDFE91F" w14:textId="559AB805" w:rsidR="003B0C87" w:rsidRPr="00B9337E" w:rsidRDefault="003B0C87" w:rsidP="00B9337E">
      <w:pPr>
        <w:ind w:left="720"/>
        <w:rPr>
          <w:b/>
        </w:rPr>
      </w:pPr>
      <w:r w:rsidRPr="00B9337E">
        <w:rPr>
          <w:b/>
          <w:i/>
        </w:rPr>
        <w:t xml:space="preserve">The Commission considers </w:t>
      </w:r>
      <w:r w:rsidR="00423B7A">
        <w:rPr>
          <w:b/>
          <w:i/>
        </w:rPr>
        <w:t>these</w:t>
      </w:r>
      <w:r w:rsidRPr="00B9337E">
        <w:rPr>
          <w:b/>
          <w:i/>
        </w:rPr>
        <w:t xml:space="preserve"> issue</w:t>
      </w:r>
      <w:r w:rsidR="00423B7A">
        <w:rPr>
          <w:b/>
          <w:i/>
        </w:rPr>
        <w:t>s</w:t>
      </w:r>
      <w:bookmarkStart w:id="100" w:name="_GoBack"/>
      <w:bookmarkEnd w:id="100"/>
      <w:r w:rsidRPr="00B9337E">
        <w:rPr>
          <w:b/>
          <w:i/>
        </w:rPr>
        <w:t xml:space="preserve"> to be of such importance that the Committee should request an update from the Australian Government on progress in 12 months time.</w:t>
      </w:r>
    </w:p>
    <w:p w14:paraId="75681D9A" w14:textId="03AE13F0" w:rsidR="003879A8" w:rsidRPr="000F1F4B" w:rsidRDefault="003879A8" w:rsidP="000F1F4B">
      <w:pPr>
        <w:pStyle w:val="ListParagraph"/>
        <w:numPr>
          <w:ilvl w:val="0"/>
          <w:numId w:val="0"/>
        </w:numPr>
        <w:rPr>
          <w:sz w:val="28"/>
          <w:szCs w:val="28"/>
        </w:rPr>
      </w:pPr>
      <w:r w:rsidRPr="000F1F4B">
        <w:rPr>
          <w:sz w:val="28"/>
          <w:szCs w:val="28"/>
        </w:rPr>
        <w:t>Counterterrorism</w:t>
      </w:r>
    </w:p>
    <w:p w14:paraId="67FF3329" w14:textId="1604D59F" w:rsidR="003B0C87" w:rsidRDefault="003B0C87" w:rsidP="003879A8">
      <w:pPr>
        <w:pStyle w:val="ListParagraph"/>
      </w:pPr>
      <w:r w:rsidRPr="00D8654A">
        <w:rPr>
          <w:rFonts w:eastAsia="Calibri"/>
          <w:lang w:val="en-NZ" w:eastAsia="en-US"/>
        </w:rPr>
        <w:t xml:space="preserve">That the Australian Government </w:t>
      </w:r>
      <w:r>
        <w:t>ensures that counter</w:t>
      </w:r>
      <w:r w:rsidRPr="00D8654A">
        <w:t>terrorism measures do not u</w:t>
      </w:r>
      <w:r>
        <w:t xml:space="preserve">nnecessarily limit human rights (including rights enshrined in CERD) and </w:t>
      </w:r>
      <w:r w:rsidRPr="00D8654A">
        <w:rPr>
          <w:rFonts w:eastAsia="Calibri"/>
          <w:lang w:val="en-NZ" w:eastAsia="en-US"/>
        </w:rPr>
        <w:t>consider</w:t>
      </w:r>
      <w:r>
        <w:rPr>
          <w:rFonts w:eastAsia="Calibri"/>
          <w:lang w:val="en-NZ" w:eastAsia="en-US"/>
        </w:rPr>
        <w:t>s</w:t>
      </w:r>
      <w:r w:rsidRPr="00D8654A">
        <w:t xml:space="preserve"> the concerns raised by the Independent National Security Legislation Monitor in</w:t>
      </w:r>
      <w:r>
        <w:t xml:space="preserve"> that process.</w:t>
      </w:r>
      <w:r w:rsidRPr="00D8654A">
        <w:t xml:space="preserve"> </w:t>
      </w:r>
    </w:p>
    <w:p w14:paraId="5283F5E0" w14:textId="655485D4" w:rsidR="00F31215" w:rsidRDefault="00F31215" w:rsidP="00F31215">
      <w:pPr>
        <w:pStyle w:val="ListParagraph"/>
        <w:numPr>
          <w:ilvl w:val="0"/>
          <w:numId w:val="0"/>
        </w:numPr>
        <w:ind w:left="720"/>
        <w:rPr>
          <w:rFonts w:eastAsia="Calibri"/>
          <w:lang w:val="en-NZ" w:eastAsia="en-US"/>
        </w:rPr>
      </w:pPr>
    </w:p>
    <w:p w14:paraId="769F0342" w14:textId="77777777" w:rsidR="00F31215" w:rsidRDefault="00F31215" w:rsidP="00F31215">
      <w:pPr>
        <w:pStyle w:val="ListParagraph"/>
        <w:numPr>
          <w:ilvl w:val="0"/>
          <w:numId w:val="0"/>
        </w:numPr>
        <w:ind w:left="720"/>
      </w:pPr>
    </w:p>
    <w:p w14:paraId="380ACA37" w14:textId="4BB2A6E7" w:rsidR="000F1F4B" w:rsidRPr="000F1F4B" w:rsidRDefault="000F1F4B" w:rsidP="000F1F4B">
      <w:pPr>
        <w:pStyle w:val="ListParagraph"/>
        <w:numPr>
          <w:ilvl w:val="0"/>
          <w:numId w:val="0"/>
        </w:numPr>
        <w:rPr>
          <w:sz w:val="28"/>
          <w:szCs w:val="28"/>
        </w:rPr>
      </w:pPr>
      <w:r w:rsidRPr="000F1F4B">
        <w:rPr>
          <w:sz w:val="28"/>
          <w:szCs w:val="28"/>
        </w:rPr>
        <w:lastRenderedPageBreak/>
        <w:t>Cyber-racism</w:t>
      </w:r>
    </w:p>
    <w:p w14:paraId="445A911F" w14:textId="32A9DA61" w:rsidR="003B0C87" w:rsidRDefault="003B0C87" w:rsidP="003B0C87">
      <w:pPr>
        <w:pStyle w:val="ListParagraph"/>
      </w:pPr>
      <w:r w:rsidRPr="009A694D">
        <w:t xml:space="preserve">That </w:t>
      </w:r>
      <w:r>
        <w:t xml:space="preserve">the Australian Government continue to support </w:t>
      </w:r>
      <w:r w:rsidRPr="009A694D">
        <w:t>evidence</w:t>
      </w:r>
      <w:r>
        <w:t>-</w:t>
      </w:r>
      <w:r w:rsidRPr="009A694D">
        <w:t xml:space="preserve">based strategies to address cyber-racism </w:t>
      </w:r>
      <w:r>
        <w:t>a</w:t>
      </w:r>
      <w:r w:rsidRPr="009A694D">
        <w:t>s part of a coordinated approach to address racism.</w:t>
      </w:r>
    </w:p>
    <w:p w14:paraId="392B8664" w14:textId="5F0374D3" w:rsidR="000F1F4B" w:rsidRPr="000F1F4B" w:rsidRDefault="000F1F4B" w:rsidP="000F1F4B">
      <w:pPr>
        <w:pStyle w:val="ListParagraph"/>
        <w:numPr>
          <w:ilvl w:val="0"/>
          <w:numId w:val="0"/>
        </w:numPr>
        <w:rPr>
          <w:sz w:val="28"/>
          <w:szCs w:val="28"/>
        </w:rPr>
      </w:pPr>
      <w:r w:rsidRPr="000F1F4B">
        <w:rPr>
          <w:sz w:val="28"/>
          <w:szCs w:val="28"/>
        </w:rPr>
        <w:t>Freedom of expression</w:t>
      </w:r>
    </w:p>
    <w:p w14:paraId="0AF222EC" w14:textId="77777777" w:rsidR="003B0C87" w:rsidRDefault="003B0C87" w:rsidP="003B0C87">
      <w:pPr>
        <w:pStyle w:val="ListParagraph"/>
      </w:pPr>
      <w:r w:rsidRPr="002612DB">
        <w:t xml:space="preserve">That the </w:t>
      </w:r>
      <w:r>
        <w:t xml:space="preserve">Australian </w:t>
      </w:r>
      <w:r w:rsidRPr="002612DB">
        <w:t>Gov</w:t>
      </w:r>
      <w:r>
        <w:t>ernmen</w:t>
      </w:r>
      <w:r w:rsidRPr="002612DB">
        <w:t>t recognise that Australian race relations and community harmony can be profoundly influenced by the tone of public debate about immigration, multiculturalism and national security</w:t>
      </w:r>
      <w:r>
        <w:t xml:space="preserve">. </w:t>
      </w:r>
    </w:p>
    <w:p w14:paraId="063280F1" w14:textId="2041E9AA" w:rsidR="003B0C87" w:rsidRDefault="003B0C87" w:rsidP="003B0C87">
      <w:pPr>
        <w:pStyle w:val="ListParagraph"/>
      </w:pPr>
      <w:r w:rsidRPr="00324D76">
        <w:t xml:space="preserve">That the </w:t>
      </w:r>
      <w:r>
        <w:t xml:space="preserve">Australian </w:t>
      </w:r>
      <w:r w:rsidRPr="00324D76">
        <w:t xml:space="preserve">Government </w:t>
      </w:r>
      <w:r>
        <w:t xml:space="preserve">commission an independent, </w:t>
      </w:r>
      <w:r w:rsidRPr="00324D76">
        <w:t>broad</w:t>
      </w:r>
      <w:r>
        <w:t>ly focused</w:t>
      </w:r>
      <w:r w:rsidRPr="00324D76">
        <w:t xml:space="preserve"> inquiry into freedom of </w:t>
      </w:r>
      <w:r>
        <w:t xml:space="preserve">expression </w:t>
      </w:r>
      <w:r w:rsidRPr="00324D76">
        <w:t>in Australia.</w:t>
      </w:r>
    </w:p>
    <w:p w14:paraId="1BADDF0D" w14:textId="464C356C" w:rsidR="000F1F4B" w:rsidRPr="000F1F4B" w:rsidRDefault="000F1F4B" w:rsidP="000F1F4B">
      <w:pPr>
        <w:pStyle w:val="ListParagraph"/>
        <w:numPr>
          <w:ilvl w:val="0"/>
          <w:numId w:val="0"/>
        </w:numPr>
        <w:rPr>
          <w:sz w:val="28"/>
          <w:szCs w:val="28"/>
        </w:rPr>
      </w:pPr>
      <w:r w:rsidRPr="000F1F4B">
        <w:rPr>
          <w:sz w:val="28"/>
          <w:szCs w:val="28"/>
        </w:rPr>
        <w:t>Business and human rights</w:t>
      </w:r>
    </w:p>
    <w:p w14:paraId="5E7DFADA" w14:textId="77777777" w:rsidR="00912115" w:rsidRPr="00912115" w:rsidRDefault="00912115" w:rsidP="00912115">
      <w:pPr>
        <w:pStyle w:val="ListParagraph"/>
        <w:rPr>
          <w:rFonts w:eastAsia="Calibri" w:cs="Arial"/>
          <w:lang w:val="en-NZ" w:eastAsia="en-US"/>
        </w:rPr>
      </w:pPr>
      <w:r w:rsidRPr="00912115">
        <w:rPr>
          <w:rFonts w:eastAsia="Calibri" w:cs="Arial"/>
          <w:lang w:val="en-NZ" w:eastAsia="en-US"/>
        </w:rPr>
        <w:t>That the Australian Government, in consultation with the business sector, take measures to implement Australia’s international law obligations in the area of business and human rights and to enhance protections for those harmed by Australian business activities.</w:t>
      </w:r>
    </w:p>
    <w:p w14:paraId="639F8C90" w14:textId="754348DF" w:rsidR="003B0C87" w:rsidRPr="002A36CF" w:rsidRDefault="003B0C87" w:rsidP="000F1F4B">
      <w:pPr>
        <w:pStyle w:val="SubmissionNormal"/>
        <w:numPr>
          <w:ilvl w:val="0"/>
          <w:numId w:val="17"/>
        </w:numPr>
        <w:rPr>
          <w:b/>
        </w:rPr>
      </w:pPr>
      <w:r>
        <w:rPr>
          <w:b/>
        </w:rPr>
        <w:t xml:space="preserve">That the Australian Government </w:t>
      </w:r>
      <w:r w:rsidR="00912115">
        <w:rPr>
          <w:rFonts w:eastAsia="Calibri"/>
          <w:b/>
        </w:rPr>
        <w:t>legislate</w:t>
      </w:r>
      <w:r w:rsidRPr="000E7AEC">
        <w:rPr>
          <w:rFonts w:eastAsia="Calibri"/>
          <w:b/>
        </w:rPr>
        <w:t xml:space="preserve"> a </w:t>
      </w:r>
      <w:r>
        <w:rPr>
          <w:rFonts w:eastAsia="Calibri"/>
          <w:b/>
        </w:rPr>
        <w:t xml:space="preserve">Modern Slavery Act in Australia. </w:t>
      </w:r>
    </w:p>
    <w:p w14:paraId="7AE05E74" w14:textId="77777777" w:rsidR="003B0C87" w:rsidRDefault="003B0C87" w:rsidP="003B0C87">
      <w:pPr>
        <w:pStyle w:val="ListParagraph"/>
      </w:pPr>
      <w:r w:rsidRPr="00A51F41">
        <w:t>That the</w:t>
      </w:r>
      <w:r>
        <w:t xml:space="preserve"> Australian Government amend the</w:t>
      </w:r>
      <w:r w:rsidRPr="00A51F41">
        <w:t xml:space="preserve"> Commonwealth Procurement Rules </w:t>
      </w:r>
      <w:r>
        <w:t xml:space="preserve">to align </w:t>
      </w:r>
      <w:r w:rsidRPr="00A51F41">
        <w:t xml:space="preserve">with the </w:t>
      </w:r>
      <w:r>
        <w:t>UN Guiding Principles on Business and Human Rights, including</w:t>
      </w:r>
      <w:r w:rsidRPr="00A51F41">
        <w:t xml:space="preserve"> </w:t>
      </w:r>
      <w:r>
        <w:t xml:space="preserve">in regard to </w:t>
      </w:r>
      <w:r w:rsidRPr="00A51F41">
        <w:t>human rights due diligence in procurement.</w:t>
      </w:r>
    </w:p>
    <w:p w14:paraId="076F5E21" w14:textId="77777777" w:rsidR="00206B90" w:rsidRDefault="00206B90">
      <w:pPr>
        <w:spacing w:before="0" w:after="0"/>
        <w:rPr>
          <w:b/>
          <w:bCs/>
          <w:sz w:val="28"/>
          <w:szCs w:val="28"/>
        </w:rPr>
      </w:pPr>
      <w:r>
        <w:br w:type="page"/>
      </w:r>
    </w:p>
    <w:p w14:paraId="64807DDD" w14:textId="77777777" w:rsidR="00206B90" w:rsidRDefault="00206B90" w:rsidP="000F1F4B">
      <w:pPr>
        <w:pStyle w:val="Heading1"/>
        <w:numPr>
          <w:ilvl w:val="0"/>
          <w:numId w:val="0"/>
        </w:numPr>
      </w:pPr>
    </w:p>
    <w:p w14:paraId="2584AAEC" w14:textId="695E5F72" w:rsidR="001E5CA5" w:rsidRPr="001E5CA5" w:rsidRDefault="009C23BD" w:rsidP="000F1F4B">
      <w:pPr>
        <w:pStyle w:val="Heading1"/>
        <w:numPr>
          <w:ilvl w:val="0"/>
          <w:numId w:val="0"/>
        </w:numPr>
      </w:pPr>
      <w:bookmarkStart w:id="101" w:name="_Toc497148327"/>
      <w:r>
        <w:t>Endnotes</w:t>
      </w:r>
      <w:bookmarkEnd w:id="101"/>
    </w:p>
    <w:sectPr w:rsidR="001E5CA5" w:rsidRPr="001E5CA5"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81B6" w14:textId="77777777" w:rsidR="00910DFF" w:rsidRDefault="00910DFF" w:rsidP="00F14C6D">
      <w:r>
        <w:separator/>
      </w:r>
    </w:p>
  </w:endnote>
  <w:endnote w:type="continuationSeparator" w:id="0">
    <w:p w14:paraId="092D8064" w14:textId="77777777" w:rsidR="00910DFF" w:rsidRDefault="00910DFF" w:rsidP="00F14C6D">
      <w:r>
        <w:continuationSeparator/>
      </w:r>
    </w:p>
  </w:endnote>
  <w:endnote w:type="continuationNotice" w:id="1">
    <w:p w14:paraId="5E22AFD9" w14:textId="77777777" w:rsidR="00910DFF" w:rsidRDefault="00910DFF">
      <w:pPr>
        <w:spacing w:before="0" w:after="0"/>
      </w:pPr>
    </w:p>
  </w:endnote>
  <w:endnote w:id="2">
    <w:p w14:paraId="06F39B7B" w14:textId="77777777" w:rsidR="00910DFF" w:rsidRPr="00D95BC4" w:rsidRDefault="00910DFF" w:rsidP="009E2F27">
      <w:pPr>
        <w:pStyle w:val="EndnoteText"/>
      </w:pPr>
      <w:r>
        <w:rPr>
          <w:rStyle w:val="EndnoteReference"/>
        </w:rPr>
        <w:endnoteRef/>
      </w:r>
      <w:r>
        <w:t xml:space="preserve"> United Nations Committee on the Elimination of Racial Discrimination, </w:t>
      </w:r>
      <w:r>
        <w:rPr>
          <w:i/>
        </w:rPr>
        <w:t>Rules of procedure of the Committee on the Elimination of Racial Discrimination</w:t>
      </w:r>
      <w:r>
        <w:t xml:space="preserve">, UN Doc </w:t>
      </w:r>
      <w:r w:rsidRPr="00BB72F5">
        <w:t>CERD/C/35/Rev.3</w:t>
      </w:r>
      <w:r>
        <w:t xml:space="preserve"> (11 January 2012). At </w:t>
      </w:r>
      <w:hyperlink r:id="rId1" w:history="1">
        <w:r w:rsidRPr="00F5348E">
          <w:rPr>
            <w:rStyle w:val="Hyperlink"/>
          </w:rPr>
          <w:t>http://tbinternet.ohchr.org/_layouts/treatybodyexternal/Download.aspx?symbolno=CERD%2fC%2f35%2fRev.3&amp;Lang=en</w:t>
        </w:r>
      </w:hyperlink>
      <w:r>
        <w:t xml:space="preserve"> (viewed 11 October 2017); </w:t>
      </w:r>
      <w:r w:rsidRPr="00661A58">
        <w:rPr>
          <w:i/>
        </w:rPr>
        <w:t>International Convention on the Elimination of All Forms of Racial Discrimination</w:t>
      </w:r>
      <w:r w:rsidRPr="00661A58">
        <w:t>, opened for signature 21 December 1965, 660 UNTS 195 (ent</w:t>
      </w:r>
      <w:r>
        <w:t>ered into force 4 January 1969), art 9(1).</w:t>
      </w:r>
    </w:p>
  </w:endnote>
  <w:endnote w:id="3">
    <w:p w14:paraId="3E5386F1" w14:textId="29C1C2B2" w:rsidR="00910DFF" w:rsidRPr="00892424" w:rsidRDefault="00910DFF" w:rsidP="00B37020">
      <w:pPr>
        <w:pStyle w:val="EndnoteText"/>
        <w:rPr>
          <w:rFonts w:cs="Arial"/>
        </w:rPr>
      </w:pPr>
      <w:r w:rsidRPr="00892424">
        <w:rPr>
          <w:rStyle w:val="EndnoteReference"/>
          <w:rFonts w:cs="Arial"/>
        </w:rPr>
        <w:endnoteRef/>
      </w:r>
      <w:r w:rsidRPr="00892424">
        <w:rPr>
          <w:rFonts w:cs="Arial"/>
        </w:rPr>
        <w:t xml:space="preserve"> </w:t>
      </w:r>
      <w:r w:rsidRPr="00FC5B79">
        <w:rPr>
          <w:rFonts w:cs="Arial"/>
        </w:rPr>
        <w:t xml:space="preserve">Since the beginning of 2016, </w:t>
      </w:r>
      <w:r>
        <w:rPr>
          <w:rFonts w:cs="Arial"/>
        </w:rPr>
        <w:t>the Parliamentary Joint Committee on Human Rights</w:t>
      </w:r>
      <w:r w:rsidRPr="00FC5B79">
        <w:rPr>
          <w:rFonts w:cs="Arial"/>
        </w:rPr>
        <w:t xml:space="preserve"> has reviewed </w:t>
      </w:r>
      <w:r>
        <w:rPr>
          <w:rFonts w:cs="Arial"/>
        </w:rPr>
        <w:t xml:space="preserve">over </w:t>
      </w:r>
      <w:r w:rsidRPr="00FC5B79">
        <w:rPr>
          <w:rFonts w:cs="Arial"/>
        </w:rPr>
        <w:t xml:space="preserve">74 other legislative instruments. </w:t>
      </w:r>
      <w:r w:rsidRPr="00892424">
        <w:rPr>
          <w:rFonts w:cs="Arial"/>
        </w:rPr>
        <w:t xml:space="preserve">Parliamentary Joint Committee on Human Rights, </w:t>
      </w:r>
      <w:r w:rsidRPr="00892424">
        <w:rPr>
          <w:rFonts w:cs="Arial"/>
          <w:i/>
        </w:rPr>
        <w:t>Index of Bills and Legislative Instruments</w:t>
      </w:r>
      <w:r w:rsidRPr="00892424">
        <w:rPr>
          <w:rFonts w:cs="Arial"/>
        </w:rPr>
        <w:t xml:space="preserve">. At </w:t>
      </w:r>
      <w:hyperlink r:id="rId2" w:history="1">
        <w:r w:rsidRPr="00BF602B">
          <w:rPr>
            <w:rStyle w:val="Hyperlink"/>
            <w:rFonts w:cs="Arial"/>
          </w:rPr>
          <w:t>http://www.aph.gov.au/Parliamentary_Business/Committees/Joint/Human_Rights/Index_of_bills_and_instruments</w:t>
        </w:r>
      </w:hyperlink>
      <w:r w:rsidRPr="00BF602B">
        <w:rPr>
          <w:rFonts w:cs="Arial"/>
        </w:rPr>
        <w:t xml:space="preserve"> </w:t>
      </w:r>
      <w:hyperlink r:id="rId3" w:history="1"/>
      <w:r w:rsidRPr="00BF602B">
        <w:rPr>
          <w:rFonts w:cs="Arial"/>
        </w:rPr>
        <w:t xml:space="preserve"> (viewed </w:t>
      </w:r>
      <w:r>
        <w:rPr>
          <w:rFonts w:cs="Arial"/>
        </w:rPr>
        <w:t xml:space="preserve">11 September </w:t>
      </w:r>
      <w:r w:rsidRPr="00BF602B">
        <w:rPr>
          <w:rFonts w:cs="Arial"/>
        </w:rPr>
        <w:t>2017).</w:t>
      </w:r>
      <w:r>
        <w:rPr>
          <w:rFonts w:cs="Arial"/>
        </w:rPr>
        <w:t xml:space="preserve"> </w:t>
      </w:r>
    </w:p>
  </w:endnote>
  <w:endnote w:id="4">
    <w:p w14:paraId="256CA398" w14:textId="77777777" w:rsidR="00910DFF" w:rsidRPr="00892424" w:rsidRDefault="00910DFF" w:rsidP="00B37020">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Human Rights (Parliamentary Scrutiny) Act 2011 </w:t>
      </w:r>
      <w:r w:rsidRPr="00892424">
        <w:rPr>
          <w:rFonts w:cs="Arial"/>
        </w:rPr>
        <w:t xml:space="preserve">(Cth), ss 8, 9. At </w:t>
      </w:r>
      <w:hyperlink r:id="rId4" w:history="1">
        <w:r w:rsidRPr="00C42601">
          <w:rPr>
            <w:rStyle w:val="Hyperlink"/>
            <w:rFonts w:cs="Arial"/>
          </w:rPr>
          <w:t>https://www.legislation.gov.au/Details/C2011A00186</w:t>
        </w:r>
      </w:hyperlink>
      <w:r>
        <w:rPr>
          <w:rFonts w:cs="Arial"/>
        </w:rPr>
        <w:t xml:space="preserve"> (viewed 11 September 2017). </w:t>
      </w:r>
    </w:p>
  </w:endnote>
  <w:endnote w:id="5">
    <w:p w14:paraId="53CCC21A" w14:textId="04238859" w:rsidR="00910DFF" w:rsidRPr="00BF602B" w:rsidRDefault="00910DFF" w:rsidP="00B37020">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sidRPr="00BF602B">
        <w:rPr>
          <w:rFonts w:cs="Arial"/>
        </w:rPr>
        <w:t xml:space="preserve"> 469, </w:t>
      </w:r>
      <w:r>
        <w:rPr>
          <w:rFonts w:cs="Arial"/>
        </w:rPr>
        <w:t>477, 506</w:t>
      </w:r>
      <w:r>
        <w:rPr>
          <w:rFonts w:eastAsia="Calibri" w:cs="Arial"/>
        </w:rPr>
        <w:t>–</w:t>
      </w:r>
      <w:r w:rsidRPr="00BF602B">
        <w:rPr>
          <w:rFonts w:cs="Arial"/>
        </w:rPr>
        <w:t xml:space="preserve">7. At </w:t>
      </w:r>
      <w:hyperlink r:id="rId5"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endnote>
  <w:endnote w:id="6">
    <w:p w14:paraId="713F4F03" w14:textId="474F0CFC" w:rsidR="00910DFF" w:rsidRPr="00BF602B" w:rsidRDefault="00910DFF" w:rsidP="00B37020">
      <w:pPr>
        <w:pStyle w:val="EndnoteText"/>
        <w:rPr>
          <w:rFonts w:cs="Arial"/>
        </w:rPr>
      </w:pPr>
      <w:r w:rsidRPr="00892424">
        <w:rPr>
          <w:rStyle w:val="EndnoteReference"/>
          <w:rFonts w:cs="Arial"/>
        </w:rPr>
        <w:endnoteRef/>
      </w:r>
      <w:r w:rsidRPr="00892424">
        <w:rPr>
          <w:rFonts w:cs="Arial"/>
        </w:rPr>
        <w:t xml:space="preserve"> George Williams and </w:t>
      </w:r>
      <w:r w:rsidRPr="00BF602B">
        <w:rPr>
          <w:rFonts w:cs="Arial"/>
        </w:rPr>
        <w:t xml:space="preserve">Daniel Reynolds, ‘The Operation and Impact of Australia’s Parliamentary Scrutiny Regime for Human Rights’ (2015) 41(2) </w:t>
      </w:r>
      <w:r w:rsidRPr="00BF602B">
        <w:rPr>
          <w:rFonts w:cs="Arial"/>
          <w:i/>
        </w:rPr>
        <w:t>Monash University Law Review</w:t>
      </w:r>
      <w:r>
        <w:rPr>
          <w:rFonts w:cs="Arial"/>
        </w:rPr>
        <w:t xml:space="preserve"> 469, 474</w:t>
      </w:r>
      <w:r>
        <w:rPr>
          <w:rFonts w:eastAsia="Calibri" w:cs="Arial"/>
        </w:rPr>
        <w:t>–</w:t>
      </w:r>
      <w:r>
        <w:rPr>
          <w:rFonts w:cs="Arial"/>
        </w:rPr>
        <w:t>5</w:t>
      </w:r>
      <w:r w:rsidRPr="00BF602B">
        <w:rPr>
          <w:rFonts w:cs="Arial"/>
        </w:rPr>
        <w:t xml:space="preserve">. At </w:t>
      </w:r>
      <w:hyperlink r:id="rId6" w:history="1">
        <w:r w:rsidRPr="00BF602B">
          <w:rPr>
            <w:rStyle w:val="Hyperlink"/>
            <w:rFonts w:cs="Arial"/>
          </w:rPr>
          <w:t>http://www.austlii.edu.au/au/journals/MonashULawRw/2015/17.html</w:t>
        </w:r>
      </w:hyperlink>
      <w:r w:rsidRPr="00BF602B">
        <w:rPr>
          <w:rFonts w:cs="Arial"/>
        </w:rPr>
        <w:t xml:space="preserve"> (viewed </w:t>
      </w:r>
      <w:r>
        <w:rPr>
          <w:rFonts w:cs="Arial"/>
        </w:rPr>
        <w:t>11 September 2017</w:t>
      </w:r>
      <w:r w:rsidRPr="00BF602B">
        <w:rPr>
          <w:rFonts w:cs="Arial"/>
        </w:rPr>
        <w:t>).</w:t>
      </w:r>
    </w:p>
  </w:endnote>
  <w:endnote w:id="7">
    <w:p w14:paraId="24C711B0" w14:textId="2D7C1DA8" w:rsidR="00910DFF" w:rsidRPr="00BF193B" w:rsidRDefault="00910DFF" w:rsidP="00B37020">
      <w:pPr>
        <w:pStyle w:val="EndnoteText"/>
      </w:pPr>
      <w:r>
        <w:rPr>
          <w:rStyle w:val="EndnoteReference"/>
        </w:rPr>
        <w:endnoteRef/>
      </w:r>
      <w:r>
        <w:t xml:space="preserve"> Shawn Rajanayagam, ‘Does Parliament Do Enough? Evaluating Statements of Compatibility under the </w:t>
      </w:r>
      <w:r w:rsidRPr="00BF193B">
        <w:rPr>
          <w:i/>
        </w:rPr>
        <w:t>Human Rights (Parliamentary Scrutiny) Act</w:t>
      </w:r>
      <w:r>
        <w:t xml:space="preserve">’ (2015) 38(3) </w:t>
      </w:r>
      <w:r>
        <w:rPr>
          <w:i/>
        </w:rPr>
        <w:t xml:space="preserve">University of New South Wales Law Journal </w:t>
      </w:r>
      <w:r>
        <w:t>1046, 1069</w:t>
      </w:r>
      <w:r>
        <w:rPr>
          <w:rFonts w:eastAsia="Calibri" w:cs="Arial"/>
        </w:rPr>
        <w:t>–</w:t>
      </w:r>
      <w:r>
        <w:t xml:space="preserve">1070. At </w:t>
      </w:r>
      <w:hyperlink r:id="rId7" w:history="1">
        <w:r w:rsidRPr="00C42601">
          <w:rPr>
            <w:rStyle w:val="Hyperlink"/>
          </w:rPr>
          <w:t>http://www.austlii.edu.au/cgi-bin/download.cgi/cgi-bin/download.cgi/download/au/journals/UNSWLJ/2015/37.pdf</w:t>
        </w:r>
      </w:hyperlink>
      <w:r>
        <w:t xml:space="preserve"> (</w:t>
      </w:r>
      <w:r w:rsidRPr="00BF602B">
        <w:rPr>
          <w:rFonts w:cs="Arial"/>
        </w:rPr>
        <w:t xml:space="preserve">viewed </w:t>
      </w:r>
      <w:r>
        <w:rPr>
          <w:rFonts w:cs="Arial"/>
        </w:rPr>
        <w:t>11 September 2017</w:t>
      </w:r>
      <w:r>
        <w:t>).</w:t>
      </w:r>
    </w:p>
  </w:endnote>
  <w:endnote w:id="8">
    <w:p w14:paraId="134275E3" w14:textId="704AC497" w:rsidR="00910DFF" w:rsidRPr="00964211" w:rsidRDefault="00910DFF" w:rsidP="004D308F">
      <w:pPr>
        <w:pStyle w:val="EndnoteText"/>
      </w:pPr>
      <w:r w:rsidRPr="0019411F">
        <w:rPr>
          <w:rStyle w:val="EndnoteReference"/>
        </w:rPr>
        <w:endnoteRef/>
      </w:r>
      <w:r w:rsidRPr="0019411F">
        <w:t xml:space="preserve"> Parliamentary scrutiny processes include the Senate Standing Committee on Regulations and Ordinances, Senate Standing Committee for the Scrutiny of Bills,</w:t>
      </w:r>
      <w:r w:rsidRPr="00964211">
        <w:t xml:space="preserve"> Parliamentary Joint Committee on Human Rights, Senate Standing Committee on Legal and Constitutional Affairs, Parliamentary Joint Committee on Intelligence and Security and Parliamentary Joint Committee on Law Enforcement. Other review mechanisms include the Australian Human Rights Commission, Independent National Security Legislation Monitor and Australian Law Reform Commission.</w:t>
      </w:r>
      <w:r>
        <w:t xml:space="preserve"> See </w:t>
      </w:r>
      <w:r w:rsidRPr="008A17CC">
        <w:rPr>
          <w:rFonts w:cs="Arial"/>
        </w:rPr>
        <w:t xml:space="preserve">Australian Law Reform Commission, </w:t>
      </w:r>
      <w:r w:rsidRPr="008A17CC">
        <w:rPr>
          <w:rFonts w:cs="Arial"/>
          <w:i/>
        </w:rPr>
        <w:t>Traditional Rights and Freedoms</w:t>
      </w:r>
      <w:r>
        <w:rPr>
          <w:rFonts w:cs="Arial"/>
          <w:i/>
        </w:rPr>
        <w:t xml:space="preserve"> — </w:t>
      </w:r>
      <w:r w:rsidRPr="008A17CC">
        <w:rPr>
          <w:rFonts w:cs="Arial"/>
          <w:i/>
        </w:rPr>
        <w:t xml:space="preserve">Encroachments by Commonwealth Laws (Final Report) </w:t>
      </w:r>
      <w:r w:rsidRPr="008A17CC">
        <w:rPr>
          <w:rFonts w:cs="Arial"/>
        </w:rPr>
        <w:t>(2016)</w:t>
      </w:r>
      <w:r>
        <w:rPr>
          <w:rFonts w:cs="Arial"/>
        </w:rPr>
        <w:t xml:space="preserve"> Ch 3</w:t>
      </w:r>
      <w:r w:rsidRPr="008A17CC">
        <w:rPr>
          <w:rFonts w:cs="Arial"/>
        </w:rPr>
        <w:t xml:space="preserve">. At </w:t>
      </w:r>
      <w:hyperlink r:id="rId8"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9">
    <w:p w14:paraId="4FB15130" w14:textId="2BC2B782" w:rsidR="00910DFF" w:rsidRDefault="00910DFF">
      <w:pPr>
        <w:pStyle w:val="EndnoteText"/>
      </w:pPr>
      <w:r>
        <w:rPr>
          <w:rStyle w:val="EndnoteReference"/>
        </w:rPr>
        <w:endnoteRef/>
      </w:r>
      <w:r>
        <w:t xml:space="preserve"> </w:t>
      </w:r>
      <w:r w:rsidRPr="004D308F">
        <w:rPr>
          <w:rFonts w:cs="Arial"/>
          <w:color w:val="000000"/>
          <w:shd w:val="clear" w:color="auto" w:fill="FFFFFF"/>
        </w:rPr>
        <w:t>Australian Law Reform Commission, Traditional Rights and Freedoms</w:t>
      </w:r>
      <w:r>
        <w:rPr>
          <w:rFonts w:cs="Arial"/>
          <w:color w:val="000000"/>
          <w:shd w:val="clear" w:color="auto" w:fill="FFFFFF"/>
        </w:rPr>
        <w:t xml:space="preserve"> — </w:t>
      </w:r>
      <w:r w:rsidRPr="004D308F">
        <w:rPr>
          <w:rFonts w:cs="Arial"/>
          <w:color w:val="000000"/>
          <w:shd w:val="clear" w:color="auto" w:fill="FFFFFF"/>
        </w:rPr>
        <w:t>Encroachments by Commonwealt</w:t>
      </w:r>
      <w:r>
        <w:rPr>
          <w:rFonts w:cs="Arial"/>
          <w:color w:val="000000"/>
          <w:shd w:val="clear" w:color="auto" w:fill="FFFFFF"/>
        </w:rPr>
        <w:t>h Laws (Final Report) (2016) 75</w:t>
      </w:r>
      <w:r>
        <w:rPr>
          <w:rFonts w:eastAsia="Calibri" w:cs="Arial"/>
        </w:rPr>
        <w:t>–</w:t>
      </w:r>
      <w:r w:rsidRPr="004D308F">
        <w:rPr>
          <w:rFonts w:cs="Arial"/>
          <w:color w:val="000000"/>
          <w:shd w:val="clear" w:color="auto" w:fill="FFFFFF"/>
        </w:rPr>
        <w:t>76 [3.95]. At </w:t>
      </w:r>
      <w:hyperlink r:id="rId9" w:history="1">
        <w:r w:rsidRPr="004D308F">
          <w:rPr>
            <w:rStyle w:val="Hyperlink"/>
            <w:rFonts w:cs="Arial"/>
            <w:color w:val="0000CC"/>
            <w:shd w:val="clear" w:color="auto" w:fill="FFFFFF"/>
          </w:rPr>
          <w:t>https://www.alrc.gov.au/sites/default/files/pdfs/publications/alrc_129_final_report_.pdf</w:t>
        </w:r>
      </w:hyperlink>
      <w:r>
        <w:t xml:space="preserve"> </w:t>
      </w:r>
      <w:r w:rsidRPr="004D308F">
        <w:rPr>
          <w:rFonts w:cs="Arial"/>
          <w:color w:val="000000"/>
          <w:shd w:val="clear" w:color="auto" w:fill="FFFFFF"/>
        </w:rPr>
        <w:t>(viewed 11 September 2017). The ALRC’s suggestions include additional guidance to policy makers during policy development and legislative drafting stages; improving quality of explanatory material and statements of compatibility; effective and appropriate streamlining of overlapping work across scrutiny committees; increasing time available to conduct scrutiny; and improving extent to which Parliament considers the scrutiny reports.</w:t>
      </w:r>
    </w:p>
  </w:endnote>
  <w:endnote w:id="10">
    <w:p w14:paraId="03FE607D" w14:textId="6595E2C4" w:rsidR="00910DFF" w:rsidRPr="00F307B4" w:rsidRDefault="00910DFF" w:rsidP="00B37020">
      <w:pPr>
        <w:pStyle w:val="EndnoteText"/>
      </w:pPr>
      <w:r>
        <w:rPr>
          <w:rStyle w:val="EndnoteReference"/>
        </w:rPr>
        <w:endnoteRef/>
      </w:r>
      <w:r>
        <w:t xml:space="preserve"> </w:t>
      </w:r>
      <w:r w:rsidRPr="00001E5E">
        <w:t>Australia’s states and territories also have a variety of anti-discrimination and human rights legislation.</w:t>
      </w:r>
      <w:r>
        <w:t xml:space="preserve"> For an overview of the Racial Discrimination Act and its history in Australia, see Tim Soutphommasane, </w:t>
      </w:r>
      <w:r>
        <w:rPr>
          <w:i/>
        </w:rPr>
        <w:t>I’m Not Racist But … 40 Years of the Racial Discrimination Act</w:t>
      </w:r>
      <w:r>
        <w:t xml:space="preserve"> (NewSouth, 2015).</w:t>
      </w:r>
    </w:p>
  </w:endnote>
  <w:endnote w:id="11">
    <w:p w14:paraId="50C83CD4" w14:textId="2F973F4B" w:rsidR="00910DFF" w:rsidRDefault="00910DFF" w:rsidP="00B37020">
      <w:pPr>
        <w:pStyle w:val="EndnoteText"/>
      </w:pPr>
      <w:r>
        <w:rPr>
          <w:rStyle w:val="EndnoteReference"/>
        </w:rPr>
        <w:endnoteRef/>
      </w:r>
      <w:r>
        <w:t xml:space="preserve"> See, eg, </w:t>
      </w:r>
      <w:r w:rsidRPr="00B66032">
        <w:rPr>
          <w:i/>
        </w:rPr>
        <w:t>Discrimination Act 1991</w:t>
      </w:r>
      <w:r>
        <w:t xml:space="preserve"> (ACT), </w:t>
      </w:r>
      <w:r w:rsidRPr="00B66032">
        <w:rPr>
          <w:i/>
        </w:rPr>
        <w:t>Anti-Discrimination Act 1996</w:t>
      </w:r>
      <w:r>
        <w:t xml:space="preserve"> (NT), </w:t>
      </w:r>
      <w:r w:rsidRPr="00B66032">
        <w:rPr>
          <w:i/>
        </w:rPr>
        <w:t>Anti-Discrimination Act</w:t>
      </w:r>
      <w:r w:rsidRPr="00607597">
        <w:t xml:space="preserve"> 1977</w:t>
      </w:r>
      <w:r>
        <w:t xml:space="preserve"> (NSW), </w:t>
      </w:r>
      <w:r>
        <w:rPr>
          <w:i/>
        </w:rPr>
        <w:t>Equal Opportunity Act 2010</w:t>
      </w:r>
      <w:r w:rsidRPr="00607597">
        <w:t xml:space="preserve"> </w:t>
      </w:r>
      <w:r>
        <w:t xml:space="preserve">(Vic), </w:t>
      </w:r>
      <w:r w:rsidRPr="00B66032">
        <w:rPr>
          <w:i/>
        </w:rPr>
        <w:t>Racial and Religious Tolerance Act 2001</w:t>
      </w:r>
      <w:r>
        <w:t xml:space="preserve"> (Vic), </w:t>
      </w:r>
      <w:r>
        <w:rPr>
          <w:i/>
        </w:rPr>
        <w:t xml:space="preserve">Anti-Discrimination Act 1991 </w:t>
      </w:r>
      <w:r>
        <w:t xml:space="preserve">(Qld), </w:t>
      </w:r>
      <w:r>
        <w:rPr>
          <w:i/>
        </w:rPr>
        <w:t xml:space="preserve">Equal Opportunity Act 1984 </w:t>
      </w:r>
      <w:r>
        <w:t xml:space="preserve">(SA), </w:t>
      </w:r>
      <w:r>
        <w:rPr>
          <w:i/>
        </w:rPr>
        <w:t xml:space="preserve">Equal Opportunity Act 1984 </w:t>
      </w:r>
      <w:r>
        <w:t xml:space="preserve">(WA). See </w:t>
      </w:r>
      <w:r w:rsidRPr="00497821">
        <w:t>Mutuma Ruteere</w:t>
      </w:r>
      <w:r>
        <w:t xml:space="preserve">, </w:t>
      </w:r>
      <w:r w:rsidRPr="00497821">
        <w:rPr>
          <w:i/>
        </w:rPr>
        <w:t>Report of the Special Rapporteur on contemporary forms of racism, racial discrimination, xenophobia and related intolerance on his mission to Australia</w:t>
      </w:r>
      <w:r>
        <w:t xml:space="preserve">, UN Doc </w:t>
      </w:r>
      <w:r w:rsidRPr="00497821">
        <w:t>A/HRC/35/41/Add.2</w:t>
      </w:r>
      <w:r w:rsidRPr="00497821">
        <w:rPr>
          <w:i/>
        </w:rPr>
        <w:t xml:space="preserve"> </w:t>
      </w:r>
      <w:r w:rsidRPr="00497821">
        <w:t>(</w:t>
      </w:r>
      <w:r>
        <w:t xml:space="preserve">9 June </w:t>
      </w:r>
      <w:r w:rsidRPr="00497821">
        <w:t xml:space="preserve">2017) </w:t>
      </w:r>
      <w:r>
        <w:t>6</w:t>
      </w:r>
      <w:r w:rsidRPr="00497821">
        <w:t xml:space="preserve">. At </w:t>
      </w:r>
      <w:hyperlink r:id="rId10" w:history="1">
        <w:r w:rsidRPr="00497821">
          <w:rPr>
            <w:rStyle w:val="Hyperlink"/>
          </w:rPr>
          <w:t>http://www.ohchr.org/EN/HRBodies/HRC/RegularSessions/Session35/Documents/A_HRC_35_41_Add_2_EN.docx</w:t>
        </w:r>
      </w:hyperlink>
      <w:r w:rsidRPr="00497821">
        <w:t xml:space="preserve"> (viewed 10 October 2017).</w:t>
      </w:r>
    </w:p>
  </w:endnote>
  <w:endnote w:id="12">
    <w:p w14:paraId="245CEA8D" w14:textId="1FBBC445" w:rsidR="00910DFF" w:rsidRPr="009D5537" w:rsidRDefault="00910DFF">
      <w:pPr>
        <w:pStyle w:val="EndnoteText"/>
      </w:pPr>
      <w:r>
        <w:rPr>
          <w:rStyle w:val="EndnoteReference"/>
        </w:rPr>
        <w:endnoteRef/>
      </w:r>
      <w:r>
        <w:t xml:space="preserve"> George Williams and Daniel Reynolds, ‘</w:t>
      </w:r>
      <w:r w:rsidRPr="00AA7C82">
        <w:t>The Racial Discrimination Act and Inconsistency under the Australian Constitution</w:t>
      </w:r>
      <w:r>
        <w:t xml:space="preserve">’ (2015) 36 </w:t>
      </w:r>
      <w:r>
        <w:rPr>
          <w:i/>
        </w:rPr>
        <w:t xml:space="preserve">Adelaide Law Review </w:t>
      </w:r>
      <w:r>
        <w:t>241, 249</w:t>
      </w:r>
      <w:r>
        <w:rPr>
          <w:rFonts w:eastAsia="Calibri" w:cs="Arial"/>
        </w:rPr>
        <w:t>–</w:t>
      </w:r>
      <w:r>
        <w:t xml:space="preserve">250. See also </w:t>
      </w:r>
      <w:r>
        <w:rPr>
          <w:i/>
        </w:rPr>
        <w:t xml:space="preserve">New South Wales v Commonwealth </w:t>
      </w:r>
      <w:r>
        <w:t>(2006) 229 CLR 1, 151 [307] (Gleeson CJ, Gummow, Hayne, Heydon and Crennan JJ) (‘</w:t>
      </w:r>
      <w:r>
        <w:rPr>
          <w:i/>
        </w:rPr>
        <w:t>Work Choices Case</w:t>
      </w:r>
      <w:r>
        <w:t xml:space="preserve">’).  </w:t>
      </w:r>
    </w:p>
  </w:endnote>
  <w:endnote w:id="13">
    <w:p w14:paraId="534F32AD" w14:textId="4A56C4E5" w:rsidR="00910DFF" w:rsidRPr="009D4CC2" w:rsidRDefault="00910DFF">
      <w:pPr>
        <w:pStyle w:val="EndnoteText"/>
      </w:pPr>
      <w:r>
        <w:rPr>
          <w:rStyle w:val="EndnoteReference"/>
        </w:rPr>
        <w:endnoteRef/>
      </w:r>
      <w:r>
        <w:t xml:space="preserve"> </w:t>
      </w:r>
      <w:r>
        <w:rPr>
          <w:i/>
        </w:rPr>
        <w:t xml:space="preserve">Northern Territory National Emergency Response Act 2007 </w:t>
      </w:r>
      <w:r>
        <w:t xml:space="preserve">(Cth), s 132(2) provided that: ‘The provisions of this Act, and any acts done under or for the purposes of those provisions, are excluded from the operation of Part II of the </w:t>
      </w:r>
      <w:r>
        <w:rPr>
          <w:i/>
        </w:rPr>
        <w:t>Racial Discrimination Act 1975</w:t>
      </w:r>
      <w:r>
        <w:t xml:space="preserve">’. Another example was the </w:t>
      </w:r>
      <w:r>
        <w:rPr>
          <w:i/>
        </w:rPr>
        <w:t xml:space="preserve">Native Title Amendment Act 1998 </w:t>
      </w:r>
      <w:r>
        <w:t>(Cth), which introduced a new s 7 into the</w:t>
      </w:r>
      <w:r w:rsidRPr="00FF1D4A">
        <w:t xml:space="preserve"> </w:t>
      </w:r>
      <w:r>
        <w:rPr>
          <w:i/>
        </w:rPr>
        <w:t xml:space="preserve">Native Title Act 1993 </w:t>
      </w:r>
      <w:r>
        <w:t>(Cth) (NTA), which provides that the NTA is i</w:t>
      </w:r>
      <w:r w:rsidRPr="009707C8">
        <w:t>ntended to be read and construed subject to the provisions of the</w:t>
      </w:r>
      <w:r>
        <w:t xml:space="preserve"> RDA only to the extent of any ambiguous terms in the NTA. </w:t>
      </w:r>
    </w:p>
  </w:endnote>
  <w:endnote w:id="14">
    <w:p w14:paraId="2F7707B0" w14:textId="6D6136EC" w:rsidR="00910DFF" w:rsidRDefault="00910DFF">
      <w:pPr>
        <w:pStyle w:val="EndnoteText"/>
      </w:pPr>
      <w:r>
        <w:rPr>
          <w:rStyle w:val="EndnoteReference"/>
        </w:rPr>
        <w:endnoteRef/>
      </w:r>
      <w:r>
        <w:t xml:space="preserve"> UN Committee on the Elimination of Racial Discrimination, </w:t>
      </w:r>
      <w:r w:rsidRPr="0010789B">
        <w:rPr>
          <w:i/>
        </w:rPr>
        <w:t>General Recommendation No 32: The Meaning and Scope of Special Measures in the</w:t>
      </w:r>
      <w:r>
        <w:rPr>
          <w:i/>
        </w:rPr>
        <w:t xml:space="preserve"> </w:t>
      </w:r>
      <w:r w:rsidRPr="0010789B">
        <w:rPr>
          <w:i/>
        </w:rPr>
        <w:t>International Convention on the Elimination of Racial Discrimination</w:t>
      </w:r>
      <w:r>
        <w:t>, 75</w:t>
      </w:r>
      <w:r w:rsidRPr="0010789B">
        <w:rPr>
          <w:vertAlign w:val="superscript"/>
        </w:rPr>
        <w:t>th</w:t>
      </w:r>
      <w:r>
        <w:t xml:space="preserve"> sess, (24 September 2009) UN Doc CERD/C/GC/32. At </w:t>
      </w:r>
      <w:hyperlink r:id="rId11" w:history="1">
        <w:r w:rsidRPr="00D1197F">
          <w:rPr>
            <w:rStyle w:val="Hyperlink"/>
          </w:rPr>
          <w:t>http://tbinternet.ohchr.org/_layouts/treatybodyexternal/Download.aspx?symbolno=CERD%2fC%2fGC%2f32&amp;Lang=en</w:t>
        </w:r>
      </w:hyperlink>
      <w:r>
        <w:t xml:space="preserve"> (viewed 23 October 2017).</w:t>
      </w:r>
    </w:p>
  </w:endnote>
  <w:endnote w:id="15">
    <w:p w14:paraId="470CFA2E" w14:textId="0D862F46" w:rsidR="00910DFF" w:rsidRDefault="00910DFF" w:rsidP="0010789B">
      <w:pPr>
        <w:pStyle w:val="EndnoteText"/>
        <w:tabs>
          <w:tab w:val="left" w:pos="2410"/>
        </w:tabs>
      </w:pPr>
      <w:r>
        <w:rPr>
          <w:rStyle w:val="EndnoteReference"/>
        </w:rPr>
        <w:endnoteRef/>
      </w:r>
      <w:r>
        <w:t xml:space="preserve"> UN Committee on the Elimination of Racial Discrimination, </w:t>
      </w:r>
      <w:r w:rsidRPr="0010789B">
        <w:rPr>
          <w:i/>
        </w:rPr>
        <w:t>General Recommendation No 32: The Meaning and Scope of Special Measures in the</w:t>
      </w:r>
      <w:r>
        <w:rPr>
          <w:i/>
        </w:rPr>
        <w:t xml:space="preserve"> </w:t>
      </w:r>
      <w:r w:rsidRPr="0010789B">
        <w:rPr>
          <w:i/>
        </w:rPr>
        <w:t>International Convention on the Elimination of Racial Discrimination</w:t>
      </w:r>
      <w:r>
        <w:t>, 75</w:t>
      </w:r>
      <w:r w:rsidRPr="0010789B">
        <w:rPr>
          <w:vertAlign w:val="superscript"/>
        </w:rPr>
        <w:t>th</w:t>
      </w:r>
      <w:r>
        <w:t xml:space="preserve"> sess, (24 September 2009) UN Doc CERD/C/GC/32, [18], [22]. At </w:t>
      </w:r>
      <w:hyperlink r:id="rId12" w:history="1">
        <w:r w:rsidRPr="00D1197F">
          <w:rPr>
            <w:rStyle w:val="Hyperlink"/>
          </w:rPr>
          <w:t>http://tbinternet.ohchr.org/_layouts/treatybodyexternal/Download.aspx?symbolno=CERD%2fC%2fGC%2f32&amp;Lang=en</w:t>
        </w:r>
      </w:hyperlink>
      <w:r>
        <w:t xml:space="preserve"> (viewed 23 October 2017). Special measures in Australia also fall short of the Committee’s recommendations in [16], [17] and [34].</w:t>
      </w:r>
    </w:p>
  </w:endnote>
  <w:endnote w:id="16">
    <w:p w14:paraId="1C11E136" w14:textId="79E061FF" w:rsidR="00910DFF" w:rsidRPr="00403933" w:rsidRDefault="00910DFF">
      <w:pPr>
        <w:pStyle w:val="EndnoteText"/>
      </w:pPr>
      <w:r>
        <w:rPr>
          <w:rStyle w:val="EndnoteReference"/>
        </w:rPr>
        <w:endnoteRef/>
      </w:r>
      <w:r>
        <w:t xml:space="preserve"> Australian Human Rights Commission, </w:t>
      </w:r>
      <w:r w:rsidRPr="00403933">
        <w:rPr>
          <w:i/>
        </w:rPr>
        <w:t>Information concerning Australia and the International Convention on the Elimination of All Forms of Racial Discrimination (ICERD)</w:t>
      </w:r>
      <w:r>
        <w:t xml:space="preserve">, </w:t>
      </w:r>
      <w:r>
        <w:rPr>
          <w:i/>
        </w:rPr>
        <w:t xml:space="preserve">Shadow Report to the CERD Committee </w:t>
      </w:r>
      <w:r>
        <w:t>(8 July 2010) 17</w:t>
      </w:r>
      <w:r>
        <w:rPr>
          <w:rFonts w:eastAsia="Calibri" w:cs="Arial"/>
        </w:rPr>
        <w:t>–</w:t>
      </w:r>
      <w:r>
        <w:t>20 [61]</w:t>
      </w:r>
      <w:r>
        <w:rPr>
          <w:rFonts w:eastAsia="Calibri" w:cs="Arial"/>
        </w:rPr>
        <w:t>–</w:t>
      </w:r>
      <w:r>
        <w:t xml:space="preserve">[64]. At </w:t>
      </w:r>
      <w:hyperlink r:id="rId13" w:history="1">
        <w:r w:rsidRPr="00D1197F">
          <w:rPr>
            <w:rStyle w:val="Hyperlink"/>
          </w:rPr>
          <w:t>http://tbinternet.ohchr.org/_layouts/treatybodyexternal/Download.aspx?symbolno=INT%2fCERD%2fNGO%2fAUS%2f77%2f8048&amp;Lang=en</w:t>
        </w:r>
      </w:hyperlink>
      <w:r>
        <w:t xml:space="preserve"> (viewed 23 October 2017). </w:t>
      </w:r>
    </w:p>
  </w:endnote>
  <w:endnote w:id="17">
    <w:p w14:paraId="0AB93ACF" w14:textId="4581A762" w:rsidR="00910DFF" w:rsidRDefault="00910DFF" w:rsidP="004A267D">
      <w:pPr>
        <w:pStyle w:val="EndnoteText"/>
      </w:pPr>
      <w:r>
        <w:rPr>
          <w:rStyle w:val="EndnoteReference"/>
        </w:rPr>
        <w:endnoteRef/>
      </w:r>
      <w:r>
        <w:t xml:space="preserve"> The reservation provides: ‘The Government of Australia … declares that Australia is not at present in a position specifically to treat as offences all the matters covered by article 4(a) of the Convention. Acts of the kind there mentioned are punishable only to the extent provided by the existing criminal law dealing with such matters as the maintenance of public order, public mischief, assault, riot, criminal libel, conspiracy and attempts. It is the intention of the Australian Government, at the first suitable moment, to seek from Parliament legislation specifically implementing the terms of article 4(a).’</w:t>
      </w:r>
    </w:p>
  </w:endnote>
  <w:endnote w:id="18">
    <w:p w14:paraId="7F11D037" w14:textId="77777777" w:rsidR="00910DFF" w:rsidRPr="00B66032" w:rsidRDefault="00910DFF" w:rsidP="004A267D">
      <w:pPr>
        <w:pStyle w:val="EndnoteText"/>
        <w:rPr>
          <w:i/>
        </w:rPr>
      </w:pPr>
      <w:r>
        <w:rPr>
          <w:rStyle w:val="EndnoteReference"/>
        </w:rPr>
        <w:endnoteRef/>
      </w:r>
      <w:r>
        <w:t xml:space="preserve"> UN Human Rights Council, </w:t>
      </w:r>
      <w:r w:rsidRPr="00B66032">
        <w:rPr>
          <w:i/>
        </w:rPr>
        <w:t>Report of the Working Group on the Universal Periodic</w:t>
      </w:r>
    </w:p>
    <w:p w14:paraId="696DD6F2" w14:textId="77777777" w:rsidR="00910DFF" w:rsidRPr="00B66032" w:rsidRDefault="00910DFF" w:rsidP="004A267D">
      <w:pPr>
        <w:pStyle w:val="EndnoteText"/>
        <w:rPr>
          <w:i/>
        </w:rPr>
      </w:pPr>
      <w:r w:rsidRPr="00B66032">
        <w:rPr>
          <w:i/>
        </w:rPr>
        <w:t>Review, Australia, Views on conclusions and/or recommendations, voluntary commitments</w:t>
      </w:r>
    </w:p>
    <w:p w14:paraId="35DC039E" w14:textId="77777777" w:rsidR="00910DFF" w:rsidRDefault="00910DFF" w:rsidP="004A267D">
      <w:pPr>
        <w:pStyle w:val="EndnoteText"/>
      </w:pPr>
      <w:r w:rsidRPr="00B66032">
        <w:rPr>
          <w:i/>
        </w:rPr>
        <w:t>and replies presented by the State under review</w:t>
      </w:r>
      <w:r w:rsidRPr="00B66032">
        <w:t>, 35</w:t>
      </w:r>
      <w:r w:rsidRPr="00B66032">
        <w:rPr>
          <w:vertAlign w:val="superscript"/>
        </w:rPr>
        <w:t>th</w:t>
      </w:r>
      <w:r w:rsidRPr="00B66032">
        <w:t xml:space="preserve"> sess, Agenda item 6, UN Doc  A/HRC/31/14/Add.1 </w:t>
      </w:r>
      <w:r>
        <w:t>(29 February 2016) [7]</w:t>
      </w:r>
      <w:r w:rsidRPr="00B66032">
        <w:t>.</w:t>
      </w:r>
    </w:p>
  </w:endnote>
  <w:endnote w:id="19">
    <w:p w14:paraId="6286B259" w14:textId="32877258" w:rsidR="00910DFF" w:rsidRDefault="00910DFF">
      <w:pPr>
        <w:pStyle w:val="EndnoteText"/>
      </w:pPr>
      <w:r>
        <w:rPr>
          <w:rStyle w:val="EndnoteReference"/>
        </w:rPr>
        <w:endnoteRef/>
      </w:r>
      <w:r>
        <w:t xml:space="preserve"> </w:t>
      </w:r>
      <w:r w:rsidRPr="00B55137">
        <w:rPr>
          <w:i/>
        </w:rPr>
        <w:t>The Commonwealth v Tasmania</w:t>
      </w:r>
      <w:r w:rsidRPr="00B949AD">
        <w:t xml:space="preserve"> </w:t>
      </w:r>
      <w:r>
        <w:t>(‘</w:t>
      </w:r>
      <w:r w:rsidRPr="00B55137">
        <w:rPr>
          <w:i/>
        </w:rPr>
        <w:t>The Tasmanian Dam</w:t>
      </w:r>
      <w:r>
        <w:t xml:space="preserve"> </w:t>
      </w:r>
      <w:r w:rsidRPr="00B55137">
        <w:rPr>
          <w:i/>
        </w:rPr>
        <w:t>Case</w:t>
      </w:r>
      <w:r>
        <w:t xml:space="preserve">’) </w:t>
      </w:r>
      <w:r w:rsidRPr="00B949AD">
        <w:t>(1983) 158 CLR 1</w:t>
      </w:r>
      <w:r>
        <w:t>.</w:t>
      </w:r>
    </w:p>
  </w:endnote>
  <w:endnote w:id="20">
    <w:p w14:paraId="5BD17DDC" w14:textId="48822672" w:rsidR="00910DFF" w:rsidRDefault="00910DFF" w:rsidP="00F86EC4">
      <w:pPr>
        <w:pStyle w:val="EndnoteText"/>
      </w:pPr>
      <w:r>
        <w:rPr>
          <w:rStyle w:val="EndnoteReference"/>
        </w:rPr>
        <w:endnoteRef/>
      </w:r>
      <w:r>
        <w:t xml:space="preserve"> </w:t>
      </w:r>
      <w:r w:rsidRPr="00B55137">
        <w:rPr>
          <w:i/>
        </w:rPr>
        <w:t>Australian Constitution</w:t>
      </w:r>
      <w:r>
        <w:t xml:space="preserve">, s 51(xxvi). </w:t>
      </w:r>
    </w:p>
  </w:endnote>
  <w:endnote w:id="21">
    <w:p w14:paraId="3A472370" w14:textId="60F4EDB1" w:rsidR="00910DFF" w:rsidRDefault="00910DFF">
      <w:pPr>
        <w:pStyle w:val="EndnoteText"/>
      </w:pPr>
      <w:r>
        <w:rPr>
          <w:rStyle w:val="EndnoteReference"/>
        </w:rPr>
        <w:endnoteRef/>
      </w:r>
      <w:r>
        <w:t xml:space="preserve"> </w:t>
      </w:r>
      <w:r w:rsidRPr="008D10C2">
        <w:rPr>
          <w:i/>
        </w:rPr>
        <w:t>Kartinyeri v Commonwealth</w:t>
      </w:r>
      <w:r w:rsidRPr="008D10C2">
        <w:t xml:space="preserve"> (1998) 152 ALR 540</w:t>
      </w:r>
      <w:r>
        <w:t>.</w:t>
      </w:r>
    </w:p>
  </w:endnote>
  <w:endnote w:id="22">
    <w:p w14:paraId="612E263F" w14:textId="75A38A32" w:rsidR="00910DFF" w:rsidRDefault="00910DFF" w:rsidP="00E43AC7">
      <w:pPr>
        <w:pStyle w:val="EndnoteText"/>
      </w:pPr>
      <w:r>
        <w:rPr>
          <w:rStyle w:val="EndnoteReference"/>
        </w:rPr>
        <w:endnoteRef/>
      </w:r>
      <w:r>
        <w:t xml:space="preserve"> In 2012, the </w:t>
      </w:r>
      <w:r w:rsidRPr="00E50AA5">
        <w:t>Expert Panel on Constitutional Recognition of Indigenous Australians</w:t>
      </w:r>
      <w:r>
        <w:t xml:space="preserve"> relevantly recommended that ss 25 and 51(xxvi) be repealed and that provisions on the constitutional recognition of Aboriginal and Torres Strait Islander peoples and a prohibition of racial discrimination be introduced. See </w:t>
      </w:r>
      <w:bookmarkStart w:id="15" w:name="_Hlk497078733"/>
      <w:r w:rsidRPr="00E50AA5">
        <w:t>Expert Panel on Constitutional Recognition of Indigenous Australians</w:t>
      </w:r>
      <w:r>
        <w:t xml:space="preserve">, </w:t>
      </w:r>
      <w:r w:rsidRPr="00E50AA5">
        <w:rPr>
          <w:i/>
        </w:rPr>
        <w:t>Recognising Aboriginal and</w:t>
      </w:r>
      <w:r>
        <w:rPr>
          <w:i/>
        </w:rPr>
        <w:t xml:space="preserve"> Torres Strait Islander Peoples </w:t>
      </w:r>
      <w:r w:rsidRPr="00E50AA5">
        <w:rPr>
          <w:i/>
        </w:rPr>
        <w:t>in the Constitution</w:t>
      </w:r>
      <w:r>
        <w:rPr>
          <w:i/>
        </w:rPr>
        <w:t xml:space="preserve"> — Report of the Expert Panel</w:t>
      </w:r>
      <w:r>
        <w:t xml:space="preserve"> (2012) xviii (Recommendations 3–5). At </w:t>
      </w:r>
      <w:hyperlink r:id="rId14" w:history="1">
        <w:r w:rsidRPr="00D1197F">
          <w:rPr>
            <w:rStyle w:val="Hyperlink"/>
          </w:rPr>
          <w:t>https://www.pmc.gov.au/sites/default/files/publications/Recognising-Aboriginal-and-Torres-Strait-Islander-Peoples-in-the-constitution-report-of-the-expert-panel_0.pdf</w:t>
        </w:r>
      </w:hyperlink>
      <w:r>
        <w:t xml:space="preserve"> (viewed 23 October 2017). In 2015, the Joint Select Committee on Constitutional Recognition of Aboriginal and Torres Strait Islander Peoples offered similar recommendations. See Joint Select Committee on Constitutional Recognition of Aboriginal and Torres Strait Islander Peoples, </w:t>
      </w:r>
      <w:r>
        <w:rPr>
          <w:i/>
        </w:rPr>
        <w:t xml:space="preserve">Final Report </w:t>
      </w:r>
      <w:r>
        <w:t xml:space="preserve">(2015) xiii (Recommendations 3–5). At </w:t>
      </w:r>
      <w:hyperlink r:id="rId15" w:history="1">
        <w:r w:rsidRPr="00D1197F">
          <w:rPr>
            <w:rStyle w:val="Hyperlink"/>
          </w:rPr>
          <w:t>https://www.aph.gov.au/Parliamentary_Business/Committees/Joint/Constitutional_Recognition_of_Aboriginal_and_Torres_Strait_Islander_Peoples/Constitutional_Recognition/Final_Report</w:t>
        </w:r>
      </w:hyperlink>
      <w:r>
        <w:t xml:space="preserve"> (viewed 23 October 2017).</w:t>
      </w:r>
      <w:bookmarkEnd w:id="15"/>
    </w:p>
  </w:endnote>
  <w:endnote w:id="23">
    <w:p w14:paraId="31148116" w14:textId="77777777" w:rsidR="00910DFF" w:rsidRPr="0092033B" w:rsidRDefault="00910DFF" w:rsidP="00B55137">
      <w:pPr>
        <w:pStyle w:val="EndnoteText"/>
      </w:pPr>
      <w:r>
        <w:rPr>
          <w:rStyle w:val="EndnoteReference"/>
        </w:rPr>
        <w:endnoteRef/>
      </w:r>
      <w:r>
        <w:t xml:space="preserve"> Referendum Council, </w:t>
      </w:r>
      <w:r>
        <w:rPr>
          <w:i/>
        </w:rPr>
        <w:t>Final Report of the Referendum Council</w:t>
      </w:r>
      <w:r>
        <w:t xml:space="preserve"> (30 June 2017) 2 (Recommendation 1). At </w:t>
      </w:r>
      <w:hyperlink r:id="rId16" w:history="1">
        <w:r w:rsidRPr="00D1197F">
          <w:rPr>
            <w:rStyle w:val="Hyperlink"/>
          </w:rPr>
          <w:t>https://www.referendumcouncil.org.au/sites/default/files/report_attachments/Referendum_Council_Final_Report.pdf</w:t>
        </w:r>
      </w:hyperlink>
      <w:r>
        <w:t xml:space="preserve"> (viewed 23 October 2017). </w:t>
      </w:r>
    </w:p>
  </w:endnote>
  <w:endnote w:id="24">
    <w:p w14:paraId="7AA8F172" w14:textId="48A30335" w:rsidR="00910DFF" w:rsidRPr="0092033B" w:rsidRDefault="00910DFF" w:rsidP="00B55137">
      <w:pPr>
        <w:pStyle w:val="EndnoteText"/>
      </w:pPr>
      <w:r>
        <w:rPr>
          <w:rStyle w:val="EndnoteReference"/>
        </w:rPr>
        <w:endnoteRef/>
      </w:r>
      <w:r>
        <w:t xml:space="preserve"> Referendum Council, </w:t>
      </w:r>
      <w:r>
        <w:rPr>
          <w:i/>
        </w:rPr>
        <w:t>Final Report of the Referendum Council</w:t>
      </w:r>
      <w:r>
        <w:t>, 5, 12–13, 23</w:t>
      </w:r>
      <w:r>
        <w:rPr>
          <w:rFonts w:eastAsia="Calibri" w:cs="Arial"/>
        </w:rPr>
        <w:t>–</w:t>
      </w:r>
      <w:r>
        <w:t xml:space="preserve">24. At </w:t>
      </w:r>
      <w:hyperlink r:id="rId17" w:history="1">
        <w:r w:rsidRPr="00D1197F">
          <w:rPr>
            <w:rStyle w:val="Hyperlink"/>
          </w:rPr>
          <w:t>https://www.referendumcouncil.org.au/sites/default/files/report_attachments/Referendum_Council_Final_Report.pdf</w:t>
        </w:r>
      </w:hyperlink>
      <w:r>
        <w:t xml:space="preserve"> (viewed 23 October 2017).</w:t>
      </w:r>
    </w:p>
  </w:endnote>
  <w:endnote w:id="25">
    <w:p w14:paraId="024DDC94" w14:textId="6B12FCC5" w:rsidR="00910DFF" w:rsidRPr="00CB43B6" w:rsidRDefault="00910DFF" w:rsidP="00174BB2">
      <w:pPr>
        <w:pStyle w:val="EndnoteText"/>
      </w:pPr>
      <w:r>
        <w:rPr>
          <w:rStyle w:val="EndnoteReference"/>
        </w:rPr>
        <w:endnoteRef/>
      </w:r>
      <w:r>
        <w:t xml:space="preserve"> Australian Human Rights Commission, </w:t>
      </w:r>
      <w:r w:rsidRPr="00CB43B6">
        <w:rPr>
          <w:i/>
        </w:rPr>
        <w:t>Constitutional reform: Creating a nation for all of us</w:t>
      </w:r>
      <w:r>
        <w:t xml:space="preserve"> (2011) 15. At </w:t>
      </w:r>
      <w:hyperlink r:id="rId18" w:history="1">
        <w:r w:rsidRPr="00D1197F">
          <w:rPr>
            <w:rStyle w:val="Hyperlink"/>
          </w:rPr>
          <w:t>https://www.humanrights.gov.au/publications/constitutional-reform-creating-nation-all-us-2011</w:t>
        </w:r>
      </w:hyperlink>
      <w:r>
        <w:t xml:space="preserve"> (viewed 23 October 2017). See also Australian Human Rights Commission</w:t>
      </w:r>
      <w:r w:rsidRPr="00CB43B6">
        <w:t xml:space="preserve">, </w:t>
      </w:r>
      <w:r w:rsidRPr="00CB43B6">
        <w:rPr>
          <w:i/>
        </w:rPr>
        <w:t>Social Justice Report 2008</w:t>
      </w:r>
      <w:r>
        <w:t xml:space="preserve"> (2009) </w:t>
      </w:r>
      <w:r w:rsidRPr="00CB43B6">
        <w:t>62</w:t>
      </w:r>
      <w:r>
        <w:rPr>
          <w:rFonts w:eastAsia="Calibri" w:cs="Arial"/>
        </w:rPr>
        <w:t>–</w:t>
      </w:r>
      <w:r w:rsidRPr="00CB43B6">
        <w:t xml:space="preserve">76. At </w:t>
      </w:r>
      <w:hyperlink r:id="rId19" w:history="1">
        <w:r w:rsidRPr="00D1197F">
          <w:rPr>
            <w:rStyle w:val="Hyperlink"/>
          </w:rPr>
          <w:t>http://www.humanrights.gov.au/social_justice/sj_report/sjreport08/index.html</w:t>
        </w:r>
      </w:hyperlink>
      <w:r>
        <w:t xml:space="preserve"> </w:t>
      </w:r>
      <w:r w:rsidRPr="00CB43B6">
        <w:t xml:space="preserve"> (viewed </w:t>
      </w:r>
      <w:r>
        <w:t>23</w:t>
      </w:r>
      <w:r w:rsidRPr="00CB43B6">
        <w:t xml:space="preserve"> </w:t>
      </w:r>
      <w:r>
        <w:t>October 2017</w:t>
      </w:r>
      <w:r w:rsidRPr="00CB43B6">
        <w:t>).</w:t>
      </w:r>
    </w:p>
  </w:endnote>
  <w:endnote w:id="26">
    <w:p w14:paraId="3FA33451" w14:textId="0ACA1B84" w:rsidR="00910DFF" w:rsidRDefault="00910DFF" w:rsidP="00B37020">
      <w:pPr>
        <w:pStyle w:val="EndnoteText"/>
      </w:pPr>
      <w:r>
        <w:rPr>
          <w:rStyle w:val="EndnoteReference"/>
        </w:rPr>
        <w:endnoteRef/>
      </w:r>
      <w:r>
        <w:t xml:space="preserve"> </w:t>
      </w:r>
      <w:r w:rsidRPr="00497821">
        <w:t>Mutuma Ruteere</w:t>
      </w:r>
      <w:r>
        <w:t xml:space="preserve">, </w:t>
      </w:r>
      <w:r w:rsidRPr="00497821">
        <w:rPr>
          <w:i/>
        </w:rPr>
        <w:t>Report of the Special Rapporteur on contemporary forms of racism, racial discrimination, xenophobia and related intolerance on his mission to Australia</w:t>
      </w:r>
      <w:r>
        <w:t xml:space="preserve">, UN Doc </w:t>
      </w:r>
      <w:r w:rsidRPr="00497821">
        <w:t>A/HRC/35/41/Add.2</w:t>
      </w:r>
      <w:r w:rsidRPr="00497821">
        <w:rPr>
          <w:i/>
        </w:rPr>
        <w:t xml:space="preserve"> </w:t>
      </w:r>
      <w:r w:rsidRPr="00497821">
        <w:t>(</w:t>
      </w:r>
      <w:r>
        <w:t xml:space="preserve">9 June </w:t>
      </w:r>
      <w:r w:rsidRPr="00497821">
        <w:t xml:space="preserve">2017) </w:t>
      </w:r>
      <w:r>
        <w:t>17</w:t>
      </w:r>
      <w:r w:rsidRPr="00497821">
        <w:t xml:space="preserve"> [</w:t>
      </w:r>
      <w:r>
        <w:t>71</w:t>
      </w:r>
      <w:r w:rsidRPr="00497821">
        <w:t xml:space="preserve">]. At </w:t>
      </w:r>
      <w:hyperlink r:id="rId20" w:history="1">
        <w:r w:rsidRPr="00497821">
          <w:rPr>
            <w:rStyle w:val="Hyperlink"/>
          </w:rPr>
          <w:t>http://www.ohchr.org/EN/HRBodies/HRC/RegularSessions/Session35/Documents/A_HRC_35_41_Add_2_EN.docx</w:t>
        </w:r>
      </w:hyperlink>
      <w:r w:rsidRPr="00497821">
        <w:t xml:space="preserve"> (viewed 10 October 2017)</w:t>
      </w:r>
      <w:r>
        <w:t xml:space="preserve">; </w:t>
      </w:r>
      <w:r w:rsidRPr="00C41AF9">
        <w:t>Felipe González Morales</w:t>
      </w:r>
      <w:r>
        <w:t>,</w:t>
      </w:r>
      <w:r w:rsidRPr="00C41AF9">
        <w:rPr>
          <w:i/>
        </w:rPr>
        <w:t xml:space="preserve"> Report of the Special Rapporteur on the human rights of migrants on his mission to Australia and the regional processing centres in Nauru</w:t>
      </w:r>
      <w:r w:rsidRPr="00C41AF9">
        <w:t xml:space="preserve">, </w:t>
      </w:r>
      <w:r>
        <w:t>UN Doc</w:t>
      </w:r>
      <w:r w:rsidRPr="00C41AF9">
        <w:t xml:space="preserve"> A/HRC/35/25/Add.3</w:t>
      </w:r>
      <w:r>
        <w:t xml:space="preserve"> (24 April 2017) 19. At </w:t>
      </w:r>
      <w:hyperlink r:id="rId21" w:history="1">
        <w:r w:rsidRPr="003A675F">
          <w:rPr>
            <w:rStyle w:val="Hyperlink"/>
          </w:rPr>
          <w:t>http://ap.ohchr.org/documents/dpage_e.aspx?si=A/HRC/35/25/Add.3</w:t>
        </w:r>
      </w:hyperlink>
      <w:r>
        <w:t xml:space="preserve"> (viewed 10 October 2017); </w:t>
      </w:r>
      <w:r w:rsidRPr="00E914A2">
        <w:t xml:space="preserve">Victoria Tauli-Corpuz, </w:t>
      </w:r>
      <w:r w:rsidRPr="00E914A2">
        <w:rPr>
          <w:i/>
        </w:rPr>
        <w:t xml:space="preserve">Report of the Special Rapporteur on the rights of indigenous peoples on her visit to Australia, </w:t>
      </w:r>
      <w:r w:rsidRPr="00E914A2">
        <w:t xml:space="preserve">UN Doc A/HRC/36/46/Add.2 (8 August 2017) </w:t>
      </w:r>
      <w:r>
        <w:t>17</w:t>
      </w:r>
      <w:r w:rsidRPr="00E914A2">
        <w:t xml:space="preserve"> [</w:t>
      </w:r>
      <w:r>
        <w:t>107</w:t>
      </w:r>
      <w:r w:rsidRPr="00E914A2">
        <w:t xml:space="preserve">]. At </w:t>
      </w:r>
      <w:hyperlink r:id="rId22" w:history="1">
        <w:r w:rsidRPr="00E914A2">
          <w:rPr>
            <w:rStyle w:val="Hyperlink"/>
          </w:rPr>
          <w:t>http://ap.ohchr.org/documents/dpage_e.aspx?si=A/HRC/36/46/Add.2</w:t>
        </w:r>
      </w:hyperlink>
      <w:r w:rsidRPr="00E914A2">
        <w:t xml:space="preserve"> (viewed 10 October 2017).</w:t>
      </w:r>
    </w:p>
  </w:endnote>
  <w:endnote w:id="27">
    <w:p w14:paraId="731AD1AD" w14:textId="5062F224" w:rsidR="00910DFF" w:rsidRPr="00892424" w:rsidRDefault="00910DFF" w:rsidP="00B37020">
      <w:pPr>
        <w:pStyle w:val="EndnoteText"/>
        <w:rPr>
          <w:rFonts w:cs="Arial"/>
        </w:rPr>
      </w:pPr>
      <w:r w:rsidRPr="00892424">
        <w:rPr>
          <w:rStyle w:val="EndnoteReference"/>
          <w:rFonts w:cs="Arial"/>
        </w:rPr>
        <w:endnoteRef/>
      </w:r>
      <w:r w:rsidRPr="00892424">
        <w:rPr>
          <w:rFonts w:cs="Arial"/>
        </w:rPr>
        <w:t xml:space="preserve"> Minister for Foreign Affairs</w:t>
      </w:r>
      <w:r>
        <w:rPr>
          <w:rFonts w:cs="Arial"/>
        </w:rPr>
        <w:t>, The Hon Julie Bishop MP</w:t>
      </w:r>
      <w:r w:rsidRPr="00892424">
        <w:rPr>
          <w:rFonts w:cs="Arial"/>
        </w:rPr>
        <w:t xml:space="preserve"> and Attorney General</w:t>
      </w:r>
      <w:r>
        <w:rPr>
          <w:rFonts w:cs="Arial"/>
        </w:rPr>
        <w:t xml:space="preserve"> (Cth)</w:t>
      </w:r>
      <w:r w:rsidRPr="00892424">
        <w:rPr>
          <w:rFonts w:cs="Arial"/>
        </w:rPr>
        <w:t>,</w:t>
      </w:r>
      <w:r>
        <w:rPr>
          <w:rFonts w:cs="Arial"/>
        </w:rPr>
        <w:t xml:space="preserve"> Senator the Hon George Brandis QC,</w:t>
      </w:r>
      <w:r w:rsidRPr="00892424">
        <w:rPr>
          <w:rFonts w:cs="Arial"/>
        </w:rPr>
        <w:t xml:space="preserve"> ‘Improving oversight and conditions in detention’ (Media Release, 9 February 2017). At </w:t>
      </w:r>
      <w:hyperlink r:id="rId23" w:history="1">
        <w:r w:rsidRPr="00892424">
          <w:rPr>
            <w:rStyle w:val="Hyperlink"/>
            <w:rFonts w:cs="Arial"/>
          </w:rPr>
          <w:t>https://www.attorneygeneral.gov.au/Mediareleases/Pages/2017/FirstQuarter/Improving-oversight-and-conditions-in-detention.aspx</w:t>
        </w:r>
      </w:hyperlink>
      <w:r w:rsidRPr="00892424">
        <w:rPr>
          <w:rFonts w:cs="Arial"/>
        </w:rPr>
        <w:t xml:space="preserve"> </w:t>
      </w:r>
      <w:r>
        <w:rPr>
          <w:rFonts w:cs="Arial"/>
        </w:rPr>
        <w:t>(viewed 11 September 2017).</w:t>
      </w:r>
    </w:p>
  </w:endnote>
  <w:endnote w:id="28">
    <w:p w14:paraId="16EAD723" w14:textId="77777777" w:rsidR="00910DFF" w:rsidRPr="005F60EE" w:rsidRDefault="00910DFF" w:rsidP="006B590B">
      <w:pPr>
        <w:pStyle w:val="EndnoteText"/>
      </w:pPr>
      <w:r>
        <w:rPr>
          <w:rStyle w:val="EndnoteReference"/>
        </w:rPr>
        <w:endnoteRef/>
      </w:r>
      <w:r>
        <w:t xml:space="preserve"> The Special Rapporteur on racial discrimination has recommended that the Australian Government expedite ratification of the ICRMW and the ILO Conventions on the protection of migrant workers and on Indigenous rights: see Mutuma Ruteere, </w:t>
      </w:r>
      <w:r>
        <w:rPr>
          <w:i/>
        </w:rPr>
        <w:t xml:space="preserve">Report of the </w:t>
      </w:r>
      <w:r w:rsidRPr="005F60EE">
        <w:rPr>
          <w:i/>
        </w:rPr>
        <w:t>Special Rapporteur on contemporary forms of racism, racial discrimination, xen</w:t>
      </w:r>
      <w:r>
        <w:rPr>
          <w:i/>
        </w:rPr>
        <w:t xml:space="preserve">ophobia and related intolerance on his mission to Australia, </w:t>
      </w:r>
      <w:r>
        <w:t>Human Rights Council, 35</w:t>
      </w:r>
      <w:r w:rsidRPr="005F60EE">
        <w:rPr>
          <w:vertAlign w:val="superscript"/>
        </w:rPr>
        <w:t>th</w:t>
      </w:r>
      <w:r>
        <w:t xml:space="preserve"> sess, UN Doc A/HRC/35/41/Add.2 (9 June 2017) 17 [71].</w:t>
      </w:r>
    </w:p>
  </w:endnote>
  <w:endnote w:id="29">
    <w:p w14:paraId="5AC49628" w14:textId="48E491A2" w:rsidR="00910DFF" w:rsidRDefault="00910DFF" w:rsidP="00B37020">
      <w:pPr>
        <w:pStyle w:val="EndnoteText"/>
      </w:pPr>
      <w:r>
        <w:rPr>
          <w:rStyle w:val="EndnoteReference"/>
        </w:rPr>
        <w:endnoteRef/>
      </w:r>
      <w:r>
        <w:t xml:space="preserve"> </w:t>
      </w:r>
      <w:r w:rsidRPr="00E914A2">
        <w:t xml:space="preserve">Victoria Tauli-Corpuz, </w:t>
      </w:r>
      <w:r w:rsidRPr="00E914A2">
        <w:rPr>
          <w:i/>
        </w:rPr>
        <w:t xml:space="preserve">Report of the Special Rapporteur on the rights of indigenous peoples on her visit to Australia, </w:t>
      </w:r>
      <w:r w:rsidRPr="00E914A2">
        <w:t xml:space="preserve">UN Doc A/HRC/36/46/Add.2 (8 August 2017) 7 [31]. At </w:t>
      </w:r>
      <w:hyperlink r:id="rId24" w:history="1">
        <w:r w:rsidRPr="00E914A2">
          <w:rPr>
            <w:rStyle w:val="Hyperlink"/>
          </w:rPr>
          <w:t>http://ap.ohchr.org/documents/dpage_e.aspx?si=A/HRC/36/46/Add.2</w:t>
        </w:r>
      </w:hyperlink>
      <w:r w:rsidRPr="00E914A2">
        <w:t xml:space="preserve"> (viewed 10 October 2017).</w:t>
      </w:r>
    </w:p>
  </w:endnote>
  <w:endnote w:id="30">
    <w:p w14:paraId="42C1577F" w14:textId="43FACDB7" w:rsidR="00910DFF" w:rsidRDefault="00910DFF" w:rsidP="00B37020">
      <w:pPr>
        <w:pStyle w:val="EndnoteText"/>
      </w:pPr>
      <w:r>
        <w:rPr>
          <w:rStyle w:val="EndnoteReference"/>
        </w:rPr>
        <w:endnoteRef/>
      </w:r>
      <w:r>
        <w:t xml:space="preserve"> </w:t>
      </w:r>
      <w:r w:rsidRPr="00497821">
        <w:t>Mutuma Ruteere</w:t>
      </w:r>
      <w:r>
        <w:t xml:space="preserve">, </w:t>
      </w:r>
      <w:r w:rsidRPr="00497821">
        <w:rPr>
          <w:i/>
        </w:rPr>
        <w:t>Report of the Special Rapporteur on contemporary forms of racism, racial discrimination, xenophobia and related intolerance on his mission to Australia</w:t>
      </w:r>
      <w:r>
        <w:t xml:space="preserve">, UN Doc </w:t>
      </w:r>
      <w:r w:rsidRPr="00497821">
        <w:t>A/HRC/35/41/Add.2</w:t>
      </w:r>
      <w:r w:rsidRPr="00497821">
        <w:rPr>
          <w:i/>
        </w:rPr>
        <w:t xml:space="preserve"> </w:t>
      </w:r>
      <w:r w:rsidRPr="00497821">
        <w:t>(</w:t>
      </w:r>
      <w:r>
        <w:t xml:space="preserve">9 June </w:t>
      </w:r>
      <w:r w:rsidRPr="00497821">
        <w:t>2017)</w:t>
      </w:r>
      <w:r>
        <w:t xml:space="preserve"> 13 [50]</w:t>
      </w:r>
      <w:r w:rsidRPr="00497821">
        <w:t xml:space="preserve">. At </w:t>
      </w:r>
      <w:hyperlink r:id="rId25" w:history="1">
        <w:r w:rsidRPr="00497821">
          <w:rPr>
            <w:rStyle w:val="Hyperlink"/>
          </w:rPr>
          <w:t>http://www.ohchr.org/EN/HRBodies/HRC/RegularSessions/Session35/Documents/A_HRC_35_41_Add_2_EN.docx</w:t>
        </w:r>
      </w:hyperlink>
      <w:r w:rsidRPr="00497821">
        <w:t xml:space="preserve"> (viewed 10 October 2017).</w:t>
      </w:r>
    </w:p>
  </w:endnote>
  <w:endnote w:id="31">
    <w:p w14:paraId="0B1645F2" w14:textId="170205BF" w:rsidR="00910DFF" w:rsidRPr="00A21612" w:rsidRDefault="00910DFF">
      <w:pPr>
        <w:pStyle w:val="EndnoteText"/>
      </w:pPr>
      <w:r>
        <w:rPr>
          <w:rStyle w:val="EndnoteReference"/>
        </w:rPr>
        <w:endnoteRef/>
      </w:r>
      <w:r>
        <w:t xml:space="preserve"> </w:t>
      </w:r>
      <w:r>
        <w:rPr>
          <w:i/>
        </w:rPr>
        <w:t xml:space="preserve">Aboriginal Languages Act 2017 No 51 </w:t>
      </w:r>
      <w:r>
        <w:t xml:space="preserve">(NSW), ss 4-6. At </w:t>
      </w:r>
      <w:hyperlink r:id="rId26" w:anchor="/view/act/2017/51" w:history="1">
        <w:r w:rsidRPr="00326FCC">
          <w:rPr>
            <w:rStyle w:val="Hyperlink"/>
          </w:rPr>
          <w:t>https://www.legislation.nsw.gov.au/#/view/act/2017/51</w:t>
        </w:r>
      </w:hyperlink>
      <w:r>
        <w:t xml:space="preserve"> (viewed 20 October 2017).</w:t>
      </w:r>
    </w:p>
  </w:endnote>
  <w:endnote w:id="32">
    <w:p w14:paraId="18BF4B19" w14:textId="701E0C5C" w:rsidR="00910DFF" w:rsidRPr="00657257" w:rsidRDefault="00910DFF">
      <w:pPr>
        <w:pStyle w:val="EndnoteText"/>
      </w:pPr>
      <w:r>
        <w:rPr>
          <w:rStyle w:val="EndnoteReference"/>
        </w:rPr>
        <w:endnoteRef/>
      </w:r>
      <w:r>
        <w:t xml:space="preserve"> See the concerns of the NSW Aboriginal Land Council in Bridget Brennan, ‘</w:t>
      </w:r>
      <w:r w:rsidRPr="00657257">
        <w:t>NSW introduces nation's first laws to recognise and revive Indigenous languages</w:t>
      </w:r>
      <w:r>
        <w:t xml:space="preserve">’ </w:t>
      </w:r>
      <w:r>
        <w:rPr>
          <w:i/>
        </w:rPr>
        <w:t xml:space="preserve">ABC News </w:t>
      </w:r>
      <w:r>
        <w:t xml:space="preserve">(online) 11 October 2017. At </w:t>
      </w:r>
      <w:hyperlink r:id="rId27" w:history="1">
        <w:r w:rsidRPr="00326FCC">
          <w:rPr>
            <w:rStyle w:val="Hyperlink"/>
          </w:rPr>
          <w:t>http://www.abc.net.au/news/2017-10-11/nsw-passes-unprecedented-laws-to-revive-indigenous-languages/9039746</w:t>
        </w:r>
      </w:hyperlink>
      <w:r>
        <w:t xml:space="preserve"> (viewed 30 October 2017). </w:t>
      </w:r>
    </w:p>
  </w:endnote>
  <w:endnote w:id="33">
    <w:p w14:paraId="432EC5E0" w14:textId="77777777" w:rsidR="00910DFF" w:rsidRPr="008D4822" w:rsidRDefault="00910DFF" w:rsidP="008D4822">
      <w:pPr>
        <w:pStyle w:val="EndnoteText"/>
      </w:pPr>
      <w:r>
        <w:rPr>
          <w:rStyle w:val="EndnoteReference"/>
        </w:rPr>
        <w:endnoteRef/>
      </w:r>
      <w:r>
        <w:t xml:space="preserve"> See, eg, </w:t>
      </w:r>
      <w:r>
        <w:rPr>
          <w:lang w:val="en-US"/>
        </w:rPr>
        <w:t xml:space="preserve">Andrew Markus, </w:t>
      </w:r>
      <w:r>
        <w:rPr>
          <w:i/>
          <w:lang w:val="en-US"/>
        </w:rPr>
        <w:t>Mapping Social Cohesion: The Scanlon Foundation surveys 2016</w:t>
      </w:r>
      <w:r>
        <w:rPr>
          <w:lang w:val="en-US"/>
        </w:rPr>
        <w:t xml:space="preserve"> (Monash University, 2016). At </w:t>
      </w:r>
      <w:hyperlink r:id="rId28" w:history="1">
        <w:r w:rsidRPr="008449CF">
          <w:rPr>
            <w:rStyle w:val="Hyperlink"/>
            <w:lang w:val="en-US"/>
          </w:rPr>
          <w:t>http://scanlonfoundation.org.au/research/surveys</w:t>
        </w:r>
      </w:hyperlink>
      <w:r>
        <w:rPr>
          <w:lang w:val="en-US"/>
        </w:rPr>
        <w:t xml:space="preserve"> (viewed 27 April 2017).</w:t>
      </w:r>
    </w:p>
  </w:endnote>
  <w:endnote w:id="34">
    <w:p w14:paraId="72933717" w14:textId="77777777" w:rsidR="00910DFF" w:rsidRPr="001B25D1" w:rsidRDefault="00910DFF" w:rsidP="00E2491E">
      <w:pPr>
        <w:pStyle w:val="EndnoteText"/>
      </w:pPr>
      <w:r>
        <w:rPr>
          <w:rStyle w:val="EndnoteReference"/>
        </w:rPr>
        <w:endnoteRef/>
      </w:r>
      <w:r>
        <w:t xml:space="preserve"> Ian McAllister, </w:t>
      </w:r>
      <w:r>
        <w:rPr>
          <w:i/>
        </w:rPr>
        <w:t xml:space="preserve">The Australian Voter </w:t>
      </w:r>
      <w:r>
        <w:t xml:space="preserve">(UNSW Press, 2011) 66. </w:t>
      </w:r>
    </w:p>
  </w:endnote>
  <w:endnote w:id="35">
    <w:p w14:paraId="0D69938B" w14:textId="77777777" w:rsidR="00910DFF" w:rsidRPr="00F30909" w:rsidRDefault="00910DFF" w:rsidP="009F7EC2">
      <w:pPr>
        <w:pStyle w:val="EndnoteText"/>
        <w:rPr>
          <w:i/>
        </w:rPr>
      </w:pPr>
      <w:r>
        <w:rPr>
          <w:rStyle w:val="EndnoteReference"/>
        </w:rPr>
        <w:endnoteRef/>
      </w:r>
      <w:r>
        <w:t xml:space="preserve"> Senate Select Committee on Strengthening Multiculturalism, Parliament of Australia, </w:t>
      </w:r>
      <w:r>
        <w:rPr>
          <w:i/>
        </w:rPr>
        <w:t xml:space="preserve">Ways of protecting and strengthening Australia’s multiculturalism and social </w:t>
      </w:r>
      <w:r w:rsidRPr="0022675F">
        <w:rPr>
          <w:i/>
        </w:rPr>
        <w:t>inclusion</w:t>
      </w:r>
      <w:r>
        <w:t xml:space="preserve"> (2017). At </w:t>
      </w:r>
      <w:hyperlink r:id="rId29" w:history="1">
        <w:r w:rsidRPr="00F5348E">
          <w:rPr>
            <w:rStyle w:val="Hyperlink"/>
          </w:rPr>
          <w:t>http://www.aph.gov.au/Parliamentary_Business/Committees/Senate/Strengthening_Multiculturalism/Multiculturalism/Final_report</w:t>
        </w:r>
      </w:hyperlink>
      <w:r>
        <w:t xml:space="preserve"> (viewed 11 October 2017).</w:t>
      </w:r>
    </w:p>
  </w:endnote>
  <w:endnote w:id="36">
    <w:p w14:paraId="30B8A9CB" w14:textId="1491D919" w:rsidR="00910DFF" w:rsidRDefault="00910DFF" w:rsidP="00B37020">
      <w:pPr>
        <w:pStyle w:val="EndnoteText"/>
      </w:pPr>
      <w:r>
        <w:rPr>
          <w:rStyle w:val="EndnoteReference"/>
        </w:rPr>
        <w:endnoteRef/>
      </w:r>
      <w:r>
        <w:t xml:space="preserve"> Senate Select Com</w:t>
      </w:r>
      <w:r w:rsidRPr="0022675F">
        <w:t xml:space="preserve">mittee on Strengthening Multiculturalism, Parliament of Australia, </w:t>
      </w:r>
      <w:r w:rsidRPr="0022675F">
        <w:rPr>
          <w:i/>
        </w:rPr>
        <w:t>Ways of protecting and strengthening Australia’s multiculturalism and social inclusion</w:t>
      </w:r>
      <w:r w:rsidRPr="0022675F">
        <w:t xml:space="preserve"> (2017) 70</w:t>
      </w:r>
      <w:r>
        <w:rPr>
          <w:rFonts w:eastAsia="Calibri" w:cs="Arial"/>
        </w:rPr>
        <w:t>–</w:t>
      </w:r>
      <w:r w:rsidRPr="0022675F">
        <w:t>71 [4.51] (Recommendation 7).</w:t>
      </w:r>
      <w:r w:rsidRPr="0019411F">
        <w:t xml:space="preserve"> </w:t>
      </w:r>
      <w:r>
        <w:t xml:space="preserve">At </w:t>
      </w:r>
      <w:hyperlink r:id="rId30" w:history="1">
        <w:r w:rsidRPr="00F5348E">
          <w:rPr>
            <w:rStyle w:val="Hyperlink"/>
          </w:rPr>
          <w:t>http://www.aph.gov.au/Parliamentary_Business/Committees/Senate/Strengthening_Multiculturalism/Multiculturalism/Final_report</w:t>
        </w:r>
      </w:hyperlink>
      <w:r>
        <w:t xml:space="preserve"> (viewed 11 October 2017).</w:t>
      </w:r>
    </w:p>
  </w:endnote>
  <w:endnote w:id="37">
    <w:p w14:paraId="37569A8D" w14:textId="77777777" w:rsidR="00910DFF" w:rsidRDefault="00910DFF" w:rsidP="00B37020">
      <w:pPr>
        <w:pStyle w:val="EndnoteText"/>
      </w:pPr>
      <w:r>
        <w:rPr>
          <w:rStyle w:val="EndnoteReference"/>
        </w:rPr>
        <w:endnoteRef/>
      </w:r>
      <w:r>
        <w:t xml:space="preserve"> Australian Human Rights Commission, </w:t>
      </w:r>
      <w:r w:rsidRPr="00E139F1">
        <w:rPr>
          <w:i/>
        </w:rPr>
        <w:t>National Anti-Racism Strategy and Racism. It Stops with Me Campaign</w:t>
      </w:r>
      <w:r>
        <w:t xml:space="preserve">. At </w:t>
      </w:r>
      <w:hyperlink r:id="rId31" w:history="1">
        <w:r w:rsidRPr="00096FF3">
          <w:rPr>
            <w:rStyle w:val="Hyperlink"/>
          </w:rPr>
          <w:t>https://www.humanrights.gov.au/our-work/race-discrimination/projects/national-anti-racism-strategy-and-racism-it-stops-me-campaign</w:t>
        </w:r>
      </w:hyperlink>
      <w:r>
        <w:t xml:space="preserve"> (viewed 8 December 2016).</w:t>
      </w:r>
    </w:p>
  </w:endnote>
  <w:endnote w:id="38">
    <w:p w14:paraId="1073E9D8" w14:textId="77777777" w:rsidR="00910DFF" w:rsidRPr="00625201" w:rsidRDefault="00910DFF" w:rsidP="00B37020">
      <w:pPr>
        <w:pStyle w:val="EndnoteText"/>
      </w:pPr>
      <w:r>
        <w:rPr>
          <w:rStyle w:val="EndnoteReference"/>
        </w:rPr>
        <w:endnoteRef/>
      </w:r>
      <w:r>
        <w:t xml:space="preserve"> Australian Human Rights Commission, </w:t>
      </w:r>
      <w:r>
        <w:rPr>
          <w:i/>
        </w:rPr>
        <w:t xml:space="preserve">National Anti-Racism Strategy and Racism. It Stops with Me: Summary Evaluation and Future Direction, </w:t>
      </w:r>
      <w:r>
        <w:t xml:space="preserve">June 2015, 45. At </w:t>
      </w:r>
      <w:hyperlink r:id="rId32" w:history="1">
        <w:r w:rsidRPr="003A675F">
          <w:rPr>
            <w:rStyle w:val="Hyperlink"/>
          </w:rPr>
          <w:t>https://www.humanrights.gov.au/our-work/race-discrimination/publications/national-anti-racism-strategy-and-racism-it-stops-me</w:t>
        </w:r>
      </w:hyperlink>
      <w:r>
        <w:t xml:space="preserve"> (viewed 10 October 2017). </w:t>
      </w:r>
    </w:p>
  </w:endnote>
  <w:endnote w:id="39">
    <w:p w14:paraId="49DEB60C" w14:textId="33B06032" w:rsidR="00910DFF" w:rsidRPr="000B73E5" w:rsidRDefault="00910DFF" w:rsidP="00B37020">
      <w:pPr>
        <w:pStyle w:val="EndnoteText"/>
        <w:rPr>
          <w:lang w:val="en-US"/>
        </w:rPr>
      </w:pPr>
      <w:r>
        <w:rPr>
          <w:rStyle w:val="EndnoteReference"/>
        </w:rPr>
        <w:endnoteRef/>
      </w:r>
      <w:r>
        <w:rPr>
          <w:lang w:val="en-US"/>
        </w:rPr>
        <w:t xml:space="preserve"> </w:t>
      </w:r>
      <w:r>
        <w:t xml:space="preserve">Australian Human Rights Commission, </w:t>
      </w:r>
      <w:r w:rsidRPr="00E139F1">
        <w:rPr>
          <w:i/>
        </w:rPr>
        <w:t>Racism. It Stops with Me Campaign</w:t>
      </w:r>
      <w:r>
        <w:t xml:space="preserve">, at </w:t>
      </w:r>
      <w:hyperlink r:id="rId33" w:history="1">
        <w:r w:rsidRPr="00096FF3">
          <w:rPr>
            <w:rStyle w:val="Hyperlink"/>
            <w:lang w:val="en-US"/>
          </w:rPr>
          <w:t>https://itstopswithme.humanrights.gov.au/</w:t>
        </w:r>
      </w:hyperlink>
      <w:r>
        <w:rPr>
          <w:lang w:val="en-US"/>
        </w:rPr>
        <w:t xml:space="preserve"> (viewed </w:t>
      </w:r>
      <w:r>
        <w:t>30 October 2017</w:t>
      </w:r>
      <w:r>
        <w:rPr>
          <w:lang w:val="en-US"/>
        </w:rPr>
        <w:t xml:space="preserve">). </w:t>
      </w:r>
    </w:p>
  </w:endnote>
  <w:endnote w:id="40">
    <w:p w14:paraId="7FFAB522" w14:textId="77777777" w:rsidR="00910DFF" w:rsidRPr="00B66032" w:rsidRDefault="00910DFF" w:rsidP="00B37020">
      <w:pPr>
        <w:pStyle w:val="EndnoteText"/>
        <w:rPr>
          <w:i/>
        </w:rPr>
      </w:pPr>
      <w:r>
        <w:rPr>
          <w:rStyle w:val="EndnoteReference"/>
        </w:rPr>
        <w:endnoteRef/>
      </w:r>
      <w:r>
        <w:t xml:space="preserve"> UN Human Rights Council, </w:t>
      </w:r>
      <w:r w:rsidRPr="00B66032">
        <w:rPr>
          <w:i/>
        </w:rPr>
        <w:t>Report of the Working Group on the Universal Periodic</w:t>
      </w:r>
    </w:p>
    <w:p w14:paraId="5003E431" w14:textId="77777777" w:rsidR="00910DFF" w:rsidRPr="00B66032" w:rsidRDefault="00910DFF" w:rsidP="00B37020">
      <w:pPr>
        <w:pStyle w:val="EndnoteText"/>
        <w:rPr>
          <w:i/>
        </w:rPr>
      </w:pPr>
      <w:r w:rsidRPr="00B66032">
        <w:rPr>
          <w:i/>
        </w:rPr>
        <w:t>Review, Australia, Views on conclusions and/or recommendations, voluntary commitments</w:t>
      </w:r>
    </w:p>
    <w:p w14:paraId="40561BF8" w14:textId="77777777" w:rsidR="00910DFF" w:rsidRDefault="00910DFF" w:rsidP="00B37020">
      <w:pPr>
        <w:pStyle w:val="EndnoteText"/>
      </w:pPr>
      <w:r w:rsidRPr="00B66032">
        <w:rPr>
          <w:i/>
        </w:rPr>
        <w:t>and replies presented by the State under review</w:t>
      </w:r>
      <w:r w:rsidRPr="00B66032">
        <w:t>, 35</w:t>
      </w:r>
      <w:r w:rsidRPr="00B66032">
        <w:rPr>
          <w:vertAlign w:val="superscript"/>
        </w:rPr>
        <w:t>th</w:t>
      </w:r>
      <w:r w:rsidRPr="00B66032">
        <w:t xml:space="preserve"> sess, Agenda item 6, UN Doc  A/HRC/31/14/Add.1 (29 February 2016) [19].</w:t>
      </w:r>
    </w:p>
  </w:endnote>
  <w:endnote w:id="41">
    <w:p w14:paraId="427BCFB6" w14:textId="77777777" w:rsidR="00910DFF" w:rsidRDefault="00910DFF" w:rsidP="00B37020">
      <w:pPr>
        <w:pStyle w:val="EndnoteText"/>
      </w:pPr>
      <w:r>
        <w:rPr>
          <w:rStyle w:val="EndnoteReference"/>
        </w:rPr>
        <w:endnoteRef/>
      </w:r>
      <w:r>
        <w:t xml:space="preserve"> Senate Select Com</w:t>
      </w:r>
      <w:r w:rsidRPr="0022675F">
        <w:t xml:space="preserve">mittee on Strengthening Multiculturalism, Parliament of Australia, </w:t>
      </w:r>
      <w:r w:rsidRPr="0022675F">
        <w:rPr>
          <w:i/>
        </w:rPr>
        <w:t>Ways of protecting and strengthening Australia’s multiculturalism and social inclusion</w:t>
      </w:r>
      <w:r w:rsidRPr="0022675F">
        <w:t xml:space="preserve"> (2017) 71 [4.5</w:t>
      </w:r>
      <w:r>
        <w:t>3</w:t>
      </w:r>
      <w:r w:rsidRPr="0022675F">
        <w:t xml:space="preserve">] (Recommendation </w:t>
      </w:r>
      <w:r>
        <w:t>8</w:t>
      </w:r>
      <w:r w:rsidRPr="0022675F">
        <w:t>).</w:t>
      </w:r>
      <w:r w:rsidRPr="0019411F">
        <w:t xml:space="preserve"> </w:t>
      </w:r>
      <w:r>
        <w:t xml:space="preserve">At </w:t>
      </w:r>
      <w:hyperlink r:id="rId34" w:history="1">
        <w:r w:rsidRPr="00F5348E">
          <w:rPr>
            <w:rStyle w:val="Hyperlink"/>
          </w:rPr>
          <w:t>http://www.aph.gov.au/Parliamentary_Business/Committees/Senate/Strengthening_Multiculturalism/Multiculturalism/Final_report</w:t>
        </w:r>
      </w:hyperlink>
      <w:r>
        <w:t xml:space="preserve"> (viewed 11 October 2017).</w:t>
      </w:r>
    </w:p>
  </w:endnote>
  <w:endnote w:id="42">
    <w:p w14:paraId="3661E520" w14:textId="674646E0" w:rsidR="00910DFF" w:rsidRPr="008D4822" w:rsidRDefault="00910DFF" w:rsidP="00483073">
      <w:pPr>
        <w:pStyle w:val="EndnoteText"/>
      </w:pPr>
      <w:r>
        <w:rPr>
          <w:rStyle w:val="EndnoteReference"/>
        </w:rPr>
        <w:endnoteRef/>
      </w:r>
      <w:r>
        <w:t xml:space="preserve"> Australian Bureau of Statistics, </w:t>
      </w:r>
      <w:r w:rsidRPr="008D4822">
        <w:rPr>
          <w:i/>
        </w:rPr>
        <w:t>Census of Population and Hou</w:t>
      </w:r>
      <w:r>
        <w:rPr>
          <w:i/>
        </w:rPr>
        <w:t xml:space="preserve">sing: Australia Revealed, 2016 </w:t>
      </w:r>
      <w:r>
        <w:t xml:space="preserve">(online) (27 June 2016). At </w:t>
      </w:r>
      <w:hyperlink r:id="rId35" w:history="1">
        <w:r w:rsidRPr="004B09BD">
          <w:rPr>
            <w:rStyle w:val="Hyperlink"/>
          </w:rPr>
          <w:t>http://www.abs.gov.au/ausstats/abs@.nsf/mf/2024.0</w:t>
        </w:r>
      </w:hyperlink>
      <w:r>
        <w:t xml:space="preserve"> (viewed 20 October 2017). </w:t>
      </w:r>
    </w:p>
  </w:endnote>
  <w:endnote w:id="43">
    <w:p w14:paraId="649FD38A" w14:textId="4A8F37EF" w:rsidR="00910DFF" w:rsidRDefault="00910DFF" w:rsidP="00483073">
      <w:pPr>
        <w:pStyle w:val="EndnoteText"/>
      </w:pPr>
      <w:r>
        <w:rPr>
          <w:rStyle w:val="EndnoteReference"/>
        </w:rPr>
        <w:endnoteRef/>
      </w:r>
      <w:r>
        <w:t xml:space="preserve"> Australian Parliamentary Library, </w:t>
      </w:r>
      <w:r w:rsidRPr="006D7AE3">
        <w:rPr>
          <w:i/>
        </w:rPr>
        <w:t>Migration to Australia: a quick guide to the statistics</w:t>
      </w:r>
      <w:r>
        <w:t xml:space="preserve"> (27 June 2016). At </w:t>
      </w:r>
      <w:hyperlink r:id="rId36" w:history="1">
        <w:r w:rsidRPr="00502F6E">
          <w:rPr>
            <w:rStyle w:val="Hyperlink"/>
          </w:rPr>
          <w:t>http://www.aph.gov.au/About_Parliament/Parliamentary_Departments/Parliamentary_Library/pubs/rp/rp1516/Quick_Guides/MigrationStatistics</w:t>
        </w:r>
      </w:hyperlink>
      <w:r>
        <w:t xml:space="preserve"> (viewed </w:t>
      </w:r>
      <w:r w:rsidRPr="00675292">
        <w:rPr>
          <w:color w:val="000000"/>
          <w:szCs w:val="28"/>
          <w:shd w:val="clear" w:color="auto" w:fill="FFFFFF"/>
        </w:rPr>
        <w:t>30 October 2017</w:t>
      </w:r>
      <w:r>
        <w:t>).</w:t>
      </w:r>
    </w:p>
  </w:endnote>
  <w:endnote w:id="44">
    <w:p w14:paraId="628349F2" w14:textId="42A29713" w:rsidR="00910DFF" w:rsidRPr="005E3579" w:rsidRDefault="00910DFF" w:rsidP="00483073">
      <w:pPr>
        <w:pStyle w:val="EndnoteText"/>
      </w:pPr>
      <w:r>
        <w:rPr>
          <w:rStyle w:val="EndnoteReference"/>
        </w:rPr>
        <w:endnoteRef/>
      </w:r>
      <w:r>
        <w:t xml:space="preserve"> In 2015, the foreign-born unemployment rate was lower than the native-born rate, and the fifth lowest in the OECD: Organization for Economic Cooperation and Development, </w:t>
      </w:r>
      <w:r>
        <w:rPr>
          <w:i/>
        </w:rPr>
        <w:t xml:space="preserve">Foreign-born unemployment </w:t>
      </w:r>
      <w:r>
        <w:t xml:space="preserve">(2016). At </w:t>
      </w:r>
      <w:hyperlink r:id="rId37" w:history="1">
        <w:r w:rsidRPr="00415AB2">
          <w:rPr>
            <w:rStyle w:val="Hyperlink"/>
          </w:rPr>
          <w:t>https://data.oecd.org/migration/foreign-born-unemployment.htm</w:t>
        </w:r>
      </w:hyperlink>
      <w:r>
        <w:t xml:space="preserve"> (viewed </w:t>
      </w:r>
      <w:r w:rsidRPr="00675292">
        <w:rPr>
          <w:color w:val="000000"/>
          <w:szCs w:val="28"/>
          <w:shd w:val="clear" w:color="auto" w:fill="FFFFFF"/>
        </w:rPr>
        <w:t>30 October 2017</w:t>
      </w:r>
      <w:r>
        <w:t>).</w:t>
      </w:r>
    </w:p>
  </w:endnote>
  <w:endnote w:id="45">
    <w:p w14:paraId="61B8A992" w14:textId="12062356" w:rsidR="00910DFF" w:rsidRDefault="00910DFF" w:rsidP="00483073">
      <w:pPr>
        <w:pStyle w:val="EndnoteText"/>
      </w:pPr>
      <w:r>
        <w:rPr>
          <w:rStyle w:val="EndnoteReference"/>
        </w:rPr>
        <w:endnoteRef/>
      </w:r>
      <w:r>
        <w:t xml:space="preserve"> Thomas Liebig and Sarah Widmaier, ‘Children of Immigrants in the Labour Markets of EU and OECD Countries: An Overview’ (Paper presented at the Joint Technical Seminar on ‘The Labour Market Integration of the Children of Immigrants’, Brussels, 1–2 October 2009) 17, 23. At </w:t>
      </w:r>
      <w:hyperlink r:id="rId38" w:history="1">
        <w:r w:rsidRPr="00E93A07">
          <w:rPr>
            <w:rStyle w:val="Hyperlink"/>
          </w:rPr>
          <w:t>www.oecd.org/berlin/43880918.pdf</w:t>
        </w:r>
      </w:hyperlink>
      <w:r>
        <w:t xml:space="preserve"> (viewed </w:t>
      </w:r>
      <w:r w:rsidRPr="00675292">
        <w:rPr>
          <w:color w:val="000000"/>
          <w:szCs w:val="28"/>
          <w:shd w:val="clear" w:color="auto" w:fill="FFFFFF"/>
        </w:rPr>
        <w:t>30 October 2017</w:t>
      </w:r>
      <w:r>
        <w:t xml:space="preserve">).  </w:t>
      </w:r>
    </w:p>
  </w:endnote>
  <w:endnote w:id="46">
    <w:p w14:paraId="00B4FC71" w14:textId="17480563" w:rsidR="00910DFF" w:rsidRDefault="00910DFF" w:rsidP="006707B8">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(2016) Scanlon Foundation, Australian Multicultural Foundation and Monash University, 99. At </w:t>
      </w:r>
      <w:hyperlink r:id="rId39" w:history="1">
        <w:r w:rsidRPr="008773D3">
          <w:rPr>
            <w:rStyle w:val="Hyperlink"/>
          </w:rPr>
          <w:t>http://scanlonfoundation.org.au/wp-content/uploads/2016/08/Australians-Today.pdf</w:t>
        </w:r>
      </w:hyperlink>
      <w:r>
        <w:t xml:space="preserve"> (viewed </w:t>
      </w:r>
      <w:r w:rsidRPr="00675292">
        <w:rPr>
          <w:color w:val="000000"/>
          <w:szCs w:val="28"/>
          <w:shd w:val="clear" w:color="auto" w:fill="FFFFFF"/>
        </w:rPr>
        <w:t>30 October 2017</w:t>
      </w:r>
      <w:r>
        <w:t>).</w:t>
      </w:r>
    </w:p>
  </w:endnote>
  <w:endnote w:id="47">
    <w:p w14:paraId="044E2C05" w14:textId="354CCBF5" w:rsidR="00910DFF" w:rsidRPr="0078424E" w:rsidRDefault="00910DFF" w:rsidP="00483073">
      <w:pPr>
        <w:spacing w:before="0" w:after="0"/>
        <w:rPr>
          <w:sz w:val="20"/>
        </w:rPr>
      </w:pPr>
      <w:r w:rsidRPr="0078424E">
        <w:rPr>
          <w:rStyle w:val="EndnoteReference"/>
        </w:rPr>
        <w:endnoteRef/>
      </w:r>
      <w:r w:rsidRPr="0078424E">
        <w:rPr>
          <w:sz w:val="20"/>
        </w:rPr>
        <w:t xml:space="preserve"> </w:t>
      </w:r>
      <w:r w:rsidRPr="0078424E">
        <w:rPr>
          <w:color w:val="000000"/>
          <w:sz w:val="20"/>
          <w:szCs w:val="28"/>
          <w:shd w:val="clear" w:color="auto" w:fill="FFFFFF"/>
        </w:rPr>
        <w:t xml:space="preserve">Andrew Markus, </w:t>
      </w:r>
      <w:r w:rsidRPr="004D5FAC">
        <w:rPr>
          <w:i/>
          <w:color w:val="000000"/>
          <w:sz w:val="20"/>
          <w:szCs w:val="28"/>
          <w:shd w:val="clear" w:color="auto" w:fill="FFFFFF"/>
        </w:rPr>
        <w:t>Australians Today: The Australia@2015 Scanlon Foundation Survey</w:t>
      </w:r>
      <w:r w:rsidRPr="0078424E">
        <w:rPr>
          <w:color w:val="000000"/>
          <w:sz w:val="20"/>
          <w:szCs w:val="28"/>
          <w:shd w:val="clear" w:color="auto" w:fill="FFFFFF"/>
        </w:rPr>
        <w:t xml:space="preserve"> </w:t>
      </w:r>
      <w:r>
        <w:rPr>
          <w:color w:val="000000"/>
          <w:sz w:val="20"/>
          <w:szCs w:val="28"/>
          <w:shd w:val="clear" w:color="auto" w:fill="FFFFFF"/>
        </w:rPr>
        <w:t>(</w:t>
      </w:r>
      <w:r w:rsidRPr="0078424E">
        <w:rPr>
          <w:color w:val="000000"/>
          <w:sz w:val="20"/>
          <w:szCs w:val="28"/>
          <w:shd w:val="clear" w:color="auto" w:fill="FFFFFF"/>
        </w:rPr>
        <w:t>Scanlon Foundation, Australian Multicultural Foundation and Monash University,</w:t>
      </w:r>
      <w:r>
        <w:rPr>
          <w:color w:val="000000"/>
          <w:sz w:val="20"/>
          <w:szCs w:val="28"/>
          <w:shd w:val="clear" w:color="auto" w:fill="FFFFFF"/>
        </w:rPr>
        <w:t xml:space="preserve"> 2016)</w:t>
      </w:r>
      <w:r w:rsidRPr="0078424E">
        <w:rPr>
          <w:color w:val="000000"/>
          <w:sz w:val="20"/>
          <w:szCs w:val="28"/>
          <w:shd w:val="clear" w:color="auto" w:fill="FFFFFF"/>
        </w:rPr>
        <w:t xml:space="preserve"> 103. At</w:t>
      </w:r>
      <w:r w:rsidRPr="0078424E">
        <w:rPr>
          <w:rStyle w:val="apple-converted-space"/>
          <w:color w:val="000000"/>
          <w:sz w:val="20"/>
          <w:shd w:val="clear" w:color="auto" w:fill="FFFFFF"/>
        </w:rPr>
        <w:t> </w:t>
      </w:r>
      <w:hyperlink r:id="rId40" w:history="1">
        <w:r w:rsidRPr="0078424E">
          <w:rPr>
            <w:rStyle w:val="Hyperlink"/>
            <w:color w:val="0000CC"/>
            <w:sz w:val="20"/>
            <w:szCs w:val="28"/>
            <w:shd w:val="clear" w:color="auto" w:fill="FFFFFF"/>
          </w:rPr>
          <w:t>http://scanlonfoundation.org.au/wp-content/uploads/2016/08/Australians-Today.pdf</w:t>
        </w:r>
      </w:hyperlink>
      <w:r w:rsidRPr="0078424E">
        <w:rPr>
          <w:rStyle w:val="apple-converted-space"/>
          <w:color w:val="000000"/>
          <w:sz w:val="20"/>
          <w:shd w:val="clear" w:color="auto" w:fill="FFFFFF"/>
        </w:rPr>
        <w:t> </w:t>
      </w:r>
      <w:r w:rsidRPr="0078424E">
        <w:rPr>
          <w:color w:val="000000"/>
          <w:sz w:val="20"/>
          <w:szCs w:val="28"/>
          <w:shd w:val="clear" w:color="auto" w:fill="FFFFFF"/>
        </w:rPr>
        <w:t xml:space="preserve">(viewed </w:t>
      </w:r>
      <w:r w:rsidRPr="00675292">
        <w:rPr>
          <w:color w:val="000000"/>
          <w:sz w:val="20"/>
          <w:szCs w:val="28"/>
          <w:shd w:val="clear" w:color="auto" w:fill="FFFFFF"/>
        </w:rPr>
        <w:t>30 October 2017</w:t>
      </w:r>
      <w:r w:rsidRPr="0078424E">
        <w:rPr>
          <w:color w:val="000000"/>
          <w:sz w:val="20"/>
          <w:szCs w:val="28"/>
          <w:shd w:val="clear" w:color="auto" w:fill="FFFFFF"/>
        </w:rPr>
        <w:t>).</w:t>
      </w:r>
    </w:p>
  </w:endnote>
  <w:endnote w:id="48">
    <w:p w14:paraId="45FB7776" w14:textId="12DD0721" w:rsidR="00910DFF" w:rsidRPr="0028102E" w:rsidRDefault="00910DFF" w:rsidP="00483073">
      <w:pPr>
        <w:spacing w:before="0" w:after="0"/>
        <w:rPr>
          <w:sz w:val="20"/>
        </w:rPr>
      </w:pPr>
      <w:r>
        <w:rPr>
          <w:rStyle w:val="EndnoteReference"/>
        </w:rPr>
        <w:endnoteRef/>
      </w:r>
      <w:r>
        <w:t xml:space="preserve"> </w:t>
      </w:r>
      <w:r w:rsidRPr="0078424E">
        <w:rPr>
          <w:color w:val="000000"/>
          <w:sz w:val="20"/>
          <w:szCs w:val="28"/>
          <w:shd w:val="clear" w:color="auto" w:fill="FFFFFF"/>
        </w:rPr>
        <w:t xml:space="preserve">Andrew Markus, </w:t>
      </w:r>
      <w:r w:rsidRPr="004D5FAC">
        <w:rPr>
          <w:i/>
          <w:color w:val="000000"/>
          <w:sz w:val="20"/>
          <w:szCs w:val="28"/>
          <w:shd w:val="clear" w:color="auto" w:fill="FFFFFF"/>
        </w:rPr>
        <w:t>Australians Today: The Australia@2015 Scanlon Foundation Survey</w:t>
      </w:r>
      <w:r w:rsidRPr="0078424E">
        <w:rPr>
          <w:color w:val="000000"/>
          <w:sz w:val="20"/>
          <w:szCs w:val="28"/>
          <w:shd w:val="clear" w:color="auto" w:fill="FFFFFF"/>
        </w:rPr>
        <w:t xml:space="preserve"> </w:t>
      </w:r>
      <w:r>
        <w:rPr>
          <w:color w:val="000000"/>
          <w:sz w:val="20"/>
          <w:szCs w:val="28"/>
          <w:shd w:val="clear" w:color="auto" w:fill="FFFFFF"/>
        </w:rPr>
        <w:t>(</w:t>
      </w:r>
      <w:r w:rsidRPr="0078424E">
        <w:rPr>
          <w:color w:val="000000"/>
          <w:sz w:val="20"/>
          <w:szCs w:val="28"/>
          <w:shd w:val="clear" w:color="auto" w:fill="FFFFFF"/>
        </w:rPr>
        <w:t>Scanlon Foundation, Australian Multicultural Foundation and Monash University,</w:t>
      </w:r>
      <w:r>
        <w:rPr>
          <w:color w:val="000000"/>
          <w:sz w:val="20"/>
          <w:szCs w:val="28"/>
          <w:shd w:val="clear" w:color="auto" w:fill="FFFFFF"/>
        </w:rPr>
        <w:t xml:space="preserve"> 2016)</w:t>
      </w:r>
      <w:r w:rsidRPr="0078424E">
        <w:rPr>
          <w:color w:val="000000"/>
          <w:sz w:val="20"/>
          <w:szCs w:val="28"/>
          <w:shd w:val="clear" w:color="auto" w:fill="FFFFFF"/>
        </w:rPr>
        <w:t xml:space="preserve"> 103. At</w:t>
      </w:r>
      <w:r w:rsidRPr="0078424E">
        <w:rPr>
          <w:rStyle w:val="apple-converted-space"/>
          <w:color w:val="000000"/>
          <w:sz w:val="20"/>
          <w:shd w:val="clear" w:color="auto" w:fill="FFFFFF"/>
        </w:rPr>
        <w:t> </w:t>
      </w:r>
      <w:hyperlink r:id="rId41" w:history="1">
        <w:r w:rsidRPr="0078424E">
          <w:rPr>
            <w:rStyle w:val="Hyperlink"/>
            <w:color w:val="0000CC"/>
            <w:sz w:val="20"/>
            <w:szCs w:val="28"/>
            <w:shd w:val="clear" w:color="auto" w:fill="FFFFFF"/>
          </w:rPr>
          <w:t>http://scanlonfoundation.org.au/wp-content/uploads/2016/08/Australians-Today.pdf</w:t>
        </w:r>
      </w:hyperlink>
      <w:r w:rsidRPr="0078424E">
        <w:rPr>
          <w:rStyle w:val="apple-converted-space"/>
          <w:color w:val="000000"/>
          <w:sz w:val="20"/>
          <w:shd w:val="clear" w:color="auto" w:fill="FFFFFF"/>
        </w:rPr>
        <w:t> </w:t>
      </w:r>
      <w:r w:rsidRPr="0078424E">
        <w:rPr>
          <w:color w:val="000000"/>
          <w:sz w:val="20"/>
          <w:szCs w:val="28"/>
          <w:shd w:val="clear" w:color="auto" w:fill="FFFFFF"/>
        </w:rPr>
        <w:t xml:space="preserve">(viewed </w:t>
      </w:r>
      <w:r w:rsidRPr="00675292">
        <w:rPr>
          <w:sz w:val="20"/>
        </w:rPr>
        <w:t>30 October 2017</w:t>
      </w:r>
      <w:r w:rsidRPr="0078424E">
        <w:rPr>
          <w:color w:val="000000"/>
          <w:sz w:val="20"/>
          <w:szCs w:val="28"/>
          <w:shd w:val="clear" w:color="auto" w:fill="FFFFFF"/>
        </w:rPr>
        <w:t>).</w:t>
      </w:r>
    </w:p>
  </w:endnote>
  <w:endnote w:id="49">
    <w:p w14:paraId="03891B16" w14:textId="545778BC" w:rsidR="00910DFF" w:rsidRDefault="00910DFF" w:rsidP="001E5718">
      <w:pPr>
        <w:pStyle w:val="EndnoteText"/>
      </w:pPr>
      <w:r>
        <w:rPr>
          <w:rStyle w:val="EndnoteReference"/>
        </w:rPr>
        <w:endnoteRef/>
      </w:r>
      <w:r>
        <w:t xml:space="preserve"> </w:t>
      </w:r>
      <w:r>
        <w:rPr>
          <w:lang w:val="en-US"/>
        </w:rPr>
        <w:t xml:space="preserve">Andrew Markus, </w:t>
      </w:r>
      <w:r>
        <w:rPr>
          <w:i/>
          <w:lang w:val="en-US"/>
        </w:rPr>
        <w:t>Mapping Social Cohesion: The Scanlon Foundation surveys 2016</w:t>
      </w:r>
      <w:r>
        <w:rPr>
          <w:lang w:val="en-US"/>
        </w:rPr>
        <w:t xml:space="preserve"> (Monash University, 2016). At </w:t>
      </w:r>
      <w:hyperlink r:id="rId42" w:history="1">
        <w:r w:rsidRPr="008449CF">
          <w:rPr>
            <w:rStyle w:val="Hyperlink"/>
            <w:lang w:val="en-US"/>
          </w:rPr>
          <w:t>http://scanlonfoundation.org.au/research/surveys</w:t>
        </w:r>
      </w:hyperlink>
      <w:r>
        <w:rPr>
          <w:lang w:val="en-US"/>
        </w:rPr>
        <w:t xml:space="preserve"> (viewed </w:t>
      </w:r>
      <w:r>
        <w:t>30 October 2017</w:t>
      </w:r>
      <w:r>
        <w:rPr>
          <w:lang w:val="en-US"/>
        </w:rPr>
        <w:t>).</w:t>
      </w:r>
    </w:p>
  </w:endnote>
  <w:endnote w:id="50">
    <w:p w14:paraId="3DE0D6DC" w14:textId="2B60C6DB" w:rsidR="00910DFF" w:rsidRDefault="00910DFF" w:rsidP="001E5718">
      <w:pPr>
        <w:pStyle w:val="EndnoteText"/>
      </w:pPr>
      <w:r>
        <w:rPr>
          <w:rStyle w:val="EndnoteReference"/>
        </w:rPr>
        <w:endnoteRef/>
      </w:r>
      <w:r>
        <w:t xml:space="preserve"> </w:t>
      </w:r>
      <w:r>
        <w:rPr>
          <w:lang w:val="en-US"/>
        </w:rPr>
        <w:t xml:space="preserve">Andrew Markus, </w:t>
      </w:r>
      <w:r>
        <w:rPr>
          <w:i/>
          <w:lang w:val="en-US"/>
        </w:rPr>
        <w:t>Mapping Social Cohesion: The Scanlon Foundation surveys 2016</w:t>
      </w:r>
      <w:r>
        <w:rPr>
          <w:lang w:val="en-US"/>
        </w:rPr>
        <w:t xml:space="preserve"> (Monash University, 2016) 26. At </w:t>
      </w:r>
      <w:hyperlink r:id="rId43" w:history="1">
        <w:r w:rsidRPr="008449CF">
          <w:rPr>
            <w:rStyle w:val="Hyperlink"/>
            <w:lang w:val="en-US"/>
          </w:rPr>
          <w:t>http://scanlonfoundation.org.au/research/surveys</w:t>
        </w:r>
      </w:hyperlink>
      <w:r>
        <w:rPr>
          <w:lang w:val="en-US"/>
        </w:rPr>
        <w:t xml:space="preserve"> (viewed </w:t>
      </w:r>
      <w:r>
        <w:t>30 October 2017</w:t>
      </w:r>
      <w:r>
        <w:rPr>
          <w:lang w:val="en-US"/>
        </w:rPr>
        <w:t>).</w:t>
      </w:r>
      <w:r>
        <w:rPr>
          <w:highlight w:val="yellow"/>
        </w:rPr>
        <w:t xml:space="preserve"> </w:t>
      </w:r>
    </w:p>
  </w:endnote>
  <w:endnote w:id="51">
    <w:p w14:paraId="759F94C7" w14:textId="20F18D1D" w:rsidR="00910DFF" w:rsidRDefault="00910DFF" w:rsidP="001E5718">
      <w:pPr>
        <w:pStyle w:val="EndnoteText"/>
      </w:pPr>
      <w:r>
        <w:rPr>
          <w:rStyle w:val="EndnoteReference"/>
        </w:rPr>
        <w:endnoteRef/>
      </w:r>
      <w:r>
        <w:t xml:space="preserve"> </w:t>
      </w:r>
      <w:r>
        <w:rPr>
          <w:lang w:val="en-US"/>
        </w:rPr>
        <w:t xml:space="preserve">Andrew Markus, </w:t>
      </w:r>
      <w:r>
        <w:rPr>
          <w:i/>
          <w:lang w:val="en-US"/>
        </w:rPr>
        <w:t>Mapping Social Cohesion: The Scanlon Foundation surveys 2016</w:t>
      </w:r>
      <w:r>
        <w:rPr>
          <w:lang w:val="en-US"/>
        </w:rPr>
        <w:t xml:space="preserve"> (Monash University, 2016) 4. At </w:t>
      </w:r>
      <w:hyperlink r:id="rId44" w:history="1">
        <w:r w:rsidRPr="008449CF">
          <w:rPr>
            <w:rStyle w:val="Hyperlink"/>
            <w:lang w:val="en-US"/>
          </w:rPr>
          <w:t>http://scanlonfoundation.org.au/research/surveys</w:t>
        </w:r>
      </w:hyperlink>
      <w:r>
        <w:rPr>
          <w:lang w:val="en-US"/>
        </w:rPr>
        <w:t xml:space="preserve"> (viewed </w:t>
      </w:r>
      <w:r>
        <w:t>30 October 2017</w:t>
      </w:r>
      <w:r>
        <w:rPr>
          <w:lang w:val="en-US"/>
        </w:rPr>
        <w:t>).</w:t>
      </w:r>
    </w:p>
  </w:endnote>
  <w:endnote w:id="52">
    <w:p w14:paraId="42570741" w14:textId="7C533CCE" w:rsidR="00910DFF" w:rsidRPr="002B38BB" w:rsidRDefault="00910DFF">
      <w:pPr>
        <w:pStyle w:val="EndnoteText"/>
        <w:rPr>
          <w:lang w:val="en-US"/>
        </w:rPr>
      </w:pPr>
      <w:r>
        <w:rPr>
          <w:rStyle w:val="EndnoteReference"/>
        </w:rPr>
        <w:endnoteRef/>
      </w:r>
      <w:r>
        <w:t xml:space="preserve"> </w:t>
      </w:r>
      <w:r>
        <w:rPr>
          <w:lang w:val="en-US"/>
        </w:rPr>
        <w:t xml:space="preserve">Australian Human Rights Commission, </w:t>
      </w:r>
      <w:r>
        <w:rPr>
          <w:i/>
          <w:lang w:val="en-US"/>
        </w:rPr>
        <w:t>Freedom from Discrimination: Report on the 40</w:t>
      </w:r>
      <w:r w:rsidRPr="002B38BB">
        <w:rPr>
          <w:i/>
          <w:vertAlign w:val="superscript"/>
          <w:lang w:val="en-US"/>
        </w:rPr>
        <w:t>th</w:t>
      </w:r>
      <w:r>
        <w:rPr>
          <w:i/>
          <w:lang w:val="en-US"/>
        </w:rPr>
        <w:t xml:space="preserve"> Anniversary of the Racial Discrimination Act</w:t>
      </w:r>
      <w:r>
        <w:rPr>
          <w:lang w:val="en-US"/>
        </w:rPr>
        <w:t xml:space="preserve"> (2015), 34</w:t>
      </w:r>
      <w:r>
        <w:rPr>
          <w:rFonts w:eastAsia="Calibri" w:cs="Arial"/>
        </w:rPr>
        <w:t>–</w:t>
      </w:r>
      <w:r>
        <w:rPr>
          <w:lang w:val="en-US"/>
        </w:rPr>
        <w:t>41.</w:t>
      </w:r>
    </w:p>
  </w:endnote>
  <w:endnote w:id="53">
    <w:p w14:paraId="51736691" w14:textId="088DD0CC" w:rsidR="00910DFF" w:rsidRPr="002B38BB" w:rsidRDefault="00910DFF">
      <w:pPr>
        <w:pStyle w:val="EndnoteText"/>
        <w:rPr>
          <w:lang w:val="en-US"/>
        </w:rPr>
      </w:pPr>
      <w:r>
        <w:rPr>
          <w:rStyle w:val="EndnoteReference"/>
        </w:rPr>
        <w:endnoteRef/>
      </w:r>
      <w:r>
        <w:t xml:space="preserve"> </w:t>
      </w:r>
      <w:r>
        <w:rPr>
          <w:lang w:val="en-US"/>
        </w:rPr>
        <w:t xml:space="preserve">Australian Human Rights Commission, </w:t>
      </w:r>
      <w:r>
        <w:rPr>
          <w:i/>
          <w:lang w:val="en-US"/>
        </w:rPr>
        <w:t>Freedom from Discrimination: Report on the 40</w:t>
      </w:r>
      <w:r w:rsidRPr="00BD5810">
        <w:rPr>
          <w:i/>
          <w:vertAlign w:val="superscript"/>
          <w:lang w:val="en-US"/>
        </w:rPr>
        <w:t>th</w:t>
      </w:r>
      <w:r>
        <w:rPr>
          <w:i/>
          <w:lang w:val="en-US"/>
        </w:rPr>
        <w:t xml:space="preserve"> Anniversary of the Racial Discrimination Act</w:t>
      </w:r>
      <w:r>
        <w:rPr>
          <w:lang w:val="en-US"/>
        </w:rPr>
        <w:t xml:space="preserve"> (2015), 47</w:t>
      </w:r>
      <w:r>
        <w:rPr>
          <w:rFonts w:eastAsia="Calibri" w:cs="Arial"/>
        </w:rPr>
        <w:t>–</w:t>
      </w:r>
      <w:r>
        <w:rPr>
          <w:lang w:val="en-US"/>
        </w:rPr>
        <w:t xml:space="preserve">49. </w:t>
      </w:r>
    </w:p>
  </w:endnote>
  <w:endnote w:id="54">
    <w:p w14:paraId="19C0C334" w14:textId="49D8517E" w:rsidR="00910DFF" w:rsidRPr="00852B53" w:rsidRDefault="00910DFF" w:rsidP="00850901">
      <w:pPr>
        <w:pStyle w:val="EndnoteText"/>
      </w:pPr>
      <w:r w:rsidRPr="00CE44B0">
        <w:rPr>
          <w:rStyle w:val="EndnoteReference"/>
        </w:rPr>
        <w:endnoteRef/>
      </w:r>
      <w:r w:rsidRPr="00CE44B0">
        <w:t xml:space="preserve"> For example, </w:t>
      </w:r>
      <w:r w:rsidRPr="00852B53">
        <w:t>Andrew Jakubowicz</w:t>
      </w:r>
      <w:r w:rsidRPr="00CE44B0">
        <w:t xml:space="preserve">, </w:t>
      </w:r>
      <w:r w:rsidRPr="00852B53">
        <w:t xml:space="preserve">Kevin Dunn </w:t>
      </w:r>
      <w:r w:rsidRPr="00CE44B0">
        <w:t xml:space="preserve">and </w:t>
      </w:r>
      <w:r w:rsidRPr="00852B53">
        <w:t>Rachel Sharples</w:t>
      </w:r>
      <w:r w:rsidRPr="00CE44B0">
        <w:t xml:space="preserve">, found, as part of the Cyber Racism and Community Resilience Research Project, that only 10% of Australians believe people should have the freedom to </w:t>
      </w:r>
      <w:r>
        <w:t>‘</w:t>
      </w:r>
      <w:r w:rsidRPr="00CE44B0">
        <w:t>insult</w:t>
      </w:r>
      <w:r>
        <w:t>’</w:t>
      </w:r>
      <w:r w:rsidRPr="00CE44B0">
        <w:t xml:space="preserve"> and </w:t>
      </w:r>
      <w:r>
        <w:t>‘</w:t>
      </w:r>
      <w:r w:rsidRPr="00CE44B0">
        <w:t>offend</w:t>
      </w:r>
      <w:r>
        <w:t>’</w:t>
      </w:r>
      <w:r w:rsidRPr="00CE44B0">
        <w:t xml:space="preserve"> people on the basis of race, culture or religion and that over 75% are opposed. See </w:t>
      </w:r>
      <w:r w:rsidRPr="00852B53">
        <w:t>Andrew Jakubowicz</w:t>
      </w:r>
      <w:r w:rsidRPr="00CE44B0">
        <w:t xml:space="preserve">, </w:t>
      </w:r>
      <w:r w:rsidRPr="00852B53">
        <w:t xml:space="preserve">Kevin Dunn </w:t>
      </w:r>
      <w:r w:rsidRPr="00CE44B0">
        <w:t xml:space="preserve">and </w:t>
      </w:r>
      <w:r w:rsidRPr="00852B53">
        <w:t>Rachel Sharples</w:t>
      </w:r>
      <w:r w:rsidRPr="00CE44B0">
        <w:t xml:space="preserve">, </w:t>
      </w:r>
      <w:r>
        <w:t>‘</w:t>
      </w:r>
      <w:r w:rsidRPr="00852B53">
        <w:t>Australians believe 18C protections should stay</w:t>
      </w:r>
      <w:r>
        <w:t>’</w:t>
      </w:r>
      <w:r w:rsidRPr="00CE44B0">
        <w:t xml:space="preserve">, </w:t>
      </w:r>
      <w:r w:rsidRPr="00852B53">
        <w:rPr>
          <w:i/>
        </w:rPr>
        <w:t>The Conversation</w:t>
      </w:r>
      <w:r w:rsidRPr="00CE44B0">
        <w:t xml:space="preserve"> (online)</w:t>
      </w:r>
      <w:r>
        <w:t xml:space="preserve"> 17 February 2017</w:t>
      </w:r>
      <w:r w:rsidRPr="00CE44B0">
        <w:t xml:space="preserve">. At </w:t>
      </w:r>
      <w:hyperlink r:id="rId45" w:history="1">
        <w:r w:rsidRPr="00CE44B0">
          <w:rPr>
            <w:rStyle w:val="Hyperlink"/>
          </w:rPr>
          <w:t>https://theconversation.com/australians-believe-18c-protections-should-stay-73049</w:t>
        </w:r>
      </w:hyperlink>
      <w:r w:rsidRPr="00CE44B0">
        <w:t xml:space="preserve"> (viewed 23 October 2017); </w:t>
      </w:r>
      <w:r w:rsidRPr="00852B53">
        <w:t>Andrew Jakubowicz</w:t>
      </w:r>
      <w:r w:rsidRPr="00CE44B0">
        <w:t xml:space="preserve">, </w:t>
      </w:r>
      <w:r w:rsidRPr="00852B53">
        <w:t xml:space="preserve">Kevin Dunn </w:t>
      </w:r>
      <w:r w:rsidRPr="00CE44B0">
        <w:t xml:space="preserve">and </w:t>
      </w:r>
      <w:r w:rsidRPr="00852B53">
        <w:t>Rachel Sharples</w:t>
      </w:r>
      <w:r>
        <w:t>, ‘</w:t>
      </w:r>
      <w:r w:rsidRPr="00852B53">
        <w:rPr>
          <w:lang w:val="en-NZ"/>
        </w:rPr>
        <w:t>What do Australian internet users think about racial vilification?</w:t>
      </w:r>
      <w:r>
        <w:rPr>
          <w:lang w:val="en-NZ"/>
        </w:rPr>
        <w:t xml:space="preserve">’ </w:t>
      </w:r>
      <w:r w:rsidRPr="00852B53">
        <w:rPr>
          <w:i/>
          <w:lang w:val="en-NZ"/>
        </w:rPr>
        <w:t>The Conversation</w:t>
      </w:r>
      <w:r>
        <w:rPr>
          <w:lang w:val="en-NZ"/>
        </w:rPr>
        <w:t xml:space="preserve"> (online) 17 March 2014</w:t>
      </w:r>
      <w:r w:rsidRPr="00CE44B0">
        <w:rPr>
          <w:lang w:val="en-NZ"/>
        </w:rPr>
        <w:t xml:space="preserve">. At </w:t>
      </w:r>
      <w:hyperlink r:id="rId46" w:history="1">
        <w:r w:rsidRPr="00CE44B0">
          <w:rPr>
            <w:rStyle w:val="Hyperlink"/>
            <w:lang w:val="en-NZ"/>
          </w:rPr>
          <w:t>https://theconversation.com/what-do-australian-internet-users-think-about-racial-vilification-24280</w:t>
        </w:r>
      </w:hyperlink>
      <w:r w:rsidRPr="00CE44B0">
        <w:rPr>
          <w:lang w:val="en-NZ"/>
        </w:rPr>
        <w:t xml:space="preserve"> (viewed 23 October 2017); Cyber Racism and Community Resilience Research Project (CRaCR), </w:t>
      </w:r>
      <w:r w:rsidRPr="00CE44B0">
        <w:rPr>
          <w:i/>
          <w:lang w:val="en-NZ"/>
        </w:rPr>
        <w:t>An inquiry into freedom of speech in Australia</w:t>
      </w:r>
      <w:r w:rsidRPr="00CE44B0">
        <w:rPr>
          <w:lang w:val="en-NZ"/>
        </w:rPr>
        <w:t>, Submission</w:t>
      </w:r>
      <w:r w:rsidRPr="00CE44B0">
        <w:rPr>
          <w:i/>
          <w:lang w:val="en-NZ"/>
        </w:rPr>
        <w:t xml:space="preserve"> </w:t>
      </w:r>
      <w:r w:rsidRPr="00CE44B0">
        <w:rPr>
          <w:lang w:val="en-NZ"/>
        </w:rPr>
        <w:t>No 54</w:t>
      </w:r>
      <w:r w:rsidRPr="00CE44B0">
        <w:rPr>
          <w:i/>
          <w:lang w:val="en-NZ"/>
        </w:rPr>
        <w:t xml:space="preserve"> </w:t>
      </w:r>
      <w:r w:rsidRPr="00CE44B0">
        <w:rPr>
          <w:lang w:val="en-NZ"/>
        </w:rPr>
        <w:t xml:space="preserve">to the Parliamentary Joint Committee on Human Rights (9 December 2016). At </w:t>
      </w:r>
      <w:hyperlink r:id="rId47" w:history="1">
        <w:r w:rsidRPr="00CE44B0">
          <w:rPr>
            <w:rStyle w:val="Hyperlink"/>
            <w:lang w:val="en-NZ"/>
          </w:rPr>
          <w:t>https://www.aph.gov.au/Parliamentary_Business/Committees/Joint/Human_Rights_inquiries/FreedomspeechAustralia/Submissions</w:t>
        </w:r>
      </w:hyperlink>
      <w:r w:rsidRPr="00CE44B0">
        <w:rPr>
          <w:lang w:val="en-NZ"/>
        </w:rPr>
        <w:t xml:space="preserve"> (viewed 23 October 2017); Cyber Racism and Community Resilience Research Project (CRaCR), </w:t>
      </w:r>
      <w:r w:rsidRPr="00CE44B0">
        <w:rPr>
          <w:i/>
          <w:lang w:val="en-NZ"/>
        </w:rPr>
        <w:t>An inquiry into freedom of speech in Australia</w:t>
      </w:r>
      <w:r w:rsidRPr="00CE44B0">
        <w:rPr>
          <w:lang w:val="en-NZ"/>
        </w:rPr>
        <w:t>, Submission</w:t>
      </w:r>
      <w:r w:rsidRPr="00CE44B0">
        <w:rPr>
          <w:i/>
          <w:lang w:val="en-NZ"/>
        </w:rPr>
        <w:t xml:space="preserve"> </w:t>
      </w:r>
      <w:r w:rsidRPr="00CE44B0">
        <w:rPr>
          <w:lang w:val="en-NZ"/>
        </w:rPr>
        <w:t>No 54.1</w:t>
      </w:r>
      <w:r w:rsidRPr="00CE44B0">
        <w:rPr>
          <w:i/>
          <w:lang w:val="en-NZ"/>
        </w:rPr>
        <w:t xml:space="preserve"> </w:t>
      </w:r>
      <w:r w:rsidRPr="00CE44B0">
        <w:rPr>
          <w:lang w:val="en-NZ"/>
        </w:rPr>
        <w:t xml:space="preserve">to the Parliamentary Joint Committee on Human Rights (9 December 2016). At </w:t>
      </w:r>
      <w:hyperlink r:id="rId48" w:history="1">
        <w:r w:rsidRPr="00CE44B0">
          <w:rPr>
            <w:rStyle w:val="Hyperlink"/>
            <w:lang w:val="en-NZ"/>
          </w:rPr>
          <w:t>https://www.aph.gov.au/Parliamentary_Business/Committees/Joint/Human_Rights_inquiries/FreedomspeechAustralia/Submissions</w:t>
        </w:r>
      </w:hyperlink>
      <w:r w:rsidRPr="00CE44B0">
        <w:rPr>
          <w:lang w:val="en-NZ"/>
        </w:rPr>
        <w:t xml:space="preserve"> (viewed 23 October 2017). </w:t>
      </w:r>
      <w:r w:rsidRPr="00CE44B0">
        <w:t xml:space="preserve">Also, </w:t>
      </w:r>
      <w:r w:rsidRPr="00CE44B0">
        <w:rPr>
          <w:lang w:val="en-NZ"/>
        </w:rPr>
        <w:t>in March 2017,</w:t>
      </w:r>
      <w:r w:rsidRPr="00CE44B0">
        <w:t xml:space="preserve"> </w:t>
      </w:r>
      <w:r w:rsidRPr="00CE44B0">
        <w:rPr>
          <w:lang w:val="en-NZ"/>
        </w:rPr>
        <w:t>a Fairfax-Ipsos poll of 1400 voters found that 78% of Australians believe it should be unlawful to offend, insult or humiliate someone on the basis of their race or ethnicity. However, when the same question</w:t>
      </w:r>
      <w:r w:rsidRPr="00D56B6A">
        <w:rPr>
          <w:lang w:val="en-NZ"/>
        </w:rPr>
        <w:t xml:space="preserve"> was asked in 2014</w:t>
      </w:r>
      <w:r>
        <w:rPr>
          <w:lang w:val="en-NZ"/>
        </w:rPr>
        <w:t xml:space="preserve">, 88% </w:t>
      </w:r>
      <w:r w:rsidRPr="00D56B6A">
        <w:rPr>
          <w:lang w:val="en-NZ"/>
        </w:rPr>
        <w:t xml:space="preserve">of respondents said it should be unlawful to offend, insult or humiliate someone on the basis of race. See </w:t>
      </w:r>
      <w:r>
        <w:rPr>
          <w:lang w:val="en-NZ"/>
        </w:rPr>
        <w:t>Matthew Knott</w:t>
      </w:r>
      <w:r w:rsidRPr="00D56B6A">
        <w:rPr>
          <w:lang w:val="en-NZ"/>
        </w:rPr>
        <w:t xml:space="preserve">, </w:t>
      </w:r>
      <w:r>
        <w:rPr>
          <w:lang w:val="en-NZ"/>
        </w:rPr>
        <w:t>‘</w:t>
      </w:r>
      <w:r w:rsidRPr="00852B53">
        <w:rPr>
          <w:lang w:val="en-NZ"/>
        </w:rPr>
        <w:t>Fairfax-Ipsos poll: Eight in 10 voters oppose Turnbull government's 18C race hate law changes</w:t>
      </w:r>
      <w:r>
        <w:rPr>
          <w:lang w:val="en-NZ"/>
        </w:rPr>
        <w:t>’</w:t>
      </w:r>
      <w:r w:rsidRPr="00D56B6A">
        <w:rPr>
          <w:lang w:val="en-NZ"/>
        </w:rPr>
        <w:t xml:space="preserve">, </w:t>
      </w:r>
      <w:r w:rsidRPr="00852B53">
        <w:rPr>
          <w:i/>
          <w:lang w:val="en-NZ"/>
        </w:rPr>
        <w:t>The Sydney Morning Herald</w:t>
      </w:r>
      <w:r w:rsidRPr="00D56B6A">
        <w:rPr>
          <w:i/>
          <w:lang w:val="en-NZ"/>
        </w:rPr>
        <w:t xml:space="preserve"> </w:t>
      </w:r>
      <w:r w:rsidRPr="00D56B6A">
        <w:rPr>
          <w:lang w:val="en-NZ"/>
        </w:rPr>
        <w:t>(online)</w:t>
      </w:r>
      <w:r>
        <w:rPr>
          <w:lang w:val="en-NZ"/>
        </w:rPr>
        <w:t xml:space="preserve"> 28 March 2017.</w:t>
      </w:r>
      <w:r w:rsidRPr="00D56B6A">
        <w:rPr>
          <w:lang w:val="en-NZ"/>
        </w:rPr>
        <w:t xml:space="preserve"> At </w:t>
      </w:r>
      <w:hyperlink r:id="rId49" w:history="1">
        <w:r w:rsidRPr="00D56B6A">
          <w:rPr>
            <w:rStyle w:val="Hyperlink"/>
            <w:lang w:val="en-NZ"/>
          </w:rPr>
          <w:t>http://www.smh.com.au/federal-politics/political-news/fairfaxipsos-poll-eight-in-10-voters-oppose-turnbull-governments-18c-race-hate-law-changes-20170327-gv7dlq.html</w:t>
        </w:r>
      </w:hyperlink>
      <w:r>
        <w:rPr>
          <w:lang w:val="en-NZ"/>
        </w:rPr>
        <w:t xml:space="preserve"> (viewed 23 October 2017). </w:t>
      </w:r>
    </w:p>
  </w:endnote>
  <w:endnote w:id="55">
    <w:p w14:paraId="39B0C050" w14:textId="7B9F04CE" w:rsidR="00910DFF" w:rsidRPr="00D54451" w:rsidRDefault="00910DFF">
      <w:pPr>
        <w:pStyle w:val="EndnoteText"/>
      </w:pPr>
      <w:r>
        <w:rPr>
          <w:rStyle w:val="EndnoteReference"/>
        </w:rPr>
        <w:endnoteRef/>
      </w:r>
      <w:r>
        <w:t xml:space="preserve"> Australian Human Rights Commission, </w:t>
      </w:r>
      <w:r>
        <w:rPr>
          <w:i/>
        </w:rPr>
        <w:t>2016</w:t>
      </w:r>
      <w:r>
        <w:rPr>
          <w:rFonts w:eastAsia="Calibri" w:cs="Arial"/>
        </w:rPr>
        <w:t>–</w:t>
      </w:r>
      <w:r>
        <w:rPr>
          <w:i/>
        </w:rPr>
        <w:t>2017 Complaint Statistics</w:t>
      </w:r>
      <w:r>
        <w:t xml:space="preserve"> (2017). At </w:t>
      </w:r>
      <w:hyperlink r:id="rId50" w:history="1">
        <w:r w:rsidRPr="00CB1532">
          <w:rPr>
            <w:rStyle w:val="Hyperlink"/>
          </w:rPr>
          <w:t>https://www.humanrights.gov.au/our-work/commission-general/publications/annual-report-2016-2017</w:t>
        </w:r>
      </w:hyperlink>
      <w:r>
        <w:t xml:space="preserve"> (viewed 26 October 2017). </w:t>
      </w:r>
    </w:p>
  </w:endnote>
  <w:endnote w:id="56">
    <w:p w14:paraId="20CC0EE2" w14:textId="226E8415" w:rsidR="00910DFF" w:rsidRDefault="00910DFF" w:rsidP="001E5718">
      <w:pPr>
        <w:pStyle w:val="EndnoteText"/>
      </w:pPr>
      <w:r>
        <w:rPr>
          <w:rStyle w:val="EndnoteReference"/>
        </w:rPr>
        <w:endnoteRef/>
      </w:r>
      <w:r>
        <w:t xml:space="preserve"> Australian Government, ‘Australian Government’s Multicultural Statement’ (March 2017). At </w:t>
      </w:r>
      <w:hyperlink r:id="rId51" w:history="1">
        <w:r w:rsidRPr="00A72C38">
          <w:rPr>
            <w:rStyle w:val="Hyperlink"/>
          </w:rPr>
          <w:t>https://www.dss.gov.au/settlement-and-multicultural-affairs/australian-governments-multicultural-statement/australian-governments-multicultural-statement</w:t>
        </w:r>
      </w:hyperlink>
      <w:r>
        <w:t xml:space="preserve"> (viewed 30 October 2017).</w:t>
      </w:r>
    </w:p>
  </w:endnote>
  <w:endnote w:id="57">
    <w:p w14:paraId="4056C573" w14:textId="739F5979" w:rsidR="00910DFF" w:rsidRDefault="00910DFF" w:rsidP="001E5718">
      <w:pPr>
        <w:pStyle w:val="EndnoteText"/>
      </w:pPr>
      <w:r>
        <w:rPr>
          <w:rStyle w:val="EndnoteReference"/>
        </w:rPr>
        <w:endnoteRef/>
      </w:r>
      <w:r>
        <w:t xml:space="preserve"> Senate Select Committee on Strengthening Multiculturalism, Parliament of Australia, </w:t>
      </w:r>
      <w:r>
        <w:rPr>
          <w:i/>
        </w:rPr>
        <w:t xml:space="preserve">Ways of protecting and strengthening Australia’s multiculturalism and social </w:t>
      </w:r>
      <w:r w:rsidRPr="0022675F">
        <w:rPr>
          <w:i/>
        </w:rPr>
        <w:t>inclusion</w:t>
      </w:r>
      <w:r>
        <w:t xml:space="preserve"> (2017) 80</w:t>
      </w:r>
      <w:r w:rsidRPr="0022675F">
        <w:t xml:space="preserve"> [5.25]</w:t>
      </w:r>
      <w:r>
        <w:t xml:space="preserve"> (</w:t>
      </w:r>
      <w:r w:rsidRPr="0022675F">
        <w:t>Recommendation 9</w:t>
      </w:r>
      <w:r>
        <w:t>)</w:t>
      </w:r>
      <w:r w:rsidRPr="0022675F">
        <w:t>.</w:t>
      </w:r>
      <w:r w:rsidRPr="0019411F">
        <w:t xml:space="preserve"> </w:t>
      </w:r>
      <w:r>
        <w:t xml:space="preserve">At </w:t>
      </w:r>
      <w:hyperlink r:id="rId52" w:history="1">
        <w:r w:rsidRPr="00F5348E">
          <w:rPr>
            <w:rStyle w:val="Hyperlink"/>
          </w:rPr>
          <w:t>http://www.aph.gov.au/Parliamentary_Business/Committees/Senate/Strengthening_Multiculturalism/Multiculturalism/Final_report</w:t>
        </w:r>
      </w:hyperlink>
      <w:r>
        <w:t xml:space="preserve"> (viewed 11 October 2017).</w:t>
      </w:r>
    </w:p>
  </w:endnote>
  <w:endnote w:id="58">
    <w:p w14:paraId="5BE1B0CE" w14:textId="360B2CCB" w:rsidR="00910DFF" w:rsidRPr="00A20D86" w:rsidRDefault="00910DFF" w:rsidP="001E5718">
      <w:pPr>
        <w:pStyle w:val="EndnoteText"/>
      </w:pPr>
      <w:r>
        <w:rPr>
          <w:rStyle w:val="EndnoteReference"/>
        </w:rPr>
        <w:endnoteRef/>
      </w:r>
      <w:r>
        <w:t xml:space="preserve"> See, eg, Federation of Ethnic Communities Councils of Australia, Submission No 100 to Joint Standing Committee on Migration, </w:t>
      </w:r>
      <w:r>
        <w:rPr>
          <w:i/>
        </w:rPr>
        <w:t>Migrant Settlement Outcomes</w:t>
      </w:r>
      <w:r>
        <w:t>, 19 February 2017, 2</w:t>
      </w:r>
      <w:r>
        <w:rPr>
          <w:rFonts w:eastAsia="Calibri" w:cs="Arial"/>
        </w:rPr>
        <w:t>–</w:t>
      </w:r>
      <w:r>
        <w:t>3.</w:t>
      </w:r>
    </w:p>
  </w:endnote>
  <w:endnote w:id="59">
    <w:p w14:paraId="7C48BB7B" w14:textId="5A86DC46" w:rsidR="00910DFF" w:rsidRPr="00703EDD" w:rsidRDefault="00910DFF" w:rsidP="001E5718">
      <w:pPr>
        <w:pStyle w:val="EndnoteText"/>
      </w:pPr>
      <w:r>
        <w:rPr>
          <w:rStyle w:val="EndnoteReference"/>
        </w:rPr>
        <w:endnoteRef/>
      </w:r>
      <w:r>
        <w:t xml:space="preserve"> Prime Minister of Australia, The Hon Malcolm Turnbull MP, </w:t>
      </w:r>
      <w:r>
        <w:rPr>
          <w:i/>
        </w:rPr>
        <w:t>Racial Tolerance Motion — Address to Parliament</w:t>
      </w:r>
      <w:r>
        <w:t xml:space="preserve"> (10 October 2016). At </w:t>
      </w:r>
      <w:hyperlink r:id="rId53" w:history="1">
        <w:r w:rsidRPr="004C05CF">
          <w:rPr>
            <w:rStyle w:val="Hyperlink"/>
          </w:rPr>
          <w:t>https://www.pm.gov.au/media/2016-10-10/racial-tolerance-motion-address-parliament</w:t>
        </w:r>
      </w:hyperlink>
      <w:r>
        <w:t xml:space="preserve"> (viewed 30 October 2017).</w:t>
      </w:r>
    </w:p>
  </w:endnote>
  <w:endnote w:id="60">
    <w:p w14:paraId="410562CA" w14:textId="0607745B" w:rsidR="00910DFF" w:rsidRDefault="00910DFF">
      <w:pPr>
        <w:pStyle w:val="EndnoteText"/>
      </w:pPr>
      <w:r>
        <w:rPr>
          <w:rStyle w:val="EndnoteReference"/>
        </w:rPr>
        <w:endnoteRef/>
      </w:r>
      <w:r>
        <w:t xml:space="preserve"> Senate Select Committee on Strengthening Multiculturalism, Parliament of Australia, </w:t>
      </w:r>
      <w:r>
        <w:rPr>
          <w:i/>
        </w:rPr>
        <w:t xml:space="preserve">Ways of protecting and strengthening Australia’s multiculturalism and social </w:t>
      </w:r>
      <w:r w:rsidRPr="0022675F">
        <w:rPr>
          <w:i/>
        </w:rPr>
        <w:t>inclusion</w:t>
      </w:r>
      <w:r>
        <w:t xml:space="preserve"> (2017) </w:t>
      </w:r>
      <w:r w:rsidRPr="0022675F">
        <w:t>[5.</w:t>
      </w:r>
      <w:r>
        <w:t>38</w:t>
      </w:r>
      <w:r w:rsidRPr="0022675F">
        <w:t>]</w:t>
      </w:r>
      <w:r>
        <w:t xml:space="preserve"> (Recommendation )</w:t>
      </w:r>
      <w:r w:rsidRPr="0022675F">
        <w:t>.</w:t>
      </w:r>
      <w:r w:rsidRPr="0019411F">
        <w:t xml:space="preserve"> </w:t>
      </w:r>
      <w:r>
        <w:t xml:space="preserve">At </w:t>
      </w:r>
      <w:hyperlink r:id="rId54" w:history="1">
        <w:r w:rsidRPr="00F5348E">
          <w:rPr>
            <w:rStyle w:val="Hyperlink"/>
          </w:rPr>
          <w:t>http://www.aph.gov.au/Parliamentary_Business/Committees/Senate/Strengthening_Multiculturalism/Multiculturalism/Final_report</w:t>
        </w:r>
      </w:hyperlink>
      <w:r>
        <w:t xml:space="preserve"> (viewed 11 October 2017).</w:t>
      </w:r>
    </w:p>
  </w:endnote>
  <w:endnote w:id="61">
    <w:p w14:paraId="0D4D4610" w14:textId="77777777" w:rsidR="00910DFF" w:rsidRPr="00892424" w:rsidRDefault="00910DFF" w:rsidP="001E5718">
      <w:pPr>
        <w:pStyle w:val="EndnoteText"/>
        <w:rPr>
          <w:rFonts w:cs="Arial"/>
        </w:rPr>
      </w:pPr>
      <w:r w:rsidRPr="00892424">
        <w:rPr>
          <w:rStyle w:val="EndnoteReference"/>
          <w:rFonts w:cs="Arial"/>
        </w:rPr>
        <w:endnoteRef/>
      </w:r>
      <w:r w:rsidRPr="00892424">
        <w:rPr>
          <w:rFonts w:cs="Arial"/>
        </w:rPr>
        <w:t xml:space="preserve"> The proposed additional requirements include increasing residency requirements to four years permanent residency; increasing the language requirements of the English language from ‘basic knowledge’ to ‘competent English’; a new requirement that a person ‘has integrated into the Australian community’, amongst others.</w:t>
      </w:r>
    </w:p>
  </w:endnote>
  <w:endnote w:id="62">
    <w:p w14:paraId="68858856" w14:textId="7C76E4C7" w:rsidR="00910DFF" w:rsidRPr="00892424" w:rsidRDefault="00910DFF" w:rsidP="001E5718">
      <w:pPr>
        <w:pStyle w:val="EndnoteText"/>
        <w:rPr>
          <w:rFonts w:cs="Arial"/>
        </w:rPr>
      </w:pPr>
      <w:r w:rsidRPr="00892424">
        <w:rPr>
          <w:rStyle w:val="EndnoteReference"/>
          <w:rFonts w:cs="Arial"/>
        </w:rPr>
        <w:endnoteRef/>
      </w:r>
      <w:r w:rsidRPr="00892424">
        <w:rPr>
          <w:rFonts w:cs="Arial"/>
        </w:rPr>
        <w:t xml:space="preserve"> Groups include</w:t>
      </w:r>
      <w:r>
        <w:rPr>
          <w:rFonts w:cs="Arial"/>
        </w:rPr>
        <w:t>:</w:t>
      </w:r>
      <w:r w:rsidRPr="00892424">
        <w:rPr>
          <w:rFonts w:cs="Arial"/>
        </w:rPr>
        <w:t xml:space="preserve"> children born in Australia to asylum seeker or refugee parents, even after those children have been lawfully in Australia for up to 10 years; children born in Australia to parents who had a valid visa but overstayed the visa before the child’s 10th birthday; children who are found abandoned in Australia; children as young as 10 years old that the Minister considers are not of good character; people with mental illness or cognitive impairment who come into contact with the criminal justice system.</w:t>
      </w:r>
    </w:p>
  </w:endnote>
  <w:endnote w:id="63">
    <w:p w14:paraId="456C1358" w14:textId="77777777" w:rsidR="00910DFF" w:rsidRDefault="00910DFF" w:rsidP="00567E89">
      <w:pPr>
        <w:pStyle w:val="EndnoteText"/>
      </w:pPr>
      <w:r>
        <w:rPr>
          <w:rStyle w:val="EndnoteReference"/>
        </w:rPr>
        <w:endnoteRef/>
      </w:r>
      <w:r>
        <w:t xml:space="preserve"> Senate Legal and Constitutional Affairs Committee, Parliament of Australia, </w:t>
      </w:r>
      <w:r w:rsidRPr="00767F90">
        <w:rPr>
          <w:i/>
        </w:rPr>
        <w:t>Australian Citizenship Legislation Amendment (Strengthening the Requirements for Australian Citizenship and Other Measures) Bill 2017</w:t>
      </w:r>
      <w:r>
        <w:t xml:space="preserve"> (5 September 2017) </w:t>
      </w:r>
      <w:r w:rsidRPr="0022675F">
        <w:t>46 [3.122]</w:t>
      </w:r>
      <w:r>
        <w:rPr>
          <w:rFonts w:eastAsia="Calibri" w:cs="Arial"/>
        </w:rPr>
        <w:t>–</w:t>
      </w:r>
      <w:r w:rsidRPr="0022675F">
        <w:t>[3.125].</w:t>
      </w:r>
      <w:r w:rsidRPr="0019411F">
        <w:t xml:space="preserve"> </w:t>
      </w:r>
      <w:r>
        <w:t xml:space="preserve">At </w:t>
      </w:r>
      <w:hyperlink r:id="rId55" w:history="1">
        <w:r w:rsidRPr="00DA76AD">
          <w:rPr>
            <w:rStyle w:val="Hyperlink"/>
          </w:rPr>
          <w:t>https://www.aph.gov.au/Parliamentary_Business/Committees/Senate/Legal_and_Constitutional_Affairs/CitizenshipBill2017/Report</w:t>
        </w:r>
      </w:hyperlink>
      <w:r>
        <w:t xml:space="preserve"> (viewed 11 October 2017).</w:t>
      </w:r>
    </w:p>
  </w:endnote>
  <w:endnote w:id="64">
    <w:p w14:paraId="5E2EDF93" w14:textId="77777777" w:rsidR="00910DFF" w:rsidRDefault="00910DFF" w:rsidP="00567E89">
      <w:pPr>
        <w:pStyle w:val="EndnoteText"/>
      </w:pPr>
      <w:r>
        <w:rPr>
          <w:rStyle w:val="EndnoteReference"/>
        </w:rPr>
        <w:endnoteRef/>
      </w:r>
      <w:r>
        <w:t xml:space="preserve"> Senate Select Committee on Strengthening Multiculturalism, Parliament of Australia, </w:t>
      </w:r>
      <w:r>
        <w:rPr>
          <w:i/>
        </w:rPr>
        <w:t>Ways of protecting and streng</w:t>
      </w:r>
      <w:r w:rsidRPr="0022675F">
        <w:rPr>
          <w:i/>
        </w:rPr>
        <w:t>thening Australia’s multiculturalism and social inclusion</w:t>
      </w:r>
      <w:r w:rsidRPr="0022675F">
        <w:t xml:space="preserve"> (2017) 31 [2.83] (Recommendation 2).</w:t>
      </w:r>
      <w:r w:rsidRPr="0019411F">
        <w:t xml:space="preserve"> </w:t>
      </w:r>
      <w:r>
        <w:t xml:space="preserve">At </w:t>
      </w:r>
      <w:hyperlink r:id="rId56" w:history="1">
        <w:r w:rsidRPr="00F5348E">
          <w:rPr>
            <w:rStyle w:val="Hyperlink"/>
          </w:rPr>
          <w:t>http://www.aph.gov.au/Parliamentary_Business/Committees/Senate/Strengthening_Multiculturalism/Multiculturalism/Final_report</w:t>
        </w:r>
      </w:hyperlink>
      <w:r>
        <w:t xml:space="preserve"> (viewed 11 October 2017).</w:t>
      </w:r>
    </w:p>
  </w:endnote>
  <w:endnote w:id="65">
    <w:p w14:paraId="2E9429BE" w14:textId="4FA32226" w:rsidR="00910DFF" w:rsidRPr="002B0307" w:rsidRDefault="00910DFF">
      <w:pPr>
        <w:pStyle w:val="EndnoteText"/>
      </w:pPr>
      <w:r>
        <w:rPr>
          <w:rStyle w:val="EndnoteReference"/>
        </w:rPr>
        <w:endnoteRef/>
      </w:r>
      <w:r>
        <w:t xml:space="preserve"> See Parliament of Australia, </w:t>
      </w:r>
      <w:r w:rsidRPr="002B0307">
        <w:rPr>
          <w:i/>
        </w:rPr>
        <w:t>Australian Citizenship Legislation Amendment (Strengthening the Requirements for Australian Citizenship and Other Measures) Bill 2017</w:t>
      </w:r>
      <w:r>
        <w:rPr>
          <w:i/>
        </w:rPr>
        <w:t xml:space="preserve"> </w:t>
      </w:r>
      <w:r>
        <w:t xml:space="preserve">(2017). At </w:t>
      </w:r>
      <w:hyperlink r:id="rId57" w:history="1">
        <w:r w:rsidRPr="004B09BD">
          <w:rPr>
            <w:rStyle w:val="Hyperlink"/>
          </w:rPr>
          <w:t>https://www.aph.gov.au/Parliamentary_Business/Bills_Legislation/Bills_Search_Results/Result?bId=r5914</w:t>
        </w:r>
      </w:hyperlink>
      <w:r>
        <w:t xml:space="preserve"> (viewed 20 October 2017). </w:t>
      </w:r>
    </w:p>
  </w:endnote>
  <w:endnote w:id="66">
    <w:p w14:paraId="5AA512E2" w14:textId="06E56B01" w:rsidR="00910DFF" w:rsidRPr="004C5337" w:rsidRDefault="00910DFF" w:rsidP="001E5718">
      <w:pPr>
        <w:pStyle w:val="EndnoteText"/>
      </w:pPr>
      <w:r>
        <w:rPr>
          <w:rStyle w:val="EndnoteReference"/>
        </w:rPr>
        <w:endnoteRef/>
      </w:r>
      <w:r>
        <w:t xml:space="preserve"> Australian Government, </w:t>
      </w:r>
      <w:r>
        <w:rPr>
          <w:i/>
        </w:rPr>
        <w:t>Policy Consultation Paper — Visa Simplification: Transforming Australia’s Visa System</w:t>
      </w:r>
      <w:r>
        <w:t xml:space="preserve"> (15 September 2017) Department of Immigration and Border Protection. At </w:t>
      </w:r>
      <w:hyperlink r:id="rId58" w:history="1">
        <w:r w:rsidRPr="003A675F">
          <w:rPr>
            <w:rStyle w:val="Hyperlink"/>
          </w:rPr>
          <w:t>https://www.border.gov.au/Trav/visa-reform/policy-consultation-paper</w:t>
        </w:r>
      </w:hyperlink>
      <w:r>
        <w:t xml:space="preserve"> (viewed 10 October 2017). </w:t>
      </w:r>
    </w:p>
  </w:endnote>
  <w:endnote w:id="67">
    <w:p w14:paraId="09D24F48" w14:textId="02A578FF" w:rsidR="00910DFF" w:rsidRPr="006765B0" w:rsidRDefault="00910DFF" w:rsidP="001E5718">
      <w:pPr>
        <w:pStyle w:val="EndnoteText"/>
      </w:pPr>
      <w:r>
        <w:rPr>
          <w:rStyle w:val="EndnoteReference"/>
        </w:rPr>
        <w:endnoteRef/>
      </w:r>
      <w:r>
        <w:t xml:space="preserve"> Australian Human Rights Commission, </w:t>
      </w:r>
      <w:r>
        <w:rPr>
          <w:i/>
        </w:rPr>
        <w:t xml:space="preserve">Leading for Change: A blueprint for cultural diversity and inclusive leadership </w:t>
      </w:r>
      <w:r>
        <w:t xml:space="preserve">(2016). At </w:t>
      </w:r>
      <w:hyperlink r:id="rId59" w:history="1">
        <w:r w:rsidRPr="00465FDE">
          <w:rPr>
            <w:rStyle w:val="Hyperlink"/>
          </w:rPr>
          <w:t>https://www.humanrights.gov.au/sites/default/files/document/publication/2016_AHRC%20Leading%20for%20change.pdf</w:t>
        </w:r>
      </w:hyperlink>
      <w:r>
        <w:t xml:space="preserve"> (viewed 30 October 2017). Similar observations have been made in research work published by Diversity Council Australia, which has also collected data on cultural diversity in corporate Australia. See, eg, Diversity Council Australia, ‘Capitalising on culture: A Study of the Cultural Origins of ASX 200 Business Leaders’ (2013). At </w:t>
      </w:r>
      <w:hyperlink r:id="rId60" w:history="1">
        <w:r w:rsidRPr="00465FDE">
          <w:rPr>
            <w:rStyle w:val="Hyperlink"/>
          </w:rPr>
          <w:t>https://www.dca.org.au/research/project/capitalising-culture</w:t>
        </w:r>
      </w:hyperlink>
      <w:r>
        <w:t xml:space="preserve"> (Executive Summary publicly available) (</w:t>
      </w:r>
      <w:r w:rsidRPr="006765B0">
        <w:t xml:space="preserve">viewed </w:t>
      </w:r>
      <w:r>
        <w:t>30 October 2017</w:t>
      </w:r>
      <w:r w:rsidRPr="006765B0">
        <w:t>).</w:t>
      </w:r>
    </w:p>
  </w:endnote>
  <w:endnote w:id="68">
    <w:p w14:paraId="64383533" w14:textId="0F72BEB0" w:rsidR="00910DFF" w:rsidRPr="006765B0" w:rsidRDefault="00910DFF" w:rsidP="001E5718">
      <w:pPr>
        <w:pStyle w:val="EndnoteText"/>
      </w:pPr>
      <w:r w:rsidRPr="006765B0">
        <w:rPr>
          <w:rStyle w:val="EndnoteReference"/>
        </w:rPr>
        <w:endnoteRef/>
      </w:r>
      <w:r w:rsidRPr="006765B0">
        <w:t xml:space="preserve"> Australian Human Rights Commission, Westpac Group, PWC, University of Sydney, and Telstra, </w:t>
      </w:r>
      <w:r w:rsidRPr="006765B0">
        <w:rPr>
          <w:i/>
        </w:rPr>
        <w:t>Leading for Change: A blueprint for cultural diversity and inclusive leadership</w:t>
      </w:r>
      <w:r w:rsidRPr="006765B0">
        <w:t xml:space="preserve"> (July 2016). At </w:t>
      </w:r>
      <w:hyperlink r:id="rId61" w:history="1">
        <w:r w:rsidRPr="006765B0">
          <w:rPr>
            <w:rStyle w:val="Hyperlink"/>
          </w:rPr>
          <w:t>http://www.pwc.com.au/publications/diversity-leading-for-change-jul16.html</w:t>
        </w:r>
      </w:hyperlink>
      <w:r w:rsidRPr="006765B0">
        <w:t xml:space="preserve"> (viewed 10 October 2017). The group consists of the Australian Human Rights Commission, the University of Sydney Business School, Westpac, PwC Australia and Telstra. Together, the group shares its experiences in embracing cultural diversity and inclusive leadership.</w:t>
      </w:r>
    </w:p>
  </w:endnote>
  <w:endnote w:id="69">
    <w:p w14:paraId="5B5DE0A2" w14:textId="0325A86F" w:rsidR="00910DFF" w:rsidRPr="006765B0" w:rsidRDefault="00910DFF" w:rsidP="006765B0">
      <w:pPr>
        <w:pStyle w:val="EndnoteText"/>
      </w:pPr>
      <w:r w:rsidRPr="006765B0">
        <w:rPr>
          <w:rStyle w:val="EndnoteReference"/>
        </w:rPr>
        <w:endnoteRef/>
      </w:r>
      <w:r w:rsidRPr="006765B0">
        <w:t xml:space="preserve"> Australian Human Rights Commission, Westpac Group, PWC, University of Sydney, and Telstra, </w:t>
      </w:r>
      <w:r w:rsidRPr="006765B0">
        <w:rPr>
          <w:i/>
        </w:rPr>
        <w:t>Leading for Change: A blueprint for cultural diversity and inclusive leadership</w:t>
      </w:r>
      <w:r w:rsidRPr="006765B0">
        <w:t xml:space="preserve"> (July 2016) 2. At </w:t>
      </w:r>
      <w:hyperlink r:id="rId62" w:history="1">
        <w:r w:rsidRPr="006765B0">
          <w:rPr>
            <w:rStyle w:val="Hyperlink"/>
          </w:rPr>
          <w:t>http://www.pwc.com.au/publications/diversity-leading-for-change-jul16.html</w:t>
        </w:r>
      </w:hyperlink>
      <w:r w:rsidRPr="006765B0">
        <w:t xml:space="preserve"> (viewed 10 October 2017).</w:t>
      </w:r>
    </w:p>
  </w:endnote>
  <w:endnote w:id="70">
    <w:p w14:paraId="3B7F9166" w14:textId="77777777" w:rsidR="00910DFF" w:rsidRPr="001A13F7" w:rsidRDefault="00910DFF" w:rsidP="001E5718">
      <w:pPr>
        <w:pStyle w:val="EndnoteText"/>
      </w:pPr>
      <w:r w:rsidRPr="006765B0">
        <w:rPr>
          <w:rStyle w:val="EndnoteReference"/>
        </w:rPr>
        <w:endnoteRef/>
      </w:r>
      <w:r w:rsidRPr="006765B0">
        <w:t xml:space="preserve"> Screen Australia, </w:t>
      </w:r>
      <w:r w:rsidRPr="006765B0">
        <w:rPr>
          <w:i/>
        </w:rPr>
        <w:t xml:space="preserve">Seeing ourselves: reflections on diversity in Australian TV drama </w:t>
      </w:r>
      <w:r w:rsidRPr="006765B0">
        <w:t>(2016) At</w:t>
      </w:r>
      <w:r>
        <w:t xml:space="preserve"> </w:t>
      </w:r>
      <w:hyperlink r:id="rId63" w:history="1">
        <w:r w:rsidRPr="00465FDE">
          <w:rPr>
            <w:rStyle w:val="Hyperlink"/>
          </w:rPr>
          <w:t>https://www.screenaustralia.gov.au/fact-finders/reports-and-key-issues/reports-and-discussion-papers/seeing-ourselves</w:t>
        </w:r>
      </w:hyperlink>
      <w:r>
        <w:t xml:space="preserve"> (viewed 3 May 2017). </w:t>
      </w:r>
    </w:p>
  </w:endnote>
  <w:endnote w:id="71">
    <w:p w14:paraId="5CB417BE" w14:textId="38DB8EDA" w:rsidR="00910DFF" w:rsidRDefault="00910DFF" w:rsidP="000D4F84">
      <w:pPr>
        <w:pStyle w:val="EndnoteText"/>
      </w:pPr>
      <w:r>
        <w:rPr>
          <w:rStyle w:val="EndnoteReference"/>
        </w:rPr>
        <w:endnoteRef/>
      </w:r>
      <w:r>
        <w:t xml:space="preserve"> Australian Human Rights Commission, </w:t>
      </w:r>
      <w:r w:rsidRPr="006765B0">
        <w:rPr>
          <w:i/>
        </w:rPr>
        <w:t>In our own words</w:t>
      </w:r>
      <w:r>
        <w:rPr>
          <w:i/>
        </w:rPr>
        <w:t xml:space="preserve"> </w:t>
      </w:r>
      <w:r w:rsidRPr="003D50EB">
        <w:rPr>
          <w:i/>
        </w:rPr>
        <w:t>—</w:t>
      </w:r>
      <w:r>
        <w:rPr>
          <w:i/>
        </w:rPr>
        <w:t xml:space="preserve"> </w:t>
      </w:r>
      <w:r w:rsidRPr="006765B0">
        <w:rPr>
          <w:i/>
        </w:rPr>
        <w:t>African Australians: A review of human rights and social inclusion issues</w:t>
      </w:r>
      <w:r>
        <w:rPr>
          <w:i/>
        </w:rPr>
        <w:t xml:space="preserve"> </w:t>
      </w:r>
      <w:r>
        <w:t xml:space="preserve">(2010). At </w:t>
      </w:r>
      <w:hyperlink r:id="rId64" w:history="1">
        <w:r w:rsidRPr="003A675F">
          <w:rPr>
            <w:rStyle w:val="Hyperlink"/>
          </w:rPr>
          <w:t>https://www.humanrights.gov.au/our-work/race-discrimination/projects/our-own-words-african-australians-review-human-rights-and</w:t>
        </w:r>
      </w:hyperlink>
      <w:r>
        <w:t xml:space="preserve"> (viewed 10 October 2017). </w:t>
      </w:r>
    </w:p>
  </w:endnote>
  <w:endnote w:id="72">
    <w:p w14:paraId="27F9DB22" w14:textId="1D9FE5BD" w:rsidR="00910DFF" w:rsidRPr="0019411F" w:rsidRDefault="00910DFF" w:rsidP="006765B0">
      <w:pPr>
        <w:pStyle w:val="EndnoteText"/>
      </w:pPr>
      <w:r>
        <w:rPr>
          <w:rStyle w:val="EndnoteReference"/>
        </w:rPr>
        <w:endnoteRef/>
      </w:r>
      <w:r>
        <w:t xml:space="preserve"> Australian Human Rights Commission, </w:t>
      </w:r>
      <w:r w:rsidRPr="006765B0">
        <w:rPr>
          <w:i/>
        </w:rPr>
        <w:t xml:space="preserve">In our own words </w:t>
      </w:r>
      <w:r w:rsidRPr="003D50EB">
        <w:rPr>
          <w:i/>
        </w:rPr>
        <w:t>—</w:t>
      </w:r>
      <w:r>
        <w:rPr>
          <w:i/>
        </w:rPr>
        <w:t xml:space="preserve"> </w:t>
      </w:r>
      <w:r w:rsidRPr="006765B0">
        <w:rPr>
          <w:i/>
        </w:rPr>
        <w:t>African Australians: A review of human rights and social inclusion issues</w:t>
      </w:r>
      <w:r>
        <w:rPr>
          <w:i/>
        </w:rPr>
        <w:t xml:space="preserve"> </w:t>
      </w:r>
      <w:r>
        <w:t xml:space="preserve">(2010). At </w:t>
      </w:r>
      <w:hyperlink r:id="rId65" w:history="1">
        <w:r w:rsidRPr="003A675F">
          <w:rPr>
            <w:rStyle w:val="Hyperlink"/>
          </w:rPr>
          <w:t>https://www.humanrights.gov.au/our-work/race-discrimination/projects/our-own-words-african-australians-review-human-rights-and</w:t>
        </w:r>
      </w:hyperlink>
      <w:r>
        <w:t xml:space="preserve"> (viewed 10 </w:t>
      </w:r>
      <w:r w:rsidRPr="0019411F">
        <w:t>October 2017).</w:t>
      </w:r>
    </w:p>
  </w:endnote>
  <w:endnote w:id="73">
    <w:p w14:paraId="37588277" w14:textId="71723442" w:rsidR="00910DFF" w:rsidRPr="0019411F" w:rsidRDefault="00910DFF" w:rsidP="001E5718">
      <w:pPr>
        <w:pStyle w:val="EndnoteText"/>
      </w:pPr>
      <w:r w:rsidRPr="0019411F">
        <w:rPr>
          <w:rStyle w:val="EndnoteReference"/>
        </w:rPr>
        <w:endnoteRef/>
      </w:r>
      <w:r w:rsidRPr="0019411F">
        <w:t xml:space="preserve"> Senate Select Committee on Strengthening Multiculturalism, Parliament of Australia, </w:t>
      </w:r>
      <w:r w:rsidRPr="0019411F">
        <w:rPr>
          <w:i/>
        </w:rPr>
        <w:t>Ways of protecting and strengthening Australia’s multiculturalism and social inclusion</w:t>
      </w:r>
      <w:r w:rsidRPr="0019411F">
        <w:t xml:space="preserve"> (2017) 56 [3.86]</w:t>
      </w:r>
      <w:r>
        <w:rPr>
          <w:rFonts w:eastAsia="Calibri" w:cs="Arial"/>
        </w:rPr>
        <w:t>–</w:t>
      </w:r>
      <w:r w:rsidRPr="0019411F">
        <w:t xml:space="preserve">[3.88] (Recommendation 5). </w:t>
      </w:r>
      <w:r>
        <w:t xml:space="preserve">At </w:t>
      </w:r>
      <w:hyperlink r:id="rId66" w:history="1">
        <w:r w:rsidRPr="00F5348E">
          <w:rPr>
            <w:rStyle w:val="Hyperlink"/>
          </w:rPr>
          <w:t>http://www.aph.gov.au/Parliamentary_Business/Committees/Senate/Strengthening_Multiculturalism/Multiculturalism/Final_report</w:t>
        </w:r>
      </w:hyperlink>
      <w:r>
        <w:t xml:space="preserve"> (viewed 11 October 2017).</w:t>
      </w:r>
    </w:p>
  </w:endnote>
  <w:endnote w:id="74">
    <w:p w14:paraId="5991E446" w14:textId="7187D511" w:rsidR="00910DFF" w:rsidRPr="0019411F" w:rsidRDefault="00910DFF" w:rsidP="001E5718">
      <w:pPr>
        <w:pStyle w:val="EndnoteText"/>
      </w:pPr>
      <w:r w:rsidRPr="0019411F">
        <w:rPr>
          <w:rStyle w:val="EndnoteReference"/>
        </w:rPr>
        <w:endnoteRef/>
      </w:r>
      <w:r w:rsidRPr="0019411F">
        <w:t xml:space="preserve"> </w:t>
      </w:r>
      <w:r>
        <w:t>Mutuma Ruteere</w:t>
      </w:r>
      <w:r w:rsidRPr="0019411F">
        <w:t xml:space="preserve">, </w:t>
      </w:r>
      <w:r w:rsidRPr="0019411F">
        <w:rPr>
          <w:i/>
        </w:rPr>
        <w:t xml:space="preserve">Report of the Special Rapporteur on contemporary forms of racism, racial discrimination, xenophobia and related intolerance on his mission to Australia, </w:t>
      </w:r>
      <w:r w:rsidRPr="0019411F">
        <w:t>Human Rights Council, 35</w:t>
      </w:r>
      <w:r w:rsidRPr="0019411F">
        <w:rPr>
          <w:vertAlign w:val="superscript"/>
        </w:rPr>
        <w:t>th</w:t>
      </w:r>
      <w:r w:rsidRPr="0019411F">
        <w:t xml:space="preserve"> sess, UN Doc A/HRC/35/41/Add.2 (9 June 2017) 17 [72].</w:t>
      </w:r>
    </w:p>
  </w:endnote>
  <w:endnote w:id="75">
    <w:p w14:paraId="5BCF531A" w14:textId="2911CCBD" w:rsidR="00910DFF" w:rsidRDefault="00910DFF">
      <w:pPr>
        <w:pStyle w:val="EndnoteText"/>
      </w:pPr>
      <w:r>
        <w:rPr>
          <w:rStyle w:val="EndnoteReference"/>
        </w:rPr>
        <w:endnoteRef/>
      </w:r>
      <w:r>
        <w:t xml:space="preserve"> Australian Human Rights Commission, </w:t>
      </w:r>
      <w:r>
        <w:rPr>
          <w:i/>
        </w:rPr>
        <w:t>2016</w:t>
      </w:r>
      <w:r>
        <w:rPr>
          <w:rFonts w:eastAsia="Calibri" w:cs="Arial"/>
        </w:rPr>
        <w:t>–</w:t>
      </w:r>
      <w:r>
        <w:rPr>
          <w:i/>
        </w:rPr>
        <w:t>2017 Complaint Statistics</w:t>
      </w:r>
      <w:r>
        <w:t xml:space="preserve"> (2017). At </w:t>
      </w:r>
      <w:hyperlink r:id="rId67" w:history="1">
        <w:r w:rsidRPr="00CB1532">
          <w:rPr>
            <w:rStyle w:val="Hyperlink"/>
          </w:rPr>
          <w:t>https://www.humanrights.gov.au/our-work/commission-general/publications/annual-report-2016-2017</w:t>
        </w:r>
      </w:hyperlink>
      <w:r>
        <w:t xml:space="preserve"> (viewed 26 October 2017).</w:t>
      </w:r>
    </w:p>
  </w:endnote>
  <w:endnote w:id="76">
    <w:p w14:paraId="0F4A5D02" w14:textId="57CD4081" w:rsidR="00910DFF" w:rsidRPr="0019411F" w:rsidRDefault="00910DFF" w:rsidP="001E5718">
      <w:pPr>
        <w:pStyle w:val="EndnoteText"/>
      </w:pPr>
      <w:r w:rsidRPr="0019411F">
        <w:rPr>
          <w:rStyle w:val="EndnoteReference"/>
        </w:rPr>
        <w:endnoteRef/>
      </w:r>
      <w:r w:rsidRPr="0019411F">
        <w:t xml:space="preserve"> Australian Human Rights Commission, </w:t>
      </w:r>
      <w:r w:rsidRPr="0019411F">
        <w:rPr>
          <w:i/>
        </w:rPr>
        <w:t>Agenda for Racial Equality (201</w:t>
      </w:r>
      <w:r>
        <w:rPr>
          <w:i/>
        </w:rPr>
        <w:t>2</w:t>
      </w:r>
      <w:r>
        <w:rPr>
          <w:rFonts w:eastAsia="Calibri" w:cs="Arial"/>
        </w:rPr>
        <w:t>–</w:t>
      </w:r>
      <w:r w:rsidRPr="0019411F">
        <w:rPr>
          <w:i/>
        </w:rPr>
        <w:t xml:space="preserve">2016) </w:t>
      </w:r>
      <w:r w:rsidRPr="0019411F">
        <w:t xml:space="preserve">(2012). At </w:t>
      </w:r>
      <w:hyperlink r:id="rId68" w:history="1">
        <w:r w:rsidRPr="0019411F">
          <w:rPr>
            <w:rStyle w:val="Hyperlink"/>
          </w:rPr>
          <w:t>https://www.humanrights.gov.au/our-work/race-discrimination/publications/agenda-racial-equality-2012-2016</w:t>
        </w:r>
      </w:hyperlink>
      <w:r w:rsidRPr="0019411F">
        <w:t xml:space="preserve"> (viewed </w:t>
      </w:r>
      <w:r>
        <w:t>30 October 2017</w:t>
      </w:r>
      <w:r w:rsidRPr="0019411F">
        <w:t>).</w:t>
      </w:r>
    </w:p>
  </w:endnote>
  <w:endnote w:id="77">
    <w:p w14:paraId="32DECBFA" w14:textId="55615164" w:rsidR="00910DFF" w:rsidRPr="0019411F" w:rsidRDefault="00910DFF" w:rsidP="001E5718">
      <w:pPr>
        <w:pStyle w:val="EndnoteText"/>
      </w:pPr>
      <w:r w:rsidRPr="0019411F">
        <w:rPr>
          <w:rStyle w:val="EndnoteReference"/>
        </w:rPr>
        <w:endnoteRef/>
      </w:r>
      <w:r w:rsidRPr="0019411F">
        <w:t xml:space="preserve"> Senate Select Committee on Strengthening Multiculturalism, Parliament of Australia, </w:t>
      </w:r>
      <w:r w:rsidRPr="0019411F">
        <w:rPr>
          <w:i/>
        </w:rPr>
        <w:t>Ways of protecting and strengthening Australia’s multiculturalism and social inclusion</w:t>
      </w:r>
      <w:r w:rsidRPr="0019411F">
        <w:t xml:space="preserve"> (2017) [5.57] (Recommendation 12). </w:t>
      </w:r>
      <w:r>
        <w:t xml:space="preserve">At </w:t>
      </w:r>
      <w:hyperlink r:id="rId69" w:history="1">
        <w:r w:rsidRPr="00F5348E">
          <w:rPr>
            <w:rStyle w:val="Hyperlink"/>
          </w:rPr>
          <w:t>http://www.aph.gov.au/Parliamentary_Business/Committees/Senate/Strengthening_Multiculturalism/Multiculturalism/Final_report</w:t>
        </w:r>
      </w:hyperlink>
      <w:r>
        <w:t xml:space="preserve"> (viewed 11 October 2017).</w:t>
      </w:r>
    </w:p>
  </w:endnote>
  <w:endnote w:id="78">
    <w:p w14:paraId="541FB476" w14:textId="77FDAA4E" w:rsidR="00910DFF" w:rsidRPr="004D5DCC" w:rsidRDefault="00910DFF">
      <w:pPr>
        <w:pStyle w:val="EndnoteText"/>
      </w:pPr>
      <w:r>
        <w:rPr>
          <w:rStyle w:val="EndnoteReference"/>
        </w:rPr>
        <w:endnoteRef/>
      </w:r>
      <w:r>
        <w:t xml:space="preserve"> UK Cabinet Office, </w:t>
      </w:r>
      <w:r>
        <w:rPr>
          <w:i/>
        </w:rPr>
        <w:t xml:space="preserve">Race Disparity Audit — Summary Findings from the Ethnicity Facts and Figures </w:t>
      </w:r>
      <w:r w:rsidRPr="004D5DCC">
        <w:rPr>
          <w:i/>
        </w:rPr>
        <w:t>Website</w:t>
      </w:r>
      <w:r>
        <w:t xml:space="preserve"> (October 2017). At </w:t>
      </w:r>
      <w:hyperlink r:id="rId70" w:history="1">
        <w:r w:rsidRPr="005E2AF5">
          <w:rPr>
            <w:rStyle w:val="Hyperlink"/>
          </w:rPr>
          <w:t>https://www.gov.uk/government/publications/race-disparity-audit</w:t>
        </w:r>
      </w:hyperlink>
      <w:r>
        <w:t xml:space="preserve"> (viewed 12 October 2017).  </w:t>
      </w:r>
    </w:p>
  </w:endnote>
  <w:endnote w:id="79">
    <w:p w14:paraId="044B263F" w14:textId="1F4B3776" w:rsidR="00910DFF" w:rsidRPr="004D5DCC" w:rsidRDefault="00910DFF" w:rsidP="004D5DCC">
      <w:pPr>
        <w:pStyle w:val="EndnoteText"/>
      </w:pPr>
      <w:r>
        <w:rPr>
          <w:rStyle w:val="EndnoteReference"/>
        </w:rPr>
        <w:endnoteRef/>
      </w:r>
      <w:r>
        <w:t xml:space="preserve"> Prime Minister of the United Kingdom, </w:t>
      </w:r>
      <w:r w:rsidRPr="00852B53">
        <w:t>The Rt Hon Theresa May M</w:t>
      </w:r>
      <w:r>
        <w:t>P, ‘</w:t>
      </w:r>
      <w:r w:rsidRPr="00852B53">
        <w:t>Speech of 10 October 2017</w:t>
      </w:r>
      <w:r>
        <w:t xml:space="preserve">’, </w:t>
      </w:r>
      <w:r w:rsidRPr="00F701CA">
        <w:rPr>
          <w:i/>
        </w:rPr>
        <w:t>Race Disparity Audit Launch: 10 October 2017, UK Government</w:t>
      </w:r>
      <w:r>
        <w:t xml:space="preserve"> (online) 10 October 2017. At </w:t>
      </w:r>
      <w:hyperlink r:id="rId71" w:history="1">
        <w:r w:rsidRPr="005E2AF5">
          <w:rPr>
            <w:rStyle w:val="Hyperlink"/>
          </w:rPr>
          <w:t>https://www.gov.uk/government/speeches/pm-words-at-race-disparity-audit-launch-10-october-2017</w:t>
        </w:r>
      </w:hyperlink>
      <w:r>
        <w:t xml:space="preserve"> (viewed 12 October 2017).  </w:t>
      </w:r>
    </w:p>
  </w:endnote>
  <w:endnote w:id="80">
    <w:p w14:paraId="2516E7A6" w14:textId="6AD0C2AF" w:rsidR="00910DFF" w:rsidRPr="00956E8C" w:rsidRDefault="00910DFF" w:rsidP="00093FDF">
      <w:pPr>
        <w:spacing w:before="0" w:after="0"/>
        <w:rPr>
          <w:rFonts w:cs="Arial"/>
          <w:sz w:val="25"/>
          <w:szCs w:val="25"/>
          <w:lang w:eastAsia="zh-CN"/>
        </w:rPr>
      </w:pPr>
      <w:r w:rsidRPr="00956E8C">
        <w:rPr>
          <w:rStyle w:val="EndnoteReference"/>
          <w:szCs w:val="20"/>
        </w:rPr>
        <w:endnoteRef/>
      </w:r>
      <w:r w:rsidRPr="00956E8C">
        <w:rPr>
          <w:sz w:val="20"/>
          <w:szCs w:val="20"/>
        </w:rPr>
        <w:t xml:space="preserve"> </w:t>
      </w:r>
      <w:r>
        <w:rPr>
          <w:rFonts w:cs="Arial"/>
          <w:sz w:val="20"/>
          <w:szCs w:val="20"/>
          <w:lang w:eastAsia="zh-CN"/>
        </w:rPr>
        <w:t>See Yin Paradies,</w:t>
      </w:r>
      <w:r w:rsidRPr="00956E8C">
        <w:rPr>
          <w:rFonts w:cs="Arial"/>
          <w:sz w:val="20"/>
          <w:szCs w:val="20"/>
          <w:lang w:eastAsia="zh-CN"/>
        </w:rPr>
        <w:t xml:space="preserve"> </w:t>
      </w:r>
      <w:r>
        <w:rPr>
          <w:rFonts w:cs="Arial"/>
          <w:sz w:val="20"/>
          <w:szCs w:val="20"/>
          <w:lang w:eastAsia="zh-CN"/>
        </w:rPr>
        <w:t>‘</w:t>
      </w:r>
      <w:r w:rsidRPr="00956E8C">
        <w:rPr>
          <w:rFonts w:cs="Arial"/>
          <w:sz w:val="20"/>
          <w:szCs w:val="20"/>
          <w:lang w:eastAsia="zh-CN"/>
        </w:rPr>
        <w:t xml:space="preserve">A systematic review of empirical research and </w:t>
      </w:r>
      <w:r>
        <w:rPr>
          <w:rFonts w:cs="Arial"/>
          <w:sz w:val="20"/>
          <w:szCs w:val="20"/>
          <w:lang w:eastAsia="zh-CN"/>
        </w:rPr>
        <w:t xml:space="preserve">self-reported racism and health’ (2006) 35 </w:t>
      </w:r>
      <w:r w:rsidRPr="00F701CA">
        <w:rPr>
          <w:rFonts w:cs="Arial"/>
          <w:i/>
          <w:sz w:val="20"/>
          <w:szCs w:val="20"/>
          <w:lang w:eastAsia="zh-CN"/>
        </w:rPr>
        <w:t>International Journal of Epidemiology</w:t>
      </w:r>
      <w:r>
        <w:rPr>
          <w:rFonts w:cs="Arial"/>
          <w:sz w:val="20"/>
          <w:szCs w:val="20"/>
          <w:lang w:eastAsia="zh-CN"/>
        </w:rPr>
        <w:t xml:space="preserve"> 888; Yin Paradies and Joan Cunningham</w:t>
      </w:r>
      <w:r w:rsidRPr="00956E8C">
        <w:rPr>
          <w:rFonts w:cs="Arial"/>
          <w:sz w:val="20"/>
          <w:szCs w:val="20"/>
          <w:lang w:eastAsia="zh-CN"/>
        </w:rPr>
        <w:t xml:space="preserve">, </w:t>
      </w:r>
      <w:r>
        <w:rPr>
          <w:rFonts w:cs="Arial"/>
          <w:sz w:val="20"/>
          <w:szCs w:val="20"/>
          <w:lang w:eastAsia="zh-CN"/>
        </w:rPr>
        <w:t>‘</w:t>
      </w:r>
      <w:r w:rsidRPr="00956E8C">
        <w:rPr>
          <w:rFonts w:cs="Arial"/>
          <w:sz w:val="20"/>
          <w:szCs w:val="20"/>
          <w:lang w:eastAsia="zh-CN"/>
        </w:rPr>
        <w:t>Experiences of racisms among urban Indigenous Australians: Findings from the DRUID study.</w:t>
      </w:r>
      <w:r>
        <w:rPr>
          <w:rFonts w:cs="Arial"/>
          <w:sz w:val="20"/>
          <w:szCs w:val="20"/>
          <w:lang w:eastAsia="zh-CN"/>
        </w:rPr>
        <w:t>’ (2009) 32</w:t>
      </w:r>
      <w:r w:rsidRPr="00956E8C">
        <w:rPr>
          <w:rFonts w:cs="Arial"/>
          <w:sz w:val="20"/>
          <w:szCs w:val="20"/>
          <w:lang w:eastAsia="zh-CN"/>
        </w:rPr>
        <w:t xml:space="preserve"> </w:t>
      </w:r>
      <w:r>
        <w:rPr>
          <w:rFonts w:cs="Arial"/>
          <w:i/>
          <w:sz w:val="20"/>
          <w:szCs w:val="20"/>
          <w:lang w:eastAsia="zh-CN"/>
        </w:rPr>
        <w:t>Ethnic and Racial Studies</w:t>
      </w:r>
      <w:r w:rsidRPr="00956E8C">
        <w:rPr>
          <w:rFonts w:cs="Arial"/>
          <w:sz w:val="20"/>
          <w:szCs w:val="20"/>
          <w:lang w:eastAsia="zh-CN"/>
        </w:rPr>
        <w:t xml:space="preserve"> 548; </w:t>
      </w:r>
      <w:r>
        <w:rPr>
          <w:rFonts w:cs="Arial"/>
          <w:sz w:val="20"/>
          <w:szCs w:val="20"/>
          <w:lang w:eastAsia="zh-CN"/>
        </w:rPr>
        <w:t xml:space="preserve">Yin Paradies and Joan Cunningham, ‘The DRUID </w:t>
      </w:r>
      <w:r w:rsidRPr="00956E8C">
        <w:rPr>
          <w:rFonts w:cs="Arial"/>
          <w:sz w:val="20"/>
          <w:szCs w:val="20"/>
          <w:lang w:eastAsia="zh-CN"/>
        </w:rPr>
        <w:t xml:space="preserve">study: Exploring mediating pathways between racism and depressive symptoms among Indigenous </w:t>
      </w:r>
      <w:r>
        <w:rPr>
          <w:rFonts w:cs="Arial"/>
          <w:sz w:val="20"/>
          <w:szCs w:val="20"/>
          <w:lang w:eastAsia="zh-CN"/>
        </w:rPr>
        <w:t>Australians’ (2012) 47</w:t>
      </w:r>
      <w:r w:rsidRPr="00956E8C">
        <w:rPr>
          <w:rFonts w:cs="Arial"/>
          <w:sz w:val="20"/>
          <w:szCs w:val="20"/>
          <w:lang w:eastAsia="zh-CN"/>
        </w:rPr>
        <w:t xml:space="preserve"> </w:t>
      </w:r>
      <w:r w:rsidRPr="00F701CA">
        <w:rPr>
          <w:rFonts w:cs="Arial"/>
          <w:i/>
          <w:sz w:val="20"/>
          <w:szCs w:val="20"/>
          <w:lang w:eastAsia="zh-CN"/>
        </w:rPr>
        <w:t>Social Psychiatry and Psychiatric Epidemiology</w:t>
      </w:r>
      <w:r w:rsidRPr="00956E8C">
        <w:rPr>
          <w:rFonts w:cs="Arial"/>
          <w:sz w:val="20"/>
          <w:szCs w:val="20"/>
          <w:lang w:eastAsia="zh-CN"/>
        </w:rPr>
        <w:t xml:space="preserve"> </w:t>
      </w:r>
      <w:r>
        <w:rPr>
          <w:rFonts w:cs="Arial"/>
          <w:sz w:val="20"/>
          <w:szCs w:val="20"/>
          <w:lang w:eastAsia="zh-CN"/>
        </w:rPr>
        <w:t>165.</w:t>
      </w:r>
    </w:p>
  </w:endnote>
  <w:endnote w:id="81">
    <w:p w14:paraId="6589043B" w14:textId="35EB28A5" w:rsidR="00910DFF" w:rsidRPr="00956E8C" w:rsidRDefault="00910DFF" w:rsidP="006F1D64">
      <w:pPr>
        <w:spacing w:before="0" w:after="0"/>
        <w:rPr>
          <w:rFonts w:cs="Arial"/>
          <w:sz w:val="25"/>
          <w:szCs w:val="25"/>
          <w:lang w:eastAsia="zh-CN"/>
        </w:rPr>
      </w:pPr>
      <w:r w:rsidRPr="00956E8C">
        <w:rPr>
          <w:rStyle w:val="EndnoteReference"/>
          <w:szCs w:val="20"/>
        </w:rPr>
        <w:endnoteRef/>
      </w:r>
      <w:r w:rsidRPr="00956E8C">
        <w:rPr>
          <w:sz w:val="20"/>
          <w:szCs w:val="20"/>
        </w:rPr>
        <w:t xml:space="preserve"> </w:t>
      </w:r>
      <w:r w:rsidRPr="00444A0E">
        <w:rPr>
          <w:sz w:val="20"/>
          <w:szCs w:val="20"/>
        </w:rPr>
        <w:t xml:space="preserve">Australian Human Rights Commission, </w:t>
      </w:r>
      <w:r w:rsidRPr="00444A0E">
        <w:rPr>
          <w:i/>
          <w:sz w:val="20"/>
          <w:szCs w:val="20"/>
        </w:rPr>
        <w:t>Freedom from Discrimination: Report on the 40th anniversary of the Racial Discrimination Act</w:t>
      </w:r>
      <w:r>
        <w:rPr>
          <w:sz w:val="20"/>
          <w:szCs w:val="20"/>
        </w:rPr>
        <w:t xml:space="preserve"> (2015) 65</w:t>
      </w:r>
      <w:r>
        <w:rPr>
          <w:rFonts w:eastAsia="Calibri" w:cs="Arial"/>
        </w:rPr>
        <w:t>–</w:t>
      </w:r>
      <w:r>
        <w:rPr>
          <w:sz w:val="20"/>
          <w:szCs w:val="20"/>
        </w:rPr>
        <w:t>69</w:t>
      </w:r>
      <w:r w:rsidRPr="00444A0E">
        <w:rPr>
          <w:sz w:val="20"/>
          <w:szCs w:val="20"/>
        </w:rPr>
        <w:t xml:space="preserve">. At </w:t>
      </w:r>
      <w:hyperlink r:id="rId72" w:history="1">
        <w:r w:rsidRPr="00F5348E">
          <w:rPr>
            <w:rStyle w:val="Hyperlink"/>
            <w:sz w:val="20"/>
            <w:szCs w:val="20"/>
          </w:rPr>
          <w:t>https://www.humanrights.gov.au/our-work/race-discrimination/publications/freedom-discrimination-report-40th-anniversary-racial</w:t>
        </w:r>
      </w:hyperlink>
      <w:r>
        <w:rPr>
          <w:sz w:val="20"/>
          <w:szCs w:val="20"/>
        </w:rPr>
        <w:t xml:space="preserve"> </w:t>
      </w:r>
      <w:r w:rsidRPr="00444A0E">
        <w:rPr>
          <w:sz w:val="20"/>
          <w:szCs w:val="20"/>
        </w:rPr>
        <w:t xml:space="preserve">(viewed </w:t>
      </w:r>
      <w:r>
        <w:rPr>
          <w:sz w:val="20"/>
          <w:szCs w:val="20"/>
        </w:rPr>
        <w:t xml:space="preserve">11 October </w:t>
      </w:r>
      <w:r w:rsidRPr="00444A0E">
        <w:rPr>
          <w:sz w:val="20"/>
          <w:szCs w:val="20"/>
        </w:rPr>
        <w:t>2017).</w:t>
      </w:r>
      <w:r>
        <w:rPr>
          <w:sz w:val="20"/>
          <w:szCs w:val="20"/>
        </w:rPr>
        <w:t xml:space="preserve"> </w:t>
      </w:r>
      <w:r>
        <w:rPr>
          <w:rFonts w:cs="Arial"/>
          <w:sz w:val="20"/>
          <w:szCs w:val="20"/>
          <w:lang w:eastAsia="zh-CN"/>
        </w:rPr>
        <w:t>See, eg, Yin Paradies,</w:t>
      </w:r>
      <w:r w:rsidRPr="00956E8C">
        <w:rPr>
          <w:rFonts w:cs="Arial"/>
          <w:sz w:val="20"/>
          <w:szCs w:val="20"/>
          <w:lang w:eastAsia="zh-CN"/>
        </w:rPr>
        <w:t xml:space="preserve"> </w:t>
      </w:r>
      <w:r>
        <w:rPr>
          <w:rFonts w:cs="Arial"/>
          <w:sz w:val="20"/>
          <w:szCs w:val="20"/>
          <w:lang w:eastAsia="zh-CN"/>
        </w:rPr>
        <w:t>‘</w:t>
      </w:r>
      <w:r w:rsidRPr="00956E8C">
        <w:rPr>
          <w:rFonts w:cs="Arial"/>
          <w:sz w:val="20"/>
          <w:szCs w:val="20"/>
          <w:lang w:eastAsia="zh-CN"/>
        </w:rPr>
        <w:t>A systematic review of empirical research and self-reported racism and health.</w:t>
      </w:r>
      <w:r>
        <w:rPr>
          <w:rFonts w:cs="Arial"/>
          <w:sz w:val="20"/>
          <w:szCs w:val="20"/>
          <w:lang w:eastAsia="zh-CN"/>
        </w:rPr>
        <w:t xml:space="preserve">’ (2006) 35 </w:t>
      </w:r>
      <w:r w:rsidRPr="00F701CA">
        <w:rPr>
          <w:rFonts w:cs="Arial"/>
          <w:i/>
          <w:sz w:val="20"/>
          <w:szCs w:val="20"/>
          <w:lang w:eastAsia="zh-CN"/>
        </w:rPr>
        <w:t>International Journal of Epidemiology</w:t>
      </w:r>
      <w:r>
        <w:rPr>
          <w:rFonts w:cs="Arial"/>
          <w:sz w:val="20"/>
          <w:szCs w:val="20"/>
          <w:lang w:eastAsia="zh-CN"/>
        </w:rPr>
        <w:t xml:space="preserve"> 888; Yin Paradies and Joan Cunningham</w:t>
      </w:r>
      <w:r w:rsidRPr="00956E8C">
        <w:rPr>
          <w:rFonts w:cs="Arial"/>
          <w:sz w:val="20"/>
          <w:szCs w:val="20"/>
          <w:lang w:eastAsia="zh-CN"/>
        </w:rPr>
        <w:t xml:space="preserve">, </w:t>
      </w:r>
      <w:r>
        <w:rPr>
          <w:rFonts w:cs="Arial"/>
          <w:sz w:val="20"/>
          <w:szCs w:val="20"/>
          <w:lang w:eastAsia="zh-CN"/>
        </w:rPr>
        <w:t>‘</w:t>
      </w:r>
      <w:r w:rsidRPr="00956E8C">
        <w:rPr>
          <w:rFonts w:cs="Arial"/>
          <w:sz w:val="20"/>
          <w:szCs w:val="20"/>
          <w:lang w:eastAsia="zh-CN"/>
        </w:rPr>
        <w:t>Experiences of racisms among urban Indigenous Australians: Findings from the DRUID study.</w:t>
      </w:r>
      <w:r>
        <w:rPr>
          <w:rFonts w:cs="Arial"/>
          <w:sz w:val="20"/>
          <w:szCs w:val="20"/>
          <w:lang w:eastAsia="zh-CN"/>
        </w:rPr>
        <w:t>’ (2009) 32</w:t>
      </w:r>
      <w:r w:rsidRPr="00956E8C">
        <w:rPr>
          <w:rFonts w:cs="Arial"/>
          <w:sz w:val="20"/>
          <w:szCs w:val="20"/>
          <w:lang w:eastAsia="zh-CN"/>
        </w:rPr>
        <w:t xml:space="preserve"> </w:t>
      </w:r>
      <w:r>
        <w:rPr>
          <w:rFonts w:cs="Arial"/>
          <w:i/>
          <w:sz w:val="20"/>
          <w:szCs w:val="20"/>
          <w:lang w:eastAsia="zh-CN"/>
        </w:rPr>
        <w:t>Ethnic and Racial Studies</w:t>
      </w:r>
      <w:r w:rsidRPr="00956E8C">
        <w:rPr>
          <w:rFonts w:cs="Arial"/>
          <w:sz w:val="20"/>
          <w:szCs w:val="20"/>
          <w:lang w:eastAsia="zh-CN"/>
        </w:rPr>
        <w:t xml:space="preserve"> 548; </w:t>
      </w:r>
      <w:r>
        <w:rPr>
          <w:rFonts w:cs="Arial"/>
          <w:sz w:val="20"/>
          <w:szCs w:val="20"/>
          <w:lang w:eastAsia="zh-CN"/>
        </w:rPr>
        <w:t xml:space="preserve">Yin Paradies and Joan Cunningham, ‘The DRUID </w:t>
      </w:r>
      <w:r w:rsidRPr="00956E8C">
        <w:rPr>
          <w:rFonts w:cs="Arial"/>
          <w:sz w:val="20"/>
          <w:szCs w:val="20"/>
          <w:lang w:eastAsia="zh-CN"/>
        </w:rPr>
        <w:t xml:space="preserve">study: Exploring mediating pathways between racism and depressive symptoms among Indigenous </w:t>
      </w:r>
      <w:r>
        <w:rPr>
          <w:rFonts w:cs="Arial"/>
          <w:sz w:val="20"/>
          <w:szCs w:val="20"/>
          <w:lang w:eastAsia="zh-CN"/>
        </w:rPr>
        <w:t>Australians’ (2012) 47</w:t>
      </w:r>
      <w:r w:rsidRPr="00956E8C">
        <w:rPr>
          <w:rFonts w:cs="Arial"/>
          <w:sz w:val="20"/>
          <w:szCs w:val="20"/>
          <w:lang w:eastAsia="zh-CN"/>
        </w:rPr>
        <w:t xml:space="preserve"> </w:t>
      </w:r>
      <w:r w:rsidRPr="00CE3BE2">
        <w:rPr>
          <w:rFonts w:cs="Arial"/>
          <w:i/>
          <w:sz w:val="20"/>
          <w:szCs w:val="20"/>
          <w:lang w:eastAsia="zh-CN"/>
        </w:rPr>
        <w:t>Social Psychiatry and Psychiatric Epidemiology</w:t>
      </w:r>
      <w:r w:rsidRPr="00956E8C">
        <w:rPr>
          <w:rFonts w:cs="Arial"/>
          <w:sz w:val="20"/>
          <w:szCs w:val="20"/>
          <w:lang w:eastAsia="zh-CN"/>
        </w:rPr>
        <w:t xml:space="preserve"> </w:t>
      </w:r>
      <w:r>
        <w:rPr>
          <w:rFonts w:cs="Arial"/>
          <w:sz w:val="20"/>
          <w:szCs w:val="20"/>
          <w:lang w:eastAsia="zh-CN"/>
        </w:rPr>
        <w:t xml:space="preserve">165; Australian Government, </w:t>
      </w:r>
      <w:r>
        <w:rPr>
          <w:rFonts w:cs="Arial"/>
          <w:i/>
          <w:sz w:val="20"/>
          <w:szCs w:val="20"/>
          <w:lang w:eastAsia="zh-CN"/>
        </w:rPr>
        <w:t>National Aboriginal and Torres Strait Islander Health Plan 2013</w:t>
      </w:r>
      <w:r>
        <w:rPr>
          <w:rFonts w:eastAsia="Calibri" w:cs="Arial"/>
        </w:rPr>
        <w:t>–</w:t>
      </w:r>
      <w:r>
        <w:rPr>
          <w:rFonts w:cs="Arial"/>
          <w:i/>
          <w:sz w:val="20"/>
          <w:szCs w:val="20"/>
          <w:lang w:eastAsia="zh-CN"/>
        </w:rPr>
        <w:t>2023</w:t>
      </w:r>
      <w:r>
        <w:rPr>
          <w:rFonts w:cs="Arial"/>
          <w:sz w:val="20"/>
          <w:szCs w:val="20"/>
          <w:lang w:eastAsia="zh-CN"/>
        </w:rPr>
        <w:t xml:space="preserve"> (2013). At </w:t>
      </w:r>
      <w:hyperlink r:id="rId73" w:history="1">
        <w:r w:rsidRPr="00F5348E">
          <w:rPr>
            <w:rStyle w:val="Hyperlink"/>
            <w:rFonts w:cs="Arial"/>
            <w:sz w:val="20"/>
            <w:szCs w:val="20"/>
            <w:lang w:eastAsia="zh-CN"/>
          </w:rPr>
          <w:t>http://www.health.gov.au/internet/main/publishing.nsf/Content/natsih-plan</w:t>
        </w:r>
      </w:hyperlink>
      <w:r>
        <w:rPr>
          <w:rFonts w:cs="Arial"/>
          <w:sz w:val="20"/>
          <w:szCs w:val="20"/>
          <w:lang w:eastAsia="zh-CN"/>
        </w:rPr>
        <w:t xml:space="preserve"> (viewed 11 October 2017) and </w:t>
      </w:r>
      <w:hyperlink r:id="rId74" w:history="1">
        <w:r w:rsidRPr="00F5348E">
          <w:rPr>
            <w:rStyle w:val="Hyperlink"/>
            <w:rFonts w:cs="Arial"/>
            <w:sz w:val="20"/>
            <w:szCs w:val="20"/>
            <w:lang w:eastAsia="zh-CN"/>
          </w:rPr>
          <w:t>http://www.health.gov.au/internet/publications/publishing.nsf/Content/oatsih-healthplan-toc~priorities~health-enablers</w:t>
        </w:r>
      </w:hyperlink>
      <w:r>
        <w:rPr>
          <w:rFonts w:cs="Arial"/>
          <w:sz w:val="20"/>
          <w:szCs w:val="20"/>
          <w:lang w:eastAsia="zh-CN"/>
        </w:rPr>
        <w:t xml:space="preserve"> (viewed 11 October 2017); Victorian Equal Opportunity &amp; Human Rights Commission, </w:t>
      </w:r>
      <w:r>
        <w:rPr>
          <w:rFonts w:cs="Arial"/>
          <w:i/>
          <w:sz w:val="20"/>
          <w:szCs w:val="20"/>
          <w:lang w:eastAsia="zh-CN"/>
        </w:rPr>
        <w:t xml:space="preserve">Systemic racism as a factor in the over-representation of Aboriginal people in the Victorian criminal justice system </w:t>
      </w:r>
      <w:r>
        <w:rPr>
          <w:rFonts w:cs="Arial"/>
          <w:sz w:val="20"/>
          <w:szCs w:val="20"/>
          <w:lang w:eastAsia="zh-CN"/>
        </w:rPr>
        <w:t xml:space="preserve">(2005). At </w:t>
      </w:r>
      <w:hyperlink r:id="rId75" w:history="1">
        <w:r w:rsidRPr="00F5348E">
          <w:rPr>
            <w:rStyle w:val="Hyperlink"/>
            <w:rFonts w:cs="Arial"/>
            <w:sz w:val="20"/>
            <w:szCs w:val="20"/>
            <w:lang w:eastAsia="zh-CN"/>
          </w:rPr>
          <w:t>https://humanrightscommission.vic.gov.au/our-resources-and-publications/reports/item/1391-systemic-racism-as-a-factor-in-the-over-representation-of-aboriginal-people-in-the-victorian-criminal-justice-system-sep-2005</w:t>
        </w:r>
      </w:hyperlink>
      <w:r>
        <w:rPr>
          <w:rFonts w:cs="Arial"/>
          <w:sz w:val="20"/>
          <w:szCs w:val="20"/>
          <w:lang w:eastAsia="zh-CN"/>
        </w:rPr>
        <w:t xml:space="preserve"> (viewed 11 October 2017). </w:t>
      </w:r>
    </w:p>
  </w:endnote>
  <w:endnote w:id="82">
    <w:p w14:paraId="4AFB88DD" w14:textId="6B929E8E" w:rsidR="00910DFF" w:rsidRDefault="00910DFF" w:rsidP="00C01315">
      <w:pPr>
        <w:pStyle w:val="EndnoteText"/>
      </w:pPr>
      <w:r>
        <w:rPr>
          <w:rStyle w:val="EndnoteReference"/>
        </w:rPr>
        <w:endnoteRef/>
      </w:r>
      <w:r>
        <w:t xml:space="preserve"> </w:t>
      </w:r>
      <w:r w:rsidRPr="00892424">
        <w:rPr>
          <w:rFonts w:cs="Arial"/>
        </w:rPr>
        <w:t xml:space="preserve">Australian Human Rights Commission, </w:t>
      </w:r>
      <w:r w:rsidRPr="00892424">
        <w:rPr>
          <w:rFonts w:cs="Arial"/>
          <w:i/>
        </w:rPr>
        <w:t>Social Justice and Native Title Report 201</w:t>
      </w:r>
      <w:r>
        <w:rPr>
          <w:rFonts w:cs="Arial"/>
          <w:i/>
        </w:rPr>
        <w:t>6</w:t>
      </w:r>
      <w:r>
        <w:rPr>
          <w:rFonts w:cs="Arial"/>
        </w:rPr>
        <w:t xml:space="preserve"> (2016), 173</w:t>
      </w:r>
      <w:r>
        <w:rPr>
          <w:rFonts w:eastAsia="Calibri" w:cs="Arial"/>
        </w:rPr>
        <w:t>–</w:t>
      </w:r>
      <w:r>
        <w:rPr>
          <w:rFonts w:cs="Arial"/>
        </w:rPr>
        <w:t>174.</w:t>
      </w:r>
      <w:r w:rsidRPr="00892424">
        <w:rPr>
          <w:rFonts w:cs="Arial"/>
        </w:rPr>
        <w:t xml:space="preserve"> At </w:t>
      </w:r>
      <w:hyperlink r:id="rId76" w:history="1">
        <w:r w:rsidRPr="00802685">
          <w:rPr>
            <w:rStyle w:val="Hyperlink"/>
          </w:rPr>
          <w:t>http://www.humanrights.gov.au/sites/default/files/document/publication/AHRC_SJNTR_2016.pdf</w:t>
        </w:r>
      </w:hyperlink>
      <w:r>
        <w:t xml:space="preserve"> (</w:t>
      </w:r>
      <w:r w:rsidRPr="00BF602B">
        <w:rPr>
          <w:rFonts w:cs="Arial"/>
        </w:rPr>
        <w:t xml:space="preserve">viewed </w:t>
      </w:r>
      <w:r>
        <w:rPr>
          <w:rFonts w:cs="Arial"/>
        </w:rPr>
        <w:t>11 September 2017</w:t>
      </w:r>
      <w:r>
        <w:t>).</w:t>
      </w:r>
    </w:p>
  </w:endnote>
  <w:endnote w:id="83">
    <w:p w14:paraId="1881C661" w14:textId="252641A9" w:rsidR="00910DFF" w:rsidRDefault="00910DFF" w:rsidP="00C01315">
      <w:pPr>
        <w:pStyle w:val="EndnoteText"/>
      </w:pPr>
      <w:r>
        <w:rPr>
          <w:rStyle w:val="EndnoteReference"/>
        </w:rPr>
        <w:endnoteRef/>
      </w:r>
      <w:r>
        <w:t xml:space="preserve"> Australian Human Rights Commission, </w:t>
      </w:r>
      <w:r>
        <w:rPr>
          <w:i/>
        </w:rPr>
        <w:t>2016-2017 Complaint Statistics</w:t>
      </w:r>
      <w:r>
        <w:t xml:space="preserve"> (2017). At </w:t>
      </w:r>
      <w:hyperlink r:id="rId77" w:history="1">
        <w:r w:rsidRPr="00CB1532">
          <w:rPr>
            <w:rStyle w:val="Hyperlink"/>
          </w:rPr>
          <w:t>https://www.humanrights.gov.au/our-work/commission-general/publications/annual-report-2016-2017</w:t>
        </w:r>
      </w:hyperlink>
      <w:r>
        <w:t xml:space="preserve"> (viewed 26 October 2017).</w:t>
      </w:r>
    </w:p>
  </w:endnote>
  <w:endnote w:id="84">
    <w:p w14:paraId="33B05A48" w14:textId="643CF673" w:rsidR="00910DFF" w:rsidRDefault="00910DFF" w:rsidP="006762E6">
      <w:pPr>
        <w:pStyle w:val="EndnoteText"/>
      </w:pPr>
      <w:r>
        <w:rPr>
          <w:rStyle w:val="EndnoteReference"/>
        </w:rPr>
        <w:endnoteRef/>
      </w:r>
      <w:r>
        <w:t xml:space="preserve"> </w:t>
      </w:r>
      <w:r w:rsidRPr="00E914A2">
        <w:t xml:space="preserve">Victoria Tauli-Corpuz, </w:t>
      </w:r>
      <w:r w:rsidRPr="00E914A2">
        <w:rPr>
          <w:i/>
        </w:rPr>
        <w:t xml:space="preserve">Report of the Special Rapporteur on the rights of indigenous peoples on her visit to Australia, </w:t>
      </w:r>
      <w:r w:rsidRPr="00E914A2">
        <w:t>UN Doc A/H</w:t>
      </w:r>
      <w:r>
        <w:t>RC/36/46/Add.2 (8 August 2017) 6</w:t>
      </w:r>
      <w:r w:rsidRPr="00E914A2">
        <w:t xml:space="preserve"> [</w:t>
      </w:r>
      <w:r>
        <w:t>30</w:t>
      </w:r>
      <w:r w:rsidRPr="00E914A2">
        <w:t xml:space="preserve">]. At </w:t>
      </w:r>
      <w:hyperlink r:id="rId78" w:history="1">
        <w:r w:rsidRPr="00E914A2">
          <w:rPr>
            <w:rStyle w:val="Hyperlink"/>
          </w:rPr>
          <w:t>http://ap.ohchr.org/documents/dpage_e.aspx?si=A/HRC/36/46/Add.2</w:t>
        </w:r>
      </w:hyperlink>
      <w:r w:rsidRPr="00E914A2">
        <w:t xml:space="preserve"> (viewed 10 October 2017).</w:t>
      </w:r>
    </w:p>
  </w:endnote>
  <w:endnote w:id="85">
    <w:p w14:paraId="0F844F1B" w14:textId="73EAC470" w:rsidR="00910DFF" w:rsidRDefault="00910DFF" w:rsidP="006762E6">
      <w:pPr>
        <w:pStyle w:val="EndnoteText"/>
      </w:pPr>
      <w:r>
        <w:rPr>
          <w:rStyle w:val="EndnoteReference"/>
        </w:rPr>
        <w:endnoteRef/>
      </w:r>
      <w:r>
        <w:t xml:space="preserve"> </w:t>
      </w:r>
      <w:r w:rsidRPr="00E914A2">
        <w:t xml:space="preserve">Victoria Tauli-Corpuz, </w:t>
      </w:r>
      <w:r w:rsidRPr="00E914A2">
        <w:rPr>
          <w:i/>
        </w:rPr>
        <w:t xml:space="preserve">Report of the Special Rapporteur on the rights of indigenous peoples on her visit to Australia, </w:t>
      </w:r>
      <w:r w:rsidRPr="00E914A2">
        <w:t>UN Doc A/HRC/3</w:t>
      </w:r>
      <w:r>
        <w:t>6/46/Add.2 (8 August 2017) 6 [30</w:t>
      </w:r>
      <w:r w:rsidRPr="00E914A2">
        <w:t xml:space="preserve">]. At </w:t>
      </w:r>
      <w:hyperlink r:id="rId79" w:history="1">
        <w:r w:rsidRPr="00E914A2">
          <w:rPr>
            <w:rStyle w:val="Hyperlink"/>
          </w:rPr>
          <w:t>http://ap.ohchr.org/documents/dpage_e.aspx?si=A/HRC/36/46/Add.2</w:t>
        </w:r>
      </w:hyperlink>
      <w:r w:rsidRPr="00E914A2">
        <w:t xml:space="preserve"> (viewed 10 October 2017).</w:t>
      </w:r>
    </w:p>
  </w:endnote>
  <w:endnote w:id="86">
    <w:p w14:paraId="158DB8E4" w14:textId="55FF751C" w:rsidR="00910DFF" w:rsidRPr="00F34B8C" w:rsidRDefault="00910DFF" w:rsidP="00093FDF">
      <w:pPr>
        <w:pStyle w:val="EndnoteText"/>
        <w:rPr>
          <w:rFonts w:cs="Arial"/>
        </w:rPr>
      </w:pPr>
      <w:r w:rsidRPr="00F34B8C">
        <w:rPr>
          <w:rStyle w:val="EndnoteReference"/>
          <w:rFonts w:cs="Arial"/>
        </w:rPr>
        <w:endnoteRef/>
      </w:r>
      <w:r w:rsidRPr="00F34B8C">
        <w:rPr>
          <w:rFonts w:cs="Arial"/>
        </w:rPr>
        <w:t xml:space="preserve"> </w:t>
      </w:r>
      <w:r w:rsidRPr="003C57E3">
        <w:t xml:space="preserve">This is consistent with the interpretative mandate of the Committee outlined in the </w:t>
      </w:r>
      <w:r w:rsidRPr="002E1BB8">
        <w:rPr>
          <w:i/>
        </w:rPr>
        <w:t>Vienna Convention on the Law of Treaties</w:t>
      </w:r>
      <w:r w:rsidRPr="003C57E3">
        <w:t xml:space="preserve"> and the Committee’s recommendation </w:t>
      </w:r>
      <w:r>
        <w:t xml:space="preserve">to the United States of America. See </w:t>
      </w:r>
      <w:r w:rsidRPr="00F34B8C">
        <w:rPr>
          <w:rFonts w:cs="Arial"/>
        </w:rPr>
        <w:t xml:space="preserve">Committee on the Elimination of Racial Discrimination, </w:t>
      </w:r>
      <w:r w:rsidRPr="00F34B8C">
        <w:rPr>
          <w:rFonts w:cs="Arial"/>
          <w:i/>
        </w:rPr>
        <w:t>Concluding Observations on United States of America,</w:t>
      </w:r>
      <w:r w:rsidRPr="00F34B8C">
        <w:rPr>
          <w:rFonts w:cs="Arial"/>
        </w:rPr>
        <w:t xml:space="preserve"> </w:t>
      </w:r>
      <w:r>
        <w:rPr>
          <w:rFonts w:cs="Arial"/>
        </w:rPr>
        <w:t>72</w:t>
      </w:r>
      <w:r w:rsidRPr="002E1BB8">
        <w:rPr>
          <w:rFonts w:cs="Arial"/>
          <w:vertAlign w:val="superscript"/>
        </w:rPr>
        <w:t>nd</w:t>
      </w:r>
      <w:r>
        <w:rPr>
          <w:rFonts w:cs="Arial"/>
        </w:rPr>
        <w:t xml:space="preserve"> sess, </w:t>
      </w:r>
      <w:r w:rsidRPr="00F34B8C">
        <w:rPr>
          <w:rFonts w:cs="Arial"/>
        </w:rPr>
        <w:t>UN Doc CERD/C/USA/CO/6 (</w:t>
      </w:r>
      <w:r>
        <w:rPr>
          <w:rFonts w:cs="Arial"/>
        </w:rPr>
        <w:t xml:space="preserve">8 May </w:t>
      </w:r>
      <w:r w:rsidRPr="00F34B8C">
        <w:rPr>
          <w:rFonts w:cs="Arial"/>
        </w:rPr>
        <w:t xml:space="preserve">2008) </w:t>
      </w:r>
      <w:r>
        <w:rPr>
          <w:rFonts w:cs="Arial"/>
        </w:rPr>
        <w:t>[</w:t>
      </w:r>
      <w:r w:rsidRPr="00F34B8C">
        <w:rPr>
          <w:rFonts w:cs="Arial"/>
        </w:rPr>
        <w:t>29</w:t>
      </w:r>
      <w:r>
        <w:rPr>
          <w:rFonts w:cs="Arial"/>
        </w:rPr>
        <w:t>]</w:t>
      </w:r>
      <w:r w:rsidRPr="00F34B8C">
        <w:rPr>
          <w:rFonts w:cs="Arial"/>
        </w:rPr>
        <w:t>.</w:t>
      </w:r>
    </w:p>
  </w:endnote>
  <w:endnote w:id="87">
    <w:p w14:paraId="21E12B44" w14:textId="3D289E9A" w:rsidR="00910DFF" w:rsidRPr="00892424" w:rsidRDefault="00910DFF" w:rsidP="00532B69">
      <w:pPr>
        <w:pStyle w:val="EndnoteText"/>
        <w:rPr>
          <w:rFonts w:cs="Arial"/>
        </w:rPr>
      </w:pPr>
      <w:r w:rsidRPr="00892424">
        <w:rPr>
          <w:rStyle w:val="EndnoteReference"/>
          <w:rFonts w:cs="Arial"/>
        </w:rPr>
        <w:endnoteRef/>
      </w:r>
      <w:r w:rsidRPr="00892424">
        <w:rPr>
          <w:rFonts w:cs="Arial"/>
        </w:rPr>
        <w:t xml:space="preserve"> </w:t>
      </w:r>
      <w:r w:rsidR="00EE5FB0" w:rsidRPr="00E914A2">
        <w:t xml:space="preserve">Victoria Tauli-Corpuz, </w:t>
      </w:r>
      <w:r w:rsidR="00EE5FB0" w:rsidRPr="00E914A2">
        <w:rPr>
          <w:i/>
        </w:rPr>
        <w:t xml:space="preserve">Report of the Special Rapporteur on the rights of indigenous peoples on her visit to Australia, </w:t>
      </w:r>
      <w:r w:rsidR="00EE5FB0" w:rsidRPr="00E914A2">
        <w:t>UN Doc A/H</w:t>
      </w:r>
      <w:r w:rsidR="00EE5FB0">
        <w:t>RC/36/46/Add.2 (8 August 2017) 18</w:t>
      </w:r>
      <w:r w:rsidR="00EE5FB0" w:rsidRPr="00E914A2">
        <w:t xml:space="preserve"> [</w:t>
      </w:r>
      <w:r w:rsidR="00EE5FB0">
        <w:t>107</w:t>
      </w:r>
      <w:r w:rsidR="00EE5FB0" w:rsidRPr="00E914A2">
        <w:t xml:space="preserve">]. At </w:t>
      </w:r>
      <w:hyperlink r:id="rId80" w:history="1">
        <w:r w:rsidR="00EE5FB0" w:rsidRPr="00E914A2">
          <w:rPr>
            <w:rStyle w:val="Hyperlink"/>
          </w:rPr>
          <w:t>http://ap.ohchr.org/documents/dpage_e.aspx?si=A/HRC/36/46/Add.2</w:t>
        </w:r>
      </w:hyperlink>
      <w:r w:rsidR="00EE5FB0" w:rsidRPr="00E914A2">
        <w:t xml:space="preserve"> (viewed 10 October 2017).</w:t>
      </w:r>
    </w:p>
  </w:endnote>
  <w:endnote w:id="88">
    <w:p w14:paraId="1973543A" w14:textId="77777777" w:rsidR="00910DFF" w:rsidRPr="00CC24E1" w:rsidRDefault="00910DFF" w:rsidP="006B4BBF">
      <w:pPr>
        <w:pStyle w:val="EndnoteText"/>
        <w:rPr>
          <w:rFonts w:cs="Arial"/>
        </w:rPr>
      </w:pPr>
      <w:r w:rsidRPr="00CC24E1">
        <w:rPr>
          <w:rStyle w:val="EndnoteReference"/>
          <w:rFonts w:cs="Arial"/>
        </w:rPr>
        <w:endnoteRef/>
      </w:r>
      <w:r w:rsidRPr="00CC24E1">
        <w:rPr>
          <w:rFonts w:cs="Arial"/>
        </w:rPr>
        <w:t xml:space="preserve"> First Nations National Constitutional Convention, ‘Uluru Statement From The Heart’ (Group statement, 26 May 2017). </w:t>
      </w:r>
      <w:r>
        <w:rPr>
          <w:rFonts w:cs="Arial"/>
        </w:rPr>
        <w:t>At</w:t>
      </w:r>
      <w:r w:rsidRPr="00CC24E1">
        <w:rPr>
          <w:rFonts w:cs="Arial"/>
        </w:rPr>
        <w:t xml:space="preserve"> </w:t>
      </w:r>
      <w:hyperlink r:id="rId81" w:history="1">
        <w:r w:rsidRPr="00CC24E1">
          <w:rPr>
            <w:rStyle w:val="Hyperlink"/>
          </w:rPr>
          <w:t>https://www.referendumcouncil.org.au/sites/default/files/2017-05/Uluru_Statement_From_The_Heart_0.PDF</w:t>
        </w:r>
      </w:hyperlink>
      <w:r w:rsidRPr="00CC24E1">
        <w:t xml:space="preserve"> (</w:t>
      </w:r>
      <w:r w:rsidRPr="00BF602B">
        <w:rPr>
          <w:rFonts w:cs="Arial"/>
        </w:rPr>
        <w:t xml:space="preserve">viewed </w:t>
      </w:r>
      <w:r>
        <w:rPr>
          <w:rFonts w:cs="Arial"/>
        </w:rPr>
        <w:t>11 September 2017</w:t>
      </w:r>
      <w:r w:rsidRPr="00CC24E1">
        <w:t>)</w:t>
      </w:r>
      <w:r>
        <w:t>.</w:t>
      </w:r>
    </w:p>
  </w:endnote>
  <w:endnote w:id="89">
    <w:p w14:paraId="634EAC32" w14:textId="6E7F8631" w:rsidR="00910DFF" w:rsidRDefault="00910DFF">
      <w:pPr>
        <w:pStyle w:val="EndnoteText"/>
      </w:pPr>
      <w:r>
        <w:rPr>
          <w:rStyle w:val="EndnoteReference"/>
        </w:rPr>
        <w:endnoteRef/>
      </w:r>
      <w:r>
        <w:t xml:space="preserve"> Prime Minister of Australia, The Hon Malcolm Turnbull MP, Attorney-General (Cth), Senator the Hon George Brandis QC and Minister for Indigenous Affairs (Cth), Senator the Hon Nigel Scullion, </w:t>
      </w:r>
    </w:p>
    <w:p w14:paraId="7FCC1F13" w14:textId="52783F78" w:rsidR="00910DFF" w:rsidRPr="004E3903" w:rsidRDefault="00910DFF">
      <w:pPr>
        <w:pStyle w:val="EndnoteText"/>
      </w:pPr>
      <w:r>
        <w:t>‘</w:t>
      </w:r>
      <w:r w:rsidRPr="00FF1D4A">
        <w:t>Response to Referendum Council’s report on Constitutional Recognition</w:t>
      </w:r>
      <w:r>
        <w:t xml:space="preserve">’, (Media Release, 26 October 2017). At </w:t>
      </w:r>
      <w:hyperlink r:id="rId82" w:history="1">
        <w:r w:rsidRPr="006228E8">
          <w:rPr>
            <w:rStyle w:val="Hyperlink"/>
          </w:rPr>
          <w:t>https://www.attorneygeneral.gov.au/Mediareleases/Pages/2017/FourthQuarter/Response-to-Referendum-Councils-report-on-Constitutional-Recognition-27-October-2017.aspx</w:t>
        </w:r>
      </w:hyperlink>
      <w:r>
        <w:t xml:space="preserve"> (viewed 27 October 2017). </w:t>
      </w:r>
    </w:p>
  </w:endnote>
  <w:endnote w:id="90">
    <w:p w14:paraId="21FBE335" w14:textId="7F14FC08" w:rsidR="00910DFF" w:rsidRPr="004E3903" w:rsidRDefault="00910DFF" w:rsidP="00CA2D65">
      <w:pPr>
        <w:pStyle w:val="EndnoteText"/>
      </w:pPr>
      <w:r>
        <w:rPr>
          <w:rStyle w:val="EndnoteReference"/>
        </w:rPr>
        <w:endnoteRef/>
      </w:r>
      <w:r>
        <w:t xml:space="preserve"> Prime Minister of Australia, The Hon Malcolm Turnbull MP, Attorney-General (Cth), Senator the Hon George Brandis QC and Minister for Indigenous Affairs (Cth), Senator the Hon Nigel Scullion, </w:t>
      </w:r>
      <w:r w:rsidRPr="004E3903">
        <w:rPr>
          <w:i/>
        </w:rPr>
        <w:t>Response to Referendum Council’s report on Constitutional Recognition</w:t>
      </w:r>
      <w:r>
        <w:t xml:space="preserve">, Media Release (online) (26 October 2017). At </w:t>
      </w:r>
      <w:hyperlink r:id="rId83" w:history="1">
        <w:r w:rsidRPr="006228E8">
          <w:rPr>
            <w:rStyle w:val="Hyperlink"/>
          </w:rPr>
          <w:t>https://www.attorneygeneral.gov.au/Mediareleases/Pages/2017/FourthQuarter/Response-to-Referendum-Councils-report-on-Constitutional-Recognition-27-October-2017.aspx</w:t>
        </w:r>
      </w:hyperlink>
      <w:r>
        <w:t xml:space="preserve"> (viewed 27 October 2017). </w:t>
      </w:r>
    </w:p>
  </w:endnote>
  <w:endnote w:id="91">
    <w:p w14:paraId="36AC38E5" w14:textId="299DE8D0" w:rsidR="00910DFF" w:rsidRDefault="00910DFF" w:rsidP="00CA2D65">
      <w:pPr>
        <w:pStyle w:val="EndnoteText"/>
      </w:pPr>
      <w:r>
        <w:rPr>
          <w:rStyle w:val="EndnoteReference"/>
        </w:rPr>
        <w:endnoteRef/>
      </w:r>
      <w:r>
        <w:t xml:space="preserve"> </w:t>
      </w:r>
      <w:r w:rsidRPr="00E50AA5">
        <w:t>Expert Panel on Constitutional Recognition of Indigenous Australians</w:t>
      </w:r>
      <w:r>
        <w:t xml:space="preserve">, </w:t>
      </w:r>
      <w:r w:rsidRPr="00E50AA5">
        <w:rPr>
          <w:i/>
        </w:rPr>
        <w:t>Recognising Aboriginal and</w:t>
      </w:r>
      <w:r>
        <w:rPr>
          <w:i/>
        </w:rPr>
        <w:t xml:space="preserve"> Torres Strait Islander Peoples </w:t>
      </w:r>
      <w:r w:rsidRPr="00E50AA5">
        <w:rPr>
          <w:i/>
        </w:rPr>
        <w:t>in the Constitution</w:t>
      </w:r>
      <w:r>
        <w:rPr>
          <w:i/>
        </w:rPr>
        <w:t xml:space="preserve"> — Report of the Expert Panel</w:t>
      </w:r>
      <w:r>
        <w:t xml:space="preserve"> (2012). At </w:t>
      </w:r>
      <w:hyperlink r:id="rId84" w:history="1">
        <w:r w:rsidRPr="00D1197F">
          <w:rPr>
            <w:rStyle w:val="Hyperlink"/>
          </w:rPr>
          <w:t>https://www.pmc.gov.au/sites/default/files/publications/Recognising-Aboriginal-and-Torres-Strait-Islander-Peoples-in-the-constitution-report-of-the-expert-panel_0.pdf</w:t>
        </w:r>
      </w:hyperlink>
      <w:r>
        <w:t xml:space="preserve"> (viewed 23 October 2017). </w:t>
      </w:r>
    </w:p>
  </w:endnote>
  <w:endnote w:id="92">
    <w:p w14:paraId="248F98A5" w14:textId="1712B91F" w:rsidR="00910DFF" w:rsidRDefault="00910DFF" w:rsidP="00CA2D65">
      <w:pPr>
        <w:pStyle w:val="EndnoteText"/>
      </w:pPr>
      <w:r>
        <w:rPr>
          <w:rStyle w:val="EndnoteReference"/>
        </w:rPr>
        <w:endnoteRef/>
      </w:r>
      <w:r>
        <w:t xml:space="preserve"> Joint Select Committee on Constitutional Recognition of Aboriginal and Torres Strait Islander Peoples, </w:t>
      </w:r>
      <w:r>
        <w:rPr>
          <w:i/>
        </w:rPr>
        <w:t xml:space="preserve">Final Report </w:t>
      </w:r>
      <w:r>
        <w:t xml:space="preserve">(2015). At </w:t>
      </w:r>
      <w:hyperlink r:id="rId85" w:history="1">
        <w:r w:rsidRPr="00D1197F">
          <w:rPr>
            <w:rStyle w:val="Hyperlink"/>
          </w:rPr>
          <w:t>https://www.aph.gov.au/Parliamentary_Business/Committees/Joint/Constitutional_Recognition_of_Aboriginal_and_Torres_Strait_Islander_Peoples/Constitutional_Recognition/Final_Report</w:t>
        </w:r>
      </w:hyperlink>
      <w:r>
        <w:t xml:space="preserve"> (viewed 23 October 2017).</w:t>
      </w:r>
    </w:p>
  </w:endnote>
  <w:endnote w:id="93">
    <w:p w14:paraId="47B289BE" w14:textId="52F87918" w:rsidR="00910DFF" w:rsidRDefault="00910DFF" w:rsidP="00CA2D65">
      <w:pPr>
        <w:pStyle w:val="EndnoteText"/>
      </w:pPr>
      <w:r>
        <w:rPr>
          <w:rStyle w:val="EndnoteReference"/>
        </w:rPr>
        <w:endnoteRef/>
      </w:r>
      <w:r>
        <w:t xml:space="preserve"> Referendum Council, </w:t>
      </w:r>
      <w:r>
        <w:rPr>
          <w:i/>
        </w:rPr>
        <w:t>Final Report of the Referendum Council</w:t>
      </w:r>
      <w:r>
        <w:t xml:space="preserve"> (30 June 2017). At </w:t>
      </w:r>
      <w:hyperlink r:id="rId86" w:history="1">
        <w:r w:rsidRPr="00D1197F">
          <w:rPr>
            <w:rStyle w:val="Hyperlink"/>
          </w:rPr>
          <w:t>https://www.referendumcouncil.org.au/sites/default/files/report_attachments/Referendum_Council_Final_Report.pdf</w:t>
        </w:r>
      </w:hyperlink>
      <w:r>
        <w:t xml:space="preserve"> (viewed 23 October 2017).</w:t>
      </w:r>
    </w:p>
  </w:endnote>
  <w:endnote w:id="94">
    <w:p w14:paraId="611B236E" w14:textId="3A2AE854" w:rsidR="00910DFF" w:rsidRPr="004E3903" w:rsidRDefault="00910DFF" w:rsidP="00CA2D65">
      <w:pPr>
        <w:pStyle w:val="EndnoteText"/>
      </w:pPr>
      <w:r>
        <w:rPr>
          <w:rStyle w:val="EndnoteReference"/>
        </w:rPr>
        <w:endnoteRef/>
      </w:r>
      <w:r>
        <w:t xml:space="preserve"> Prime Minister of Australia, The Hon Malcolm Turnbull MP, Attorney-General (Cth), Senator the Hon George Brandis QC and Minister for Indigenous Affairs (Cth), Senator he Hon Nigel Scullion, </w:t>
      </w:r>
      <w:r w:rsidRPr="004E3903">
        <w:rPr>
          <w:i/>
        </w:rPr>
        <w:t>Response to Referendum Council’s report on Constitutional Recognition</w:t>
      </w:r>
      <w:r>
        <w:t xml:space="preserve">, Media Release (online) (26 October 2017). At </w:t>
      </w:r>
      <w:hyperlink r:id="rId87" w:history="1">
        <w:r w:rsidRPr="006228E8">
          <w:rPr>
            <w:rStyle w:val="Hyperlink"/>
          </w:rPr>
          <w:t>https://www.attorneygeneral.gov.au/Mediareleases/Pages/2017/FourthQuarter/Response-to-Referendum-Councils-report-on-Constitutional-Recognition-27-October-2017.aspx</w:t>
        </w:r>
      </w:hyperlink>
      <w:r>
        <w:t xml:space="preserve"> (viewed 27 October 2017). </w:t>
      </w:r>
    </w:p>
  </w:endnote>
  <w:endnote w:id="95">
    <w:p w14:paraId="23BC473E" w14:textId="3293EABE" w:rsidR="00910DFF" w:rsidRPr="00892424" w:rsidRDefault="00910DFF" w:rsidP="006F1D64">
      <w:pPr>
        <w:pStyle w:val="EndnoteText"/>
        <w:rPr>
          <w:rFonts w:cs="Arial"/>
        </w:rPr>
      </w:pPr>
      <w:r w:rsidRPr="00CC24E1">
        <w:rPr>
          <w:rStyle w:val="EndnoteReference"/>
          <w:rFonts w:cs="Arial"/>
        </w:rPr>
        <w:endnoteRef/>
      </w:r>
      <w:r w:rsidRPr="00CC24E1">
        <w:rPr>
          <w:rFonts w:cs="Arial"/>
        </w:rPr>
        <w:t xml:space="preserve"> </w:t>
      </w:r>
      <w:r w:rsidRPr="002D2AC4">
        <w:t>Victoria Tauli-Corpuz</w:t>
      </w:r>
      <w:r>
        <w:t>,</w:t>
      </w:r>
      <w:r w:rsidRPr="002D2AC4">
        <w:t xml:space="preserve"> </w:t>
      </w:r>
      <w:r>
        <w:rPr>
          <w:i/>
        </w:rPr>
        <w:t xml:space="preserve">End of Mission Statement by the United Nations Special Rapporteur on the rights of indigenous peoples, Victoria Tauli-Corpuz on her visit to Australia </w:t>
      </w:r>
      <w:r>
        <w:t xml:space="preserve">(2017). At </w:t>
      </w:r>
      <w:hyperlink r:id="rId88" w:history="1">
        <w:r w:rsidRPr="006D18FC">
          <w:rPr>
            <w:rStyle w:val="Hyperlink"/>
          </w:rPr>
          <w:t>http://www.ohchr.org/EN/NewsEvents/Pages/DisplayNews.aspx?NewsID=21473&amp;LangID=E</w:t>
        </w:r>
      </w:hyperlink>
      <w:r>
        <w:t xml:space="preserve"> (viewed 11 September 2017)</w:t>
      </w:r>
      <w:r w:rsidRPr="00892424">
        <w:rPr>
          <w:rFonts w:cs="Arial"/>
        </w:rPr>
        <w:t>.</w:t>
      </w:r>
    </w:p>
  </w:endnote>
  <w:endnote w:id="96">
    <w:p w14:paraId="30C4EB74" w14:textId="0C241883" w:rsidR="00910DFF" w:rsidRPr="007A514F" w:rsidRDefault="00910DFF">
      <w:pPr>
        <w:pStyle w:val="EndnoteText"/>
      </w:pPr>
      <w:r>
        <w:rPr>
          <w:rStyle w:val="EndnoteReference"/>
        </w:rPr>
        <w:endnoteRef/>
      </w:r>
      <w:r>
        <w:t xml:space="preserve"> Victorian Government, </w:t>
      </w:r>
      <w:r>
        <w:rPr>
          <w:i/>
        </w:rPr>
        <w:t>Treaty</w:t>
      </w:r>
      <w:r>
        <w:t xml:space="preserve"> (27 October 2017) Aboriginal Victoria. At </w:t>
      </w:r>
      <w:hyperlink r:id="rId89" w:history="1">
        <w:r w:rsidRPr="006228E8">
          <w:rPr>
            <w:rStyle w:val="Hyperlink"/>
          </w:rPr>
          <w:t>https://www.vic.gov.au/aboriginalvictoria/treaty.html</w:t>
        </w:r>
      </w:hyperlink>
      <w:r>
        <w:t xml:space="preserve"> (viewed 27 October 2017); Government of South Australia, </w:t>
      </w:r>
      <w:r>
        <w:rPr>
          <w:i/>
        </w:rPr>
        <w:t>Treaty discussions</w:t>
      </w:r>
      <w:r>
        <w:t xml:space="preserve"> (27 October 2017) Department of State Development. At </w:t>
      </w:r>
      <w:hyperlink r:id="rId90" w:history="1">
        <w:r w:rsidRPr="006228E8">
          <w:rPr>
            <w:rStyle w:val="Hyperlink"/>
          </w:rPr>
          <w:t>https://statedevelopment.sa.gov.au/aboriginal-affairs/aboriginal-affairs-and-reconciliation/initiatives/treaty-discussions</w:t>
        </w:r>
      </w:hyperlink>
      <w:r>
        <w:t xml:space="preserve"> (viewed 27 October 2017). </w:t>
      </w:r>
    </w:p>
  </w:endnote>
  <w:endnote w:id="97">
    <w:p w14:paraId="4376DE76" w14:textId="59C2F383" w:rsidR="00910DFF" w:rsidRPr="005F60EE" w:rsidRDefault="00910DFF" w:rsidP="006B4BBF">
      <w:pPr>
        <w:pStyle w:val="EndnoteText"/>
      </w:pPr>
      <w:r>
        <w:rPr>
          <w:rStyle w:val="EndnoteReference"/>
        </w:rPr>
        <w:endnoteRef/>
      </w:r>
      <w:r>
        <w:t xml:space="preserve"> Mutuma Ruteere, </w:t>
      </w:r>
      <w:r>
        <w:rPr>
          <w:i/>
        </w:rPr>
        <w:t xml:space="preserve">Report of the </w:t>
      </w:r>
      <w:r w:rsidRPr="005F60EE">
        <w:rPr>
          <w:i/>
        </w:rPr>
        <w:t>Special Rapporteur on contemporary forms of racism, racial discrimination, xen</w:t>
      </w:r>
      <w:r>
        <w:rPr>
          <w:i/>
        </w:rPr>
        <w:t xml:space="preserve">ophobia and related intolerance on his mission to Australia, </w:t>
      </w:r>
      <w:r>
        <w:t>Human Rights Council, 35</w:t>
      </w:r>
      <w:r w:rsidRPr="005F60EE">
        <w:rPr>
          <w:vertAlign w:val="superscript"/>
        </w:rPr>
        <w:t>th</w:t>
      </w:r>
      <w:r>
        <w:t xml:space="preserve"> sess, UN Doc A/HRC/35/41/Add.2 (9 June 2017) 17 [71].</w:t>
      </w:r>
    </w:p>
  </w:endnote>
  <w:endnote w:id="98">
    <w:p w14:paraId="56459D41" w14:textId="640B51F0" w:rsidR="00910DFF" w:rsidRPr="00BF602B" w:rsidRDefault="00910DFF" w:rsidP="00532B69">
      <w:pPr>
        <w:pStyle w:val="EndnoteText"/>
        <w:rPr>
          <w:rFonts w:cs="Arial"/>
          <w:iCs/>
        </w:rPr>
      </w:pPr>
      <w:r w:rsidRPr="00892424">
        <w:rPr>
          <w:rStyle w:val="EndnoteReference"/>
          <w:rFonts w:cs="Arial"/>
        </w:rPr>
        <w:endnoteRef/>
      </w:r>
      <w:r w:rsidRPr="00892424">
        <w:rPr>
          <w:rFonts w:cs="Arial"/>
        </w:rPr>
        <w:t xml:space="preserve"> </w:t>
      </w:r>
      <w:r>
        <w:t>Despite being only 3% of the total Australian population</w:t>
      </w:r>
      <w:r>
        <w:rPr>
          <w:rFonts w:cs="Arial"/>
        </w:rPr>
        <w:t xml:space="preserve">, </w:t>
      </w:r>
      <w:r w:rsidRPr="00E74CE8">
        <w:rPr>
          <w:rFonts w:cs="Arial"/>
        </w:rPr>
        <w:t>Aboriginal and Torres Strait Islander adults account for over a quarter (27%) of the total Australian prison population</w:t>
      </w:r>
      <w:r>
        <w:rPr>
          <w:rFonts w:cs="Arial"/>
        </w:rPr>
        <w:t xml:space="preserve">. See </w:t>
      </w:r>
      <w:r w:rsidRPr="006865C2">
        <w:rPr>
          <w:rFonts w:cs="Arial"/>
        </w:rPr>
        <w:t>Australian Bureau of Statistics</w:t>
      </w:r>
      <w:r w:rsidRPr="005B4472">
        <w:rPr>
          <w:rFonts w:cs="Arial"/>
        </w:rPr>
        <w:t xml:space="preserve"> (2016) Prisoners in Australia, Aboriginal and Torres Strait Islander Prisoner Characteristics, 4517.0</w:t>
      </w:r>
      <w:r>
        <w:rPr>
          <w:rFonts w:cs="Arial"/>
        </w:rPr>
        <w:t xml:space="preserve"> (8 December 2016). At </w:t>
      </w:r>
      <w:hyperlink r:id="rId91" w:history="1">
        <w:r w:rsidRPr="005B4472">
          <w:rPr>
            <w:rStyle w:val="Hyperlink"/>
            <w:rFonts w:cs="Arial"/>
          </w:rPr>
          <w:t>http://www.abs.gov.au/ausstats/abs@.nsf/Lookup/by%20Subject/4517.0~2016~Main%20Features~Aboriginal%20and%20Torres%20Strait%20Islander%20prisoner%20characteristics~5</w:t>
        </w:r>
      </w:hyperlink>
      <w:r w:rsidRPr="00E74CE8">
        <w:rPr>
          <w:rFonts w:cs="Arial"/>
        </w:rPr>
        <w:t xml:space="preserve"> </w:t>
      </w:r>
      <w:r>
        <w:rPr>
          <w:rFonts w:cs="Arial"/>
        </w:rPr>
        <w:t>(</w:t>
      </w:r>
      <w:r w:rsidRPr="00BF602B">
        <w:rPr>
          <w:rFonts w:cs="Arial"/>
        </w:rPr>
        <w:t xml:space="preserve">viewed </w:t>
      </w:r>
      <w:r>
        <w:rPr>
          <w:rFonts w:cs="Arial"/>
        </w:rPr>
        <w:t xml:space="preserve">11 September 2017). </w:t>
      </w:r>
      <w:r w:rsidRPr="00892424">
        <w:rPr>
          <w:rFonts w:cs="Arial"/>
        </w:rPr>
        <w:t xml:space="preserve">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 Steering Committee for the Review of Government Service Provision, </w:t>
      </w:r>
      <w:r w:rsidRPr="00892424">
        <w:rPr>
          <w:rFonts w:cs="Arial"/>
          <w:i/>
        </w:rPr>
        <w:t xml:space="preserve">Overcoming Indigenous Disadvantage Key Indicators 2014 </w:t>
      </w:r>
      <w:r>
        <w:rPr>
          <w:rFonts w:cs="Arial"/>
        </w:rPr>
        <w:t>(2014), 4</w:t>
      </w:r>
      <w:r w:rsidRPr="00892424">
        <w:rPr>
          <w:rFonts w:cs="Arial"/>
        </w:rPr>
        <w:t xml:space="preserve">. At </w:t>
      </w:r>
      <w:hyperlink r:id="rId92" w:anchor="report" w:history="1">
        <w:r w:rsidRPr="00892424">
          <w:rPr>
            <w:rStyle w:val="Hyperlink"/>
            <w:rFonts w:cs="Arial"/>
          </w:rPr>
          <w:t>http://www.pc.gov.au/research/recurring/overcoming-indigenous-disadvantage/key-indicators-2014#report</w:t>
        </w:r>
      </w:hyperlink>
      <w:r w:rsidRPr="00892424">
        <w:rPr>
          <w:rFonts w:cs="Arial"/>
        </w:rPr>
        <w:t xml:space="preserve"> (</w:t>
      </w:r>
      <w:r w:rsidRPr="00BF602B">
        <w:rPr>
          <w:rFonts w:cs="Arial"/>
        </w:rPr>
        <w:t xml:space="preserve">viewed </w:t>
      </w:r>
      <w:r>
        <w:rPr>
          <w:rFonts w:cs="Arial"/>
        </w:rPr>
        <w:t>11 September 2017</w:t>
      </w:r>
      <w:r w:rsidRPr="00892424">
        <w:rPr>
          <w:rFonts w:cs="Arial"/>
        </w:rPr>
        <w:t>). On an average day, Indigenous children aged 10–17 were 1</w:t>
      </w:r>
      <w:r>
        <w:rPr>
          <w:rFonts w:cs="Arial"/>
        </w:rPr>
        <w:t>7</w:t>
      </w:r>
      <w:r w:rsidRPr="00892424">
        <w:rPr>
          <w:rFonts w:cs="Arial"/>
        </w:rPr>
        <w:t xml:space="preserve"> times as likely to be under community-based supervision as non-Indigenous young people and 2</w:t>
      </w:r>
      <w:r>
        <w:rPr>
          <w:rFonts w:cs="Arial"/>
        </w:rPr>
        <w:t>5</w:t>
      </w:r>
      <w:r w:rsidRPr="00892424">
        <w:rPr>
          <w:rFonts w:cs="Arial"/>
        </w:rPr>
        <w:t xml:space="preserve"> times as likely to be in juvenile detention: Australian Institute of Health and Welfare, </w:t>
      </w:r>
      <w:r w:rsidRPr="00892424">
        <w:rPr>
          <w:rFonts w:cs="Arial"/>
          <w:i/>
        </w:rPr>
        <w:t xml:space="preserve">Youth Justice in </w:t>
      </w:r>
      <w:r w:rsidRPr="00BF602B">
        <w:rPr>
          <w:rFonts w:cs="Arial"/>
          <w:i/>
        </w:rPr>
        <w:t>Australia 201</w:t>
      </w:r>
      <w:r>
        <w:rPr>
          <w:rFonts w:cs="Arial"/>
          <w:i/>
        </w:rPr>
        <w:t>5</w:t>
      </w:r>
      <w:r w:rsidRPr="00BF602B">
        <w:rPr>
          <w:rFonts w:cs="Arial"/>
          <w:i/>
        </w:rPr>
        <w:t>–1</w:t>
      </w:r>
      <w:r>
        <w:rPr>
          <w:rFonts w:cs="Arial"/>
          <w:i/>
        </w:rPr>
        <w:t>6</w:t>
      </w:r>
      <w:r>
        <w:rPr>
          <w:rFonts w:cs="Arial"/>
        </w:rPr>
        <w:t xml:space="preserve"> (March 2017), 2</w:t>
      </w:r>
      <w:r w:rsidRPr="00BF602B">
        <w:rPr>
          <w:rFonts w:cs="Arial"/>
        </w:rPr>
        <w:t>. At</w:t>
      </w:r>
      <w:r>
        <w:rPr>
          <w:rFonts w:cs="Arial"/>
        </w:rPr>
        <w:t xml:space="preserve"> </w:t>
      </w:r>
      <w:hyperlink r:id="rId93" w:history="1">
        <w:r w:rsidRPr="00940AAC">
          <w:rPr>
            <w:rStyle w:val="Hyperlink"/>
            <w:rFonts w:cs="Arial"/>
          </w:rPr>
          <w:t>https://www.aihw.gov.au/getmedia/b85be60c-9fef-436d-85df-82d8e5c5f566/20705.pdf.aspx?inline=true</w:t>
        </w:r>
      </w:hyperlink>
      <w:r>
        <w:rPr>
          <w:rFonts w:cs="Arial"/>
        </w:rPr>
        <w:t xml:space="preserve"> (viewed 11 September 2017). </w:t>
      </w:r>
    </w:p>
  </w:endnote>
  <w:endnote w:id="99">
    <w:p w14:paraId="47AEA061" w14:textId="1BF20C38" w:rsidR="00910DFF" w:rsidRPr="00892424" w:rsidRDefault="00910DFF" w:rsidP="00532B69">
      <w:pPr>
        <w:pStyle w:val="EndnoteText"/>
        <w:rPr>
          <w:rFonts w:cs="Arial"/>
        </w:rPr>
      </w:pPr>
      <w:r w:rsidRPr="00BF602B">
        <w:rPr>
          <w:rStyle w:val="EndnoteReference"/>
          <w:rFonts w:cs="Arial"/>
        </w:rPr>
        <w:endnoteRef/>
      </w:r>
      <w:r w:rsidRPr="00BF602B">
        <w:rPr>
          <w:rFonts w:cs="Arial"/>
        </w:rPr>
        <w:t xml:space="preserve"> Australian Bureau of Statistics, </w:t>
      </w:r>
      <w:r w:rsidRPr="00BF602B">
        <w:rPr>
          <w:rFonts w:cs="Arial"/>
          <w:i/>
        </w:rPr>
        <w:t>Profiles of Disability, Australia, 2009</w:t>
      </w:r>
      <w:r w:rsidRPr="00BF602B">
        <w:rPr>
          <w:rFonts w:cs="Arial"/>
        </w:rPr>
        <w:t>,</w:t>
      </w:r>
      <w:r w:rsidRPr="00BF602B">
        <w:rPr>
          <w:rFonts w:cs="Arial"/>
          <w:i/>
        </w:rPr>
        <w:t xml:space="preserve"> </w:t>
      </w:r>
      <w:r w:rsidRPr="00BF602B">
        <w:rPr>
          <w:rFonts w:cs="Arial"/>
        </w:rPr>
        <w:t>Comparison</w:t>
      </w:r>
      <w:r w:rsidRPr="008E47B0">
        <w:rPr>
          <w:rFonts w:cs="Arial"/>
        </w:rPr>
        <w:t xml:space="preserve"> of Disability Prevalence between Aboriginal and Torres Strait Islander Peoples and Non-Indigenous Peoples (2013). At </w:t>
      </w:r>
      <w:r w:rsidRPr="008E47B0" w:rsidDel="00356DCD">
        <w:rPr>
          <w:rFonts w:cs="Arial"/>
        </w:rPr>
        <w:t xml:space="preserve"> </w:t>
      </w:r>
      <w:hyperlink r:id="rId94" w:history="1">
        <w:r w:rsidRPr="00BF602B">
          <w:rPr>
            <w:rStyle w:val="Hyperlink"/>
            <w:rFonts w:cs="Arial"/>
          </w:rPr>
          <w:t>http://www.abs.gov.au/ausstats/abs@.nsf/Lookup/by%20Subject/4429.0~2009~Main%20Features~Comparison%20of%20disability%20prevalence%20between%20Aboriginal%20and%20Torres%20Strait%20Islander%20peoples%20and%20non-Indigenous%20peoples~10029</w:t>
        </w:r>
      </w:hyperlink>
      <w:r w:rsidRPr="00AD06FB">
        <w:rPr>
          <w:rFonts w:cs="Arial"/>
        </w:rPr>
        <w:t xml:space="preserve"> </w:t>
      </w:r>
      <w:r>
        <w:rPr>
          <w:lang w:val="en-US"/>
        </w:rPr>
        <w:t>(</w:t>
      </w:r>
      <w:r w:rsidRPr="00BF602B">
        <w:rPr>
          <w:rFonts w:cs="Arial"/>
        </w:rPr>
        <w:t xml:space="preserve">viewed </w:t>
      </w:r>
      <w:r>
        <w:rPr>
          <w:rFonts w:cs="Arial"/>
        </w:rPr>
        <w:t>11 September 2017</w:t>
      </w:r>
      <w:r>
        <w:rPr>
          <w:lang w:val="en-US"/>
        </w:rPr>
        <w:t xml:space="preserve">). </w:t>
      </w:r>
      <w:r>
        <w:rPr>
          <w:rFonts w:cs="Arial"/>
          <w:iCs/>
        </w:rPr>
        <w:t>Australian Human Rights Commission</w:t>
      </w:r>
      <w:r>
        <w:rPr>
          <w:rFonts w:cs="Arial"/>
          <w:i/>
          <w:iCs/>
        </w:rPr>
        <w:t>, Equal Before the Law: Towards disability justice strategies</w:t>
      </w:r>
      <w:r>
        <w:rPr>
          <w:rFonts w:cs="Arial"/>
          <w:iCs/>
        </w:rPr>
        <w:t xml:space="preserve"> (2014) 12</w:t>
      </w:r>
      <w:r>
        <w:rPr>
          <w:rFonts w:eastAsia="Calibri" w:cs="Arial"/>
        </w:rPr>
        <w:t>–</w:t>
      </w:r>
      <w:r>
        <w:rPr>
          <w:rFonts w:cs="Arial"/>
          <w:iCs/>
        </w:rPr>
        <w:t xml:space="preserve">13. At </w:t>
      </w:r>
      <w:hyperlink r:id="rId95" w:history="1">
        <w:r>
          <w:rPr>
            <w:rStyle w:val="Hyperlink"/>
            <w:rFonts w:cs="Arial"/>
          </w:rPr>
          <w:t>https://www.humanrights.gov.au/our-work/disability-rights/publications/equal-law</w:t>
        </w:r>
      </w:hyperlink>
      <w:r>
        <w:rPr>
          <w:rFonts w:cs="Arial"/>
        </w:rPr>
        <w:t xml:space="preserve"> </w:t>
      </w:r>
      <w:r>
        <w:rPr>
          <w:rFonts w:cs="Arial"/>
          <w:iCs/>
        </w:rPr>
        <w:t>(</w:t>
      </w:r>
      <w:r w:rsidRPr="00BF602B">
        <w:rPr>
          <w:rFonts w:cs="Arial"/>
        </w:rPr>
        <w:t xml:space="preserve">viewed </w:t>
      </w:r>
      <w:r>
        <w:rPr>
          <w:rFonts w:cs="Arial"/>
        </w:rPr>
        <w:t>11 September 2017</w:t>
      </w:r>
      <w:r>
        <w:rPr>
          <w:rFonts w:cs="Arial"/>
          <w:iCs/>
        </w:rPr>
        <w:t xml:space="preserve">). </w:t>
      </w:r>
      <w:r w:rsidRPr="00FF1D4A">
        <w:t>Eileen Baldry, Ruth McCausland, Leanne Dowse</w:t>
      </w:r>
      <w:r>
        <w:t xml:space="preserve"> and</w:t>
      </w:r>
      <w:r w:rsidRPr="00FF1D4A">
        <w:t xml:space="preserve"> Elizabeth McEntyre</w:t>
      </w:r>
      <w:r>
        <w:t xml:space="preserve">, </w:t>
      </w:r>
      <w:r w:rsidRPr="003673AF">
        <w:rPr>
          <w:i/>
        </w:rPr>
        <w:t>A predictable and preventable path: IAMHDCD Report</w:t>
      </w:r>
      <w:r>
        <w:t xml:space="preserve"> (UNSW, October 2015). At </w:t>
      </w:r>
      <w:hyperlink r:id="rId96" w:history="1">
        <w:r w:rsidRPr="00F90B0F">
          <w:rPr>
            <w:rStyle w:val="Hyperlink"/>
          </w:rPr>
          <w:t>https://www.mhdcd.unsw.edu.au/a-predictable-and-preventable-path-iamhdcd-report.html</w:t>
        </w:r>
      </w:hyperlink>
      <w:r>
        <w:t xml:space="preserve"> (</w:t>
      </w:r>
      <w:r w:rsidRPr="00BF602B">
        <w:rPr>
          <w:rFonts w:cs="Arial"/>
        </w:rPr>
        <w:t xml:space="preserve">viewed </w:t>
      </w:r>
      <w:r>
        <w:rPr>
          <w:rFonts w:cs="Arial"/>
        </w:rPr>
        <w:t>11 September 2017</w:t>
      </w:r>
      <w:r>
        <w:t>).</w:t>
      </w:r>
    </w:p>
  </w:endnote>
  <w:endnote w:id="100">
    <w:p w14:paraId="114B73F2" w14:textId="6D54F21B" w:rsidR="00910DFF" w:rsidRPr="00892424" w:rsidRDefault="00910DFF" w:rsidP="00532B69">
      <w:pPr>
        <w:pStyle w:val="EndnoteText"/>
        <w:rPr>
          <w:rFonts w:cs="Arial"/>
        </w:rPr>
      </w:pPr>
      <w:r w:rsidRPr="00892424">
        <w:rPr>
          <w:rStyle w:val="EndnoteReference"/>
          <w:rFonts w:cs="Arial"/>
        </w:rPr>
        <w:endnoteRef/>
      </w:r>
      <w:r w:rsidRPr="00892424">
        <w:rPr>
          <w:rFonts w:cs="Arial"/>
        </w:rPr>
        <w:t xml:space="preserve"> </w:t>
      </w:r>
      <w:r>
        <w:t>Aboriginal and Torres Strait Islander youth aged between 10</w:t>
      </w:r>
      <w:r>
        <w:rPr>
          <w:rFonts w:eastAsia="Calibri" w:cs="Arial"/>
        </w:rPr>
        <w:t>–</w:t>
      </w:r>
      <w:r>
        <w:t>17 years make up more than half (55%) of all children in juvenile detention.</w:t>
      </w:r>
      <w:r w:rsidRPr="00892424">
        <w:rPr>
          <w:rFonts w:cs="Arial"/>
        </w:rPr>
        <w:t xml:space="preserve"> </w:t>
      </w:r>
      <w:r>
        <w:rPr>
          <w:rFonts w:cs="Arial"/>
        </w:rPr>
        <w:t xml:space="preserve">See </w:t>
      </w:r>
      <w:r w:rsidRPr="005B4472">
        <w:rPr>
          <w:rFonts w:cs="Arial"/>
        </w:rPr>
        <w:t xml:space="preserve">Australian Institute of Health and Welfare, </w:t>
      </w:r>
      <w:r w:rsidRPr="006E617B">
        <w:rPr>
          <w:rFonts w:cs="Arial"/>
          <w:i/>
        </w:rPr>
        <w:t>Youth detention population in Australia</w:t>
      </w:r>
      <w:r w:rsidRPr="005B4472">
        <w:rPr>
          <w:rFonts w:cs="Arial"/>
        </w:rPr>
        <w:t xml:space="preserve"> </w:t>
      </w:r>
      <w:r>
        <w:rPr>
          <w:rFonts w:cs="Arial"/>
        </w:rPr>
        <w:t>(</w:t>
      </w:r>
      <w:r w:rsidRPr="005B4472">
        <w:rPr>
          <w:rFonts w:cs="Arial"/>
        </w:rPr>
        <w:t>2016</w:t>
      </w:r>
      <w:r>
        <w:rPr>
          <w:rFonts w:cs="Arial"/>
        </w:rPr>
        <w:t>). At</w:t>
      </w:r>
      <w:r w:rsidRPr="005B4472">
        <w:rPr>
          <w:rFonts w:cs="Arial"/>
        </w:rPr>
        <w:t xml:space="preserve"> </w:t>
      </w:r>
      <w:hyperlink r:id="rId97" w:history="1">
        <w:r w:rsidRPr="005B4472">
          <w:rPr>
            <w:rStyle w:val="Hyperlink"/>
            <w:rFonts w:cs="Arial"/>
          </w:rPr>
          <w:t>http://www.aihw.gov.au/publication-detail/?id=60129557387&amp;tab=2</w:t>
        </w:r>
      </w:hyperlink>
      <w:r>
        <w:rPr>
          <w:rFonts w:cs="Arial"/>
        </w:rPr>
        <w:t xml:space="preserve"> (viewed 11 September 2017). </w:t>
      </w:r>
      <w:r w:rsidR="00EE5FB0" w:rsidRPr="00EE5FB0">
        <w:rPr>
          <w:rFonts w:cs="Arial"/>
        </w:rPr>
        <w:t>In 2017, the Special Rapporteur for the rights of indigenous peoples noted that in some detention facilities, such as in the Northern Territory and in the Cleveland Youth D</w:t>
      </w:r>
      <w:r w:rsidR="00EE5FB0">
        <w:rPr>
          <w:rFonts w:cs="Arial"/>
        </w:rPr>
        <w:t>etention Centre in Queensland, ‘</w:t>
      </w:r>
      <w:r w:rsidR="00EE5FB0" w:rsidRPr="00EE5FB0">
        <w:rPr>
          <w:rFonts w:cs="Arial"/>
        </w:rPr>
        <w:t>indigenous children constitute an astonishing 90 per cent of the de</w:t>
      </w:r>
      <w:r w:rsidR="00EE5FB0">
        <w:rPr>
          <w:rFonts w:cs="Arial"/>
        </w:rPr>
        <w:t>tainees’</w:t>
      </w:r>
      <w:r w:rsidRPr="00892424">
        <w:rPr>
          <w:rFonts w:cs="Arial"/>
        </w:rPr>
        <w:t xml:space="preserve">. </w:t>
      </w:r>
      <w:r w:rsidR="00EE5FB0" w:rsidRPr="00E914A2">
        <w:t xml:space="preserve">Victoria Tauli-Corpuz, United Nations Special Rapporteur on the rights of indigenous peoples, </w:t>
      </w:r>
      <w:r w:rsidR="00EE5FB0" w:rsidRPr="00E914A2">
        <w:rPr>
          <w:i/>
        </w:rPr>
        <w:t xml:space="preserve">Report of the Special Rapporteur on the rights of indigenous peoples on her visit to Australia, </w:t>
      </w:r>
      <w:r w:rsidR="00EE5FB0" w:rsidRPr="00E914A2">
        <w:t>UN Doc A/HRC/36/46/Add.2 (8 August 2017)</w:t>
      </w:r>
      <w:r w:rsidR="00EE5FB0">
        <w:t xml:space="preserve"> 12 [66]</w:t>
      </w:r>
      <w:r w:rsidR="00EE5FB0" w:rsidRPr="00E914A2">
        <w:t xml:space="preserve">. At </w:t>
      </w:r>
      <w:hyperlink r:id="rId98" w:history="1">
        <w:r w:rsidR="00EE5FB0" w:rsidRPr="00E914A2">
          <w:rPr>
            <w:rStyle w:val="Hyperlink"/>
          </w:rPr>
          <w:t>http://ap.ohchr.org/documents/dpage_e.aspx?si=A/HRC/36/46/Add.2</w:t>
        </w:r>
      </w:hyperlink>
      <w:r w:rsidR="00EE5FB0" w:rsidRPr="00E914A2">
        <w:t xml:space="preserve"> (viewed 10 October 2017).</w:t>
      </w:r>
    </w:p>
  </w:endnote>
  <w:endnote w:id="101">
    <w:p w14:paraId="20AF7B63" w14:textId="77777777" w:rsidR="00910DFF" w:rsidRPr="00DF70F6" w:rsidRDefault="00910DFF" w:rsidP="004D49C5">
      <w:pPr>
        <w:pStyle w:val="EndnoteText"/>
        <w:rPr>
          <w:rFonts w:cs="Arial"/>
        </w:rPr>
      </w:pPr>
      <w:r w:rsidRPr="005B4472">
        <w:rPr>
          <w:rStyle w:val="EndnoteReference"/>
          <w:rFonts w:cs="Arial"/>
        </w:rPr>
        <w:endnoteRef/>
      </w:r>
      <w:r w:rsidRPr="005B4472">
        <w:rPr>
          <w:rFonts w:cs="Arial"/>
        </w:rPr>
        <w:t xml:space="preserve"> Australian Bureau of Statistics, Prisoners in Australia, 2016 (data tables) in Human Rights Law Centre and Change the Record</w:t>
      </w:r>
      <w:r>
        <w:rPr>
          <w:rFonts w:cs="Arial"/>
        </w:rPr>
        <w:t xml:space="preserve"> </w:t>
      </w:r>
      <w:r w:rsidRPr="00DF70F6">
        <w:rPr>
          <w:rFonts w:cs="Arial"/>
        </w:rPr>
        <w:t xml:space="preserve">Coalition, </w:t>
      </w:r>
      <w:r w:rsidRPr="00DF70F6">
        <w:rPr>
          <w:rFonts w:cs="Arial"/>
          <w:i/>
        </w:rPr>
        <w:t>Over-represented and overlooked: the crisis of Aboriginal and Torres Strait Islander women’s growing over-imprisonment</w:t>
      </w:r>
      <w:r w:rsidRPr="00340568">
        <w:rPr>
          <w:rFonts w:cs="Arial"/>
          <w:i/>
        </w:rPr>
        <w:t xml:space="preserve"> </w:t>
      </w:r>
      <w:r w:rsidRPr="00452200">
        <w:rPr>
          <w:rFonts w:cs="Arial"/>
        </w:rPr>
        <w:t xml:space="preserve">(May 2017), </w:t>
      </w:r>
      <w:r w:rsidRPr="00E0568F">
        <w:rPr>
          <w:rFonts w:cs="Arial"/>
        </w:rPr>
        <w:t>10.</w:t>
      </w:r>
      <w:r w:rsidRPr="00271C71">
        <w:rPr>
          <w:rFonts w:cs="Arial"/>
        </w:rPr>
        <w:t xml:space="preserve"> At </w:t>
      </w:r>
      <w:hyperlink r:id="rId99" w:history="1">
        <w:r w:rsidRPr="00DF70F6">
          <w:rPr>
            <w:rStyle w:val="Hyperlink"/>
            <w:rFonts w:cs="Arial"/>
          </w:rPr>
          <w:t>https://static1.squarespace.com/static/580025f66b8f5b2dabbe4291/t/59378aa91e5b6cbaaa281d22/1496812234196/OverRepresented_online.pdf</w:t>
        </w:r>
      </w:hyperlink>
      <w:r w:rsidRPr="00DF70F6">
        <w:rPr>
          <w:rFonts w:cs="Arial"/>
        </w:rPr>
        <w:t xml:space="preserve"> (viewed 11 September 2017).</w:t>
      </w:r>
    </w:p>
  </w:endnote>
  <w:endnote w:id="102">
    <w:p w14:paraId="071D579D" w14:textId="77777777" w:rsidR="00910DFF" w:rsidRPr="005B4472" w:rsidRDefault="00910DFF" w:rsidP="004D49C5">
      <w:pPr>
        <w:pStyle w:val="EndnoteText"/>
        <w:rPr>
          <w:rFonts w:cs="Arial"/>
        </w:rPr>
      </w:pPr>
      <w:r w:rsidRPr="00DF70F6">
        <w:rPr>
          <w:rStyle w:val="EndnoteReference"/>
          <w:rFonts w:cs="Arial"/>
        </w:rPr>
        <w:endnoteRef/>
      </w:r>
      <w:r w:rsidRPr="00DF70F6">
        <w:rPr>
          <w:rFonts w:cs="Arial"/>
        </w:rPr>
        <w:t xml:space="preserve"> Human Rights Law Centre and Change the Record Coalition,</w:t>
      </w:r>
      <w:r>
        <w:rPr>
          <w:rFonts w:cs="Arial"/>
        </w:rPr>
        <w:t xml:space="preserve"> </w:t>
      </w:r>
      <w:r w:rsidRPr="005B4472">
        <w:rPr>
          <w:rFonts w:cs="Arial"/>
          <w:i/>
        </w:rPr>
        <w:t>Over-represented and overlooked: the crisis of Aboriginal and Torres Strait Islander women’s growing over-imprisonment</w:t>
      </w:r>
      <w:r>
        <w:rPr>
          <w:rFonts w:cs="Arial"/>
          <w:i/>
        </w:rPr>
        <w:t xml:space="preserve"> </w:t>
      </w:r>
      <w:r w:rsidRPr="00840969">
        <w:rPr>
          <w:rFonts w:cs="Arial"/>
        </w:rPr>
        <w:t>(May 2017)</w:t>
      </w:r>
      <w:r w:rsidRPr="005B4472">
        <w:rPr>
          <w:rFonts w:cs="Arial"/>
        </w:rPr>
        <w:t xml:space="preserve">, </w:t>
      </w:r>
      <w:r>
        <w:rPr>
          <w:rFonts w:cs="Arial"/>
        </w:rPr>
        <w:t>5</w:t>
      </w:r>
      <w:r w:rsidRPr="005B4472">
        <w:rPr>
          <w:rFonts w:cs="Arial"/>
        </w:rPr>
        <w:t>.</w:t>
      </w:r>
      <w:r>
        <w:rPr>
          <w:rFonts w:cs="Arial"/>
        </w:rPr>
        <w:t xml:space="preserve"> At </w:t>
      </w:r>
      <w:hyperlink r:id="rId100" w:history="1">
        <w:r w:rsidRPr="00940AAC">
          <w:rPr>
            <w:rStyle w:val="Hyperlink"/>
            <w:rFonts w:cs="Arial"/>
          </w:rPr>
          <w:t>https://static1.squarespace.com/static/580025f66b8f5b2dabbe4291/t/59378aa91e5b6cbaaa281d22/1496812234196/OverRepresented_online.pdf</w:t>
        </w:r>
      </w:hyperlink>
      <w:r>
        <w:rPr>
          <w:rFonts w:cs="Arial"/>
        </w:rPr>
        <w:t xml:space="preserve"> (viewed 11 September 2017).</w:t>
      </w:r>
    </w:p>
  </w:endnote>
  <w:endnote w:id="103">
    <w:p w14:paraId="57F5DE6D" w14:textId="77777777" w:rsidR="00910DFF" w:rsidRPr="002A4BDE" w:rsidRDefault="00910DFF" w:rsidP="006765B0">
      <w:pPr>
        <w:pStyle w:val="EndnoteText"/>
        <w:rPr>
          <w:rFonts w:cs="Arial"/>
        </w:rPr>
      </w:pPr>
      <w:r w:rsidRPr="00CD5655">
        <w:rPr>
          <w:rStyle w:val="EndnoteReference"/>
          <w:rFonts w:cs="Arial"/>
        </w:rPr>
        <w:endnoteRef/>
      </w:r>
      <w:r w:rsidRPr="00CD5655">
        <w:rPr>
          <w:rFonts w:cs="Arial"/>
        </w:rPr>
        <w:t xml:space="preserve"> Australian Bureau of Statistics</w:t>
      </w:r>
      <w:r w:rsidRPr="002A4BDE">
        <w:rPr>
          <w:rFonts w:cs="Arial"/>
        </w:rPr>
        <w:t xml:space="preserve">, Prisoners in Australia (2015) ABS Cat No 4517.0. At </w:t>
      </w:r>
      <w:hyperlink r:id="rId101" w:history="1">
        <w:r w:rsidRPr="002A4BDE">
          <w:rPr>
            <w:rStyle w:val="Hyperlink"/>
            <w:rFonts w:cs="Arial"/>
          </w:rPr>
          <w:t>http://www.abs.gov.au/ausstats/abs@.nsf/Lookup/by%20Subject/4517.0~2015~Main%20Features~Prisoner%20characteristics,%20Australia~28</w:t>
        </w:r>
      </w:hyperlink>
      <w:r w:rsidRPr="002A4BDE">
        <w:rPr>
          <w:rFonts w:cs="Arial"/>
        </w:rPr>
        <w:t xml:space="preserve"> (14 December 2016)</w:t>
      </w:r>
    </w:p>
  </w:endnote>
  <w:endnote w:id="104">
    <w:p w14:paraId="257525F8" w14:textId="77777777" w:rsidR="00910DFF" w:rsidRDefault="00910DFF" w:rsidP="00421797">
      <w:pPr>
        <w:pStyle w:val="EndnoteText"/>
      </w:pPr>
      <w:r>
        <w:rPr>
          <w:rStyle w:val="EndnoteReference"/>
        </w:rPr>
        <w:endnoteRef/>
      </w:r>
      <w:r>
        <w:t xml:space="preserve"> </w:t>
      </w:r>
      <w:r w:rsidRPr="00892424">
        <w:rPr>
          <w:rFonts w:cs="Arial"/>
        </w:rPr>
        <w:t xml:space="preserve">Australian Human Rights Commission, </w:t>
      </w:r>
      <w:r w:rsidRPr="00892424">
        <w:rPr>
          <w:rFonts w:cs="Arial"/>
          <w:i/>
        </w:rPr>
        <w:t>Social Justice and Native Title Report 201</w:t>
      </w:r>
      <w:r>
        <w:rPr>
          <w:rFonts w:cs="Arial"/>
          <w:i/>
        </w:rPr>
        <w:t>6</w:t>
      </w:r>
      <w:r>
        <w:rPr>
          <w:rFonts w:cs="Arial"/>
        </w:rPr>
        <w:t xml:space="preserve"> (2016), 42</w:t>
      </w:r>
      <w:r>
        <w:rPr>
          <w:rFonts w:eastAsia="Calibri" w:cs="Arial"/>
        </w:rPr>
        <w:t>–</w:t>
      </w:r>
      <w:r>
        <w:rPr>
          <w:rFonts w:cs="Arial"/>
        </w:rPr>
        <w:t>45.</w:t>
      </w:r>
      <w:r w:rsidRPr="00892424">
        <w:rPr>
          <w:rFonts w:cs="Arial"/>
        </w:rPr>
        <w:t xml:space="preserve"> At </w:t>
      </w:r>
      <w:hyperlink r:id="rId102" w:history="1">
        <w:r w:rsidRPr="00802685">
          <w:rPr>
            <w:rStyle w:val="Hyperlink"/>
          </w:rPr>
          <w:t>http://www.humanrights.gov.au/sites/default/files/document/publication/AHRC_SJNTR_2016.pdf</w:t>
        </w:r>
      </w:hyperlink>
      <w:r>
        <w:t xml:space="preserve"> (</w:t>
      </w:r>
      <w:r w:rsidRPr="00BF602B">
        <w:rPr>
          <w:rFonts w:cs="Arial"/>
        </w:rPr>
        <w:t xml:space="preserve">viewed </w:t>
      </w:r>
      <w:r>
        <w:rPr>
          <w:rFonts w:cs="Arial"/>
        </w:rPr>
        <w:t>11 September 2017</w:t>
      </w:r>
      <w:r>
        <w:t xml:space="preserve">). </w:t>
      </w:r>
    </w:p>
  </w:endnote>
  <w:endnote w:id="105">
    <w:p w14:paraId="2F1B4B13" w14:textId="5C32DDDE" w:rsidR="00910DFF" w:rsidRPr="00892424" w:rsidRDefault="00910DFF" w:rsidP="00CF169B">
      <w:pPr>
        <w:pStyle w:val="EndnoteText"/>
        <w:rPr>
          <w:rFonts w:cs="Arial"/>
        </w:rPr>
      </w:pPr>
      <w:r w:rsidRPr="00892424">
        <w:rPr>
          <w:rStyle w:val="EndnoteReference"/>
          <w:rFonts w:cs="Arial"/>
        </w:rPr>
        <w:endnoteRef/>
      </w:r>
      <w:r w:rsidRPr="00892424">
        <w:rPr>
          <w:rFonts w:cs="Arial"/>
        </w:rPr>
        <w:t xml:space="preserve"> </w:t>
      </w:r>
      <w:r w:rsidR="00EE5FB0" w:rsidRPr="00E914A2">
        <w:t xml:space="preserve">Victoria Tauli-Corpuz, United Nations Special Rapporteur on the rights of indigenous peoples, </w:t>
      </w:r>
      <w:r w:rsidR="00EE5FB0" w:rsidRPr="00E914A2">
        <w:rPr>
          <w:i/>
        </w:rPr>
        <w:t xml:space="preserve">Report of the Special Rapporteur on the rights of indigenous peoples on her visit to Australia, </w:t>
      </w:r>
      <w:r w:rsidR="00EE5FB0" w:rsidRPr="00E914A2">
        <w:t>UN Doc A/HRC/36/46/Add.2 (8 August 2017)</w:t>
      </w:r>
      <w:r w:rsidR="00EE5FB0">
        <w:t xml:space="preserve"> 12 [68]</w:t>
      </w:r>
      <w:r w:rsidR="00EE5FB0" w:rsidRPr="00E914A2">
        <w:t xml:space="preserve">. At </w:t>
      </w:r>
      <w:hyperlink r:id="rId103" w:history="1">
        <w:r w:rsidR="00EE5FB0" w:rsidRPr="00E914A2">
          <w:rPr>
            <w:rStyle w:val="Hyperlink"/>
          </w:rPr>
          <w:t>http://ap.ohchr.org/documents/dpage_e.aspx?si=A/HRC/36/46/Add.2</w:t>
        </w:r>
      </w:hyperlink>
      <w:r w:rsidR="00EE5FB0" w:rsidRPr="00E914A2">
        <w:t xml:space="preserve"> (viewed 10 October 2017).</w:t>
      </w:r>
    </w:p>
  </w:endnote>
  <w:endnote w:id="106">
    <w:p w14:paraId="5EE47E82" w14:textId="11FB8B21" w:rsidR="00910DFF" w:rsidRPr="00606D74" w:rsidRDefault="00910DFF">
      <w:pPr>
        <w:pStyle w:val="EndnoteText"/>
        <w:rPr>
          <w:u w:val="single"/>
        </w:rPr>
      </w:pPr>
      <w:r>
        <w:rPr>
          <w:rStyle w:val="EndnoteReference"/>
        </w:rPr>
        <w:endnoteRef/>
      </w:r>
      <w:r>
        <w:t xml:space="preserve"> See Jennifer Galouzis and Simon Corben, ‘Judicial Outcomes of Remand Inmates in New South Wales’, </w:t>
      </w:r>
      <w:r>
        <w:rPr>
          <w:i/>
        </w:rPr>
        <w:t xml:space="preserve">Research Bulletin </w:t>
      </w:r>
      <w:r>
        <w:t xml:space="preserve">(Corrective Services NSW) (October 2016). At </w:t>
      </w:r>
      <w:hyperlink r:id="rId104" w:history="1">
        <w:r w:rsidRPr="00326FCC">
          <w:rPr>
            <w:rStyle w:val="Hyperlink"/>
          </w:rPr>
          <w:t>http://www.correctiveservices.justice.nsw.gov.au/Documents/research-and-statistics/RB034-judicial-outcomes-of-remand-inmates-in-nsw.pdf</w:t>
        </w:r>
      </w:hyperlink>
      <w:r>
        <w:t xml:space="preserve"> (viewed 30 October 2017). </w:t>
      </w:r>
    </w:p>
  </w:endnote>
  <w:endnote w:id="107">
    <w:p w14:paraId="451BF770" w14:textId="33BE6382" w:rsidR="00910DFF" w:rsidRPr="00892424" w:rsidRDefault="00910DFF" w:rsidP="00CF169B">
      <w:pPr>
        <w:pStyle w:val="EndnoteText"/>
        <w:rPr>
          <w:rFonts w:cs="Arial"/>
        </w:rPr>
      </w:pPr>
      <w:r w:rsidRPr="00892424">
        <w:rPr>
          <w:rStyle w:val="EndnoteReference"/>
          <w:rFonts w:cs="Arial"/>
        </w:rPr>
        <w:endnoteRef/>
      </w:r>
      <w:r w:rsidRPr="00892424">
        <w:rPr>
          <w:rFonts w:cs="Arial"/>
        </w:rPr>
        <w:t xml:space="preserve"> </w:t>
      </w:r>
      <w:r w:rsidR="00EE5FB0" w:rsidRPr="002D2AC4">
        <w:t>Victoria Tauli-Corpuz</w:t>
      </w:r>
      <w:r w:rsidR="00EE5FB0">
        <w:t>,</w:t>
      </w:r>
      <w:r w:rsidR="00EE5FB0" w:rsidRPr="002D2AC4">
        <w:t xml:space="preserve"> </w:t>
      </w:r>
      <w:r w:rsidR="00EE5FB0">
        <w:t xml:space="preserve">United Nations Special Rapporteur on the rights of indigenous peoples, </w:t>
      </w:r>
      <w:r w:rsidR="00EE5FB0">
        <w:rPr>
          <w:i/>
        </w:rPr>
        <w:t xml:space="preserve">End of Mission Statement by the United Nations Special Rapporteur on the rights of indigenous peoples, Victoria Tauli-Corpuz on her visit to Australia </w:t>
      </w:r>
      <w:r w:rsidR="00EE5FB0">
        <w:t xml:space="preserve">(2017). At </w:t>
      </w:r>
      <w:hyperlink r:id="rId105" w:history="1">
        <w:r w:rsidR="00EE5FB0" w:rsidRPr="006D18FC">
          <w:rPr>
            <w:rStyle w:val="Hyperlink"/>
          </w:rPr>
          <w:t>http://www.ohchr.org/EN/NewsEvents/Pages/DisplayNews.aspx?NewsID=21473&amp;LangID=E</w:t>
        </w:r>
      </w:hyperlink>
      <w:r w:rsidR="00EE5FB0">
        <w:t xml:space="preserve"> (viewed 11 September 2017).</w:t>
      </w:r>
    </w:p>
  </w:endnote>
  <w:endnote w:id="108">
    <w:p w14:paraId="5CF04DDD" w14:textId="77777777" w:rsidR="00910DFF" w:rsidRPr="00892424" w:rsidRDefault="00910DFF" w:rsidP="00CF169B">
      <w:pPr>
        <w:pStyle w:val="EndnoteText"/>
        <w:rPr>
          <w:rFonts w:cs="Arial"/>
        </w:rPr>
      </w:pPr>
      <w:r w:rsidRPr="00892424">
        <w:rPr>
          <w:rStyle w:val="EndnoteReference"/>
          <w:rFonts w:cs="Arial"/>
        </w:rPr>
        <w:endnoteRef/>
      </w:r>
      <w:r w:rsidRPr="00892424">
        <w:rPr>
          <w:rFonts w:cs="Arial"/>
        </w:rPr>
        <w:t xml:space="preserve"> In 2014, the Commission inquired into complaints by four Aboriginal men with intellectual and cognitive disabilities who had been incarcerated for a number of years despite being found unfit to stand trial or not guilty by reason of insanity. See </w:t>
      </w:r>
      <w:r w:rsidRPr="00892424">
        <w:rPr>
          <w:rFonts w:cs="Arial"/>
          <w:i/>
        </w:rPr>
        <w:t>KA, KB, KC and KD v Commonwealth of Australia</w:t>
      </w:r>
      <w:r w:rsidRPr="00892424">
        <w:rPr>
          <w:rFonts w:cs="Arial"/>
        </w:rPr>
        <w:t xml:space="preserve"> [2014] AusHRC 80. At </w:t>
      </w:r>
      <w:hyperlink r:id="rId106" w:history="1">
        <w:r w:rsidRPr="00892424">
          <w:rPr>
            <w:rStyle w:val="Hyperlink"/>
            <w:rFonts w:cs="Arial"/>
          </w:rPr>
          <w:t>https://www.humanrights.gov.au/our-work/legal/publications/ka-kb-kc-and-kd-v-commonwealth-australia</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 xml:space="preserve">The Aboriginal Disability Justice Campaign advocates for progress in relation to the indefinite incarceration of Aboriginal people with intellectual and cognitive disabilities. People with Disability Australia, </w:t>
      </w:r>
      <w:r w:rsidRPr="00892424">
        <w:rPr>
          <w:rFonts w:cs="Arial"/>
          <w:i/>
        </w:rPr>
        <w:t>Aboriginal Disability Justice Campaign</w:t>
      </w:r>
      <w:r w:rsidRPr="00892424">
        <w:rPr>
          <w:rFonts w:cs="Arial"/>
        </w:rPr>
        <w:t xml:space="preserve"> (2015). At </w:t>
      </w:r>
      <w:hyperlink r:id="rId107" w:history="1">
        <w:r w:rsidRPr="00940AAC">
          <w:rPr>
            <w:rStyle w:val="Hyperlink"/>
            <w:rFonts w:cs="Arial"/>
          </w:rPr>
          <w:t>http://www.pwd.org.au/about-us/about-pwda.html</w:t>
        </w:r>
      </w:hyperlink>
      <w:r>
        <w:rPr>
          <w:rFonts w:cs="Arial"/>
        </w:rPr>
        <w:t xml:space="preserve"> </w:t>
      </w:r>
      <w:r w:rsidRPr="00892424">
        <w:rPr>
          <w:rFonts w:cs="Arial"/>
        </w:rPr>
        <w:t xml:space="preserve">(viewed </w:t>
      </w:r>
      <w:r>
        <w:rPr>
          <w:rFonts w:cs="Arial"/>
        </w:rPr>
        <w:t>11 September 2017</w:t>
      </w:r>
      <w:r w:rsidRPr="00892424">
        <w:rPr>
          <w:rFonts w:cs="Arial"/>
        </w:rPr>
        <w:t>)</w:t>
      </w:r>
      <w:r>
        <w:rPr>
          <w:rFonts w:cs="Arial"/>
        </w:rPr>
        <w:t>.</w:t>
      </w:r>
    </w:p>
  </w:endnote>
  <w:endnote w:id="109">
    <w:p w14:paraId="26D733B9" w14:textId="77777777" w:rsidR="00910DFF" w:rsidRPr="00892424" w:rsidRDefault="00910DFF" w:rsidP="00CF169B">
      <w:pPr>
        <w:pStyle w:val="EndnoteText"/>
        <w:rPr>
          <w:rFonts w:cs="Arial"/>
        </w:rPr>
      </w:pPr>
      <w:r w:rsidRPr="00892424">
        <w:rPr>
          <w:rStyle w:val="EndnoteReference"/>
          <w:rFonts w:cs="Arial"/>
        </w:rPr>
        <w:endnoteRef/>
      </w:r>
      <w:r w:rsidRPr="00892424">
        <w:rPr>
          <w:rFonts w:cs="Arial"/>
        </w:rPr>
        <w:t xml:space="preserve"> </w:t>
      </w:r>
      <w:r>
        <w:rPr>
          <w:rFonts w:cs="Arial"/>
        </w:rPr>
        <w:t xml:space="preserve">Australian Law Reform Commission, </w:t>
      </w:r>
      <w:r w:rsidRPr="00C6719E">
        <w:rPr>
          <w:i/>
        </w:rPr>
        <w:t>Incarceration rates of Aboriginal and Torres Strait Islander peoples</w:t>
      </w:r>
      <w:r>
        <w:t xml:space="preserve">. At </w:t>
      </w:r>
      <w:hyperlink r:id="rId108" w:history="1">
        <w:r w:rsidRPr="00892424">
          <w:rPr>
            <w:rStyle w:val="Hyperlink"/>
            <w:rFonts w:cs="Arial"/>
          </w:rPr>
          <w:t>https://www.alrc.gov.au/inquiries/indigenous-incarceration</w:t>
        </w:r>
      </w:hyperlink>
      <w:r w:rsidRPr="00892424">
        <w:rPr>
          <w:rFonts w:cs="Arial"/>
        </w:rPr>
        <w:t xml:space="preserve"> </w:t>
      </w:r>
      <w:r>
        <w:rPr>
          <w:rFonts w:cs="Arial"/>
        </w:rPr>
        <w:t>(</w:t>
      </w:r>
      <w:r w:rsidRPr="00BF602B">
        <w:rPr>
          <w:rFonts w:cs="Arial"/>
        </w:rPr>
        <w:t xml:space="preserve">viewed </w:t>
      </w:r>
      <w:r>
        <w:rPr>
          <w:rFonts w:cs="Arial"/>
        </w:rPr>
        <w:t>11 September 2017).</w:t>
      </w:r>
    </w:p>
  </w:endnote>
  <w:endnote w:id="110">
    <w:p w14:paraId="28E80CDC" w14:textId="6A5C10E3" w:rsidR="00910DFF" w:rsidRPr="00892424" w:rsidRDefault="00910DFF" w:rsidP="00CF169B">
      <w:pPr>
        <w:pStyle w:val="EndnoteText"/>
        <w:rPr>
          <w:rFonts w:cs="Arial"/>
          <w:highlight w:val="yellow"/>
        </w:rPr>
      </w:pPr>
      <w:r w:rsidRPr="00892424">
        <w:rPr>
          <w:rStyle w:val="EndnoteReference"/>
          <w:rFonts w:cs="Arial"/>
        </w:rPr>
        <w:endnoteRef/>
      </w:r>
      <w:r w:rsidRPr="00892424">
        <w:rPr>
          <w:rFonts w:cs="Arial"/>
        </w:rPr>
        <w:t xml:space="preserve"> Justice targets refer to targets to address the overrepresentation of Aboriginal and Torres Strait Islander peoples as both offenders and victims in the criminal justice system. It has been recommended by the National Congress of Australia’s First Peoples that targets be set to halve the gap in rates of incarceration for Aboriginal and Torres Strait Islander people</w:t>
      </w:r>
      <w:r>
        <w:rPr>
          <w:rFonts w:cs="Arial"/>
        </w:rPr>
        <w:t>s</w:t>
      </w:r>
      <w:r w:rsidRPr="00892424">
        <w:rPr>
          <w:rFonts w:cs="Arial"/>
        </w:rPr>
        <w:t xml:space="preserve">. Proposed justice targets could be included in the existing Close the Gap framework. The </w:t>
      </w:r>
      <w:r>
        <w:rPr>
          <w:rFonts w:cs="Arial"/>
        </w:rPr>
        <w:t>Australian G</w:t>
      </w:r>
      <w:r w:rsidRPr="00892424">
        <w:rPr>
          <w:rFonts w:cs="Arial"/>
        </w:rPr>
        <w:t xml:space="preserve">overnment has stated that it rejects the adoption of justice-related targets. See Aboriginal and Torres Strait Islander Social Justice Commissioner, </w:t>
      </w:r>
      <w:r w:rsidRPr="00892424">
        <w:rPr>
          <w:rFonts w:cs="Arial"/>
          <w:i/>
        </w:rPr>
        <w:t>Social Justice and Native Title Report 2014</w:t>
      </w:r>
      <w:r w:rsidRPr="00892424">
        <w:rPr>
          <w:rFonts w:cs="Arial"/>
        </w:rPr>
        <w:t xml:space="preserve"> (2014), 117</w:t>
      </w:r>
      <w:r>
        <w:rPr>
          <w:rFonts w:eastAsia="Calibri" w:cs="Arial"/>
        </w:rPr>
        <w:t>–</w:t>
      </w:r>
      <w:r w:rsidRPr="00892424">
        <w:rPr>
          <w:rFonts w:cs="Arial"/>
        </w:rPr>
        <w:t xml:space="preserve">123. At </w:t>
      </w:r>
      <w:hyperlink r:id="rId109" w:history="1">
        <w:r w:rsidRPr="00892424">
          <w:rPr>
            <w:rStyle w:val="Hyperlink"/>
            <w:rFonts w:cs="Arial"/>
          </w:rPr>
          <w:t>https://www.humanrights.gov.au/publications/social-justice-and-native-title-report-2014</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11">
    <w:p w14:paraId="694226CA" w14:textId="70489FDA" w:rsidR="00910DFF" w:rsidRPr="008E47B0" w:rsidRDefault="00910DFF" w:rsidP="00CF169B">
      <w:pPr>
        <w:pStyle w:val="EndnoteText"/>
        <w:rPr>
          <w:rFonts w:cs="Arial"/>
        </w:rPr>
      </w:pPr>
      <w:r w:rsidRPr="00892424">
        <w:rPr>
          <w:rStyle w:val="EndnoteReference"/>
          <w:rFonts w:cs="Arial"/>
        </w:rPr>
        <w:endnoteRef/>
      </w:r>
      <w:r w:rsidRPr="00892424">
        <w:rPr>
          <w:rFonts w:cs="Arial"/>
        </w:rPr>
        <w:t xml:space="preserve"> Senate Legal and Constitutional Affairs Committee, </w:t>
      </w:r>
      <w:r w:rsidRPr="00892424">
        <w:rPr>
          <w:rFonts w:cs="Arial"/>
          <w:i/>
          <w:iCs/>
        </w:rPr>
        <w:t xml:space="preserve">Value of a justice reinvestment approach to criminal justice in Australia </w:t>
      </w:r>
      <w:r>
        <w:rPr>
          <w:rFonts w:cs="Arial"/>
        </w:rPr>
        <w:t xml:space="preserve">(2013), </w:t>
      </w:r>
      <w:r w:rsidRPr="00892424">
        <w:rPr>
          <w:rFonts w:cs="Arial"/>
        </w:rPr>
        <w:t xml:space="preserve">124. At </w:t>
      </w:r>
      <w:hyperlink r:id="rId110" w:history="1">
        <w:r w:rsidRPr="00892424">
          <w:rPr>
            <w:rStyle w:val="Hyperlink"/>
            <w:rFonts w:cs="Arial"/>
          </w:rPr>
          <w:t>http://www.aph.gov.au/Parliamentary_Business/Committees/Senate/Legal_and_Constitutional_Affairs/Completed_inquiries/2010-13/justicereinvestment/report/index</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 xml:space="preserve">The Aboriginal and Torres Strait Islander Social Justice Commissioner has advocated for justice reinvestment over the past five years. The 2014 Social Justice and Native Title Report recommends that, ‘the Australian Government take a leadership role on justice reinvestment and works with states, territories and Aboriginal and Torres Strait Islander communities to identify further trial sites.’ Australian Human Rights Commission, </w:t>
      </w:r>
      <w:r w:rsidRPr="00892424">
        <w:rPr>
          <w:rFonts w:cs="Arial"/>
          <w:i/>
        </w:rPr>
        <w:t>Social Justice and Native Title Report 2014</w:t>
      </w:r>
      <w:r>
        <w:rPr>
          <w:rFonts w:cs="Arial"/>
        </w:rPr>
        <w:t xml:space="preserve"> (2014), </w:t>
      </w:r>
      <w:r w:rsidRPr="00892424">
        <w:rPr>
          <w:rFonts w:cs="Arial"/>
        </w:rPr>
        <w:t xml:space="preserve">12. At </w:t>
      </w:r>
      <w:hyperlink r:id="rId111" w:history="1">
        <w:r w:rsidRPr="00892424">
          <w:rPr>
            <w:rStyle w:val="Hyperlink"/>
            <w:rFonts w:cs="Arial"/>
          </w:rPr>
          <w:t>https://www.humanrights.gov.au/our-work/aboriginal-and-torres-strait-islander-social-justice/publications/social-justice-and-nati-0</w:t>
        </w:r>
      </w:hyperlink>
      <w:r w:rsidRPr="00892424">
        <w:rPr>
          <w:rFonts w:cs="Arial"/>
        </w:rPr>
        <w:t xml:space="preserve"> (viewed </w:t>
      </w:r>
      <w:r>
        <w:rPr>
          <w:rFonts w:cs="Arial"/>
        </w:rPr>
        <w:t>11 September 2017</w:t>
      </w:r>
      <w:r w:rsidRPr="00892424">
        <w:rPr>
          <w:rFonts w:cs="Arial"/>
        </w:rPr>
        <w:t>).</w:t>
      </w:r>
    </w:p>
  </w:endnote>
  <w:endnote w:id="112">
    <w:p w14:paraId="687DB86D" w14:textId="0687D631" w:rsidR="00910DFF" w:rsidRPr="00B2395E" w:rsidRDefault="00910DFF">
      <w:pPr>
        <w:pStyle w:val="EndnoteText"/>
      </w:pPr>
      <w:r>
        <w:rPr>
          <w:rStyle w:val="EndnoteReference"/>
        </w:rPr>
        <w:endnoteRef/>
      </w:r>
      <w:r>
        <w:t xml:space="preserve"> Australian Government, </w:t>
      </w:r>
      <w:r>
        <w:rPr>
          <w:i/>
        </w:rPr>
        <w:t xml:space="preserve">Australian Government response to the Senate Legal and Constitutional Affairs References Committee report: Value of a justice reinvestment approach to criminal justice in Australia </w:t>
      </w:r>
      <w:r>
        <w:t xml:space="preserve">(October 2017) 3. At </w:t>
      </w:r>
      <w:hyperlink r:id="rId112" w:history="1">
        <w:r w:rsidRPr="00DA76AD">
          <w:rPr>
            <w:rStyle w:val="Hyperlink"/>
          </w:rPr>
          <w:t>http://parlinfo.aph.gov.au/parlInfo/search/display/display.w3p;query=Id%3A%22publications%2Ftabledpapers%2F2b5f4c0e-443f-496f-9c94-d162fc1d1dec%22</w:t>
        </w:r>
      </w:hyperlink>
      <w:r>
        <w:t xml:space="preserve"> (viewed 24 October 2017).  The Australian Government has indicated that it supports in-principle recommendations that the Commonwealth take a leading role in identifying the data required to implement a justice reinvestment approach and establish a national approach to the data collection of justice indicators (Recommendation 1); make a commitment to sharing relevant data held by Commonwealth line agencies with justice reinvestment initiatives in other jurisdictions (Recommendation 2); </w:t>
      </w:r>
      <w:r w:rsidRPr="00F377F1">
        <w:t>commit to the establishment of a trial of justice reinvestment in Australia in conjunction with the relevant states and territories, using a place-based approach, and that at least one remote Indigenous community be included as a site</w:t>
      </w:r>
      <w:r>
        <w:t xml:space="preserve">. </w:t>
      </w:r>
      <w:r w:rsidRPr="00F377F1">
        <w:t>Further, the committee recommends that any trial actively involve local communities in the process, is conducted on the basis of rigorous justice mapping over a minimum time frame beyond the electoral cycle and be subject to a robust evaluation process.</w:t>
      </w:r>
      <w:r>
        <w:t xml:space="preserve"> (Recommendation 6); and provide funding for the trial of justice reinvestment in Australia (Recommendation 7). See Australian Government, </w:t>
      </w:r>
      <w:r>
        <w:rPr>
          <w:i/>
        </w:rPr>
        <w:t xml:space="preserve">Australian Government response to the Senate Legal and Constitutional Affairs References Committee report: Value of a justice reinvestment approach to criminal justice in Australia </w:t>
      </w:r>
      <w:r>
        <w:t xml:space="preserve">(October 2017) 4, 7. At </w:t>
      </w:r>
      <w:hyperlink r:id="rId113" w:history="1">
        <w:r w:rsidRPr="00DA76AD">
          <w:rPr>
            <w:rStyle w:val="Hyperlink"/>
          </w:rPr>
          <w:t>http://parlinfo.aph.gov.au/parlInfo/search/display/display.w3p;query=Id%3A%22publications%2Ftabledpapers%2F2b5f4c0e-443f-496f-9c94-d162fc1d1dec%22</w:t>
        </w:r>
      </w:hyperlink>
      <w:r>
        <w:t xml:space="preserve"> (viewed 24 October 2017). </w:t>
      </w:r>
    </w:p>
  </w:endnote>
  <w:endnote w:id="113">
    <w:p w14:paraId="5B0605DF" w14:textId="0E09135C" w:rsidR="00910DFF" w:rsidRPr="00892424" w:rsidRDefault="00910DFF" w:rsidP="0036190D">
      <w:pPr>
        <w:pStyle w:val="EndnoteText"/>
        <w:rPr>
          <w:rFonts w:cs="Arial"/>
        </w:rPr>
      </w:pPr>
      <w:r w:rsidRPr="00892424">
        <w:rPr>
          <w:rStyle w:val="EndnoteReference"/>
          <w:rFonts w:cs="Arial"/>
        </w:rPr>
        <w:endnoteRef/>
      </w:r>
      <w:r w:rsidRPr="00892424">
        <w:rPr>
          <w:rFonts w:cs="Arial"/>
        </w:rPr>
        <w:t xml:space="preserve"> Prime Minister </w:t>
      </w:r>
      <w:r>
        <w:rPr>
          <w:rFonts w:cs="Arial"/>
        </w:rPr>
        <w:t xml:space="preserve">of Australia, </w:t>
      </w:r>
      <w:r w:rsidRPr="00892424">
        <w:rPr>
          <w:rFonts w:cs="Arial"/>
        </w:rPr>
        <w:t xml:space="preserve">The Hon Malcolm Turnbull MP and </w:t>
      </w:r>
      <w:r>
        <w:rPr>
          <w:rFonts w:cs="Arial"/>
        </w:rPr>
        <w:t>Attorney-General (Cth), Senator the Hon</w:t>
      </w:r>
      <w:r w:rsidRPr="00892424">
        <w:rPr>
          <w:rFonts w:cs="Arial"/>
        </w:rPr>
        <w:t xml:space="preserve"> George Brandis QC, ‘Royal Commission into the Child Protection and youth detention systems of the Northern Territory’, (Media release, 28 July 2016)</w:t>
      </w:r>
      <w:r>
        <w:rPr>
          <w:rFonts w:cs="Arial"/>
        </w:rPr>
        <w:t>. At</w:t>
      </w:r>
      <w:r w:rsidRPr="00892424">
        <w:rPr>
          <w:rFonts w:cs="Arial"/>
        </w:rPr>
        <w:t xml:space="preserve"> </w:t>
      </w:r>
      <w:hyperlink r:id="rId114" w:history="1">
        <w:r w:rsidRPr="00892424">
          <w:rPr>
            <w:rStyle w:val="Hyperlink"/>
            <w:rFonts w:cs="Arial"/>
          </w:rPr>
          <w:t>https://www.pm.gov.au/media/2016-07-28/royal-commission-child-protection-and-youth-detention-systems-northern-territory</w:t>
        </w:r>
      </w:hyperlink>
      <w:r>
        <w:rPr>
          <w:rFonts w:cs="Arial"/>
        </w:rPr>
        <w:t xml:space="preserve"> (</w:t>
      </w:r>
      <w:r w:rsidRPr="00BF602B">
        <w:rPr>
          <w:rFonts w:cs="Arial"/>
        </w:rPr>
        <w:t xml:space="preserve">viewed </w:t>
      </w:r>
      <w:r>
        <w:rPr>
          <w:rFonts w:cs="Arial"/>
        </w:rPr>
        <w:t>11 September 2017).</w:t>
      </w:r>
    </w:p>
  </w:endnote>
  <w:endnote w:id="114">
    <w:p w14:paraId="4E4F0DEA" w14:textId="6F39C7E4" w:rsidR="00910DFF" w:rsidRDefault="00910DFF" w:rsidP="0049336F">
      <w:pPr>
        <w:pStyle w:val="EndnoteText"/>
      </w:pPr>
      <w:r>
        <w:rPr>
          <w:rStyle w:val="EndnoteReference"/>
        </w:rPr>
        <w:endnoteRef/>
      </w:r>
      <w:r>
        <w:t xml:space="preserve"> Commonwealth and Northern Territory, Royal Commission into the Protection and Detention of Children in the Northern Territory, </w:t>
      </w:r>
      <w:r w:rsidRPr="00FA2D44">
        <w:rPr>
          <w:i/>
        </w:rPr>
        <w:t>Interim Report</w:t>
      </w:r>
      <w:r>
        <w:rPr>
          <w:i/>
        </w:rPr>
        <w:t xml:space="preserve"> </w:t>
      </w:r>
      <w:r>
        <w:t xml:space="preserve">(2017) 9. At </w:t>
      </w:r>
      <w:hyperlink r:id="rId115" w:history="1">
        <w:r w:rsidRPr="00437556">
          <w:rPr>
            <w:rStyle w:val="Hyperlink"/>
          </w:rPr>
          <w:t>https://childdetentionnt.royalcommission.gov.au/about-us/Documents/RCNT-Interim-report.pdf</w:t>
        </w:r>
      </w:hyperlink>
      <w:r>
        <w:t xml:space="preserve"> (viewed 9 October 2017).</w:t>
      </w:r>
    </w:p>
  </w:endnote>
  <w:endnote w:id="115">
    <w:p w14:paraId="6F41CFF5" w14:textId="0A08DFAE" w:rsidR="00910DFF" w:rsidRDefault="00910DFF" w:rsidP="00F66C2C">
      <w:pPr>
        <w:pStyle w:val="EndnoteText"/>
      </w:pPr>
      <w:r>
        <w:rPr>
          <w:rStyle w:val="EndnoteReference"/>
        </w:rPr>
        <w:endnoteRef/>
      </w:r>
      <w:r>
        <w:t xml:space="preserve"> Commonwealth and Northern Territory, Royal Commission into the Protection and Detention of Children in the Northern Territory, </w:t>
      </w:r>
      <w:r w:rsidRPr="00FA2D44">
        <w:rPr>
          <w:i/>
        </w:rPr>
        <w:t>Interim Report</w:t>
      </w:r>
      <w:r>
        <w:rPr>
          <w:i/>
        </w:rPr>
        <w:t xml:space="preserve"> </w:t>
      </w:r>
      <w:r>
        <w:t xml:space="preserve">(2017) 10. At </w:t>
      </w:r>
      <w:hyperlink r:id="rId116" w:history="1">
        <w:r w:rsidRPr="00437556">
          <w:rPr>
            <w:rStyle w:val="Hyperlink"/>
          </w:rPr>
          <w:t>https://childdetentionnt.royalcommission.gov.au/about-us/Documents/RCNT-Interim-report.pdf</w:t>
        </w:r>
      </w:hyperlink>
      <w:r>
        <w:t xml:space="preserve"> (viewed 26 October 2017).</w:t>
      </w:r>
    </w:p>
  </w:endnote>
  <w:endnote w:id="116">
    <w:p w14:paraId="111C1DB9" w14:textId="77777777" w:rsidR="00910DFF" w:rsidRDefault="00910DFF" w:rsidP="0036190D">
      <w:pPr>
        <w:pStyle w:val="EndnoteText"/>
      </w:pPr>
      <w:r>
        <w:rPr>
          <w:rStyle w:val="EndnoteReference"/>
        </w:rPr>
        <w:endnoteRef/>
      </w:r>
      <w:r>
        <w:t xml:space="preserve"> Commonwealth and Northern Territory, Royal Commission into the Protection and Detention of Children in the Northern Territory, </w:t>
      </w:r>
      <w:r w:rsidRPr="00FA2D44">
        <w:rPr>
          <w:i/>
        </w:rPr>
        <w:t>Interim Report</w:t>
      </w:r>
      <w:r>
        <w:rPr>
          <w:i/>
        </w:rPr>
        <w:t xml:space="preserve"> </w:t>
      </w:r>
      <w:r>
        <w:t xml:space="preserve">(2017) 39. At </w:t>
      </w:r>
      <w:hyperlink r:id="rId117" w:history="1">
        <w:r w:rsidRPr="00437556">
          <w:rPr>
            <w:rStyle w:val="Hyperlink"/>
          </w:rPr>
          <w:t>https://childdetentionnt.royalcommission.gov.au/about-us/Documents/RCNT-Interim-report.pdf</w:t>
        </w:r>
      </w:hyperlink>
      <w:r>
        <w:t xml:space="preserve"> (viewed 9 October 2017). </w:t>
      </w:r>
    </w:p>
  </w:endnote>
  <w:endnote w:id="117">
    <w:p w14:paraId="3DC39A86" w14:textId="079C5498" w:rsidR="00910DFF" w:rsidRDefault="00910DFF" w:rsidP="0040066F">
      <w:pPr>
        <w:pStyle w:val="EndnoteText"/>
        <w:rPr>
          <w:rFonts w:eastAsia="SimSun"/>
        </w:rPr>
      </w:pPr>
      <w:r>
        <w:rPr>
          <w:rStyle w:val="EndnoteReference"/>
        </w:rPr>
        <w:endnoteRef/>
      </w:r>
      <w:r>
        <w:t xml:space="preserve"> Commonwealth, Royal Commission into Aboriginal Deaths in Custody</w:t>
      </w:r>
      <w:r>
        <w:rPr>
          <w:i/>
        </w:rPr>
        <w:t>, National Report</w:t>
      </w:r>
      <w:r>
        <w:t>, (1991) vols 1</w:t>
      </w:r>
      <w:r>
        <w:rPr>
          <w:rFonts w:eastAsia="Calibri" w:cs="Arial"/>
        </w:rPr>
        <w:t>–</w:t>
      </w:r>
      <w:r>
        <w:t xml:space="preserve">5. </w:t>
      </w:r>
    </w:p>
  </w:endnote>
  <w:endnote w:id="118">
    <w:p w14:paraId="140BD5CF" w14:textId="77777777" w:rsidR="00910DFF" w:rsidRPr="005B4472" w:rsidRDefault="00910DFF" w:rsidP="0040066F">
      <w:pPr>
        <w:pStyle w:val="EndnoteText"/>
        <w:rPr>
          <w:rFonts w:cs="Arial"/>
        </w:rPr>
      </w:pPr>
      <w:r w:rsidRPr="005B4472">
        <w:rPr>
          <w:rStyle w:val="EndnoteReference"/>
          <w:rFonts w:cs="Arial"/>
        </w:rPr>
        <w:endnoteRef/>
      </w:r>
      <w:r w:rsidRPr="005B4472">
        <w:rPr>
          <w:rFonts w:cs="Arial"/>
        </w:rPr>
        <w:t xml:space="preserve"> Productivity Commission, </w:t>
      </w:r>
      <w:r w:rsidRPr="005B4472">
        <w:rPr>
          <w:rFonts w:cs="Arial"/>
          <w:i/>
        </w:rPr>
        <w:t>Report on Government Services 2017</w:t>
      </w:r>
      <w:r w:rsidRPr="005B4472">
        <w:rPr>
          <w:rFonts w:cs="Arial"/>
        </w:rPr>
        <w:t xml:space="preserve">, Vol C: Justice, Steering Committee for the Review of Government Service Provision (2017) 6.13; First Peoples Disability Justice Consortium, Submission 39 to the Senate Standing Committee on Community Affairs, Parliament of Australia, </w:t>
      </w:r>
      <w:r w:rsidRPr="005B4472">
        <w:rPr>
          <w:rFonts w:cs="Arial"/>
          <w:i/>
        </w:rPr>
        <w:t>Inquiry on the Indefinite Detention of People with Cognitive and Psychiatric Impairment in Australia</w:t>
      </w:r>
      <w:r w:rsidRPr="005B4472">
        <w:rPr>
          <w:rFonts w:cs="Arial"/>
        </w:rPr>
        <w:t>.</w:t>
      </w:r>
    </w:p>
  </w:endnote>
  <w:endnote w:id="119">
    <w:p w14:paraId="066ADD24" w14:textId="77777777" w:rsidR="00910DFF" w:rsidRPr="00892424" w:rsidRDefault="00910DFF" w:rsidP="007D52E3">
      <w:pPr>
        <w:pStyle w:val="EndnoteText"/>
        <w:rPr>
          <w:rFonts w:cs="Arial"/>
        </w:rPr>
      </w:pPr>
      <w:r w:rsidRPr="004A2C04">
        <w:rPr>
          <w:rStyle w:val="EndnoteReference"/>
          <w:rFonts w:cs="Arial"/>
        </w:rPr>
        <w:endnoteRef/>
      </w:r>
      <w:r w:rsidRPr="004A2C04">
        <w:rPr>
          <w:rFonts w:cs="Arial"/>
        </w:rPr>
        <w:t xml:space="preserve"> </w:t>
      </w:r>
      <w:r w:rsidRPr="007310C6">
        <w:rPr>
          <w:rFonts w:cs="Arial"/>
          <w:i/>
        </w:rPr>
        <w:t>Police Administration Act</w:t>
      </w:r>
      <w:r w:rsidRPr="007310C6">
        <w:rPr>
          <w:rFonts w:cs="Arial"/>
        </w:rPr>
        <w:t xml:space="preserve"> (NT</w:t>
      </w:r>
      <w:r w:rsidRPr="004A2C04">
        <w:rPr>
          <w:rFonts w:cs="Arial"/>
        </w:rPr>
        <w:t>)</w:t>
      </w:r>
      <w:r>
        <w:rPr>
          <w:rFonts w:cs="Arial"/>
        </w:rPr>
        <w:t>, Div 4AA.</w:t>
      </w:r>
    </w:p>
  </w:endnote>
  <w:endnote w:id="120">
    <w:p w14:paraId="5F5F04CA" w14:textId="7D21833C" w:rsidR="00910DFF" w:rsidRPr="009B5409" w:rsidRDefault="00910DFF" w:rsidP="009B5409">
      <w:pPr>
        <w:pStyle w:val="EndnoteText"/>
      </w:pPr>
      <w:r>
        <w:rPr>
          <w:rStyle w:val="EndnoteReference"/>
        </w:rPr>
        <w:endnoteRef/>
      </w:r>
      <w:r>
        <w:t xml:space="preserve"> In particular, the Commission notes that recommendation 87(c) included that ‘</w:t>
      </w:r>
      <w:r w:rsidRPr="009B5409">
        <w:t>Administrators of Police Services should take a more active role in ensuring police compliance with directives, guidelines and rules aimed at reducing unnecessary custodies and should review practices and procedures relevant to the use of arrest or process by summons</w:t>
      </w:r>
      <w:r>
        <w:t xml:space="preserve">’. See </w:t>
      </w:r>
      <w:r>
        <w:rPr>
          <w:i/>
        </w:rPr>
        <w:t xml:space="preserve">Royal Commission into </w:t>
      </w:r>
      <w:r w:rsidRPr="009B5409">
        <w:rPr>
          <w:i/>
        </w:rPr>
        <w:t>Aboriginal Deaths in Custody</w:t>
      </w:r>
      <w:r>
        <w:t xml:space="preserve">, Vol 5 (1998). At </w:t>
      </w:r>
      <w:hyperlink r:id="rId118" w:anchor="Heading5" w:history="1">
        <w:r w:rsidRPr="00326FCC">
          <w:rPr>
            <w:rStyle w:val="Hyperlink"/>
          </w:rPr>
          <w:t>http://www.austlii.edu.au/au/other/IndigLRes/rciadic/national/vol5/5.html#Heading5</w:t>
        </w:r>
      </w:hyperlink>
      <w:r>
        <w:t xml:space="preserve"> (viewed 30 October 2017). </w:t>
      </w:r>
    </w:p>
  </w:endnote>
  <w:endnote w:id="121">
    <w:p w14:paraId="35FA0F6C" w14:textId="474310B6" w:rsidR="00910DFF" w:rsidRPr="00892424" w:rsidRDefault="00910DFF" w:rsidP="00272BC8">
      <w:pPr>
        <w:pStyle w:val="EndnoteText"/>
        <w:rPr>
          <w:rFonts w:cs="Arial"/>
        </w:rPr>
      </w:pPr>
      <w:r w:rsidRPr="00892424">
        <w:rPr>
          <w:rStyle w:val="EndnoteReference"/>
          <w:rFonts w:cs="Arial"/>
        </w:rPr>
        <w:endnoteRef/>
      </w:r>
      <w:r w:rsidRPr="00892424">
        <w:rPr>
          <w:rFonts w:cs="Arial"/>
        </w:rPr>
        <w:t xml:space="preserve"> The Commission has reported to the UN on violence against Aboriginal and Torres Strait Islander women and to </w:t>
      </w:r>
      <w:r w:rsidRPr="00C6719E">
        <w:rPr>
          <w:rFonts w:cs="Arial"/>
        </w:rPr>
        <w:t xml:space="preserve">Commonwealth Inquiries. See Australian Human Rights Commission, </w:t>
      </w:r>
      <w:r w:rsidRPr="00C6719E">
        <w:rPr>
          <w:rFonts w:cs="Arial"/>
          <w:i/>
          <w:lang w:val="en"/>
        </w:rPr>
        <w:t>Australia's Universal Periodic Review on human rights</w:t>
      </w:r>
      <w:r>
        <w:rPr>
          <w:rFonts w:cs="Arial"/>
          <w:i/>
          <w:lang w:val="en"/>
        </w:rPr>
        <w:t xml:space="preserve"> — </w:t>
      </w:r>
      <w:r w:rsidRPr="00C6719E">
        <w:rPr>
          <w:rFonts w:cs="Arial"/>
          <w:i/>
          <w:lang w:val="en"/>
        </w:rPr>
        <w:t xml:space="preserve">Annual </w:t>
      </w:r>
      <w:r w:rsidRPr="00840969">
        <w:rPr>
          <w:rStyle w:val="EndnoteReference"/>
          <w:rFonts w:cs="Arial"/>
          <w:i/>
          <w:vertAlign w:val="baseline"/>
        </w:rPr>
        <w:t>Progress</w:t>
      </w:r>
      <w:r w:rsidRPr="00C6719E">
        <w:rPr>
          <w:rFonts w:cs="Arial"/>
          <w:i/>
          <w:lang w:val="en"/>
        </w:rPr>
        <w:t xml:space="preserve"> Reports</w:t>
      </w:r>
      <w:r w:rsidRPr="00C6719E">
        <w:rPr>
          <w:rFonts w:cs="Arial"/>
          <w:lang w:val="en"/>
        </w:rPr>
        <w:t xml:space="preserve">. At </w:t>
      </w:r>
      <w:hyperlink r:id="rId119" w:history="1">
        <w:r w:rsidRPr="00C6719E">
          <w:rPr>
            <w:rStyle w:val="Hyperlink"/>
            <w:rFonts w:cs="Arial"/>
            <w:lang w:val="en"/>
          </w:rPr>
          <w:t>https://www.humanrights.gov.au/australias-universal-periodic-review-human-rights</w:t>
        </w:r>
      </w:hyperlink>
      <w:r w:rsidRPr="00C6719E">
        <w:rPr>
          <w:rFonts w:cs="Arial"/>
          <w:lang w:val="en"/>
        </w:rPr>
        <w:t xml:space="preserve"> (</w:t>
      </w:r>
      <w:r w:rsidRPr="00BF602B">
        <w:rPr>
          <w:rFonts w:cs="Arial"/>
        </w:rPr>
        <w:t xml:space="preserve">viewed </w:t>
      </w:r>
      <w:r>
        <w:rPr>
          <w:rFonts w:cs="Arial"/>
        </w:rPr>
        <w:t>11 September 2017</w:t>
      </w:r>
      <w:r w:rsidRPr="00C6719E">
        <w:rPr>
          <w:rFonts w:cs="Arial"/>
          <w:lang w:val="en"/>
        </w:rPr>
        <w:t>).</w:t>
      </w:r>
      <w:r w:rsidRPr="00C6719E">
        <w:rPr>
          <w:rFonts w:cs="Arial"/>
        </w:rPr>
        <w:t xml:space="preserve"> Australian Human Rights Commission, Submission No 57 to Senate Standing Committee on Community Affairs, Parliament of Australia, </w:t>
      </w:r>
      <w:r w:rsidRPr="00C6719E">
        <w:rPr>
          <w:rFonts w:cs="Arial"/>
          <w:i/>
        </w:rPr>
        <w:t xml:space="preserve">Inquiry into violence, abuse and neglect against people with </w:t>
      </w:r>
      <w:r w:rsidRPr="00C6719E">
        <w:rPr>
          <w:rStyle w:val="EndnoteReference"/>
          <w:rFonts w:cs="Arial"/>
          <w:vertAlign w:val="baseline"/>
        </w:rPr>
        <w:t>disability</w:t>
      </w:r>
      <w:r w:rsidRPr="00C6719E">
        <w:rPr>
          <w:rFonts w:cs="Arial"/>
          <w:i/>
        </w:rPr>
        <w:t xml:space="preserve"> in institutional and residential settings</w:t>
      </w:r>
      <w:r w:rsidRPr="00892424">
        <w:rPr>
          <w:rFonts w:cs="Arial"/>
        </w:rPr>
        <w:t xml:space="preserve">, 11 February 2015, 3. At </w:t>
      </w:r>
      <w:hyperlink r:id="rId120" w:history="1">
        <w:r w:rsidRPr="00892424">
          <w:rPr>
            <w:rStyle w:val="Hyperlink"/>
            <w:rFonts w:cs="Arial"/>
          </w:rPr>
          <w:t>http://www.aph.gov.au/Parliamentary_Business/Committees/Senate/Community_Affairs/Violence_abuse_neglect</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Submission </w:t>
      </w:r>
      <w:r>
        <w:rPr>
          <w:rFonts w:cs="Arial"/>
        </w:rPr>
        <w:t xml:space="preserve">No </w:t>
      </w:r>
      <w:r w:rsidRPr="00892424">
        <w:rPr>
          <w:rFonts w:cs="Arial"/>
        </w:rPr>
        <w:t xml:space="preserve">41 to the Senate Finance and Public Administration Reference Committee, </w:t>
      </w:r>
      <w:r w:rsidRPr="003A7307">
        <w:rPr>
          <w:rFonts w:cs="Arial"/>
          <w:i/>
        </w:rPr>
        <w:t>Inquiry into Domestic Violence and Gender Inequality</w:t>
      </w:r>
      <w:r w:rsidRPr="00892424">
        <w:rPr>
          <w:rFonts w:cs="Arial"/>
        </w:rPr>
        <w:t xml:space="preserve">, 4 April 2016. At </w:t>
      </w:r>
      <w:hyperlink r:id="rId121" w:history="1">
        <w:r w:rsidRPr="00892424">
          <w:rPr>
            <w:rStyle w:val="Hyperlink"/>
            <w:rFonts w:cs="Arial"/>
          </w:rPr>
          <w:t>http://www.aph.gov.au/Parliamentary_Business/Committees/Senate/Finance_and_Public_Administration/DV_and_Gender_Inequality</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22">
    <w:p w14:paraId="552E6E49" w14:textId="145C6480" w:rsidR="00910DFF" w:rsidRPr="004A2C04" w:rsidRDefault="00910DFF" w:rsidP="00272BC8">
      <w:pPr>
        <w:pStyle w:val="EndnoteText"/>
        <w:rPr>
          <w:rFonts w:cs="Arial"/>
          <w:lang w:val="en-US"/>
        </w:rPr>
      </w:pPr>
      <w:r w:rsidRPr="00892424">
        <w:rPr>
          <w:rStyle w:val="EndnoteReference"/>
          <w:rFonts w:cs="Arial"/>
        </w:rPr>
        <w:endnoteRef/>
      </w:r>
      <w:r w:rsidRPr="00892424">
        <w:rPr>
          <w:rFonts w:cs="Arial"/>
        </w:rPr>
        <w:t xml:space="preserve"> </w:t>
      </w:r>
      <w:r>
        <w:t xml:space="preserve">Commonwealth of Australia, Department of the Prime Minister and Cabinet, </w:t>
      </w:r>
      <w:r>
        <w:rPr>
          <w:i/>
        </w:rPr>
        <w:t>Closing the Gap Prime Minister’s Report 2017</w:t>
      </w:r>
      <w:r>
        <w:t xml:space="preserve"> (2017) 95. At </w:t>
      </w:r>
      <w:hyperlink r:id="rId122" w:history="1">
        <w:r w:rsidRPr="00326FCC">
          <w:rPr>
            <w:rStyle w:val="Hyperlink"/>
          </w:rPr>
          <w:t>http://closingthegap.pmc.gov.au/sites/default/files/ctg-report-2017.pdf</w:t>
        </w:r>
      </w:hyperlink>
      <w:r>
        <w:t xml:space="preserve"> </w:t>
      </w:r>
      <w:r w:rsidRPr="00E122EC">
        <w:t>(viewed 11 September 2017).</w:t>
      </w:r>
    </w:p>
  </w:endnote>
  <w:endnote w:id="123">
    <w:p w14:paraId="2AD16E21" w14:textId="583439C6" w:rsidR="00910DFF" w:rsidRDefault="00910DFF">
      <w:pPr>
        <w:pStyle w:val="EndnoteText"/>
      </w:pPr>
      <w:r>
        <w:rPr>
          <w:rStyle w:val="EndnoteReference"/>
        </w:rPr>
        <w:endnoteRef/>
      </w:r>
      <w:r>
        <w:t xml:space="preserve"> </w:t>
      </w:r>
      <w:r w:rsidRPr="00892424">
        <w:rPr>
          <w:rFonts w:cs="Arial"/>
        </w:rPr>
        <w:t xml:space="preserve">Australian Human Rights Commission, </w:t>
      </w:r>
      <w:r w:rsidRPr="00892424">
        <w:rPr>
          <w:rFonts w:cs="Arial"/>
          <w:i/>
        </w:rPr>
        <w:t>Children’s Rights Report 2015</w:t>
      </w:r>
      <w:r w:rsidRPr="00892424">
        <w:rPr>
          <w:rFonts w:cs="Arial"/>
        </w:rPr>
        <w:t xml:space="preserve"> (2015) </w:t>
      </w:r>
      <w:r>
        <w:rPr>
          <w:rFonts w:cs="Arial"/>
        </w:rPr>
        <w:t>103</w:t>
      </w:r>
      <w:r>
        <w:rPr>
          <w:rFonts w:eastAsia="Calibri" w:cs="Arial"/>
        </w:rPr>
        <w:t>–</w:t>
      </w:r>
      <w:r>
        <w:rPr>
          <w:rFonts w:cs="Arial"/>
        </w:rPr>
        <w:t>104, 157</w:t>
      </w:r>
      <w:r w:rsidRPr="00892424">
        <w:rPr>
          <w:rFonts w:cs="Arial"/>
        </w:rPr>
        <w:t xml:space="preserve">. At </w:t>
      </w:r>
      <w:hyperlink r:id="rId123" w:history="1">
        <w:r w:rsidRPr="00892424">
          <w:rPr>
            <w:rStyle w:val="Hyperlink"/>
            <w:rFonts w:cs="Arial"/>
          </w:rPr>
          <w:t>https://www.humanrights.gov.au/our-work/childrens-rights/publications/childrens-rights-report-2015</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24">
    <w:p w14:paraId="7149CE5E" w14:textId="40C5C5D9" w:rsidR="00910DFF" w:rsidRPr="00E122EC" w:rsidRDefault="00910DFF" w:rsidP="00272BC8">
      <w:pPr>
        <w:pStyle w:val="EndnoteText"/>
      </w:pPr>
      <w:r>
        <w:rPr>
          <w:rStyle w:val="EndnoteReference"/>
        </w:rPr>
        <w:endnoteRef/>
      </w:r>
      <w:r>
        <w:t xml:space="preserve"> Council of Australian Governments, </w:t>
      </w:r>
      <w:r>
        <w:rPr>
          <w:i/>
        </w:rPr>
        <w:t>National Plan to reduce violence against women and their children</w:t>
      </w:r>
      <w:r>
        <w:t xml:space="preserve"> (2011) 7. At </w:t>
      </w:r>
      <w:hyperlink r:id="rId124" w:history="1">
        <w:r w:rsidRPr="00A248BB">
          <w:rPr>
            <w:rStyle w:val="Hyperlink"/>
          </w:rPr>
          <w:t>https://www.dss.gov.au/women/programs-services/reducing-violence/the-national-plan-to-reduce-violence-against-women-and-their-children-2010-2022</w:t>
        </w:r>
      </w:hyperlink>
      <w:r>
        <w:t xml:space="preserve"> (viewed 11 September 2017). See also Commonwealth of Australia, Department of the Prime Minister and Cabinet, </w:t>
      </w:r>
      <w:r>
        <w:rPr>
          <w:i/>
        </w:rPr>
        <w:t>Closing the Gap Prime Minister’s Report 2017</w:t>
      </w:r>
      <w:r>
        <w:t xml:space="preserve"> (2017) 95</w:t>
      </w:r>
      <w:r>
        <w:rPr>
          <w:rFonts w:eastAsia="Calibri" w:cs="Arial"/>
        </w:rPr>
        <w:t>–</w:t>
      </w:r>
      <w:r>
        <w:t xml:space="preserve">96. At </w:t>
      </w:r>
      <w:hyperlink r:id="rId125" w:history="1">
        <w:r w:rsidRPr="00326FCC">
          <w:rPr>
            <w:rStyle w:val="Hyperlink"/>
          </w:rPr>
          <w:t>http://closingthegap.pmc.gov.au/sites/default/files/ctg-report-2017.pdf</w:t>
        </w:r>
      </w:hyperlink>
      <w:r>
        <w:t xml:space="preserve"> </w:t>
      </w:r>
      <w:r w:rsidRPr="00E122EC">
        <w:t>(viewed 11 September 2017).</w:t>
      </w:r>
    </w:p>
  </w:endnote>
  <w:endnote w:id="125">
    <w:p w14:paraId="65DFB39A" w14:textId="447AA5CB" w:rsidR="00910DFF" w:rsidRPr="008E0D41" w:rsidRDefault="00910DFF" w:rsidP="00497821">
      <w:pPr>
        <w:pStyle w:val="EndnoteText"/>
        <w:rPr>
          <w:rFonts w:cs="Arial"/>
        </w:rPr>
      </w:pPr>
      <w:r w:rsidRPr="008E0D41">
        <w:rPr>
          <w:rStyle w:val="EndnoteReference"/>
          <w:rFonts w:cs="Arial"/>
        </w:rPr>
        <w:endnoteRef/>
      </w:r>
      <w:r w:rsidRPr="008E0D41">
        <w:rPr>
          <w:rFonts w:cs="Arial"/>
        </w:rPr>
        <w:t xml:space="preserve">  Human Rights Council Working Group on the Universal Periodic Review, </w:t>
      </w:r>
      <w:r w:rsidRPr="008E0D41">
        <w:rPr>
          <w:rFonts w:cs="Arial"/>
          <w:i/>
        </w:rPr>
        <w:t>Draft report of the Working Group on the Universal Periodic Review: Australia</w:t>
      </w:r>
      <w:r w:rsidRPr="008E0D41">
        <w:rPr>
          <w:rFonts w:cs="Arial"/>
        </w:rPr>
        <w:t xml:space="preserve">, </w:t>
      </w:r>
      <w:r>
        <w:rPr>
          <w:rFonts w:cs="Arial"/>
        </w:rPr>
        <w:t>23</w:t>
      </w:r>
      <w:r w:rsidRPr="003A7307">
        <w:rPr>
          <w:rFonts w:cs="Arial"/>
          <w:vertAlign w:val="superscript"/>
        </w:rPr>
        <w:t>rd</w:t>
      </w:r>
      <w:r>
        <w:rPr>
          <w:rFonts w:cs="Arial"/>
        </w:rPr>
        <w:t xml:space="preserve"> sess, UN Doc A/HRC/WG.6/23/L.11 20</w:t>
      </w:r>
      <w:r w:rsidRPr="008E0D41">
        <w:rPr>
          <w:rFonts w:cs="Arial"/>
        </w:rPr>
        <w:t xml:space="preserve"> </w:t>
      </w:r>
      <w:r>
        <w:rPr>
          <w:rFonts w:cs="Arial"/>
        </w:rPr>
        <w:t>(</w:t>
      </w:r>
      <w:r w:rsidRPr="008E0D41">
        <w:rPr>
          <w:rFonts w:cs="Arial"/>
        </w:rPr>
        <w:t>20 November 2015</w:t>
      </w:r>
      <w:r>
        <w:rPr>
          <w:rFonts w:cs="Arial"/>
        </w:rPr>
        <w:t>)</w:t>
      </w:r>
      <w:r w:rsidRPr="008E0D41">
        <w:rPr>
          <w:rFonts w:cs="Arial"/>
        </w:rPr>
        <w:t xml:space="preserve">. At </w:t>
      </w:r>
      <w:hyperlink r:id="rId126" w:history="1">
        <w:r w:rsidRPr="008E0D41">
          <w:rPr>
            <w:rStyle w:val="Hyperlink"/>
            <w:rFonts w:cs="Arial"/>
          </w:rPr>
          <w:t>http://www.upr-info.org/en/review/Australia</w:t>
        </w:r>
      </w:hyperlink>
      <w:r w:rsidRPr="008E0D41">
        <w:rPr>
          <w:rFonts w:cs="Arial"/>
        </w:rPr>
        <w:t xml:space="preserve"> (viewed 5 February 2016).</w:t>
      </w:r>
    </w:p>
  </w:endnote>
  <w:endnote w:id="126">
    <w:p w14:paraId="51FA05DE" w14:textId="77777777" w:rsidR="00910DFF" w:rsidRPr="00892424" w:rsidRDefault="00910DFF" w:rsidP="0072407D">
      <w:pPr>
        <w:pStyle w:val="EndnoteText"/>
        <w:rPr>
          <w:rFonts w:cs="Arial"/>
        </w:rPr>
      </w:pPr>
      <w:r w:rsidRPr="00892424">
        <w:rPr>
          <w:rStyle w:val="EndnoteReference"/>
          <w:rFonts w:cs="Arial"/>
        </w:rPr>
        <w:endnoteRef/>
      </w:r>
      <w:r w:rsidRPr="00892424">
        <w:rPr>
          <w:rFonts w:cs="Arial"/>
        </w:rPr>
        <w:t xml:space="preserve"> </w:t>
      </w:r>
      <w:r w:rsidRPr="005B4472">
        <w:rPr>
          <w:rFonts w:cs="Arial"/>
        </w:rPr>
        <w:t>Change the Record</w:t>
      </w:r>
      <w:r>
        <w:rPr>
          <w:rFonts w:cs="Arial"/>
        </w:rPr>
        <w:t xml:space="preserve"> Coalition</w:t>
      </w:r>
      <w:r w:rsidRPr="005B4472">
        <w:rPr>
          <w:rFonts w:cs="Arial"/>
        </w:rPr>
        <w:t xml:space="preserve">, </w:t>
      </w:r>
      <w:r w:rsidRPr="005B4472">
        <w:rPr>
          <w:rFonts w:cs="Arial"/>
          <w:i/>
        </w:rPr>
        <w:t>Blueprint for Change</w:t>
      </w:r>
      <w:r w:rsidRPr="005B4472">
        <w:rPr>
          <w:rFonts w:cs="Arial"/>
        </w:rPr>
        <w:t>, Change the Record Steering Committee (2015).</w:t>
      </w:r>
    </w:p>
  </w:endnote>
  <w:endnote w:id="127">
    <w:p w14:paraId="36D1F029" w14:textId="7077C83E" w:rsidR="00910DFF" w:rsidRPr="00CC24E1" w:rsidRDefault="00910DFF" w:rsidP="00080827">
      <w:pPr>
        <w:pStyle w:val="EndnoteText"/>
        <w:rPr>
          <w:rFonts w:cs="Arial"/>
        </w:rPr>
      </w:pPr>
      <w:r w:rsidRPr="00CC24E1">
        <w:rPr>
          <w:rStyle w:val="EndnoteReference"/>
          <w:rFonts w:cs="Arial"/>
        </w:rPr>
        <w:endnoteRef/>
      </w:r>
      <w:r w:rsidRPr="00CC24E1">
        <w:rPr>
          <w:rFonts w:cs="Arial"/>
        </w:rPr>
        <w:t xml:space="preserve"> </w:t>
      </w:r>
      <w:r w:rsidR="00EE5FB0">
        <w:rPr>
          <w:rFonts w:cs="Arial"/>
        </w:rPr>
        <w:t xml:space="preserve">See also </w:t>
      </w:r>
      <w:r w:rsidR="00EE5FB0" w:rsidRPr="00E914A2">
        <w:t xml:space="preserve">Victoria Tauli-Corpuz, United Nations Special Rapporteur on the rights of indigenous peoples, </w:t>
      </w:r>
      <w:r w:rsidR="00EE5FB0" w:rsidRPr="00E914A2">
        <w:rPr>
          <w:i/>
        </w:rPr>
        <w:t xml:space="preserve">Report of the Special Rapporteur on the rights of indigenous peoples on her visit to Australia, </w:t>
      </w:r>
      <w:r w:rsidR="00EE5FB0" w:rsidRPr="00E914A2">
        <w:t>UN Doc A/HRC/36/46/Add.2 (8 August 2017)</w:t>
      </w:r>
      <w:r w:rsidR="00F7745C">
        <w:t xml:space="preserve"> 8-9</w:t>
      </w:r>
      <w:r w:rsidR="00EE5FB0">
        <w:t xml:space="preserve"> [</w:t>
      </w:r>
      <w:r w:rsidR="00F7745C">
        <w:t>42</w:t>
      </w:r>
      <w:r w:rsidR="00EE5FB0">
        <w:t>]</w:t>
      </w:r>
      <w:r w:rsidR="00F7745C">
        <w:t>-[45], 19 [107]</w:t>
      </w:r>
      <w:r w:rsidR="00EE5FB0" w:rsidRPr="00E914A2">
        <w:t xml:space="preserve">. At </w:t>
      </w:r>
      <w:hyperlink r:id="rId127" w:history="1">
        <w:r w:rsidR="00EE5FB0" w:rsidRPr="00E914A2">
          <w:rPr>
            <w:rStyle w:val="Hyperlink"/>
          </w:rPr>
          <w:t>http://ap.ohchr.org/documents/dpage_e.aspx?si=A/HRC/36/46/Add.2</w:t>
        </w:r>
      </w:hyperlink>
      <w:r w:rsidR="00EE5FB0" w:rsidRPr="00E914A2">
        <w:t xml:space="preserve"> (viewed 10 October 2017).</w:t>
      </w:r>
    </w:p>
  </w:endnote>
  <w:endnote w:id="128">
    <w:p w14:paraId="39B112AA" w14:textId="6851241F" w:rsidR="00910DFF" w:rsidRDefault="00910DFF" w:rsidP="00497821">
      <w:pPr>
        <w:pStyle w:val="EndnoteText"/>
      </w:pPr>
      <w:r>
        <w:rPr>
          <w:rStyle w:val="EndnoteReference"/>
        </w:rPr>
        <w:endnoteRef/>
      </w:r>
      <w:r>
        <w:t xml:space="preserve"> Michel Forst, </w:t>
      </w:r>
      <w:r w:rsidRPr="003A7307">
        <w:rPr>
          <w:i/>
        </w:rPr>
        <w:t>End of mission statement by Michel Forst, United Nations Special Rapporteur on the situation of human rights defenders</w:t>
      </w:r>
      <w:r>
        <w:t xml:space="preserve">, </w:t>
      </w:r>
      <w:r w:rsidRPr="003A7307">
        <w:rPr>
          <w:i/>
        </w:rPr>
        <w:t>Visit to Australia, 18 October 2016</w:t>
      </w:r>
      <w:r>
        <w:t xml:space="preserve"> (18 October 2016). At </w:t>
      </w:r>
      <w:hyperlink r:id="rId128" w:history="1">
        <w:r w:rsidRPr="00326FCC">
          <w:rPr>
            <w:rStyle w:val="Hyperlink"/>
          </w:rPr>
          <w:t>http://www.ohchr.org/EN/NewsEvents/Pages/DisplayNews.aspx?NewsID=20689&amp;LangID=E</w:t>
        </w:r>
      </w:hyperlink>
      <w:r>
        <w:t xml:space="preserve"> (viewed 30 October 2017).</w:t>
      </w:r>
    </w:p>
  </w:endnote>
  <w:endnote w:id="129">
    <w:p w14:paraId="4979545A" w14:textId="77777777" w:rsidR="00910DFF" w:rsidRPr="00892424" w:rsidRDefault="00910DFF" w:rsidP="004F4513">
      <w:pPr>
        <w:pStyle w:val="EndnoteText"/>
        <w:rPr>
          <w:rFonts w:cs="Arial"/>
          <w:lang w:val="en-US"/>
        </w:rPr>
      </w:pPr>
      <w:r w:rsidRPr="00892424">
        <w:rPr>
          <w:rStyle w:val="EndnoteReference"/>
          <w:rFonts w:cs="Arial"/>
        </w:rPr>
        <w:endnoteRef/>
      </w:r>
      <w:r w:rsidRPr="00892424">
        <w:rPr>
          <w:rFonts w:cs="Arial"/>
        </w:rPr>
        <w:t xml:space="preserve"> Council of Australian Government</w:t>
      </w:r>
      <w:r>
        <w:rPr>
          <w:rFonts w:cs="Arial"/>
        </w:rPr>
        <w:t>s</w:t>
      </w:r>
      <w:r w:rsidRPr="00892424">
        <w:rPr>
          <w:rFonts w:cs="Arial"/>
        </w:rPr>
        <w:t xml:space="preserve">, </w:t>
      </w:r>
      <w:r w:rsidRPr="00892424">
        <w:rPr>
          <w:rFonts w:cs="Arial"/>
          <w:i/>
        </w:rPr>
        <w:t>Investigation into Indigenous Land Administration and Use Final Report</w:t>
      </w:r>
      <w:r w:rsidRPr="00892424">
        <w:rPr>
          <w:rFonts w:cs="Arial"/>
        </w:rPr>
        <w:t xml:space="preserve">, December 2015. At </w:t>
      </w:r>
      <w:hyperlink r:id="rId129" w:history="1">
        <w:r w:rsidRPr="00892424">
          <w:rPr>
            <w:rStyle w:val="Hyperlink"/>
            <w:rFonts w:cs="Arial"/>
          </w:rPr>
          <w:t>https://www.dpmc.gov.au/sites/default/files/files/COAG_Investigation_into_Indigenous_Land_Administration_and_Use.pdf</w:t>
        </w:r>
      </w:hyperlink>
      <w:r w:rsidRPr="00892424">
        <w:rPr>
          <w:rFonts w:cs="Arial"/>
        </w:rPr>
        <w:t xml:space="preserve"> </w:t>
      </w:r>
      <w:r w:rsidRPr="00892424">
        <w:rPr>
          <w:rFonts w:cs="Arial"/>
          <w:lang w:val="en-US"/>
        </w:rPr>
        <w:t>(</w:t>
      </w:r>
      <w:r w:rsidRPr="00BF602B">
        <w:rPr>
          <w:rFonts w:cs="Arial"/>
        </w:rPr>
        <w:t xml:space="preserve">viewed </w:t>
      </w:r>
      <w:r>
        <w:rPr>
          <w:rFonts w:cs="Arial"/>
        </w:rPr>
        <w:t>11 September 2017</w:t>
      </w:r>
      <w:r w:rsidRPr="00892424">
        <w:rPr>
          <w:rFonts w:cs="Arial"/>
          <w:lang w:val="en-US"/>
        </w:rPr>
        <w:t>).</w:t>
      </w:r>
    </w:p>
  </w:endnote>
  <w:endnote w:id="130">
    <w:p w14:paraId="4EA5CAB9" w14:textId="7293E36F" w:rsidR="00910DFF" w:rsidRPr="00892424" w:rsidRDefault="00910DFF" w:rsidP="004F4513">
      <w:pPr>
        <w:pStyle w:val="EndnoteText"/>
        <w:rPr>
          <w:rFonts w:cs="Arial"/>
          <w:lang w:val="en-US"/>
        </w:rPr>
      </w:pPr>
      <w:r w:rsidRPr="00892424">
        <w:rPr>
          <w:rStyle w:val="EndnoteReference"/>
          <w:rFonts w:cs="Arial"/>
        </w:rPr>
        <w:endnoteRef/>
      </w:r>
      <w:r w:rsidRPr="00892424">
        <w:rPr>
          <w:rFonts w:cs="Arial"/>
        </w:rPr>
        <w:t xml:space="preserve"> Australian Law Reform Commission, </w:t>
      </w:r>
      <w:r w:rsidRPr="00892424">
        <w:rPr>
          <w:rFonts w:cs="Arial"/>
          <w:i/>
        </w:rPr>
        <w:t>Connection to Country Review of the Native Title Act 1993</w:t>
      </w:r>
      <w:r w:rsidRPr="00892424">
        <w:rPr>
          <w:rFonts w:cs="Arial"/>
        </w:rPr>
        <w:t xml:space="preserve"> (Cth), </w:t>
      </w:r>
      <w:r>
        <w:rPr>
          <w:rFonts w:cs="Arial"/>
        </w:rPr>
        <w:t>Report No 126 (</w:t>
      </w:r>
      <w:r w:rsidRPr="00892424">
        <w:rPr>
          <w:rFonts w:cs="Arial"/>
        </w:rPr>
        <w:t>2015</w:t>
      </w:r>
      <w:r>
        <w:rPr>
          <w:rFonts w:cs="Arial"/>
        </w:rPr>
        <w:t>)</w:t>
      </w:r>
      <w:r w:rsidRPr="00892424">
        <w:rPr>
          <w:rFonts w:cs="Arial"/>
        </w:rPr>
        <w:t xml:space="preserve">. At  </w:t>
      </w:r>
      <w:hyperlink r:id="rId130" w:history="1">
        <w:r w:rsidRPr="00892424">
          <w:rPr>
            <w:rStyle w:val="Hyperlink"/>
            <w:rFonts w:cs="Arial"/>
          </w:rPr>
          <w:t>https://www.alrc.gov.au/sites/default/files/pdfs/publications/alrc_126_final_report.pdf</w:t>
        </w:r>
      </w:hyperlink>
      <w:r w:rsidRPr="00892424">
        <w:rPr>
          <w:rFonts w:cs="Arial"/>
        </w:rPr>
        <w:t xml:space="preserve"> </w:t>
      </w:r>
      <w:r w:rsidRPr="00892424">
        <w:rPr>
          <w:rFonts w:cs="Arial"/>
          <w:lang w:val="en-US"/>
        </w:rPr>
        <w:t>(</w:t>
      </w:r>
      <w:r w:rsidRPr="00BF602B">
        <w:rPr>
          <w:rFonts w:cs="Arial"/>
        </w:rPr>
        <w:t xml:space="preserve">viewed </w:t>
      </w:r>
      <w:r>
        <w:rPr>
          <w:rFonts w:cs="Arial"/>
        </w:rPr>
        <w:t>11 September 2017</w:t>
      </w:r>
      <w:r w:rsidRPr="00892424">
        <w:rPr>
          <w:rFonts w:cs="Arial"/>
          <w:lang w:val="en-US"/>
        </w:rPr>
        <w:t>).</w:t>
      </w:r>
    </w:p>
  </w:endnote>
  <w:endnote w:id="131">
    <w:p w14:paraId="6FD9B196" w14:textId="4C38057D" w:rsidR="00910DFF" w:rsidRDefault="00910DFF">
      <w:pPr>
        <w:pStyle w:val="EndnoteText"/>
      </w:pPr>
      <w:r>
        <w:rPr>
          <w:rStyle w:val="EndnoteReference"/>
        </w:rPr>
        <w:endnoteRef/>
      </w:r>
      <w:r>
        <w:t xml:space="preserve"> Australian Human Rights Commission, </w:t>
      </w:r>
      <w:r w:rsidRPr="005A19DD">
        <w:rPr>
          <w:i/>
        </w:rPr>
        <w:t>Communiqué</w:t>
      </w:r>
      <w:r>
        <w:rPr>
          <w:i/>
        </w:rPr>
        <w:t>, Indigenous Leaders’ Roundtable on economic development and property rights — Broome, 19</w:t>
      </w:r>
      <w:r>
        <w:rPr>
          <w:rFonts w:eastAsia="Calibri" w:cs="Arial"/>
        </w:rPr>
        <w:t>–</w:t>
      </w:r>
      <w:r>
        <w:rPr>
          <w:i/>
        </w:rPr>
        <w:t xml:space="preserve">20 May </w:t>
      </w:r>
      <w:r w:rsidRPr="005A19DD">
        <w:rPr>
          <w:i/>
        </w:rPr>
        <w:t>2015</w:t>
      </w:r>
      <w:r>
        <w:t xml:space="preserve"> (2015) 1. At </w:t>
      </w:r>
      <w:hyperlink r:id="rId131" w:history="1">
        <w:r w:rsidRPr="004519B6">
          <w:rPr>
            <w:rStyle w:val="Hyperlink"/>
          </w:rPr>
          <w:t>http://www.humanrights.gov.au/sites/default/files/IndigenousLeadersRoundtable_communique_2015_AHRC.pdf</w:t>
        </w:r>
      </w:hyperlink>
      <w:r>
        <w:t xml:space="preserve"> (viewed 14 September 2017). Australian Human Rights Commission, </w:t>
      </w:r>
      <w:r>
        <w:rPr>
          <w:i/>
        </w:rPr>
        <w:t xml:space="preserve">Indigenous Property Rights Project — GARMA Roundtable Background Paper </w:t>
      </w:r>
      <w:r>
        <w:t xml:space="preserve">(29 July — 1 August 2016) 9. At </w:t>
      </w:r>
      <w:hyperlink r:id="rId132" w:history="1">
        <w:r w:rsidRPr="004519B6">
          <w:rPr>
            <w:rStyle w:val="Hyperlink"/>
          </w:rPr>
          <w:t>http://www.humanrights.gov.au/sites/default/files/Garma%20discussion%20paper%2011%20August%202016_1.pdf</w:t>
        </w:r>
      </w:hyperlink>
      <w:r>
        <w:t xml:space="preserve"> (viewed 14 September 2017). </w:t>
      </w:r>
      <w:r w:rsidRPr="005A19DD">
        <w:t>See</w:t>
      </w:r>
      <w:r>
        <w:t xml:space="preserve"> generally </w:t>
      </w:r>
      <w:r>
        <w:rPr>
          <w:lang w:val="en-US"/>
        </w:rPr>
        <w:t xml:space="preserve">Australian Human Rights Commission, </w:t>
      </w:r>
      <w:r w:rsidRPr="00633AE7">
        <w:rPr>
          <w:i/>
          <w:lang w:val="en-US"/>
        </w:rPr>
        <w:t>Indigenous Property Rights</w:t>
      </w:r>
      <w:r>
        <w:rPr>
          <w:lang w:val="en-US"/>
        </w:rPr>
        <w:t xml:space="preserve">. At </w:t>
      </w:r>
      <w:hyperlink r:id="rId133" w:history="1">
        <w:r w:rsidRPr="007237D3">
          <w:rPr>
            <w:rStyle w:val="Hyperlink"/>
            <w:lang w:val="en-US"/>
          </w:rPr>
          <w:t>https://www.humanrights.gov.au/our-work/aboriginal-and-torres-strait-islander-social-justice/projects/indigenous-property-rights</w:t>
        </w:r>
      </w:hyperlink>
      <w:r>
        <w:rPr>
          <w:lang w:val="en-US"/>
        </w:rPr>
        <w:t xml:space="preserve"> (viewed 14 September 2017).</w:t>
      </w:r>
    </w:p>
  </w:endnote>
  <w:endnote w:id="132">
    <w:p w14:paraId="68B550D8" w14:textId="41FAD1B1" w:rsidR="00910DFF" w:rsidRDefault="00910DFF" w:rsidP="00C52BE0">
      <w:pPr>
        <w:pStyle w:val="EndnoteText"/>
      </w:pPr>
      <w:r>
        <w:rPr>
          <w:rStyle w:val="EndnoteReference"/>
        </w:rPr>
        <w:endnoteRef/>
      </w:r>
      <w:r>
        <w:t xml:space="preserve"> Department of Prime Minister and Cabinet, </w:t>
      </w:r>
      <w:r>
        <w:rPr>
          <w:i/>
        </w:rPr>
        <w:t>Closing the Gap: Prime Ministers Report 2017</w:t>
      </w:r>
      <w:r>
        <w:t>, 6</w:t>
      </w:r>
      <w:r>
        <w:rPr>
          <w:rFonts w:eastAsia="Calibri" w:cs="Arial"/>
        </w:rPr>
        <w:t>–</w:t>
      </w:r>
      <w:r>
        <w:t xml:space="preserve">7: child mortality, life expectancy, school attendance, reading and numeracy, employment. At  </w:t>
      </w:r>
      <w:hyperlink r:id="rId134" w:history="1">
        <w:r w:rsidRPr="006D18FC">
          <w:rPr>
            <w:rStyle w:val="Hyperlink"/>
          </w:rPr>
          <w:t>http://closingthegap.pmc.gov.au/</w:t>
        </w:r>
      </w:hyperlink>
      <w:r>
        <w:t xml:space="preserve"> (viewed 30 October 2017).</w:t>
      </w:r>
    </w:p>
  </w:endnote>
  <w:endnote w:id="133">
    <w:p w14:paraId="65CF0CD2" w14:textId="4E9093CF" w:rsidR="00910DFF" w:rsidRDefault="00910DFF" w:rsidP="009E01A9">
      <w:pPr>
        <w:pStyle w:val="EndnoteText"/>
      </w:pPr>
      <w:r>
        <w:rPr>
          <w:rStyle w:val="EndnoteReference"/>
        </w:rPr>
        <w:endnoteRef/>
      </w:r>
      <w:r>
        <w:t xml:space="preserve"> Department of Prime Minister and Cabinet, </w:t>
      </w:r>
      <w:r>
        <w:rPr>
          <w:i/>
        </w:rPr>
        <w:t>Closing the Gap: Prime Ministers Report 2017</w:t>
      </w:r>
      <w:r>
        <w:t>, 6</w:t>
      </w:r>
      <w:r>
        <w:rPr>
          <w:rFonts w:eastAsia="Calibri" w:cs="Arial"/>
        </w:rPr>
        <w:t>–</w:t>
      </w:r>
      <w:r>
        <w:t xml:space="preserve">7: child mortality, life expectancy, school attendance, reading and numeracy, employment. At  </w:t>
      </w:r>
      <w:hyperlink r:id="rId135" w:history="1">
        <w:r w:rsidRPr="006D18FC">
          <w:rPr>
            <w:rStyle w:val="Hyperlink"/>
          </w:rPr>
          <w:t>http://closingthegap.pmc.gov.au/</w:t>
        </w:r>
      </w:hyperlink>
      <w:r>
        <w:t xml:space="preserve"> (viewed 30 October 2017).</w:t>
      </w:r>
    </w:p>
  </w:endnote>
  <w:endnote w:id="134">
    <w:p w14:paraId="532BBAF1" w14:textId="5BFE279C" w:rsidR="00910DFF" w:rsidRPr="00E41EA6" w:rsidRDefault="00910DFF" w:rsidP="009E01A9">
      <w:pPr>
        <w:pStyle w:val="EndnoteText"/>
        <w:rPr>
          <w:lang w:val="en-US"/>
        </w:rPr>
      </w:pPr>
      <w:r>
        <w:rPr>
          <w:rStyle w:val="EndnoteReference"/>
        </w:rPr>
        <w:endnoteRef/>
      </w:r>
      <w:r>
        <w:t xml:space="preserve"> Department of Health, </w:t>
      </w:r>
      <w:r w:rsidRPr="00E41EA6">
        <w:rPr>
          <w:i/>
        </w:rPr>
        <w:t>Implementation Plan for the National Aboriginal and Torres Strait Islander Health Plan 2013</w:t>
      </w:r>
      <w:r>
        <w:rPr>
          <w:rFonts w:eastAsia="Calibri" w:cs="Arial"/>
        </w:rPr>
        <w:t>–</w:t>
      </w:r>
      <w:r w:rsidRPr="00E41EA6">
        <w:rPr>
          <w:i/>
        </w:rPr>
        <w:t>2023</w:t>
      </w:r>
      <w:r>
        <w:t xml:space="preserve">. At </w:t>
      </w:r>
      <w:hyperlink r:id="rId136" w:history="1">
        <w:r w:rsidRPr="007237D3">
          <w:rPr>
            <w:rStyle w:val="Hyperlink"/>
          </w:rPr>
          <w:t>http://www.health.gov.au/internet/main/publishing.nsf/Content/AC51639D3C8CD4ECCA257E8B00007AC5/$File/DOH_ImplementationPlan_v3.pdf</w:t>
        </w:r>
      </w:hyperlink>
      <w:r>
        <w:t xml:space="preserve"> </w:t>
      </w:r>
      <w:r>
        <w:rPr>
          <w:lang w:val="en-US"/>
        </w:rPr>
        <w:t xml:space="preserve">(viewed </w:t>
      </w:r>
      <w:r>
        <w:t>30 October 2017</w:t>
      </w:r>
      <w:r>
        <w:rPr>
          <w:lang w:val="en-US"/>
        </w:rPr>
        <w:t xml:space="preserve">); </w:t>
      </w:r>
      <w:r>
        <w:t xml:space="preserve">Australian Human Rights Commission, </w:t>
      </w:r>
      <w:r>
        <w:rPr>
          <w:i/>
        </w:rPr>
        <w:t>Close the Gap Federal Budget Position Paper 2016</w:t>
      </w:r>
      <w:r>
        <w:t xml:space="preserve">. At </w:t>
      </w:r>
      <w:hyperlink r:id="rId137" w:history="1">
        <w:r w:rsidRPr="003652D2">
          <w:rPr>
            <w:rStyle w:val="Hyperlink"/>
          </w:rPr>
          <w:t>http://www.humanrights.gov.au/sites/default/files/2016%20CTG%20Federal%20Budget%20position%20paper.pdf</w:t>
        </w:r>
      </w:hyperlink>
      <w:r>
        <w:t xml:space="preserve"> </w:t>
      </w:r>
      <w:r>
        <w:rPr>
          <w:lang w:val="en-US"/>
        </w:rPr>
        <w:t xml:space="preserve">(viewed </w:t>
      </w:r>
      <w:r>
        <w:t>30 October 2017</w:t>
      </w:r>
      <w:r>
        <w:rPr>
          <w:lang w:val="en-US"/>
        </w:rPr>
        <w:t xml:space="preserve">); </w:t>
      </w:r>
      <w:r>
        <w:t xml:space="preserve">Australian Human Rights Commission, </w:t>
      </w:r>
      <w:r>
        <w:rPr>
          <w:i/>
        </w:rPr>
        <w:t>Close the Gap Progress and priorities report 2016</w:t>
      </w:r>
      <w:r>
        <w:t xml:space="preserve">. At </w:t>
      </w:r>
      <w:hyperlink r:id="rId138" w:history="1">
        <w:r w:rsidRPr="003652D2">
          <w:rPr>
            <w:rStyle w:val="Hyperlink"/>
          </w:rPr>
          <w:t>https://www.humanrights.gov.au/our-work/aboriginal-and-torres-strait-islander-social-justice/publications/close-gap-progress</w:t>
        </w:r>
      </w:hyperlink>
      <w:r>
        <w:t xml:space="preserve"> </w:t>
      </w:r>
      <w:r>
        <w:rPr>
          <w:lang w:val="en-US"/>
        </w:rPr>
        <w:t xml:space="preserve">(viewed </w:t>
      </w:r>
      <w:r>
        <w:t>30 October 2017</w:t>
      </w:r>
      <w:r>
        <w:rPr>
          <w:lang w:val="en-US"/>
        </w:rPr>
        <w:t>).</w:t>
      </w:r>
    </w:p>
  </w:endnote>
  <w:endnote w:id="135">
    <w:p w14:paraId="1A6C34A2" w14:textId="2B5498A9" w:rsidR="00910DFF" w:rsidRDefault="00910DFF" w:rsidP="00B942DB">
      <w:pPr>
        <w:pStyle w:val="EndnoteText"/>
      </w:pPr>
      <w:r>
        <w:rPr>
          <w:rStyle w:val="EndnoteReference"/>
        </w:rPr>
        <w:endnoteRef/>
      </w:r>
      <w:r>
        <w:t xml:space="preserve"> Mutuma Ruteere, </w:t>
      </w:r>
      <w:r>
        <w:rPr>
          <w:i/>
        </w:rPr>
        <w:t xml:space="preserve">Report of the </w:t>
      </w:r>
      <w:r w:rsidRPr="005F60EE">
        <w:rPr>
          <w:i/>
        </w:rPr>
        <w:t>Special Rapporteur on contemporary forms of racism, racial discrimination, xen</w:t>
      </w:r>
      <w:r>
        <w:rPr>
          <w:i/>
        </w:rPr>
        <w:t xml:space="preserve">ophobia and related intolerance on his mission to Australia, </w:t>
      </w:r>
      <w:r>
        <w:t>Human Rights Council, 35</w:t>
      </w:r>
      <w:r w:rsidRPr="005F60EE">
        <w:rPr>
          <w:vertAlign w:val="superscript"/>
        </w:rPr>
        <w:t>th</w:t>
      </w:r>
      <w:r>
        <w:t xml:space="preserve"> sess, UN Doc A/HRC/35/41/Add.2 (9 June 2017) 12</w:t>
      </w:r>
      <w:r>
        <w:rPr>
          <w:rFonts w:eastAsia="Calibri" w:cs="Arial"/>
        </w:rPr>
        <w:t>–</w:t>
      </w:r>
      <w:r>
        <w:t>13 [48]</w:t>
      </w:r>
      <w:r>
        <w:rPr>
          <w:rFonts w:eastAsia="Calibri" w:cs="Arial"/>
        </w:rPr>
        <w:t>–</w:t>
      </w:r>
      <w:r>
        <w:t>[49].</w:t>
      </w:r>
    </w:p>
  </w:endnote>
  <w:endnote w:id="136">
    <w:p w14:paraId="77CA8EC6" w14:textId="1EFBAABE" w:rsidR="00910DFF" w:rsidRDefault="00910DFF" w:rsidP="002F42D8">
      <w:pPr>
        <w:pStyle w:val="EndnoteText"/>
      </w:pPr>
      <w:r>
        <w:rPr>
          <w:rStyle w:val="EndnoteReference"/>
        </w:rPr>
        <w:endnoteRef/>
      </w:r>
      <w:r>
        <w:t xml:space="preserve"> </w:t>
      </w:r>
      <w:r w:rsidRPr="00CA5FF2">
        <w:rPr>
          <w:rFonts w:cs="Arial"/>
        </w:rPr>
        <w:t xml:space="preserve">Mick Gooda, Aboriginal and Torres Strait Islander Social Justice Commissioner, </w:t>
      </w:r>
      <w:r w:rsidRPr="003A7307">
        <w:rPr>
          <w:rFonts w:cs="Arial"/>
        </w:rPr>
        <w:t>Submission to the Senate Standing Committee on Community Affairs</w:t>
      </w:r>
      <w:r w:rsidRPr="00CA5FF2">
        <w:rPr>
          <w:rFonts w:cs="Arial"/>
        </w:rPr>
        <w:t xml:space="preserve">, </w:t>
      </w:r>
      <w:r w:rsidRPr="003A7307">
        <w:rPr>
          <w:rFonts w:cs="Arial"/>
          <w:i/>
        </w:rPr>
        <w:t>Inquiry into the Social</w:t>
      </w:r>
      <w:r w:rsidRPr="00022FE0">
        <w:rPr>
          <w:rFonts w:cs="Arial"/>
          <w:i/>
        </w:rPr>
        <w:t xml:space="preserve"> Security Legislation Amendment (Debit Card Trial) Bill 2015</w:t>
      </w:r>
      <w:r w:rsidRPr="00CA5FF2">
        <w:rPr>
          <w:rFonts w:cs="Arial"/>
        </w:rPr>
        <w:t xml:space="preserve">, </w:t>
      </w:r>
      <w:r>
        <w:rPr>
          <w:rFonts w:cs="Arial"/>
        </w:rPr>
        <w:t xml:space="preserve">6 October 2015, </w:t>
      </w:r>
      <w:r w:rsidRPr="00CA5FF2">
        <w:rPr>
          <w:rFonts w:cs="Arial"/>
        </w:rPr>
        <w:t>5.</w:t>
      </w:r>
    </w:p>
  </w:endnote>
  <w:endnote w:id="137">
    <w:p w14:paraId="13E39231" w14:textId="2B4A4E46" w:rsidR="00910DFF" w:rsidRDefault="00910DFF">
      <w:pPr>
        <w:pStyle w:val="EndnoteText"/>
      </w:pPr>
      <w:r>
        <w:rPr>
          <w:rStyle w:val="EndnoteReference"/>
        </w:rPr>
        <w:endnoteRef/>
      </w:r>
      <w:r>
        <w:t xml:space="preserve"> </w:t>
      </w:r>
      <w:r w:rsidRPr="00CA5FF2">
        <w:rPr>
          <w:rFonts w:cs="Arial"/>
        </w:rPr>
        <w:t>Mick Gooda, Aboriginal and Torres Strait Islander Social Justice Commissioner,</w:t>
      </w:r>
      <w:r>
        <w:rPr>
          <w:rFonts w:cs="Arial"/>
        </w:rPr>
        <w:t xml:space="preserve"> </w:t>
      </w:r>
      <w:r w:rsidRPr="00C42708">
        <w:rPr>
          <w:rFonts w:cs="Arial"/>
          <w:i/>
        </w:rPr>
        <w:t>Social Justice and Native Title Report 2016</w:t>
      </w:r>
      <w:r>
        <w:rPr>
          <w:rFonts w:cs="Arial"/>
        </w:rPr>
        <w:t>, 91</w:t>
      </w:r>
      <w:r>
        <w:rPr>
          <w:rFonts w:eastAsia="Calibri" w:cs="Arial"/>
        </w:rPr>
        <w:t>–</w:t>
      </w:r>
      <w:r>
        <w:rPr>
          <w:rFonts w:cs="Arial"/>
        </w:rPr>
        <w:t xml:space="preserve">92. See also </w:t>
      </w:r>
      <w:r w:rsidRPr="00CA5FF2">
        <w:rPr>
          <w:rFonts w:cs="Arial"/>
        </w:rPr>
        <w:t>Orima Research, ‘Cashless debit card trial evalu</w:t>
      </w:r>
      <w:r>
        <w:rPr>
          <w:rFonts w:cs="Arial"/>
        </w:rPr>
        <w:t>ation: final evaluation report’</w:t>
      </w:r>
      <w:r w:rsidRPr="00CA5FF2">
        <w:rPr>
          <w:rFonts w:cs="Arial"/>
        </w:rPr>
        <w:t xml:space="preserve"> (Department of Social Serv</w:t>
      </w:r>
      <w:r>
        <w:rPr>
          <w:rFonts w:cs="Arial"/>
        </w:rPr>
        <w:t>ices, 2017), 38, showing similar proportions as at June 2017</w:t>
      </w:r>
      <w:r w:rsidRPr="00CA5FF2">
        <w:rPr>
          <w:rFonts w:cs="Arial"/>
        </w:rPr>
        <w:t>.</w:t>
      </w:r>
    </w:p>
  </w:endnote>
  <w:endnote w:id="138">
    <w:p w14:paraId="2CA79492" w14:textId="3CEC927C" w:rsidR="00910DFF" w:rsidRDefault="00910DFF" w:rsidP="002F42D8">
      <w:pPr>
        <w:pStyle w:val="EndnoteText"/>
      </w:pPr>
      <w:r>
        <w:rPr>
          <w:rStyle w:val="EndnoteReference"/>
        </w:rPr>
        <w:endnoteRef/>
      </w:r>
      <w:r>
        <w:t xml:space="preserve"> </w:t>
      </w:r>
      <w:r w:rsidRPr="00CA5FF2">
        <w:rPr>
          <w:rFonts w:cs="Arial"/>
        </w:rPr>
        <w:t xml:space="preserve">Productivity Commission, </w:t>
      </w:r>
      <w:r w:rsidRPr="002D5F85">
        <w:rPr>
          <w:rFonts w:cs="Arial"/>
          <w:i/>
        </w:rPr>
        <w:t>Overcoming Indigenous Disadvantage Report 2016</w:t>
      </w:r>
      <w:r>
        <w:rPr>
          <w:rFonts w:cs="Arial"/>
        </w:rPr>
        <w:t>, 9.31. At</w:t>
      </w:r>
      <w:r w:rsidRPr="00CA5FF2">
        <w:rPr>
          <w:rFonts w:cs="Arial"/>
        </w:rPr>
        <w:t xml:space="preserve"> </w:t>
      </w:r>
      <w:hyperlink r:id="rId139" w:history="1">
        <w:r w:rsidRPr="00CA5FF2">
          <w:rPr>
            <w:rStyle w:val="Hyperlink"/>
            <w:rFonts w:cs="Arial"/>
          </w:rPr>
          <w:t>https://www.pc.gov.au/research/ongoing/overcoming-indigenous-disadvantage/2016/report-documents/oid-2016-chapter9-economic-participation.pdf</w:t>
        </w:r>
      </w:hyperlink>
      <w:r>
        <w:rPr>
          <w:rFonts w:cs="Arial"/>
        </w:rPr>
        <w:t xml:space="preserve"> (viewed 30 October 2017).</w:t>
      </w:r>
    </w:p>
  </w:endnote>
  <w:endnote w:id="139">
    <w:p w14:paraId="6102F34A" w14:textId="729F6640" w:rsidR="00910DFF" w:rsidRDefault="00910DFF">
      <w:pPr>
        <w:pStyle w:val="EndnoteText"/>
      </w:pPr>
      <w:r>
        <w:rPr>
          <w:rStyle w:val="EndnoteReference"/>
        </w:rPr>
        <w:endnoteRef/>
      </w:r>
      <w:r>
        <w:t xml:space="preserve"> Australian Human Rights Commission, Submission No 30 to Senate Standing Committees on Community Affairs, </w:t>
      </w:r>
      <w:r>
        <w:rPr>
          <w:i/>
        </w:rPr>
        <w:t xml:space="preserve">Social Services Legislation Amendment (Cashless Debit Card) Bill 2017, </w:t>
      </w:r>
      <w:r>
        <w:t xml:space="preserve">29 September 2017. At </w:t>
      </w:r>
      <w:hyperlink r:id="rId140" w:history="1">
        <w:r w:rsidRPr="003A675F">
          <w:rPr>
            <w:rStyle w:val="Hyperlink"/>
          </w:rPr>
          <w:t>http://www.aph.gov.au/DocumentStore.ashx?id=1fcbc7ab-effb-4092-bb42-9c743dadf7a5&amp;subId=560832</w:t>
        </w:r>
      </w:hyperlink>
      <w:r>
        <w:t xml:space="preserve"> (viewed 10 October 2017). </w:t>
      </w:r>
      <w:r>
        <w:rPr>
          <w:rFonts w:cs="Arial"/>
        </w:rPr>
        <w:t xml:space="preserve">See also </w:t>
      </w:r>
      <w:r w:rsidRPr="00CA5FF2">
        <w:rPr>
          <w:rFonts w:cs="Arial"/>
        </w:rPr>
        <w:t xml:space="preserve">Australian Human Rights Commission, Submission No 76 to Senate Standing Committees on Community Affairs, </w:t>
      </w:r>
      <w:r w:rsidRPr="00CA5FF2">
        <w:rPr>
          <w:rFonts w:cs="Arial"/>
          <w:i/>
        </w:rPr>
        <w:t>Inquiry into the Welfare Reform and Reinstatement of Racial Discrimination Act Bill 2009 and other Bills</w:t>
      </w:r>
      <w:r w:rsidRPr="00CA5FF2">
        <w:rPr>
          <w:rFonts w:cs="Arial"/>
        </w:rPr>
        <w:t xml:space="preserve"> (10 February 2010), 26.</w:t>
      </w:r>
    </w:p>
  </w:endnote>
  <w:endnote w:id="140">
    <w:p w14:paraId="61C8DBC6" w14:textId="5F6BC355" w:rsidR="00910DFF" w:rsidRPr="002F15AA" w:rsidRDefault="00910DFF" w:rsidP="00C62917">
      <w:pPr>
        <w:pStyle w:val="EndnoteText"/>
        <w:rPr>
          <w:lang w:val="en-US"/>
        </w:rPr>
      </w:pPr>
      <w:r>
        <w:rPr>
          <w:rStyle w:val="EndnoteReference"/>
        </w:rPr>
        <w:endnoteRef/>
      </w:r>
      <w:r>
        <w:t xml:space="preserve"> Australian Human Rights Commission, Submission No 30 to Senate Standing Committees on Community Affairs, </w:t>
      </w:r>
      <w:r>
        <w:rPr>
          <w:i/>
        </w:rPr>
        <w:t xml:space="preserve">Social Services Legislation Amendment (Cashless Debit Card) Bill 2017, </w:t>
      </w:r>
      <w:r>
        <w:t xml:space="preserve">29 September 2017. At </w:t>
      </w:r>
      <w:hyperlink r:id="rId141" w:history="1">
        <w:r w:rsidRPr="003A675F">
          <w:rPr>
            <w:rStyle w:val="Hyperlink"/>
          </w:rPr>
          <w:t>http://www.aph.gov.au/DocumentStore.ashx?id=1fcbc7ab-effb-4092-bb42-9c743dadf7a5&amp;subId=560832</w:t>
        </w:r>
      </w:hyperlink>
      <w:r>
        <w:t xml:space="preserve"> (viewed 10 October 2017). See also Australian Human Rights Commission, </w:t>
      </w:r>
      <w:r w:rsidRPr="002F15AA">
        <w:rPr>
          <w:i/>
          <w:lang w:val="en-US"/>
        </w:rPr>
        <w:t>Social Justice and Native Title Report 2015</w:t>
      </w:r>
      <w:r>
        <w:rPr>
          <w:lang w:val="en-US"/>
        </w:rPr>
        <w:t>, 48</w:t>
      </w:r>
      <w:r>
        <w:rPr>
          <w:rFonts w:eastAsia="Calibri" w:cs="Arial"/>
        </w:rPr>
        <w:t>–</w:t>
      </w:r>
      <w:r>
        <w:rPr>
          <w:lang w:val="en-US"/>
        </w:rPr>
        <w:t xml:space="preserve">61. At </w:t>
      </w:r>
      <w:hyperlink r:id="rId142" w:history="1">
        <w:r w:rsidRPr="003C5B19">
          <w:rPr>
            <w:rStyle w:val="Hyperlink"/>
            <w:lang w:val="en-US"/>
          </w:rPr>
          <w:t>https://www.humanrights.gov.au/our-work/aboriginal-and-torres-strait-islander-social-justice/projects/social-justice-and-native</w:t>
        </w:r>
      </w:hyperlink>
      <w:r>
        <w:rPr>
          <w:lang w:val="en-US"/>
        </w:rPr>
        <w:t xml:space="preserve"> (viewed </w:t>
      </w:r>
      <w:r>
        <w:t>30 October 2017</w:t>
      </w:r>
      <w:r>
        <w:rPr>
          <w:lang w:val="en-US"/>
        </w:rPr>
        <w:t>).</w:t>
      </w:r>
    </w:p>
  </w:endnote>
  <w:endnote w:id="141">
    <w:p w14:paraId="7AED26F1" w14:textId="051DD4D1" w:rsidR="00910DFF" w:rsidRDefault="00910DFF" w:rsidP="009C23BD">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w:t>
      </w:r>
      <w:r>
        <w:rPr>
          <w:color w:val="000000"/>
          <w:szCs w:val="28"/>
          <w:shd w:val="clear" w:color="auto" w:fill="FFFFFF"/>
        </w:rPr>
        <w:t>(</w:t>
      </w:r>
      <w:r w:rsidRPr="0078424E">
        <w:rPr>
          <w:color w:val="000000"/>
          <w:szCs w:val="28"/>
          <w:shd w:val="clear" w:color="auto" w:fill="FFFFFF"/>
        </w:rPr>
        <w:t>Scanlon Foundation, Australian Multicultural Foundation and Monash University,</w:t>
      </w:r>
      <w:r>
        <w:rPr>
          <w:color w:val="000000"/>
          <w:szCs w:val="28"/>
          <w:shd w:val="clear" w:color="auto" w:fill="FFFFFF"/>
        </w:rPr>
        <w:t xml:space="preserve"> 2016)</w:t>
      </w:r>
      <w:r>
        <w:t xml:space="preserve"> 60–61. At </w:t>
      </w:r>
      <w:hyperlink r:id="rId143" w:history="1">
        <w:r w:rsidRPr="008773D3">
          <w:rPr>
            <w:rStyle w:val="Hyperlink"/>
          </w:rPr>
          <w:t>http://scanlonfoundation.org.au/wp-content/uploads/2016/08/Australians-Today.pdf</w:t>
        </w:r>
      </w:hyperlink>
      <w:r>
        <w:t xml:space="preserve"> (viewed 30 October 2017). See </w:t>
      </w:r>
      <w:r>
        <w:rPr>
          <w:lang w:val="en-US"/>
        </w:rPr>
        <w:t xml:space="preserve">Australian Human Rights Commission, </w:t>
      </w:r>
      <w:r>
        <w:rPr>
          <w:i/>
          <w:lang w:val="en-US"/>
        </w:rPr>
        <w:t>Freedom from Discrimination: Report on the 40</w:t>
      </w:r>
      <w:r w:rsidRPr="002B38BB">
        <w:rPr>
          <w:i/>
          <w:vertAlign w:val="superscript"/>
          <w:lang w:val="en-US"/>
        </w:rPr>
        <w:t>th</w:t>
      </w:r>
      <w:r>
        <w:rPr>
          <w:i/>
          <w:lang w:val="en-US"/>
        </w:rPr>
        <w:t xml:space="preserve"> Anniversary of the Racial Discrimination Act</w:t>
      </w:r>
      <w:r>
        <w:rPr>
          <w:lang w:val="en-US"/>
        </w:rPr>
        <w:t xml:space="preserve"> (2015).</w:t>
      </w:r>
      <w:r w:rsidRPr="003A7307">
        <w:t xml:space="preserve"> </w:t>
      </w:r>
      <w:r>
        <w:t xml:space="preserve">At </w:t>
      </w:r>
      <w:hyperlink r:id="rId144" w:history="1">
        <w:r w:rsidRPr="00465FDE">
          <w:rPr>
            <w:rStyle w:val="Hyperlink"/>
          </w:rPr>
          <w:t>https://www.humanrights.gov.au/our-work/race-discrimination/publications/freedom-discrimination-report-40th-anniversary-racial</w:t>
        </w:r>
      </w:hyperlink>
      <w:r>
        <w:t xml:space="preserve"> (viewed 30 October 2017).</w:t>
      </w:r>
    </w:p>
  </w:endnote>
  <w:endnote w:id="142">
    <w:p w14:paraId="76FBE17C" w14:textId="2DA9F689" w:rsidR="00910DFF" w:rsidRPr="0055623E" w:rsidRDefault="00910DFF" w:rsidP="009C23BD">
      <w:pPr>
        <w:pStyle w:val="EndnoteText"/>
        <w:rPr>
          <w:rFonts w:cs="Arial"/>
        </w:rPr>
      </w:pPr>
      <w:r>
        <w:rPr>
          <w:rStyle w:val="EndnoteReference"/>
        </w:rPr>
        <w:endnoteRef/>
      </w:r>
      <w:r>
        <w:t xml:space="preserve"> Fethi Mansouri, </w:t>
      </w:r>
      <w:r>
        <w:rPr>
          <w:i/>
        </w:rPr>
        <w:t>The impact of racism upon the health and wellbeing of young Australians</w:t>
      </w:r>
      <w:r>
        <w:t xml:space="preserve"> (2009) Foundation for </w:t>
      </w:r>
      <w:r w:rsidRPr="00A2549A">
        <w:rPr>
          <w:rFonts w:cs="Arial"/>
        </w:rPr>
        <w:t>Young Australians and the Institute for Citizenship and Glo</w:t>
      </w:r>
      <w:r>
        <w:rPr>
          <w:rFonts w:cs="Arial"/>
        </w:rPr>
        <w:t xml:space="preserve">balisation, Deakin University, </w:t>
      </w:r>
      <w:r w:rsidRPr="00A2549A">
        <w:rPr>
          <w:rFonts w:cs="Arial"/>
        </w:rPr>
        <w:t xml:space="preserve">4. At </w:t>
      </w:r>
      <w:hyperlink r:id="rId145" w:history="1">
        <w:r w:rsidRPr="00E0450A">
          <w:rPr>
            <w:rStyle w:val="Hyperlink"/>
            <w:rFonts w:cs="Arial"/>
            <w:shd w:val="clear" w:color="auto" w:fill="FFFFFF"/>
          </w:rPr>
          <w:t>https://www.fya.org.au/app/theme/default/design/assets/publications/Impact_of_Racism_FYA_report.pdf</w:t>
        </w:r>
      </w:hyperlink>
      <w:r>
        <w:rPr>
          <w:rFonts w:cs="Arial"/>
          <w:color w:val="222222"/>
          <w:shd w:val="clear" w:color="auto" w:fill="FFFFFF"/>
        </w:rPr>
        <w:t xml:space="preserve"> (</w:t>
      </w:r>
      <w:r w:rsidRPr="0055623E">
        <w:rPr>
          <w:rFonts w:cs="Arial"/>
          <w:shd w:val="clear" w:color="auto" w:fill="FFFFFF"/>
        </w:rPr>
        <w:t xml:space="preserve">viewed </w:t>
      </w:r>
      <w:r>
        <w:t>30 October 2017</w:t>
      </w:r>
      <w:r w:rsidRPr="0055623E">
        <w:rPr>
          <w:rFonts w:cs="Arial"/>
          <w:shd w:val="clear" w:color="auto" w:fill="FFFFFF"/>
        </w:rPr>
        <w:t>).</w:t>
      </w:r>
    </w:p>
  </w:endnote>
  <w:endnote w:id="143">
    <w:p w14:paraId="38064EA7" w14:textId="462DD172" w:rsidR="00910DFF" w:rsidRPr="00AB154D" w:rsidRDefault="00910DFF" w:rsidP="009C23BD">
      <w:pPr>
        <w:pStyle w:val="EndnoteText"/>
        <w:rPr>
          <w:lang w:val="en-US"/>
        </w:rPr>
      </w:pPr>
      <w:r>
        <w:rPr>
          <w:rStyle w:val="EndnoteReference"/>
        </w:rPr>
        <w:endnoteRef/>
      </w:r>
      <w:r>
        <w:t xml:space="preserve"> </w:t>
      </w:r>
      <w:r>
        <w:rPr>
          <w:lang w:val="en-US"/>
        </w:rPr>
        <w:t xml:space="preserve">Australian Human Rights Commission, </w:t>
      </w:r>
      <w:r>
        <w:rPr>
          <w:i/>
          <w:lang w:val="en-US"/>
        </w:rPr>
        <w:t>Freedom from Discrimination: Report on the 40</w:t>
      </w:r>
      <w:r w:rsidRPr="00AB154D">
        <w:rPr>
          <w:i/>
          <w:vertAlign w:val="superscript"/>
          <w:lang w:val="en-US"/>
        </w:rPr>
        <w:t>th</w:t>
      </w:r>
      <w:r>
        <w:rPr>
          <w:i/>
          <w:lang w:val="en-US"/>
        </w:rPr>
        <w:t xml:space="preserve"> anniversary of the Racial Discrimination Act</w:t>
      </w:r>
      <w:r>
        <w:rPr>
          <w:lang w:val="en-US"/>
        </w:rPr>
        <w:t xml:space="preserve"> (2015), 38.</w:t>
      </w:r>
      <w:r w:rsidRPr="003A7307">
        <w:t xml:space="preserve"> </w:t>
      </w:r>
      <w:r>
        <w:t xml:space="preserve">At </w:t>
      </w:r>
      <w:hyperlink r:id="rId146" w:history="1">
        <w:r w:rsidRPr="00465FDE">
          <w:rPr>
            <w:rStyle w:val="Hyperlink"/>
          </w:rPr>
          <w:t>https://www.humanrights.gov.au/our-work/race-discrimination/publications/freedom-discrimination-report-40th-anniversary-racial</w:t>
        </w:r>
      </w:hyperlink>
      <w:r>
        <w:t xml:space="preserve"> (viewed 30 October 2017).</w:t>
      </w:r>
    </w:p>
  </w:endnote>
  <w:endnote w:id="144">
    <w:p w14:paraId="65043934" w14:textId="11D89076" w:rsidR="00910DFF" w:rsidRPr="002A60A6" w:rsidRDefault="00910DFF" w:rsidP="002A60A6">
      <w:pPr>
        <w:pStyle w:val="EndnoteText"/>
        <w:rPr>
          <w:lang w:val="en-US"/>
        </w:rPr>
      </w:pPr>
      <w:r>
        <w:rPr>
          <w:rStyle w:val="EndnoteReference"/>
        </w:rPr>
        <w:endnoteRef/>
      </w:r>
      <w:r>
        <w:t xml:space="preserve"> </w:t>
      </w:r>
      <w:r>
        <w:rPr>
          <w:i/>
          <w:lang w:val="en-US"/>
        </w:rPr>
        <w:t xml:space="preserve">Racial Discrimination Act 1975 </w:t>
      </w:r>
      <w:r>
        <w:rPr>
          <w:lang w:val="en-US"/>
        </w:rPr>
        <w:t>(Cth), Pt IIA.</w:t>
      </w:r>
    </w:p>
  </w:endnote>
  <w:endnote w:id="145">
    <w:p w14:paraId="6E13663D" w14:textId="77777777" w:rsidR="00910DFF" w:rsidRPr="0055623E" w:rsidRDefault="00910DFF" w:rsidP="009C23BD">
      <w:pPr>
        <w:pStyle w:val="EndnoteText"/>
      </w:pPr>
      <w:r w:rsidRPr="0055623E">
        <w:rPr>
          <w:rStyle w:val="EndnoteReference"/>
        </w:rPr>
        <w:endnoteRef/>
      </w:r>
      <w:r w:rsidRPr="0055623E">
        <w:t xml:space="preserve"> </w:t>
      </w:r>
      <w:r w:rsidRPr="0055623E">
        <w:rPr>
          <w:i/>
        </w:rPr>
        <w:t>Criminal Code 1995</w:t>
      </w:r>
      <w:r w:rsidRPr="0055623E">
        <w:t xml:space="preserve"> (Cth), cl 80.2A.</w:t>
      </w:r>
    </w:p>
  </w:endnote>
  <w:endnote w:id="146">
    <w:p w14:paraId="79463701" w14:textId="1023FE36" w:rsidR="00910DFF" w:rsidRPr="0055623E" w:rsidRDefault="00910DFF" w:rsidP="009C23BD">
      <w:pPr>
        <w:pStyle w:val="EndnoteText"/>
      </w:pPr>
      <w:r w:rsidRPr="0055623E">
        <w:rPr>
          <w:rStyle w:val="EndnoteReference"/>
        </w:rPr>
        <w:endnoteRef/>
      </w:r>
      <w:r>
        <w:t xml:space="preserve"> </w:t>
      </w:r>
      <w:r>
        <w:rPr>
          <w:lang w:val="en-US"/>
        </w:rPr>
        <w:t xml:space="preserve">Andrew Markus, </w:t>
      </w:r>
      <w:r>
        <w:rPr>
          <w:i/>
          <w:lang w:val="en-US"/>
        </w:rPr>
        <w:t>Mapping Social Cohesion: The Scanlon Foundation surveys 2016</w:t>
      </w:r>
      <w:r>
        <w:rPr>
          <w:lang w:val="en-US"/>
        </w:rPr>
        <w:t xml:space="preserve"> (Monash University, 2016) 3–4, 41–44. At </w:t>
      </w:r>
      <w:hyperlink r:id="rId147" w:history="1">
        <w:r w:rsidRPr="008449CF">
          <w:rPr>
            <w:rStyle w:val="Hyperlink"/>
            <w:lang w:val="en-US"/>
          </w:rPr>
          <w:t>http://scanlonfoundation.org.au/research/surveys</w:t>
        </w:r>
      </w:hyperlink>
      <w:r>
        <w:rPr>
          <w:lang w:val="en-US"/>
        </w:rPr>
        <w:t xml:space="preserve"> (viewed </w:t>
      </w:r>
      <w:r>
        <w:t>30 October 2017</w:t>
      </w:r>
      <w:r>
        <w:rPr>
          <w:lang w:val="en-US"/>
        </w:rPr>
        <w:t>).</w:t>
      </w:r>
    </w:p>
  </w:endnote>
  <w:endnote w:id="147">
    <w:p w14:paraId="15B92384" w14:textId="1498A93F" w:rsidR="00910DFF" w:rsidRDefault="00910DFF" w:rsidP="009C23BD">
      <w:pPr>
        <w:pStyle w:val="EndnoteText"/>
      </w:pPr>
      <w:r w:rsidRPr="0055623E">
        <w:rPr>
          <w:rStyle w:val="EndnoteReference"/>
        </w:rPr>
        <w:endnoteRef/>
      </w:r>
      <w:r w:rsidRPr="0055623E">
        <w:t xml:space="preserve"> </w:t>
      </w:r>
      <w:r>
        <w:t xml:space="preserve">Mutuma Ruteere, </w:t>
      </w:r>
      <w:r>
        <w:rPr>
          <w:i/>
        </w:rPr>
        <w:t xml:space="preserve">Report of the </w:t>
      </w:r>
      <w:r w:rsidRPr="005F60EE">
        <w:rPr>
          <w:i/>
        </w:rPr>
        <w:t>Special Rapporteur on contemporary forms of racism, racial discrimination, xen</w:t>
      </w:r>
      <w:r>
        <w:rPr>
          <w:i/>
        </w:rPr>
        <w:t xml:space="preserve">ophobia and related intolerance on his mission to Australia, </w:t>
      </w:r>
      <w:r>
        <w:t>Human Rights Council, 35</w:t>
      </w:r>
      <w:r w:rsidRPr="005F60EE">
        <w:rPr>
          <w:vertAlign w:val="superscript"/>
        </w:rPr>
        <w:t>th</w:t>
      </w:r>
      <w:r>
        <w:t xml:space="preserve"> sess, UN Doc A/HRC/35/41/Add.2 (9 June 2017) </w:t>
      </w:r>
      <w:r w:rsidRPr="0055623E">
        <w:t xml:space="preserve">15 [59]. See Online Hate Prevention Institute, </w:t>
      </w:r>
      <w:r>
        <w:t>‘</w:t>
      </w:r>
      <w:r w:rsidRPr="0055623E">
        <w:t xml:space="preserve">Spotlight on anti-Muslim Internet </w:t>
      </w:r>
      <w:r>
        <w:t xml:space="preserve">hate: interim report’ (2015). At </w:t>
      </w:r>
      <w:hyperlink r:id="rId148" w:history="1">
        <w:r w:rsidRPr="00211676">
          <w:rPr>
            <w:rStyle w:val="Hyperlink"/>
          </w:rPr>
          <w:t>www.scribd.com/document/292853385/Anti-Muslim-Hate-Online-Interim-Report</w:t>
        </w:r>
      </w:hyperlink>
      <w:r>
        <w:t xml:space="preserve">. </w:t>
      </w:r>
    </w:p>
  </w:endnote>
  <w:endnote w:id="148">
    <w:p w14:paraId="7A94460F" w14:textId="2B77E69A" w:rsidR="00910DFF" w:rsidRDefault="00910DFF" w:rsidP="009C23BD">
      <w:pPr>
        <w:pStyle w:val="EndnoteText"/>
      </w:pPr>
      <w:r>
        <w:rPr>
          <w:rStyle w:val="EndnoteReference"/>
        </w:rPr>
        <w:endnoteRef/>
      </w:r>
      <w:r>
        <w:t xml:space="preserve"> Surveyed Muslims who stated they considered religion to be ‘very important’ in daily life agreed that there is racial prejudice in Australia, at slightly higher rates than the total surveyed Muslim population. Those who agreed that Islam is consistent with Australian norms and society also agreed that there is racial prejudice at slightly higher rates than the total sample. Kevin Dunn et al, ‘The resilience and ordinariness of Australian Muslims: Attitudes and experiences of Muslims Report’ (Western Sydney University, Islamic Sciences and Research Academy, Charles Sturt University, Sydney) 27</w:t>
      </w:r>
      <w:r>
        <w:rPr>
          <w:rFonts w:eastAsia="Calibri" w:cs="Arial"/>
        </w:rPr>
        <w:t>–</w:t>
      </w:r>
      <w:r>
        <w:t xml:space="preserve">28, 32. At </w:t>
      </w:r>
      <w:hyperlink r:id="rId149" w:history="1">
        <w:r w:rsidRPr="00CB7485">
          <w:rPr>
            <w:rStyle w:val="Hyperlink"/>
          </w:rPr>
          <w:t>https://www.westernsydney.edu.au/__data/assets/pdf_file/0008/988793/12441_text_challenging_racism_WEB.pdf</w:t>
        </w:r>
      </w:hyperlink>
      <w:r>
        <w:t xml:space="preserve"> (viewed 30 October 2017). </w:t>
      </w:r>
    </w:p>
  </w:endnote>
  <w:endnote w:id="149">
    <w:p w14:paraId="255095C0" w14:textId="37920B3D" w:rsidR="00910DFF" w:rsidRPr="009A3646" w:rsidRDefault="00910DFF" w:rsidP="009C23BD">
      <w:pPr>
        <w:pStyle w:val="EndnoteText"/>
      </w:pPr>
      <w:r>
        <w:rPr>
          <w:rStyle w:val="EndnoteReference"/>
        </w:rPr>
        <w:endnoteRef/>
      </w:r>
      <w:r>
        <w:t xml:space="preserve"> </w:t>
      </w:r>
      <w:r w:rsidRPr="00E83568">
        <w:t>From September 2014 to September 2015, 280 reported incidents were logged</w:t>
      </w:r>
      <w:r>
        <w:t xml:space="preserve"> with Islamophobia Register Australia</w:t>
      </w:r>
      <w:r w:rsidRPr="00E83568">
        <w:t>, of which 12% were ‘physical incidents’ and 33% were ‘verbal incidents’.</w:t>
      </w:r>
      <w:r>
        <w:t xml:space="preserve"> See: Islamophobia Register Australia, ‘Preliminary Findings Report 01/12/15’ (2015) At </w:t>
      </w:r>
      <w:hyperlink r:id="rId150" w:history="1">
        <w:r w:rsidRPr="000B769B">
          <w:rPr>
            <w:rStyle w:val="Hyperlink"/>
          </w:rPr>
          <w:t>https://www.facebook.com/islamophobiaregisteraustralia/posts/812147742241503</w:t>
        </w:r>
      </w:hyperlink>
      <w:r>
        <w:t xml:space="preserve"> (viewed 30 October 2017). </w:t>
      </w:r>
    </w:p>
  </w:endnote>
  <w:endnote w:id="150">
    <w:p w14:paraId="1F8DBA99" w14:textId="77777777" w:rsidR="00910DFF" w:rsidRPr="008E0668" w:rsidRDefault="00910DFF" w:rsidP="009C23BD">
      <w:pPr>
        <w:pStyle w:val="EndnoteText"/>
      </w:pPr>
      <w:r>
        <w:rPr>
          <w:rStyle w:val="EndnoteReference"/>
        </w:rPr>
        <w:endnoteRef/>
      </w:r>
      <w:r>
        <w:t xml:space="preserve"> Australian Human Rights Commission, </w:t>
      </w:r>
      <w:r>
        <w:rPr>
          <w:i/>
        </w:rPr>
        <w:t>Freedom from Discrimination: Report on the 40</w:t>
      </w:r>
      <w:r w:rsidRPr="00CB093A">
        <w:rPr>
          <w:i/>
          <w:vertAlign w:val="superscript"/>
        </w:rPr>
        <w:t>th</w:t>
      </w:r>
      <w:r>
        <w:rPr>
          <w:i/>
        </w:rPr>
        <w:t xml:space="preserve"> anniversary of the Racial Discrimination Act </w:t>
      </w:r>
      <w:r>
        <w:t xml:space="preserve">(2015) 61. At </w:t>
      </w:r>
      <w:hyperlink r:id="rId151" w:history="1">
        <w:r w:rsidRPr="00465FDE">
          <w:rPr>
            <w:rStyle w:val="Hyperlink"/>
          </w:rPr>
          <w:t>https://www.humanrights.gov.au/our-work/race-discrimination/publications/freedom-discrimination-report-40th-anniversary-racial</w:t>
        </w:r>
      </w:hyperlink>
      <w:r>
        <w:t xml:space="preserve"> (viewed 3 May 2017).</w:t>
      </w:r>
    </w:p>
  </w:endnote>
  <w:endnote w:id="151">
    <w:p w14:paraId="1B3C3CE0" w14:textId="1BF7329C" w:rsidR="00910DFF" w:rsidRDefault="00910DFF" w:rsidP="009C23BD">
      <w:pPr>
        <w:pStyle w:val="EndnoteText"/>
      </w:pPr>
      <w:r>
        <w:rPr>
          <w:rStyle w:val="EndnoteReference"/>
        </w:rPr>
        <w:endnoteRef/>
      </w:r>
      <w:r>
        <w:t xml:space="preserve"> Kevin Dunn et al, ‘The resilience and ordinariness of Australian Muslims: Attitudes and experiences of Muslims Report’ (Western Sydney University, Islamic Sciences and Research Academy, Charles Sturt University, Sydney) 32. At </w:t>
      </w:r>
      <w:hyperlink r:id="rId152" w:history="1">
        <w:r w:rsidRPr="00CB7485">
          <w:rPr>
            <w:rStyle w:val="Hyperlink"/>
          </w:rPr>
          <w:t>https://www.westernsydney.edu.au/__data/assets/pdf_file/0008/988793/12441_text_challenging_racism_WEB.pdf</w:t>
        </w:r>
      </w:hyperlink>
      <w:r>
        <w:t xml:space="preserve"> (viewed 30 October 2017).</w:t>
      </w:r>
    </w:p>
  </w:endnote>
  <w:endnote w:id="152">
    <w:p w14:paraId="70F8272D" w14:textId="0BE95946" w:rsidR="00910DFF" w:rsidRDefault="00910DFF" w:rsidP="009C23BD">
      <w:pPr>
        <w:pStyle w:val="EndnoteText"/>
      </w:pPr>
      <w:r>
        <w:rPr>
          <w:rStyle w:val="EndnoteReference"/>
        </w:rPr>
        <w:endnoteRef/>
      </w:r>
      <w:r>
        <w:t xml:space="preserve"> For example, a participant in Darwin stated that anti-Muslim abuse had led Muslim women to ‘change where they shop, how they shop, their participation in public life’.</w:t>
      </w:r>
    </w:p>
    <w:p w14:paraId="7B03E653" w14:textId="0DA1751A" w:rsidR="00910DFF" w:rsidRDefault="00910DFF" w:rsidP="009C23BD">
      <w:pPr>
        <w:pStyle w:val="EndnoteText"/>
      </w:pPr>
      <w:r>
        <w:t xml:space="preserve">At the Melbourne consultation, one participant reported that a group of Muslim musicians cancelled a public music performance due </w:t>
      </w:r>
      <w:r w:rsidRPr="005025D5">
        <w:t xml:space="preserve">to fear they would be attacked or abused on public transport on their way to the event. See Australian Human Rights Commission, </w:t>
      </w:r>
      <w:r w:rsidRPr="005025D5">
        <w:rPr>
          <w:i/>
        </w:rPr>
        <w:t xml:space="preserve">Freedom from Discrimination: Report on the 40th anniversary of the Racial Discrimination Act </w:t>
      </w:r>
      <w:r w:rsidRPr="005025D5">
        <w:t>(2015) 4</w:t>
      </w:r>
      <w:r>
        <w:t>2</w:t>
      </w:r>
      <w:r w:rsidRPr="005025D5">
        <w:t xml:space="preserve">. At </w:t>
      </w:r>
      <w:hyperlink r:id="rId153" w:history="1">
        <w:r w:rsidRPr="005025D5">
          <w:rPr>
            <w:rStyle w:val="Hyperlink"/>
          </w:rPr>
          <w:t>https://www.humanrights.gov.au/our-work/race-discrimination/publications/freedom-discrimination-report-40th-anniversary-racial</w:t>
        </w:r>
      </w:hyperlink>
      <w:r w:rsidRPr="005025D5">
        <w:t xml:space="preserve"> (viewed 10 October 2017)</w:t>
      </w:r>
      <w:r>
        <w:t xml:space="preserve">. </w:t>
      </w:r>
    </w:p>
  </w:endnote>
  <w:endnote w:id="153">
    <w:p w14:paraId="5FA7FD74" w14:textId="45ACA9D8" w:rsidR="00910DFF" w:rsidRDefault="00910DFF" w:rsidP="009C23BD">
      <w:pPr>
        <w:pStyle w:val="EndnoteText"/>
      </w:pPr>
      <w:r>
        <w:rPr>
          <w:rStyle w:val="EndnoteReference"/>
        </w:rPr>
        <w:endnoteRef/>
      </w:r>
      <w:r>
        <w:t xml:space="preserve"> Andrew Markus, </w:t>
      </w:r>
      <w:r>
        <w:rPr>
          <w:i/>
        </w:rPr>
        <w:t xml:space="preserve">Australians Today: </w:t>
      </w:r>
      <w:r w:rsidRPr="00BF3437">
        <w:rPr>
          <w:i/>
        </w:rPr>
        <w:t>The Australia@2015 Scanlon Foundation Survey</w:t>
      </w:r>
      <w:r>
        <w:t xml:space="preserve"> </w:t>
      </w:r>
      <w:r>
        <w:rPr>
          <w:color w:val="000000"/>
          <w:szCs w:val="28"/>
          <w:shd w:val="clear" w:color="auto" w:fill="FFFFFF"/>
        </w:rPr>
        <w:t>(</w:t>
      </w:r>
      <w:r w:rsidRPr="0078424E">
        <w:rPr>
          <w:color w:val="000000"/>
          <w:szCs w:val="28"/>
          <w:shd w:val="clear" w:color="auto" w:fill="FFFFFF"/>
        </w:rPr>
        <w:t>Scanlon Foundation, Australian Multicultural Foundation and Monash University,</w:t>
      </w:r>
      <w:r>
        <w:rPr>
          <w:color w:val="000000"/>
          <w:szCs w:val="28"/>
          <w:shd w:val="clear" w:color="auto" w:fill="FFFFFF"/>
        </w:rPr>
        <w:t xml:space="preserve"> 2016)</w:t>
      </w:r>
      <w:r>
        <w:t xml:space="preserve"> 62. At </w:t>
      </w:r>
      <w:hyperlink r:id="rId154" w:history="1">
        <w:r w:rsidRPr="008773D3">
          <w:rPr>
            <w:rStyle w:val="Hyperlink"/>
          </w:rPr>
          <w:t>http://scanlonfoundation.org.au/wp-content/uploads/2016/08/Australians-Today.pdf</w:t>
        </w:r>
      </w:hyperlink>
      <w:r>
        <w:t xml:space="preserve"> (viewed 30 October 2017).</w:t>
      </w:r>
    </w:p>
  </w:endnote>
  <w:endnote w:id="154">
    <w:p w14:paraId="4AB33C5B" w14:textId="397BD971" w:rsidR="00910DFF" w:rsidRPr="001570F0" w:rsidRDefault="00910DFF" w:rsidP="009C23BD">
      <w:pPr>
        <w:pStyle w:val="EndnoteText"/>
      </w:pPr>
      <w:r>
        <w:rPr>
          <w:rStyle w:val="EndnoteReference"/>
        </w:rPr>
        <w:endnoteRef/>
      </w:r>
      <w:r>
        <w:t xml:space="preserve"> See, for example, Arnold Bloch Leibler, ‘</w:t>
      </w:r>
      <w:r w:rsidRPr="00BE0FEC">
        <w:t>Racial discrimination action settles</w:t>
      </w:r>
      <w:r>
        <w:t xml:space="preserve">’ (Media Release, 18 February 2013). At </w:t>
      </w:r>
      <w:hyperlink r:id="rId155" w:history="1">
        <w:r w:rsidRPr="008142A8">
          <w:rPr>
            <w:rStyle w:val="Hyperlink"/>
          </w:rPr>
          <w:t>http://www.smartjustice.org.au/cb_pages/files/Media%20Release%20-%20FKCLC%20%26%20ABL%20Feb%202013.pdf</w:t>
        </w:r>
      </w:hyperlink>
      <w:r>
        <w:t xml:space="preserve"> (viewed 15 December 2016); </w:t>
      </w:r>
      <w:r w:rsidRPr="001570F0">
        <w:t>Sarah Farnsworth</w:t>
      </w:r>
      <w:r>
        <w:t>, ‘Young South Sudanese ‘</w:t>
      </w:r>
      <w:r w:rsidRPr="001570F0">
        <w:t>constantly stopped</w:t>
      </w:r>
      <w:r>
        <w:t>’</w:t>
      </w:r>
      <w:r w:rsidRPr="001570F0">
        <w:t xml:space="preserve"> by police, as community grapples with Apex stigma</w:t>
      </w:r>
      <w:r>
        <w:t xml:space="preserve">’, </w:t>
      </w:r>
      <w:r>
        <w:rPr>
          <w:i/>
        </w:rPr>
        <w:t xml:space="preserve">ABC News </w:t>
      </w:r>
      <w:r>
        <w:t xml:space="preserve">(4 December 2016). At </w:t>
      </w:r>
      <w:hyperlink r:id="rId156" w:history="1">
        <w:r w:rsidRPr="008142A8">
          <w:rPr>
            <w:rStyle w:val="Hyperlink"/>
          </w:rPr>
          <w:t>http://www.abc.net.au/news/2016-12-04/young-south-sudanese-constantly-stopped-by-police/8078642</w:t>
        </w:r>
      </w:hyperlink>
      <w:r>
        <w:t xml:space="preserve"> (viewed 15 December 2016).</w:t>
      </w:r>
    </w:p>
  </w:endnote>
  <w:endnote w:id="155">
    <w:p w14:paraId="591F5A81" w14:textId="6700DB0A" w:rsidR="00910DFF" w:rsidRDefault="00910DFF" w:rsidP="009C23BD">
      <w:pPr>
        <w:pStyle w:val="EndnoteText"/>
      </w:pPr>
      <w:r>
        <w:rPr>
          <w:rStyle w:val="EndnoteReference"/>
        </w:rPr>
        <w:endnoteRef/>
      </w:r>
      <w:r>
        <w:t xml:space="preserve"> </w:t>
      </w:r>
      <w:r w:rsidRPr="00497821">
        <w:t>Mutuma Ruteere</w:t>
      </w:r>
      <w:r>
        <w:t>,</w:t>
      </w:r>
      <w:r w:rsidRPr="002D2AC4">
        <w:t xml:space="preserve"> </w:t>
      </w:r>
      <w:r w:rsidRPr="00497821">
        <w:rPr>
          <w:i/>
        </w:rPr>
        <w:t>Report of the Special Rapporteur on contemporary forms of racism, racial discrimination, xenophobia and related intolerance on his mission to Australia</w:t>
      </w:r>
      <w:r>
        <w:t xml:space="preserve">, UN Doc </w:t>
      </w:r>
      <w:r w:rsidRPr="00497821">
        <w:t>A/HRC/35/41/Add.2</w:t>
      </w:r>
      <w:r w:rsidRPr="00497821">
        <w:rPr>
          <w:i/>
        </w:rPr>
        <w:t xml:space="preserve"> </w:t>
      </w:r>
      <w:r w:rsidRPr="00497821">
        <w:t>(</w:t>
      </w:r>
      <w:r>
        <w:t xml:space="preserve">9 June </w:t>
      </w:r>
      <w:r w:rsidRPr="00497821">
        <w:t xml:space="preserve">2017) </w:t>
      </w:r>
      <w:r>
        <w:t>14 [54</w:t>
      </w:r>
      <w:r w:rsidRPr="00497821">
        <w:t xml:space="preserve">]. At </w:t>
      </w:r>
      <w:hyperlink r:id="rId157" w:history="1">
        <w:r w:rsidRPr="00497821">
          <w:rPr>
            <w:rStyle w:val="Hyperlink"/>
          </w:rPr>
          <w:t>http://www.ohchr.org/EN/HRBodies/HRC/RegularSessions/Session35/Documents/A_HRC_35_41_Add_2_EN.docx</w:t>
        </w:r>
      </w:hyperlink>
      <w:r w:rsidRPr="00497821">
        <w:t xml:space="preserve"> (viewed 10 October 2017).</w:t>
      </w:r>
    </w:p>
  </w:endnote>
  <w:endnote w:id="156">
    <w:p w14:paraId="22DFF2D6" w14:textId="10D41118" w:rsidR="00910DFF" w:rsidRDefault="00910DFF" w:rsidP="009C23BD">
      <w:pPr>
        <w:pStyle w:val="EndnoteText"/>
      </w:pPr>
      <w:r>
        <w:rPr>
          <w:rStyle w:val="EndnoteReference"/>
        </w:rPr>
        <w:endnoteRef/>
      </w:r>
      <w:r>
        <w:t xml:space="preserve"> Australian Human Rights Commission, </w:t>
      </w:r>
      <w:r w:rsidRPr="006765B0">
        <w:rPr>
          <w:i/>
        </w:rPr>
        <w:t>In our own words</w:t>
      </w:r>
      <w:r>
        <w:rPr>
          <w:i/>
        </w:rPr>
        <w:t xml:space="preserve"> — </w:t>
      </w:r>
      <w:r w:rsidRPr="006765B0">
        <w:rPr>
          <w:i/>
        </w:rPr>
        <w:t>African Australians: A review of human rights and social inclusion issues</w:t>
      </w:r>
      <w:r>
        <w:rPr>
          <w:i/>
        </w:rPr>
        <w:t xml:space="preserve"> </w:t>
      </w:r>
      <w:r>
        <w:t xml:space="preserve">(2010). At </w:t>
      </w:r>
      <w:hyperlink r:id="rId158" w:history="1">
        <w:r w:rsidRPr="003A675F">
          <w:rPr>
            <w:rStyle w:val="Hyperlink"/>
          </w:rPr>
          <w:t>https://www.humanrights.gov.au/our-work/race-discrimination/projects/our-own-words-african-australians-review-human-rights-and</w:t>
        </w:r>
      </w:hyperlink>
      <w:r>
        <w:t xml:space="preserve"> (viewed 10 October 2017). </w:t>
      </w:r>
    </w:p>
  </w:endnote>
  <w:endnote w:id="157">
    <w:p w14:paraId="0473CBC5" w14:textId="59864323" w:rsidR="00910DFF" w:rsidRDefault="00910DFF" w:rsidP="009C23BD">
      <w:pPr>
        <w:pStyle w:val="EndnoteText"/>
      </w:pPr>
      <w:r>
        <w:rPr>
          <w:rStyle w:val="EndnoteReference"/>
        </w:rPr>
        <w:endnoteRef/>
      </w:r>
      <w:r>
        <w:t xml:space="preserve"> Australian Human Rights Commission, </w:t>
      </w:r>
      <w:r>
        <w:rPr>
          <w:i/>
        </w:rPr>
        <w:t xml:space="preserve">Principles to promote and protect the human rights of international students </w:t>
      </w:r>
      <w:r>
        <w:t xml:space="preserve">(2012). At </w:t>
      </w:r>
      <w:hyperlink r:id="rId159" w:history="1">
        <w:r w:rsidRPr="005E6AA9">
          <w:rPr>
            <w:rStyle w:val="Hyperlink"/>
          </w:rPr>
          <w:t>http://www.humanrights.gov.au/publications/book-principles-promote-and-protect-human-rights-international-students</w:t>
        </w:r>
      </w:hyperlink>
      <w:r>
        <w:t xml:space="preserve"> (viewed 30 October 2017). The Principles were circulated widely to a broad range of stakeholders, including federal, state and territory education ministers, shadow federal education minister and federal, state and territory Departments of Education. See Australian Human Rights Commission, </w:t>
      </w:r>
      <w:r w:rsidRPr="00191A4E">
        <w:rPr>
          <w:i/>
        </w:rPr>
        <w:t>International Students’ Human Rights: a review of the Principles and the issues</w:t>
      </w:r>
      <w:r>
        <w:t xml:space="preserve"> (2015) 7</w:t>
      </w:r>
      <w:r>
        <w:rPr>
          <w:rFonts w:eastAsia="Calibri" w:cs="Arial"/>
        </w:rPr>
        <w:t>–</w:t>
      </w:r>
      <w:r>
        <w:t xml:space="preserve">11. At </w:t>
      </w:r>
      <w:hyperlink r:id="rId160" w:history="1">
        <w:r w:rsidRPr="00E03F9C">
          <w:rPr>
            <w:rStyle w:val="Hyperlink"/>
          </w:rPr>
          <w:t>https://www.humanrights.gov.au/our-work/race-discrimination/publications/international-students-human-rights-review-principles-and</w:t>
        </w:r>
      </w:hyperlink>
      <w:r>
        <w:t xml:space="preserve"> (viewed 29 September 2017).</w:t>
      </w:r>
    </w:p>
  </w:endnote>
  <w:endnote w:id="158">
    <w:p w14:paraId="7F339F80" w14:textId="4F1A0BCD" w:rsidR="00910DFF" w:rsidRDefault="00910DFF" w:rsidP="000542D6">
      <w:pPr>
        <w:pStyle w:val="EndnoteText"/>
      </w:pPr>
      <w:r>
        <w:rPr>
          <w:rStyle w:val="EndnoteReference"/>
        </w:rPr>
        <w:endnoteRef/>
      </w:r>
      <w:r>
        <w:t xml:space="preserve"> International students struggle to find employment. Sometimes this is because employers specifically state employment is for Australian citizens or permanent residents only. Some international students have problems getting past the screening process for a job, possibly due to foreign sounding names. As a result, some try to adopt Western sounding names to get a job interview. Exploitation in employment was also noted by respondents, as occurring in a number of ways including underpayment, no payment for trials, work hours, and pregnancy rights. See Australian Human Rights Commission, </w:t>
      </w:r>
      <w:r w:rsidRPr="00191A4E">
        <w:rPr>
          <w:i/>
        </w:rPr>
        <w:t>International Students’ Human Rights: a review of the Principles and the issues</w:t>
      </w:r>
      <w:r>
        <w:t xml:space="preserve"> (2015) 10. At </w:t>
      </w:r>
      <w:hyperlink r:id="rId161" w:history="1">
        <w:r w:rsidRPr="00E03F9C">
          <w:rPr>
            <w:rStyle w:val="Hyperlink"/>
          </w:rPr>
          <w:t>https://www.humanrights.gov.au/our-work/race-discrimination/publications/international-students-human-rights-review-principles-and</w:t>
        </w:r>
      </w:hyperlink>
      <w:r>
        <w:t xml:space="preserve"> (viewed 29 September 2017).</w:t>
      </w:r>
    </w:p>
  </w:endnote>
  <w:endnote w:id="159">
    <w:p w14:paraId="30580B6A" w14:textId="258D5C1F" w:rsidR="00910DFF" w:rsidRPr="000061ED" w:rsidRDefault="00910DFF" w:rsidP="000542D6">
      <w:pPr>
        <w:pStyle w:val="EndnoteText"/>
      </w:pPr>
      <w:r>
        <w:rPr>
          <w:rStyle w:val="EndnoteReference"/>
        </w:rPr>
        <w:endnoteRef/>
      </w:r>
      <w:r>
        <w:t xml:space="preserve"> I</w:t>
      </w:r>
      <w:r w:rsidRPr="000061ED">
        <w:t xml:space="preserve">ssues relating to accommodation were lack of safety, affordability, overcrowding, lack of proper tenancy, living in accommodation where there are drugs in the property, and living in poor conditions such as not being able to cook, lock doors or use </w:t>
      </w:r>
      <w:r>
        <w:t xml:space="preserve">a ‘proper </w:t>
      </w:r>
      <w:r w:rsidRPr="000061ED">
        <w:t>toilet</w:t>
      </w:r>
      <w:r>
        <w:t>’</w:t>
      </w:r>
      <w:r w:rsidRPr="000061ED">
        <w:t>.</w:t>
      </w:r>
      <w:r w:rsidRPr="003A7307">
        <w:t xml:space="preserve"> </w:t>
      </w:r>
      <w:r>
        <w:t xml:space="preserve">See Australian Human Rights Commission, </w:t>
      </w:r>
      <w:r w:rsidRPr="00191A4E">
        <w:rPr>
          <w:i/>
        </w:rPr>
        <w:t>International Students’ Human Rights: a review of the Principles and the issues</w:t>
      </w:r>
      <w:r>
        <w:t xml:space="preserve"> (2015) 10. At </w:t>
      </w:r>
      <w:hyperlink r:id="rId162" w:history="1">
        <w:r w:rsidRPr="00E03F9C">
          <w:rPr>
            <w:rStyle w:val="Hyperlink"/>
          </w:rPr>
          <w:t>https://www.humanrights.gov.au/our-work/race-discrimination/publications/international-students-human-rights-review-principles-and</w:t>
        </w:r>
      </w:hyperlink>
      <w:r>
        <w:t xml:space="preserve"> (viewed 29 September 2017).</w:t>
      </w:r>
    </w:p>
  </w:endnote>
  <w:endnote w:id="160">
    <w:p w14:paraId="3094831E" w14:textId="77777777" w:rsidR="00910DFF" w:rsidRPr="00735D18" w:rsidRDefault="00910DFF" w:rsidP="000542D6">
      <w:pPr>
        <w:pStyle w:val="EndnoteText"/>
        <w:rPr>
          <w:b/>
        </w:rPr>
      </w:pPr>
      <w:r>
        <w:rPr>
          <w:rStyle w:val="EndnoteReference"/>
        </w:rPr>
        <w:endnoteRef/>
      </w:r>
      <w:r>
        <w:t xml:space="preserve"> Racism was not always the sole or dominant reason for complaints or incidents, but mostly played some part. The coverage in </w:t>
      </w:r>
      <w:r w:rsidRPr="009C57C3">
        <w:t>the mainstream press</w:t>
      </w:r>
      <w:r>
        <w:t xml:space="preserve"> of international students taking local jobs and accommodation, and contributing to overcrowding in cities was identified as ostracising this group from the larger community and leading to social isolation</w:t>
      </w:r>
      <w:r w:rsidRPr="009C57C3">
        <w:t>.</w:t>
      </w:r>
      <w:r>
        <w:t xml:space="preserve"> See Australian Human Rights Commission, </w:t>
      </w:r>
      <w:r w:rsidRPr="00191A4E">
        <w:rPr>
          <w:i/>
        </w:rPr>
        <w:t>International Students’ Human Rights: a review of the Principles and the issues</w:t>
      </w:r>
      <w:r>
        <w:t xml:space="preserve"> (2015) 10. At </w:t>
      </w:r>
      <w:hyperlink r:id="rId163" w:history="1">
        <w:r w:rsidRPr="00E03F9C">
          <w:rPr>
            <w:rStyle w:val="Hyperlink"/>
          </w:rPr>
          <w:t>https://www.humanrights.gov.au/our-work/race-discrimination/publications/international-students-human-rights-review-principles-and</w:t>
        </w:r>
      </w:hyperlink>
      <w:r>
        <w:t xml:space="preserve"> (viewed 29 September 2017).</w:t>
      </w:r>
    </w:p>
  </w:endnote>
  <w:endnote w:id="161">
    <w:p w14:paraId="0163DF35" w14:textId="77777777" w:rsidR="00910DFF" w:rsidRPr="006D668E" w:rsidRDefault="00910DFF" w:rsidP="009C23BD">
      <w:pPr>
        <w:pStyle w:val="EndnoteText"/>
        <w:rPr>
          <w:rFonts w:cs="Arial"/>
          <w:i/>
        </w:rPr>
      </w:pPr>
      <w:r w:rsidRPr="006D668E">
        <w:rPr>
          <w:rStyle w:val="EndnoteReference"/>
          <w:rFonts w:cs="Arial"/>
        </w:rPr>
        <w:endnoteRef/>
      </w:r>
      <w:r w:rsidRPr="006D668E">
        <w:rPr>
          <w:rFonts w:cs="Arial"/>
        </w:rPr>
        <w:t xml:space="preserve"> Australian</w:t>
      </w:r>
      <w:r>
        <w:rPr>
          <w:rFonts w:cs="Arial"/>
        </w:rPr>
        <w:t xml:space="preserve"> Human Rights Commission, </w:t>
      </w:r>
      <w:r>
        <w:rPr>
          <w:rFonts w:cs="Arial"/>
          <w:i/>
        </w:rPr>
        <w:t xml:space="preserve">Change The Course: National Report on Sexual Assault and Sexual Harassment at Australia Universities </w:t>
      </w:r>
      <w:r w:rsidRPr="006D668E">
        <w:rPr>
          <w:rFonts w:cs="Arial"/>
        </w:rPr>
        <w:t>(2017)</w:t>
      </w:r>
      <w:r>
        <w:rPr>
          <w:rFonts w:cs="Arial"/>
        </w:rPr>
        <w:t xml:space="preserve"> 67. At </w:t>
      </w:r>
      <w:hyperlink r:id="rId164" w:history="1">
        <w:r w:rsidRPr="00C42601">
          <w:rPr>
            <w:rStyle w:val="Hyperlink"/>
            <w:rFonts w:cs="Arial"/>
          </w:rPr>
          <w:t>https://www.humanrights.gov.au/sites/default/files/document/publication/AHRC_2017_ChangeTheCourse_UniversityReport.pdf</w:t>
        </w:r>
      </w:hyperlink>
      <w:r>
        <w:rPr>
          <w:rFonts w:cs="Arial"/>
        </w:rPr>
        <w:t xml:space="preserve"> (</w:t>
      </w:r>
      <w:r w:rsidRPr="00BF602B">
        <w:rPr>
          <w:rFonts w:cs="Arial"/>
        </w:rPr>
        <w:t xml:space="preserve">viewed </w:t>
      </w:r>
      <w:r>
        <w:rPr>
          <w:rFonts w:cs="Arial"/>
        </w:rPr>
        <w:t>11 September 2017).</w:t>
      </w:r>
    </w:p>
  </w:endnote>
  <w:endnote w:id="162">
    <w:p w14:paraId="6F769FA3" w14:textId="7E6E32E4"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Lucy Carter, ‘</w:t>
      </w:r>
      <w:r>
        <w:rPr>
          <w:rFonts w:cs="Arial"/>
        </w:rPr>
        <w:t>‘</w:t>
      </w:r>
      <w:r w:rsidRPr="00892424">
        <w:rPr>
          <w:rFonts w:cs="Arial"/>
        </w:rPr>
        <w:t>Burn in hell</w:t>
      </w:r>
      <w:r>
        <w:rPr>
          <w:rFonts w:cs="Arial"/>
        </w:rPr>
        <w:t>’</w:t>
      </w:r>
      <w:r w:rsidRPr="00892424">
        <w:rPr>
          <w:rFonts w:cs="Arial"/>
        </w:rPr>
        <w:t xml:space="preserve">: Hate message taped to door of Newcastle mosque amidst reports of rise in Islamophobia since Paris attack’ (ABC News, 18 November 2015) </w:t>
      </w:r>
      <w:r>
        <w:rPr>
          <w:rFonts w:cs="Arial"/>
        </w:rPr>
        <w:t>At</w:t>
      </w:r>
      <w:r w:rsidRPr="00892424">
        <w:rPr>
          <w:rFonts w:cs="Arial"/>
        </w:rPr>
        <w:t xml:space="preserve"> </w:t>
      </w:r>
      <w:hyperlink r:id="rId165" w:history="1">
        <w:r w:rsidRPr="00892424">
          <w:rPr>
            <w:rStyle w:val="Hyperlink"/>
            <w:rFonts w:cs="Arial"/>
          </w:rPr>
          <w:t>http://www.abc.net.au/news/2015-11-18/hate-message-taped-to-door-of-newcastle-mosque/6951428</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AAP, </w:t>
      </w:r>
      <w:r>
        <w:rPr>
          <w:rFonts w:cs="Arial"/>
        </w:rPr>
        <w:t>‘</w:t>
      </w:r>
      <w:r w:rsidRPr="00892424">
        <w:rPr>
          <w:rFonts w:cs="Arial"/>
        </w:rPr>
        <w:t>Toowoomba mosque fire suspicious: police</w:t>
      </w:r>
      <w:r>
        <w:rPr>
          <w:rFonts w:cs="Arial"/>
        </w:rPr>
        <w:t>’</w:t>
      </w:r>
      <w:r w:rsidRPr="00892424">
        <w:rPr>
          <w:rFonts w:cs="Arial"/>
        </w:rPr>
        <w:t xml:space="preserve"> (Brisbane Times, 24 January 2015)</w:t>
      </w:r>
      <w:r>
        <w:rPr>
          <w:rFonts w:cs="Arial"/>
        </w:rPr>
        <w:t>.</w:t>
      </w:r>
      <w:r w:rsidRPr="00892424">
        <w:rPr>
          <w:rFonts w:cs="Arial"/>
        </w:rPr>
        <w:t xml:space="preserve"> </w:t>
      </w:r>
      <w:r>
        <w:rPr>
          <w:rFonts w:cs="Arial"/>
        </w:rPr>
        <w:t>At</w:t>
      </w:r>
      <w:r w:rsidRPr="00892424">
        <w:rPr>
          <w:rFonts w:cs="Arial"/>
        </w:rPr>
        <w:t xml:space="preserve"> </w:t>
      </w:r>
      <w:hyperlink r:id="rId166" w:history="1">
        <w:r w:rsidRPr="00892424">
          <w:rPr>
            <w:rStyle w:val="Hyperlink"/>
            <w:rFonts w:cs="Arial"/>
          </w:rPr>
          <w:t>http://www.brisbanetimes.com.au/queensland/toowoomba-mosque-fire-suspicious-police-20150124-12xi6s.html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63">
    <w:p w14:paraId="34D71093" w14:textId="753CC986"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Laura Aubusson, ‘Police investigate swastika graffiti on Jewish synagogue’ (Daily Telegraph, 14 April 2016)</w:t>
      </w:r>
      <w:r>
        <w:rPr>
          <w:rFonts w:cs="Arial"/>
        </w:rPr>
        <w:t>.</w:t>
      </w:r>
      <w:r w:rsidRPr="00892424">
        <w:rPr>
          <w:rFonts w:cs="Arial"/>
        </w:rPr>
        <w:t xml:space="preserve"> </w:t>
      </w:r>
      <w:r>
        <w:rPr>
          <w:rFonts w:cs="Arial"/>
        </w:rPr>
        <w:t>At</w:t>
      </w:r>
      <w:r w:rsidRPr="00892424">
        <w:rPr>
          <w:rFonts w:cs="Arial"/>
        </w:rPr>
        <w:t xml:space="preserve"> </w:t>
      </w:r>
      <w:hyperlink r:id="rId167" w:history="1">
        <w:r w:rsidRPr="00892424">
          <w:rPr>
            <w:rStyle w:val="Hyperlink"/>
            <w:rFonts w:cs="Arial"/>
          </w:rPr>
          <w:t>http://www.dailytelegraph.com.au/newslocal/city-east/police-investigate-swastika-graffiti-on-jewish-synagogue/news-story/6b2fd822f1f7853699ced9fcd649dfdb</w:t>
        </w:r>
      </w:hyperlink>
      <w:r>
        <w:rPr>
          <w:rFonts w:cs="Arial"/>
        </w:rPr>
        <w:t xml:space="preserve"> (</w:t>
      </w:r>
      <w:r w:rsidRPr="00BF602B">
        <w:rPr>
          <w:rFonts w:cs="Arial"/>
        </w:rPr>
        <w:t xml:space="preserve">viewed </w:t>
      </w:r>
      <w:r>
        <w:rPr>
          <w:rFonts w:cs="Arial"/>
        </w:rPr>
        <w:t>11 September 2017</w:t>
      </w:r>
      <w:r w:rsidRPr="00892424">
        <w:rPr>
          <w:rFonts w:cs="Arial"/>
        </w:rPr>
        <w:t>);</w:t>
      </w:r>
      <w:r>
        <w:rPr>
          <w:rFonts w:cs="Arial"/>
        </w:rPr>
        <w:t xml:space="preserve"> </w:t>
      </w:r>
      <w:r w:rsidRPr="00892424">
        <w:rPr>
          <w:rFonts w:cs="Arial"/>
        </w:rPr>
        <w:t>Henry Benjamin, ‘Broken Hill synagogue defaced’ (J-Wire, 1 December 2015)</w:t>
      </w:r>
      <w:r>
        <w:rPr>
          <w:rFonts w:cs="Arial"/>
        </w:rPr>
        <w:t>.</w:t>
      </w:r>
      <w:r w:rsidRPr="00892424">
        <w:rPr>
          <w:rFonts w:cs="Arial"/>
        </w:rPr>
        <w:t xml:space="preserve"> </w:t>
      </w:r>
      <w:r>
        <w:rPr>
          <w:rFonts w:cs="Arial"/>
        </w:rPr>
        <w:t>At</w:t>
      </w:r>
      <w:r w:rsidRPr="00892424">
        <w:rPr>
          <w:rFonts w:cs="Arial"/>
        </w:rPr>
        <w:t xml:space="preserve"> </w:t>
      </w:r>
      <w:hyperlink r:id="rId168" w:history="1">
        <w:r w:rsidRPr="00892424">
          <w:rPr>
            <w:rStyle w:val="Hyperlink"/>
            <w:rFonts w:cs="Arial"/>
          </w:rPr>
          <w:t>http://www.jwire.com.au/broken-hill/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4">
    <w:p w14:paraId="39A3AD0C"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ABC News, ‘Graffiti vandals spray swastikas and hate messages on Ukrainian Catholic church in Lidcombe’ (ABC News, 22 June 2014)</w:t>
      </w:r>
      <w:r>
        <w:rPr>
          <w:rFonts w:cs="Arial"/>
        </w:rPr>
        <w:t>.</w:t>
      </w:r>
      <w:r w:rsidRPr="00892424">
        <w:rPr>
          <w:rFonts w:cs="Arial"/>
        </w:rPr>
        <w:t xml:space="preserve"> </w:t>
      </w:r>
      <w:r>
        <w:rPr>
          <w:rFonts w:cs="Arial"/>
        </w:rPr>
        <w:t>At</w:t>
      </w:r>
      <w:r w:rsidRPr="00892424">
        <w:rPr>
          <w:rFonts w:cs="Arial"/>
        </w:rPr>
        <w:t xml:space="preserve"> </w:t>
      </w:r>
      <w:hyperlink r:id="rId169" w:history="1">
        <w:r w:rsidRPr="00892424">
          <w:rPr>
            <w:rStyle w:val="Hyperlink"/>
            <w:rFonts w:cs="Arial"/>
          </w:rPr>
          <w:t>http://www.abc.net.au/news/2014-06-21/swastikas-graffitied-on-side-of-ukranian-church-in-sydney/5540968</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Tracey Prisk, ‘Orange church attacked by vandals: police investigating arson and graffiti’ (Central Western Daily, 23 November 2015) </w:t>
      </w:r>
      <w:r>
        <w:rPr>
          <w:rFonts w:cs="Arial"/>
        </w:rPr>
        <w:t>At</w:t>
      </w:r>
      <w:r w:rsidRPr="00892424">
        <w:rPr>
          <w:rFonts w:cs="Arial"/>
        </w:rPr>
        <w:t xml:space="preserve"> </w:t>
      </w:r>
      <w:hyperlink r:id="rId170" w:history="1">
        <w:r w:rsidRPr="00892424">
          <w:rPr>
            <w:rStyle w:val="Hyperlink"/>
            <w:rFonts w:cs="Arial"/>
          </w:rPr>
          <w:t>http://www.centralwesterndaily.com.au/story/3509341/orange-church-attacked-by-vandals-police-investigating-arson-and-graffiti/</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5">
    <w:p w14:paraId="57327070"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Beau Donelly, ‘Muslims on what it’s like to live in Australia’ (Sydney Morning Herald, 26 May 2016)</w:t>
      </w:r>
      <w:r>
        <w:rPr>
          <w:rFonts w:cs="Arial"/>
        </w:rPr>
        <w:t>.</w:t>
      </w:r>
      <w:r w:rsidRPr="00892424">
        <w:rPr>
          <w:rFonts w:cs="Arial"/>
        </w:rPr>
        <w:t xml:space="preserve"> </w:t>
      </w:r>
      <w:r>
        <w:rPr>
          <w:rFonts w:cs="Arial"/>
        </w:rPr>
        <w:t>At</w:t>
      </w:r>
      <w:r w:rsidRPr="00892424">
        <w:rPr>
          <w:rFonts w:cs="Arial"/>
        </w:rPr>
        <w:t xml:space="preserve"> </w:t>
      </w:r>
      <w:hyperlink r:id="rId171" w:history="1">
        <w:r w:rsidRPr="00892424">
          <w:rPr>
            <w:rStyle w:val="Hyperlink"/>
            <w:rFonts w:cs="Arial"/>
          </w:rPr>
          <w:t>http://www.smh.com.au/national/muslims-on-what-its-like-to-live-in-australia-20160429-goi953.html</w:t>
        </w:r>
      </w:hyperlink>
      <w:r w:rsidRPr="00892424">
        <w:rPr>
          <w:rFonts w:cs="Arial"/>
        </w:rPr>
        <w:t xml:space="preserve"> (</w:t>
      </w:r>
      <w:r w:rsidRPr="00BF602B">
        <w:rPr>
          <w:rFonts w:cs="Arial"/>
        </w:rPr>
        <w:t xml:space="preserve">viewed </w:t>
      </w:r>
      <w:r>
        <w:rPr>
          <w:rFonts w:cs="Arial"/>
        </w:rPr>
        <w:t>11 September 2017</w:t>
      </w:r>
      <w:r w:rsidRPr="00892424">
        <w:rPr>
          <w:rFonts w:cs="Arial"/>
        </w:rPr>
        <w:t>); Heath Aston, ‘Dozens of anti-Muslim attacks as Islamic leaders warn of community fear’ (Sydney Morning Herald, 9 October 2014)</w:t>
      </w:r>
      <w:r>
        <w:rPr>
          <w:rFonts w:cs="Arial"/>
        </w:rPr>
        <w:t>.</w:t>
      </w:r>
      <w:r w:rsidRPr="00892424">
        <w:rPr>
          <w:rFonts w:cs="Arial"/>
        </w:rPr>
        <w:t xml:space="preserve"> </w:t>
      </w:r>
      <w:r>
        <w:rPr>
          <w:rFonts w:cs="Arial"/>
        </w:rPr>
        <w:t>At</w:t>
      </w:r>
      <w:r w:rsidRPr="00892424">
        <w:rPr>
          <w:rFonts w:cs="Arial"/>
        </w:rPr>
        <w:t xml:space="preserve"> </w:t>
      </w:r>
      <w:hyperlink r:id="rId172" w:history="1">
        <w:r w:rsidRPr="00892424">
          <w:rPr>
            <w:rStyle w:val="Hyperlink"/>
            <w:rFonts w:cs="Arial"/>
          </w:rPr>
          <w:t>http://www.smh.com.au/national/dozens-of-antimuslim-attacks-as-islamic-leaders-warn-of-community-fear-20141009-113tmk.html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66">
    <w:p w14:paraId="451052AD" w14:textId="180E9069"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Megan Levy, ‘Teens arrested over racist attack on bus full of Jewish school students’ (Sydney Morning Herald, 7 August 2014)</w:t>
      </w:r>
      <w:r>
        <w:rPr>
          <w:rFonts w:cs="Arial"/>
        </w:rPr>
        <w:t>.</w:t>
      </w:r>
      <w:r w:rsidRPr="00892424">
        <w:rPr>
          <w:rFonts w:cs="Arial"/>
        </w:rPr>
        <w:t xml:space="preserve"> </w:t>
      </w:r>
      <w:r>
        <w:rPr>
          <w:rFonts w:cs="Arial"/>
        </w:rPr>
        <w:t>At</w:t>
      </w:r>
      <w:r w:rsidRPr="00892424">
        <w:rPr>
          <w:rFonts w:cs="Arial"/>
        </w:rPr>
        <w:t xml:space="preserve"> </w:t>
      </w:r>
      <w:hyperlink r:id="rId173" w:history="1">
        <w:r w:rsidRPr="00892424">
          <w:rPr>
            <w:rStyle w:val="Hyperlink"/>
            <w:rFonts w:cs="Arial"/>
          </w:rPr>
          <w:t>http://www.smh.com.au/nsw/teens-arrested-over-racist-attack-on-bus-full-of-jewish-school-students-20140806-101995.html</w:t>
        </w:r>
      </w:hyperlink>
      <w:r w:rsidRPr="00892424">
        <w:rPr>
          <w:rFonts w:cs="Arial"/>
        </w:rPr>
        <w:t xml:space="preserve"> (</w:t>
      </w:r>
      <w:r w:rsidRPr="00BF602B">
        <w:rPr>
          <w:rFonts w:cs="Arial"/>
        </w:rPr>
        <w:t xml:space="preserve">viewed </w:t>
      </w:r>
      <w:r>
        <w:rPr>
          <w:rFonts w:cs="Arial"/>
        </w:rPr>
        <w:t>11 September 2017); Tom Cowie, ‘“G</w:t>
      </w:r>
      <w:r w:rsidRPr="00892424">
        <w:rPr>
          <w:rFonts w:cs="Arial"/>
        </w:rPr>
        <w:t>o back to Israel”: racial attack outside Melbourne synagogue posted online’ (Age, 27 November 2015)</w:t>
      </w:r>
      <w:r>
        <w:rPr>
          <w:rFonts w:cs="Arial"/>
        </w:rPr>
        <w:t>.</w:t>
      </w:r>
      <w:r w:rsidRPr="00892424">
        <w:rPr>
          <w:rFonts w:cs="Arial"/>
        </w:rPr>
        <w:t xml:space="preserve"> </w:t>
      </w:r>
      <w:r>
        <w:rPr>
          <w:rFonts w:cs="Arial"/>
        </w:rPr>
        <w:t>At</w:t>
      </w:r>
      <w:r w:rsidRPr="00892424">
        <w:rPr>
          <w:rFonts w:cs="Arial"/>
        </w:rPr>
        <w:t xml:space="preserve"> </w:t>
      </w:r>
      <w:hyperlink r:id="rId174" w:history="1">
        <w:r w:rsidRPr="00892424">
          <w:rPr>
            <w:rStyle w:val="Hyperlink"/>
            <w:rFonts w:cs="Arial"/>
          </w:rPr>
          <w:t>http://www.theage.com.au/victoria/go-back-to-israel-racial-attack-outside-melbourne-synagogue-posted-online-20151126-gl9gw5.html</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7">
    <w:p w14:paraId="1E409675"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Camille Bianchi, ‘Sikh teen shaken after alleged turban attack on bus’ (SBS News, 4 March 2016)</w:t>
      </w:r>
      <w:r>
        <w:rPr>
          <w:rFonts w:cs="Arial"/>
        </w:rPr>
        <w:t>.</w:t>
      </w:r>
      <w:r w:rsidRPr="00892424">
        <w:rPr>
          <w:rFonts w:cs="Arial"/>
        </w:rPr>
        <w:t xml:space="preserve"> </w:t>
      </w:r>
      <w:r>
        <w:rPr>
          <w:rFonts w:cs="Arial"/>
        </w:rPr>
        <w:t>At</w:t>
      </w:r>
      <w:r w:rsidRPr="00892424">
        <w:rPr>
          <w:rFonts w:cs="Arial"/>
        </w:rPr>
        <w:t xml:space="preserve"> </w:t>
      </w:r>
      <w:hyperlink r:id="rId175" w:history="1">
        <w:r w:rsidRPr="00892424">
          <w:rPr>
            <w:rStyle w:val="Hyperlink"/>
            <w:rFonts w:cs="Arial"/>
          </w:rPr>
          <w:t>http://www.sbs.com.au/news/article/2016/03/03/sikh-teen-shaken-after-alleged-turban-attack-bus</w:t>
        </w:r>
      </w:hyperlink>
      <w:r w:rsidRPr="00892424">
        <w:rPr>
          <w:rFonts w:cs="Arial"/>
        </w:rPr>
        <w:t xml:space="preserve"> (</w:t>
      </w:r>
      <w:r w:rsidRPr="00BF602B">
        <w:rPr>
          <w:rFonts w:cs="Arial"/>
        </w:rPr>
        <w:t xml:space="preserve">viewed </w:t>
      </w:r>
      <w:r>
        <w:rPr>
          <w:rFonts w:cs="Arial"/>
        </w:rPr>
        <w:t>11 September 2017</w:t>
      </w:r>
      <w:r w:rsidRPr="00892424">
        <w:rPr>
          <w:rFonts w:cs="Arial"/>
        </w:rPr>
        <w:t>).</w:t>
      </w:r>
    </w:p>
  </w:endnote>
  <w:endnote w:id="168">
    <w:p w14:paraId="4FD5F0A4" w14:textId="17216C4D"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Australian Human Rights Commission, </w:t>
      </w:r>
      <w:r w:rsidRPr="00892424">
        <w:rPr>
          <w:rFonts w:cs="Arial"/>
          <w:i/>
        </w:rPr>
        <w:t>Freedom from Discrimination: Report on the 40</w:t>
      </w:r>
      <w:r w:rsidRPr="00892424">
        <w:rPr>
          <w:rFonts w:cs="Arial"/>
          <w:i/>
          <w:vertAlign w:val="superscript"/>
        </w:rPr>
        <w:t>th</w:t>
      </w:r>
      <w:r w:rsidRPr="00892424">
        <w:rPr>
          <w:rFonts w:cs="Arial"/>
          <w:i/>
        </w:rPr>
        <w:t xml:space="preserve"> anniversary of the Racial Discrimination Act </w:t>
      </w:r>
      <w:r w:rsidRPr="00892424">
        <w:rPr>
          <w:rFonts w:cs="Arial"/>
        </w:rPr>
        <w:t>(2015) 60</w:t>
      </w:r>
      <w:r>
        <w:rPr>
          <w:rFonts w:cs="Arial"/>
        </w:rPr>
        <w:t>-61</w:t>
      </w:r>
      <w:r w:rsidRPr="00892424">
        <w:rPr>
          <w:rFonts w:cs="Arial"/>
        </w:rPr>
        <w:t xml:space="preserve">. At </w:t>
      </w:r>
      <w:hyperlink r:id="rId176" w:history="1">
        <w:r w:rsidRPr="00892424">
          <w:rPr>
            <w:rStyle w:val="Hyperlink"/>
            <w:rFonts w:cs="Arial"/>
          </w:rPr>
          <w:t>https://www.humanrights.gov.au/our-work/race-discrimination/publications/freedom-discrimination-report-40th-anniversary-racial</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169">
    <w:p w14:paraId="5D7DAEA6" w14:textId="19AD4A21" w:rsidR="00910DFF" w:rsidRDefault="00910DFF" w:rsidP="009C23BD">
      <w:pPr>
        <w:pStyle w:val="EndnoteText"/>
      </w:pPr>
      <w:r>
        <w:rPr>
          <w:rStyle w:val="EndnoteReference"/>
        </w:rPr>
        <w:endnoteRef/>
      </w:r>
      <w:r>
        <w:t xml:space="preserve"> Executive Council of Australian Jewry, </w:t>
      </w:r>
      <w:r>
        <w:rPr>
          <w:i/>
        </w:rPr>
        <w:t xml:space="preserve">Report on Anti-Semitism in Australia 2016 </w:t>
      </w:r>
      <w:r>
        <w:t xml:space="preserve">(2016) 20. At </w:t>
      </w:r>
      <w:hyperlink r:id="rId177" w:history="1">
        <w:r w:rsidRPr="00993653">
          <w:rPr>
            <w:rStyle w:val="Hyperlink"/>
          </w:rPr>
          <w:t>http://www.ecaj.org.au/wp-content/uploads/2012/08/ECAJ-Antisemitism-Report-2016d-WEB.pdf</w:t>
        </w:r>
      </w:hyperlink>
      <w:r>
        <w:t xml:space="preserve"> (viewed 30 October 2017).</w:t>
      </w:r>
    </w:p>
  </w:endnote>
  <w:endnote w:id="170">
    <w:p w14:paraId="39A205CC" w14:textId="09117207" w:rsidR="00910DFF" w:rsidRDefault="00910DFF" w:rsidP="009C23BD">
      <w:pPr>
        <w:pStyle w:val="EndnoteText"/>
      </w:pPr>
      <w:r>
        <w:rPr>
          <w:rStyle w:val="EndnoteReference"/>
        </w:rPr>
        <w:endnoteRef/>
      </w:r>
      <w:r>
        <w:t xml:space="preserve"> Executive Council of Australian Jewry, </w:t>
      </w:r>
      <w:r>
        <w:rPr>
          <w:i/>
        </w:rPr>
        <w:t xml:space="preserve">Report on Anti-Semitism in Australia 2016 </w:t>
      </w:r>
      <w:r>
        <w:t xml:space="preserve">(2016) 24. At </w:t>
      </w:r>
      <w:hyperlink r:id="rId178" w:history="1">
        <w:r w:rsidRPr="00993653">
          <w:rPr>
            <w:rStyle w:val="Hyperlink"/>
          </w:rPr>
          <w:t>http://www.ecaj.org.au/wp-content/uploads/2012/08/ECAJ-Antisemitism-Report-2016d-WEB.pdf</w:t>
        </w:r>
      </w:hyperlink>
      <w:r>
        <w:t xml:space="preserve"> (viewed 30 October 2017).</w:t>
      </w:r>
    </w:p>
  </w:endnote>
  <w:endnote w:id="171">
    <w:p w14:paraId="17C547BE" w14:textId="159B67BD" w:rsidR="00910DFF" w:rsidRDefault="00910DFF" w:rsidP="009C23BD">
      <w:pPr>
        <w:pStyle w:val="EndnoteText"/>
      </w:pPr>
      <w:r>
        <w:rPr>
          <w:rStyle w:val="EndnoteReference"/>
        </w:rPr>
        <w:endnoteRef/>
      </w:r>
      <w:r>
        <w:t xml:space="preserve"> Executive Council of Australian Jewry, </w:t>
      </w:r>
      <w:r>
        <w:rPr>
          <w:i/>
        </w:rPr>
        <w:t xml:space="preserve">Report on Anti-Semitism in Australia 2016 </w:t>
      </w:r>
      <w:r>
        <w:t xml:space="preserve">(2016) 23. At </w:t>
      </w:r>
      <w:hyperlink r:id="rId179" w:history="1">
        <w:r w:rsidRPr="00993653">
          <w:rPr>
            <w:rStyle w:val="Hyperlink"/>
          </w:rPr>
          <w:t>http://www.ecaj.org.au/wp-content/uploads/2012/08/ECAJ-Antisemitism-Report-2016d-WEB.pdf</w:t>
        </w:r>
      </w:hyperlink>
      <w:r>
        <w:t xml:space="preserve"> (viewed 30 October 2017).</w:t>
      </w:r>
    </w:p>
  </w:endnote>
  <w:endnote w:id="172">
    <w:p w14:paraId="065DF555" w14:textId="77777777" w:rsidR="00910DFF" w:rsidRPr="00DB4BC3" w:rsidRDefault="00910DFF" w:rsidP="009C23BD">
      <w:pPr>
        <w:pStyle w:val="EndnoteText"/>
      </w:pPr>
      <w:r>
        <w:rPr>
          <w:rStyle w:val="EndnoteReference"/>
        </w:rPr>
        <w:endnoteRef/>
      </w:r>
      <w:r>
        <w:t xml:space="preserve"> </w:t>
      </w:r>
      <w:r>
        <w:rPr>
          <w:i/>
        </w:rPr>
        <w:t xml:space="preserve">Miller v Wertheim </w:t>
      </w:r>
      <w:r>
        <w:t xml:space="preserve">[2002] FCAFC 156, </w:t>
      </w:r>
      <w:r>
        <w:rPr>
          <w:i/>
        </w:rPr>
        <w:t xml:space="preserve">King-Ansell v Police </w:t>
      </w:r>
      <w:r>
        <w:t xml:space="preserve">[1979] 2 NZLR. </w:t>
      </w:r>
    </w:p>
  </w:endnote>
  <w:endnote w:id="173">
    <w:p w14:paraId="5D995EEC" w14:textId="77777777" w:rsidR="00910DFF" w:rsidRDefault="00910DFF" w:rsidP="009C23BD">
      <w:pPr>
        <w:pStyle w:val="EndnoteText"/>
      </w:pPr>
      <w:r>
        <w:rPr>
          <w:rStyle w:val="EndnoteReference"/>
        </w:rPr>
        <w:endnoteRef/>
      </w:r>
      <w:r>
        <w:t xml:space="preserve"> Australian H</w:t>
      </w:r>
      <w:r w:rsidRPr="005025D5">
        <w:t xml:space="preserve">uman Rights Commission, </w:t>
      </w:r>
      <w:r w:rsidRPr="005025D5">
        <w:rPr>
          <w:i/>
        </w:rPr>
        <w:t xml:space="preserve">Freedom from Discrimination: Report on the 40th anniversary of the Racial Discrimination Act </w:t>
      </w:r>
      <w:r w:rsidRPr="005025D5">
        <w:t xml:space="preserve">(2015) 44. At </w:t>
      </w:r>
      <w:hyperlink r:id="rId180" w:history="1">
        <w:r w:rsidRPr="005025D5">
          <w:rPr>
            <w:rStyle w:val="Hyperlink"/>
          </w:rPr>
          <w:t>https://www.humanrights.gov.au/our-work/race-discrimination/publications/freedom-discrimination-report-40th-anniversary-racial</w:t>
        </w:r>
      </w:hyperlink>
      <w:r w:rsidRPr="005025D5">
        <w:t xml:space="preserve"> (viewed 10 October 2017)</w:t>
      </w:r>
      <w:r>
        <w:t xml:space="preserve"> </w:t>
      </w:r>
    </w:p>
  </w:endnote>
  <w:endnote w:id="174">
    <w:p w14:paraId="5FDB618B" w14:textId="77777777" w:rsidR="00910DFF" w:rsidRPr="009B5AFA" w:rsidRDefault="00910DFF" w:rsidP="009C23BD">
      <w:pPr>
        <w:pStyle w:val="EndnoteText"/>
      </w:pPr>
      <w:r>
        <w:rPr>
          <w:rStyle w:val="EndnoteReference"/>
        </w:rPr>
        <w:endnoteRef/>
      </w:r>
      <w:r>
        <w:t xml:space="preserve"> The Commission has made a submission to the parliamentary inquiry. See Australian Human Rights Commission, Submission No 12 to the Joint Standing Committee on Foreign Affairs, Defence and Trade, Parliament of Australia, </w:t>
      </w:r>
      <w:r>
        <w:rPr>
          <w:i/>
        </w:rPr>
        <w:t xml:space="preserve">Inquiry into the status of the human right to freedom of religion or belief, </w:t>
      </w:r>
      <w:r>
        <w:t xml:space="preserve">28 February 2017. At </w:t>
      </w:r>
      <w:hyperlink r:id="rId181" w:history="1">
        <w:r w:rsidRPr="009B5AFA">
          <w:rPr>
            <w:rStyle w:val="Hyperlink"/>
          </w:rPr>
          <w:t>http://www.aph.gov.au/DocumentStore.ashx?id=23c02ad6-1904-478a-adf0-2da8495c28b4&amp;subId=464627</w:t>
        </w:r>
      </w:hyperlink>
      <w:r w:rsidRPr="009B5AFA">
        <w:t xml:space="preserve"> (</w:t>
      </w:r>
      <w:r w:rsidRPr="00BF602B">
        <w:rPr>
          <w:rFonts w:cs="Arial"/>
        </w:rPr>
        <w:t xml:space="preserve">viewed </w:t>
      </w:r>
      <w:r>
        <w:rPr>
          <w:rFonts w:cs="Arial"/>
        </w:rPr>
        <w:t>11 September 2017</w:t>
      </w:r>
      <w:r w:rsidRPr="009B5AFA">
        <w:t>).</w:t>
      </w:r>
    </w:p>
  </w:endnote>
  <w:endnote w:id="175">
    <w:p w14:paraId="7E39FB37" w14:textId="77777777" w:rsidR="00910DFF" w:rsidRDefault="00910DFF" w:rsidP="009C23BD">
      <w:pPr>
        <w:pStyle w:val="EndnoteText"/>
      </w:pPr>
      <w:r>
        <w:rPr>
          <w:rStyle w:val="EndnoteReference"/>
        </w:rPr>
        <w:endnoteRef/>
      </w:r>
      <w:r>
        <w:t xml:space="preserve"> The 2016 Scanlon Survey found that 59% of Australians considered that the immigration intake was ‘about right’ or ‘too low’. Similarly, 57% of respondents to a 2016 Lowy Institute survey disagreed with the statement that there is ‘too much’ immigration to Australia.</w:t>
      </w:r>
    </w:p>
  </w:endnote>
  <w:endnote w:id="176">
    <w:p w14:paraId="11677880" w14:textId="1F131F57" w:rsidR="00910DFF" w:rsidRDefault="00910DFF" w:rsidP="009C23BD">
      <w:pPr>
        <w:pStyle w:val="EndnoteText"/>
      </w:pPr>
      <w:r>
        <w:rPr>
          <w:rStyle w:val="EndnoteReference"/>
        </w:rPr>
        <w:endnoteRef/>
      </w:r>
      <w:r>
        <w:t xml:space="preserve"> </w:t>
      </w:r>
      <w:r w:rsidRPr="008F2C02">
        <w:t xml:space="preserve">Australian Human Rights Commission, </w:t>
      </w:r>
      <w:r w:rsidRPr="008F2C02">
        <w:rPr>
          <w:i/>
          <w:iCs/>
        </w:rPr>
        <w:t>Freedom from Discrimination: Report on the 40</w:t>
      </w:r>
      <w:r w:rsidRPr="008F2C02">
        <w:rPr>
          <w:i/>
          <w:iCs/>
          <w:vertAlign w:val="superscript"/>
        </w:rPr>
        <w:t>th</w:t>
      </w:r>
      <w:r w:rsidRPr="008F2C02">
        <w:rPr>
          <w:i/>
          <w:iCs/>
        </w:rPr>
        <w:t xml:space="preserve"> Anniversary of the </w:t>
      </w:r>
      <w:r w:rsidRPr="00116D02">
        <w:rPr>
          <w:i/>
        </w:rPr>
        <w:t>Racial Discrimination Act</w:t>
      </w:r>
      <w:r w:rsidRPr="008F2C02">
        <w:t xml:space="preserve"> (2015) 38.</w:t>
      </w:r>
      <w:r>
        <w:t xml:space="preserve"> At </w:t>
      </w:r>
      <w:hyperlink r:id="rId182" w:history="1">
        <w:r w:rsidRPr="008142A8">
          <w:rPr>
            <w:rStyle w:val="Hyperlink"/>
          </w:rPr>
          <w:t>https://www.humanrights.gov.au/our-work/race-discrimination/publications/freedom-discrimination-report-40th-anniversary-racial</w:t>
        </w:r>
      </w:hyperlink>
      <w:r>
        <w:t xml:space="preserve"> (viewed 30 October 2017). </w:t>
      </w:r>
    </w:p>
  </w:endnote>
  <w:endnote w:id="177">
    <w:p w14:paraId="4986825E" w14:textId="65AC6C99" w:rsidR="00910DFF" w:rsidRDefault="00910DFF" w:rsidP="009C23BD">
      <w:pPr>
        <w:pStyle w:val="EndnoteText"/>
      </w:pPr>
      <w:r>
        <w:rPr>
          <w:rStyle w:val="EndnoteReference"/>
        </w:rPr>
        <w:endnoteRef/>
      </w:r>
      <w:r>
        <w:t xml:space="preserve"> Australian Institute of Family Studies, </w:t>
      </w:r>
      <w:r w:rsidRPr="006C0CDE">
        <w:rPr>
          <w:i/>
        </w:rPr>
        <w:t>Settlement experiences of recently arrived humanitarian migrants</w:t>
      </w:r>
      <w:r>
        <w:t xml:space="preserve"> (January 2016). At </w:t>
      </w:r>
      <w:hyperlink r:id="rId183" w:history="1">
        <w:r w:rsidRPr="00B64852">
          <w:rPr>
            <w:rStyle w:val="Hyperlink"/>
          </w:rPr>
          <w:t>https://aifs.gov.au/publications/settlement-experiences-recently-arrived-humanitarian-migrants</w:t>
        </w:r>
      </w:hyperlink>
      <w:r>
        <w:t xml:space="preserve"> (viewed 30 October 2017); Australian Survey Research Group, </w:t>
      </w:r>
      <w:r>
        <w:rPr>
          <w:i/>
        </w:rPr>
        <w:t xml:space="preserve">Settlement outcomes of new arrivals </w:t>
      </w:r>
      <w:r>
        <w:t xml:space="preserve">(April 2011) 1. At </w:t>
      </w:r>
      <w:hyperlink r:id="rId184" w:history="1">
        <w:r w:rsidRPr="00182F08">
          <w:rPr>
            <w:rStyle w:val="Hyperlink"/>
          </w:rPr>
          <w:t>https://www.dss.gov.au/sites/default/files/documents/01_2014/settlement-outcomes-new-arrival_access.pdf</w:t>
        </w:r>
      </w:hyperlink>
      <w:r>
        <w:t xml:space="preserve"> (viewed 30 October 2017).</w:t>
      </w:r>
    </w:p>
  </w:endnote>
  <w:endnote w:id="178">
    <w:p w14:paraId="48442F02" w14:textId="6D6B9945" w:rsidR="00910DFF" w:rsidRPr="00843E25" w:rsidRDefault="00910DFF" w:rsidP="009C23BD">
      <w:pPr>
        <w:pStyle w:val="EndnoteText"/>
        <w:rPr>
          <w:rFonts w:cs="Arial"/>
        </w:rPr>
      </w:pPr>
      <w:r>
        <w:rPr>
          <w:rStyle w:val="EndnoteReference"/>
        </w:rPr>
        <w:endnoteRef/>
      </w:r>
      <w:r>
        <w:t xml:space="preserve"> Graeme Hugo, </w:t>
      </w:r>
      <w:r>
        <w:rPr>
          <w:i/>
        </w:rPr>
        <w:t xml:space="preserve">Economic, Social and Civic Contributions of First and Second Generation </w:t>
      </w:r>
      <w:r w:rsidRPr="00843E25">
        <w:rPr>
          <w:rFonts w:cs="Arial"/>
          <w:i/>
        </w:rPr>
        <w:t>Humanitarian Entrants</w:t>
      </w:r>
      <w:r w:rsidRPr="00843E25">
        <w:rPr>
          <w:rFonts w:cs="Arial"/>
        </w:rPr>
        <w:t xml:space="preserve"> (May 2011)</w:t>
      </w:r>
      <w:r>
        <w:rPr>
          <w:rFonts w:cs="Arial"/>
        </w:rPr>
        <w:t xml:space="preserve"> xxiii. At </w:t>
      </w:r>
      <w:hyperlink r:id="rId185" w:history="1">
        <w:r w:rsidRPr="00216E64">
          <w:rPr>
            <w:rStyle w:val="Hyperlink"/>
            <w:rFonts w:cs="Arial"/>
          </w:rPr>
          <w:t>https://www.border.gov.au/ReportsandPublications/Documents/research/economic-social-civic-contributions-about-the-research2011.pdf</w:t>
        </w:r>
      </w:hyperlink>
      <w:r>
        <w:rPr>
          <w:rStyle w:val="webkit-html-attribute-value"/>
          <w:rFonts w:cs="Arial"/>
          <w:color w:val="222222"/>
        </w:rPr>
        <w:t xml:space="preserve"> (viewed </w:t>
      </w:r>
      <w:r>
        <w:t>30 October 2017</w:t>
      </w:r>
      <w:r>
        <w:rPr>
          <w:rStyle w:val="webkit-html-attribute-value"/>
          <w:rFonts w:cs="Arial"/>
          <w:color w:val="222222"/>
        </w:rPr>
        <w:t>).</w:t>
      </w:r>
    </w:p>
  </w:endnote>
  <w:endnote w:id="179">
    <w:p w14:paraId="7ACC37EA" w14:textId="1F4508C9" w:rsidR="00910DFF" w:rsidRDefault="00910DFF" w:rsidP="009C23BD">
      <w:pPr>
        <w:pStyle w:val="EndnoteText"/>
      </w:pPr>
      <w:r>
        <w:rPr>
          <w:rStyle w:val="EndnoteReference"/>
        </w:rPr>
        <w:endnoteRef/>
      </w:r>
      <w:r>
        <w:t xml:space="preserve"> Parliament of Australia,</w:t>
      </w:r>
      <w:r w:rsidRPr="003A7307">
        <w:rPr>
          <w:i/>
        </w:rPr>
        <w:t xml:space="preserve"> </w:t>
      </w:r>
      <w:r w:rsidRPr="003A7307">
        <w:t>Joint Standing Committee on Migration</w:t>
      </w:r>
      <w:r>
        <w:t xml:space="preserve">, </w:t>
      </w:r>
      <w:r w:rsidRPr="003A7307">
        <w:rPr>
          <w:i/>
        </w:rPr>
        <w:t>Inquiry i</w:t>
      </w:r>
      <w:r>
        <w:rPr>
          <w:i/>
        </w:rPr>
        <w:t>nto Migrant Settlement Outcomes</w:t>
      </w:r>
      <w:r>
        <w:t xml:space="preserve">. At </w:t>
      </w:r>
      <w:hyperlink r:id="rId186" w:history="1">
        <w:r w:rsidRPr="004C5337">
          <w:rPr>
            <w:rStyle w:val="Hyperlink"/>
          </w:rPr>
          <w:t>http://www.aph.gov.au/Parliamentary_Business/Committees/Joint/Migration/settlementoutcomes</w:t>
        </w:r>
      </w:hyperlink>
      <w:r w:rsidRPr="004C5337">
        <w:t xml:space="preserve"> (viewed 10 October 2017).</w:t>
      </w:r>
      <w:r>
        <w:t xml:space="preserve"> </w:t>
      </w:r>
    </w:p>
  </w:endnote>
  <w:endnote w:id="180">
    <w:p w14:paraId="078A0432" w14:textId="77777777" w:rsidR="00910DFF" w:rsidRDefault="00910DFF" w:rsidP="009C23BD">
      <w:pPr>
        <w:pStyle w:val="EndnoteText"/>
      </w:pPr>
      <w:r>
        <w:rPr>
          <w:rStyle w:val="EndnoteReference"/>
        </w:rPr>
        <w:endnoteRef/>
      </w:r>
      <w:r>
        <w:t xml:space="preserve"> Australian Human Rights Commission, Submission No 38 to Joint Standing Committee on Migration, </w:t>
      </w:r>
      <w:r>
        <w:rPr>
          <w:i/>
        </w:rPr>
        <w:t xml:space="preserve">Inquiry into Migrant Settlement </w:t>
      </w:r>
      <w:r w:rsidRPr="00497821">
        <w:rPr>
          <w:i/>
        </w:rPr>
        <w:t>Outcomes</w:t>
      </w:r>
      <w:r>
        <w:t xml:space="preserve">, 31 January 2017. At </w:t>
      </w:r>
      <w:hyperlink r:id="rId187" w:history="1">
        <w:r w:rsidRPr="003A675F">
          <w:rPr>
            <w:rStyle w:val="Hyperlink"/>
          </w:rPr>
          <w:t>http://www.aph.gov.au/DocumentStore.ashx?id=0c5df94b-1a6b-474f-b347-104561a228c1&amp;subId=463063</w:t>
        </w:r>
      </w:hyperlink>
      <w:r>
        <w:t xml:space="preserve"> (viewed 10 October 2017).</w:t>
      </w:r>
    </w:p>
  </w:endnote>
  <w:endnote w:id="181">
    <w:p w14:paraId="54CFB320" w14:textId="77777777" w:rsidR="00910DFF" w:rsidRDefault="00910DFF" w:rsidP="009C23BD">
      <w:pPr>
        <w:pStyle w:val="EndnoteText"/>
      </w:pPr>
      <w:r>
        <w:rPr>
          <w:rStyle w:val="EndnoteReference"/>
        </w:rPr>
        <w:endnoteRef/>
      </w:r>
      <w:r>
        <w:t xml:space="preserve"> For further information on this issue, see </w:t>
      </w:r>
      <w:r w:rsidRPr="007419E0">
        <w:t>Australian Human Rights Commission,</w:t>
      </w:r>
      <w:r w:rsidRPr="00FF5A90">
        <w:rPr>
          <w:i/>
        </w:rPr>
        <w:t xml:space="preserve"> Asylum seekers, refugees and human rights: Snapshot Report (2nd edition)</w:t>
      </w:r>
      <w:r>
        <w:t xml:space="preserve"> (2017) 41–46. At </w:t>
      </w:r>
      <w:hyperlink r:id="rId188" w:history="1">
        <w:r w:rsidRPr="00E92965">
          <w:rPr>
            <w:rStyle w:val="Hyperlink"/>
          </w:rPr>
          <w:t>https://www.humanrights.gov.au/our-work/asylum-seekers-and-refugees/publications/asylum-seekers-refugees-and-human-rights-snapsho-0</w:t>
        </w:r>
      </w:hyperlink>
      <w:r>
        <w:t xml:space="preserve"> (</w:t>
      </w:r>
      <w:r w:rsidRPr="00BF602B">
        <w:rPr>
          <w:rFonts w:cs="Arial"/>
        </w:rPr>
        <w:t xml:space="preserve">viewed </w:t>
      </w:r>
      <w:r>
        <w:rPr>
          <w:rFonts w:cs="Arial"/>
        </w:rPr>
        <w:t>11 September 2017</w:t>
      </w:r>
      <w:r>
        <w:t>).</w:t>
      </w:r>
    </w:p>
  </w:endnote>
  <w:endnote w:id="182">
    <w:p w14:paraId="719B4ED4" w14:textId="57B59561" w:rsidR="00D3461F" w:rsidRDefault="00D3461F" w:rsidP="00D3461F">
      <w:pPr>
        <w:pStyle w:val="EndnoteText"/>
      </w:pPr>
      <w:r>
        <w:rPr>
          <w:rStyle w:val="EndnoteReference"/>
        </w:rPr>
        <w:endnoteRef/>
      </w:r>
      <w:r>
        <w:t xml:space="preserve"> Department of Immigration and Border Protection, IMA Legacy Caseload: Report on the Processing Status and Outcomes (August 2017). At </w:t>
      </w:r>
      <w:hyperlink r:id="rId189" w:history="1">
        <w:r>
          <w:rPr>
            <w:rStyle w:val="Hyperlink"/>
          </w:rPr>
          <w:t>http://www.border.gov.au/ReportsandPublications/Documents/statistics/ima-legacy-caseload-august-2017.pdf</w:t>
        </w:r>
      </w:hyperlink>
      <w:r>
        <w:t xml:space="preserve"> (viewed 30 October 2017).</w:t>
      </w:r>
    </w:p>
  </w:endnote>
  <w:endnote w:id="183">
    <w:p w14:paraId="3F17BEF9"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See </w:t>
      </w:r>
      <w:r w:rsidRPr="00892424">
        <w:rPr>
          <w:rFonts w:cs="Arial"/>
          <w:i/>
        </w:rPr>
        <w:t>NK v Commonwealth of Australia (Department of Immigration and Citizenship)</w:t>
      </w:r>
      <w:r w:rsidRPr="00892424">
        <w:rPr>
          <w:rFonts w:cs="Arial"/>
        </w:rPr>
        <w:t xml:space="preserve"> [2011] AusHRC 43. At </w:t>
      </w:r>
      <w:hyperlink r:id="rId190" w:history="1">
        <w:r w:rsidRPr="00892424">
          <w:rPr>
            <w:rStyle w:val="Hyperlink"/>
            <w:rFonts w:cs="Arial"/>
          </w:rPr>
          <w:t>https://www.humanrights.gov.au/publications/report-no-43-mr-nk-v-commonwealth-australia-department-immigration-and-citizenship-2011</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63C0E">
        <w:rPr>
          <w:rFonts w:cs="Arial"/>
          <w:i/>
        </w:rPr>
        <w:t>Toro-Martinez v Commonwealth of Australia</w:t>
      </w:r>
      <w:r w:rsidRPr="00892424">
        <w:rPr>
          <w:rFonts w:cs="Arial"/>
        </w:rPr>
        <w:t xml:space="preserve"> (Department of Immigration and Citizenship) [2011] AusHRC 44. At </w:t>
      </w:r>
      <w:hyperlink r:id="rId191" w:history="1">
        <w:r w:rsidRPr="00892424">
          <w:rPr>
            <w:rStyle w:val="Hyperlink"/>
            <w:rFonts w:cs="Arial"/>
          </w:rPr>
          <w:t>https://www.humanrights.gov.au/publications/aushrc-44-mr-toro-martinez-v-commonwealth-australia-department-immigration-and</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Al Jenabi v Commonwealth of Australia (Department of Immigration and Citizenship)</w:t>
      </w:r>
      <w:r w:rsidRPr="00892424">
        <w:rPr>
          <w:rFonts w:cs="Arial"/>
        </w:rPr>
        <w:t xml:space="preserve"> [2011] AusHRC 45. At </w:t>
      </w:r>
      <w:hyperlink r:id="rId192" w:history="1">
        <w:r w:rsidRPr="00892424">
          <w:rPr>
            <w:rStyle w:val="Hyperlink"/>
            <w:rFonts w:cs="Arial"/>
          </w:rPr>
          <w:t>https://www.humanrights.gov.au/publications/aushrc-45-mr-al-jenabi-v-commonwealth-australia-department-immigration-and-citizenship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Heyward v Commonwealth of Australia (Department of Immigration and Citizenship)</w:t>
      </w:r>
      <w:r w:rsidRPr="00892424">
        <w:rPr>
          <w:rFonts w:cs="Arial"/>
        </w:rPr>
        <w:t xml:space="preserve"> [2011] AusHRC 47. At </w:t>
      </w:r>
      <w:hyperlink r:id="rId193" w:history="1">
        <w:r w:rsidRPr="00892424">
          <w:rPr>
            <w:rStyle w:val="Hyperlink"/>
            <w:rFonts w:cs="Arial"/>
          </w:rPr>
          <w:t>https://www.humanrights.gov.au/publications/aushrc-47-mr-heyward-v-commonwealth-australia-department-immigration-and-citizenship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Brown v Commonwealth of Australia (Department of Immigration &amp; Citizenship)</w:t>
      </w:r>
      <w:r w:rsidRPr="00892424">
        <w:rPr>
          <w:rFonts w:cs="Arial"/>
        </w:rPr>
        <w:t xml:space="preserve"> [2012] AusHRC 51. At </w:t>
      </w:r>
      <w:hyperlink r:id="rId194" w:history="1">
        <w:r w:rsidRPr="00892424">
          <w:rPr>
            <w:rStyle w:val="Hyperlink"/>
            <w:rFonts w:cs="Arial"/>
          </w:rPr>
          <w:t>https://www.humanrights.gov.au/publications/aushrc-51-brown-v-commonwealth-australia-department-immigration-citizenship</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w:t>
      </w:r>
      <w:r w:rsidRPr="00892424">
        <w:rPr>
          <w:rFonts w:cs="Arial"/>
          <w:i/>
        </w:rPr>
        <w:t xml:space="preserve">Background paper: Human rights issues raised by visa refusal or cancellation under section 501 of the Migration Act </w:t>
      </w:r>
      <w:r w:rsidRPr="00892424">
        <w:rPr>
          <w:rFonts w:cs="Arial"/>
        </w:rPr>
        <w:t xml:space="preserve">(June 2013). At </w:t>
      </w:r>
      <w:hyperlink r:id="rId195" w:history="1">
        <w:r w:rsidRPr="00892424">
          <w:rPr>
            <w:rStyle w:val="Hyperlink"/>
            <w:rFonts w:cs="Arial"/>
          </w:rPr>
          <w:t>https://www.humanrights.gov.au/our-work/asylum-seekers-and-refugees/publications/background-paper-human-rights-issues-raised-visa</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Australian Human Rights Commission, Submission No 8 to the Senate Legal and Constitutional Affairs Legislation Committee, Parliament of Australia, </w:t>
      </w:r>
      <w:r w:rsidRPr="00892424">
        <w:rPr>
          <w:rFonts w:cs="Arial"/>
          <w:i/>
        </w:rPr>
        <w:t>Inquiry into the Migration Amendment (Character and General Visa Cancellation) Bill 2014</w:t>
      </w:r>
      <w:r w:rsidRPr="00892424">
        <w:rPr>
          <w:rFonts w:cs="Arial"/>
        </w:rPr>
        <w:t xml:space="preserve">, 24 October 2014. </w:t>
      </w:r>
      <w:r>
        <w:rPr>
          <w:rFonts w:cs="Arial"/>
        </w:rPr>
        <w:t xml:space="preserve">At </w:t>
      </w:r>
      <w:hyperlink r:id="rId196" w:history="1">
        <w:r w:rsidRPr="000A5C86">
          <w:rPr>
            <w:rStyle w:val="Hyperlink"/>
            <w:rFonts w:cs="Arial"/>
          </w:rPr>
          <w:t>https://www.humanrights.gov.au/sites/default/files/2014.10.28%20Submission%20-%20Final.pdf</w:t>
        </w:r>
      </w:hyperlink>
      <w:r>
        <w:rPr>
          <w:rFonts w:cs="Arial"/>
        </w:rPr>
        <w:t xml:space="preserve"> (</w:t>
      </w:r>
      <w:r w:rsidRPr="00BF602B">
        <w:rPr>
          <w:rFonts w:cs="Arial"/>
        </w:rPr>
        <w:t xml:space="preserve">viewed </w:t>
      </w:r>
      <w:r>
        <w:rPr>
          <w:rFonts w:cs="Arial"/>
        </w:rPr>
        <w:t>11 September 2017).</w:t>
      </w:r>
    </w:p>
  </w:endnote>
  <w:endnote w:id="184">
    <w:p w14:paraId="0D0622F6" w14:textId="77777777" w:rsidR="00910DFF" w:rsidRPr="001420CC" w:rsidRDefault="00910DFF" w:rsidP="009C23BD">
      <w:pPr>
        <w:pStyle w:val="EndnoteText"/>
      </w:pPr>
      <w:r>
        <w:rPr>
          <w:rStyle w:val="EndnoteReference"/>
        </w:rPr>
        <w:endnoteRef/>
      </w:r>
      <w:r>
        <w:t xml:space="preserve"> Police Accountability Project, </w:t>
      </w:r>
      <w:r w:rsidRPr="001420CC">
        <w:rPr>
          <w:i/>
        </w:rPr>
        <w:t>About</w:t>
      </w:r>
      <w:r>
        <w:rPr>
          <w:i/>
        </w:rPr>
        <w:t xml:space="preserve"> the Project</w:t>
      </w:r>
      <w:r>
        <w:t xml:space="preserve"> (2017). At </w:t>
      </w:r>
      <w:hyperlink r:id="rId197" w:history="1">
        <w:r w:rsidRPr="005E2AF5">
          <w:rPr>
            <w:rStyle w:val="Hyperlink"/>
          </w:rPr>
          <w:t>http://www.policeaccountability.org.au/about/</w:t>
        </w:r>
      </w:hyperlink>
      <w:r>
        <w:t xml:space="preserve"> (viewed 12 October 2017). See also Police Accountability Project, </w:t>
      </w:r>
      <w:r>
        <w:rPr>
          <w:i/>
        </w:rPr>
        <w:t>Racial profiling</w:t>
      </w:r>
      <w:r>
        <w:t xml:space="preserve"> (2017). At </w:t>
      </w:r>
      <w:hyperlink r:id="rId198" w:history="1">
        <w:r w:rsidRPr="005E2AF5">
          <w:rPr>
            <w:rStyle w:val="Hyperlink"/>
          </w:rPr>
          <w:t>http://www.policeaccountability.org.au/issues-and-cases/racial-profiling/</w:t>
        </w:r>
      </w:hyperlink>
      <w:r>
        <w:t xml:space="preserve"> (viewed 12 October 2017).</w:t>
      </w:r>
    </w:p>
  </w:endnote>
  <w:endnote w:id="185">
    <w:p w14:paraId="3F77FC4D" w14:textId="14DBE2AB" w:rsidR="00910DFF" w:rsidRPr="0019411F" w:rsidRDefault="00910DFF" w:rsidP="009C23BD">
      <w:pPr>
        <w:pStyle w:val="EndnoteText"/>
        <w:rPr>
          <w:rFonts w:cs="Arial"/>
        </w:rPr>
      </w:pPr>
      <w:r w:rsidRPr="0019411F">
        <w:rPr>
          <w:rStyle w:val="EndnoteReference"/>
          <w:rFonts w:cs="Arial"/>
        </w:rPr>
        <w:endnoteRef/>
      </w:r>
      <w:r w:rsidRPr="0019411F">
        <w:rPr>
          <w:rFonts w:cs="Arial"/>
        </w:rPr>
        <w:t xml:space="preserve"> </w:t>
      </w:r>
      <w:r w:rsidR="00F7745C" w:rsidRPr="00E914A2">
        <w:t xml:space="preserve">Victoria Tauli-Corpuz, United Nations Special Rapporteur on the rights of indigenous peoples, </w:t>
      </w:r>
      <w:r w:rsidR="00F7745C" w:rsidRPr="00E914A2">
        <w:rPr>
          <w:i/>
        </w:rPr>
        <w:t xml:space="preserve">Report of the Special Rapporteur on the rights of indigenous peoples on her visit to Australia, </w:t>
      </w:r>
      <w:r w:rsidR="00F7745C" w:rsidRPr="00E914A2">
        <w:t>UN Doc A/HRC/36/46/Add.2 (8 August 2017)</w:t>
      </w:r>
      <w:r w:rsidR="00F7745C">
        <w:t xml:space="preserve"> 14 [81]</w:t>
      </w:r>
      <w:r w:rsidR="00F7745C" w:rsidRPr="00E914A2">
        <w:t xml:space="preserve">. At </w:t>
      </w:r>
      <w:hyperlink r:id="rId199" w:history="1">
        <w:r w:rsidR="00F7745C" w:rsidRPr="00E914A2">
          <w:rPr>
            <w:rStyle w:val="Hyperlink"/>
          </w:rPr>
          <w:t>http://ap.ohchr.org/documents/dpage_e.aspx?si=A/HRC/36/46/Add.2</w:t>
        </w:r>
      </w:hyperlink>
      <w:r w:rsidR="00F7745C" w:rsidRPr="00E914A2">
        <w:t xml:space="preserve"> (viewed 10 October 2017).</w:t>
      </w:r>
    </w:p>
  </w:endnote>
  <w:endnote w:id="186">
    <w:p w14:paraId="7916F401" w14:textId="77777777" w:rsidR="00910DFF" w:rsidRDefault="00910DFF" w:rsidP="009C23BD">
      <w:pPr>
        <w:pStyle w:val="EndnoteText"/>
      </w:pPr>
      <w:r>
        <w:rPr>
          <w:rStyle w:val="EndnoteReference"/>
        </w:rPr>
        <w:endnoteRef/>
      </w:r>
      <w:r>
        <w:t xml:space="preserve"> Mulrunji was arrested by Senior Sergeant Christopher Hurley for yelling our alleged abuse towards the police. Mulrunji was affected by alcohol, protesting and struggling. He was brought into the Palm Island Police Station, where he had an altercation with Senior Sergeant Hurley. Mulrunji was then dragged limp and unresponsive into a cell. Within an hour, Mulrunji was dead.</w:t>
      </w:r>
    </w:p>
  </w:endnote>
  <w:endnote w:id="187">
    <w:p w14:paraId="009BC8FF" w14:textId="77777777" w:rsidR="00910DFF" w:rsidRPr="0022305E" w:rsidRDefault="00910DFF" w:rsidP="009C23BD">
      <w:pPr>
        <w:pStyle w:val="EndnoteText"/>
      </w:pPr>
      <w:r>
        <w:rPr>
          <w:rStyle w:val="EndnoteReference"/>
        </w:rPr>
        <w:endnoteRef/>
      </w:r>
      <w:r>
        <w:t xml:space="preserve"> </w:t>
      </w:r>
      <w:r>
        <w:rPr>
          <w:i/>
        </w:rPr>
        <w:t xml:space="preserve">Wotton v State of Queensland (No 5) </w:t>
      </w:r>
      <w:r>
        <w:t xml:space="preserve">[2016] FCA 1457. At </w:t>
      </w:r>
      <w:hyperlink r:id="rId200" w:history="1">
        <w:r w:rsidRPr="005E2AF5">
          <w:rPr>
            <w:rStyle w:val="Hyperlink"/>
          </w:rPr>
          <w:t>http://www.judgments.fedcourt.gov.au/judgments/Judgments/fca/single/2016/2016fca1457</w:t>
        </w:r>
      </w:hyperlink>
      <w:r>
        <w:t xml:space="preserve"> (viewed 12 October 2017). See also a summary of the reasons for judgment at </w:t>
      </w:r>
      <w:hyperlink r:id="rId201" w:history="1">
        <w:r w:rsidRPr="005E2AF5">
          <w:rPr>
            <w:rStyle w:val="Hyperlink"/>
          </w:rPr>
          <w:t>http://www.judgments.fedcourt.gov.au/judgments/Judgments/fca/single/2016/2016fca1457/summary/2016fca1457-summary</w:t>
        </w:r>
      </w:hyperlink>
      <w:r>
        <w:t xml:space="preserve"> (viewed 12 October 2017). </w:t>
      </w:r>
    </w:p>
  </w:endnote>
  <w:endnote w:id="188">
    <w:p w14:paraId="737A9136" w14:textId="77777777" w:rsidR="00910DFF" w:rsidRDefault="00910DFF" w:rsidP="009C23BD">
      <w:pPr>
        <w:pStyle w:val="EndnoteText"/>
      </w:pPr>
      <w:r>
        <w:rPr>
          <w:rStyle w:val="EndnoteReference"/>
        </w:rPr>
        <w:endnoteRef/>
      </w:r>
      <w:r>
        <w:t xml:space="preserve"> </w:t>
      </w:r>
      <w:r>
        <w:rPr>
          <w:lang w:val="en-US"/>
        </w:rPr>
        <w:t>Contrary to what would have occurred in an impartial, independent and effective investigation, Senior Sergeant Hurley picked up the investigators from the airport when they arrived and had a meal with them at his house that evening. He was never treated as a suspect, nor promptly removed from the island. The police officers discounted and ignored accounts from Aboriginal witnesses implicating Senior Sergeant Hurley. Incorrect and stereotypical information about Mulrunji and the circumstances of his death was passed to the coroner, while relevant information from Aboriginal witnesses was not passed on.</w:t>
      </w:r>
    </w:p>
  </w:endnote>
  <w:endnote w:id="189">
    <w:p w14:paraId="4021B5C3" w14:textId="77777777" w:rsidR="00910DFF" w:rsidRDefault="00910DFF" w:rsidP="009C23BD">
      <w:pPr>
        <w:pStyle w:val="EndnoteText"/>
      </w:pPr>
      <w:r>
        <w:rPr>
          <w:rStyle w:val="EndnoteReference"/>
        </w:rPr>
        <w:endnoteRef/>
      </w:r>
      <w:r>
        <w:t xml:space="preserve"> For example, by not proactively participating in community meetings and by not providing timely and accurate information about the cause of Mulrunji’s death and the progress of the investigation, which the community was waiting to hear.</w:t>
      </w:r>
    </w:p>
  </w:endnote>
  <w:endnote w:id="190">
    <w:p w14:paraId="2DC74765" w14:textId="77777777" w:rsidR="00910DFF" w:rsidRPr="0022305E" w:rsidRDefault="00910DFF" w:rsidP="00136335">
      <w:pPr>
        <w:pStyle w:val="EndnoteText"/>
      </w:pPr>
      <w:r>
        <w:rPr>
          <w:rStyle w:val="EndnoteReference"/>
        </w:rPr>
        <w:endnoteRef/>
      </w:r>
      <w:r>
        <w:t xml:space="preserve"> </w:t>
      </w:r>
      <w:r>
        <w:rPr>
          <w:i/>
        </w:rPr>
        <w:t xml:space="preserve">Wotton v State of Queensland (No 5) </w:t>
      </w:r>
      <w:r>
        <w:t xml:space="preserve">[2016] FCA 1457. At </w:t>
      </w:r>
      <w:hyperlink r:id="rId202" w:history="1">
        <w:r w:rsidRPr="005E2AF5">
          <w:rPr>
            <w:rStyle w:val="Hyperlink"/>
          </w:rPr>
          <w:t>http://www.judgments.fedcourt.gov.au/judgments/Judgments/fca/single/2016/2016fca1457</w:t>
        </w:r>
      </w:hyperlink>
      <w:r>
        <w:t xml:space="preserve"> (viewed 12 October 2017). See also a summary of the reasons for judgment at </w:t>
      </w:r>
      <w:hyperlink r:id="rId203" w:history="1">
        <w:r w:rsidRPr="005E2AF5">
          <w:rPr>
            <w:rStyle w:val="Hyperlink"/>
          </w:rPr>
          <w:t>http://www.judgments.fedcourt.gov.au/judgments/Judgments/fca/single/2016/2016fca1457/summary/2016fca1457-summary</w:t>
        </w:r>
      </w:hyperlink>
      <w:r>
        <w:t xml:space="preserve"> (viewed 12 October 2017). </w:t>
      </w:r>
    </w:p>
  </w:endnote>
  <w:endnote w:id="191">
    <w:p w14:paraId="6846C37E" w14:textId="7559DD6A" w:rsidR="00910DFF" w:rsidRDefault="00910DFF" w:rsidP="009C23BD">
      <w:pPr>
        <w:pStyle w:val="EndnoteText"/>
      </w:pPr>
      <w:r>
        <w:rPr>
          <w:rStyle w:val="EndnoteReference"/>
        </w:rPr>
        <w:endnoteRef/>
      </w:r>
      <w:r>
        <w:t xml:space="preserve"> </w:t>
      </w:r>
      <w:r>
        <w:rPr>
          <w:i/>
        </w:rPr>
        <w:t xml:space="preserve">Wotton v State of Queensland (No 5) </w:t>
      </w:r>
      <w:r>
        <w:t>[2016] FCA 1457 at [582]</w:t>
      </w:r>
      <w:r>
        <w:rPr>
          <w:rFonts w:eastAsia="Calibri" w:cs="Arial"/>
        </w:rPr>
        <w:t>–</w:t>
      </w:r>
      <w:r>
        <w:t>[634].</w:t>
      </w:r>
    </w:p>
  </w:endnote>
  <w:endnote w:id="192">
    <w:p w14:paraId="7DC6A7D0" w14:textId="3962B1A7" w:rsidR="00910DFF" w:rsidRPr="007B7C38" w:rsidRDefault="00910DFF" w:rsidP="009C23BD">
      <w:pPr>
        <w:pStyle w:val="EndnoteText"/>
      </w:pPr>
      <w:r>
        <w:rPr>
          <w:rStyle w:val="EndnoteReference"/>
        </w:rPr>
        <w:endnoteRef/>
      </w:r>
      <w:r>
        <w:t xml:space="preserve"> Chris O’Brien, ‘</w:t>
      </w:r>
      <w:r w:rsidRPr="005F04FD">
        <w:t>Palm Island riots racism court ruling appeal dropped, Queensland Government says</w:t>
      </w:r>
      <w:r>
        <w:t>’</w:t>
      </w:r>
      <w:r>
        <w:rPr>
          <w:i/>
        </w:rPr>
        <w:t>,</w:t>
      </w:r>
      <w:r>
        <w:t xml:space="preserve"> </w:t>
      </w:r>
      <w:r w:rsidRPr="005F04FD">
        <w:rPr>
          <w:i/>
        </w:rPr>
        <w:t>ABC News</w:t>
      </w:r>
      <w:r>
        <w:t xml:space="preserve"> (online) 28 February 2017. At </w:t>
      </w:r>
      <w:hyperlink r:id="rId204" w:history="1">
        <w:r w:rsidRPr="005E2AF5">
          <w:rPr>
            <w:rStyle w:val="Hyperlink"/>
          </w:rPr>
          <w:t>http://www.abc.net.au/news/2017-02-28/appeal-dropped-palm-island-riots-court-ruling-qld-government/8310044</w:t>
        </w:r>
      </w:hyperlink>
      <w:r>
        <w:t xml:space="preserve"> (viewed 12 October 2017). </w:t>
      </w:r>
    </w:p>
  </w:endnote>
  <w:endnote w:id="193">
    <w:p w14:paraId="4920DE1C" w14:textId="6523BDD5" w:rsidR="00910DFF" w:rsidRPr="00C817A3" w:rsidRDefault="00910DFF" w:rsidP="009C23BD">
      <w:pPr>
        <w:pStyle w:val="EndnoteText"/>
      </w:pPr>
      <w:r>
        <w:rPr>
          <w:rStyle w:val="EndnoteReference"/>
        </w:rPr>
        <w:endnoteRef/>
      </w:r>
      <w:r>
        <w:t xml:space="preserve"> Courtney Bembridge, ‘</w:t>
      </w:r>
      <w:r w:rsidRPr="005F04FD">
        <w:t>Kalgoorlie protest: Community mourns as elders call for action against online racism</w:t>
      </w:r>
      <w:r>
        <w:t xml:space="preserve">’, </w:t>
      </w:r>
      <w:r w:rsidRPr="005F04FD">
        <w:rPr>
          <w:i/>
        </w:rPr>
        <w:t>ABC News</w:t>
      </w:r>
      <w:r>
        <w:t xml:space="preserve"> (online) 31 August 2016. At </w:t>
      </w:r>
      <w:hyperlink r:id="rId205" w:history="1">
        <w:r w:rsidRPr="005E2AF5">
          <w:rPr>
            <w:rStyle w:val="Hyperlink"/>
          </w:rPr>
          <w:t>http://www.abc.net.au/news/2016-08-30/community-mourns-as-elders-call-for-justice-after-riot/7799942</w:t>
        </w:r>
      </w:hyperlink>
      <w:r>
        <w:t xml:space="preserve"> (viewed 12 October 2017); ABC, ‘</w:t>
      </w:r>
      <w:r w:rsidRPr="005F04FD">
        <w:t>Kalgoorlie protest: Arrests made, officers injured in violent riot over teen's death</w:t>
      </w:r>
      <w:r>
        <w:t xml:space="preserve">’, </w:t>
      </w:r>
      <w:r w:rsidRPr="005F04FD">
        <w:rPr>
          <w:i/>
        </w:rPr>
        <w:t>ABC News</w:t>
      </w:r>
      <w:r>
        <w:t xml:space="preserve"> (online) 31 August 2016. At </w:t>
      </w:r>
      <w:hyperlink r:id="rId206" w:history="1">
        <w:r w:rsidRPr="005E2AF5">
          <w:rPr>
            <w:rStyle w:val="Hyperlink"/>
          </w:rPr>
          <w:t>http://www.abc.net.au/news/2016-08-30/protesters-arrested-in-kalgoorlie-riot-after-teens-death/7797804</w:t>
        </w:r>
      </w:hyperlink>
      <w:r>
        <w:t xml:space="preserve"> (viewed 12 October 2017). </w:t>
      </w:r>
    </w:p>
  </w:endnote>
  <w:endnote w:id="194">
    <w:p w14:paraId="0CF5A248" w14:textId="78C6364F" w:rsidR="00910DFF" w:rsidRDefault="00910DFF" w:rsidP="009C23BD">
      <w:pPr>
        <w:pStyle w:val="EndnoteText"/>
      </w:pPr>
      <w:r>
        <w:rPr>
          <w:rStyle w:val="EndnoteReference"/>
        </w:rPr>
        <w:endnoteRef/>
      </w:r>
      <w:r>
        <w:t xml:space="preserve"> Courtney Bembridge, ‘</w:t>
      </w:r>
      <w:r w:rsidRPr="005F04FD">
        <w:t>Kalgoorlie protest: Community mourns as elders call for action against online racism</w:t>
      </w:r>
      <w:r>
        <w:t xml:space="preserve">’, </w:t>
      </w:r>
      <w:r w:rsidRPr="005F04FD">
        <w:rPr>
          <w:i/>
        </w:rPr>
        <w:t>ABC News</w:t>
      </w:r>
      <w:r>
        <w:t xml:space="preserve"> (online) 31 August 2016. At </w:t>
      </w:r>
      <w:hyperlink r:id="rId207" w:history="1">
        <w:r w:rsidRPr="005E2AF5">
          <w:rPr>
            <w:rStyle w:val="Hyperlink"/>
          </w:rPr>
          <w:t>http://www.abc.net.au/news/2016-08-30/community-mourns-as-elders-call-for-justice-after-riot/7799942</w:t>
        </w:r>
      </w:hyperlink>
      <w:r>
        <w:t xml:space="preserve"> (viewed 12 October 2017).</w:t>
      </w:r>
    </w:p>
  </w:endnote>
  <w:endnote w:id="195">
    <w:p w14:paraId="2F341373" w14:textId="4C512CE7" w:rsidR="00910DFF" w:rsidRPr="00C817A3" w:rsidRDefault="00910DFF" w:rsidP="005F04FD">
      <w:pPr>
        <w:pStyle w:val="EndnoteText"/>
      </w:pPr>
      <w:r>
        <w:t>Courtney Bembridge, ‘</w:t>
      </w:r>
      <w:r w:rsidRPr="005F04FD">
        <w:t>Kalgoorlie protest: Community mourns as elders call for action against online racism</w:t>
      </w:r>
      <w:r>
        <w:t xml:space="preserve">’, </w:t>
      </w:r>
      <w:r w:rsidRPr="005F04FD">
        <w:rPr>
          <w:i/>
        </w:rPr>
        <w:t>ABC News</w:t>
      </w:r>
      <w:r>
        <w:t xml:space="preserve"> (online) 31 August 2016. At </w:t>
      </w:r>
      <w:hyperlink r:id="rId208" w:history="1">
        <w:r w:rsidRPr="005E2AF5">
          <w:rPr>
            <w:rStyle w:val="Hyperlink"/>
          </w:rPr>
          <w:t>http://www.abc.net.au/news/2016-08-30/community-mourns-as-elders-call-for-justice-after-riot/7799942</w:t>
        </w:r>
      </w:hyperlink>
      <w:r>
        <w:t xml:space="preserve"> (viewed 12 October 2017);</w:t>
      </w:r>
      <w:r w:rsidRPr="005F04FD">
        <w:t xml:space="preserve"> </w:t>
      </w:r>
      <w:r>
        <w:t>ABC, ‘</w:t>
      </w:r>
      <w:r w:rsidRPr="005F04FD">
        <w:t>Kalgoorlie protest: Arrests made, officers injured in violent riot over teen's death</w:t>
      </w:r>
      <w:r>
        <w:t xml:space="preserve">’, </w:t>
      </w:r>
      <w:r w:rsidRPr="005F04FD">
        <w:rPr>
          <w:i/>
        </w:rPr>
        <w:t>ABC News</w:t>
      </w:r>
      <w:r>
        <w:t xml:space="preserve"> (online) 31 August 2016. At </w:t>
      </w:r>
      <w:hyperlink r:id="rId209" w:history="1">
        <w:r w:rsidRPr="005E2AF5">
          <w:rPr>
            <w:rStyle w:val="Hyperlink"/>
          </w:rPr>
          <w:t>http://www.abc.net.au/news/2016-08-30/protesters-arrested-in-kalgoorlie-riot-after-teens-death/7797804</w:t>
        </w:r>
      </w:hyperlink>
      <w:r>
        <w:t xml:space="preserve"> (viewed 12 October 2017).</w:t>
      </w:r>
    </w:p>
  </w:endnote>
  <w:endnote w:id="196">
    <w:p w14:paraId="24D62E38" w14:textId="2004FE3D" w:rsidR="00910DFF" w:rsidRPr="00C817A3" w:rsidRDefault="00910DFF" w:rsidP="005F04FD">
      <w:pPr>
        <w:pStyle w:val="EndnoteText"/>
      </w:pPr>
      <w:r>
        <w:rPr>
          <w:rStyle w:val="EndnoteReference"/>
        </w:rPr>
        <w:endnoteRef/>
      </w:r>
      <w:r>
        <w:t>Courtney Bembridge, ‘</w:t>
      </w:r>
      <w:r w:rsidRPr="005F04FD">
        <w:t>Kalgoorlie protest: Community mourns as elders call for action against online racism</w:t>
      </w:r>
      <w:r>
        <w:t xml:space="preserve">’, </w:t>
      </w:r>
      <w:r w:rsidRPr="005F04FD">
        <w:rPr>
          <w:i/>
        </w:rPr>
        <w:t>ABC News</w:t>
      </w:r>
      <w:r>
        <w:t xml:space="preserve"> (online) 31 August 2016. At </w:t>
      </w:r>
      <w:hyperlink r:id="rId210" w:history="1">
        <w:r w:rsidRPr="005E2AF5">
          <w:rPr>
            <w:rStyle w:val="Hyperlink"/>
          </w:rPr>
          <w:t>http://www.abc.net.au/news/2016-08-30/community-mourns-as-elders-call-for-justice-after-riot/7799942</w:t>
        </w:r>
      </w:hyperlink>
      <w:r>
        <w:t xml:space="preserve"> (viewed 12 October 2017); ABC, ‘</w:t>
      </w:r>
      <w:r w:rsidRPr="005F04FD">
        <w:t>Kalgoorlie protest: Arrests made, officers injured in violent riot over teen's death</w:t>
      </w:r>
      <w:r>
        <w:t xml:space="preserve">’, </w:t>
      </w:r>
      <w:r w:rsidRPr="005F04FD">
        <w:rPr>
          <w:i/>
        </w:rPr>
        <w:t>ABC News</w:t>
      </w:r>
      <w:r>
        <w:t xml:space="preserve"> (online) 31 August 2016. At </w:t>
      </w:r>
      <w:hyperlink r:id="rId211" w:history="1">
        <w:r w:rsidRPr="005E2AF5">
          <w:rPr>
            <w:rStyle w:val="Hyperlink"/>
          </w:rPr>
          <w:t>http://www.abc.net.au/news/2016-08-30/protesters-arrested-in-kalgoorlie-riot-after-teens-death/7797804</w:t>
        </w:r>
      </w:hyperlink>
      <w:r>
        <w:t xml:space="preserve"> (viewed 12 October 2017).</w:t>
      </w:r>
    </w:p>
  </w:endnote>
  <w:endnote w:id="197">
    <w:p w14:paraId="465F49EC" w14:textId="716DAB09" w:rsidR="00910DFF" w:rsidRPr="00CB5F21" w:rsidRDefault="00910DFF" w:rsidP="009C23BD">
      <w:pPr>
        <w:pStyle w:val="EndnoteText"/>
      </w:pPr>
      <w:r>
        <w:rPr>
          <w:rStyle w:val="EndnoteReference"/>
        </w:rPr>
        <w:endnoteRef/>
      </w:r>
      <w:r>
        <w:t xml:space="preserve"> Heather McNeill, ‘</w:t>
      </w:r>
      <w:r w:rsidRPr="005F04FD">
        <w:t>Kalgoorlie riot accused walks free after winning appeal</w:t>
      </w:r>
      <w:r>
        <w:t xml:space="preserve">’, </w:t>
      </w:r>
      <w:r w:rsidRPr="005F04FD">
        <w:rPr>
          <w:i/>
        </w:rPr>
        <w:t>WA Today</w:t>
      </w:r>
      <w:r>
        <w:t xml:space="preserve"> (online) (6 October 2017). At </w:t>
      </w:r>
      <w:hyperlink r:id="rId212" w:history="1">
        <w:r w:rsidRPr="005E2AF5">
          <w:rPr>
            <w:rStyle w:val="Hyperlink"/>
          </w:rPr>
          <w:t>http://www.watoday.com.au/wa-news/kalgoorlie-riot-accused-walks-free-after-winning-appeal-20171005-gyv5n5.html</w:t>
        </w:r>
      </w:hyperlink>
      <w:r>
        <w:t xml:space="preserve"> (viewed 12 October 2017). </w:t>
      </w:r>
    </w:p>
  </w:endnote>
  <w:endnote w:id="198">
    <w:p w14:paraId="6EB3B711" w14:textId="7A78FAD6" w:rsidR="00910DFF" w:rsidRPr="00CB5F21" w:rsidRDefault="00910DFF" w:rsidP="001C41DA">
      <w:pPr>
        <w:pStyle w:val="EndnoteText"/>
      </w:pPr>
      <w:r>
        <w:rPr>
          <w:rStyle w:val="EndnoteReference"/>
        </w:rPr>
        <w:endnoteRef/>
      </w:r>
      <w:r>
        <w:t xml:space="preserve"> Heather McNeill, </w:t>
      </w:r>
      <w:r w:rsidRPr="005F04FD">
        <w:t>‘Kalgoorlie riot accused walks free after winning appeal</w:t>
      </w:r>
      <w:r>
        <w:t xml:space="preserve">’, </w:t>
      </w:r>
      <w:r w:rsidRPr="005F04FD">
        <w:rPr>
          <w:i/>
        </w:rPr>
        <w:t>WA Today</w:t>
      </w:r>
      <w:r>
        <w:t xml:space="preserve"> (online) (6 October 2017). At </w:t>
      </w:r>
      <w:hyperlink r:id="rId213" w:history="1">
        <w:r w:rsidRPr="005E2AF5">
          <w:rPr>
            <w:rStyle w:val="Hyperlink"/>
          </w:rPr>
          <w:t>http://www.watoday.com.au/wa-news/kalgoorlie-riot-accused-walks-free-after-winning-appeal-20171005-gyv5n5.html</w:t>
        </w:r>
      </w:hyperlink>
      <w:r>
        <w:t xml:space="preserve"> (viewed 12 October 2017). </w:t>
      </w:r>
    </w:p>
  </w:endnote>
  <w:endnote w:id="199">
    <w:p w14:paraId="018882D0" w14:textId="15C00524" w:rsidR="00910DFF" w:rsidRPr="00CB5F21" w:rsidRDefault="00910DFF" w:rsidP="001C41DA">
      <w:pPr>
        <w:pStyle w:val="EndnoteText"/>
      </w:pPr>
      <w:r>
        <w:rPr>
          <w:rStyle w:val="EndnoteReference"/>
        </w:rPr>
        <w:endnoteRef/>
      </w:r>
      <w:r>
        <w:t xml:space="preserve"> Heather McNeill, </w:t>
      </w:r>
      <w:r w:rsidRPr="005F04FD">
        <w:t>‘Kalgoorlie riot accused walks free after winning appeal</w:t>
      </w:r>
      <w:r>
        <w:t xml:space="preserve">’, </w:t>
      </w:r>
      <w:r w:rsidRPr="005F04FD">
        <w:rPr>
          <w:i/>
        </w:rPr>
        <w:t>WA Today</w:t>
      </w:r>
      <w:r>
        <w:t xml:space="preserve"> (online) (6 October 2017). At </w:t>
      </w:r>
      <w:hyperlink r:id="rId214" w:history="1">
        <w:r w:rsidRPr="005E2AF5">
          <w:rPr>
            <w:rStyle w:val="Hyperlink"/>
          </w:rPr>
          <w:t>http://www.watoday.com.au/wa-news/kalgoorlie-riot-accused-walks-free-after-winning-appeal-20171005-gyv5n5.html</w:t>
        </w:r>
      </w:hyperlink>
      <w:r>
        <w:t xml:space="preserve"> (viewed 12 October 2017). </w:t>
      </w:r>
    </w:p>
  </w:endnote>
  <w:endnote w:id="200">
    <w:p w14:paraId="50A3AB30" w14:textId="77777777" w:rsidR="00910DFF" w:rsidRPr="009E4461" w:rsidRDefault="00910DFF" w:rsidP="009C23BD">
      <w:pPr>
        <w:pStyle w:val="EndnoteText"/>
      </w:pPr>
      <w:r>
        <w:rPr>
          <w:rStyle w:val="EndnoteReference"/>
        </w:rPr>
        <w:endnoteRef/>
      </w:r>
      <w:r>
        <w:t xml:space="preserve"> </w:t>
      </w:r>
      <w:r w:rsidRPr="003F6006">
        <w:t xml:space="preserve">The Prime Minister, together with Premiers of Australian states and territories, have called for a national regime that imposes the same controls on suspects </w:t>
      </w:r>
      <w:r w:rsidRPr="003F6006">
        <w:rPr>
          <w:lang w:eastAsia="en-US"/>
        </w:rPr>
        <w:t>regardless</w:t>
      </w:r>
      <w:r w:rsidRPr="003F6006">
        <w:t xml:space="preserve"> of their location.</w:t>
      </w:r>
      <w:r>
        <w:t xml:space="preserve"> David Crowe, ‘Turnbull wants states to pass uniform te</w:t>
      </w:r>
      <w:r w:rsidRPr="009E4461">
        <w:t xml:space="preserve">rror laws’, </w:t>
      </w:r>
      <w:r w:rsidRPr="009E4461">
        <w:rPr>
          <w:i/>
        </w:rPr>
        <w:t>The Weekend Australian</w:t>
      </w:r>
      <w:r w:rsidRPr="009E4461">
        <w:t xml:space="preserve">, (online), 3 October 2017. At </w:t>
      </w:r>
      <w:hyperlink r:id="rId215" w:history="1">
        <w:r w:rsidRPr="009E4461">
          <w:rPr>
            <w:rStyle w:val="Hyperlink"/>
          </w:rPr>
          <w:t>http://online.isentialink.com/theaustralian.com.au/2017/10/03/eec83e93-85bb-40c2-babc-10e61e335bf1.html</w:t>
        </w:r>
      </w:hyperlink>
      <w:r w:rsidRPr="009E4461">
        <w:t xml:space="preserve"> (viewed 8 October 2017).</w:t>
      </w:r>
    </w:p>
  </w:endnote>
  <w:endnote w:id="201">
    <w:p w14:paraId="11010291" w14:textId="7243C758" w:rsidR="00910DFF" w:rsidRDefault="00910DFF" w:rsidP="009C23BD">
      <w:pPr>
        <w:pStyle w:val="EndnoteText"/>
      </w:pPr>
      <w:r>
        <w:rPr>
          <w:rStyle w:val="EndnoteReference"/>
        </w:rPr>
        <w:endnoteRef/>
      </w:r>
      <w:r>
        <w:t xml:space="preserve"> See </w:t>
      </w:r>
      <w:r w:rsidRPr="009E4461">
        <w:t xml:space="preserve">Sarah Martin, Dylan Caporn and AAP, ‘Malcolm Turnbull will urge state leaders to adopt tough counter terrorism measures at special national security summit’, </w:t>
      </w:r>
      <w:r w:rsidRPr="009E4461">
        <w:rPr>
          <w:i/>
        </w:rPr>
        <w:t>The West Australian</w:t>
      </w:r>
      <w:r w:rsidRPr="009E4461">
        <w:t xml:space="preserve"> (online), 4 October 2017. At </w:t>
      </w:r>
      <w:hyperlink r:id="rId216" w:history="1">
        <w:r w:rsidRPr="009E4461">
          <w:rPr>
            <w:rStyle w:val="Hyperlink"/>
          </w:rPr>
          <w:t>https://thewest.com.au/news/wa/malcolm-turnbull-will-urge-state-leaders-to-adopt-tough-counter-terrorism-measures-at-special-national-security-summit-ng-b88618145z</w:t>
        </w:r>
      </w:hyperlink>
      <w:r>
        <w:t xml:space="preserve"> (viewed 8 October 2017); David Crowe, ‘Turnbull wants states to pass uniform te</w:t>
      </w:r>
      <w:r w:rsidRPr="009E4461">
        <w:t xml:space="preserve">rror laws’, </w:t>
      </w:r>
      <w:r w:rsidRPr="009E4461">
        <w:rPr>
          <w:i/>
        </w:rPr>
        <w:t>The Weekend Australian</w:t>
      </w:r>
      <w:r w:rsidRPr="009E4461">
        <w:t xml:space="preserve">, (online), 3 October 2017. At </w:t>
      </w:r>
      <w:hyperlink r:id="rId217" w:history="1">
        <w:r w:rsidRPr="009E4461">
          <w:rPr>
            <w:rStyle w:val="Hyperlink"/>
          </w:rPr>
          <w:t>http://online.isentialink.com/theaustralian.com.au/2017/10/03/eec83e93-85bb-40c2-babc-10e61e335bf1.html</w:t>
        </w:r>
      </w:hyperlink>
      <w:r w:rsidRPr="009E4461">
        <w:t xml:space="preserve"> (viewed 8 October 2017).</w:t>
      </w:r>
    </w:p>
  </w:endnote>
  <w:endnote w:id="202">
    <w:p w14:paraId="6ECC3171" w14:textId="77777777" w:rsidR="00910DFF" w:rsidRPr="00892424" w:rsidRDefault="00910DFF" w:rsidP="009C23BD">
      <w:pPr>
        <w:pStyle w:val="EndnoteText"/>
        <w:rPr>
          <w:rFonts w:cs="Arial"/>
          <w:b/>
        </w:rPr>
      </w:pPr>
      <w:r w:rsidRPr="00892424">
        <w:rPr>
          <w:rStyle w:val="EndnoteReference"/>
          <w:rFonts w:cs="Arial"/>
        </w:rPr>
        <w:endnoteRef/>
      </w:r>
      <w:r w:rsidRPr="00892424">
        <w:rPr>
          <w:rFonts w:cs="Arial"/>
        </w:rPr>
        <w:t xml:space="preserve"> The Independent National Security Legislation Monitor’s annual reports are available at Department of the Prime Minister and Cabinet, </w:t>
      </w:r>
      <w:r w:rsidRPr="00892424">
        <w:rPr>
          <w:rFonts w:cs="Arial"/>
          <w:i/>
        </w:rPr>
        <w:t>Independent National Security Legislation Monitor</w:t>
      </w:r>
      <w:r w:rsidRPr="00892424">
        <w:rPr>
          <w:rFonts w:cs="Arial"/>
        </w:rPr>
        <w:t xml:space="preserve">. At </w:t>
      </w:r>
      <w:hyperlink r:id="rId218" w:history="1">
        <w:r w:rsidRPr="00C42601">
          <w:rPr>
            <w:rStyle w:val="Hyperlink"/>
          </w:rPr>
          <w:t>http://www.inslm.gov.au/reviews-reports</w:t>
        </w:r>
      </w:hyperlink>
      <w:r>
        <w:t xml:space="preserve"> </w:t>
      </w:r>
      <w:r w:rsidRPr="00892424">
        <w:rPr>
          <w:rFonts w:cs="Arial"/>
        </w:rPr>
        <w:t>(</w:t>
      </w:r>
      <w:r w:rsidRPr="00BF602B">
        <w:rPr>
          <w:rFonts w:cs="Arial"/>
        </w:rPr>
        <w:t xml:space="preserve">viewed </w:t>
      </w:r>
      <w:r>
        <w:rPr>
          <w:rFonts w:cs="Arial"/>
        </w:rPr>
        <w:t>11 September 2017</w:t>
      </w:r>
      <w:r w:rsidRPr="00892424">
        <w:rPr>
          <w:rFonts w:cs="Arial"/>
        </w:rPr>
        <w:t xml:space="preserve">). </w:t>
      </w:r>
    </w:p>
  </w:endnote>
  <w:endnote w:id="203">
    <w:p w14:paraId="2A91A1CE"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Independent National Security Legislation Monitor Act 2010 </w:t>
      </w:r>
      <w:r w:rsidRPr="00892424">
        <w:rPr>
          <w:rFonts w:cs="Arial"/>
        </w:rPr>
        <w:t xml:space="preserve">(Cth) s 8(a)(i).  </w:t>
      </w:r>
    </w:p>
  </w:endnote>
  <w:endnote w:id="204">
    <w:p w14:paraId="2FF92917" w14:textId="07F1FE90" w:rsidR="00910DFF" w:rsidRPr="00633AE7" w:rsidRDefault="00910DFF" w:rsidP="009C23BD">
      <w:pPr>
        <w:pStyle w:val="EndnoteText"/>
        <w:rPr>
          <w:rFonts w:cs="Arial"/>
        </w:rPr>
      </w:pPr>
      <w:r w:rsidRPr="00892424">
        <w:rPr>
          <w:rStyle w:val="EndnoteReference"/>
          <w:rFonts w:cs="Arial"/>
        </w:rPr>
        <w:endnoteRef/>
      </w:r>
      <w:r w:rsidRPr="00892424">
        <w:rPr>
          <w:rFonts w:cs="Arial"/>
        </w:rPr>
        <w:t xml:space="preserve"> The </w:t>
      </w:r>
      <w:r>
        <w:rPr>
          <w:rFonts w:cs="Arial"/>
        </w:rPr>
        <w:t xml:space="preserve">first </w:t>
      </w:r>
      <w:r w:rsidRPr="00892424">
        <w:rPr>
          <w:rFonts w:cs="Arial"/>
        </w:rPr>
        <w:t>INSLM</w:t>
      </w:r>
      <w:r>
        <w:rPr>
          <w:rFonts w:cs="Arial"/>
        </w:rPr>
        <w:t xml:space="preserve">, Bret Walker SC, </w:t>
      </w:r>
      <w:r w:rsidRPr="00892424">
        <w:rPr>
          <w:rFonts w:cs="Arial"/>
        </w:rPr>
        <w:t xml:space="preserve">concluded that ‘control orders in their present form are not effective, not appropriate and not necessary’.  The 2013 COAG Review of Counter-Terrorism Legislation concluded that the control order regime should be retained but with additional safeguards and protections included.  The </w:t>
      </w:r>
      <w:r>
        <w:rPr>
          <w:rFonts w:cs="Arial"/>
        </w:rPr>
        <w:t>second INSLM, t</w:t>
      </w:r>
      <w:r w:rsidRPr="00260775">
        <w:rPr>
          <w:rFonts w:cs="Arial"/>
        </w:rPr>
        <w:t>he Hon Roger Gyles AO QC</w:t>
      </w:r>
      <w:r>
        <w:rPr>
          <w:rFonts w:cs="Arial"/>
        </w:rPr>
        <w:t>, t</w:t>
      </w:r>
      <w:r w:rsidRPr="00892424">
        <w:rPr>
          <w:rFonts w:cs="Arial"/>
        </w:rPr>
        <w:t xml:space="preserve">hen recommended that a number of the COAG recommendations be implemented.  Despite this, and the fact that the recommended reviews of the control order regime (including the present review) are ongoing, that regime has been extended. Independent National Security Legislation Monitor, </w:t>
      </w:r>
      <w:r w:rsidRPr="00892424">
        <w:rPr>
          <w:rFonts w:cs="Arial"/>
          <w:i/>
        </w:rPr>
        <w:t>Declassified Annual Report</w:t>
      </w:r>
      <w:r w:rsidRPr="00892424">
        <w:rPr>
          <w:rFonts w:cs="Arial"/>
        </w:rPr>
        <w:t xml:space="preserve"> (2012), 40. At </w:t>
      </w:r>
      <w:hyperlink r:id="rId219" w:history="1">
        <w:r w:rsidRPr="00892424">
          <w:rPr>
            <w:rStyle w:val="Hyperlink"/>
            <w:rFonts w:cs="Arial"/>
          </w:rPr>
          <w:t>https://www.inslm.gov.au/reviews-reports/annual-reports</w:t>
        </w:r>
      </w:hyperlink>
      <w:r w:rsidRPr="00892424">
        <w:rPr>
          <w:rFonts w:cs="Arial"/>
        </w:rPr>
        <w:t xml:space="preserve"> (viewed </w:t>
      </w:r>
      <w:r>
        <w:t>30 October 2017</w:t>
      </w:r>
      <w:r w:rsidRPr="00892424">
        <w:rPr>
          <w:rFonts w:cs="Arial"/>
        </w:rPr>
        <w:t xml:space="preserve">). </w:t>
      </w:r>
      <w:r w:rsidRPr="00892424">
        <w:rPr>
          <w:rFonts w:cs="Arial"/>
          <w:i/>
        </w:rPr>
        <w:t>Council of Australian Governments Review of Counter-Terrorism Legislation</w:t>
      </w:r>
      <w:r w:rsidRPr="00892424">
        <w:rPr>
          <w:rFonts w:cs="Arial"/>
        </w:rPr>
        <w:t xml:space="preserve"> (2013), 54 [215]</w:t>
      </w:r>
      <w:r>
        <w:rPr>
          <w:rFonts w:cs="Arial"/>
        </w:rPr>
        <w:t xml:space="preserve">. At </w:t>
      </w:r>
      <w:hyperlink r:id="rId220" w:history="1">
        <w:r w:rsidRPr="00892424">
          <w:rPr>
            <w:rStyle w:val="Hyperlink"/>
            <w:rFonts w:cs="Arial"/>
          </w:rPr>
          <w:t>https://www.ag.gov.au/Consultations/Pages/COAGReviewofCounter-TerrorismLegislation.aspx</w:t>
        </w:r>
      </w:hyperlink>
      <w:r>
        <w:rPr>
          <w:rStyle w:val="Hyperlink"/>
          <w:rFonts w:cs="Arial"/>
          <w:u w:val="none"/>
        </w:rPr>
        <w:t xml:space="preserve"> </w:t>
      </w:r>
      <w:r w:rsidRPr="00633AE7">
        <w:rPr>
          <w:rStyle w:val="Hyperlink"/>
          <w:rFonts w:cs="Arial"/>
          <w:color w:val="000000" w:themeColor="text1"/>
          <w:u w:val="none"/>
        </w:rPr>
        <w:t xml:space="preserve">(viewed 11 September 2017). </w:t>
      </w:r>
    </w:p>
  </w:endnote>
  <w:endnote w:id="205">
    <w:p w14:paraId="04AA1540" w14:textId="38D3F75C"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The </w:t>
      </w:r>
      <w:r>
        <w:rPr>
          <w:rFonts w:cs="Arial"/>
        </w:rPr>
        <w:t xml:space="preserve">first </w:t>
      </w:r>
      <w:r w:rsidRPr="00892424">
        <w:rPr>
          <w:rFonts w:cs="Arial"/>
        </w:rPr>
        <w:t>INSLM</w:t>
      </w:r>
      <w:r>
        <w:rPr>
          <w:rFonts w:cs="Arial"/>
        </w:rPr>
        <w:t xml:space="preserve">, Bret Walker SC, </w:t>
      </w:r>
      <w:r w:rsidRPr="00892424">
        <w:rPr>
          <w:rFonts w:cs="Arial"/>
        </w:rPr>
        <w:t xml:space="preserve">recommended that the preventative detention regime be repealed because there is </w:t>
      </w:r>
      <w:r>
        <w:rPr>
          <w:rFonts w:cs="Arial"/>
        </w:rPr>
        <w:t>‘</w:t>
      </w:r>
      <w:r w:rsidRPr="00892424">
        <w:rPr>
          <w:rFonts w:cs="Arial"/>
        </w:rPr>
        <w:t>no demonstrated necessity for these extraordinary powers</w:t>
      </w:r>
      <w:r>
        <w:rPr>
          <w:rFonts w:cs="Arial"/>
        </w:rPr>
        <w:t>’</w:t>
      </w:r>
      <w:r w:rsidRPr="00892424">
        <w:rPr>
          <w:rFonts w:cs="Arial"/>
        </w:rPr>
        <w:t>. In 2013, the Council of Australian Governments (COAG) Review of Counter-Terrorism Legislation also recommended that the PDO regime be repealed, finding that the provisions were unlikely to be used, and that the purposes of the PDO regime could be achieved ‘by traditional methods of arrest, interrogation and charge’</w:t>
      </w:r>
      <w:r>
        <w:rPr>
          <w:rFonts w:cs="Arial"/>
        </w:rPr>
        <w:t>.</w:t>
      </w:r>
      <w:r w:rsidRPr="00892424">
        <w:rPr>
          <w:rStyle w:val="EndnoteReference"/>
          <w:rFonts w:cs="Arial"/>
        </w:rPr>
        <w:t xml:space="preserve"> </w:t>
      </w:r>
      <w:r w:rsidRPr="00892424">
        <w:rPr>
          <w:rFonts w:cs="Arial"/>
        </w:rPr>
        <w:t xml:space="preserve">Despite these recommendations, in 2016, the threshold for applying for a PDO was reduced. See Independent National Security Legislation Monitor, </w:t>
      </w:r>
      <w:r w:rsidRPr="00892424">
        <w:rPr>
          <w:rFonts w:cs="Arial"/>
          <w:i/>
        </w:rPr>
        <w:t>Declassified Annual Report</w:t>
      </w:r>
      <w:r w:rsidRPr="00892424">
        <w:rPr>
          <w:rFonts w:cs="Arial"/>
        </w:rPr>
        <w:t xml:space="preserve"> (2012), Chapter III, Recommendation III/4</w:t>
      </w:r>
      <w:r>
        <w:rPr>
          <w:rFonts w:cs="Arial"/>
        </w:rPr>
        <w:t>.</w:t>
      </w:r>
      <w:r w:rsidRPr="00892424">
        <w:rPr>
          <w:rFonts w:cs="Arial"/>
        </w:rPr>
        <w:t xml:space="preserve"> At </w:t>
      </w:r>
      <w:hyperlink r:id="rId221" w:history="1">
        <w:r w:rsidRPr="00892424">
          <w:rPr>
            <w:rStyle w:val="Hyperlink"/>
            <w:rFonts w:cs="Arial"/>
          </w:rPr>
          <w:t>https://www.inslm.gov.au/reviews-reports/annual-reports</w:t>
        </w:r>
      </w:hyperlink>
      <w:r>
        <w:rPr>
          <w:rFonts w:cs="Arial"/>
        </w:rPr>
        <w:t xml:space="preserve"> (</w:t>
      </w:r>
      <w:r w:rsidRPr="00BF602B">
        <w:rPr>
          <w:rFonts w:cs="Arial"/>
        </w:rPr>
        <w:t xml:space="preserve">viewed </w:t>
      </w:r>
      <w:r>
        <w:rPr>
          <w:rFonts w:cs="Arial"/>
        </w:rPr>
        <w:t>11 September 2017)</w:t>
      </w:r>
      <w:r w:rsidRPr="00892424">
        <w:rPr>
          <w:rFonts w:cs="Arial"/>
        </w:rPr>
        <w:t xml:space="preserve">; </w:t>
      </w:r>
      <w:r w:rsidRPr="00892424">
        <w:rPr>
          <w:rFonts w:cs="Arial"/>
          <w:i/>
        </w:rPr>
        <w:t>Council of Australian Governments Review of Counter-Terrorism Legislation</w:t>
      </w:r>
      <w:r w:rsidRPr="00892424">
        <w:rPr>
          <w:rFonts w:cs="Arial"/>
        </w:rPr>
        <w:t xml:space="preserve"> (2013) </w:t>
      </w:r>
      <w:r>
        <w:rPr>
          <w:rFonts w:cs="Arial"/>
        </w:rPr>
        <w:t>67, 69</w:t>
      </w:r>
      <w:r>
        <w:rPr>
          <w:rFonts w:eastAsia="Calibri" w:cs="Arial"/>
        </w:rPr>
        <w:t>–</w:t>
      </w:r>
      <w:r>
        <w:rPr>
          <w:rFonts w:cs="Arial"/>
        </w:rPr>
        <w:t>71 [269]</w:t>
      </w:r>
      <w:r>
        <w:rPr>
          <w:rFonts w:eastAsia="Calibri" w:cs="Arial"/>
        </w:rPr>
        <w:t>–</w:t>
      </w:r>
      <w:r w:rsidRPr="00892424">
        <w:rPr>
          <w:rFonts w:cs="Arial"/>
        </w:rPr>
        <w:t xml:space="preserve">[276].  At </w:t>
      </w:r>
      <w:hyperlink r:id="rId222" w:history="1">
        <w:r w:rsidRPr="00892424">
          <w:rPr>
            <w:rStyle w:val="Hyperlink"/>
            <w:rFonts w:cs="Arial"/>
          </w:rPr>
          <w:t>https://www.ag.gov.au/Consultations/Pages/COAGReviewofCounter-TerrorismLegislation.aspx</w:t>
        </w:r>
      </w:hyperlink>
      <w:r w:rsidRPr="00892424">
        <w:rPr>
          <w:rFonts w:cs="Arial"/>
        </w:rPr>
        <w:t xml:space="preserve"> (</w:t>
      </w:r>
      <w:r w:rsidRPr="00BF602B">
        <w:rPr>
          <w:rFonts w:cs="Arial"/>
        </w:rPr>
        <w:t xml:space="preserve">viewed </w:t>
      </w:r>
      <w:r>
        <w:rPr>
          <w:rFonts w:cs="Arial"/>
        </w:rPr>
        <w:t>11 September 2017).</w:t>
      </w:r>
      <w:r w:rsidRPr="00892424">
        <w:rPr>
          <w:rFonts w:cs="Arial"/>
        </w:rPr>
        <w:t xml:space="preserve"> </w:t>
      </w:r>
    </w:p>
  </w:endnote>
  <w:endnote w:id="206">
    <w:p w14:paraId="44B15209" w14:textId="47DF4ED7" w:rsidR="00910DFF" w:rsidRDefault="00910DFF">
      <w:pPr>
        <w:pStyle w:val="EndnoteText"/>
      </w:pPr>
      <w:r>
        <w:rPr>
          <w:rStyle w:val="EndnoteReference"/>
        </w:rPr>
        <w:endnoteRef/>
      </w:r>
      <w:r>
        <w:t xml:space="preserve"> </w:t>
      </w:r>
      <w:r w:rsidRPr="00260775">
        <w:t>James Renwick SC,</w:t>
      </w:r>
      <w:r>
        <w:t xml:space="preserve"> Independent National Security Legislation Monitor, INSLM Statutory Deadline Reviews, </w:t>
      </w:r>
      <w:r>
        <w:rPr>
          <w:i/>
        </w:rPr>
        <w:t xml:space="preserve">Review of Divisions 104 and 105 of the Criminal Code (including the interoperability of Divisions 104 and 105A): Control Orders and Preventative Detention Orders  </w:t>
      </w:r>
      <w:r>
        <w:t xml:space="preserve">(7 September 2017) xii. At </w:t>
      </w:r>
      <w:hyperlink r:id="rId223" w:history="1">
        <w:r>
          <w:rPr>
            <w:rStyle w:val="Hyperlink"/>
          </w:rPr>
          <w:t>https://www.inslm.gov.au/reviews-reports/inslm-statutory-deadline-reviews</w:t>
        </w:r>
      </w:hyperlink>
      <w:r>
        <w:t xml:space="preserve"> (viewed 16 October 2017).</w:t>
      </w:r>
    </w:p>
  </w:endnote>
  <w:endnote w:id="207">
    <w:p w14:paraId="0BFDED14" w14:textId="6F9C1833" w:rsidR="00910DFF" w:rsidRPr="009932C5" w:rsidRDefault="00910DFF" w:rsidP="009C23BD">
      <w:pPr>
        <w:pStyle w:val="EndnoteText"/>
      </w:pPr>
      <w:r>
        <w:rPr>
          <w:rStyle w:val="EndnoteReference"/>
        </w:rPr>
        <w:endnoteRef/>
      </w:r>
      <w:r>
        <w:t xml:space="preserve"> Parliamentary Joint Committee on Intelligence and Security, Parliament of Australia,</w:t>
      </w:r>
      <w:r w:rsidRPr="009932C5">
        <w:rPr>
          <w:i/>
        </w:rPr>
        <w:t xml:space="preserve"> Review of police stop, search and seizure powers, the control order regime and the preventative detention order regime</w:t>
      </w:r>
      <w:r>
        <w:t xml:space="preserve">. At </w:t>
      </w:r>
      <w:hyperlink r:id="rId224" w:history="1">
        <w:r w:rsidRPr="000A5C86">
          <w:rPr>
            <w:rStyle w:val="Hyperlink"/>
          </w:rPr>
          <w:t>http://www.aph.gov.au/Parliamentary_Business/Committees/Joint/Intelligence_and_Security/AFPpowersreview</w:t>
        </w:r>
      </w:hyperlink>
      <w:r>
        <w:t xml:space="preserve"> (</w:t>
      </w:r>
      <w:r w:rsidRPr="00BF602B">
        <w:rPr>
          <w:rFonts w:cs="Arial"/>
        </w:rPr>
        <w:t xml:space="preserve">viewed </w:t>
      </w:r>
      <w:r>
        <w:rPr>
          <w:rFonts w:cs="Arial"/>
        </w:rPr>
        <w:t>11 September 2017</w:t>
      </w:r>
      <w:r>
        <w:t>).</w:t>
      </w:r>
    </w:p>
  </w:endnote>
  <w:endnote w:id="208">
    <w:p w14:paraId="277CCDEB" w14:textId="27AD0159" w:rsidR="00910DFF" w:rsidRDefault="00910DFF" w:rsidP="009C23BD">
      <w:pPr>
        <w:pStyle w:val="EndnoteText"/>
      </w:pPr>
      <w:r>
        <w:rPr>
          <w:rStyle w:val="EndnoteReference"/>
        </w:rPr>
        <w:endnoteRef/>
      </w:r>
      <w:r>
        <w:t xml:space="preserve"> </w:t>
      </w:r>
      <w:r>
        <w:rPr>
          <w:rFonts w:cs="Arial"/>
        </w:rPr>
        <w:t xml:space="preserve">Durban Declaration and Program of Action. </w:t>
      </w:r>
      <w:r>
        <w:t>Paragraph 143 provides: ‘Expresses concern at the material progression of racism, racial discrimination, xenophobia and related intolerance, including their contemporary forms and manifestations, such as the use of the new information and communications technologies, including the Internet, to disseminate ideas of racial superiority’.</w:t>
      </w:r>
    </w:p>
  </w:endnote>
  <w:endnote w:id="209">
    <w:p w14:paraId="79F465F1" w14:textId="26477EBC" w:rsidR="00910DFF" w:rsidRDefault="00910DFF" w:rsidP="009C23BD">
      <w:pPr>
        <w:pStyle w:val="EndnoteText"/>
      </w:pPr>
      <w:r>
        <w:rPr>
          <w:rStyle w:val="EndnoteReference"/>
        </w:rPr>
        <w:endnoteRef/>
      </w:r>
      <w:r>
        <w:t xml:space="preserve"> Australian Human Rights Commission, </w:t>
      </w:r>
      <w:r>
        <w:rPr>
          <w:i/>
        </w:rPr>
        <w:t>2016</w:t>
      </w:r>
      <w:r>
        <w:rPr>
          <w:rFonts w:eastAsia="Calibri" w:cs="Arial"/>
        </w:rPr>
        <w:t>–</w:t>
      </w:r>
      <w:r>
        <w:rPr>
          <w:i/>
        </w:rPr>
        <w:t>2017 Complaint Statistics</w:t>
      </w:r>
      <w:r>
        <w:t xml:space="preserve"> (2017). At </w:t>
      </w:r>
      <w:hyperlink r:id="rId225" w:history="1">
        <w:r w:rsidRPr="00CB1532">
          <w:rPr>
            <w:rStyle w:val="Hyperlink"/>
          </w:rPr>
          <w:t>https://www.humanrights.gov.au/our-work/commission-general/publications/annual-report-2016-2017</w:t>
        </w:r>
      </w:hyperlink>
      <w:r>
        <w:t xml:space="preserve"> (viewed 26 October 2017).</w:t>
      </w:r>
    </w:p>
  </w:endnote>
  <w:endnote w:id="210">
    <w:p w14:paraId="2FF7C9E2" w14:textId="52663944" w:rsidR="00910DFF" w:rsidRDefault="00910DFF" w:rsidP="009C23BD">
      <w:pPr>
        <w:pStyle w:val="EndnoteText"/>
      </w:pPr>
      <w:r>
        <w:rPr>
          <w:rStyle w:val="EndnoteReference"/>
        </w:rPr>
        <w:endnoteRef/>
      </w:r>
      <w:r>
        <w:t xml:space="preserve"> </w:t>
      </w:r>
      <w:r w:rsidRPr="00497821">
        <w:t>Mutuma Ruteere</w:t>
      </w:r>
      <w:r>
        <w:t>,</w:t>
      </w:r>
      <w:r w:rsidRPr="002D2AC4">
        <w:t xml:space="preserve"> </w:t>
      </w:r>
      <w:r w:rsidRPr="00497821">
        <w:rPr>
          <w:i/>
        </w:rPr>
        <w:t>Report of the Special Rapporteur on contemporary forms of racism, racial discrimination, xenophobia and related intolerance on his mission to Australia</w:t>
      </w:r>
      <w:r>
        <w:t xml:space="preserve">, UN Doc </w:t>
      </w:r>
      <w:r w:rsidRPr="00497821">
        <w:t>A/HRC/35/41/Add.2</w:t>
      </w:r>
      <w:r w:rsidRPr="00497821">
        <w:rPr>
          <w:i/>
        </w:rPr>
        <w:t xml:space="preserve"> </w:t>
      </w:r>
      <w:r w:rsidRPr="00497821">
        <w:t>(</w:t>
      </w:r>
      <w:r>
        <w:t xml:space="preserve">9 June </w:t>
      </w:r>
      <w:r w:rsidRPr="00497821">
        <w:t xml:space="preserve">2017) 15 [59]. At </w:t>
      </w:r>
      <w:hyperlink r:id="rId226" w:history="1">
        <w:r w:rsidRPr="00497821">
          <w:rPr>
            <w:rStyle w:val="Hyperlink"/>
          </w:rPr>
          <w:t>http://www.ohchr.org/EN/HRBodies/HRC/RegularSessions/Session35/Documents/A_HRC_35_41_Add_2_EN.docx</w:t>
        </w:r>
      </w:hyperlink>
      <w:r w:rsidRPr="00497821">
        <w:t xml:space="preserve"> (viewed 10 October 2017).</w:t>
      </w:r>
      <w:r>
        <w:t xml:space="preserve"> See Online Hate Prevention Institute, ‘Spotlight on anti-Muslim Internet hate: interim report’ (2015). At </w:t>
      </w:r>
      <w:hyperlink r:id="rId227" w:history="1">
        <w:r w:rsidRPr="00326FCC">
          <w:rPr>
            <w:rStyle w:val="Hyperlink"/>
          </w:rPr>
          <w:t>www.scribd.com/document/292853385/Anti-Muslim-Hate-Online-Interim-Report</w:t>
        </w:r>
      </w:hyperlink>
      <w:r w:rsidRPr="00252827">
        <w:t xml:space="preserve"> (viewed</w:t>
      </w:r>
      <w:r>
        <w:t xml:space="preserve"> 4 October 2017).</w:t>
      </w:r>
    </w:p>
  </w:endnote>
  <w:endnote w:id="211">
    <w:p w14:paraId="5008BC57" w14:textId="77777777" w:rsidR="00910DFF" w:rsidRPr="006441C6" w:rsidRDefault="00910DFF" w:rsidP="009C23BD">
      <w:pPr>
        <w:pStyle w:val="EndnoteText"/>
        <w:rPr>
          <w:b/>
        </w:rPr>
      </w:pPr>
      <w:r>
        <w:rPr>
          <w:rStyle w:val="EndnoteReference"/>
        </w:rPr>
        <w:endnoteRef/>
      </w:r>
      <w:r w:rsidRPr="004C5337">
        <w:t xml:space="preserve"> Parliament of Australia, ‘The adequacy of existing offences in the Commonwealth Criminal Code and of state and territory criminal laws to capture cyberbullying’, </w:t>
      </w:r>
      <w:r w:rsidRPr="004C5337">
        <w:rPr>
          <w:i/>
        </w:rPr>
        <w:t xml:space="preserve">Senate Standing Committees on Legal and Constitutional Affairs. </w:t>
      </w:r>
      <w:r w:rsidRPr="004C5337">
        <w:t xml:space="preserve">At </w:t>
      </w:r>
      <w:hyperlink r:id="rId228" w:history="1">
        <w:r w:rsidRPr="004C5337">
          <w:rPr>
            <w:rStyle w:val="Hyperlink"/>
          </w:rPr>
          <w:t>http://www.aph.gov.au/Parliamentary_Business/Committees/Senate/Legal_and_Constitutional_Affairs/Cyberbullying</w:t>
        </w:r>
      </w:hyperlink>
      <w:r w:rsidRPr="004C5337">
        <w:t xml:space="preserve"> (viewed 10 October 2017).</w:t>
      </w:r>
      <w:r>
        <w:t xml:space="preserve"> </w:t>
      </w:r>
    </w:p>
  </w:endnote>
  <w:endnote w:id="212">
    <w:p w14:paraId="7A2E3C41" w14:textId="77777777" w:rsidR="00910DFF" w:rsidRPr="00E122EC" w:rsidRDefault="00910DFF" w:rsidP="009C23BD">
      <w:pPr>
        <w:pStyle w:val="EndnoteText"/>
      </w:pPr>
      <w:r>
        <w:rPr>
          <w:rStyle w:val="EndnoteReference"/>
        </w:rPr>
        <w:endnoteRef/>
      </w:r>
      <w:r>
        <w:t xml:space="preserve"> Australian Government, ‘About the office’, </w:t>
      </w:r>
      <w:r w:rsidRPr="00F81BF8">
        <w:rPr>
          <w:i/>
        </w:rPr>
        <w:t>Office of the eSafety Commissioner</w:t>
      </w:r>
      <w:r>
        <w:t xml:space="preserve">. At </w:t>
      </w:r>
      <w:hyperlink r:id="rId229" w:history="1">
        <w:r w:rsidRPr="00A248BB">
          <w:rPr>
            <w:rStyle w:val="Hyperlink"/>
          </w:rPr>
          <w:t>https://www.esafety.gov.au/about-the-office</w:t>
        </w:r>
      </w:hyperlink>
      <w:r>
        <w:t xml:space="preserve"> (viewed 11 September 2017). See also </w:t>
      </w:r>
      <w:r w:rsidRPr="00E122EC">
        <w:rPr>
          <w:i/>
        </w:rPr>
        <w:t>Enhancing Online Safety for Children Act</w:t>
      </w:r>
      <w:r w:rsidRPr="00E122EC">
        <w:t xml:space="preserve"> </w:t>
      </w:r>
      <w:r w:rsidRPr="00E122EC">
        <w:rPr>
          <w:i/>
        </w:rPr>
        <w:t>2015</w:t>
      </w:r>
      <w:r>
        <w:rPr>
          <w:i/>
        </w:rPr>
        <w:t xml:space="preserve"> </w:t>
      </w:r>
      <w:r>
        <w:t>(Cth).</w:t>
      </w:r>
    </w:p>
  </w:endnote>
  <w:endnote w:id="213">
    <w:p w14:paraId="5ACA83F8" w14:textId="77777777" w:rsidR="00910DFF" w:rsidRPr="004C5337" w:rsidRDefault="00910DFF" w:rsidP="009C23BD">
      <w:pPr>
        <w:pStyle w:val="EndnoteText"/>
      </w:pPr>
      <w:r w:rsidRPr="004C5337">
        <w:rPr>
          <w:rStyle w:val="EndnoteReference"/>
        </w:rPr>
        <w:endnoteRef/>
      </w:r>
      <w:r w:rsidRPr="004C5337">
        <w:t xml:space="preserve"> Australian Government, ‘Cyber abuse’, </w:t>
      </w:r>
      <w:r w:rsidRPr="004C5337">
        <w:rPr>
          <w:i/>
        </w:rPr>
        <w:t>Office of the eSafety Commissioner</w:t>
      </w:r>
      <w:r w:rsidRPr="004C5337">
        <w:t xml:space="preserve">. At </w:t>
      </w:r>
      <w:hyperlink r:id="rId230" w:history="1">
        <w:r w:rsidRPr="004C5337">
          <w:rPr>
            <w:rStyle w:val="Hyperlink"/>
          </w:rPr>
          <w:t>https://www.esafety.gov.au/esafety-information/esafety-issues/cyber-abuse</w:t>
        </w:r>
      </w:hyperlink>
      <w:r w:rsidRPr="004C5337">
        <w:t xml:space="preserve"> (viewed 10 October 2017).</w:t>
      </w:r>
    </w:p>
  </w:endnote>
  <w:endnote w:id="214">
    <w:p w14:paraId="2635B2C3" w14:textId="77777777" w:rsidR="00910DFF" w:rsidRDefault="00910DFF" w:rsidP="009C23BD">
      <w:pPr>
        <w:pStyle w:val="EndnoteText"/>
      </w:pPr>
      <w:r w:rsidRPr="004C5337">
        <w:rPr>
          <w:rStyle w:val="EndnoteReference"/>
        </w:rPr>
        <w:endnoteRef/>
      </w:r>
      <w:r w:rsidRPr="004C5337">
        <w:t xml:space="preserve"> Challenging Racism Project, </w:t>
      </w:r>
      <w:r w:rsidRPr="004C5337">
        <w:rPr>
          <w:i/>
        </w:rPr>
        <w:t>Cyber Racism and Community Resilience</w:t>
      </w:r>
      <w:r w:rsidRPr="004C5337">
        <w:t xml:space="preserve">, (2017) Western Sydney University. At </w:t>
      </w:r>
      <w:hyperlink r:id="rId231" w:history="1">
        <w:r w:rsidRPr="004C5337">
          <w:rPr>
            <w:rStyle w:val="Hyperlink"/>
          </w:rPr>
          <w:t>https://www.westernsydney.edu.au/challengingracism/challenging_racism_project/our_research/cyber_racism_and_community_resilience</w:t>
        </w:r>
      </w:hyperlink>
      <w:r w:rsidRPr="004C5337">
        <w:t xml:space="preserve"> (viewed 10 October 2017).</w:t>
      </w:r>
    </w:p>
  </w:endnote>
  <w:endnote w:id="215">
    <w:p w14:paraId="7517AB5E" w14:textId="2427933B" w:rsidR="00910DFF" w:rsidRPr="00AB154D" w:rsidRDefault="00910DFF" w:rsidP="009C23BD">
      <w:pPr>
        <w:pStyle w:val="EndnoteText"/>
        <w:rPr>
          <w:lang w:val="en-US"/>
        </w:rPr>
      </w:pPr>
      <w:r>
        <w:rPr>
          <w:rStyle w:val="EndnoteReference"/>
        </w:rPr>
        <w:endnoteRef/>
      </w:r>
      <w:r>
        <w:t xml:space="preserve"> </w:t>
      </w:r>
      <w:r>
        <w:rPr>
          <w:lang w:val="en-US"/>
        </w:rPr>
        <w:t xml:space="preserve">Australian Human Rights Commission, </w:t>
      </w:r>
      <w:r>
        <w:rPr>
          <w:i/>
          <w:lang w:val="en-US"/>
        </w:rPr>
        <w:t>Freedom from Discrimination: Report on the 40</w:t>
      </w:r>
      <w:r w:rsidRPr="00AB154D">
        <w:rPr>
          <w:i/>
          <w:vertAlign w:val="superscript"/>
          <w:lang w:val="en-US"/>
        </w:rPr>
        <w:t>th</w:t>
      </w:r>
      <w:r>
        <w:rPr>
          <w:i/>
          <w:lang w:val="en-US"/>
        </w:rPr>
        <w:t xml:space="preserve"> anniversary of the Racial Discrimination Act</w:t>
      </w:r>
      <w:r>
        <w:rPr>
          <w:lang w:val="en-US"/>
        </w:rPr>
        <w:t xml:space="preserve"> (2015), 36</w:t>
      </w:r>
      <w:r>
        <w:rPr>
          <w:rFonts w:eastAsia="Calibri" w:cs="Arial"/>
        </w:rPr>
        <w:t>–</w:t>
      </w:r>
      <w:r>
        <w:rPr>
          <w:lang w:val="en-US"/>
        </w:rPr>
        <w:t>38.</w:t>
      </w:r>
      <w:r w:rsidRPr="003A7307">
        <w:t xml:space="preserve"> </w:t>
      </w:r>
      <w:r>
        <w:t xml:space="preserve">At </w:t>
      </w:r>
      <w:hyperlink r:id="rId232" w:history="1">
        <w:r w:rsidRPr="00465FDE">
          <w:rPr>
            <w:rStyle w:val="Hyperlink"/>
          </w:rPr>
          <w:t>https://www.humanrights.gov.au/our-work/race-discrimination/publications/freedom-discrimination-report-40th-anniversary-racial</w:t>
        </w:r>
      </w:hyperlink>
      <w:r>
        <w:t xml:space="preserve"> (viewed 30 October 2017).</w:t>
      </w:r>
    </w:p>
  </w:endnote>
  <w:endnote w:id="216">
    <w:p w14:paraId="28162EC2" w14:textId="14D85A4B" w:rsidR="00910DFF" w:rsidRDefault="00910DFF" w:rsidP="009C23BD">
      <w:pPr>
        <w:pStyle w:val="EndnoteText"/>
      </w:pPr>
      <w:r>
        <w:rPr>
          <w:rStyle w:val="EndnoteReference"/>
        </w:rPr>
        <w:endnoteRef/>
      </w:r>
      <w:r>
        <w:t xml:space="preserve"> Senate Select Com</w:t>
      </w:r>
      <w:r w:rsidRPr="0022675F">
        <w:t xml:space="preserve">mittee on Strengthening Multiculturalism, Parliament of Australia, </w:t>
      </w:r>
      <w:r w:rsidRPr="0022675F">
        <w:rPr>
          <w:i/>
        </w:rPr>
        <w:t xml:space="preserve">Ways of </w:t>
      </w:r>
      <w:r w:rsidRPr="004C5337">
        <w:rPr>
          <w:i/>
        </w:rPr>
        <w:t>protecting and strengthening Australia’s multiculturalism and social inclusion</w:t>
      </w:r>
      <w:r>
        <w:t xml:space="preserve"> (2017) 63 [4.28]</w:t>
      </w:r>
      <w:r>
        <w:rPr>
          <w:rFonts w:eastAsia="Calibri" w:cs="Arial"/>
        </w:rPr>
        <w:t>–</w:t>
      </w:r>
      <w:r w:rsidRPr="004C5337">
        <w:t>[4.29].</w:t>
      </w:r>
      <w:r w:rsidRPr="0019411F">
        <w:t xml:space="preserve"> </w:t>
      </w:r>
      <w:r>
        <w:t xml:space="preserve">At </w:t>
      </w:r>
      <w:hyperlink r:id="rId233" w:history="1">
        <w:r w:rsidRPr="00F5348E">
          <w:rPr>
            <w:rStyle w:val="Hyperlink"/>
          </w:rPr>
          <w:t>http://www.aph.gov.au/Parliamentary_Business/Committees/Senate/Strengthening_Multiculturalism/Multiculturalism/Final_report</w:t>
        </w:r>
      </w:hyperlink>
      <w:r>
        <w:t xml:space="preserve"> (viewed 11 October 2017).</w:t>
      </w:r>
    </w:p>
  </w:endnote>
  <w:endnote w:id="217">
    <w:p w14:paraId="5C9C5C07" w14:textId="77777777" w:rsidR="00910DFF" w:rsidRDefault="00910DFF" w:rsidP="009C23BD">
      <w:pPr>
        <w:pStyle w:val="EndnoteText"/>
      </w:pPr>
      <w:r>
        <w:rPr>
          <w:rStyle w:val="EndnoteReference"/>
        </w:rPr>
        <w:endnoteRef/>
      </w:r>
      <w:r>
        <w:t xml:space="preserve"> Australian Press Council, ‘Statement of General Principles’ (July 2014). At </w:t>
      </w:r>
      <w:hyperlink r:id="rId234" w:history="1">
        <w:r w:rsidRPr="000522DB">
          <w:rPr>
            <w:rStyle w:val="Hyperlink"/>
          </w:rPr>
          <w:t>http://www.presscouncil.org.au/uploads/52321/ufiles/GENERAL_-_PRIVACY_PRINCIPLES_-_July_2014.pdf</w:t>
        </w:r>
      </w:hyperlink>
      <w:r>
        <w:t xml:space="preserve"> (viewed 27 April 2017). The Guiding Principles also note in its preamble that freedom of the press ‘carries responsibilities to the public.’</w:t>
      </w:r>
    </w:p>
  </w:endnote>
  <w:endnote w:id="218">
    <w:p w14:paraId="75836E8D" w14:textId="35BA92F9" w:rsidR="00910DFF" w:rsidRDefault="00910DFF" w:rsidP="009C23BD">
      <w:pPr>
        <w:pStyle w:val="EndnoteText"/>
      </w:pPr>
      <w:r>
        <w:rPr>
          <w:rStyle w:val="EndnoteReference"/>
        </w:rPr>
        <w:endnoteRef/>
      </w:r>
      <w:r>
        <w:t xml:space="preserve"> Senate Select Com</w:t>
      </w:r>
      <w:r w:rsidRPr="0022675F">
        <w:t xml:space="preserve">mittee on Strengthening Multiculturalism, Parliament of Australia, </w:t>
      </w:r>
      <w:r w:rsidRPr="0022675F">
        <w:rPr>
          <w:i/>
        </w:rPr>
        <w:t xml:space="preserve">Ways of </w:t>
      </w:r>
      <w:r w:rsidRPr="004C5337">
        <w:rPr>
          <w:i/>
        </w:rPr>
        <w:t>protecting and strengthening Australia’s multiculturalism and social inclusion</w:t>
      </w:r>
      <w:r>
        <w:t xml:space="preserve"> (2017) 56 [3.82], [3.85] (Recommendation 5).</w:t>
      </w:r>
      <w:r w:rsidRPr="00732543">
        <w:t xml:space="preserve"> </w:t>
      </w:r>
      <w:r>
        <w:t xml:space="preserve">At </w:t>
      </w:r>
      <w:hyperlink r:id="rId235" w:history="1">
        <w:r w:rsidRPr="00F5348E">
          <w:rPr>
            <w:rStyle w:val="Hyperlink"/>
          </w:rPr>
          <w:t>http://www.aph.gov.au/Parliamentary_Business/Committees/Senate/Strengthening_Multiculturalism/Multiculturalism/Final_report</w:t>
        </w:r>
      </w:hyperlink>
      <w:r>
        <w:t xml:space="preserve"> (viewed 11 October 2017).</w:t>
      </w:r>
    </w:p>
  </w:endnote>
  <w:endnote w:id="219">
    <w:p w14:paraId="4E351AA5" w14:textId="396E6183" w:rsidR="00910DFF" w:rsidRDefault="00910DFF" w:rsidP="009C23BD">
      <w:pPr>
        <w:pStyle w:val="EndnoteText"/>
      </w:pPr>
      <w:r>
        <w:rPr>
          <w:rStyle w:val="EndnoteReference"/>
        </w:rPr>
        <w:endnoteRef/>
      </w:r>
      <w:r>
        <w:t xml:space="preserve"> Luke McNamara and Katharine Gelber, ‘The impact of section 18C and other civil anti-vilification laws in Australia’ (Paper presented at the 40 Years of the Racial Discrimination Act Conference, Sydney, 19</w:t>
      </w:r>
      <w:r>
        <w:rPr>
          <w:rFonts w:eastAsia="Calibri" w:cs="Arial"/>
        </w:rPr>
        <w:t>–</w:t>
      </w:r>
      <w:r>
        <w:t>20 February 2015) 170.</w:t>
      </w:r>
    </w:p>
  </w:endnote>
  <w:endnote w:id="220">
    <w:p w14:paraId="664C1CDB" w14:textId="69AA2505" w:rsidR="00910DFF" w:rsidRPr="008A17CC" w:rsidRDefault="00910DFF" w:rsidP="009C23BD">
      <w:pPr>
        <w:pStyle w:val="EndnoteText"/>
        <w:rPr>
          <w:rFonts w:cs="Arial"/>
        </w:rPr>
      </w:pPr>
      <w:r w:rsidRPr="008A17CC">
        <w:rPr>
          <w:rStyle w:val="EndnoteReference"/>
          <w:rFonts w:cs="Arial"/>
        </w:rPr>
        <w:endnoteRef/>
      </w:r>
      <w:r w:rsidRPr="008A17CC">
        <w:rPr>
          <w:rFonts w:cs="Arial"/>
        </w:rPr>
        <w:t xml:space="preserve"> Australian Law Reform Commission, </w:t>
      </w:r>
      <w:r w:rsidRPr="008A17CC">
        <w:rPr>
          <w:rFonts w:cs="Arial"/>
          <w:i/>
        </w:rPr>
        <w:t>Traditional Rights and Freedoms</w:t>
      </w:r>
      <w:r>
        <w:rPr>
          <w:rFonts w:cs="Arial"/>
          <w:i/>
        </w:rPr>
        <w:t xml:space="preserve"> — </w:t>
      </w:r>
      <w:r w:rsidRPr="008A17CC">
        <w:rPr>
          <w:rFonts w:cs="Arial"/>
          <w:i/>
        </w:rPr>
        <w:t xml:space="preserve">Encroachments by Commonwealth Laws (Final Report) </w:t>
      </w:r>
      <w:r w:rsidRPr="008A17CC">
        <w:rPr>
          <w:rFonts w:cs="Arial"/>
        </w:rPr>
        <w:t xml:space="preserve">(2016). At </w:t>
      </w:r>
      <w:hyperlink r:id="rId236" w:history="1">
        <w:r w:rsidRPr="008A17CC">
          <w:rPr>
            <w:rStyle w:val="Hyperlink"/>
            <w:rFonts w:cs="Arial"/>
          </w:rPr>
          <w:t>https://www.alrc.gov.au/sites/default/files/pdfs/publications/alrc_129_final_report_.pdf</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221">
    <w:p w14:paraId="10FBF380" w14:textId="77777777" w:rsidR="00910DFF" w:rsidRPr="008A17CC" w:rsidRDefault="00910DFF" w:rsidP="009C23BD">
      <w:pPr>
        <w:pStyle w:val="EndnoteText"/>
        <w:rPr>
          <w:rFonts w:cs="Arial"/>
        </w:rPr>
      </w:pPr>
      <w:r w:rsidRPr="008A17CC">
        <w:rPr>
          <w:rStyle w:val="EndnoteReference"/>
          <w:rFonts w:cs="Arial"/>
        </w:rPr>
        <w:endnoteRef/>
      </w:r>
      <w:r w:rsidRPr="008A17CC">
        <w:rPr>
          <w:rFonts w:cs="Arial"/>
        </w:rPr>
        <w:t xml:space="preserve"> Parliamentary Joint Committee on Human Rights, Parliament of Australia, </w:t>
      </w:r>
      <w:r w:rsidRPr="008A17CC">
        <w:rPr>
          <w:rFonts w:cs="Arial"/>
          <w:i/>
        </w:rPr>
        <w:t xml:space="preserve">Freedom of speech in Australia: Inquiry into the operation of Part IIA of the Racial Discrimination Act 195 (Cth) and related procedures under the Australian Human Rights Commission Act 1986 (Cth) </w:t>
      </w:r>
      <w:r w:rsidRPr="008A17CC">
        <w:rPr>
          <w:rFonts w:cs="Arial"/>
        </w:rPr>
        <w:t xml:space="preserve">(2017). At </w:t>
      </w:r>
      <w:hyperlink r:id="rId237" w:history="1">
        <w:r w:rsidRPr="008A17CC">
          <w:rPr>
            <w:rStyle w:val="Hyperlink"/>
            <w:rFonts w:cs="Arial"/>
          </w:rPr>
          <w:t>http://www.aph.gov.au/Parliamentary_Business/Committees/Joint/Human_Rights_inquiries/FreedomspeechAustralia/Report</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222">
    <w:p w14:paraId="2CB9253B" w14:textId="77777777" w:rsidR="00910DFF" w:rsidRPr="00892424" w:rsidRDefault="00910DFF" w:rsidP="009C23BD">
      <w:pPr>
        <w:pStyle w:val="EndnoteText"/>
        <w:rPr>
          <w:rFonts w:cs="Arial"/>
        </w:rPr>
      </w:pPr>
      <w:r w:rsidRPr="008A17CC">
        <w:rPr>
          <w:rStyle w:val="EndnoteReference"/>
          <w:rFonts w:cs="Arial"/>
        </w:rPr>
        <w:endnoteRef/>
      </w:r>
      <w:r w:rsidRPr="008A17CC">
        <w:rPr>
          <w:rFonts w:cs="Arial"/>
        </w:rPr>
        <w:t xml:space="preserve"> Senate Legal and Constitutional Affairs Committee, </w:t>
      </w:r>
      <w:r w:rsidRPr="008A17CC">
        <w:rPr>
          <w:rFonts w:cs="Arial"/>
          <w:i/>
        </w:rPr>
        <w:t xml:space="preserve">Inquiry into Law of Contempt </w:t>
      </w:r>
      <w:r w:rsidRPr="008A17CC">
        <w:rPr>
          <w:rFonts w:cs="Arial"/>
        </w:rPr>
        <w:t xml:space="preserve">(2017), Parliament of Australia. At </w:t>
      </w:r>
      <w:hyperlink r:id="rId238" w:history="1">
        <w:r w:rsidRPr="008A17CC">
          <w:rPr>
            <w:rStyle w:val="Hyperlink"/>
            <w:rFonts w:cs="Arial"/>
          </w:rPr>
          <w:t>http://www.aph.gov.au/Parliamentary_Business/Committees/Senate/Legal_and_Constitutional_Affairs/LawofContempt</w:t>
        </w:r>
      </w:hyperlink>
      <w:r w:rsidRPr="008A17CC">
        <w:rPr>
          <w:rFonts w:cs="Arial"/>
        </w:rPr>
        <w:t xml:space="preserve"> (</w:t>
      </w:r>
      <w:r w:rsidRPr="00BF602B">
        <w:rPr>
          <w:rFonts w:cs="Arial"/>
        </w:rPr>
        <w:t xml:space="preserve">viewed </w:t>
      </w:r>
      <w:r>
        <w:rPr>
          <w:rFonts w:cs="Arial"/>
        </w:rPr>
        <w:t>11 September 2017</w:t>
      </w:r>
      <w:r w:rsidRPr="008A17CC">
        <w:rPr>
          <w:rFonts w:cs="Arial"/>
        </w:rPr>
        <w:t>).</w:t>
      </w:r>
    </w:p>
  </w:endnote>
  <w:endnote w:id="223">
    <w:p w14:paraId="34213D3C" w14:textId="77777777" w:rsidR="00910DFF" w:rsidRDefault="00910DFF" w:rsidP="008169CC">
      <w:pPr>
        <w:pStyle w:val="EndnoteText"/>
      </w:pPr>
      <w:r w:rsidRPr="008A17CC">
        <w:rPr>
          <w:rStyle w:val="EndnoteReference"/>
        </w:rPr>
        <w:endnoteRef/>
      </w:r>
      <w:r w:rsidRPr="008A17CC">
        <w:t xml:space="preserve"> Australian Human Rights Commission, Submission No 13 to Parliamentary Joint Committee on Human Rights, </w:t>
      </w:r>
      <w:r w:rsidRPr="008A17CC">
        <w:rPr>
          <w:i/>
        </w:rPr>
        <w:t xml:space="preserve">Inquiry into freedom of speech, </w:t>
      </w:r>
      <w:r w:rsidRPr="008A17CC">
        <w:t xml:space="preserve">9 December 2016. At </w:t>
      </w:r>
      <w:hyperlink r:id="rId239" w:history="1">
        <w:r w:rsidRPr="008A17CC">
          <w:rPr>
            <w:rStyle w:val="Hyperlink"/>
          </w:rPr>
          <w:t>http://www.aph.gov.au/DocumentStore.ashx?id=d42f430a-869c-4706-9414-bf0cba934162&amp;subId=461226</w:t>
        </w:r>
      </w:hyperlink>
      <w:r w:rsidRPr="008A17CC">
        <w:t xml:space="preserve"> (</w:t>
      </w:r>
      <w:r w:rsidRPr="00BF602B">
        <w:rPr>
          <w:rFonts w:cs="Arial"/>
        </w:rPr>
        <w:t xml:space="preserve">viewed </w:t>
      </w:r>
      <w:r>
        <w:rPr>
          <w:rFonts w:cs="Arial"/>
        </w:rPr>
        <w:t>11 September 2017</w:t>
      </w:r>
      <w:r w:rsidRPr="008A17CC">
        <w:t>).</w:t>
      </w:r>
    </w:p>
  </w:endnote>
  <w:endnote w:id="224">
    <w:p w14:paraId="55D616F5" w14:textId="77777777" w:rsidR="00910DFF" w:rsidRPr="00892424" w:rsidRDefault="00910DFF" w:rsidP="009C23BD">
      <w:pPr>
        <w:pStyle w:val="EndnoteText"/>
        <w:rPr>
          <w:rFonts w:cs="Arial"/>
        </w:rPr>
      </w:pPr>
      <w:r w:rsidRPr="00892424">
        <w:rPr>
          <w:rStyle w:val="EndnoteReference"/>
          <w:rFonts w:cs="Arial"/>
        </w:rPr>
        <w:endnoteRef/>
      </w:r>
      <w:r>
        <w:rPr>
          <w:rFonts w:cs="Arial"/>
        </w:rPr>
        <w:t xml:space="preserve"> This includes </w:t>
      </w:r>
      <w:r w:rsidRPr="00892424">
        <w:rPr>
          <w:rFonts w:cs="Arial"/>
        </w:rPr>
        <w:t>offences relating to advocating terrorism; prescribed terrorist organisations; using a postal service to menace, harass or cause offence; and incitement and conspiracy laws</w:t>
      </w:r>
    </w:p>
  </w:endnote>
  <w:endnote w:id="225">
    <w:p w14:paraId="113B9CA2" w14:textId="228A949B"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w:t>
      </w:r>
      <w:r>
        <w:rPr>
          <w:rFonts w:cs="Arial"/>
        </w:rPr>
        <w:t xml:space="preserve">This includes </w:t>
      </w:r>
      <w:r w:rsidRPr="00892424">
        <w:rPr>
          <w:rFonts w:cs="Arial"/>
        </w:rPr>
        <w:t xml:space="preserve">laws that impose criminal sanctions for breaches of secrecy or confidentiality obligations such as Part 6 of the </w:t>
      </w:r>
      <w:r w:rsidRPr="00892424">
        <w:rPr>
          <w:rFonts w:cs="Arial"/>
          <w:i/>
        </w:rPr>
        <w:t xml:space="preserve">Australian Border Force Act 2015 </w:t>
      </w:r>
      <w:r w:rsidRPr="00892424">
        <w:rPr>
          <w:rFonts w:cs="Arial"/>
        </w:rPr>
        <w:t xml:space="preserve">(Cth) and </w:t>
      </w:r>
      <w:r>
        <w:rPr>
          <w:rFonts w:cs="Arial"/>
        </w:rPr>
        <w:t>s</w:t>
      </w:r>
      <w:r w:rsidRPr="00892424">
        <w:rPr>
          <w:rFonts w:cs="Arial"/>
        </w:rPr>
        <w:t xml:space="preserve"> 35P of the </w:t>
      </w:r>
      <w:r w:rsidRPr="00892424">
        <w:rPr>
          <w:rFonts w:cs="Arial"/>
          <w:i/>
        </w:rPr>
        <w:t xml:space="preserve">Australian Security Intelligence Organisation Act 1979 </w:t>
      </w:r>
      <w:r w:rsidRPr="00892424">
        <w:rPr>
          <w:rFonts w:cs="Arial"/>
        </w:rPr>
        <w:t>(Cth).</w:t>
      </w:r>
    </w:p>
  </w:endnote>
  <w:endnote w:id="226">
    <w:p w14:paraId="36F4AE58"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w:t>
      </w:r>
      <w:r>
        <w:rPr>
          <w:rFonts w:cs="Arial"/>
        </w:rPr>
        <w:t xml:space="preserve">This includes </w:t>
      </w:r>
      <w:r w:rsidRPr="00892424">
        <w:rPr>
          <w:rFonts w:cs="Arial"/>
        </w:rPr>
        <w:t>laws against secondary boycotts and laws preventing charities from promoting or opposing a political party or a candidate for political office.</w:t>
      </w:r>
    </w:p>
  </w:endnote>
  <w:endnote w:id="227">
    <w:p w14:paraId="25EF2332" w14:textId="77777777"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8. At </w:t>
      </w:r>
      <w:hyperlink r:id="rId240" w:history="1">
        <w:r w:rsidRPr="00C029D6">
          <w:rPr>
            <w:rStyle w:val="Hyperlink"/>
          </w:rPr>
          <w:t>http://www.border.gov.au/ReportsandPublications/Documents/statistics/immigration-detention-statistics-31-july-2017.pdf</w:t>
        </w:r>
      </w:hyperlink>
      <w:r>
        <w:t xml:space="preserve"> (viewed 16 October 2017).</w:t>
      </w:r>
    </w:p>
  </w:endnote>
  <w:endnote w:id="228">
    <w:p w14:paraId="6226008A" w14:textId="3A65A538"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4. At </w:t>
      </w:r>
      <w:hyperlink r:id="rId241" w:history="1">
        <w:r w:rsidRPr="00324C96">
          <w:rPr>
            <w:rStyle w:val="Hyperlink"/>
          </w:rPr>
          <w:t>http://www.border.gov.au/ReportsandPublications/Documents/statistics/immigration-detention-statistics-31-august-2017.pdf</w:t>
        </w:r>
      </w:hyperlink>
      <w:r>
        <w:t xml:space="preserve"> (viewed 16 October 2017).</w:t>
      </w:r>
    </w:p>
  </w:endnote>
  <w:endnote w:id="229">
    <w:p w14:paraId="66EFA3FE" w14:textId="21ECF5D0"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7. At </w:t>
      </w:r>
      <w:hyperlink r:id="rId242" w:history="1">
        <w:r w:rsidRPr="00324C96">
          <w:rPr>
            <w:rStyle w:val="Hyperlink"/>
          </w:rPr>
          <w:t>http://www.border.gov.au/ReportsandPublications/Documents/statistics/immigration-detention-statistics-31-august-2017.pdf</w:t>
        </w:r>
      </w:hyperlink>
      <w:r>
        <w:t xml:space="preserve"> (viewed 30 October 2017).</w:t>
      </w:r>
    </w:p>
  </w:endnote>
  <w:endnote w:id="230">
    <w:p w14:paraId="12733CC4" w14:textId="4FA2C2BE" w:rsidR="00910DFF" w:rsidRDefault="00910DFF" w:rsidP="00182E4E">
      <w:pPr>
        <w:pStyle w:val="EndnoteText"/>
      </w:pPr>
      <w:r>
        <w:rPr>
          <w:rStyle w:val="EndnoteReference"/>
        </w:rPr>
        <w:endnoteRef/>
      </w:r>
      <w:r>
        <w:t xml:space="preserve"> Department of Immigration and Citizenship, </w:t>
      </w:r>
      <w:r w:rsidRPr="00EB4FB4">
        <w:rPr>
          <w:i/>
        </w:rPr>
        <w:t>Immigration Detention Statistics Summary</w:t>
      </w:r>
      <w:r>
        <w:t xml:space="preserve"> (31 July 2013) 9. At </w:t>
      </w:r>
      <w:hyperlink r:id="rId243" w:history="1">
        <w:r w:rsidRPr="00AD64A5">
          <w:rPr>
            <w:rStyle w:val="Hyperlink"/>
          </w:rPr>
          <w:t>http://www.border.gov.au/ReportsandPublications/Documents/statistics/immigration-detention-statistics-july2013.pdf</w:t>
        </w:r>
      </w:hyperlink>
      <w:r>
        <w:t xml:space="preserve"> (viewed 30 October 2017).</w:t>
      </w:r>
    </w:p>
  </w:endnote>
  <w:endnote w:id="231">
    <w:p w14:paraId="69EED77C" w14:textId="28991818"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11. At </w:t>
      </w:r>
      <w:hyperlink r:id="rId244" w:history="1">
        <w:r w:rsidRPr="00324C96">
          <w:rPr>
            <w:rStyle w:val="Hyperlink"/>
          </w:rPr>
          <w:t>http://www.border.gov.au/ReportsandPublications/Documents/statistics/immigration-detention-statistics-31-august-2017.pdf</w:t>
        </w:r>
      </w:hyperlink>
      <w:r>
        <w:t xml:space="preserve"> (viewed 30 October 2017).</w:t>
      </w:r>
    </w:p>
  </w:endnote>
  <w:endnote w:id="232">
    <w:p w14:paraId="0ACD974D" w14:textId="178D012F"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11. At </w:t>
      </w:r>
      <w:hyperlink r:id="rId245" w:history="1">
        <w:r w:rsidRPr="00324C96">
          <w:rPr>
            <w:rStyle w:val="Hyperlink"/>
          </w:rPr>
          <w:t>http://www.border.gov.au/ReportsandPublications/Documents/statistics/immigration-detention-statistics-31-august-2017.pdf</w:t>
        </w:r>
      </w:hyperlink>
      <w:r>
        <w:t xml:space="preserve"> (viewed 30 October 2017).</w:t>
      </w:r>
    </w:p>
  </w:endnote>
  <w:endnote w:id="233">
    <w:p w14:paraId="0C3223FE" w14:textId="46DE0D13" w:rsidR="00910DFF" w:rsidRDefault="00910DFF" w:rsidP="00182E4E">
      <w:pPr>
        <w:pStyle w:val="EndnoteText"/>
      </w:pPr>
      <w:r>
        <w:rPr>
          <w:rStyle w:val="EndnoteReference"/>
        </w:rPr>
        <w:endnoteRef/>
      </w:r>
      <w:r>
        <w:t xml:space="preserve"> Department of Immigration and Border Protection, </w:t>
      </w:r>
      <w:r w:rsidRPr="007D3190">
        <w:rPr>
          <w:i/>
        </w:rPr>
        <w:t>Immigration Detention and Community Statistics Summary</w:t>
      </w:r>
      <w:r>
        <w:t xml:space="preserve"> (31 August 2017) 4 At </w:t>
      </w:r>
      <w:hyperlink r:id="rId246" w:history="1">
        <w:r w:rsidRPr="00324C96">
          <w:rPr>
            <w:rStyle w:val="Hyperlink"/>
          </w:rPr>
          <w:t>http://www.border.gov.au/ReportsandPublications/Documents/statistics/immigration-detention-statistics-31-august-2017.pdf</w:t>
        </w:r>
      </w:hyperlink>
      <w:r>
        <w:t xml:space="preserve"> (viewed 30 October 2017).</w:t>
      </w:r>
    </w:p>
  </w:endnote>
  <w:endnote w:id="234">
    <w:p w14:paraId="7A9B7188" w14:textId="51AA7919" w:rsidR="00910DFF" w:rsidRPr="00892424" w:rsidRDefault="00910DFF" w:rsidP="00182E4E">
      <w:pPr>
        <w:pStyle w:val="EndnoteText"/>
        <w:rPr>
          <w:rFonts w:cs="Arial"/>
        </w:rPr>
      </w:pPr>
      <w:r w:rsidRPr="00892424">
        <w:rPr>
          <w:rStyle w:val="EndnoteReference"/>
          <w:rFonts w:cs="Arial"/>
        </w:rPr>
        <w:endnoteRef/>
      </w:r>
      <w:r w:rsidRPr="00892424">
        <w:rPr>
          <w:rFonts w:cs="Arial"/>
          <w:iCs/>
        </w:rPr>
        <w:t xml:space="preserve"> </w:t>
      </w:r>
      <w:r w:rsidRPr="00892424">
        <w:rPr>
          <w:rFonts w:cs="Arial"/>
          <w:i/>
          <w:iCs/>
        </w:rPr>
        <w:t xml:space="preserve">Migration Act 1958 </w:t>
      </w:r>
      <w:r w:rsidRPr="00892424">
        <w:rPr>
          <w:rFonts w:cs="Arial"/>
        </w:rPr>
        <w:t>(Cth) s</w:t>
      </w:r>
      <w:r>
        <w:rPr>
          <w:rFonts w:cs="Arial"/>
        </w:rPr>
        <w:t>s</w:t>
      </w:r>
      <w:r w:rsidRPr="00892424">
        <w:rPr>
          <w:rFonts w:cs="Arial"/>
        </w:rPr>
        <w:t xml:space="preserve"> 189, 196</w:t>
      </w:r>
      <w:r>
        <w:rPr>
          <w:rFonts w:cs="Arial"/>
        </w:rPr>
        <w:t>.</w:t>
      </w:r>
    </w:p>
  </w:endnote>
  <w:endnote w:id="235">
    <w:p w14:paraId="385F5954" w14:textId="0CB8E833" w:rsidR="00910DFF" w:rsidRPr="00892424" w:rsidRDefault="00910DFF" w:rsidP="00182E4E">
      <w:pPr>
        <w:pStyle w:val="EndnoteText"/>
        <w:rPr>
          <w:rFonts w:cs="Arial"/>
        </w:rPr>
      </w:pPr>
      <w:r w:rsidRPr="00892424">
        <w:rPr>
          <w:rStyle w:val="EndnoteReference"/>
          <w:rFonts w:cs="Arial"/>
        </w:rPr>
        <w:endnoteRef/>
      </w:r>
      <w:r w:rsidRPr="00892424">
        <w:rPr>
          <w:rFonts w:cs="Arial"/>
        </w:rPr>
        <w:t xml:space="preserve"> The Department of Immigration and Border Protection’s monthly immigration detention statistics summaries show that </w:t>
      </w:r>
      <w:r>
        <w:rPr>
          <w:rFonts w:cs="Arial"/>
        </w:rPr>
        <w:t xml:space="preserve">by the </w:t>
      </w:r>
      <w:r w:rsidRPr="00892424">
        <w:rPr>
          <w:rFonts w:cs="Arial"/>
        </w:rPr>
        <w:t xml:space="preserve">end February 2017 there were less than 5 children in detention. The summaries are available at </w:t>
      </w:r>
      <w:hyperlink r:id="rId247" w:history="1">
        <w:r w:rsidRPr="00892424">
          <w:rPr>
            <w:rStyle w:val="Hyperlink"/>
            <w:rFonts w:cs="Arial"/>
          </w:rPr>
          <w:t>http://www.border.gov.au/about/reports-publications/research-statistics/statistics/live-in-australia/immigration-detention</w:t>
        </w:r>
      </w:hyperlink>
      <w:r w:rsidRPr="00892424">
        <w:rPr>
          <w:rFonts w:cs="Arial"/>
        </w:rPr>
        <w:t xml:space="preserve"> (</w:t>
      </w:r>
      <w:r w:rsidRPr="00BF602B">
        <w:rPr>
          <w:rFonts w:cs="Arial"/>
        </w:rPr>
        <w:t xml:space="preserve">viewed </w:t>
      </w:r>
      <w:r>
        <w:t>30 October 2017</w:t>
      </w:r>
      <w:r w:rsidRPr="00892424">
        <w:rPr>
          <w:rFonts w:cs="Arial"/>
        </w:rPr>
        <w:t>).</w:t>
      </w:r>
    </w:p>
  </w:endnote>
  <w:endnote w:id="236">
    <w:p w14:paraId="3CF2CD26" w14:textId="6988687C" w:rsidR="00910DFF" w:rsidRPr="00892424" w:rsidRDefault="00910DFF" w:rsidP="00182E4E">
      <w:pPr>
        <w:pStyle w:val="EndnoteText"/>
        <w:rPr>
          <w:rFonts w:cs="Arial"/>
        </w:rPr>
      </w:pPr>
      <w:r w:rsidRPr="00892424">
        <w:rPr>
          <w:rStyle w:val="EndnoteReference"/>
          <w:rFonts w:cs="Arial"/>
        </w:rPr>
        <w:endnoteRef/>
      </w:r>
      <w:r>
        <w:rPr>
          <w:rFonts w:cs="Arial"/>
        </w:rPr>
        <w:t xml:space="preserve"> </w:t>
      </w:r>
      <w:r w:rsidRPr="00892424">
        <w:rPr>
          <w:rFonts w:cs="Arial"/>
        </w:rPr>
        <w:t>Minister for Immigration and Border Protection</w:t>
      </w:r>
      <w:r>
        <w:rPr>
          <w:rFonts w:cs="Arial"/>
        </w:rPr>
        <w:t>, The Hon Scott Morrison MP</w:t>
      </w:r>
      <w:r w:rsidRPr="00892424">
        <w:rPr>
          <w:rFonts w:cs="Arial"/>
        </w:rPr>
        <w:t xml:space="preserve">, ‘Government success stopping illegal boats to save $2.5 billion’ (Media Release, 13 May 2014). At </w:t>
      </w:r>
      <w:hyperlink r:id="rId248" w:history="1">
        <w:r w:rsidRPr="00892424">
          <w:rPr>
            <w:rStyle w:val="Hyperlink"/>
            <w:rFonts w:cs="Arial"/>
          </w:rPr>
          <w:t>http://parlinfo.aph.gov.au/parlInfo/download/media/pressrel/3165273/upload_binary/3165273.pdf</w:t>
        </w:r>
      </w:hyperlink>
      <w:r w:rsidRPr="00892424">
        <w:rPr>
          <w:rFonts w:cs="Arial"/>
        </w:rPr>
        <w:t xml:space="preserve"> (</w:t>
      </w:r>
      <w:r w:rsidRPr="00BF602B">
        <w:rPr>
          <w:rFonts w:cs="Arial"/>
        </w:rPr>
        <w:t xml:space="preserve">viewed </w:t>
      </w:r>
      <w:r>
        <w:t>30 October 2017</w:t>
      </w:r>
      <w:r w:rsidRPr="00892424">
        <w:rPr>
          <w:rFonts w:cs="Arial"/>
        </w:rPr>
        <w:t xml:space="preserve">). </w:t>
      </w:r>
    </w:p>
    <w:p w14:paraId="49B4F848" w14:textId="722C77FD" w:rsidR="00910DFF" w:rsidRPr="00892424" w:rsidRDefault="00910DFF" w:rsidP="00182E4E">
      <w:pPr>
        <w:pStyle w:val="EndnoteText"/>
        <w:rPr>
          <w:rFonts w:cs="Arial"/>
        </w:rPr>
      </w:pPr>
      <w:r w:rsidRPr="00892424">
        <w:rPr>
          <w:rFonts w:cs="Arial"/>
        </w:rPr>
        <w:t>Minister for Immigration and Border Protection</w:t>
      </w:r>
      <w:r>
        <w:rPr>
          <w:rFonts w:cs="Arial"/>
        </w:rPr>
        <w:t>, The Hon Scott Morrison MP</w:t>
      </w:r>
      <w:r w:rsidRPr="00892424">
        <w:rPr>
          <w:rFonts w:cs="Arial"/>
        </w:rPr>
        <w:t xml:space="preserve">, ‘Government closes Labor's Inverbrackie detention centre’ (Media Release, 12 December 2014). At </w:t>
      </w:r>
      <w:hyperlink r:id="rId249" w:history="1">
        <w:r w:rsidRPr="00892424">
          <w:rPr>
            <w:rStyle w:val="Hyperlink"/>
            <w:rFonts w:cs="Arial"/>
          </w:rPr>
          <w:t>http://parlinfo.aph.gov.au/parlInfo/search/display/display.w3p;query=Id%3A%22media%2Fpressrel%2F3575101%22</w:t>
        </w:r>
      </w:hyperlink>
      <w:r w:rsidRPr="00892424">
        <w:rPr>
          <w:rFonts w:cs="Arial"/>
        </w:rPr>
        <w:t xml:space="preserve"> (</w:t>
      </w:r>
      <w:r w:rsidRPr="00BF602B">
        <w:rPr>
          <w:rFonts w:cs="Arial"/>
        </w:rPr>
        <w:t xml:space="preserve">viewed </w:t>
      </w:r>
      <w:r>
        <w:t>30 October 2017</w:t>
      </w:r>
      <w:r w:rsidRPr="00892424">
        <w:rPr>
          <w:rFonts w:cs="Arial"/>
        </w:rPr>
        <w:t>); Minister for Immigration and Border Protection</w:t>
      </w:r>
      <w:r>
        <w:rPr>
          <w:rFonts w:cs="Arial"/>
        </w:rPr>
        <w:t>, The Hon Peter Dutton MP</w:t>
      </w:r>
      <w:r w:rsidRPr="00892424">
        <w:rPr>
          <w:rFonts w:cs="Arial"/>
        </w:rPr>
        <w:t xml:space="preserve">, ‘Government closes Darwin's Bladin detention facility’ (Media Release, 21 February 2015). At </w:t>
      </w:r>
      <w:hyperlink r:id="rId250" w:history="1">
        <w:r w:rsidRPr="00892424">
          <w:rPr>
            <w:rStyle w:val="Hyperlink"/>
            <w:rFonts w:cs="Arial"/>
          </w:rPr>
          <w:t>http://www.minister.border.gov.au/peterdutton/2015/Pages/government-closes-bladin-detention-facility.aspx</w:t>
        </w:r>
      </w:hyperlink>
      <w:r w:rsidRPr="00892424">
        <w:rPr>
          <w:rFonts w:cs="Arial"/>
        </w:rPr>
        <w:t xml:space="preserve"> (</w:t>
      </w:r>
      <w:r w:rsidRPr="00BF602B">
        <w:rPr>
          <w:rFonts w:cs="Arial"/>
        </w:rPr>
        <w:t xml:space="preserve">viewed </w:t>
      </w:r>
      <w:r>
        <w:t>30 October 2017</w:t>
      </w:r>
      <w:r w:rsidRPr="00892424">
        <w:rPr>
          <w:rFonts w:cs="Arial"/>
        </w:rPr>
        <w:t xml:space="preserve">); Commonwealth of Australia, </w:t>
      </w:r>
      <w:r w:rsidRPr="00892424">
        <w:rPr>
          <w:rFonts w:cs="Arial"/>
          <w:i/>
        </w:rPr>
        <w:t>Budget Paper No. 2 2016</w:t>
      </w:r>
      <w:r>
        <w:rPr>
          <w:rFonts w:eastAsia="Calibri" w:cs="Arial"/>
        </w:rPr>
        <w:t>–</w:t>
      </w:r>
      <w:r w:rsidRPr="00892424">
        <w:rPr>
          <w:rFonts w:cs="Arial"/>
          <w:i/>
        </w:rPr>
        <w:t>17</w:t>
      </w:r>
      <w:r w:rsidRPr="00892424">
        <w:rPr>
          <w:rFonts w:cs="Arial"/>
        </w:rPr>
        <w:t xml:space="preserve"> (3 May 2016) 123. At </w:t>
      </w:r>
      <w:hyperlink r:id="rId251" w:history="1">
        <w:r w:rsidRPr="00892424">
          <w:rPr>
            <w:rStyle w:val="Hyperlink"/>
            <w:rFonts w:cs="Arial"/>
          </w:rPr>
          <w:t>http://budget.gov.au/2016-17/content/bp2/download/BP2_consolidated.pdf</w:t>
        </w:r>
      </w:hyperlink>
      <w:r w:rsidRPr="00892424">
        <w:rPr>
          <w:rFonts w:cs="Arial"/>
        </w:rPr>
        <w:t xml:space="preserve"> (</w:t>
      </w:r>
      <w:r w:rsidRPr="00BF602B">
        <w:rPr>
          <w:rFonts w:cs="Arial"/>
        </w:rPr>
        <w:t xml:space="preserve">viewed </w:t>
      </w:r>
      <w:r>
        <w:t>30 October 2017</w:t>
      </w:r>
      <w:r w:rsidRPr="00892424">
        <w:rPr>
          <w:rFonts w:cs="Arial"/>
        </w:rPr>
        <w:t xml:space="preserve">); Commonwealth of Australia, </w:t>
      </w:r>
      <w:r w:rsidRPr="00892424">
        <w:rPr>
          <w:rFonts w:cs="Arial"/>
          <w:i/>
        </w:rPr>
        <w:t>Budget Paper No. 2 2016</w:t>
      </w:r>
      <w:r>
        <w:rPr>
          <w:rFonts w:eastAsia="Calibri" w:cs="Arial"/>
        </w:rPr>
        <w:t>–</w:t>
      </w:r>
      <w:r w:rsidRPr="00892424">
        <w:rPr>
          <w:rFonts w:cs="Arial"/>
          <w:i/>
        </w:rPr>
        <w:t>17</w:t>
      </w:r>
      <w:r w:rsidRPr="00892424">
        <w:rPr>
          <w:rFonts w:cs="Arial"/>
        </w:rPr>
        <w:t xml:space="preserve"> (3 May 2016) 123. At </w:t>
      </w:r>
      <w:hyperlink r:id="rId252" w:history="1">
        <w:r w:rsidRPr="00892424">
          <w:rPr>
            <w:rStyle w:val="Hyperlink"/>
            <w:rFonts w:cs="Arial"/>
          </w:rPr>
          <w:t>http://budget.gov.au/2016-17/content/bp2/download/BP2_consolidated.pdf</w:t>
        </w:r>
      </w:hyperlink>
      <w:r w:rsidRPr="00892424">
        <w:rPr>
          <w:rFonts w:cs="Arial"/>
        </w:rPr>
        <w:t xml:space="preserve"> (</w:t>
      </w:r>
      <w:r w:rsidRPr="00BF602B">
        <w:rPr>
          <w:rFonts w:cs="Arial"/>
        </w:rPr>
        <w:t xml:space="preserve">viewed </w:t>
      </w:r>
      <w:r>
        <w:t>30 October 2017</w:t>
      </w:r>
      <w:r w:rsidRPr="00892424">
        <w:rPr>
          <w:rFonts w:cs="Arial"/>
        </w:rPr>
        <w:t xml:space="preserve">). </w:t>
      </w:r>
    </w:p>
  </w:endnote>
  <w:endnote w:id="237">
    <w:p w14:paraId="3EA5B4F4" w14:textId="0EE20B04" w:rsidR="00910DFF" w:rsidRDefault="00910DFF" w:rsidP="00182E4E">
      <w:pPr>
        <w:pStyle w:val="EndnoteText"/>
      </w:pPr>
      <w:r>
        <w:rPr>
          <w:rStyle w:val="EndnoteReference"/>
        </w:rPr>
        <w:endnoteRef/>
      </w:r>
      <w:r>
        <w:t xml:space="preserve"> Australian Human Rights Commission, </w:t>
      </w:r>
      <w:r w:rsidRPr="00655F5A">
        <w:rPr>
          <w:i/>
        </w:rPr>
        <w:t>Human rights standards for immigration detention</w:t>
      </w:r>
      <w:r>
        <w:t xml:space="preserve"> (2013). At </w:t>
      </w:r>
      <w:hyperlink r:id="rId253" w:history="1">
        <w:r w:rsidRPr="008824AF">
          <w:rPr>
            <w:rStyle w:val="Hyperlink"/>
          </w:rPr>
          <w:t>https://www.humanrights.gov.au/our-work/asylum-seekers-and-refugees/publications/human-rights-standards-immigration-detention</w:t>
        </w:r>
      </w:hyperlink>
      <w:r>
        <w:t xml:space="preserve"> (viewed 30 October 2017). </w:t>
      </w:r>
    </w:p>
  </w:endnote>
  <w:endnote w:id="238">
    <w:p w14:paraId="63D14859" w14:textId="77777777" w:rsidR="00910DFF" w:rsidRPr="00892424" w:rsidRDefault="00910DFF" w:rsidP="009C23BD">
      <w:pPr>
        <w:pStyle w:val="EndnoteText"/>
        <w:rPr>
          <w:rFonts w:cs="Arial"/>
        </w:rPr>
      </w:pPr>
      <w:r w:rsidRPr="00892424">
        <w:rPr>
          <w:rStyle w:val="EndnoteReference"/>
          <w:rFonts w:cs="Arial"/>
        </w:rPr>
        <w:endnoteRef/>
      </w:r>
      <w:r w:rsidRPr="00892424">
        <w:rPr>
          <w:rFonts w:cs="Arial"/>
        </w:rPr>
        <w:t xml:space="preserve"> </w:t>
      </w:r>
      <w:r>
        <w:rPr>
          <w:rFonts w:cs="Arial"/>
        </w:rPr>
        <w:t>The Global Compact Network Australia</w:t>
      </w:r>
      <w:r w:rsidRPr="00892424">
        <w:rPr>
          <w:rFonts w:cs="Arial"/>
        </w:rPr>
        <w:t xml:space="preserve"> is comprised on business stakeholders ranging from multi-nationals and top 200 companies down to smaller enterprises.</w:t>
      </w:r>
    </w:p>
  </w:endnote>
  <w:endnote w:id="239">
    <w:p w14:paraId="6ED16B20" w14:textId="77777777" w:rsidR="00910DFF" w:rsidRPr="00A04DB6" w:rsidRDefault="00910DFF" w:rsidP="009C23BD">
      <w:pPr>
        <w:pStyle w:val="EndnoteText"/>
        <w:rPr>
          <w:rFonts w:cs="Arial"/>
        </w:rPr>
      </w:pPr>
      <w:r w:rsidRPr="00892424">
        <w:rPr>
          <w:rStyle w:val="EndnoteReference"/>
          <w:rFonts w:cs="Arial"/>
        </w:rPr>
        <w:endnoteRef/>
      </w:r>
      <w:r w:rsidRPr="00892424">
        <w:rPr>
          <w:rFonts w:cs="Arial"/>
        </w:rPr>
        <w:t xml:space="preserve"> </w:t>
      </w:r>
      <w:r w:rsidRPr="00892424">
        <w:rPr>
          <w:rFonts w:cs="Arial"/>
          <w:i/>
        </w:rPr>
        <w:t>Report of the Working Group on the Universal Periodic Review</w:t>
      </w:r>
      <w:r w:rsidRPr="00892424">
        <w:rPr>
          <w:rFonts w:cs="Arial"/>
        </w:rPr>
        <w:t xml:space="preserve"> </w:t>
      </w:r>
      <w:r w:rsidRPr="00892424">
        <w:rPr>
          <w:rFonts w:cs="Arial"/>
          <w:i/>
        </w:rPr>
        <w:t>Australia</w:t>
      </w:r>
      <w:r w:rsidRPr="00892424">
        <w:rPr>
          <w:rFonts w:cs="Arial"/>
        </w:rPr>
        <w:t>, HRC, 31</w:t>
      </w:r>
      <w:r w:rsidRPr="00892424">
        <w:rPr>
          <w:rFonts w:cs="Arial"/>
          <w:vertAlign w:val="superscript"/>
        </w:rPr>
        <w:t>st</w:t>
      </w:r>
      <w:r w:rsidRPr="00892424">
        <w:rPr>
          <w:rFonts w:cs="Arial"/>
        </w:rPr>
        <w:t xml:space="preserve"> sess, Agenda Item 6, Addendum 1, UN Doc A/HRC/31/14 (31 Janua</w:t>
      </w:r>
      <w:r w:rsidRPr="00A04DB6">
        <w:rPr>
          <w:rFonts w:cs="Arial"/>
        </w:rPr>
        <w:t xml:space="preserve">ry 2016) [63]. At </w:t>
      </w:r>
      <w:hyperlink r:id="rId254" w:history="1">
        <w:r w:rsidRPr="00A04DB6">
          <w:rPr>
            <w:rStyle w:val="Hyperlink"/>
            <w:rFonts w:cs="Arial"/>
          </w:rPr>
          <w:t>http://www.ohchr.org/EN/HRBodies/UPR/Pages/AUIndex.aspx</w:t>
        </w:r>
      </w:hyperlink>
      <w:r w:rsidRPr="00A04DB6">
        <w:rPr>
          <w:rFonts w:cs="Arial"/>
        </w:rPr>
        <w:t xml:space="preserve">  (</w:t>
      </w:r>
      <w:r w:rsidRPr="00BF602B">
        <w:rPr>
          <w:rFonts w:cs="Arial"/>
        </w:rPr>
        <w:t xml:space="preserve">viewed </w:t>
      </w:r>
      <w:r>
        <w:rPr>
          <w:rFonts w:cs="Arial"/>
        </w:rPr>
        <w:t>11 September 2017</w:t>
      </w:r>
      <w:r w:rsidRPr="00A04DB6">
        <w:rPr>
          <w:rFonts w:cs="Arial"/>
        </w:rPr>
        <w:t>).</w:t>
      </w:r>
    </w:p>
  </w:endnote>
  <w:endnote w:id="240">
    <w:p w14:paraId="58D700ED" w14:textId="2C5A196B" w:rsidR="00910DFF" w:rsidRPr="005C012D" w:rsidRDefault="00910DFF">
      <w:pPr>
        <w:pStyle w:val="EndnoteText"/>
      </w:pPr>
      <w:r>
        <w:rPr>
          <w:rStyle w:val="EndnoteReference"/>
        </w:rPr>
        <w:endnoteRef/>
      </w:r>
      <w:r>
        <w:t xml:space="preserve"> Minister for Foreign Affairs, The Hon Julie Bishop MP, </w:t>
      </w:r>
      <w:r>
        <w:rPr>
          <w:i/>
        </w:rPr>
        <w:t xml:space="preserve">Establishment of an Advisory Group on Business and Human Rights </w:t>
      </w:r>
      <w:r>
        <w:t xml:space="preserve">(online) (2 June 2017). At </w:t>
      </w:r>
      <w:hyperlink r:id="rId255" w:history="1">
        <w:r w:rsidRPr="004B09BD">
          <w:rPr>
            <w:rStyle w:val="Hyperlink"/>
          </w:rPr>
          <w:t>https://foreignminister.gov.au/releases/Pages/2017/jb_mr_170602b.aspx</w:t>
        </w:r>
      </w:hyperlink>
      <w:r>
        <w:t xml:space="preserve"> (viewed 20 October 2017). </w:t>
      </w:r>
    </w:p>
  </w:endnote>
  <w:endnote w:id="241">
    <w:p w14:paraId="0977923F" w14:textId="77777777" w:rsidR="00910DFF" w:rsidRPr="005C012D" w:rsidRDefault="00910DFF" w:rsidP="00DD24EF">
      <w:pPr>
        <w:pStyle w:val="EndnoteText"/>
      </w:pPr>
      <w:r>
        <w:rPr>
          <w:rStyle w:val="EndnoteReference"/>
        </w:rPr>
        <w:endnoteRef/>
      </w:r>
      <w:r>
        <w:t xml:space="preserve"> Minister for Foreign Affairs, The Hon Julie Bishop MP, </w:t>
      </w:r>
      <w:r>
        <w:rPr>
          <w:i/>
        </w:rPr>
        <w:t xml:space="preserve">Establishment of an Advisory Group on Business and Human Rights </w:t>
      </w:r>
      <w:r>
        <w:t xml:space="preserve">(online) (2 June 2017). At </w:t>
      </w:r>
      <w:hyperlink r:id="rId256" w:history="1">
        <w:r w:rsidRPr="004B09BD">
          <w:rPr>
            <w:rStyle w:val="Hyperlink"/>
          </w:rPr>
          <w:t>https://foreignminister.gov.au/releases/Pages/2017/jb_mr_170602b.aspx</w:t>
        </w:r>
      </w:hyperlink>
      <w:r>
        <w:t xml:space="preserve"> (viewed 20 October 2017). </w:t>
      </w:r>
    </w:p>
  </w:endnote>
  <w:endnote w:id="242">
    <w:p w14:paraId="206F880F" w14:textId="77777777" w:rsidR="00910DFF" w:rsidRDefault="00910DFF" w:rsidP="00DD24EF">
      <w:pPr>
        <w:pStyle w:val="EndnoteText"/>
      </w:pPr>
      <w:r>
        <w:rPr>
          <w:rStyle w:val="EndnoteReference"/>
        </w:rPr>
        <w:endnoteRef/>
      </w:r>
      <w:r>
        <w:t xml:space="preserve"> Multi-Stakeholder Advisory Group on the Implementation of the</w:t>
      </w:r>
    </w:p>
    <w:p w14:paraId="765B2488" w14:textId="717F21FA" w:rsidR="00910DFF" w:rsidRPr="00DD24EF" w:rsidRDefault="00910DFF" w:rsidP="00DD24EF">
      <w:pPr>
        <w:pStyle w:val="EndnoteText"/>
      </w:pPr>
      <w:r>
        <w:t xml:space="preserve">UN Guiding Principles on Business and Human Rights, </w:t>
      </w:r>
      <w:r w:rsidRPr="00DD24EF">
        <w:rPr>
          <w:i/>
        </w:rPr>
        <w:t xml:space="preserve">Advice on the prioritisation of issues and actions to </w:t>
      </w:r>
      <w:r>
        <w:rPr>
          <w:i/>
        </w:rPr>
        <w:t xml:space="preserve">implement </w:t>
      </w:r>
      <w:r w:rsidRPr="00DD24EF">
        <w:rPr>
          <w:i/>
        </w:rPr>
        <w:t>the UN Guiding Principles on Business and Human Rights (UNGPs)</w:t>
      </w:r>
      <w:r>
        <w:t xml:space="preserve"> (August 2017). At </w:t>
      </w:r>
      <w:hyperlink r:id="rId257" w:history="1">
        <w:r w:rsidRPr="004B09BD">
          <w:rPr>
            <w:rStyle w:val="Hyperlink"/>
          </w:rPr>
          <w:t>http://dfat.gov.au/international-relations/themes/human-rights/business/Pages/multi-stakeholder-advisory-group-on-implementation-of-the-un-guiding-principles-on-business-and-human-rights.aspx</w:t>
        </w:r>
      </w:hyperlink>
      <w:r>
        <w:t xml:space="preserve"> (viewed 20 October 2017). </w:t>
      </w:r>
    </w:p>
  </w:endnote>
  <w:endnote w:id="243">
    <w:p w14:paraId="5C9619BF" w14:textId="0171B57D" w:rsidR="00910DFF" w:rsidRPr="00DD24EF" w:rsidRDefault="00910DFF">
      <w:pPr>
        <w:pStyle w:val="EndnoteText"/>
      </w:pPr>
      <w:r>
        <w:rPr>
          <w:rStyle w:val="EndnoteReference"/>
        </w:rPr>
        <w:endnoteRef/>
      </w:r>
      <w:r>
        <w:t xml:space="preserve"> Human Rights Law Centre, </w:t>
      </w:r>
      <w:r w:rsidRPr="00DD24EF">
        <w:rPr>
          <w:i/>
        </w:rPr>
        <w:t>Government ignores advice of expert group on business and human rights</w:t>
      </w:r>
      <w:r>
        <w:t xml:space="preserve"> (online) (18 October 2017). At </w:t>
      </w:r>
      <w:hyperlink r:id="rId258" w:history="1">
        <w:r w:rsidRPr="004B09BD">
          <w:rPr>
            <w:rStyle w:val="Hyperlink"/>
          </w:rPr>
          <w:t>https://www.hrlc.org.au/news/2017/10/17/government-ignores-advice-of-expert-group-on-business-and-human-rights</w:t>
        </w:r>
      </w:hyperlink>
      <w:r>
        <w:t xml:space="preserve"> (viewed 20 October 2017). </w:t>
      </w:r>
    </w:p>
  </w:endnote>
  <w:endnote w:id="244">
    <w:p w14:paraId="7307A0EF" w14:textId="7A85AE09" w:rsidR="00910DFF" w:rsidRPr="00F978D1" w:rsidRDefault="00910DFF" w:rsidP="009C23BD">
      <w:pPr>
        <w:pStyle w:val="EndnoteText"/>
        <w:rPr>
          <w:rFonts w:cs="Arial"/>
        </w:rPr>
      </w:pPr>
      <w:r w:rsidRPr="00A04DB6">
        <w:rPr>
          <w:rStyle w:val="EndnoteReference"/>
          <w:rFonts w:cs="Arial"/>
        </w:rPr>
        <w:endnoteRef/>
      </w:r>
      <w:r w:rsidRPr="00A04DB6">
        <w:rPr>
          <w:rFonts w:cs="Arial"/>
        </w:rPr>
        <w:t xml:space="preserve"> Attorney-General’s Department, Australian Government, </w:t>
      </w:r>
      <w:r w:rsidRPr="00A04DB6">
        <w:rPr>
          <w:rFonts w:cs="Arial"/>
          <w:i/>
        </w:rPr>
        <w:t xml:space="preserve">Modern Slavery in Supply Chains Reporting Requirement (Public Consultation Paper and Regulation Impact Statement) </w:t>
      </w:r>
      <w:r w:rsidRPr="00A04DB6">
        <w:rPr>
          <w:rFonts w:cs="Arial"/>
        </w:rPr>
        <w:t xml:space="preserve">(2017) 5. At </w:t>
      </w:r>
      <w:hyperlink r:id="rId259" w:history="1">
        <w:r w:rsidRPr="00A04DB6">
          <w:rPr>
            <w:rStyle w:val="Hyperlink"/>
            <w:rFonts w:cs="Arial"/>
          </w:rPr>
          <w:t>https://www.ag.gov.au/Consultations/Pages/modern-slavery-in-supply-chains-reporting-requirement-public-consultation.aspx</w:t>
        </w:r>
      </w:hyperlink>
      <w:r w:rsidRPr="00A04DB6">
        <w:rPr>
          <w:rFonts w:cs="Arial"/>
        </w:rPr>
        <w:t xml:space="preserve"> (</w:t>
      </w:r>
      <w:r w:rsidRPr="00BF602B">
        <w:rPr>
          <w:rFonts w:cs="Arial"/>
        </w:rPr>
        <w:t xml:space="preserve">viewed </w:t>
      </w:r>
      <w:r>
        <w:rPr>
          <w:rFonts w:cs="Arial"/>
        </w:rPr>
        <w:t xml:space="preserve">11 September 2017); Minister for Justice, The Hon Michael Keenan MP, ‘Proposed new laws to help end modern slavery’ (Media release, 16 August 2017). At </w:t>
      </w:r>
      <w:hyperlink r:id="rId260" w:history="1">
        <w:r w:rsidRPr="00A248BB">
          <w:rPr>
            <w:rStyle w:val="Hyperlink"/>
            <w:rFonts w:cs="Arial"/>
          </w:rPr>
          <w:t>https://www.ministerjustice.gov.au/Media/Pages/Proposed-new-laws-to-help-end-modern-slavery-16-August-2017.aspx/</w:t>
        </w:r>
      </w:hyperlink>
      <w:r>
        <w:rPr>
          <w:rFonts w:cs="Arial"/>
        </w:rPr>
        <w:t xml:space="preserve"> (viewed 11 September 2017). </w:t>
      </w:r>
      <w:r w:rsidRPr="00A04DB6">
        <w:rPr>
          <w:rFonts w:cs="Arial"/>
        </w:rPr>
        <w:t xml:space="preserve"> </w:t>
      </w:r>
    </w:p>
  </w:endnote>
  <w:endnote w:id="245">
    <w:p w14:paraId="06B5E9D6" w14:textId="77777777" w:rsidR="00910DFF" w:rsidRPr="00CC24E1" w:rsidRDefault="00910DFF" w:rsidP="009C23BD">
      <w:pPr>
        <w:pStyle w:val="EndnoteText"/>
        <w:rPr>
          <w:rFonts w:cs="Arial"/>
          <w:highlight w:val="yellow"/>
        </w:rPr>
      </w:pPr>
      <w:r w:rsidRPr="00F978D1">
        <w:rPr>
          <w:rStyle w:val="EndnoteReference"/>
          <w:rFonts w:cs="Arial"/>
        </w:rPr>
        <w:endnoteRef/>
      </w:r>
      <w:r w:rsidRPr="00F978D1">
        <w:rPr>
          <w:rFonts w:cs="Arial"/>
        </w:rPr>
        <w:t xml:space="preserve"> Joint Standing Committee on Foreign Affairs, Defence and Trade, Parliament of Australia, </w:t>
      </w:r>
      <w:r w:rsidRPr="00F978D1">
        <w:rPr>
          <w:rFonts w:cs="Arial"/>
          <w:i/>
        </w:rPr>
        <w:t xml:space="preserve">Modern slavery and global supply chains: Interim report of the Joint Standing Committee on Foreign Affairs, defence and Trade’s inquiry into establishing a Modern Slavery Act in </w:t>
      </w:r>
      <w:r w:rsidRPr="00F978D1">
        <w:rPr>
          <w:rFonts w:cs="Arial"/>
        </w:rPr>
        <w:t xml:space="preserve">Australia (August 2017) Joint Committee’s report on Modern Slavery, Recommendation 1, [4.55]. At </w:t>
      </w:r>
      <w:hyperlink r:id="rId261" w:history="1">
        <w:r w:rsidRPr="00F978D1">
          <w:rPr>
            <w:rStyle w:val="Hyperlink"/>
            <w:rFonts w:cs="Arial"/>
          </w:rPr>
          <w:t>http://parlinfo.aph.gov.au/parlInfo/download/committees/reportjnt/024092/toc_pdf/Modernslaveryandglobalsupplychains.pdf;fileType=application%2Fpdf</w:t>
        </w:r>
      </w:hyperlink>
      <w:r w:rsidRPr="00F978D1">
        <w:rPr>
          <w:rFonts w:cs="Arial"/>
        </w:rPr>
        <w:t xml:space="preserve"> (</w:t>
      </w:r>
      <w:r w:rsidRPr="00BF602B">
        <w:rPr>
          <w:rFonts w:cs="Arial"/>
        </w:rPr>
        <w:t xml:space="preserve">viewed </w:t>
      </w:r>
      <w:r>
        <w:rPr>
          <w:rFonts w:cs="Arial"/>
        </w:rPr>
        <w:t>11 September 2017</w:t>
      </w:r>
      <w:r w:rsidRPr="00F978D1">
        <w:rPr>
          <w:rFonts w:cs="Arial"/>
        </w:rPr>
        <w:t>).</w:t>
      </w:r>
      <w:r>
        <w:rPr>
          <w:rFonts w:cs="Arial"/>
        </w:rPr>
        <w:t xml:space="preserve"> </w:t>
      </w:r>
    </w:p>
  </w:endnote>
  <w:endnote w:id="246">
    <w:p w14:paraId="0BD877B5" w14:textId="77777777" w:rsidR="00910DFF" w:rsidRPr="00112851" w:rsidRDefault="00910DFF" w:rsidP="009C23BD">
      <w:pPr>
        <w:pStyle w:val="EndnoteText"/>
        <w:rPr>
          <w:rFonts w:cs="Arial"/>
          <w:i/>
        </w:rPr>
      </w:pPr>
      <w:r w:rsidRPr="00112851">
        <w:rPr>
          <w:rStyle w:val="EndnoteReference"/>
          <w:rFonts w:cs="Arial"/>
        </w:rPr>
        <w:endnoteRef/>
      </w:r>
      <w:r w:rsidRPr="00112851">
        <w:rPr>
          <w:rFonts w:cs="Arial"/>
        </w:rPr>
        <w:t xml:space="preserve"> Australian Human Rights Commission, Submission No 33 to Joint Select Committee on Government Procurement, </w:t>
      </w:r>
      <w:r w:rsidRPr="00112851">
        <w:rPr>
          <w:rFonts w:cs="Arial"/>
          <w:i/>
        </w:rPr>
        <w:t xml:space="preserve">Inquiry into the Commonwealth Procurement Framework </w:t>
      </w:r>
      <w:r w:rsidRPr="00112851">
        <w:rPr>
          <w:rFonts w:cs="Arial"/>
        </w:rPr>
        <w:t xml:space="preserve">(5 April 2017) 2. </w:t>
      </w:r>
      <w:r>
        <w:rPr>
          <w:rFonts w:cs="Arial"/>
        </w:rPr>
        <w:t xml:space="preserve">At </w:t>
      </w:r>
      <w:hyperlink r:id="rId262" w:history="1">
        <w:r w:rsidRPr="00A248BB">
          <w:rPr>
            <w:rStyle w:val="Hyperlink"/>
            <w:rFonts w:cs="Arial"/>
          </w:rPr>
          <w:t>http://www.aph.gov.au/DocumentStore.ashx?id=b8cec9b3-343e-47b4-87f9-fa21808c875f&amp;subId=510109</w:t>
        </w:r>
      </w:hyperlink>
      <w:r>
        <w:rPr>
          <w:rFonts w:cs="Arial"/>
        </w:rPr>
        <w:t xml:space="preserve"> (viewed 11 September 2017).</w:t>
      </w:r>
    </w:p>
  </w:endnote>
  <w:endnote w:id="247">
    <w:p w14:paraId="0A7520BE" w14:textId="77777777" w:rsidR="00910DFF" w:rsidRDefault="00910DFF" w:rsidP="009C23BD">
      <w:pPr>
        <w:pStyle w:val="EndnoteText"/>
      </w:pPr>
      <w:r>
        <w:rPr>
          <w:rStyle w:val="EndnoteReference"/>
        </w:rPr>
        <w:endnoteRef/>
      </w:r>
      <w:r>
        <w:t xml:space="preserve"> </w:t>
      </w:r>
      <w:r>
        <w:rPr>
          <w:rFonts w:cs="Arial"/>
        </w:rPr>
        <w:t xml:space="preserve">Joint Select Committee on Government Procurement, </w:t>
      </w:r>
      <w:r>
        <w:rPr>
          <w:rFonts w:cs="Arial"/>
          <w:i/>
        </w:rPr>
        <w:t xml:space="preserve">Buying into our </w:t>
      </w:r>
      <w:r w:rsidRPr="00782E60">
        <w:rPr>
          <w:rFonts w:cs="Arial"/>
          <w:i/>
        </w:rPr>
        <w:t>Future</w:t>
      </w:r>
      <w:r>
        <w:rPr>
          <w:rFonts w:cs="Arial"/>
        </w:rPr>
        <w:t xml:space="preserve"> (June 2017) Recommendation 2, [9.16]. At </w:t>
      </w:r>
      <w:hyperlink r:id="rId263" w:history="1">
        <w:r w:rsidRPr="00A248BB">
          <w:rPr>
            <w:rStyle w:val="Hyperlink"/>
            <w:rFonts w:cs="Arial"/>
          </w:rPr>
          <w:t>http://parlinfo.aph.gov.au/parlInfo/download/committees/reportjnt/024068/toc_pdf/BuyingintoourFuture.pdf;fileType=application%2Fpdf</w:t>
        </w:r>
      </w:hyperlink>
      <w:r>
        <w:rPr>
          <w:rFonts w:cs="Arial"/>
        </w:rPr>
        <w:t xml:space="preserve"> (viewed 11 September 2017).</w:t>
      </w:r>
    </w:p>
  </w:endnote>
  <w:endnote w:id="248">
    <w:p w14:paraId="4A75BF29" w14:textId="77777777" w:rsidR="00910DFF" w:rsidRPr="00CC24E1" w:rsidRDefault="00910DFF" w:rsidP="009C23BD">
      <w:pPr>
        <w:pStyle w:val="EndnoteText"/>
        <w:rPr>
          <w:rFonts w:cs="Arial"/>
          <w:highlight w:val="yellow"/>
        </w:rPr>
      </w:pPr>
      <w:r w:rsidRPr="00112851">
        <w:rPr>
          <w:rStyle w:val="EndnoteReference"/>
          <w:rFonts w:cs="Arial"/>
        </w:rPr>
        <w:endnoteRef/>
      </w:r>
      <w:r w:rsidRPr="00112851">
        <w:rPr>
          <w:rFonts w:cs="Arial"/>
        </w:rPr>
        <w:t xml:space="preserve"> </w:t>
      </w:r>
      <w:r w:rsidRPr="00782E60">
        <w:rPr>
          <w:rFonts w:cs="Arial"/>
        </w:rPr>
        <w:t>Joint</w:t>
      </w:r>
      <w:r w:rsidRPr="00F978D1">
        <w:rPr>
          <w:rFonts w:cs="Arial"/>
        </w:rPr>
        <w:t xml:space="preserve"> Standing Committee on Foreign Affairs, Defence and Trade, Parliament of Australia, </w:t>
      </w:r>
      <w:r w:rsidRPr="00F978D1">
        <w:rPr>
          <w:rFonts w:cs="Arial"/>
          <w:i/>
        </w:rPr>
        <w:t xml:space="preserve">Modern slavery and global supply chains: Interim report of the Joint Standing Committee on Foreign Affairs, defence and Trade’s inquiry into establishing a Modern Slavery Act in </w:t>
      </w:r>
      <w:r w:rsidRPr="00F978D1">
        <w:rPr>
          <w:rFonts w:cs="Arial"/>
        </w:rPr>
        <w:t>Australia (August 2017) Recommendation 1, [4.</w:t>
      </w:r>
      <w:r>
        <w:rPr>
          <w:rFonts w:cs="Arial"/>
        </w:rPr>
        <w:t>43</w:t>
      </w:r>
      <w:r w:rsidRPr="00F978D1">
        <w:rPr>
          <w:rFonts w:cs="Arial"/>
        </w:rPr>
        <w:t xml:space="preserve">]. At </w:t>
      </w:r>
      <w:hyperlink r:id="rId264" w:history="1">
        <w:r w:rsidRPr="00F978D1">
          <w:rPr>
            <w:rStyle w:val="Hyperlink"/>
            <w:rFonts w:cs="Arial"/>
          </w:rPr>
          <w:t>http://parlinfo.aph.gov.au/parlInfo/download/committees/reportjnt/024092/toc_pdf/Modernslaveryandglobalsupplychains.pdf;fileType=application%2Fpdf</w:t>
        </w:r>
      </w:hyperlink>
      <w:r w:rsidRPr="00F978D1">
        <w:rPr>
          <w:rFonts w:cs="Arial"/>
        </w:rPr>
        <w:t xml:space="preserve"> (</w:t>
      </w:r>
      <w:r w:rsidRPr="00BF602B">
        <w:rPr>
          <w:rFonts w:cs="Arial"/>
        </w:rPr>
        <w:t xml:space="preserve">viewed </w:t>
      </w:r>
      <w:r>
        <w:rPr>
          <w:rFonts w:cs="Arial"/>
        </w:rPr>
        <w:t>11 September 2017</w:t>
      </w:r>
      <w:r w:rsidRPr="00F978D1">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CEB9" w14:textId="77777777" w:rsidR="00910DFF" w:rsidRPr="0090165F" w:rsidRDefault="00910DFF"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7D09" w14:textId="77777777" w:rsidR="00910DFF" w:rsidRPr="004A187B" w:rsidRDefault="00910DFF" w:rsidP="008B23BC">
    <w:pPr>
      <w:pStyle w:val="Footer"/>
    </w:pPr>
    <w:r>
      <w:rPr>
        <w:noProof/>
      </w:rPr>
      <mc:AlternateContent>
        <mc:Choice Requires="wps">
          <w:drawing>
            <wp:anchor distT="0" distB="0" distL="114300" distR="114300" simplePos="0" relativeHeight="251660288" behindDoc="0" locked="0" layoutInCell="1" allowOverlap="1" wp14:anchorId="56937620" wp14:editId="72279C90">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3DCA9BE0" w14:textId="77777777" w:rsidR="00910DFF" w:rsidRPr="0003606D" w:rsidRDefault="00910DFF" w:rsidP="0003606D">
                          <w:pPr>
                            <w:pStyle w:val="coveraddresses"/>
                          </w:pPr>
                          <w:r w:rsidRPr="0003606D">
                            <w:t>ABN 47 996 232 602</w:t>
                          </w:r>
                        </w:p>
                        <w:p w14:paraId="20CAADA1" w14:textId="77777777" w:rsidR="00910DFF" w:rsidRPr="0003606D" w:rsidRDefault="00910DFF" w:rsidP="0003606D">
                          <w:pPr>
                            <w:pStyle w:val="coveraddresses"/>
                          </w:pPr>
                          <w:r w:rsidRPr="0003606D">
                            <w:t>Level 3, 175 Pitt Street, Sydney NSW 2000</w:t>
                          </w:r>
                        </w:p>
                        <w:p w14:paraId="1A73B762" w14:textId="77777777" w:rsidR="00910DFF" w:rsidRPr="0003606D" w:rsidRDefault="00910DFF" w:rsidP="0003606D">
                          <w:pPr>
                            <w:pStyle w:val="coveraddresses"/>
                          </w:pPr>
                          <w:r w:rsidRPr="0003606D">
                            <w:t>GPO Box 5218, Sydney NSW 2001</w:t>
                          </w:r>
                        </w:p>
                        <w:p w14:paraId="644EDF6D" w14:textId="77777777" w:rsidR="00910DFF" w:rsidRPr="0003606D" w:rsidRDefault="00910DFF" w:rsidP="0003606D">
                          <w:pPr>
                            <w:pStyle w:val="coveraddresses"/>
                          </w:pPr>
                          <w:r w:rsidRPr="0003606D">
                            <w:t>General enquiries 1300 369 711</w:t>
                          </w:r>
                        </w:p>
                        <w:p w14:paraId="40DE349C" w14:textId="77777777" w:rsidR="00910DFF" w:rsidRPr="0003606D" w:rsidRDefault="00910DFF" w:rsidP="0003606D">
                          <w:pPr>
                            <w:pStyle w:val="coveraddresses"/>
                          </w:pPr>
                          <w:r w:rsidRPr="0003606D">
                            <w:t>Complaints info line 1300 656 419</w:t>
                          </w:r>
                        </w:p>
                        <w:p w14:paraId="2795209C" w14:textId="77777777" w:rsidR="00910DFF" w:rsidRPr="0003606D" w:rsidRDefault="00910DFF" w:rsidP="0003606D">
                          <w:pPr>
                            <w:pStyle w:val="coveraddresses"/>
                          </w:pPr>
                          <w:r w:rsidRPr="0003606D">
                            <w:t>TTY 1800 620 241</w:t>
                          </w:r>
                        </w:p>
                        <w:p w14:paraId="1F10D5A5" w14:textId="77777777" w:rsidR="00910DFF" w:rsidRPr="00B63D24" w:rsidRDefault="00910DFF"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7620"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3DCA9BE0" w14:textId="77777777" w:rsidR="00910DFF" w:rsidRPr="0003606D" w:rsidRDefault="00910DFF" w:rsidP="0003606D">
                    <w:pPr>
                      <w:pStyle w:val="coveraddresses"/>
                    </w:pPr>
                    <w:r w:rsidRPr="0003606D">
                      <w:t>ABN 47 996 232 602</w:t>
                    </w:r>
                  </w:p>
                  <w:p w14:paraId="20CAADA1" w14:textId="77777777" w:rsidR="00910DFF" w:rsidRPr="0003606D" w:rsidRDefault="00910DFF" w:rsidP="0003606D">
                    <w:pPr>
                      <w:pStyle w:val="coveraddresses"/>
                    </w:pPr>
                    <w:r w:rsidRPr="0003606D">
                      <w:t>Level 3, 175 Pitt Street, Sydney NSW 2000</w:t>
                    </w:r>
                  </w:p>
                  <w:p w14:paraId="1A73B762" w14:textId="77777777" w:rsidR="00910DFF" w:rsidRPr="0003606D" w:rsidRDefault="00910DFF" w:rsidP="0003606D">
                    <w:pPr>
                      <w:pStyle w:val="coveraddresses"/>
                    </w:pPr>
                    <w:r w:rsidRPr="0003606D">
                      <w:t>GPO Box 5218, Sydney NSW 2001</w:t>
                    </w:r>
                  </w:p>
                  <w:p w14:paraId="644EDF6D" w14:textId="77777777" w:rsidR="00910DFF" w:rsidRPr="0003606D" w:rsidRDefault="00910DFF" w:rsidP="0003606D">
                    <w:pPr>
                      <w:pStyle w:val="coveraddresses"/>
                    </w:pPr>
                    <w:r w:rsidRPr="0003606D">
                      <w:t>General enquiries 1300 369 711</w:t>
                    </w:r>
                  </w:p>
                  <w:p w14:paraId="40DE349C" w14:textId="77777777" w:rsidR="00910DFF" w:rsidRPr="0003606D" w:rsidRDefault="00910DFF" w:rsidP="0003606D">
                    <w:pPr>
                      <w:pStyle w:val="coveraddresses"/>
                    </w:pPr>
                    <w:r w:rsidRPr="0003606D">
                      <w:t>Complaints info line 1300 656 419</w:t>
                    </w:r>
                  </w:p>
                  <w:p w14:paraId="2795209C" w14:textId="77777777" w:rsidR="00910DFF" w:rsidRPr="0003606D" w:rsidRDefault="00910DFF" w:rsidP="0003606D">
                    <w:pPr>
                      <w:pStyle w:val="coveraddresses"/>
                    </w:pPr>
                    <w:r w:rsidRPr="0003606D">
                      <w:t>TTY 1800 620 241</w:t>
                    </w:r>
                  </w:p>
                  <w:p w14:paraId="1F10D5A5" w14:textId="77777777" w:rsidR="00910DFF" w:rsidRPr="00B63D24" w:rsidRDefault="00910DFF"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4054" w14:textId="58A7B6A1" w:rsidR="00910DFF" w:rsidRPr="0090165F" w:rsidRDefault="00910DF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546A7">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013D" w14:textId="77777777" w:rsidR="00910DFF" w:rsidRDefault="00910DFF" w:rsidP="00F14C6D">
      <w:r>
        <w:separator/>
      </w:r>
    </w:p>
  </w:footnote>
  <w:footnote w:type="continuationSeparator" w:id="0">
    <w:p w14:paraId="011BA597" w14:textId="77777777" w:rsidR="00910DFF" w:rsidRDefault="00910DFF" w:rsidP="00F14C6D">
      <w:r>
        <w:continuationSeparator/>
      </w:r>
    </w:p>
  </w:footnote>
  <w:footnote w:type="continuationNotice" w:id="1">
    <w:p w14:paraId="18541AE6" w14:textId="77777777" w:rsidR="00910DFF" w:rsidRDefault="00910D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3340" w14:textId="77777777" w:rsidR="00910DFF" w:rsidRDefault="003546A7">
    <w:pPr>
      <w:pStyle w:val="Header"/>
    </w:pPr>
    <w:r>
      <w:rPr>
        <w:noProof/>
      </w:rPr>
      <w:pict w14:anchorId="602E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F228" w14:textId="77777777" w:rsidR="00910DFF" w:rsidRPr="00D27262" w:rsidRDefault="003546A7" w:rsidP="002B1B65">
    <w:pPr>
      <w:spacing w:before="0" w:after="0"/>
      <w:jc w:val="right"/>
      <w:rPr>
        <w:sz w:val="22"/>
        <w:szCs w:val="22"/>
      </w:rPr>
    </w:pPr>
    <w:r>
      <w:rPr>
        <w:noProof/>
        <w:sz w:val="22"/>
        <w:szCs w:val="22"/>
      </w:rPr>
      <w:pict w14:anchorId="78500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910DFF" w:rsidRPr="00D27262">
      <w:rPr>
        <w:sz w:val="22"/>
        <w:szCs w:val="22"/>
      </w:rPr>
      <w:t>Au</w:t>
    </w:r>
    <w:r w:rsidR="00910DFF">
      <w:rPr>
        <w:sz w:val="22"/>
        <w:szCs w:val="22"/>
      </w:rPr>
      <w:t>stralian Human Rights Commission</w:t>
    </w:r>
  </w:p>
  <w:p w14:paraId="0C4DD6C1" w14:textId="77777777" w:rsidR="00910DFF" w:rsidRDefault="00910DF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10DFF" w:rsidRPr="00B85DD4" w14:paraId="43FDD4D2" w14:textId="77777777" w:rsidTr="00165E3C">
      <w:trPr>
        <w:trHeight w:val="1276"/>
      </w:trPr>
      <w:tc>
        <w:tcPr>
          <w:tcW w:w="1508" w:type="dxa"/>
        </w:tcPr>
        <w:p w14:paraId="63490B9F" w14:textId="77777777" w:rsidR="00910DFF" w:rsidRPr="00B85DD4" w:rsidRDefault="00910DFF" w:rsidP="00B520BC">
          <w:pPr>
            <w:pStyle w:val="Header"/>
            <w:tabs>
              <w:tab w:val="left" w:pos="4686"/>
              <w:tab w:val="left" w:pos="7088"/>
              <w:tab w:val="left" w:pos="7242"/>
            </w:tabs>
            <w:ind w:left="-108"/>
            <w:rPr>
              <w:rFonts w:cs="ArialMT"/>
              <w:b/>
              <w:spacing w:val="-20"/>
            </w:rPr>
          </w:pPr>
        </w:p>
      </w:tc>
      <w:tc>
        <w:tcPr>
          <w:tcW w:w="2688" w:type="dxa"/>
          <w:vAlign w:val="center"/>
        </w:tcPr>
        <w:p w14:paraId="044FC196" w14:textId="77777777" w:rsidR="00910DFF" w:rsidRPr="00B85DD4" w:rsidRDefault="00910DFF" w:rsidP="002B1B65">
          <w:pPr>
            <w:spacing w:before="0" w:after="0"/>
            <w:rPr>
              <w:rFonts w:cs="ArialMT"/>
              <w:i/>
              <w:color w:val="808080"/>
              <w:sz w:val="17"/>
            </w:rPr>
          </w:pPr>
        </w:p>
      </w:tc>
      <w:tc>
        <w:tcPr>
          <w:tcW w:w="2302" w:type="dxa"/>
        </w:tcPr>
        <w:p w14:paraId="02C23D69" w14:textId="77777777" w:rsidR="00910DFF" w:rsidRPr="00B85DD4" w:rsidRDefault="00910DFF" w:rsidP="00B520BC">
          <w:pPr>
            <w:pStyle w:val="HeaderFooter"/>
            <w:rPr>
              <w:b/>
              <w:spacing w:val="-20"/>
              <w:sz w:val="40"/>
            </w:rPr>
          </w:pPr>
        </w:p>
      </w:tc>
      <w:tc>
        <w:tcPr>
          <w:tcW w:w="2130" w:type="dxa"/>
        </w:tcPr>
        <w:p w14:paraId="70BA952C" w14:textId="77777777" w:rsidR="00910DFF" w:rsidRPr="00B85DD4" w:rsidRDefault="00910DFF" w:rsidP="00B520BC">
          <w:pPr>
            <w:pStyle w:val="HeaderFooter"/>
            <w:rPr>
              <w:b/>
              <w:spacing w:val="-20"/>
              <w:sz w:val="40"/>
            </w:rPr>
          </w:pPr>
        </w:p>
      </w:tc>
      <w:tc>
        <w:tcPr>
          <w:tcW w:w="1721" w:type="dxa"/>
        </w:tcPr>
        <w:p w14:paraId="40F9A363" w14:textId="77777777" w:rsidR="00910DFF" w:rsidRPr="00B85DD4" w:rsidRDefault="00910DFF" w:rsidP="00B520BC">
          <w:pPr>
            <w:pStyle w:val="HeaderFooter"/>
            <w:spacing w:before="227" w:after="340"/>
            <w:rPr>
              <w:b/>
              <w:spacing w:val="-20"/>
              <w:sz w:val="40"/>
            </w:rPr>
          </w:pPr>
        </w:p>
      </w:tc>
    </w:tr>
  </w:tbl>
  <w:p w14:paraId="7BDA5D8B" w14:textId="77777777" w:rsidR="00910DFF" w:rsidRDefault="003546A7">
    <w:pPr>
      <w:pStyle w:val="Header"/>
    </w:pPr>
    <w:r>
      <w:rPr>
        <w:rFonts w:cs="ArialMT"/>
        <w:b/>
        <w:noProof/>
        <w:spacing w:val="-20"/>
      </w:rPr>
      <w:pict w14:anchorId="30A57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B111" w14:textId="77777777" w:rsidR="00910DFF" w:rsidRDefault="003546A7">
    <w:pPr>
      <w:pStyle w:val="Header"/>
    </w:pPr>
    <w:r>
      <w:rPr>
        <w:noProof/>
      </w:rPr>
      <w:pict w14:anchorId="74AE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6491" w14:textId="7EE98E4A" w:rsidR="00910DFF" w:rsidRPr="00D27262" w:rsidRDefault="00910DFF" w:rsidP="00B34946">
    <w:pPr>
      <w:spacing w:before="0" w:after="60"/>
      <w:jc w:val="right"/>
      <w:rPr>
        <w:sz w:val="22"/>
        <w:szCs w:val="22"/>
      </w:rPr>
    </w:pPr>
    <w:r w:rsidRPr="00D27262">
      <w:rPr>
        <w:sz w:val="22"/>
        <w:szCs w:val="22"/>
      </w:rPr>
      <w:t>Au</w:t>
    </w:r>
    <w:r>
      <w:rPr>
        <w:sz w:val="22"/>
        <w:szCs w:val="22"/>
      </w:rPr>
      <w:t>stralian Human Rights Commission</w:t>
    </w:r>
  </w:p>
  <w:p w14:paraId="00E7C920" w14:textId="2361FBA4" w:rsidR="00910DFF" w:rsidRPr="00D729AD" w:rsidRDefault="00910DFF" w:rsidP="002F4CE1">
    <w:pPr>
      <w:pStyle w:val="Footer"/>
      <w:spacing w:after="240"/>
      <w:jc w:val="right"/>
      <w:rPr>
        <w:i/>
        <w:szCs w:val="18"/>
      </w:rPr>
    </w:pPr>
    <w:r>
      <w:rPr>
        <w:b/>
        <w:i/>
        <w:szCs w:val="18"/>
      </w:rPr>
      <w:t xml:space="preserve">Submission to the UN </w:t>
    </w:r>
    <w:r w:rsidRPr="007A0CA9">
      <w:rPr>
        <w:b/>
        <w:i/>
        <w:szCs w:val="18"/>
      </w:rPr>
      <w:t>Committee On The Elimination Of Racial Discrimination</w:t>
    </w:r>
    <w:r w:rsidRPr="00F80EDA">
      <w:rPr>
        <w:i/>
        <w:szCs w:val="18"/>
      </w:rPr>
      <w:t xml:space="preserve">, </w:t>
    </w:r>
    <w:r>
      <w:rPr>
        <w:i/>
        <w:szCs w:val="18"/>
      </w:rPr>
      <w:t>30</w:t>
    </w:r>
    <w:r w:rsidRPr="00F80EDA">
      <w:rPr>
        <w:i/>
        <w:szCs w:val="18"/>
      </w:rPr>
      <w:t xml:space="preserve"> </w:t>
    </w:r>
    <w:r>
      <w:rPr>
        <w:i/>
        <w:szCs w:val="18"/>
      </w:rPr>
      <w:t>Octo</w:t>
    </w:r>
    <w:r w:rsidRPr="00F80EDA">
      <w:rPr>
        <w:i/>
        <w:szCs w:val="18"/>
      </w:rPr>
      <w:t>ber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10DFF" w:rsidRPr="00B85DD4" w14:paraId="612F62E2" w14:textId="77777777" w:rsidTr="002B1B65">
      <w:trPr>
        <w:trHeight w:val="1603"/>
      </w:trPr>
      <w:tc>
        <w:tcPr>
          <w:tcW w:w="1508" w:type="dxa"/>
        </w:tcPr>
        <w:p w14:paraId="072D8B12" w14:textId="77777777" w:rsidR="00910DFF" w:rsidRPr="00B85DD4" w:rsidRDefault="00910DFF"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59D731C1" wp14:editId="2F9C98CC">
                <wp:extent cx="819150" cy="819150"/>
                <wp:effectExtent l="0" t="0" r="0" b="0"/>
                <wp:docPr id="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93CEEC1" w14:textId="77777777" w:rsidR="00910DFF" w:rsidRPr="00D36BB2" w:rsidRDefault="00910DFF" w:rsidP="002B1B65">
          <w:pPr>
            <w:pStyle w:val="LogoType"/>
            <w:pBdr>
              <w:bottom w:val="single" w:sz="4" w:space="1" w:color="808080"/>
            </w:pBdr>
            <w:spacing w:line="240" w:lineRule="auto"/>
          </w:pPr>
          <w:r w:rsidRPr="00D36BB2">
            <w:t>Australian</w:t>
          </w:r>
        </w:p>
        <w:p w14:paraId="31A04B50" w14:textId="77777777" w:rsidR="00910DFF" w:rsidRPr="00D36BB2" w:rsidRDefault="00910DFF" w:rsidP="002B1B65">
          <w:pPr>
            <w:pStyle w:val="LogoType"/>
            <w:pBdr>
              <w:bottom w:val="single" w:sz="4" w:space="1" w:color="808080"/>
            </w:pBdr>
            <w:spacing w:line="240" w:lineRule="auto"/>
          </w:pPr>
          <w:r w:rsidRPr="00D36BB2">
            <w:t>Human Rights</w:t>
          </w:r>
        </w:p>
        <w:p w14:paraId="6D7616CC" w14:textId="77777777" w:rsidR="00910DFF" w:rsidRPr="00D36BB2" w:rsidRDefault="00910DFF" w:rsidP="002B1B65">
          <w:pPr>
            <w:pStyle w:val="LogoType"/>
            <w:pBdr>
              <w:bottom w:val="single" w:sz="4" w:space="1" w:color="808080"/>
            </w:pBdr>
            <w:spacing w:line="240" w:lineRule="auto"/>
          </w:pPr>
          <w:r w:rsidRPr="00D36BB2">
            <w:t>Commission</w:t>
          </w:r>
        </w:p>
        <w:p w14:paraId="66558F09" w14:textId="77777777" w:rsidR="00910DFF" w:rsidRPr="00B85DD4" w:rsidRDefault="00910DFF"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B5D4114" w14:textId="77777777" w:rsidR="00910DFF" w:rsidRPr="00B85DD4" w:rsidRDefault="00910DFF" w:rsidP="00B520BC">
          <w:pPr>
            <w:pStyle w:val="HeaderFooter"/>
            <w:rPr>
              <w:b/>
              <w:spacing w:val="-20"/>
              <w:sz w:val="40"/>
            </w:rPr>
          </w:pPr>
        </w:p>
      </w:tc>
      <w:tc>
        <w:tcPr>
          <w:tcW w:w="2130" w:type="dxa"/>
        </w:tcPr>
        <w:p w14:paraId="4396A349" w14:textId="77777777" w:rsidR="00910DFF" w:rsidRPr="00B85DD4" w:rsidRDefault="00910DFF" w:rsidP="00B520BC">
          <w:pPr>
            <w:pStyle w:val="HeaderFooter"/>
            <w:rPr>
              <w:b/>
              <w:spacing w:val="-20"/>
              <w:sz w:val="40"/>
            </w:rPr>
          </w:pPr>
        </w:p>
      </w:tc>
      <w:tc>
        <w:tcPr>
          <w:tcW w:w="1721" w:type="dxa"/>
        </w:tcPr>
        <w:p w14:paraId="05030DA7" w14:textId="77777777" w:rsidR="00910DFF" w:rsidRPr="00B85DD4" w:rsidRDefault="00910DFF" w:rsidP="00B520BC">
          <w:pPr>
            <w:pStyle w:val="HeaderFooter"/>
            <w:spacing w:before="227" w:after="340"/>
            <w:rPr>
              <w:b/>
              <w:spacing w:val="-20"/>
              <w:sz w:val="40"/>
            </w:rPr>
          </w:pPr>
        </w:p>
      </w:tc>
    </w:tr>
  </w:tbl>
  <w:p w14:paraId="71F1602D" w14:textId="77777777" w:rsidR="00910DFF" w:rsidRDefault="003546A7">
    <w:pPr>
      <w:pStyle w:val="Header"/>
    </w:pPr>
    <w:r>
      <w:rPr>
        <w:rFonts w:cs="ArialMT"/>
        <w:b/>
        <w:noProof/>
        <w:spacing w:val="-20"/>
      </w:rPr>
      <w:pict w14:anchorId="259EA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C650F"/>
    <w:multiLevelType w:val="hybridMultilevel"/>
    <w:tmpl w:val="7B862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69821CC"/>
    <w:multiLevelType w:val="hybridMultilevel"/>
    <w:tmpl w:val="782CC726"/>
    <w:lvl w:ilvl="0" w:tplc="F4F0594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DA190F"/>
    <w:multiLevelType w:val="hybridMultilevel"/>
    <w:tmpl w:val="30C44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DCB237C"/>
    <w:multiLevelType w:val="hybridMultilevel"/>
    <w:tmpl w:val="46C2EB8E"/>
    <w:lvl w:ilvl="0" w:tplc="584CF04A">
      <w:start w:val="1"/>
      <w:numFmt w:val="decimal"/>
      <w:pStyle w:val="SubmissionNormal"/>
      <w:lvlText w:val="%1."/>
      <w:lvlJc w:val="left"/>
      <w:pPr>
        <w:tabs>
          <w:tab w:val="num" w:pos="7383"/>
        </w:tabs>
        <w:ind w:left="7383" w:hanging="720"/>
      </w:pPr>
      <w:rPr>
        <w:rFonts w:ascii="Arial" w:hAnsi="Arial" w:cs="Arial" w:hint="default"/>
        <w:b w:val="0"/>
        <w:i w:val="0"/>
        <w:color w:val="auto"/>
        <w:sz w:val="24"/>
        <w:szCs w:val="24"/>
        <w:vertAlign w:val="baseline"/>
      </w:rPr>
    </w:lvl>
    <w:lvl w:ilvl="1" w:tplc="83CEFDC4">
      <w:start w:val="1"/>
      <w:numFmt w:val="lowerLetter"/>
      <w:lvlText w:val="%2."/>
      <w:lvlJc w:val="left"/>
      <w:pPr>
        <w:tabs>
          <w:tab w:val="num" w:pos="731"/>
        </w:tabs>
        <w:ind w:left="731" w:hanging="360"/>
      </w:pPr>
      <w:rPr>
        <w:rFonts w:ascii="Arial" w:hAnsi="Arial" w:cs="Arial" w:hint="default"/>
        <w:b w:val="0"/>
      </w:rPr>
    </w:lvl>
    <w:lvl w:ilvl="2" w:tplc="0C09001B">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14" w15:restartNumberingAfterBreak="0">
    <w:nsid w:val="1F89132D"/>
    <w:multiLevelType w:val="multilevel"/>
    <w:tmpl w:val="AD922F5A"/>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C018F3"/>
    <w:multiLevelType w:val="hybridMultilevel"/>
    <w:tmpl w:val="A5A4E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A030AB"/>
    <w:multiLevelType w:val="multilevel"/>
    <w:tmpl w:val="C5C831A0"/>
    <w:lvl w:ilvl="0">
      <w:start w:val="1"/>
      <w:numFmt w:val="decimal"/>
      <w:pStyle w:val="ListParagraph"/>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F90B43"/>
    <w:multiLevelType w:val="hybridMultilevel"/>
    <w:tmpl w:val="8D72F7FC"/>
    <w:lvl w:ilvl="0" w:tplc="0C090001">
      <w:start w:val="1"/>
      <w:numFmt w:val="bullet"/>
      <w:lvlText w:val=""/>
      <w:lvlJc w:val="left"/>
      <w:pPr>
        <w:tabs>
          <w:tab w:val="num" w:pos="1440"/>
        </w:tabs>
        <w:ind w:left="1440" w:hanging="720"/>
      </w:pPr>
      <w:rPr>
        <w:rFonts w:ascii="Symbol" w:hAnsi="Symbol" w:hint="default"/>
        <w:b w:val="0"/>
        <w:i w:val="0"/>
        <w:color w:val="auto"/>
        <w:sz w:val="24"/>
        <w:szCs w:val="24"/>
        <w:vertAlign w:val="baseline"/>
      </w:rPr>
    </w:lvl>
    <w:lvl w:ilvl="1" w:tplc="83CEFDC4">
      <w:start w:val="1"/>
      <w:numFmt w:val="lowerLetter"/>
      <w:lvlText w:val="%2."/>
      <w:lvlJc w:val="left"/>
      <w:pPr>
        <w:tabs>
          <w:tab w:val="num" w:pos="1451"/>
        </w:tabs>
        <w:ind w:left="1451" w:hanging="360"/>
      </w:pPr>
      <w:rPr>
        <w:rFonts w:ascii="Arial" w:hAnsi="Arial" w:cs="Arial" w:hint="default"/>
        <w:b w:val="0"/>
      </w:rPr>
    </w:lvl>
    <w:lvl w:ilvl="2" w:tplc="0C09001B">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19" w15:restartNumberingAfterBreak="0">
    <w:nsid w:val="32871C3D"/>
    <w:multiLevelType w:val="hybridMultilevel"/>
    <w:tmpl w:val="F016FD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150E33"/>
    <w:multiLevelType w:val="hybridMultilevel"/>
    <w:tmpl w:val="DDBAB7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BB39AA"/>
    <w:multiLevelType w:val="hybridMultilevel"/>
    <w:tmpl w:val="C4AC7438"/>
    <w:lvl w:ilvl="0" w:tplc="584CF04A">
      <w:start w:val="1"/>
      <w:numFmt w:val="decimal"/>
      <w:lvlText w:val="%1."/>
      <w:lvlJc w:val="left"/>
      <w:pPr>
        <w:tabs>
          <w:tab w:val="num" w:pos="7383"/>
        </w:tabs>
        <w:ind w:left="7383" w:hanging="720"/>
      </w:pPr>
      <w:rPr>
        <w:rFonts w:ascii="Arial" w:hAnsi="Arial" w:cs="Arial" w:hint="default"/>
        <w:b w:val="0"/>
        <w:i w:val="0"/>
        <w:color w:val="auto"/>
        <w:sz w:val="24"/>
        <w:szCs w:val="24"/>
        <w:vertAlign w:val="baseline"/>
      </w:rPr>
    </w:lvl>
    <w:lvl w:ilvl="1" w:tplc="0C09001B">
      <w:start w:val="1"/>
      <w:numFmt w:val="lowerRoman"/>
      <w:lvlText w:val="%2."/>
      <w:lvlJc w:val="right"/>
      <w:pPr>
        <w:tabs>
          <w:tab w:val="num" w:pos="731"/>
        </w:tabs>
        <w:ind w:left="731" w:hanging="360"/>
      </w:pPr>
      <w:rPr>
        <w:rFonts w:hint="default"/>
        <w:b w:val="0"/>
      </w:rPr>
    </w:lvl>
    <w:lvl w:ilvl="2" w:tplc="0C09001B">
      <w:start w:val="1"/>
      <w:numFmt w:val="lowerRoman"/>
      <w:lvlText w:val="%3."/>
      <w:lvlJc w:val="right"/>
      <w:pPr>
        <w:tabs>
          <w:tab w:val="num" w:pos="1451"/>
        </w:tabs>
        <w:ind w:left="1451" w:hanging="180"/>
      </w:pPr>
    </w:lvl>
    <w:lvl w:ilvl="3" w:tplc="0C09000F" w:tentative="1">
      <w:start w:val="1"/>
      <w:numFmt w:val="decimal"/>
      <w:lvlText w:val="%4."/>
      <w:lvlJc w:val="left"/>
      <w:pPr>
        <w:tabs>
          <w:tab w:val="num" w:pos="2171"/>
        </w:tabs>
        <w:ind w:left="2171" w:hanging="360"/>
      </w:pPr>
    </w:lvl>
    <w:lvl w:ilvl="4" w:tplc="0C090019" w:tentative="1">
      <w:start w:val="1"/>
      <w:numFmt w:val="lowerLetter"/>
      <w:lvlText w:val="%5."/>
      <w:lvlJc w:val="left"/>
      <w:pPr>
        <w:tabs>
          <w:tab w:val="num" w:pos="2891"/>
        </w:tabs>
        <w:ind w:left="2891" w:hanging="360"/>
      </w:pPr>
    </w:lvl>
    <w:lvl w:ilvl="5" w:tplc="0C09001B" w:tentative="1">
      <w:start w:val="1"/>
      <w:numFmt w:val="lowerRoman"/>
      <w:lvlText w:val="%6."/>
      <w:lvlJc w:val="right"/>
      <w:pPr>
        <w:tabs>
          <w:tab w:val="num" w:pos="3611"/>
        </w:tabs>
        <w:ind w:left="3611" w:hanging="180"/>
      </w:pPr>
    </w:lvl>
    <w:lvl w:ilvl="6" w:tplc="0C09000F" w:tentative="1">
      <w:start w:val="1"/>
      <w:numFmt w:val="decimal"/>
      <w:lvlText w:val="%7."/>
      <w:lvlJc w:val="left"/>
      <w:pPr>
        <w:tabs>
          <w:tab w:val="num" w:pos="4331"/>
        </w:tabs>
        <w:ind w:left="4331" w:hanging="360"/>
      </w:pPr>
    </w:lvl>
    <w:lvl w:ilvl="7" w:tplc="0C090019" w:tentative="1">
      <w:start w:val="1"/>
      <w:numFmt w:val="lowerLetter"/>
      <w:lvlText w:val="%8."/>
      <w:lvlJc w:val="left"/>
      <w:pPr>
        <w:tabs>
          <w:tab w:val="num" w:pos="5051"/>
        </w:tabs>
        <w:ind w:left="5051" w:hanging="360"/>
      </w:pPr>
    </w:lvl>
    <w:lvl w:ilvl="8" w:tplc="0C09001B" w:tentative="1">
      <w:start w:val="1"/>
      <w:numFmt w:val="lowerRoman"/>
      <w:lvlText w:val="%9."/>
      <w:lvlJc w:val="right"/>
      <w:pPr>
        <w:tabs>
          <w:tab w:val="num" w:pos="5771"/>
        </w:tabs>
        <w:ind w:left="5771" w:hanging="180"/>
      </w:pPr>
    </w:lvl>
  </w:abstractNum>
  <w:abstractNum w:abstractNumId="23" w15:restartNumberingAfterBreak="0">
    <w:nsid w:val="49FF7A73"/>
    <w:multiLevelType w:val="multilevel"/>
    <w:tmpl w:val="6178CFD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b w:val="0"/>
        <w:color w:val="auto"/>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3741AAC"/>
    <w:multiLevelType w:val="hybridMultilevel"/>
    <w:tmpl w:val="E8E0641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82A2303"/>
    <w:multiLevelType w:val="hybridMultilevel"/>
    <w:tmpl w:val="E33E50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D5B4E10"/>
    <w:multiLevelType w:val="hybridMultilevel"/>
    <w:tmpl w:val="F5C88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1"/>
  </w:num>
  <w:num w:numId="14">
    <w:abstractNumId w:val="16"/>
  </w:num>
  <w:num w:numId="15">
    <w:abstractNumId w:val="13"/>
  </w:num>
  <w:num w:numId="16">
    <w:abstractNumId w:val="18"/>
  </w:num>
  <w:num w:numId="17">
    <w:abstractNumId w:val="17"/>
  </w:num>
  <w:num w:numId="18">
    <w:abstractNumId w:val="24"/>
  </w:num>
  <w:num w:numId="19">
    <w:abstractNumId w:val="27"/>
  </w:num>
  <w:num w:numId="20">
    <w:abstractNumId w:val="12"/>
  </w:num>
  <w:num w:numId="21">
    <w:abstractNumId w:val="19"/>
  </w:num>
  <w:num w:numId="22">
    <w:abstractNumId w:val="14"/>
  </w:num>
  <w:num w:numId="23">
    <w:abstractNumId w:val="28"/>
  </w:num>
  <w:num w:numId="24">
    <w:abstractNumId w:val="10"/>
  </w:num>
  <w:num w:numId="25">
    <w:abstractNumId w:val="26"/>
  </w:num>
  <w:num w:numId="26">
    <w:abstractNumId w:val="11"/>
  </w:num>
  <w:num w:numId="27">
    <w:abstractNumId w:val="20"/>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F2"/>
    <w:rsid w:val="000005AC"/>
    <w:rsid w:val="00000CAD"/>
    <w:rsid w:val="00001E5E"/>
    <w:rsid w:val="000023A0"/>
    <w:rsid w:val="00002A11"/>
    <w:rsid w:val="00003611"/>
    <w:rsid w:val="000045C6"/>
    <w:rsid w:val="00004EDC"/>
    <w:rsid w:val="000061ED"/>
    <w:rsid w:val="00007B8C"/>
    <w:rsid w:val="00007BE6"/>
    <w:rsid w:val="00007FE9"/>
    <w:rsid w:val="000114E6"/>
    <w:rsid w:val="000122C9"/>
    <w:rsid w:val="0001458A"/>
    <w:rsid w:val="0001477A"/>
    <w:rsid w:val="0001579F"/>
    <w:rsid w:val="000204E3"/>
    <w:rsid w:val="00022662"/>
    <w:rsid w:val="00022B1C"/>
    <w:rsid w:val="00024652"/>
    <w:rsid w:val="00024C7A"/>
    <w:rsid w:val="000252B6"/>
    <w:rsid w:val="000271C1"/>
    <w:rsid w:val="000274A0"/>
    <w:rsid w:val="00030873"/>
    <w:rsid w:val="00031169"/>
    <w:rsid w:val="00034B24"/>
    <w:rsid w:val="0003606D"/>
    <w:rsid w:val="00037378"/>
    <w:rsid w:val="00043C9F"/>
    <w:rsid w:val="00045094"/>
    <w:rsid w:val="0004557A"/>
    <w:rsid w:val="000457F4"/>
    <w:rsid w:val="00045CDA"/>
    <w:rsid w:val="00046376"/>
    <w:rsid w:val="000510F8"/>
    <w:rsid w:val="000515BD"/>
    <w:rsid w:val="00051752"/>
    <w:rsid w:val="00051DBC"/>
    <w:rsid w:val="00052489"/>
    <w:rsid w:val="000542D6"/>
    <w:rsid w:val="00056F48"/>
    <w:rsid w:val="000579B1"/>
    <w:rsid w:val="0006047F"/>
    <w:rsid w:val="00061177"/>
    <w:rsid w:val="00062821"/>
    <w:rsid w:val="000639CE"/>
    <w:rsid w:val="00063C13"/>
    <w:rsid w:val="00063EAC"/>
    <w:rsid w:val="00066869"/>
    <w:rsid w:val="00067762"/>
    <w:rsid w:val="00071754"/>
    <w:rsid w:val="00071D6F"/>
    <w:rsid w:val="00072D2F"/>
    <w:rsid w:val="00074319"/>
    <w:rsid w:val="00075836"/>
    <w:rsid w:val="00076498"/>
    <w:rsid w:val="00076DFE"/>
    <w:rsid w:val="00077825"/>
    <w:rsid w:val="00080827"/>
    <w:rsid w:val="00081A0B"/>
    <w:rsid w:val="00083366"/>
    <w:rsid w:val="00083C00"/>
    <w:rsid w:val="000850AA"/>
    <w:rsid w:val="0008794E"/>
    <w:rsid w:val="00092214"/>
    <w:rsid w:val="00092AB1"/>
    <w:rsid w:val="00093632"/>
    <w:rsid w:val="00093FDF"/>
    <w:rsid w:val="0009511C"/>
    <w:rsid w:val="00095E9E"/>
    <w:rsid w:val="000A004C"/>
    <w:rsid w:val="000A0D4E"/>
    <w:rsid w:val="000A1DB8"/>
    <w:rsid w:val="000A2A11"/>
    <w:rsid w:val="000A31D6"/>
    <w:rsid w:val="000A41AD"/>
    <w:rsid w:val="000A444D"/>
    <w:rsid w:val="000A48AC"/>
    <w:rsid w:val="000A5823"/>
    <w:rsid w:val="000A703D"/>
    <w:rsid w:val="000B0790"/>
    <w:rsid w:val="000B0A5D"/>
    <w:rsid w:val="000B1FB7"/>
    <w:rsid w:val="000B29FE"/>
    <w:rsid w:val="000B388D"/>
    <w:rsid w:val="000B4558"/>
    <w:rsid w:val="000B542E"/>
    <w:rsid w:val="000B62B3"/>
    <w:rsid w:val="000B7C7D"/>
    <w:rsid w:val="000B7D10"/>
    <w:rsid w:val="000B7E4D"/>
    <w:rsid w:val="000C04AE"/>
    <w:rsid w:val="000C100F"/>
    <w:rsid w:val="000C1922"/>
    <w:rsid w:val="000C2032"/>
    <w:rsid w:val="000C3AB2"/>
    <w:rsid w:val="000C4B5E"/>
    <w:rsid w:val="000C5D45"/>
    <w:rsid w:val="000C722E"/>
    <w:rsid w:val="000C77E2"/>
    <w:rsid w:val="000D1FEA"/>
    <w:rsid w:val="000D2D9C"/>
    <w:rsid w:val="000D3FC9"/>
    <w:rsid w:val="000D3FD9"/>
    <w:rsid w:val="000D4E69"/>
    <w:rsid w:val="000D4F84"/>
    <w:rsid w:val="000E0F0C"/>
    <w:rsid w:val="000E130A"/>
    <w:rsid w:val="000E1C94"/>
    <w:rsid w:val="000E1F61"/>
    <w:rsid w:val="000E26F0"/>
    <w:rsid w:val="000E2A5D"/>
    <w:rsid w:val="000E490D"/>
    <w:rsid w:val="000E4BD5"/>
    <w:rsid w:val="000E59EF"/>
    <w:rsid w:val="000E5CB1"/>
    <w:rsid w:val="000E61DC"/>
    <w:rsid w:val="000E7AEC"/>
    <w:rsid w:val="000F0009"/>
    <w:rsid w:val="000F0258"/>
    <w:rsid w:val="000F0906"/>
    <w:rsid w:val="000F1F4B"/>
    <w:rsid w:val="000F4A77"/>
    <w:rsid w:val="000F4F89"/>
    <w:rsid w:val="000F5F9D"/>
    <w:rsid w:val="000F6885"/>
    <w:rsid w:val="000F6F48"/>
    <w:rsid w:val="000F7E80"/>
    <w:rsid w:val="001009CE"/>
    <w:rsid w:val="00101014"/>
    <w:rsid w:val="00101A62"/>
    <w:rsid w:val="00104078"/>
    <w:rsid w:val="00104443"/>
    <w:rsid w:val="00104CBE"/>
    <w:rsid w:val="00105847"/>
    <w:rsid w:val="00106056"/>
    <w:rsid w:val="00106D51"/>
    <w:rsid w:val="0010789B"/>
    <w:rsid w:val="00110397"/>
    <w:rsid w:val="001103F8"/>
    <w:rsid w:val="00112851"/>
    <w:rsid w:val="00115151"/>
    <w:rsid w:val="001165B7"/>
    <w:rsid w:val="00116B97"/>
    <w:rsid w:val="0011771F"/>
    <w:rsid w:val="00117B7B"/>
    <w:rsid w:val="00120C5E"/>
    <w:rsid w:val="00121588"/>
    <w:rsid w:val="00121603"/>
    <w:rsid w:val="0012189D"/>
    <w:rsid w:val="001231A9"/>
    <w:rsid w:val="00124CFC"/>
    <w:rsid w:val="001259CE"/>
    <w:rsid w:val="001275DB"/>
    <w:rsid w:val="00127C6C"/>
    <w:rsid w:val="00131F5C"/>
    <w:rsid w:val="00132D5D"/>
    <w:rsid w:val="00134774"/>
    <w:rsid w:val="00134EE4"/>
    <w:rsid w:val="00136335"/>
    <w:rsid w:val="00140274"/>
    <w:rsid w:val="0014067C"/>
    <w:rsid w:val="00140F4B"/>
    <w:rsid w:val="00141464"/>
    <w:rsid w:val="00141EAD"/>
    <w:rsid w:val="001442AB"/>
    <w:rsid w:val="001449A3"/>
    <w:rsid w:val="00145765"/>
    <w:rsid w:val="00146938"/>
    <w:rsid w:val="0014714C"/>
    <w:rsid w:val="0015066F"/>
    <w:rsid w:val="00150D6E"/>
    <w:rsid w:val="001511BE"/>
    <w:rsid w:val="00151263"/>
    <w:rsid w:val="00151951"/>
    <w:rsid w:val="00152626"/>
    <w:rsid w:val="00153C56"/>
    <w:rsid w:val="00155288"/>
    <w:rsid w:val="00155376"/>
    <w:rsid w:val="00157251"/>
    <w:rsid w:val="00157F8C"/>
    <w:rsid w:val="0016070F"/>
    <w:rsid w:val="001610C6"/>
    <w:rsid w:val="00161B83"/>
    <w:rsid w:val="00162A8D"/>
    <w:rsid w:val="0016392E"/>
    <w:rsid w:val="00165E3C"/>
    <w:rsid w:val="00166F3B"/>
    <w:rsid w:val="00171802"/>
    <w:rsid w:val="001719D1"/>
    <w:rsid w:val="00171A89"/>
    <w:rsid w:val="001728B3"/>
    <w:rsid w:val="0017298C"/>
    <w:rsid w:val="00173FB5"/>
    <w:rsid w:val="00174BB2"/>
    <w:rsid w:val="00174CFB"/>
    <w:rsid w:val="00182317"/>
    <w:rsid w:val="00182E4E"/>
    <w:rsid w:val="0018377B"/>
    <w:rsid w:val="00184DA9"/>
    <w:rsid w:val="00185D83"/>
    <w:rsid w:val="00185F6A"/>
    <w:rsid w:val="001860D0"/>
    <w:rsid w:val="001863E9"/>
    <w:rsid w:val="00191511"/>
    <w:rsid w:val="00191A4E"/>
    <w:rsid w:val="001924B4"/>
    <w:rsid w:val="001925D1"/>
    <w:rsid w:val="0019411F"/>
    <w:rsid w:val="00197CA4"/>
    <w:rsid w:val="00197D72"/>
    <w:rsid w:val="00197FAB"/>
    <w:rsid w:val="001A02B5"/>
    <w:rsid w:val="001A21AC"/>
    <w:rsid w:val="001A2684"/>
    <w:rsid w:val="001A3704"/>
    <w:rsid w:val="001A3B43"/>
    <w:rsid w:val="001A457C"/>
    <w:rsid w:val="001A5232"/>
    <w:rsid w:val="001A5C1F"/>
    <w:rsid w:val="001A764E"/>
    <w:rsid w:val="001A7B52"/>
    <w:rsid w:val="001B0353"/>
    <w:rsid w:val="001B1BCC"/>
    <w:rsid w:val="001B51B6"/>
    <w:rsid w:val="001B54AF"/>
    <w:rsid w:val="001B5BDA"/>
    <w:rsid w:val="001B6654"/>
    <w:rsid w:val="001B7B5E"/>
    <w:rsid w:val="001C00BD"/>
    <w:rsid w:val="001C1F8B"/>
    <w:rsid w:val="001C41DA"/>
    <w:rsid w:val="001C51A3"/>
    <w:rsid w:val="001C5F9A"/>
    <w:rsid w:val="001D0C09"/>
    <w:rsid w:val="001D116D"/>
    <w:rsid w:val="001D1662"/>
    <w:rsid w:val="001D1956"/>
    <w:rsid w:val="001D1DDD"/>
    <w:rsid w:val="001D2554"/>
    <w:rsid w:val="001D303F"/>
    <w:rsid w:val="001D5227"/>
    <w:rsid w:val="001D5BF0"/>
    <w:rsid w:val="001D5C08"/>
    <w:rsid w:val="001D6FC9"/>
    <w:rsid w:val="001D70E2"/>
    <w:rsid w:val="001E046E"/>
    <w:rsid w:val="001E190F"/>
    <w:rsid w:val="001E4FE9"/>
    <w:rsid w:val="001E502D"/>
    <w:rsid w:val="001E5718"/>
    <w:rsid w:val="001E5CA5"/>
    <w:rsid w:val="001E6031"/>
    <w:rsid w:val="001E638D"/>
    <w:rsid w:val="001F0FFA"/>
    <w:rsid w:val="001F16B1"/>
    <w:rsid w:val="001F2AC9"/>
    <w:rsid w:val="001F2BBB"/>
    <w:rsid w:val="001F5CB1"/>
    <w:rsid w:val="001F606E"/>
    <w:rsid w:val="001F6736"/>
    <w:rsid w:val="001F6C60"/>
    <w:rsid w:val="001F7124"/>
    <w:rsid w:val="001F7B9E"/>
    <w:rsid w:val="00200677"/>
    <w:rsid w:val="00200814"/>
    <w:rsid w:val="00203DB4"/>
    <w:rsid w:val="002044E2"/>
    <w:rsid w:val="002047D9"/>
    <w:rsid w:val="00205A29"/>
    <w:rsid w:val="00206B90"/>
    <w:rsid w:val="00206BAE"/>
    <w:rsid w:val="00207403"/>
    <w:rsid w:val="00210116"/>
    <w:rsid w:val="002118D6"/>
    <w:rsid w:val="00213735"/>
    <w:rsid w:val="00213E00"/>
    <w:rsid w:val="002151F3"/>
    <w:rsid w:val="00215BEC"/>
    <w:rsid w:val="00216216"/>
    <w:rsid w:val="0021687E"/>
    <w:rsid w:val="00216F35"/>
    <w:rsid w:val="00220508"/>
    <w:rsid w:val="002248CE"/>
    <w:rsid w:val="00224AA3"/>
    <w:rsid w:val="00226299"/>
    <w:rsid w:val="00226363"/>
    <w:rsid w:val="0022675F"/>
    <w:rsid w:val="00226D90"/>
    <w:rsid w:val="00227666"/>
    <w:rsid w:val="00230DF9"/>
    <w:rsid w:val="00231ED1"/>
    <w:rsid w:val="00233322"/>
    <w:rsid w:val="00235F09"/>
    <w:rsid w:val="002365D9"/>
    <w:rsid w:val="00236975"/>
    <w:rsid w:val="00237A52"/>
    <w:rsid w:val="00241CB5"/>
    <w:rsid w:val="00242624"/>
    <w:rsid w:val="0024267D"/>
    <w:rsid w:val="00242AC2"/>
    <w:rsid w:val="00243AAB"/>
    <w:rsid w:val="00244021"/>
    <w:rsid w:val="0024557E"/>
    <w:rsid w:val="00246EC6"/>
    <w:rsid w:val="00251241"/>
    <w:rsid w:val="00251E95"/>
    <w:rsid w:val="00252827"/>
    <w:rsid w:val="00253635"/>
    <w:rsid w:val="00254671"/>
    <w:rsid w:val="002566D8"/>
    <w:rsid w:val="002575D3"/>
    <w:rsid w:val="00260700"/>
    <w:rsid w:val="00260775"/>
    <w:rsid w:val="002626BD"/>
    <w:rsid w:val="00262D0E"/>
    <w:rsid w:val="002647FD"/>
    <w:rsid w:val="00271C71"/>
    <w:rsid w:val="002725C2"/>
    <w:rsid w:val="00272BC8"/>
    <w:rsid w:val="0027478F"/>
    <w:rsid w:val="002767AE"/>
    <w:rsid w:val="0027723C"/>
    <w:rsid w:val="00280321"/>
    <w:rsid w:val="00281A63"/>
    <w:rsid w:val="002824F9"/>
    <w:rsid w:val="00285913"/>
    <w:rsid w:val="002861C0"/>
    <w:rsid w:val="002863D7"/>
    <w:rsid w:val="0028651A"/>
    <w:rsid w:val="00287C9D"/>
    <w:rsid w:val="00287E6C"/>
    <w:rsid w:val="00290681"/>
    <w:rsid w:val="00290AC8"/>
    <w:rsid w:val="00290D27"/>
    <w:rsid w:val="00293638"/>
    <w:rsid w:val="002962DA"/>
    <w:rsid w:val="00296A7E"/>
    <w:rsid w:val="00296FFE"/>
    <w:rsid w:val="002A010A"/>
    <w:rsid w:val="002A1A62"/>
    <w:rsid w:val="002A1C30"/>
    <w:rsid w:val="002A3076"/>
    <w:rsid w:val="002A3649"/>
    <w:rsid w:val="002A36CF"/>
    <w:rsid w:val="002A374E"/>
    <w:rsid w:val="002A413E"/>
    <w:rsid w:val="002A492D"/>
    <w:rsid w:val="002A60A6"/>
    <w:rsid w:val="002A7972"/>
    <w:rsid w:val="002A7ACA"/>
    <w:rsid w:val="002B0307"/>
    <w:rsid w:val="002B0538"/>
    <w:rsid w:val="002B1B65"/>
    <w:rsid w:val="002B38BB"/>
    <w:rsid w:val="002B7726"/>
    <w:rsid w:val="002C1299"/>
    <w:rsid w:val="002C1866"/>
    <w:rsid w:val="002C2F0F"/>
    <w:rsid w:val="002C301D"/>
    <w:rsid w:val="002C4B35"/>
    <w:rsid w:val="002C55F2"/>
    <w:rsid w:val="002C5F14"/>
    <w:rsid w:val="002C64C1"/>
    <w:rsid w:val="002D6B3F"/>
    <w:rsid w:val="002D734C"/>
    <w:rsid w:val="002E0457"/>
    <w:rsid w:val="002E1BB8"/>
    <w:rsid w:val="002E6A5C"/>
    <w:rsid w:val="002F0998"/>
    <w:rsid w:val="002F1B5A"/>
    <w:rsid w:val="002F3C60"/>
    <w:rsid w:val="002F3ED5"/>
    <w:rsid w:val="002F421D"/>
    <w:rsid w:val="002F42D8"/>
    <w:rsid w:val="002F45FA"/>
    <w:rsid w:val="002F4CE1"/>
    <w:rsid w:val="002F745D"/>
    <w:rsid w:val="00300F22"/>
    <w:rsid w:val="00301CED"/>
    <w:rsid w:val="00301F0E"/>
    <w:rsid w:val="00304386"/>
    <w:rsid w:val="00304A37"/>
    <w:rsid w:val="00305CC9"/>
    <w:rsid w:val="003070D9"/>
    <w:rsid w:val="00307E78"/>
    <w:rsid w:val="00310ED4"/>
    <w:rsid w:val="00312301"/>
    <w:rsid w:val="003126E0"/>
    <w:rsid w:val="00312A64"/>
    <w:rsid w:val="0031492A"/>
    <w:rsid w:val="00316C1A"/>
    <w:rsid w:val="00316C45"/>
    <w:rsid w:val="00317B47"/>
    <w:rsid w:val="00317FE1"/>
    <w:rsid w:val="00320919"/>
    <w:rsid w:val="00320E2E"/>
    <w:rsid w:val="00321215"/>
    <w:rsid w:val="003215C9"/>
    <w:rsid w:val="00321E37"/>
    <w:rsid w:val="00322777"/>
    <w:rsid w:val="00323C73"/>
    <w:rsid w:val="00323DE2"/>
    <w:rsid w:val="003241A3"/>
    <w:rsid w:val="00324D76"/>
    <w:rsid w:val="003273B4"/>
    <w:rsid w:val="00331141"/>
    <w:rsid w:val="00331527"/>
    <w:rsid w:val="0033315D"/>
    <w:rsid w:val="00333C34"/>
    <w:rsid w:val="00334A7A"/>
    <w:rsid w:val="00334F96"/>
    <w:rsid w:val="003368C7"/>
    <w:rsid w:val="003378F3"/>
    <w:rsid w:val="003379A5"/>
    <w:rsid w:val="00340568"/>
    <w:rsid w:val="0034068A"/>
    <w:rsid w:val="00340901"/>
    <w:rsid w:val="003409B3"/>
    <w:rsid w:val="00341E67"/>
    <w:rsid w:val="00341F4B"/>
    <w:rsid w:val="003426A4"/>
    <w:rsid w:val="00344758"/>
    <w:rsid w:val="00344DFE"/>
    <w:rsid w:val="0034606B"/>
    <w:rsid w:val="00347142"/>
    <w:rsid w:val="00350BE0"/>
    <w:rsid w:val="0035337D"/>
    <w:rsid w:val="003546A7"/>
    <w:rsid w:val="00354D31"/>
    <w:rsid w:val="003551D8"/>
    <w:rsid w:val="00355CE4"/>
    <w:rsid w:val="00355F91"/>
    <w:rsid w:val="003565A8"/>
    <w:rsid w:val="003566EA"/>
    <w:rsid w:val="00356AC8"/>
    <w:rsid w:val="003605B6"/>
    <w:rsid w:val="003614BC"/>
    <w:rsid w:val="0036190D"/>
    <w:rsid w:val="00361B48"/>
    <w:rsid w:val="00363E3A"/>
    <w:rsid w:val="00364050"/>
    <w:rsid w:val="003662C7"/>
    <w:rsid w:val="0036693F"/>
    <w:rsid w:val="00366A48"/>
    <w:rsid w:val="00367E8E"/>
    <w:rsid w:val="003726B6"/>
    <w:rsid w:val="00372C79"/>
    <w:rsid w:val="00372FDF"/>
    <w:rsid w:val="00374FA9"/>
    <w:rsid w:val="00375836"/>
    <w:rsid w:val="003758A3"/>
    <w:rsid w:val="00380CFD"/>
    <w:rsid w:val="00381A32"/>
    <w:rsid w:val="00383AEB"/>
    <w:rsid w:val="00383D80"/>
    <w:rsid w:val="00383F10"/>
    <w:rsid w:val="00385AA4"/>
    <w:rsid w:val="00386A83"/>
    <w:rsid w:val="003879A8"/>
    <w:rsid w:val="00390177"/>
    <w:rsid w:val="00391297"/>
    <w:rsid w:val="00392372"/>
    <w:rsid w:val="003946B9"/>
    <w:rsid w:val="003954EE"/>
    <w:rsid w:val="003A08C9"/>
    <w:rsid w:val="003A1549"/>
    <w:rsid w:val="003A3C7B"/>
    <w:rsid w:val="003A440E"/>
    <w:rsid w:val="003A4A3A"/>
    <w:rsid w:val="003A7307"/>
    <w:rsid w:val="003B02F1"/>
    <w:rsid w:val="003B0C87"/>
    <w:rsid w:val="003B1FC3"/>
    <w:rsid w:val="003B5FAF"/>
    <w:rsid w:val="003B6E08"/>
    <w:rsid w:val="003C2C77"/>
    <w:rsid w:val="003C3A98"/>
    <w:rsid w:val="003C47FF"/>
    <w:rsid w:val="003C4F8E"/>
    <w:rsid w:val="003C5093"/>
    <w:rsid w:val="003C69F0"/>
    <w:rsid w:val="003C7EC3"/>
    <w:rsid w:val="003D124D"/>
    <w:rsid w:val="003D132B"/>
    <w:rsid w:val="003D2AE3"/>
    <w:rsid w:val="003D35D0"/>
    <w:rsid w:val="003D36A1"/>
    <w:rsid w:val="003D4EC3"/>
    <w:rsid w:val="003D50EB"/>
    <w:rsid w:val="003D54AA"/>
    <w:rsid w:val="003D5A3B"/>
    <w:rsid w:val="003D6DEA"/>
    <w:rsid w:val="003D736D"/>
    <w:rsid w:val="003E12D7"/>
    <w:rsid w:val="003E2108"/>
    <w:rsid w:val="003E2151"/>
    <w:rsid w:val="003E3E22"/>
    <w:rsid w:val="003E4C11"/>
    <w:rsid w:val="003E4E15"/>
    <w:rsid w:val="003E5AF9"/>
    <w:rsid w:val="003F0877"/>
    <w:rsid w:val="003F187F"/>
    <w:rsid w:val="003F1C6F"/>
    <w:rsid w:val="003F2B9F"/>
    <w:rsid w:val="003F37F0"/>
    <w:rsid w:val="003F5950"/>
    <w:rsid w:val="003F7671"/>
    <w:rsid w:val="0040066F"/>
    <w:rsid w:val="00400E2C"/>
    <w:rsid w:val="004016C8"/>
    <w:rsid w:val="00401984"/>
    <w:rsid w:val="00401FCE"/>
    <w:rsid w:val="00403933"/>
    <w:rsid w:val="00403EB4"/>
    <w:rsid w:val="00405579"/>
    <w:rsid w:val="004056B3"/>
    <w:rsid w:val="00405ED7"/>
    <w:rsid w:val="00406E09"/>
    <w:rsid w:val="004072EA"/>
    <w:rsid w:val="00410ED8"/>
    <w:rsid w:val="00412720"/>
    <w:rsid w:val="00413B6D"/>
    <w:rsid w:val="00414388"/>
    <w:rsid w:val="00414F75"/>
    <w:rsid w:val="00415415"/>
    <w:rsid w:val="00415452"/>
    <w:rsid w:val="00417777"/>
    <w:rsid w:val="00417CB0"/>
    <w:rsid w:val="004209FF"/>
    <w:rsid w:val="00421797"/>
    <w:rsid w:val="00422417"/>
    <w:rsid w:val="00423B7A"/>
    <w:rsid w:val="00424233"/>
    <w:rsid w:val="00425585"/>
    <w:rsid w:val="00425880"/>
    <w:rsid w:val="00425959"/>
    <w:rsid w:val="004269FB"/>
    <w:rsid w:val="00426B0C"/>
    <w:rsid w:val="004274F0"/>
    <w:rsid w:val="004301BC"/>
    <w:rsid w:val="0043042B"/>
    <w:rsid w:val="004315AC"/>
    <w:rsid w:val="00433979"/>
    <w:rsid w:val="00436449"/>
    <w:rsid w:val="00442696"/>
    <w:rsid w:val="0044363F"/>
    <w:rsid w:val="00444A0E"/>
    <w:rsid w:val="00444ED7"/>
    <w:rsid w:val="00445DD3"/>
    <w:rsid w:val="004501D4"/>
    <w:rsid w:val="00452200"/>
    <w:rsid w:val="00453E0C"/>
    <w:rsid w:val="00455095"/>
    <w:rsid w:val="0045639E"/>
    <w:rsid w:val="00457CA2"/>
    <w:rsid w:val="0046122C"/>
    <w:rsid w:val="0046367E"/>
    <w:rsid w:val="00464A6B"/>
    <w:rsid w:val="00464FEC"/>
    <w:rsid w:val="004656BD"/>
    <w:rsid w:val="00466555"/>
    <w:rsid w:val="00467109"/>
    <w:rsid w:val="00467BAE"/>
    <w:rsid w:val="004719F1"/>
    <w:rsid w:val="00472EFF"/>
    <w:rsid w:val="00474063"/>
    <w:rsid w:val="00476793"/>
    <w:rsid w:val="00477CB2"/>
    <w:rsid w:val="004800ED"/>
    <w:rsid w:val="00481AF8"/>
    <w:rsid w:val="00483073"/>
    <w:rsid w:val="00483127"/>
    <w:rsid w:val="004839D6"/>
    <w:rsid w:val="00484047"/>
    <w:rsid w:val="00484D2E"/>
    <w:rsid w:val="00484E57"/>
    <w:rsid w:val="00486154"/>
    <w:rsid w:val="00486246"/>
    <w:rsid w:val="00486F2B"/>
    <w:rsid w:val="00491B1E"/>
    <w:rsid w:val="0049336F"/>
    <w:rsid w:val="004939C0"/>
    <w:rsid w:val="004945F9"/>
    <w:rsid w:val="004947D5"/>
    <w:rsid w:val="0049581D"/>
    <w:rsid w:val="0049648D"/>
    <w:rsid w:val="004977B0"/>
    <w:rsid w:val="00497821"/>
    <w:rsid w:val="00497DA1"/>
    <w:rsid w:val="004A04D2"/>
    <w:rsid w:val="004A0F9E"/>
    <w:rsid w:val="004A10DB"/>
    <w:rsid w:val="004A141B"/>
    <w:rsid w:val="004A14F0"/>
    <w:rsid w:val="004A172C"/>
    <w:rsid w:val="004A187B"/>
    <w:rsid w:val="004A267D"/>
    <w:rsid w:val="004A2C04"/>
    <w:rsid w:val="004A2D3C"/>
    <w:rsid w:val="004B0CC4"/>
    <w:rsid w:val="004B7D9B"/>
    <w:rsid w:val="004C0D23"/>
    <w:rsid w:val="004C2360"/>
    <w:rsid w:val="004C28FB"/>
    <w:rsid w:val="004C353C"/>
    <w:rsid w:val="004C431A"/>
    <w:rsid w:val="004C5337"/>
    <w:rsid w:val="004C53F0"/>
    <w:rsid w:val="004C6049"/>
    <w:rsid w:val="004C6B4F"/>
    <w:rsid w:val="004C7412"/>
    <w:rsid w:val="004D04BF"/>
    <w:rsid w:val="004D05F0"/>
    <w:rsid w:val="004D26CB"/>
    <w:rsid w:val="004D26ED"/>
    <w:rsid w:val="004D308F"/>
    <w:rsid w:val="004D3A00"/>
    <w:rsid w:val="004D49C5"/>
    <w:rsid w:val="004D4C8C"/>
    <w:rsid w:val="004D5DCC"/>
    <w:rsid w:val="004D5FAC"/>
    <w:rsid w:val="004D6E55"/>
    <w:rsid w:val="004E00DD"/>
    <w:rsid w:val="004E0CED"/>
    <w:rsid w:val="004E0DFF"/>
    <w:rsid w:val="004E1E27"/>
    <w:rsid w:val="004E3903"/>
    <w:rsid w:val="004E46B3"/>
    <w:rsid w:val="004E4740"/>
    <w:rsid w:val="004E4A57"/>
    <w:rsid w:val="004E5B3B"/>
    <w:rsid w:val="004E6A48"/>
    <w:rsid w:val="004E7B5C"/>
    <w:rsid w:val="004F1838"/>
    <w:rsid w:val="004F1C7C"/>
    <w:rsid w:val="004F24A7"/>
    <w:rsid w:val="004F292A"/>
    <w:rsid w:val="004F4513"/>
    <w:rsid w:val="004F537C"/>
    <w:rsid w:val="005018D2"/>
    <w:rsid w:val="005025D5"/>
    <w:rsid w:val="00503259"/>
    <w:rsid w:val="00506FCB"/>
    <w:rsid w:val="005112C9"/>
    <w:rsid w:val="00511DA4"/>
    <w:rsid w:val="005123F0"/>
    <w:rsid w:val="00512AC7"/>
    <w:rsid w:val="00512B18"/>
    <w:rsid w:val="00512C69"/>
    <w:rsid w:val="00513540"/>
    <w:rsid w:val="00513941"/>
    <w:rsid w:val="00514832"/>
    <w:rsid w:val="00515DBF"/>
    <w:rsid w:val="0051715F"/>
    <w:rsid w:val="00517D0C"/>
    <w:rsid w:val="005229B3"/>
    <w:rsid w:val="005232D3"/>
    <w:rsid w:val="005246EC"/>
    <w:rsid w:val="00525082"/>
    <w:rsid w:val="005259B7"/>
    <w:rsid w:val="00526326"/>
    <w:rsid w:val="005273C1"/>
    <w:rsid w:val="005304C6"/>
    <w:rsid w:val="0053051D"/>
    <w:rsid w:val="00531790"/>
    <w:rsid w:val="005323A0"/>
    <w:rsid w:val="005329BA"/>
    <w:rsid w:val="00532B69"/>
    <w:rsid w:val="00533096"/>
    <w:rsid w:val="00534649"/>
    <w:rsid w:val="00534B3E"/>
    <w:rsid w:val="00535D44"/>
    <w:rsid w:val="005369C9"/>
    <w:rsid w:val="00536CE1"/>
    <w:rsid w:val="00543C2F"/>
    <w:rsid w:val="00544D38"/>
    <w:rsid w:val="00545FD1"/>
    <w:rsid w:val="0054658A"/>
    <w:rsid w:val="0054693F"/>
    <w:rsid w:val="005471EB"/>
    <w:rsid w:val="00554CAE"/>
    <w:rsid w:val="0055623E"/>
    <w:rsid w:val="00557DFC"/>
    <w:rsid w:val="00561EDC"/>
    <w:rsid w:val="005623F1"/>
    <w:rsid w:val="00562593"/>
    <w:rsid w:val="00562E32"/>
    <w:rsid w:val="00564208"/>
    <w:rsid w:val="00565222"/>
    <w:rsid w:val="005656EA"/>
    <w:rsid w:val="0056633E"/>
    <w:rsid w:val="00567E89"/>
    <w:rsid w:val="00571CEB"/>
    <w:rsid w:val="005721BD"/>
    <w:rsid w:val="00574C25"/>
    <w:rsid w:val="0057759C"/>
    <w:rsid w:val="005805E4"/>
    <w:rsid w:val="005818EF"/>
    <w:rsid w:val="00582032"/>
    <w:rsid w:val="0058226B"/>
    <w:rsid w:val="00583BC2"/>
    <w:rsid w:val="00584558"/>
    <w:rsid w:val="005854C6"/>
    <w:rsid w:val="00585B72"/>
    <w:rsid w:val="00586957"/>
    <w:rsid w:val="00591951"/>
    <w:rsid w:val="00591C44"/>
    <w:rsid w:val="005935BA"/>
    <w:rsid w:val="00593B27"/>
    <w:rsid w:val="00596FF1"/>
    <w:rsid w:val="005A18D8"/>
    <w:rsid w:val="005A19DD"/>
    <w:rsid w:val="005A2706"/>
    <w:rsid w:val="005A5A84"/>
    <w:rsid w:val="005A6150"/>
    <w:rsid w:val="005A6AC0"/>
    <w:rsid w:val="005A6CF3"/>
    <w:rsid w:val="005A7434"/>
    <w:rsid w:val="005B434A"/>
    <w:rsid w:val="005B4CE9"/>
    <w:rsid w:val="005B4E6F"/>
    <w:rsid w:val="005B6162"/>
    <w:rsid w:val="005B6876"/>
    <w:rsid w:val="005B79BA"/>
    <w:rsid w:val="005C012D"/>
    <w:rsid w:val="005C14C1"/>
    <w:rsid w:val="005C1649"/>
    <w:rsid w:val="005C32EE"/>
    <w:rsid w:val="005C3CF9"/>
    <w:rsid w:val="005C5870"/>
    <w:rsid w:val="005C5D41"/>
    <w:rsid w:val="005C7A41"/>
    <w:rsid w:val="005D0085"/>
    <w:rsid w:val="005D02BE"/>
    <w:rsid w:val="005D1E95"/>
    <w:rsid w:val="005D1F34"/>
    <w:rsid w:val="005D383D"/>
    <w:rsid w:val="005D4EDC"/>
    <w:rsid w:val="005D50E7"/>
    <w:rsid w:val="005D541A"/>
    <w:rsid w:val="005D67D9"/>
    <w:rsid w:val="005D69F3"/>
    <w:rsid w:val="005E3558"/>
    <w:rsid w:val="005E4062"/>
    <w:rsid w:val="005E42D6"/>
    <w:rsid w:val="005E61B2"/>
    <w:rsid w:val="005E79B2"/>
    <w:rsid w:val="005F04FD"/>
    <w:rsid w:val="005F0741"/>
    <w:rsid w:val="005F07BE"/>
    <w:rsid w:val="005F0A69"/>
    <w:rsid w:val="005F0C05"/>
    <w:rsid w:val="005F54EA"/>
    <w:rsid w:val="005F60EE"/>
    <w:rsid w:val="005F7113"/>
    <w:rsid w:val="0060059F"/>
    <w:rsid w:val="0060154D"/>
    <w:rsid w:val="00601946"/>
    <w:rsid w:val="00602E4B"/>
    <w:rsid w:val="00603567"/>
    <w:rsid w:val="006035F3"/>
    <w:rsid w:val="006042F3"/>
    <w:rsid w:val="006044EF"/>
    <w:rsid w:val="00605897"/>
    <w:rsid w:val="00606B19"/>
    <w:rsid w:val="00606D74"/>
    <w:rsid w:val="00607D32"/>
    <w:rsid w:val="00612677"/>
    <w:rsid w:val="0061495E"/>
    <w:rsid w:val="0061688F"/>
    <w:rsid w:val="00617845"/>
    <w:rsid w:val="0062184A"/>
    <w:rsid w:val="00623605"/>
    <w:rsid w:val="00623EE3"/>
    <w:rsid w:val="00625201"/>
    <w:rsid w:val="00627D3E"/>
    <w:rsid w:val="00630570"/>
    <w:rsid w:val="006336C8"/>
    <w:rsid w:val="00633AE7"/>
    <w:rsid w:val="00633CE6"/>
    <w:rsid w:val="00633CF7"/>
    <w:rsid w:val="00635AF2"/>
    <w:rsid w:val="006364FB"/>
    <w:rsid w:val="006404E8"/>
    <w:rsid w:val="006412E5"/>
    <w:rsid w:val="00641409"/>
    <w:rsid w:val="00641533"/>
    <w:rsid w:val="00643043"/>
    <w:rsid w:val="006441C6"/>
    <w:rsid w:val="00644496"/>
    <w:rsid w:val="00645927"/>
    <w:rsid w:val="00645FC1"/>
    <w:rsid w:val="006479A2"/>
    <w:rsid w:val="00647AAD"/>
    <w:rsid w:val="006511BE"/>
    <w:rsid w:val="00651877"/>
    <w:rsid w:val="006523B0"/>
    <w:rsid w:val="00652872"/>
    <w:rsid w:val="00652ECA"/>
    <w:rsid w:val="00652F14"/>
    <w:rsid w:val="00654793"/>
    <w:rsid w:val="00655884"/>
    <w:rsid w:val="00655E70"/>
    <w:rsid w:val="00656008"/>
    <w:rsid w:val="00657257"/>
    <w:rsid w:val="006612B9"/>
    <w:rsid w:val="00661A58"/>
    <w:rsid w:val="00662905"/>
    <w:rsid w:val="00664B0D"/>
    <w:rsid w:val="00664E79"/>
    <w:rsid w:val="00665E1F"/>
    <w:rsid w:val="006666C2"/>
    <w:rsid w:val="00666C88"/>
    <w:rsid w:val="006707B8"/>
    <w:rsid w:val="00672161"/>
    <w:rsid w:val="00673781"/>
    <w:rsid w:val="006749F4"/>
    <w:rsid w:val="00675292"/>
    <w:rsid w:val="006752FE"/>
    <w:rsid w:val="006762E6"/>
    <w:rsid w:val="006765B0"/>
    <w:rsid w:val="00681369"/>
    <w:rsid w:val="00681393"/>
    <w:rsid w:val="006821C6"/>
    <w:rsid w:val="00683EC8"/>
    <w:rsid w:val="00684A9A"/>
    <w:rsid w:val="00686544"/>
    <w:rsid w:val="00686702"/>
    <w:rsid w:val="006874CC"/>
    <w:rsid w:val="00687E92"/>
    <w:rsid w:val="006904DE"/>
    <w:rsid w:val="006920EC"/>
    <w:rsid w:val="00692A14"/>
    <w:rsid w:val="00692F0B"/>
    <w:rsid w:val="00692F96"/>
    <w:rsid w:val="006930E2"/>
    <w:rsid w:val="006931FD"/>
    <w:rsid w:val="00694583"/>
    <w:rsid w:val="006946A4"/>
    <w:rsid w:val="006976B1"/>
    <w:rsid w:val="006A0061"/>
    <w:rsid w:val="006A1044"/>
    <w:rsid w:val="006A5924"/>
    <w:rsid w:val="006A5995"/>
    <w:rsid w:val="006A6BB3"/>
    <w:rsid w:val="006A74D6"/>
    <w:rsid w:val="006A7D27"/>
    <w:rsid w:val="006B0714"/>
    <w:rsid w:val="006B2CF0"/>
    <w:rsid w:val="006B3209"/>
    <w:rsid w:val="006B4BBF"/>
    <w:rsid w:val="006B590B"/>
    <w:rsid w:val="006B5B05"/>
    <w:rsid w:val="006B6A85"/>
    <w:rsid w:val="006C03C3"/>
    <w:rsid w:val="006C4184"/>
    <w:rsid w:val="006C5D34"/>
    <w:rsid w:val="006C5F8E"/>
    <w:rsid w:val="006C6A0A"/>
    <w:rsid w:val="006D0718"/>
    <w:rsid w:val="006D07E4"/>
    <w:rsid w:val="006D1A3E"/>
    <w:rsid w:val="006D2605"/>
    <w:rsid w:val="006D2E32"/>
    <w:rsid w:val="006D3438"/>
    <w:rsid w:val="006D5EE5"/>
    <w:rsid w:val="006D6145"/>
    <w:rsid w:val="006D668E"/>
    <w:rsid w:val="006D7154"/>
    <w:rsid w:val="006D7940"/>
    <w:rsid w:val="006E05AC"/>
    <w:rsid w:val="006E1E8E"/>
    <w:rsid w:val="006E2654"/>
    <w:rsid w:val="006E2EAC"/>
    <w:rsid w:val="006E32EA"/>
    <w:rsid w:val="006E617B"/>
    <w:rsid w:val="006E71CB"/>
    <w:rsid w:val="006E7202"/>
    <w:rsid w:val="006F1517"/>
    <w:rsid w:val="006F1AFF"/>
    <w:rsid w:val="006F1D64"/>
    <w:rsid w:val="006F26AB"/>
    <w:rsid w:val="006F4520"/>
    <w:rsid w:val="006F47F0"/>
    <w:rsid w:val="006F4D05"/>
    <w:rsid w:val="006F6261"/>
    <w:rsid w:val="006F6B36"/>
    <w:rsid w:val="0070062A"/>
    <w:rsid w:val="00700CF9"/>
    <w:rsid w:val="00700F66"/>
    <w:rsid w:val="00700F71"/>
    <w:rsid w:val="0070216C"/>
    <w:rsid w:val="00702E6D"/>
    <w:rsid w:val="00703922"/>
    <w:rsid w:val="00704CA7"/>
    <w:rsid w:val="007063BE"/>
    <w:rsid w:val="007065FB"/>
    <w:rsid w:val="007068E6"/>
    <w:rsid w:val="0070750A"/>
    <w:rsid w:val="00710EF7"/>
    <w:rsid w:val="0071353B"/>
    <w:rsid w:val="00713C99"/>
    <w:rsid w:val="00713F40"/>
    <w:rsid w:val="00714E2B"/>
    <w:rsid w:val="00715ABD"/>
    <w:rsid w:val="00715C9C"/>
    <w:rsid w:val="007160B7"/>
    <w:rsid w:val="007228B4"/>
    <w:rsid w:val="00722E56"/>
    <w:rsid w:val="007233E9"/>
    <w:rsid w:val="0072363D"/>
    <w:rsid w:val="007236AE"/>
    <w:rsid w:val="00723B55"/>
    <w:rsid w:val="00723D42"/>
    <w:rsid w:val="0072407D"/>
    <w:rsid w:val="00724712"/>
    <w:rsid w:val="00725153"/>
    <w:rsid w:val="00725644"/>
    <w:rsid w:val="00725A06"/>
    <w:rsid w:val="007276EE"/>
    <w:rsid w:val="00727A76"/>
    <w:rsid w:val="00730706"/>
    <w:rsid w:val="00731407"/>
    <w:rsid w:val="0073174F"/>
    <w:rsid w:val="00732543"/>
    <w:rsid w:val="00732B5A"/>
    <w:rsid w:val="00732E11"/>
    <w:rsid w:val="00733D0E"/>
    <w:rsid w:val="00735D18"/>
    <w:rsid w:val="00736AE3"/>
    <w:rsid w:val="00737297"/>
    <w:rsid w:val="00743727"/>
    <w:rsid w:val="00744E11"/>
    <w:rsid w:val="00744E2D"/>
    <w:rsid w:val="007454BA"/>
    <w:rsid w:val="00746A10"/>
    <w:rsid w:val="007479BB"/>
    <w:rsid w:val="00751468"/>
    <w:rsid w:val="007528A2"/>
    <w:rsid w:val="00752AD6"/>
    <w:rsid w:val="00753841"/>
    <w:rsid w:val="007540BF"/>
    <w:rsid w:val="00755BB9"/>
    <w:rsid w:val="0075618F"/>
    <w:rsid w:val="00760785"/>
    <w:rsid w:val="007628DC"/>
    <w:rsid w:val="007655E2"/>
    <w:rsid w:val="007656B9"/>
    <w:rsid w:val="007659D5"/>
    <w:rsid w:val="007659F9"/>
    <w:rsid w:val="00767F90"/>
    <w:rsid w:val="00770DCB"/>
    <w:rsid w:val="007711D8"/>
    <w:rsid w:val="0077334E"/>
    <w:rsid w:val="00775485"/>
    <w:rsid w:val="007765B6"/>
    <w:rsid w:val="00776C4C"/>
    <w:rsid w:val="00777172"/>
    <w:rsid w:val="007772D3"/>
    <w:rsid w:val="007813C0"/>
    <w:rsid w:val="00781781"/>
    <w:rsid w:val="00782E60"/>
    <w:rsid w:val="00783DCE"/>
    <w:rsid w:val="00784C20"/>
    <w:rsid w:val="00790FCD"/>
    <w:rsid w:val="007920F2"/>
    <w:rsid w:val="0079270F"/>
    <w:rsid w:val="00793C91"/>
    <w:rsid w:val="00795C4A"/>
    <w:rsid w:val="007968C7"/>
    <w:rsid w:val="007968E0"/>
    <w:rsid w:val="007A0CA9"/>
    <w:rsid w:val="007A19D6"/>
    <w:rsid w:val="007A4A8E"/>
    <w:rsid w:val="007A4BDE"/>
    <w:rsid w:val="007A514F"/>
    <w:rsid w:val="007A59FC"/>
    <w:rsid w:val="007A5D7F"/>
    <w:rsid w:val="007A6FEC"/>
    <w:rsid w:val="007B0065"/>
    <w:rsid w:val="007B076B"/>
    <w:rsid w:val="007B0F06"/>
    <w:rsid w:val="007B256C"/>
    <w:rsid w:val="007B4360"/>
    <w:rsid w:val="007B55EC"/>
    <w:rsid w:val="007B5AD4"/>
    <w:rsid w:val="007B643F"/>
    <w:rsid w:val="007C25B4"/>
    <w:rsid w:val="007C2ED4"/>
    <w:rsid w:val="007C61A0"/>
    <w:rsid w:val="007C61A5"/>
    <w:rsid w:val="007C762C"/>
    <w:rsid w:val="007D11B8"/>
    <w:rsid w:val="007D313D"/>
    <w:rsid w:val="007D3628"/>
    <w:rsid w:val="007D3A79"/>
    <w:rsid w:val="007D5205"/>
    <w:rsid w:val="007D52E3"/>
    <w:rsid w:val="007D5B74"/>
    <w:rsid w:val="007D5C67"/>
    <w:rsid w:val="007D625B"/>
    <w:rsid w:val="007D6662"/>
    <w:rsid w:val="007E12D3"/>
    <w:rsid w:val="007E17B3"/>
    <w:rsid w:val="007E27C1"/>
    <w:rsid w:val="007E4BFF"/>
    <w:rsid w:val="007E5B88"/>
    <w:rsid w:val="007E7AAF"/>
    <w:rsid w:val="007F0AF4"/>
    <w:rsid w:val="007F0D0B"/>
    <w:rsid w:val="007F1FF7"/>
    <w:rsid w:val="007F4316"/>
    <w:rsid w:val="007F510E"/>
    <w:rsid w:val="007F555E"/>
    <w:rsid w:val="007F55DD"/>
    <w:rsid w:val="007F58C7"/>
    <w:rsid w:val="007F7FCF"/>
    <w:rsid w:val="008007A8"/>
    <w:rsid w:val="008023D9"/>
    <w:rsid w:val="00803F58"/>
    <w:rsid w:val="008042D9"/>
    <w:rsid w:val="00804330"/>
    <w:rsid w:val="008044E3"/>
    <w:rsid w:val="008057CE"/>
    <w:rsid w:val="00805854"/>
    <w:rsid w:val="008061DD"/>
    <w:rsid w:val="0080635E"/>
    <w:rsid w:val="008063BB"/>
    <w:rsid w:val="0080641C"/>
    <w:rsid w:val="008071BD"/>
    <w:rsid w:val="008102D9"/>
    <w:rsid w:val="00810ABE"/>
    <w:rsid w:val="00814FC0"/>
    <w:rsid w:val="0081526B"/>
    <w:rsid w:val="0081685A"/>
    <w:rsid w:val="008168EA"/>
    <w:rsid w:val="008169CC"/>
    <w:rsid w:val="008208A3"/>
    <w:rsid w:val="00822FE7"/>
    <w:rsid w:val="0082490C"/>
    <w:rsid w:val="00825DEC"/>
    <w:rsid w:val="008315E0"/>
    <w:rsid w:val="00831606"/>
    <w:rsid w:val="00831B5C"/>
    <w:rsid w:val="0083253A"/>
    <w:rsid w:val="008325B1"/>
    <w:rsid w:val="00834BD9"/>
    <w:rsid w:val="00837E16"/>
    <w:rsid w:val="00840969"/>
    <w:rsid w:val="0084198D"/>
    <w:rsid w:val="008436E3"/>
    <w:rsid w:val="00847C33"/>
    <w:rsid w:val="00850901"/>
    <w:rsid w:val="00850ADE"/>
    <w:rsid w:val="00851B97"/>
    <w:rsid w:val="00852B53"/>
    <w:rsid w:val="0085457A"/>
    <w:rsid w:val="00854581"/>
    <w:rsid w:val="008553B5"/>
    <w:rsid w:val="008558D7"/>
    <w:rsid w:val="00855F81"/>
    <w:rsid w:val="00856B37"/>
    <w:rsid w:val="00857FE8"/>
    <w:rsid w:val="0086044F"/>
    <w:rsid w:val="00860AC5"/>
    <w:rsid w:val="00860B19"/>
    <w:rsid w:val="00862DBE"/>
    <w:rsid w:val="00863151"/>
    <w:rsid w:val="008633F7"/>
    <w:rsid w:val="00863C0E"/>
    <w:rsid w:val="008640C0"/>
    <w:rsid w:val="00864A77"/>
    <w:rsid w:val="00866841"/>
    <w:rsid w:val="00867173"/>
    <w:rsid w:val="008675B1"/>
    <w:rsid w:val="00870F29"/>
    <w:rsid w:val="008724DE"/>
    <w:rsid w:val="00874ADD"/>
    <w:rsid w:val="00875015"/>
    <w:rsid w:val="00875329"/>
    <w:rsid w:val="00876690"/>
    <w:rsid w:val="00876C39"/>
    <w:rsid w:val="00876F4D"/>
    <w:rsid w:val="008770FA"/>
    <w:rsid w:val="00881E51"/>
    <w:rsid w:val="00886130"/>
    <w:rsid w:val="00886DEB"/>
    <w:rsid w:val="008905A0"/>
    <w:rsid w:val="00890845"/>
    <w:rsid w:val="00892424"/>
    <w:rsid w:val="00892763"/>
    <w:rsid w:val="00893A9E"/>
    <w:rsid w:val="00894110"/>
    <w:rsid w:val="00894483"/>
    <w:rsid w:val="008961A6"/>
    <w:rsid w:val="008A0F17"/>
    <w:rsid w:val="008A17CC"/>
    <w:rsid w:val="008A1C18"/>
    <w:rsid w:val="008A21EA"/>
    <w:rsid w:val="008A24DE"/>
    <w:rsid w:val="008A347D"/>
    <w:rsid w:val="008A3D57"/>
    <w:rsid w:val="008A3EF0"/>
    <w:rsid w:val="008A4A31"/>
    <w:rsid w:val="008A6107"/>
    <w:rsid w:val="008A67D5"/>
    <w:rsid w:val="008A7B72"/>
    <w:rsid w:val="008B014F"/>
    <w:rsid w:val="008B0715"/>
    <w:rsid w:val="008B23BC"/>
    <w:rsid w:val="008B3FDE"/>
    <w:rsid w:val="008B5AB6"/>
    <w:rsid w:val="008B650B"/>
    <w:rsid w:val="008B67F3"/>
    <w:rsid w:val="008C022F"/>
    <w:rsid w:val="008C0319"/>
    <w:rsid w:val="008C5F4E"/>
    <w:rsid w:val="008C7221"/>
    <w:rsid w:val="008C75B0"/>
    <w:rsid w:val="008C7780"/>
    <w:rsid w:val="008C7798"/>
    <w:rsid w:val="008D0C81"/>
    <w:rsid w:val="008D10C2"/>
    <w:rsid w:val="008D150B"/>
    <w:rsid w:val="008D2076"/>
    <w:rsid w:val="008D2173"/>
    <w:rsid w:val="008D4024"/>
    <w:rsid w:val="008D4822"/>
    <w:rsid w:val="008D4D6E"/>
    <w:rsid w:val="008D50B5"/>
    <w:rsid w:val="008D79ED"/>
    <w:rsid w:val="008E0852"/>
    <w:rsid w:val="008E23DB"/>
    <w:rsid w:val="008E2436"/>
    <w:rsid w:val="008E2E5C"/>
    <w:rsid w:val="008E3D60"/>
    <w:rsid w:val="008E3F4C"/>
    <w:rsid w:val="008E47B0"/>
    <w:rsid w:val="008E48DD"/>
    <w:rsid w:val="008E4AD5"/>
    <w:rsid w:val="008E537E"/>
    <w:rsid w:val="008E5CBF"/>
    <w:rsid w:val="008E63E0"/>
    <w:rsid w:val="008E6898"/>
    <w:rsid w:val="008E78A4"/>
    <w:rsid w:val="008F06B8"/>
    <w:rsid w:val="008F0DE4"/>
    <w:rsid w:val="008F2FF8"/>
    <w:rsid w:val="008F3EA6"/>
    <w:rsid w:val="008F443D"/>
    <w:rsid w:val="008F508F"/>
    <w:rsid w:val="008F6B7B"/>
    <w:rsid w:val="00901004"/>
    <w:rsid w:val="0090165F"/>
    <w:rsid w:val="00901B82"/>
    <w:rsid w:val="00903F30"/>
    <w:rsid w:val="009042E1"/>
    <w:rsid w:val="009047E8"/>
    <w:rsid w:val="00904D39"/>
    <w:rsid w:val="0090766A"/>
    <w:rsid w:val="00910DFF"/>
    <w:rsid w:val="00912115"/>
    <w:rsid w:val="00912B09"/>
    <w:rsid w:val="009132B9"/>
    <w:rsid w:val="0091461C"/>
    <w:rsid w:val="009157D5"/>
    <w:rsid w:val="00915B25"/>
    <w:rsid w:val="00916C3F"/>
    <w:rsid w:val="00921027"/>
    <w:rsid w:val="0092293C"/>
    <w:rsid w:val="0092540B"/>
    <w:rsid w:val="00925B38"/>
    <w:rsid w:val="0092629A"/>
    <w:rsid w:val="009272F6"/>
    <w:rsid w:val="00927D8E"/>
    <w:rsid w:val="009309F5"/>
    <w:rsid w:val="00930B30"/>
    <w:rsid w:val="00931198"/>
    <w:rsid w:val="0093130D"/>
    <w:rsid w:val="00931D4A"/>
    <w:rsid w:val="00934118"/>
    <w:rsid w:val="00936628"/>
    <w:rsid w:val="00937E58"/>
    <w:rsid w:val="00941488"/>
    <w:rsid w:val="00941EBF"/>
    <w:rsid w:val="009420CE"/>
    <w:rsid w:val="00942EFB"/>
    <w:rsid w:val="0094337A"/>
    <w:rsid w:val="00945369"/>
    <w:rsid w:val="0094626F"/>
    <w:rsid w:val="009479D0"/>
    <w:rsid w:val="00950532"/>
    <w:rsid w:val="00950A08"/>
    <w:rsid w:val="00952305"/>
    <w:rsid w:val="00953086"/>
    <w:rsid w:val="00953A98"/>
    <w:rsid w:val="00953D66"/>
    <w:rsid w:val="009545F0"/>
    <w:rsid w:val="00954D87"/>
    <w:rsid w:val="009550FB"/>
    <w:rsid w:val="00960ADC"/>
    <w:rsid w:val="00961D2D"/>
    <w:rsid w:val="00964211"/>
    <w:rsid w:val="00965AF7"/>
    <w:rsid w:val="00965C7D"/>
    <w:rsid w:val="00966487"/>
    <w:rsid w:val="00966C2F"/>
    <w:rsid w:val="0096720F"/>
    <w:rsid w:val="00967CE4"/>
    <w:rsid w:val="009706AA"/>
    <w:rsid w:val="009707C8"/>
    <w:rsid w:val="00971335"/>
    <w:rsid w:val="00972292"/>
    <w:rsid w:val="00972A82"/>
    <w:rsid w:val="00972B2B"/>
    <w:rsid w:val="00972E2F"/>
    <w:rsid w:val="0097367A"/>
    <w:rsid w:val="0097414F"/>
    <w:rsid w:val="0097512B"/>
    <w:rsid w:val="0097676B"/>
    <w:rsid w:val="00980187"/>
    <w:rsid w:val="0098247B"/>
    <w:rsid w:val="0098373C"/>
    <w:rsid w:val="00983ED4"/>
    <w:rsid w:val="00984968"/>
    <w:rsid w:val="00985271"/>
    <w:rsid w:val="0098623B"/>
    <w:rsid w:val="009863B0"/>
    <w:rsid w:val="00986672"/>
    <w:rsid w:val="00987523"/>
    <w:rsid w:val="00987A8A"/>
    <w:rsid w:val="00991C97"/>
    <w:rsid w:val="009920CD"/>
    <w:rsid w:val="009928D5"/>
    <w:rsid w:val="009932C5"/>
    <w:rsid w:val="00993C73"/>
    <w:rsid w:val="0099471A"/>
    <w:rsid w:val="009A0AC5"/>
    <w:rsid w:val="009A2D3F"/>
    <w:rsid w:val="009A51BC"/>
    <w:rsid w:val="009A5375"/>
    <w:rsid w:val="009A5883"/>
    <w:rsid w:val="009A694D"/>
    <w:rsid w:val="009A6C54"/>
    <w:rsid w:val="009A7B53"/>
    <w:rsid w:val="009B065C"/>
    <w:rsid w:val="009B0AD2"/>
    <w:rsid w:val="009B21A4"/>
    <w:rsid w:val="009B3962"/>
    <w:rsid w:val="009B3F0A"/>
    <w:rsid w:val="009B4F83"/>
    <w:rsid w:val="009B4F8A"/>
    <w:rsid w:val="009B5409"/>
    <w:rsid w:val="009B5AFA"/>
    <w:rsid w:val="009B63C2"/>
    <w:rsid w:val="009B6911"/>
    <w:rsid w:val="009B70D6"/>
    <w:rsid w:val="009C06E0"/>
    <w:rsid w:val="009C0863"/>
    <w:rsid w:val="009C1199"/>
    <w:rsid w:val="009C23BD"/>
    <w:rsid w:val="009C2F5E"/>
    <w:rsid w:val="009C4DD8"/>
    <w:rsid w:val="009C53F4"/>
    <w:rsid w:val="009C6E26"/>
    <w:rsid w:val="009C73DB"/>
    <w:rsid w:val="009D0558"/>
    <w:rsid w:val="009D14ED"/>
    <w:rsid w:val="009D156F"/>
    <w:rsid w:val="009D1A07"/>
    <w:rsid w:val="009D4CC2"/>
    <w:rsid w:val="009D4E66"/>
    <w:rsid w:val="009D50FF"/>
    <w:rsid w:val="009D5537"/>
    <w:rsid w:val="009D67F6"/>
    <w:rsid w:val="009D7634"/>
    <w:rsid w:val="009D7FC3"/>
    <w:rsid w:val="009E01A9"/>
    <w:rsid w:val="009E06CE"/>
    <w:rsid w:val="009E0B65"/>
    <w:rsid w:val="009E0FE1"/>
    <w:rsid w:val="009E1E7B"/>
    <w:rsid w:val="009E2F27"/>
    <w:rsid w:val="009E3471"/>
    <w:rsid w:val="009E3808"/>
    <w:rsid w:val="009E3D77"/>
    <w:rsid w:val="009E3E5D"/>
    <w:rsid w:val="009E5CE5"/>
    <w:rsid w:val="009F069A"/>
    <w:rsid w:val="009F1E2A"/>
    <w:rsid w:val="009F42B2"/>
    <w:rsid w:val="009F5397"/>
    <w:rsid w:val="009F675A"/>
    <w:rsid w:val="009F6AB6"/>
    <w:rsid w:val="009F6EF0"/>
    <w:rsid w:val="009F7EC2"/>
    <w:rsid w:val="00A00425"/>
    <w:rsid w:val="00A014B6"/>
    <w:rsid w:val="00A01EEE"/>
    <w:rsid w:val="00A0406E"/>
    <w:rsid w:val="00A04DB6"/>
    <w:rsid w:val="00A06F76"/>
    <w:rsid w:val="00A10D24"/>
    <w:rsid w:val="00A11307"/>
    <w:rsid w:val="00A134B2"/>
    <w:rsid w:val="00A1382F"/>
    <w:rsid w:val="00A13AF3"/>
    <w:rsid w:val="00A15CE8"/>
    <w:rsid w:val="00A17BE4"/>
    <w:rsid w:val="00A2060D"/>
    <w:rsid w:val="00A20CF7"/>
    <w:rsid w:val="00A21310"/>
    <w:rsid w:val="00A21388"/>
    <w:rsid w:val="00A21612"/>
    <w:rsid w:val="00A21DB3"/>
    <w:rsid w:val="00A22890"/>
    <w:rsid w:val="00A246B3"/>
    <w:rsid w:val="00A2592F"/>
    <w:rsid w:val="00A26D8A"/>
    <w:rsid w:val="00A27791"/>
    <w:rsid w:val="00A27A6F"/>
    <w:rsid w:val="00A326C4"/>
    <w:rsid w:val="00A35ED9"/>
    <w:rsid w:val="00A369FF"/>
    <w:rsid w:val="00A40385"/>
    <w:rsid w:val="00A41355"/>
    <w:rsid w:val="00A4158D"/>
    <w:rsid w:val="00A418A7"/>
    <w:rsid w:val="00A421BE"/>
    <w:rsid w:val="00A438F2"/>
    <w:rsid w:val="00A43994"/>
    <w:rsid w:val="00A43B92"/>
    <w:rsid w:val="00A45DED"/>
    <w:rsid w:val="00A50070"/>
    <w:rsid w:val="00A50383"/>
    <w:rsid w:val="00A5068A"/>
    <w:rsid w:val="00A50FFF"/>
    <w:rsid w:val="00A51F41"/>
    <w:rsid w:val="00A535D7"/>
    <w:rsid w:val="00A54077"/>
    <w:rsid w:val="00A54251"/>
    <w:rsid w:val="00A5575F"/>
    <w:rsid w:val="00A57B9C"/>
    <w:rsid w:val="00A57F67"/>
    <w:rsid w:val="00A61241"/>
    <w:rsid w:val="00A6179E"/>
    <w:rsid w:val="00A641A1"/>
    <w:rsid w:val="00A64316"/>
    <w:rsid w:val="00A6443D"/>
    <w:rsid w:val="00A64B5B"/>
    <w:rsid w:val="00A664D4"/>
    <w:rsid w:val="00A66CDC"/>
    <w:rsid w:val="00A671E9"/>
    <w:rsid w:val="00A67847"/>
    <w:rsid w:val="00A70014"/>
    <w:rsid w:val="00A709FF"/>
    <w:rsid w:val="00A7118B"/>
    <w:rsid w:val="00A71B10"/>
    <w:rsid w:val="00A71DF8"/>
    <w:rsid w:val="00A757B7"/>
    <w:rsid w:val="00A76DB6"/>
    <w:rsid w:val="00A771CF"/>
    <w:rsid w:val="00A804D9"/>
    <w:rsid w:val="00A83E5E"/>
    <w:rsid w:val="00A847AF"/>
    <w:rsid w:val="00A851EE"/>
    <w:rsid w:val="00A85F5B"/>
    <w:rsid w:val="00A87CB9"/>
    <w:rsid w:val="00A904CA"/>
    <w:rsid w:val="00A92919"/>
    <w:rsid w:val="00A92F92"/>
    <w:rsid w:val="00A93405"/>
    <w:rsid w:val="00A966B0"/>
    <w:rsid w:val="00A96892"/>
    <w:rsid w:val="00AA1185"/>
    <w:rsid w:val="00AA2051"/>
    <w:rsid w:val="00AA2432"/>
    <w:rsid w:val="00AA2604"/>
    <w:rsid w:val="00AA40A4"/>
    <w:rsid w:val="00AA4B5E"/>
    <w:rsid w:val="00AA55C2"/>
    <w:rsid w:val="00AA62E9"/>
    <w:rsid w:val="00AA7C82"/>
    <w:rsid w:val="00AB356A"/>
    <w:rsid w:val="00AB55BF"/>
    <w:rsid w:val="00AB5C19"/>
    <w:rsid w:val="00AB5CCB"/>
    <w:rsid w:val="00AB7F55"/>
    <w:rsid w:val="00AC0009"/>
    <w:rsid w:val="00AC3469"/>
    <w:rsid w:val="00AC4669"/>
    <w:rsid w:val="00AC5C27"/>
    <w:rsid w:val="00AC6006"/>
    <w:rsid w:val="00AC6787"/>
    <w:rsid w:val="00AC69A3"/>
    <w:rsid w:val="00AD2178"/>
    <w:rsid w:val="00AD69DE"/>
    <w:rsid w:val="00AD791C"/>
    <w:rsid w:val="00AE030D"/>
    <w:rsid w:val="00AE1500"/>
    <w:rsid w:val="00AE1ECC"/>
    <w:rsid w:val="00AE2193"/>
    <w:rsid w:val="00AE2A31"/>
    <w:rsid w:val="00AE34F0"/>
    <w:rsid w:val="00AE4E7C"/>
    <w:rsid w:val="00AE5AE1"/>
    <w:rsid w:val="00AE6045"/>
    <w:rsid w:val="00AE6ABF"/>
    <w:rsid w:val="00AF0169"/>
    <w:rsid w:val="00AF1A65"/>
    <w:rsid w:val="00AF2D05"/>
    <w:rsid w:val="00AF2E4B"/>
    <w:rsid w:val="00AF46CF"/>
    <w:rsid w:val="00AF4E34"/>
    <w:rsid w:val="00AF4EC1"/>
    <w:rsid w:val="00AF6D35"/>
    <w:rsid w:val="00B001B6"/>
    <w:rsid w:val="00B0127B"/>
    <w:rsid w:val="00B02C92"/>
    <w:rsid w:val="00B06BAF"/>
    <w:rsid w:val="00B10791"/>
    <w:rsid w:val="00B11B93"/>
    <w:rsid w:val="00B11EB8"/>
    <w:rsid w:val="00B120E7"/>
    <w:rsid w:val="00B13090"/>
    <w:rsid w:val="00B13F3B"/>
    <w:rsid w:val="00B14C07"/>
    <w:rsid w:val="00B16785"/>
    <w:rsid w:val="00B1749D"/>
    <w:rsid w:val="00B21157"/>
    <w:rsid w:val="00B21469"/>
    <w:rsid w:val="00B21BAF"/>
    <w:rsid w:val="00B2395E"/>
    <w:rsid w:val="00B2471B"/>
    <w:rsid w:val="00B24B1D"/>
    <w:rsid w:val="00B27004"/>
    <w:rsid w:val="00B277D4"/>
    <w:rsid w:val="00B277E0"/>
    <w:rsid w:val="00B31EB2"/>
    <w:rsid w:val="00B32655"/>
    <w:rsid w:val="00B32FAC"/>
    <w:rsid w:val="00B3313A"/>
    <w:rsid w:val="00B3444F"/>
    <w:rsid w:val="00B34946"/>
    <w:rsid w:val="00B3524E"/>
    <w:rsid w:val="00B36D85"/>
    <w:rsid w:val="00B36FD4"/>
    <w:rsid w:val="00B37020"/>
    <w:rsid w:val="00B375F7"/>
    <w:rsid w:val="00B40544"/>
    <w:rsid w:val="00B40D7A"/>
    <w:rsid w:val="00B41F45"/>
    <w:rsid w:val="00B435FF"/>
    <w:rsid w:val="00B43C26"/>
    <w:rsid w:val="00B446F0"/>
    <w:rsid w:val="00B44D65"/>
    <w:rsid w:val="00B46ABA"/>
    <w:rsid w:val="00B46E25"/>
    <w:rsid w:val="00B474EC"/>
    <w:rsid w:val="00B476E9"/>
    <w:rsid w:val="00B47842"/>
    <w:rsid w:val="00B519FD"/>
    <w:rsid w:val="00B520BC"/>
    <w:rsid w:val="00B5285E"/>
    <w:rsid w:val="00B5447A"/>
    <w:rsid w:val="00B55137"/>
    <w:rsid w:val="00B55EE4"/>
    <w:rsid w:val="00B574EB"/>
    <w:rsid w:val="00B600DB"/>
    <w:rsid w:val="00B61062"/>
    <w:rsid w:val="00B63D24"/>
    <w:rsid w:val="00B64017"/>
    <w:rsid w:val="00B642CF"/>
    <w:rsid w:val="00B64699"/>
    <w:rsid w:val="00B66032"/>
    <w:rsid w:val="00B7122A"/>
    <w:rsid w:val="00B717CD"/>
    <w:rsid w:val="00B7344C"/>
    <w:rsid w:val="00B74473"/>
    <w:rsid w:val="00B75026"/>
    <w:rsid w:val="00B81F60"/>
    <w:rsid w:val="00B8278F"/>
    <w:rsid w:val="00B82DF8"/>
    <w:rsid w:val="00B8300D"/>
    <w:rsid w:val="00B84CC6"/>
    <w:rsid w:val="00B851BB"/>
    <w:rsid w:val="00B873EC"/>
    <w:rsid w:val="00B87672"/>
    <w:rsid w:val="00B90EA6"/>
    <w:rsid w:val="00B91013"/>
    <w:rsid w:val="00B924E6"/>
    <w:rsid w:val="00B929D3"/>
    <w:rsid w:val="00B9337E"/>
    <w:rsid w:val="00B9347B"/>
    <w:rsid w:val="00B942DB"/>
    <w:rsid w:val="00B949AD"/>
    <w:rsid w:val="00B952BD"/>
    <w:rsid w:val="00B96079"/>
    <w:rsid w:val="00B96A89"/>
    <w:rsid w:val="00B96AA0"/>
    <w:rsid w:val="00B96E93"/>
    <w:rsid w:val="00B97640"/>
    <w:rsid w:val="00BA262D"/>
    <w:rsid w:val="00BA37A6"/>
    <w:rsid w:val="00BA5698"/>
    <w:rsid w:val="00BA6902"/>
    <w:rsid w:val="00BB0264"/>
    <w:rsid w:val="00BB083A"/>
    <w:rsid w:val="00BB1756"/>
    <w:rsid w:val="00BB22D3"/>
    <w:rsid w:val="00BB2CA2"/>
    <w:rsid w:val="00BB3BAC"/>
    <w:rsid w:val="00BB3E2A"/>
    <w:rsid w:val="00BB3EAE"/>
    <w:rsid w:val="00BB5B9B"/>
    <w:rsid w:val="00BB72F5"/>
    <w:rsid w:val="00BB7B94"/>
    <w:rsid w:val="00BB7CDC"/>
    <w:rsid w:val="00BC081D"/>
    <w:rsid w:val="00BC0DDC"/>
    <w:rsid w:val="00BC3E49"/>
    <w:rsid w:val="00BC40E5"/>
    <w:rsid w:val="00BC74F9"/>
    <w:rsid w:val="00BC79EB"/>
    <w:rsid w:val="00BD0604"/>
    <w:rsid w:val="00BD2711"/>
    <w:rsid w:val="00BD3811"/>
    <w:rsid w:val="00BD56CE"/>
    <w:rsid w:val="00BD59C6"/>
    <w:rsid w:val="00BD5EBC"/>
    <w:rsid w:val="00BD7FCF"/>
    <w:rsid w:val="00BE030E"/>
    <w:rsid w:val="00BE1212"/>
    <w:rsid w:val="00BE16ED"/>
    <w:rsid w:val="00BE1AF1"/>
    <w:rsid w:val="00BE4698"/>
    <w:rsid w:val="00BE65DF"/>
    <w:rsid w:val="00BF193B"/>
    <w:rsid w:val="00BF4178"/>
    <w:rsid w:val="00BF5305"/>
    <w:rsid w:val="00BF53E2"/>
    <w:rsid w:val="00BF602B"/>
    <w:rsid w:val="00BF68E1"/>
    <w:rsid w:val="00C006EB"/>
    <w:rsid w:val="00C00B4D"/>
    <w:rsid w:val="00C01315"/>
    <w:rsid w:val="00C01C24"/>
    <w:rsid w:val="00C01E2E"/>
    <w:rsid w:val="00C01F35"/>
    <w:rsid w:val="00C02BF4"/>
    <w:rsid w:val="00C033BE"/>
    <w:rsid w:val="00C050A3"/>
    <w:rsid w:val="00C0595E"/>
    <w:rsid w:val="00C05FEE"/>
    <w:rsid w:val="00C06266"/>
    <w:rsid w:val="00C10CEE"/>
    <w:rsid w:val="00C10D63"/>
    <w:rsid w:val="00C11962"/>
    <w:rsid w:val="00C121FD"/>
    <w:rsid w:val="00C13234"/>
    <w:rsid w:val="00C13FFF"/>
    <w:rsid w:val="00C17387"/>
    <w:rsid w:val="00C17AFC"/>
    <w:rsid w:val="00C21627"/>
    <w:rsid w:val="00C219E2"/>
    <w:rsid w:val="00C22199"/>
    <w:rsid w:val="00C224AD"/>
    <w:rsid w:val="00C22654"/>
    <w:rsid w:val="00C25BDA"/>
    <w:rsid w:val="00C26000"/>
    <w:rsid w:val="00C2617B"/>
    <w:rsid w:val="00C262E7"/>
    <w:rsid w:val="00C27BAD"/>
    <w:rsid w:val="00C30152"/>
    <w:rsid w:val="00C30882"/>
    <w:rsid w:val="00C317A3"/>
    <w:rsid w:val="00C33104"/>
    <w:rsid w:val="00C362F3"/>
    <w:rsid w:val="00C36486"/>
    <w:rsid w:val="00C36869"/>
    <w:rsid w:val="00C41AF9"/>
    <w:rsid w:val="00C42F2A"/>
    <w:rsid w:val="00C4353D"/>
    <w:rsid w:val="00C52BE0"/>
    <w:rsid w:val="00C540A5"/>
    <w:rsid w:val="00C54EDE"/>
    <w:rsid w:val="00C5601F"/>
    <w:rsid w:val="00C57385"/>
    <w:rsid w:val="00C57A6A"/>
    <w:rsid w:val="00C62917"/>
    <w:rsid w:val="00C65D41"/>
    <w:rsid w:val="00C6719E"/>
    <w:rsid w:val="00C67AAC"/>
    <w:rsid w:val="00C67AEE"/>
    <w:rsid w:val="00C714F0"/>
    <w:rsid w:val="00C72D0D"/>
    <w:rsid w:val="00C73BB6"/>
    <w:rsid w:val="00C74840"/>
    <w:rsid w:val="00C748D6"/>
    <w:rsid w:val="00C7534C"/>
    <w:rsid w:val="00C753F8"/>
    <w:rsid w:val="00C754A2"/>
    <w:rsid w:val="00C75CD4"/>
    <w:rsid w:val="00C76126"/>
    <w:rsid w:val="00C76169"/>
    <w:rsid w:val="00C76BB8"/>
    <w:rsid w:val="00C80B27"/>
    <w:rsid w:val="00C810FA"/>
    <w:rsid w:val="00C81123"/>
    <w:rsid w:val="00C81406"/>
    <w:rsid w:val="00C81C05"/>
    <w:rsid w:val="00C82293"/>
    <w:rsid w:val="00C82736"/>
    <w:rsid w:val="00C82CA3"/>
    <w:rsid w:val="00C84126"/>
    <w:rsid w:val="00C854D4"/>
    <w:rsid w:val="00C867F5"/>
    <w:rsid w:val="00C87731"/>
    <w:rsid w:val="00C87891"/>
    <w:rsid w:val="00C90556"/>
    <w:rsid w:val="00C92215"/>
    <w:rsid w:val="00C923D4"/>
    <w:rsid w:val="00C9245D"/>
    <w:rsid w:val="00C9271F"/>
    <w:rsid w:val="00C9408A"/>
    <w:rsid w:val="00C969D0"/>
    <w:rsid w:val="00CA0D78"/>
    <w:rsid w:val="00CA2D65"/>
    <w:rsid w:val="00CA438F"/>
    <w:rsid w:val="00CA4855"/>
    <w:rsid w:val="00CA4A64"/>
    <w:rsid w:val="00CA605D"/>
    <w:rsid w:val="00CA7831"/>
    <w:rsid w:val="00CA7AEE"/>
    <w:rsid w:val="00CB24FE"/>
    <w:rsid w:val="00CB2996"/>
    <w:rsid w:val="00CB2CE9"/>
    <w:rsid w:val="00CB2DDE"/>
    <w:rsid w:val="00CB350F"/>
    <w:rsid w:val="00CB382D"/>
    <w:rsid w:val="00CB3B9C"/>
    <w:rsid w:val="00CB532C"/>
    <w:rsid w:val="00CB7211"/>
    <w:rsid w:val="00CC0EB5"/>
    <w:rsid w:val="00CC24E1"/>
    <w:rsid w:val="00CC4DF9"/>
    <w:rsid w:val="00CC5D07"/>
    <w:rsid w:val="00CC5FC7"/>
    <w:rsid w:val="00CC600A"/>
    <w:rsid w:val="00CC6C91"/>
    <w:rsid w:val="00CD089A"/>
    <w:rsid w:val="00CD135D"/>
    <w:rsid w:val="00CD52F1"/>
    <w:rsid w:val="00CD58FD"/>
    <w:rsid w:val="00CE1117"/>
    <w:rsid w:val="00CE1313"/>
    <w:rsid w:val="00CE14B8"/>
    <w:rsid w:val="00CE21D6"/>
    <w:rsid w:val="00CE36D0"/>
    <w:rsid w:val="00CE3BE2"/>
    <w:rsid w:val="00CE44B0"/>
    <w:rsid w:val="00CE48C2"/>
    <w:rsid w:val="00CE5261"/>
    <w:rsid w:val="00CE6316"/>
    <w:rsid w:val="00CF169B"/>
    <w:rsid w:val="00CF1763"/>
    <w:rsid w:val="00CF249D"/>
    <w:rsid w:val="00CF41C1"/>
    <w:rsid w:val="00CF50BE"/>
    <w:rsid w:val="00CF55E4"/>
    <w:rsid w:val="00CF5804"/>
    <w:rsid w:val="00CF763C"/>
    <w:rsid w:val="00D1023D"/>
    <w:rsid w:val="00D1115C"/>
    <w:rsid w:val="00D12421"/>
    <w:rsid w:val="00D13146"/>
    <w:rsid w:val="00D13924"/>
    <w:rsid w:val="00D14DF6"/>
    <w:rsid w:val="00D15828"/>
    <w:rsid w:val="00D15F36"/>
    <w:rsid w:val="00D170DC"/>
    <w:rsid w:val="00D22A15"/>
    <w:rsid w:val="00D22B83"/>
    <w:rsid w:val="00D2360C"/>
    <w:rsid w:val="00D265DA"/>
    <w:rsid w:val="00D27150"/>
    <w:rsid w:val="00D30A61"/>
    <w:rsid w:val="00D30F00"/>
    <w:rsid w:val="00D33B78"/>
    <w:rsid w:val="00D3423D"/>
    <w:rsid w:val="00D343FA"/>
    <w:rsid w:val="00D3461F"/>
    <w:rsid w:val="00D34D16"/>
    <w:rsid w:val="00D353E7"/>
    <w:rsid w:val="00D3592F"/>
    <w:rsid w:val="00D37460"/>
    <w:rsid w:val="00D37B57"/>
    <w:rsid w:val="00D37D5E"/>
    <w:rsid w:val="00D40206"/>
    <w:rsid w:val="00D418FF"/>
    <w:rsid w:val="00D41A62"/>
    <w:rsid w:val="00D4398A"/>
    <w:rsid w:val="00D47BD3"/>
    <w:rsid w:val="00D50294"/>
    <w:rsid w:val="00D520A4"/>
    <w:rsid w:val="00D53D10"/>
    <w:rsid w:val="00D54451"/>
    <w:rsid w:val="00D54B13"/>
    <w:rsid w:val="00D54ED9"/>
    <w:rsid w:val="00D55798"/>
    <w:rsid w:val="00D56B6A"/>
    <w:rsid w:val="00D575F8"/>
    <w:rsid w:val="00D57A5D"/>
    <w:rsid w:val="00D57E35"/>
    <w:rsid w:val="00D64437"/>
    <w:rsid w:val="00D647D5"/>
    <w:rsid w:val="00D65C76"/>
    <w:rsid w:val="00D66CA6"/>
    <w:rsid w:val="00D677D3"/>
    <w:rsid w:val="00D70F99"/>
    <w:rsid w:val="00D729AD"/>
    <w:rsid w:val="00D734C7"/>
    <w:rsid w:val="00D73942"/>
    <w:rsid w:val="00D743B9"/>
    <w:rsid w:val="00D77419"/>
    <w:rsid w:val="00D77C3A"/>
    <w:rsid w:val="00D77D6F"/>
    <w:rsid w:val="00D80201"/>
    <w:rsid w:val="00D80539"/>
    <w:rsid w:val="00D81140"/>
    <w:rsid w:val="00D82661"/>
    <w:rsid w:val="00D84103"/>
    <w:rsid w:val="00D855F8"/>
    <w:rsid w:val="00D8654A"/>
    <w:rsid w:val="00D87523"/>
    <w:rsid w:val="00D87B87"/>
    <w:rsid w:val="00D91121"/>
    <w:rsid w:val="00D91CCD"/>
    <w:rsid w:val="00D92337"/>
    <w:rsid w:val="00D95960"/>
    <w:rsid w:val="00D95BC4"/>
    <w:rsid w:val="00D96ED5"/>
    <w:rsid w:val="00DA06C2"/>
    <w:rsid w:val="00DA0AEB"/>
    <w:rsid w:val="00DA0BC7"/>
    <w:rsid w:val="00DA0C09"/>
    <w:rsid w:val="00DA2F73"/>
    <w:rsid w:val="00DA45AA"/>
    <w:rsid w:val="00DA586E"/>
    <w:rsid w:val="00DA7089"/>
    <w:rsid w:val="00DB241E"/>
    <w:rsid w:val="00DB34AC"/>
    <w:rsid w:val="00DB3BF0"/>
    <w:rsid w:val="00DB4A48"/>
    <w:rsid w:val="00DB6D5D"/>
    <w:rsid w:val="00DC00CD"/>
    <w:rsid w:val="00DC1419"/>
    <w:rsid w:val="00DC1693"/>
    <w:rsid w:val="00DC2F8D"/>
    <w:rsid w:val="00DC44BD"/>
    <w:rsid w:val="00DC462F"/>
    <w:rsid w:val="00DC5130"/>
    <w:rsid w:val="00DC6B38"/>
    <w:rsid w:val="00DC7F16"/>
    <w:rsid w:val="00DD06DB"/>
    <w:rsid w:val="00DD075D"/>
    <w:rsid w:val="00DD24EF"/>
    <w:rsid w:val="00DD2912"/>
    <w:rsid w:val="00DD66E0"/>
    <w:rsid w:val="00DD6A21"/>
    <w:rsid w:val="00DD6BA1"/>
    <w:rsid w:val="00DD76FD"/>
    <w:rsid w:val="00DE0482"/>
    <w:rsid w:val="00DE1309"/>
    <w:rsid w:val="00DE1984"/>
    <w:rsid w:val="00DE2613"/>
    <w:rsid w:val="00DE35F9"/>
    <w:rsid w:val="00DE3E16"/>
    <w:rsid w:val="00DE3EF0"/>
    <w:rsid w:val="00DE4D96"/>
    <w:rsid w:val="00DE60CA"/>
    <w:rsid w:val="00DE7647"/>
    <w:rsid w:val="00DF0882"/>
    <w:rsid w:val="00DF1567"/>
    <w:rsid w:val="00DF27DD"/>
    <w:rsid w:val="00DF3B20"/>
    <w:rsid w:val="00DF7068"/>
    <w:rsid w:val="00DF70F6"/>
    <w:rsid w:val="00DF7154"/>
    <w:rsid w:val="00E04900"/>
    <w:rsid w:val="00E0568F"/>
    <w:rsid w:val="00E05EBC"/>
    <w:rsid w:val="00E06399"/>
    <w:rsid w:val="00E07EAF"/>
    <w:rsid w:val="00E10141"/>
    <w:rsid w:val="00E10BB1"/>
    <w:rsid w:val="00E122EC"/>
    <w:rsid w:val="00E12B81"/>
    <w:rsid w:val="00E135CD"/>
    <w:rsid w:val="00E13B44"/>
    <w:rsid w:val="00E156A4"/>
    <w:rsid w:val="00E15BD3"/>
    <w:rsid w:val="00E16B8D"/>
    <w:rsid w:val="00E17D61"/>
    <w:rsid w:val="00E20CC7"/>
    <w:rsid w:val="00E22E8B"/>
    <w:rsid w:val="00E23B98"/>
    <w:rsid w:val="00E243B4"/>
    <w:rsid w:val="00E2491E"/>
    <w:rsid w:val="00E24AA9"/>
    <w:rsid w:val="00E24F0F"/>
    <w:rsid w:val="00E24FA3"/>
    <w:rsid w:val="00E26B28"/>
    <w:rsid w:val="00E27DE0"/>
    <w:rsid w:val="00E310D9"/>
    <w:rsid w:val="00E312EF"/>
    <w:rsid w:val="00E31465"/>
    <w:rsid w:val="00E316F3"/>
    <w:rsid w:val="00E31A49"/>
    <w:rsid w:val="00E324ED"/>
    <w:rsid w:val="00E328CD"/>
    <w:rsid w:val="00E32B10"/>
    <w:rsid w:val="00E33B27"/>
    <w:rsid w:val="00E3553D"/>
    <w:rsid w:val="00E36B95"/>
    <w:rsid w:val="00E370EA"/>
    <w:rsid w:val="00E37537"/>
    <w:rsid w:val="00E37876"/>
    <w:rsid w:val="00E37DC6"/>
    <w:rsid w:val="00E37ED0"/>
    <w:rsid w:val="00E4003F"/>
    <w:rsid w:val="00E4131B"/>
    <w:rsid w:val="00E41D36"/>
    <w:rsid w:val="00E431CD"/>
    <w:rsid w:val="00E43AC7"/>
    <w:rsid w:val="00E44BCA"/>
    <w:rsid w:val="00E458F6"/>
    <w:rsid w:val="00E45954"/>
    <w:rsid w:val="00E503F5"/>
    <w:rsid w:val="00E51A0F"/>
    <w:rsid w:val="00E54D64"/>
    <w:rsid w:val="00E55413"/>
    <w:rsid w:val="00E57AE0"/>
    <w:rsid w:val="00E608C1"/>
    <w:rsid w:val="00E60972"/>
    <w:rsid w:val="00E60B4F"/>
    <w:rsid w:val="00E60EE8"/>
    <w:rsid w:val="00E62DD1"/>
    <w:rsid w:val="00E635D4"/>
    <w:rsid w:val="00E64663"/>
    <w:rsid w:val="00E65AAB"/>
    <w:rsid w:val="00E66948"/>
    <w:rsid w:val="00E67162"/>
    <w:rsid w:val="00E713B2"/>
    <w:rsid w:val="00E72F32"/>
    <w:rsid w:val="00E73105"/>
    <w:rsid w:val="00E73657"/>
    <w:rsid w:val="00E74CE8"/>
    <w:rsid w:val="00E74D40"/>
    <w:rsid w:val="00E76897"/>
    <w:rsid w:val="00E76FE6"/>
    <w:rsid w:val="00E773DD"/>
    <w:rsid w:val="00E8024B"/>
    <w:rsid w:val="00E80D7A"/>
    <w:rsid w:val="00E82384"/>
    <w:rsid w:val="00E82CB8"/>
    <w:rsid w:val="00E83107"/>
    <w:rsid w:val="00E83973"/>
    <w:rsid w:val="00E8451E"/>
    <w:rsid w:val="00E84C77"/>
    <w:rsid w:val="00E85614"/>
    <w:rsid w:val="00E8672F"/>
    <w:rsid w:val="00E86F5D"/>
    <w:rsid w:val="00E900EA"/>
    <w:rsid w:val="00E90131"/>
    <w:rsid w:val="00E90792"/>
    <w:rsid w:val="00E90C58"/>
    <w:rsid w:val="00E914A2"/>
    <w:rsid w:val="00E923CA"/>
    <w:rsid w:val="00E927C5"/>
    <w:rsid w:val="00E929A9"/>
    <w:rsid w:val="00E93429"/>
    <w:rsid w:val="00E9371E"/>
    <w:rsid w:val="00E952DF"/>
    <w:rsid w:val="00E95497"/>
    <w:rsid w:val="00E9775B"/>
    <w:rsid w:val="00EA44D9"/>
    <w:rsid w:val="00EA6DE6"/>
    <w:rsid w:val="00EA7D40"/>
    <w:rsid w:val="00EB07F2"/>
    <w:rsid w:val="00EB09D0"/>
    <w:rsid w:val="00EB1F0A"/>
    <w:rsid w:val="00EB209D"/>
    <w:rsid w:val="00EB4C9F"/>
    <w:rsid w:val="00EB583C"/>
    <w:rsid w:val="00EB593F"/>
    <w:rsid w:val="00EB61BB"/>
    <w:rsid w:val="00EB65D1"/>
    <w:rsid w:val="00EB6A76"/>
    <w:rsid w:val="00EC00D7"/>
    <w:rsid w:val="00EC02EC"/>
    <w:rsid w:val="00EC0923"/>
    <w:rsid w:val="00EC093D"/>
    <w:rsid w:val="00EC0AE7"/>
    <w:rsid w:val="00EC12BA"/>
    <w:rsid w:val="00EC1F3A"/>
    <w:rsid w:val="00EC4964"/>
    <w:rsid w:val="00EC49E8"/>
    <w:rsid w:val="00EC4B73"/>
    <w:rsid w:val="00EC5177"/>
    <w:rsid w:val="00EC66C9"/>
    <w:rsid w:val="00EC6827"/>
    <w:rsid w:val="00EC70EE"/>
    <w:rsid w:val="00EC7927"/>
    <w:rsid w:val="00ED0624"/>
    <w:rsid w:val="00ED1310"/>
    <w:rsid w:val="00ED22E0"/>
    <w:rsid w:val="00ED2484"/>
    <w:rsid w:val="00ED2CD6"/>
    <w:rsid w:val="00ED484D"/>
    <w:rsid w:val="00ED57F6"/>
    <w:rsid w:val="00ED7DF4"/>
    <w:rsid w:val="00ED7E7F"/>
    <w:rsid w:val="00EE07CA"/>
    <w:rsid w:val="00EE3D89"/>
    <w:rsid w:val="00EE4605"/>
    <w:rsid w:val="00EE5FB0"/>
    <w:rsid w:val="00EE609D"/>
    <w:rsid w:val="00EE6B76"/>
    <w:rsid w:val="00EE7443"/>
    <w:rsid w:val="00EF0839"/>
    <w:rsid w:val="00EF1236"/>
    <w:rsid w:val="00EF3D70"/>
    <w:rsid w:val="00EF4A2A"/>
    <w:rsid w:val="00EF4F85"/>
    <w:rsid w:val="00EF5933"/>
    <w:rsid w:val="00F0057A"/>
    <w:rsid w:val="00F01088"/>
    <w:rsid w:val="00F013D6"/>
    <w:rsid w:val="00F03F55"/>
    <w:rsid w:val="00F05F9A"/>
    <w:rsid w:val="00F062B8"/>
    <w:rsid w:val="00F0772A"/>
    <w:rsid w:val="00F07A68"/>
    <w:rsid w:val="00F07DA0"/>
    <w:rsid w:val="00F10670"/>
    <w:rsid w:val="00F125F1"/>
    <w:rsid w:val="00F12C54"/>
    <w:rsid w:val="00F14C6D"/>
    <w:rsid w:val="00F20CF2"/>
    <w:rsid w:val="00F213BC"/>
    <w:rsid w:val="00F24A03"/>
    <w:rsid w:val="00F25761"/>
    <w:rsid w:val="00F2581D"/>
    <w:rsid w:val="00F27022"/>
    <w:rsid w:val="00F277E7"/>
    <w:rsid w:val="00F27D2A"/>
    <w:rsid w:val="00F300A2"/>
    <w:rsid w:val="00F307B4"/>
    <w:rsid w:val="00F30909"/>
    <w:rsid w:val="00F30F2D"/>
    <w:rsid w:val="00F31215"/>
    <w:rsid w:val="00F31450"/>
    <w:rsid w:val="00F31920"/>
    <w:rsid w:val="00F31CBB"/>
    <w:rsid w:val="00F337CF"/>
    <w:rsid w:val="00F35B50"/>
    <w:rsid w:val="00F36526"/>
    <w:rsid w:val="00F377F1"/>
    <w:rsid w:val="00F37A0F"/>
    <w:rsid w:val="00F42880"/>
    <w:rsid w:val="00F42F23"/>
    <w:rsid w:val="00F4715C"/>
    <w:rsid w:val="00F529A3"/>
    <w:rsid w:val="00F53CD2"/>
    <w:rsid w:val="00F54680"/>
    <w:rsid w:val="00F54687"/>
    <w:rsid w:val="00F5597E"/>
    <w:rsid w:val="00F561AD"/>
    <w:rsid w:val="00F571C4"/>
    <w:rsid w:val="00F57A03"/>
    <w:rsid w:val="00F60624"/>
    <w:rsid w:val="00F62D7B"/>
    <w:rsid w:val="00F6313B"/>
    <w:rsid w:val="00F6322D"/>
    <w:rsid w:val="00F6442D"/>
    <w:rsid w:val="00F65C42"/>
    <w:rsid w:val="00F66C2C"/>
    <w:rsid w:val="00F67986"/>
    <w:rsid w:val="00F701CA"/>
    <w:rsid w:val="00F704E4"/>
    <w:rsid w:val="00F70B7D"/>
    <w:rsid w:val="00F70BA4"/>
    <w:rsid w:val="00F7149C"/>
    <w:rsid w:val="00F72837"/>
    <w:rsid w:val="00F75788"/>
    <w:rsid w:val="00F766D3"/>
    <w:rsid w:val="00F7745C"/>
    <w:rsid w:val="00F802A2"/>
    <w:rsid w:val="00F80EDA"/>
    <w:rsid w:val="00F81BF8"/>
    <w:rsid w:val="00F83F73"/>
    <w:rsid w:val="00F84257"/>
    <w:rsid w:val="00F8450D"/>
    <w:rsid w:val="00F866A8"/>
    <w:rsid w:val="00F86EC4"/>
    <w:rsid w:val="00F87B03"/>
    <w:rsid w:val="00F900D8"/>
    <w:rsid w:val="00F918FC"/>
    <w:rsid w:val="00F91ED5"/>
    <w:rsid w:val="00F91F55"/>
    <w:rsid w:val="00F9268A"/>
    <w:rsid w:val="00F9298B"/>
    <w:rsid w:val="00F9429D"/>
    <w:rsid w:val="00F94784"/>
    <w:rsid w:val="00F96939"/>
    <w:rsid w:val="00F971FA"/>
    <w:rsid w:val="00F978D1"/>
    <w:rsid w:val="00FA0B00"/>
    <w:rsid w:val="00FA204D"/>
    <w:rsid w:val="00FA2E40"/>
    <w:rsid w:val="00FA4916"/>
    <w:rsid w:val="00FA636C"/>
    <w:rsid w:val="00FA6AB1"/>
    <w:rsid w:val="00FA78C6"/>
    <w:rsid w:val="00FB008B"/>
    <w:rsid w:val="00FB0E02"/>
    <w:rsid w:val="00FB1F5F"/>
    <w:rsid w:val="00FB2D17"/>
    <w:rsid w:val="00FB44F1"/>
    <w:rsid w:val="00FC1015"/>
    <w:rsid w:val="00FC1673"/>
    <w:rsid w:val="00FC3A90"/>
    <w:rsid w:val="00FC3DA9"/>
    <w:rsid w:val="00FC45A7"/>
    <w:rsid w:val="00FC4AE2"/>
    <w:rsid w:val="00FC4C9A"/>
    <w:rsid w:val="00FC5B79"/>
    <w:rsid w:val="00FC6AF8"/>
    <w:rsid w:val="00FC7305"/>
    <w:rsid w:val="00FC7B22"/>
    <w:rsid w:val="00FC7BFA"/>
    <w:rsid w:val="00FD01B5"/>
    <w:rsid w:val="00FD0A96"/>
    <w:rsid w:val="00FD0FF6"/>
    <w:rsid w:val="00FD1423"/>
    <w:rsid w:val="00FD351F"/>
    <w:rsid w:val="00FD3627"/>
    <w:rsid w:val="00FD4F3F"/>
    <w:rsid w:val="00FD71E5"/>
    <w:rsid w:val="00FD7D8F"/>
    <w:rsid w:val="00FE27C9"/>
    <w:rsid w:val="00FE2AD3"/>
    <w:rsid w:val="00FE3F97"/>
    <w:rsid w:val="00FE4A14"/>
    <w:rsid w:val="00FE6071"/>
    <w:rsid w:val="00FE608E"/>
    <w:rsid w:val="00FF1D4A"/>
    <w:rsid w:val="00FF2281"/>
    <w:rsid w:val="00FF3586"/>
    <w:rsid w:val="00FF3D2B"/>
    <w:rsid w:val="00FF5BE5"/>
    <w:rsid w:val="00FF5E7B"/>
    <w:rsid w:val="00FF6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00AB9A9"/>
  <w15:docId w15:val="{3BB44EFF-4D2B-4FA2-9AA7-B953769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SubmissionNormal"/>
    <w:link w:val="BodyTextChar"/>
    <w:uiPriority w:val="1"/>
    <w:qFormat/>
    <w:locked/>
    <w:rsid w:val="00A7118B"/>
    <w:rPr>
      <w:lang w:val="en-NZ" w:eastAsia="en-US"/>
    </w:r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Char,Footnote Text Char Char,Footnote Text Char Char Char Char,Footnote Text Char,Footnote Text Char1 Char,Footnote Text Char1 Char Char Char,Footnote Text Char2 Char Char Char Char Char,Char Char Ch"/>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aliases w:val="Footnote Text Char1,Footnote Text Char Char Char,Footnote Text Char Char Char Char Char,Footnote Text Char Char1,Footnote Text Char1 Char Char,Footnote Text Char1 Char Char Char Char,Footnote Text Char2 Char Char Char Char Char Char"/>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tabs>
        <w:tab w:val="num" w:pos="720"/>
      </w:tabs>
      <w:ind w:left="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Bullet point,Bullets,NAST Quote,CV text,Table text,F5 List Paragraph,Dot pt,List Paragraph111,Medium Grid 1 - Accent 21,Numbered Paragraph,List Paragraph2,FooterText,列"/>
    <w:basedOn w:val="SubmissionNormal"/>
    <w:link w:val="ListParagraphChar"/>
    <w:uiPriority w:val="34"/>
    <w:qFormat/>
    <w:rsid w:val="005A6CF3"/>
    <w:pPr>
      <w:numPr>
        <w:numId w:val="17"/>
      </w:numPr>
      <w:tabs>
        <w:tab w:val="num" w:pos="7383"/>
      </w:tabs>
    </w:pPr>
    <w:rPr>
      <w:b/>
    </w:rPr>
  </w:style>
  <w:style w:type="paragraph" w:customStyle="1" w:styleId="TableText10pt">
    <w:name w:val="Table Text 10pt"/>
    <w:basedOn w:val="Normal"/>
    <w:rsid w:val="00531790"/>
    <w:pPr>
      <w:keepLines/>
      <w:widowControl w:val="0"/>
      <w:spacing w:before="0" w:after="0"/>
      <w:jc w:val="center"/>
    </w:pPr>
    <w:rPr>
      <w:rFonts w:eastAsia="Times New Roman" w:cs="Arial"/>
      <w:bCs/>
      <w:color w:val="000000"/>
      <w:sz w:val="20"/>
      <w:szCs w:val="21"/>
    </w:rPr>
  </w:style>
  <w:style w:type="character" w:customStyle="1" w:styleId="A14">
    <w:name w:val="A14"/>
    <w:uiPriority w:val="99"/>
    <w:rsid w:val="00D743B9"/>
    <w:rPr>
      <w:rFonts w:cs="HelveticaNeueLT Pro 55 Roman"/>
      <w:color w:val="000000"/>
      <w:sz w:val="17"/>
      <w:szCs w:val="17"/>
    </w:rPr>
  </w:style>
  <w:style w:type="character" w:customStyle="1" w:styleId="BodyTextChar">
    <w:name w:val="Body Text Char"/>
    <w:basedOn w:val="DefaultParagraphFont"/>
    <w:link w:val="BodyText"/>
    <w:uiPriority w:val="1"/>
    <w:rsid w:val="00A7118B"/>
    <w:rPr>
      <w:rFonts w:ascii="Arial" w:hAnsi="Arial"/>
      <w:sz w:val="24"/>
      <w:szCs w:val="24"/>
      <w:lang w:val="en-NZ" w:eastAsia="en-US"/>
    </w:rPr>
  </w:style>
  <w:style w:type="paragraph" w:customStyle="1" w:styleId="Default">
    <w:name w:val="Default"/>
    <w:rsid w:val="009479D0"/>
    <w:pPr>
      <w:autoSpaceDE w:val="0"/>
      <w:autoSpaceDN w:val="0"/>
      <w:adjustRightInd w:val="0"/>
    </w:pPr>
    <w:rPr>
      <w:rFonts w:ascii="Helvetica Neue" w:hAnsi="Helvetica Neue" w:cs="Helvetica Neue"/>
      <w:color w:val="000000"/>
      <w:sz w:val="24"/>
      <w:szCs w:val="24"/>
    </w:rPr>
  </w:style>
  <w:style w:type="character" w:customStyle="1" w:styleId="apple-converted-space">
    <w:name w:val="apple-converted-space"/>
    <w:basedOn w:val="DefaultParagraphFont"/>
    <w:rsid w:val="009D4E66"/>
  </w:style>
  <w:style w:type="character" w:styleId="CommentReference">
    <w:name w:val="annotation reference"/>
    <w:basedOn w:val="DefaultParagraphFont"/>
    <w:locked/>
    <w:rsid w:val="00941EBF"/>
    <w:rPr>
      <w:sz w:val="16"/>
      <w:szCs w:val="16"/>
    </w:rPr>
  </w:style>
  <w:style w:type="character" w:customStyle="1" w:styleId="ListParagraphChar">
    <w:name w:val="List Paragraph Char"/>
    <w:aliases w:val="Recommendation Char,List Paragraph1 Char,List Paragraph11 Char,L Char,EOT List Paragraph Char,Bullet point Char,Bullets Char,NAST Quote Char,CV text Char,Table text Char,F5 List Paragraph Char,Dot pt Char,List Paragraph111 Char"/>
    <w:link w:val="ListParagraph"/>
    <w:uiPriority w:val="34"/>
    <w:locked/>
    <w:rsid w:val="005A6CF3"/>
    <w:rPr>
      <w:rFonts w:ascii="Arial" w:hAnsi="Arial"/>
      <w:b/>
      <w:sz w:val="24"/>
      <w:szCs w:val="24"/>
    </w:rPr>
  </w:style>
  <w:style w:type="paragraph" w:styleId="TOC5">
    <w:name w:val="toc 5"/>
    <w:basedOn w:val="Normal"/>
    <w:next w:val="Normal"/>
    <w:autoRedefine/>
    <w:uiPriority w:val="39"/>
    <w:unhideWhenUsed/>
    <w:locked/>
    <w:rsid w:val="0045639E"/>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45639E"/>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45639E"/>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4563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45639E"/>
    <w:pPr>
      <w:spacing w:before="0"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locked/>
    <w:rsid w:val="007D5B74"/>
  </w:style>
  <w:style w:type="character" w:customStyle="1" w:styleId="CommentTextChar">
    <w:name w:val="Comment Text Char"/>
    <w:basedOn w:val="DefaultParagraphFont"/>
    <w:link w:val="CommentText"/>
    <w:rsid w:val="007D5B74"/>
    <w:rPr>
      <w:rFonts w:ascii="Arial" w:eastAsia="MS Mincho" w:hAnsi="Arial"/>
      <w:sz w:val="24"/>
      <w:szCs w:val="24"/>
    </w:rPr>
  </w:style>
  <w:style w:type="paragraph" w:styleId="CommentSubject">
    <w:name w:val="annotation subject"/>
    <w:basedOn w:val="CommentText"/>
    <w:next w:val="CommentText"/>
    <w:link w:val="CommentSubjectChar"/>
    <w:locked/>
    <w:rsid w:val="007D5B74"/>
    <w:rPr>
      <w:b/>
      <w:bCs/>
      <w:sz w:val="20"/>
      <w:szCs w:val="20"/>
    </w:rPr>
  </w:style>
  <w:style w:type="character" w:customStyle="1" w:styleId="CommentSubjectChar">
    <w:name w:val="Comment Subject Char"/>
    <w:basedOn w:val="CommentTextChar"/>
    <w:link w:val="CommentSubject"/>
    <w:rsid w:val="007D5B74"/>
    <w:rPr>
      <w:rFonts w:ascii="Arial" w:eastAsia="MS Mincho" w:hAnsi="Arial"/>
      <w:b/>
      <w:bCs/>
      <w:sz w:val="24"/>
      <w:szCs w:val="24"/>
    </w:rPr>
  </w:style>
  <w:style w:type="character" w:customStyle="1" w:styleId="UnresolvedMention1">
    <w:name w:val="Unresolved Mention1"/>
    <w:basedOn w:val="DefaultParagraphFont"/>
    <w:uiPriority w:val="99"/>
    <w:semiHidden/>
    <w:unhideWhenUsed/>
    <w:rsid w:val="00A1382F"/>
    <w:rPr>
      <w:color w:val="808080"/>
      <w:shd w:val="clear" w:color="auto" w:fill="E6E6E6"/>
    </w:rPr>
  </w:style>
  <w:style w:type="character" w:customStyle="1" w:styleId="UnresolvedMention2">
    <w:name w:val="Unresolved Mention2"/>
    <w:basedOn w:val="DefaultParagraphFont"/>
    <w:uiPriority w:val="99"/>
    <w:semiHidden/>
    <w:unhideWhenUsed/>
    <w:rsid w:val="004E7B5C"/>
    <w:rPr>
      <w:color w:val="808080"/>
      <w:shd w:val="clear" w:color="auto" w:fill="E6E6E6"/>
    </w:rPr>
  </w:style>
  <w:style w:type="character" w:customStyle="1" w:styleId="UnresolvedMention3">
    <w:name w:val="Unresolved Mention3"/>
    <w:basedOn w:val="DefaultParagraphFont"/>
    <w:uiPriority w:val="99"/>
    <w:semiHidden/>
    <w:unhideWhenUsed/>
    <w:rsid w:val="00D53D10"/>
    <w:rPr>
      <w:color w:val="808080"/>
      <w:shd w:val="clear" w:color="auto" w:fill="E6E6E6"/>
    </w:rPr>
  </w:style>
  <w:style w:type="character" w:customStyle="1" w:styleId="UnresolvedMention4">
    <w:name w:val="Unresolved Mention4"/>
    <w:basedOn w:val="DefaultParagraphFont"/>
    <w:uiPriority w:val="99"/>
    <w:semiHidden/>
    <w:unhideWhenUsed/>
    <w:rsid w:val="008D79ED"/>
    <w:rPr>
      <w:color w:val="808080"/>
      <w:shd w:val="clear" w:color="auto" w:fill="E6E6E6"/>
    </w:rPr>
  </w:style>
  <w:style w:type="character" w:customStyle="1" w:styleId="UnresolvedMention5">
    <w:name w:val="Unresolved Mention5"/>
    <w:basedOn w:val="DefaultParagraphFont"/>
    <w:uiPriority w:val="99"/>
    <w:semiHidden/>
    <w:unhideWhenUsed/>
    <w:rsid w:val="00E66948"/>
    <w:rPr>
      <w:color w:val="808080"/>
      <w:shd w:val="clear" w:color="auto" w:fill="E6E6E6"/>
    </w:rPr>
  </w:style>
  <w:style w:type="character" w:customStyle="1" w:styleId="webkit-html-attribute-value">
    <w:name w:val="webkit-html-attribute-value"/>
    <w:basedOn w:val="DefaultParagraphFont"/>
    <w:rsid w:val="00945369"/>
  </w:style>
  <w:style w:type="character" w:customStyle="1" w:styleId="Footnote">
    <w:name w:val="Footnote"/>
    <w:basedOn w:val="FootnoteReference"/>
    <w:rsid w:val="006E7202"/>
    <w:rPr>
      <w:rFonts w:ascii="Arial" w:hAnsi="Arial" w:cs="Times New Roman"/>
      <w:sz w:val="20"/>
      <w:vertAlign w:val="superscript"/>
    </w:rPr>
  </w:style>
  <w:style w:type="numbering" w:customStyle="1" w:styleId="StyleNumbered">
    <w:name w:val="Style Numbered"/>
    <w:rsid w:val="006E7202"/>
    <w:pPr>
      <w:numPr>
        <w:numId w:val="18"/>
      </w:numPr>
    </w:pPr>
  </w:style>
  <w:style w:type="paragraph" w:customStyle="1" w:styleId="Body">
    <w:name w:val="Body"/>
    <w:rsid w:val="00C67AEE"/>
    <w:rPr>
      <w:rFonts w:ascii="Helvetica" w:eastAsia="Arial Unicode MS" w:hAnsi="Arial Unicode MS" w:cs="Arial Unicode MS"/>
      <w:color w:val="000000"/>
      <w:sz w:val="22"/>
      <w:szCs w:val="22"/>
    </w:rPr>
  </w:style>
  <w:style w:type="character" w:customStyle="1" w:styleId="UnresolvedMention">
    <w:name w:val="Unresolved Mention"/>
    <w:basedOn w:val="DefaultParagraphFont"/>
    <w:uiPriority w:val="99"/>
    <w:semiHidden/>
    <w:unhideWhenUsed/>
    <w:rsid w:val="00585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200">
      <w:bodyDiv w:val="1"/>
      <w:marLeft w:val="0"/>
      <w:marRight w:val="0"/>
      <w:marTop w:val="0"/>
      <w:marBottom w:val="0"/>
      <w:divBdr>
        <w:top w:val="none" w:sz="0" w:space="0" w:color="auto"/>
        <w:left w:val="none" w:sz="0" w:space="0" w:color="auto"/>
        <w:bottom w:val="none" w:sz="0" w:space="0" w:color="auto"/>
        <w:right w:val="none" w:sz="0" w:space="0" w:color="auto"/>
      </w:divBdr>
    </w:div>
    <w:div w:id="71128598">
      <w:bodyDiv w:val="1"/>
      <w:marLeft w:val="0"/>
      <w:marRight w:val="0"/>
      <w:marTop w:val="0"/>
      <w:marBottom w:val="0"/>
      <w:divBdr>
        <w:top w:val="none" w:sz="0" w:space="0" w:color="auto"/>
        <w:left w:val="none" w:sz="0" w:space="0" w:color="auto"/>
        <w:bottom w:val="none" w:sz="0" w:space="0" w:color="auto"/>
        <w:right w:val="none" w:sz="0" w:space="0" w:color="auto"/>
      </w:divBdr>
    </w:div>
    <w:div w:id="91173555">
      <w:bodyDiv w:val="1"/>
      <w:marLeft w:val="0"/>
      <w:marRight w:val="0"/>
      <w:marTop w:val="0"/>
      <w:marBottom w:val="0"/>
      <w:divBdr>
        <w:top w:val="none" w:sz="0" w:space="0" w:color="auto"/>
        <w:left w:val="none" w:sz="0" w:space="0" w:color="auto"/>
        <w:bottom w:val="none" w:sz="0" w:space="0" w:color="auto"/>
        <w:right w:val="none" w:sz="0" w:space="0" w:color="auto"/>
      </w:divBdr>
    </w:div>
    <w:div w:id="193006204">
      <w:bodyDiv w:val="1"/>
      <w:marLeft w:val="0"/>
      <w:marRight w:val="0"/>
      <w:marTop w:val="0"/>
      <w:marBottom w:val="0"/>
      <w:divBdr>
        <w:top w:val="none" w:sz="0" w:space="0" w:color="auto"/>
        <w:left w:val="none" w:sz="0" w:space="0" w:color="auto"/>
        <w:bottom w:val="none" w:sz="0" w:space="0" w:color="auto"/>
        <w:right w:val="none" w:sz="0" w:space="0" w:color="auto"/>
      </w:divBdr>
    </w:div>
    <w:div w:id="200093399">
      <w:bodyDiv w:val="1"/>
      <w:marLeft w:val="0"/>
      <w:marRight w:val="0"/>
      <w:marTop w:val="0"/>
      <w:marBottom w:val="0"/>
      <w:divBdr>
        <w:top w:val="none" w:sz="0" w:space="0" w:color="auto"/>
        <w:left w:val="none" w:sz="0" w:space="0" w:color="auto"/>
        <w:bottom w:val="none" w:sz="0" w:space="0" w:color="auto"/>
        <w:right w:val="none" w:sz="0" w:space="0" w:color="auto"/>
      </w:divBdr>
    </w:div>
    <w:div w:id="205220307">
      <w:bodyDiv w:val="1"/>
      <w:marLeft w:val="0"/>
      <w:marRight w:val="0"/>
      <w:marTop w:val="0"/>
      <w:marBottom w:val="0"/>
      <w:divBdr>
        <w:top w:val="none" w:sz="0" w:space="0" w:color="auto"/>
        <w:left w:val="none" w:sz="0" w:space="0" w:color="auto"/>
        <w:bottom w:val="none" w:sz="0" w:space="0" w:color="auto"/>
        <w:right w:val="none" w:sz="0" w:space="0" w:color="auto"/>
      </w:divBdr>
    </w:div>
    <w:div w:id="237179589">
      <w:bodyDiv w:val="1"/>
      <w:marLeft w:val="0"/>
      <w:marRight w:val="0"/>
      <w:marTop w:val="0"/>
      <w:marBottom w:val="0"/>
      <w:divBdr>
        <w:top w:val="none" w:sz="0" w:space="0" w:color="auto"/>
        <w:left w:val="none" w:sz="0" w:space="0" w:color="auto"/>
        <w:bottom w:val="none" w:sz="0" w:space="0" w:color="auto"/>
        <w:right w:val="none" w:sz="0" w:space="0" w:color="auto"/>
      </w:divBdr>
    </w:div>
    <w:div w:id="240336522">
      <w:bodyDiv w:val="1"/>
      <w:marLeft w:val="0"/>
      <w:marRight w:val="0"/>
      <w:marTop w:val="0"/>
      <w:marBottom w:val="0"/>
      <w:divBdr>
        <w:top w:val="none" w:sz="0" w:space="0" w:color="auto"/>
        <w:left w:val="none" w:sz="0" w:space="0" w:color="auto"/>
        <w:bottom w:val="none" w:sz="0" w:space="0" w:color="auto"/>
        <w:right w:val="none" w:sz="0" w:space="0" w:color="auto"/>
      </w:divBdr>
    </w:div>
    <w:div w:id="250548527">
      <w:bodyDiv w:val="1"/>
      <w:marLeft w:val="0"/>
      <w:marRight w:val="0"/>
      <w:marTop w:val="0"/>
      <w:marBottom w:val="0"/>
      <w:divBdr>
        <w:top w:val="none" w:sz="0" w:space="0" w:color="auto"/>
        <w:left w:val="none" w:sz="0" w:space="0" w:color="auto"/>
        <w:bottom w:val="none" w:sz="0" w:space="0" w:color="auto"/>
        <w:right w:val="none" w:sz="0" w:space="0" w:color="auto"/>
      </w:divBdr>
    </w:div>
    <w:div w:id="287516912">
      <w:bodyDiv w:val="1"/>
      <w:marLeft w:val="0"/>
      <w:marRight w:val="0"/>
      <w:marTop w:val="0"/>
      <w:marBottom w:val="0"/>
      <w:divBdr>
        <w:top w:val="none" w:sz="0" w:space="0" w:color="auto"/>
        <w:left w:val="none" w:sz="0" w:space="0" w:color="auto"/>
        <w:bottom w:val="none" w:sz="0" w:space="0" w:color="auto"/>
        <w:right w:val="none" w:sz="0" w:space="0" w:color="auto"/>
      </w:divBdr>
    </w:div>
    <w:div w:id="339896421">
      <w:bodyDiv w:val="1"/>
      <w:marLeft w:val="0"/>
      <w:marRight w:val="0"/>
      <w:marTop w:val="0"/>
      <w:marBottom w:val="0"/>
      <w:divBdr>
        <w:top w:val="none" w:sz="0" w:space="0" w:color="auto"/>
        <w:left w:val="none" w:sz="0" w:space="0" w:color="auto"/>
        <w:bottom w:val="none" w:sz="0" w:space="0" w:color="auto"/>
        <w:right w:val="none" w:sz="0" w:space="0" w:color="auto"/>
      </w:divBdr>
    </w:div>
    <w:div w:id="402409555">
      <w:bodyDiv w:val="1"/>
      <w:marLeft w:val="0"/>
      <w:marRight w:val="0"/>
      <w:marTop w:val="0"/>
      <w:marBottom w:val="0"/>
      <w:divBdr>
        <w:top w:val="none" w:sz="0" w:space="0" w:color="auto"/>
        <w:left w:val="none" w:sz="0" w:space="0" w:color="auto"/>
        <w:bottom w:val="none" w:sz="0" w:space="0" w:color="auto"/>
        <w:right w:val="none" w:sz="0" w:space="0" w:color="auto"/>
      </w:divBdr>
    </w:div>
    <w:div w:id="403263875">
      <w:bodyDiv w:val="1"/>
      <w:marLeft w:val="0"/>
      <w:marRight w:val="0"/>
      <w:marTop w:val="0"/>
      <w:marBottom w:val="0"/>
      <w:divBdr>
        <w:top w:val="none" w:sz="0" w:space="0" w:color="auto"/>
        <w:left w:val="none" w:sz="0" w:space="0" w:color="auto"/>
        <w:bottom w:val="none" w:sz="0" w:space="0" w:color="auto"/>
        <w:right w:val="none" w:sz="0" w:space="0" w:color="auto"/>
      </w:divBdr>
    </w:div>
    <w:div w:id="414399539">
      <w:bodyDiv w:val="1"/>
      <w:marLeft w:val="0"/>
      <w:marRight w:val="0"/>
      <w:marTop w:val="0"/>
      <w:marBottom w:val="0"/>
      <w:divBdr>
        <w:top w:val="none" w:sz="0" w:space="0" w:color="auto"/>
        <w:left w:val="none" w:sz="0" w:space="0" w:color="auto"/>
        <w:bottom w:val="none" w:sz="0" w:space="0" w:color="auto"/>
        <w:right w:val="none" w:sz="0" w:space="0" w:color="auto"/>
      </w:divBdr>
    </w:div>
    <w:div w:id="464006173">
      <w:bodyDiv w:val="1"/>
      <w:marLeft w:val="0"/>
      <w:marRight w:val="0"/>
      <w:marTop w:val="0"/>
      <w:marBottom w:val="0"/>
      <w:divBdr>
        <w:top w:val="none" w:sz="0" w:space="0" w:color="auto"/>
        <w:left w:val="none" w:sz="0" w:space="0" w:color="auto"/>
        <w:bottom w:val="none" w:sz="0" w:space="0" w:color="auto"/>
        <w:right w:val="none" w:sz="0" w:space="0" w:color="auto"/>
      </w:divBdr>
    </w:div>
    <w:div w:id="477040104">
      <w:bodyDiv w:val="1"/>
      <w:marLeft w:val="0"/>
      <w:marRight w:val="0"/>
      <w:marTop w:val="0"/>
      <w:marBottom w:val="0"/>
      <w:divBdr>
        <w:top w:val="none" w:sz="0" w:space="0" w:color="auto"/>
        <w:left w:val="none" w:sz="0" w:space="0" w:color="auto"/>
        <w:bottom w:val="none" w:sz="0" w:space="0" w:color="auto"/>
        <w:right w:val="none" w:sz="0" w:space="0" w:color="auto"/>
      </w:divBdr>
    </w:div>
    <w:div w:id="652292204">
      <w:bodyDiv w:val="1"/>
      <w:marLeft w:val="0"/>
      <w:marRight w:val="0"/>
      <w:marTop w:val="0"/>
      <w:marBottom w:val="0"/>
      <w:divBdr>
        <w:top w:val="none" w:sz="0" w:space="0" w:color="auto"/>
        <w:left w:val="none" w:sz="0" w:space="0" w:color="auto"/>
        <w:bottom w:val="none" w:sz="0" w:space="0" w:color="auto"/>
        <w:right w:val="none" w:sz="0" w:space="0" w:color="auto"/>
      </w:divBdr>
    </w:div>
    <w:div w:id="652755032">
      <w:bodyDiv w:val="1"/>
      <w:marLeft w:val="0"/>
      <w:marRight w:val="0"/>
      <w:marTop w:val="0"/>
      <w:marBottom w:val="0"/>
      <w:divBdr>
        <w:top w:val="none" w:sz="0" w:space="0" w:color="auto"/>
        <w:left w:val="none" w:sz="0" w:space="0" w:color="auto"/>
        <w:bottom w:val="none" w:sz="0" w:space="0" w:color="auto"/>
        <w:right w:val="none" w:sz="0" w:space="0" w:color="auto"/>
      </w:divBdr>
    </w:div>
    <w:div w:id="68355932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7944942">
      <w:bodyDiv w:val="1"/>
      <w:marLeft w:val="0"/>
      <w:marRight w:val="0"/>
      <w:marTop w:val="0"/>
      <w:marBottom w:val="0"/>
      <w:divBdr>
        <w:top w:val="none" w:sz="0" w:space="0" w:color="auto"/>
        <w:left w:val="none" w:sz="0" w:space="0" w:color="auto"/>
        <w:bottom w:val="none" w:sz="0" w:space="0" w:color="auto"/>
        <w:right w:val="none" w:sz="0" w:space="0" w:color="auto"/>
      </w:divBdr>
    </w:div>
    <w:div w:id="766534309">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2529740">
      <w:bodyDiv w:val="1"/>
      <w:marLeft w:val="0"/>
      <w:marRight w:val="0"/>
      <w:marTop w:val="0"/>
      <w:marBottom w:val="0"/>
      <w:divBdr>
        <w:top w:val="none" w:sz="0" w:space="0" w:color="auto"/>
        <w:left w:val="none" w:sz="0" w:space="0" w:color="auto"/>
        <w:bottom w:val="none" w:sz="0" w:space="0" w:color="auto"/>
        <w:right w:val="none" w:sz="0" w:space="0" w:color="auto"/>
      </w:divBdr>
    </w:div>
    <w:div w:id="787506543">
      <w:bodyDiv w:val="1"/>
      <w:marLeft w:val="0"/>
      <w:marRight w:val="0"/>
      <w:marTop w:val="0"/>
      <w:marBottom w:val="0"/>
      <w:divBdr>
        <w:top w:val="none" w:sz="0" w:space="0" w:color="auto"/>
        <w:left w:val="none" w:sz="0" w:space="0" w:color="auto"/>
        <w:bottom w:val="none" w:sz="0" w:space="0" w:color="auto"/>
        <w:right w:val="none" w:sz="0" w:space="0" w:color="auto"/>
      </w:divBdr>
    </w:div>
    <w:div w:id="945774383">
      <w:bodyDiv w:val="1"/>
      <w:marLeft w:val="0"/>
      <w:marRight w:val="0"/>
      <w:marTop w:val="0"/>
      <w:marBottom w:val="0"/>
      <w:divBdr>
        <w:top w:val="none" w:sz="0" w:space="0" w:color="auto"/>
        <w:left w:val="none" w:sz="0" w:space="0" w:color="auto"/>
        <w:bottom w:val="none" w:sz="0" w:space="0" w:color="auto"/>
        <w:right w:val="none" w:sz="0" w:space="0" w:color="auto"/>
      </w:divBdr>
    </w:div>
    <w:div w:id="960846959">
      <w:bodyDiv w:val="1"/>
      <w:marLeft w:val="0"/>
      <w:marRight w:val="0"/>
      <w:marTop w:val="0"/>
      <w:marBottom w:val="0"/>
      <w:divBdr>
        <w:top w:val="none" w:sz="0" w:space="0" w:color="auto"/>
        <w:left w:val="none" w:sz="0" w:space="0" w:color="auto"/>
        <w:bottom w:val="none" w:sz="0" w:space="0" w:color="auto"/>
        <w:right w:val="none" w:sz="0" w:space="0" w:color="auto"/>
      </w:divBdr>
    </w:div>
    <w:div w:id="966082101">
      <w:bodyDiv w:val="1"/>
      <w:marLeft w:val="0"/>
      <w:marRight w:val="0"/>
      <w:marTop w:val="0"/>
      <w:marBottom w:val="0"/>
      <w:divBdr>
        <w:top w:val="none" w:sz="0" w:space="0" w:color="auto"/>
        <w:left w:val="none" w:sz="0" w:space="0" w:color="auto"/>
        <w:bottom w:val="none" w:sz="0" w:space="0" w:color="auto"/>
        <w:right w:val="none" w:sz="0" w:space="0" w:color="auto"/>
      </w:divBdr>
    </w:div>
    <w:div w:id="975597842">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78724854">
      <w:bodyDiv w:val="1"/>
      <w:marLeft w:val="0"/>
      <w:marRight w:val="0"/>
      <w:marTop w:val="0"/>
      <w:marBottom w:val="0"/>
      <w:divBdr>
        <w:top w:val="none" w:sz="0" w:space="0" w:color="auto"/>
        <w:left w:val="none" w:sz="0" w:space="0" w:color="auto"/>
        <w:bottom w:val="none" w:sz="0" w:space="0" w:color="auto"/>
        <w:right w:val="none" w:sz="0" w:space="0" w:color="auto"/>
      </w:divBdr>
    </w:div>
    <w:div w:id="1041589480">
      <w:bodyDiv w:val="1"/>
      <w:marLeft w:val="0"/>
      <w:marRight w:val="0"/>
      <w:marTop w:val="0"/>
      <w:marBottom w:val="0"/>
      <w:divBdr>
        <w:top w:val="none" w:sz="0" w:space="0" w:color="auto"/>
        <w:left w:val="none" w:sz="0" w:space="0" w:color="auto"/>
        <w:bottom w:val="none" w:sz="0" w:space="0" w:color="auto"/>
        <w:right w:val="none" w:sz="0" w:space="0" w:color="auto"/>
      </w:divBdr>
    </w:div>
    <w:div w:id="1050811380">
      <w:bodyDiv w:val="1"/>
      <w:marLeft w:val="0"/>
      <w:marRight w:val="0"/>
      <w:marTop w:val="0"/>
      <w:marBottom w:val="0"/>
      <w:divBdr>
        <w:top w:val="none" w:sz="0" w:space="0" w:color="auto"/>
        <w:left w:val="none" w:sz="0" w:space="0" w:color="auto"/>
        <w:bottom w:val="none" w:sz="0" w:space="0" w:color="auto"/>
        <w:right w:val="none" w:sz="0" w:space="0" w:color="auto"/>
      </w:divBdr>
    </w:div>
    <w:div w:id="1126125297">
      <w:bodyDiv w:val="1"/>
      <w:marLeft w:val="0"/>
      <w:marRight w:val="0"/>
      <w:marTop w:val="0"/>
      <w:marBottom w:val="0"/>
      <w:divBdr>
        <w:top w:val="none" w:sz="0" w:space="0" w:color="auto"/>
        <w:left w:val="none" w:sz="0" w:space="0" w:color="auto"/>
        <w:bottom w:val="none" w:sz="0" w:space="0" w:color="auto"/>
        <w:right w:val="none" w:sz="0" w:space="0" w:color="auto"/>
      </w:divBdr>
    </w:div>
    <w:div w:id="1134829915">
      <w:bodyDiv w:val="1"/>
      <w:marLeft w:val="0"/>
      <w:marRight w:val="0"/>
      <w:marTop w:val="0"/>
      <w:marBottom w:val="0"/>
      <w:divBdr>
        <w:top w:val="none" w:sz="0" w:space="0" w:color="auto"/>
        <w:left w:val="none" w:sz="0" w:space="0" w:color="auto"/>
        <w:bottom w:val="none" w:sz="0" w:space="0" w:color="auto"/>
        <w:right w:val="none" w:sz="0" w:space="0" w:color="auto"/>
      </w:divBdr>
    </w:div>
    <w:div w:id="1153984404">
      <w:bodyDiv w:val="1"/>
      <w:marLeft w:val="0"/>
      <w:marRight w:val="0"/>
      <w:marTop w:val="0"/>
      <w:marBottom w:val="0"/>
      <w:divBdr>
        <w:top w:val="none" w:sz="0" w:space="0" w:color="auto"/>
        <w:left w:val="none" w:sz="0" w:space="0" w:color="auto"/>
        <w:bottom w:val="none" w:sz="0" w:space="0" w:color="auto"/>
        <w:right w:val="none" w:sz="0" w:space="0" w:color="auto"/>
      </w:divBdr>
    </w:div>
    <w:div w:id="1207985792">
      <w:bodyDiv w:val="1"/>
      <w:marLeft w:val="0"/>
      <w:marRight w:val="0"/>
      <w:marTop w:val="0"/>
      <w:marBottom w:val="0"/>
      <w:divBdr>
        <w:top w:val="none" w:sz="0" w:space="0" w:color="auto"/>
        <w:left w:val="none" w:sz="0" w:space="0" w:color="auto"/>
        <w:bottom w:val="none" w:sz="0" w:space="0" w:color="auto"/>
        <w:right w:val="none" w:sz="0" w:space="0" w:color="auto"/>
      </w:divBdr>
    </w:div>
    <w:div w:id="1213496288">
      <w:bodyDiv w:val="1"/>
      <w:marLeft w:val="0"/>
      <w:marRight w:val="0"/>
      <w:marTop w:val="0"/>
      <w:marBottom w:val="0"/>
      <w:divBdr>
        <w:top w:val="none" w:sz="0" w:space="0" w:color="auto"/>
        <w:left w:val="none" w:sz="0" w:space="0" w:color="auto"/>
        <w:bottom w:val="none" w:sz="0" w:space="0" w:color="auto"/>
        <w:right w:val="none" w:sz="0" w:space="0" w:color="auto"/>
      </w:divBdr>
    </w:div>
    <w:div w:id="1234437803">
      <w:bodyDiv w:val="1"/>
      <w:marLeft w:val="0"/>
      <w:marRight w:val="0"/>
      <w:marTop w:val="0"/>
      <w:marBottom w:val="0"/>
      <w:divBdr>
        <w:top w:val="none" w:sz="0" w:space="0" w:color="auto"/>
        <w:left w:val="none" w:sz="0" w:space="0" w:color="auto"/>
        <w:bottom w:val="none" w:sz="0" w:space="0" w:color="auto"/>
        <w:right w:val="none" w:sz="0" w:space="0" w:color="auto"/>
      </w:divBdr>
    </w:div>
    <w:div w:id="1243685988">
      <w:bodyDiv w:val="1"/>
      <w:marLeft w:val="0"/>
      <w:marRight w:val="0"/>
      <w:marTop w:val="0"/>
      <w:marBottom w:val="0"/>
      <w:divBdr>
        <w:top w:val="none" w:sz="0" w:space="0" w:color="auto"/>
        <w:left w:val="none" w:sz="0" w:space="0" w:color="auto"/>
        <w:bottom w:val="none" w:sz="0" w:space="0" w:color="auto"/>
        <w:right w:val="none" w:sz="0" w:space="0" w:color="auto"/>
      </w:divBdr>
    </w:div>
    <w:div w:id="1252086944">
      <w:bodyDiv w:val="1"/>
      <w:marLeft w:val="0"/>
      <w:marRight w:val="0"/>
      <w:marTop w:val="0"/>
      <w:marBottom w:val="0"/>
      <w:divBdr>
        <w:top w:val="none" w:sz="0" w:space="0" w:color="auto"/>
        <w:left w:val="none" w:sz="0" w:space="0" w:color="auto"/>
        <w:bottom w:val="none" w:sz="0" w:space="0" w:color="auto"/>
        <w:right w:val="none" w:sz="0" w:space="0" w:color="auto"/>
      </w:divBdr>
    </w:div>
    <w:div w:id="1260068140">
      <w:bodyDiv w:val="1"/>
      <w:marLeft w:val="0"/>
      <w:marRight w:val="0"/>
      <w:marTop w:val="0"/>
      <w:marBottom w:val="0"/>
      <w:divBdr>
        <w:top w:val="none" w:sz="0" w:space="0" w:color="auto"/>
        <w:left w:val="none" w:sz="0" w:space="0" w:color="auto"/>
        <w:bottom w:val="none" w:sz="0" w:space="0" w:color="auto"/>
        <w:right w:val="none" w:sz="0" w:space="0" w:color="auto"/>
      </w:divBdr>
    </w:div>
    <w:div w:id="1266772266">
      <w:bodyDiv w:val="1"/>
      <w:marLeft w:val="0"/>
      <w:marRight w:val="0"/>
      <w:marTop w:val="0"/>
      <w:marBottom w:val="0"/>
      <w:divBdr>
        <w:top w:val="none" w:sz="0" w:space="0" w:color="auto"/>
        <w:left w:val="none" w:sz="0" w:space="0" w:color="auto"/>
        <w:bottom w:val="none" w:sz="0" w:space="0" w:color="auto"/>
        <w:right w:val="none" w:sz="0" w:space="0" w:color="auto"/>
      </w:divBdr>
    </w:div>
    <w:div w:id="1297949381">
      <w:bodyDiv w:val="1"/>
      <w:marLeft w:val="0"/>
      <w:marRight w:val="0"/>
      <w:marTop w:val="0"/>
      <w:marBottom w:val="0"/>
      <w:divBdr>
        <w:top w:val="none" w:sz="0" w:space="0" w:color="auto"/>
        <w:left w:val="none" w:sz="0" w:space="0" w:color="auto"/>
        <w:bottom w:val="none" w:sz="0" w:space="0" w:color="auto"/>
        <w:right w:val="none" w:sz="0" w:space="0" w:color="auto"/>
      </w:divBdr>
    </w:div>
    <w:div w:id="1346595213">
      <w:bodyDiv w:val="1"/>
      <w:marLeft w:val="0"/>
      <w:marRight w:val="0"/>
      <w:marTop w:val="0"/>
      <w:marBottom w:val="0"/>
      <w:divBdr>
        <w:top w:val="none" w:sz="0" w:space="0" w:color="auto"/>
        <w:left w:val="none" w:sz="0" w:space="0" w:color="auto"/>
        <w:bottom w:val="none" w:sz="0" w:space="0" w:color="auto"/>
        <w:right w:val="none" w:sz="0" w:space="0" w:color="auto"/>
      </w:divBdr>
    </w:div>
    <w:div w:id="1378621143">
      <w:bodyDiv w:val="1"/>
      <w:marLeft w:val="0"/>
      <w:marRight w:val="0"/>
      <w:marTop w:val="0"/>
      <w:marBottom w:val="0"/>
      <w:divBdr>
        <w:top w:val="none" w:sz="0" w:space="0" w:color="auto"/>
        <w:left w:val="none" w:sz="0" w:space="0" w:color="auto"/>
        <w:bottom w:val="none" w:sz="0" w:space="0" w:color="auto"/>
        <w:right w:val="none" w:sz="0" w:space="0" w:color="auto"/>
      </w:divBdr>
    </w:div>
    <w:div w:id="1392773320">
      <w:bodyDiv w:val="1"/>
      <w:marLeft w:val="0"/>
      <w:marRight w:val="0"/>
      <w:marTop w:val="0"/>
      <w:marBottom w:val="0"/>
      <w:divBdr>
        <w:top w:val="none" w:sz="0" w:space="0" w:color="auto"/>
        <w:left w:val="none" w:sz="0" w:space="0" w:color="auto"/>
        <w:bottom w:val="none" w:sz="0" w:space="0" w:color="auto"/>
        <w:right w:val="none" w:sz="0" w:space="0" w:color="auto"/>
      </w:divBdr>
      <w:divsChild>
        <w:div w:id="1978950495">
          <w:marLeft w:val="0"/>
          <w:marRight w:val="0"/>
          <w:marTop w:val="0"/>
          <w:marBottom w:val="0"/>
          <w:divBdr>
            <w:top w:val="none" w:sz="0" w:space="0" w:color="auto"/>
            <w:left w:val="none" w:sz="0" w:space="0" w:color="auto"/>
            <w:bottom w:val="none" w:sz="0" w:space="0" w:color="auto"/>
            <w:right w:val="none" w:sz="0" w:space="0" w:color="auto"/>
          </w:divBdr>
          <w:divsChild>
            <w:div w:id="964965239">
              <w:marLeft w:val="0"/>
              <w:marRight w:val="0"/>
              <w:marTop w:val="0"/>
              <w:marBottom w:val="0"/>
              <w:divBdr>
                <w:top w:val="none" w:sz="0" w:space="0" w:color="auto"/>
                <w:left w:val="none" w:sz="0" w:space="0" w:color="auto"/>
                <w:bottom w:val="none" w:sz="0" w:space="0" w:color="auto"/>
                <w:right w:val="none" w:sz="0" w:space="0" w:color="auto"/>
              </w:divBdr>
              <w:divsChild>
                <w:div w:id="948203796">
                  <w:marLeft w:val="0"/>
                  <w:marRight w:val="0"/>
                  <w:marTop w:val="0"/>
                  <w:marBottom w:val="0"/>
                  <w:divBdr>
                    <w:top w:val="none" w:sz="0" w:space="0" w:color="auto"/>
                    <w:left w:val="none" w:sz="0" w:space="0" w:color="auto"/>
                    <w:bottom w:val="none" w:sz="0" w:space="0" w:color="auto"/>
                    <w:right w:val="none" w:sz="0" w:space="0" w:color="auto"/>
                  </w:divBdr>
                  <w:divsChild>
                    <w:div w:id="2105302908">
                      <w:marLeft w:val="0"/>
                      <w:marRight w:val="0"/>
                      <w:marTop w:val="0"/>
                      <w:marBottom w:val="0"/>
                      <w:divBdr>
                        <w:top w:val="none" w:sz="0" w:space="0" w:color="auto"/>
                        <w:left w:val="none" w:sz="0" w:space="0" w:color="auto"/>
                        <w:bottom w:val="none" w:sz="0" w:space="0" w:color="auto"/>
                        <w:right w:val="none" w:sz="0" w:space="0" w:color="auto"/>
                      </w:divBdr>
                      <w:divsChild>
                        <w:div w:id="1622955928">
                          <w:marLeft w:val="0"/>
                          <w:marRight w:val="0"/>
                          <w:marTop w:val="0"/>
                          <w:marBottom w:val="0"/>
                          <w:divBdr>
                            <w:top w:val="none" w:sz="0" w:space="0" w:color="auto"/>
                            <w:left w:val="none" w:sz="0" w:space="0" w:color="auto"/>
                            <w:bottom w:val="none" w:sz="0" w:space="0" w:color="auto"/>
                            <w:right w:val="none" w:sz="0" w:space="0" w:color="auto"/>
                          </w:divBdr>
                          <w:divsChild>
                            <w:div w:id="1142775794">
                              <w:marLeft w:val="0"/>
                              <w:marRight w:val="0"/>
                              <w:marTop w:val="0"/>
                              <w:marBottom w:val="0"/>
                              <w:divBdr>
                                <w:top w:val="none" w:sz="0" w:space="0" w:color="auto"/>
                                <w:left w:val="none" w:sz="0" w:space="0" w:color="auto"/>
                                <w:bottom w:val="none" w:sz="0" w:space="0" w:color="auto"/>
                                <w:right w:val="none" w:sz="0" w:space="0" w:color="auto"/>
                              </w:divBdr>
                              <w:divsChild>
                                <w:div w:id="612781954">
                                  <w:marLeft w:val="0"/>
                                  <w:marRight w:val="0"/>
                                  <w:marTop w:val="0"/>
                                  <w:marBottom w:val="0"/>
                                  <w:divBdr>
                                    <w:top w:val="none" w:sz="0" w:space="0" w:color="auto"/>
                                    <w:left w:val="none" w:sz="0" w:space="0" w:color="auto"/>
                                    <w:bottom w:val="none" w:sz="0" w:space="0" w:color="auto"/>
                                    <w:right w:val="none" w:sz="0" w:space="0" w:color="auto"/>
                                  </w:divBdr>
                                  <w:divsChild>
                                    <w:div w:id="626548944">
                                      <w:marLeft w:val="0"/>
                                      <w:marRight w:val="0"/>
                                      <w:marTop w:val="0"/>
                                      <w:marBottom w:val="0"/>
                                      <w:divBdr>
                                        <w:top w:val="none" w:sz="0" w:space="0" w:color="auto"/>
                                        <w:left w:val="none" w:sz="0" w:space="0" w:color="auto"/>
                                        <w:bottom w:val="none" w:sz="0" w:space="0" w:color="auto"/>
                                        <w:right w:val="none" w:sz="0" w:space="0" w:color="auto"/>
                                      </w:divBdr>
                                      <w:divsChild>
                                        <w:div w:id="1382630649">
                                          <w:marLeft w:val="0"/>
                                          <w:marRight w:val="0"/>
                                          <w:marTop w:val="0"/>
                                          <w:marBottom w:val="0"/>
                                          <w:divBdr>
                                            <w:top w:val="none" w:sz="0" w:space="0" w:color="auto"/>
                                            <w:left w:val="none" w:sz="0" w:space="0" w:color="auto"/>
                                            <w:bottom w:val="none" w:sz="0" w:space="0" w:color="auto"/>
                                            <w:right w:val="none" w:sz="0" w:space="0" w:color="auto"/>
                                          </w:divBdr>
                                          <w:divsChild>
                                            <w:div w:id="1873835679">
                                              <w:marLeft w:val="0"/>
                                              <w:marRight w:val="0"/>
                                              <w:marTop w:val="0"/>
                                              <w:marBottom w:val="0"/>
                                              <w:divBdr>
                                                <w:top w:val="none" w:sz="0" w:space="0" w:color="auto"/>
                                                <w:left w:val="none" w:sz="0" w:space="0" w:color="auto"/>
                                                <w:bottom w:val="none" w:sz="0" w:space="0" w:color="auto"/>
                                                <w:right w:val="none" w:sz="0" w:space="0" w:color="auto"/>
                                              </w:divBdr>
                                              <w:divsChild>
                                                <w:div w:id="734082858">
                                                  <w:marLeft w:val="0"/>
                                                  <w:marRight w:val="0"/>
                                                  <w:marTop w:val="0"/>
                                                  <w:marBottom w:val="0"/>
                                                  <w:divBdr>
                                                    <w:top w:val="none" w:sz="0" w:space="0" w:color="auto"/>
                                                    <w:left w:val="none" w:sz="0" w:space="0" w:color="auto"/>
                                                    <w:bottom w:val="none" w:sz="0" w:space="0" w:color="auto"/>
                                                    <w:right w:val="none" w:sz="0" w:space="0" w:color="auto"/>
                                                  </w:divBdr>
                                                  <w:divsChild>
                                                    <w:div w:id="1180774364">
                                                      <w:marLeft w:val="0"/>
                                                      <w:marRight w:val="0"/>
                                                      <w:marTop w:val="0"/>
                                                      <w:marBottom w:val="0"/>
                                                      <w:divBdr>
                                                        <w:top w:val="none" w:sz="0" w:space="0" w:color="auto"/>
                                                        <w:left w:val="none" w:sz="0" w:space="0" w:color="auto"/>
                                                        <w:bottom w:val="none" w:sz="0" w:space="0" w:color="auto"/>
                                                        <w:right w:val="none" w:sz="0" w:space="0" w:color="auto"/>
                                                      </w:divBdr>
                                                      <w:divsChild>
                                                        <w:div w:id="17467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470834">
      <w:bodyDiv w:val="1"/>
      <w:marLeft w:val="0"/>
      <w:marRight w:val="0"/>
      <w:marTop w:val="0"/>
      <w:marBottom w:val="0"/>
      <w:divBdr>
        <w:top w:val="none" w:sz="0" w:space="0" w:color="auto"/>
        <w:left w:val="none" w:sz="0" w:space="0" w:color="auto"/>
        <w:bottom w:val="none" w:sz="0" w:space="0" w:color="auto"/>
        <w:right w:val="none" w:sz="0" w:space="0" w:color="auto"/>
      </w:divBdr>
    </w:div>
    <w:div w:id="1460881713">
      <w:bodyDiv w:val="1"/>
      <w:marLeft w:val="0"/>
      <w:marRight w:val="0"/>
      <w:marTop w:val="0"/>
      <w:marBottom w:val="0"/>
      <w:divBdr>
        <w:top w:val="none" w:sz="0" w:space="0" w:color="auto"/>
        <w:left w:val="none" w:sz="0" w:space="0" w:color="auto"/>
        <w:bottom w:val="none" w:sz="0" w:space="0" w:color="auto"/>
        <w:right w:val="none" w:sz="0" w:space="0" w:color="auto"/>
      </w:divBdr>
    </w:div>
    <w:div w:id="1465923524">
      <w:bodyDiv w:val="1"/>
      <w:marLeft w:val="0"/>
      <w:marRight w:val="0"/>
      <w:marTop w:val="0"/>
      <w:marBottom w:val="0"/>
      <w:divBdr>
        <w:top w:val="none" w:sz="0" w:space="0" w:color="auto"/>
        <w:left w:val="none" w:sz="0" w:space="0" w:color="auto"/>
        <w:bottom w:val="none" w:sz="0" w:space="0" w:color="auto"/>
        <w:right w:val="none" w:sz="0" w:space="0" w:color="auto"/>
      </w:divBdr>
    </w:div>
    <w:div w:id="1573004257">
      <w:bodyDiv w:val="1"/>
      <w:marLeft w:val="0"/>
      <w:marRight w:val="0"/>
      <w:marTop w:val="0"/>
      <w:marBottom w:val="0"/>
      <w:divBdr>
        <w:top w:val="none" w:sz="0" w:space="0" w:color="auto"/>
        <w:left w:val="none" w:sz="0" w:space="0" w:color="auto"/>
        <w:bottom w:val="none" w:sz="0" w:space="0" w:color="auto"/>
        <w:right w:val="none" w:sz="0" w:space="0" w:color="auto"/>
      </w:divBdr>
      <w:divsChild>
        <w:div w:id="687754932">
          <w:marLeft w:val="0"/>
          <w:marRight w:val="0"/>
          <w:marTop w:val="0"/>
          <w:marBottom w:val="0"/>
          <w:divBdr>
            <w:top w:val="none" w:sz="0" w:space="0" w:color="auto"/>
            <w:left w:val="none" w:sz="0" w:space="0" w:color="auto"/>
            <w:bottom w:val="none" w:sz="0" w:space="0" w:color="auto"/>
            <w:right w:val="none" w:sz="0" w:space="0" w:color="auto"/>
          </w:divBdr>
          <w:divsChild>
            <w:div w:id="853302666">
              <w:marLeft w:val="0"/>
              <w:marRight w:val="0"/>
              <w:marTop w:val="0"/>
              <w:marBottom w:val="0"/>
              <w:divBdr>
                <w:top w:val="none" w:sz="0" w:space="0" w:color="auto"/>
                <w:left w:val="none" w:sz="0" w:space="0" w:color="auto"/>
                <w:bottom w:val="none" w:sz="0" w:space="0" w:color="auto"/>
                <w:right w:val="none" w:sz="0" w:space="0" w:color="auto"/>
              </w:divBdr>
              <w:divsChild>
                <w:div w:id="831410570">
                  <w:marLeft w:val="0"/>
                  <w:marRight w:val="0"/>
                  <w:marTop w:val="0"/>
                  <w:marBottom w:val="0"/>
                  <w:divBdr>
                    <w:top w:val="none" w:sz="0" w:space="0" w:color="auto"/>
                    <w:left w:val="none" w:sz="0" w:space="0" w:color="auto"/>
                    <w:bottom w:val="none" w:sz="0" w:space="0" w:color="auto"/>
                    <w:right w:val="none" w:sz="0" w:space="0" w:color="auto"/>
                  </w:divBdr>
                  <w:divsChild>
                    <w:div w:id="1902213150">
                      <w:marLeft w:val="0"/>
                      <w:marRight w:val="0"/>
                      <w:marTop w:val="0"/>
                      <w:marBottom w:val="0"/>
                      <w:divBdr>
                        <w:top w:val="none" w:sz="0" w:space="0" w:color="auto"/>
                        <w:left w:val="none" w:sz="0" w:space="0" w:color="auto"/>
                        <w:bottom w:val="none" w:sz="0" w:space="0" w:color="auto"/>
                        <w:right w:val="none" w:sz="0" w:space="0" w:color="auto"/>
                      </w:divBdr>
                      <w:divsChild>
                        <w:div w:id="1374842213">
                          <w:marLeft w:val="0"/>
                          <w:marRight w:val="0"/>
                          <w:marTop w:val="0"/>
                          <w:marBottom w:val="0"/>
                          <w:divBdr>
                            <w:top w:val="none" w:sz="0" w:space="0" w:color="auto"/>
                            <w:left w:val="none" w:sz="0" w:space="0" w:color="auto"/>
                            <w:bottom w:val="none" w:sz="0" w:space="0" w:color="auto"/>
                            <w:right w:val="none" w:sz="0" w:space="0" w:color="auto"/>
                          </w:divBdr>
                          <w:divsChild>
                            <w:div w:id="737636365">
                              <w:marLeft w:val="0"/>
                              <w:marRight w:val="0"/>
                              <w:marTop w:val="0"/>
                              <w:marBottom w:val="0"/>
                              <w:divBdr>
                                <w:top w:val="none" w:sz="0" w:space="0" w:color="auto"/>
                                <w:left w:val="none" w:sz="0" w:space="0" w:color="auto"/>
                                <w:bottom w:val="none" w:sz="0" w:space="0" w:color="auto"/>
                                <w:right w:val="none" w:sz="0" w:space="0" w:color="auto"/>
                              </w:divBdr>
                              <w:divsChild>
                                <w:div w:id="1675915773">
                                  <w:marLeft w:val="0"/>
                                  <w:marRight w:val="0"/>
                                  <w:marTop w:val="0"/>
                                  <w:marBottom w:val="0"/>
                                  <w:divBdr>
                                    <w:top w:val="none" w:sz="0" w:space="0" w:color="auto"/>
                                    <w:left w:val="none" w:sz="0" w:space="0" w:color="auto"/>
                                    <w:bottom w:val="none" w:sz="0" w:space="0" w:color="auto"/>
                                    <w:right w:val="none" w:sz="0" w:space="0" w:color="auto"/>
                                  </w:divBdr>
                                  <w:divsChild>
                                    <w:div w:id="419064975">
                                      <w:marLeft w:val="0"/>
                                      <w:marRight w:val="0"/>
                                      <w:marTop w:val="0"/>
                                      <w:marBottom w:val="0"/>
                                      <w:divBdr>
                                        <w:top w:val="none" w:sz="0" w:space="0" w:color="auto"/>
                                        <w:left w:val="none" w:sz="0" w:space="0" w:color="auto"/>
                                        <w:bottom w:val="none" w:sz="0" w:space="0" w:color="auto"/>
                                        <w:right w:val="none" w:sz="0" w:space="0" w:color="auto"/>
                                      </w:divBdr>
                                      <w:divsChild>
                                        <w:div w:id="810560192">
                                          <w:marLeft w:val="0"/>
                                          <w:marRight w:val="0"/>
                                          <w:marTop w:val="0"/>
                                          <w:marBottom w:val="0"/>
                                          <w:divBdr>
                                            <w:top w:val="none" w:sz="0" w:space="0" w:color="auto"/>
                                            <w:left w:val="none" w:sz="0" w:space="0" w:color="auto"/>
                                            <w:bottom w:val="none" w:sz="0" w:space="0" w:color="auto"/>
                                            <w:right w:val="none" w:sz="0" w:space="0" w:color="auto"/>
                                          </w:divBdr>
                                          <w:divsChild>
                                            <w:div w:id="361054517">
                                              <w:marLeft w:val="0"/>
                                              <w:marRight w:val="0"/>
                                              <w:marTop w:val="0"/>
                                              <w:marBottom w:val="0"/>
                                              <w:divBdr>
                                                <w:top w:val="none" w:sz="0" w:space="0" w:color="auto"/>
                                                <w:left w:val="none" w:sz="0" w:space="0" w:color="auto"/>
                                                <w:bottom w:val="none" w:sz="0" w:space="0" w:color="auto"/>
                                                <w:right w:val="none" w:sz="0" w:space="0" w:color="auto"/>
                                              </w:divBdr>
                                              <w:divsChild>
                                                <w:div w:id="640118936">
                                                  <w:marLeft w:val="0"/>
                                                  <w:marRight w:val="0"/>
                                                  <w:marTop w:val="0"/>
                                                  <w:marBottom w:val="0"/>
                                                  <w:divBdr>
                                                    <w:top w:val="none" w:sz="0" w:space="0" w:color="auto"/>
                                                    <w:left w:val="none" w:sz="0" w:space="0" w:color="auto"/>
                                                    <w:bottom w:val="none" w:sz="0" w:space="0" w:color="auto"/>
                                                    <w:right w:val="none" w:sz="0" w:space="0" w:color="auto"/>
                                                  </w:divBdr>
                                                  <w:divsChild>
                                                    <w:div w:id="49034982">
                                                      <w:marLeft w:val="0"/>
                                                      <w:marRight w:val="0"/>
                                                      <w:marTop w:val="0"/>
                                                      <w:marBottom w:val="0"/>
                                                      <w:divBdr>
                                                        <w:top w:val="none" w:sz="0" w:space="0" w:color="auto"/>
                                                        <w:left w:val="none" w:sz="0" w:space="0" w:color="auto"/>
                                                        <w:bottom w:val="none" w:sz="0" w:space="0" w:color="auto"/>
                                                        <w:right w:val="none" w:sz="0" w:space="0" w:color="auto"/>
                                                      </w:divBdr>
                                                      <w:divsChild>
                                                        <w:div w:id="1908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827272">
      <w:bodyDiv w:val="1"/>
      <w:marLeft w:val="0"/>
      <w:marRight w:val="0"/>
      <w:marTop w:val="0"/>
      <w:marBottom w:val="0"/>
      <w:divBdr>
        <w:top w:val="none" w:sz="0" w:space="0" w:color="auto"/>
        <w:left w:val="none" w:sz="0" w:space="0" w:color="auto"/>
        <w:bottom w:val="none" w:sz="0" w:space="0" w:color="auto"/>
        <w:right w:val="none" w:sz="0" w:space="0" w:color="auto"/>
      </w:divBdr>
    </w:div>
    <w:div w:id="1645313019">
      <w:bodyDiv w:val="1"/>
      <w:marLeft w:val="0"/>
      <w:marRight w:val="0"/>
      <w:marTop w:val="0"/>
      <w:marBottom w:val="0"/>
      <w:divBdr>
        <w:top w:val="none" w:sz="0" w:space="0" w:color="auto"/>
        <w:left w:val="none" w:sz="0" w:space="0" w:color="auto"/>
        <w:bottom w:val="none" w:sz="0" w:space="0" w:color="auto"/>
        <w:right w:val="none" w:sz="0" w:space="0" w:color="auto"/>
      </w:divBdr>
    </w:div>
    <w:div w:id="1678117981">
      <w:bodyDiv w:val="1"/>
      <w:marLeft w:val="0"/>
      <w:marRight w:val="0"/>
      <w:marTop w:val="0"/>
      <w:marBottom w:val="0"/>
      <w:divBdr>
        <w:top w:val="none" w:sz="0" w:space="0" w:color="auto"/>
        <w:left w:val="none" w:sz="0" w:space="0" w:color="auto"/>
        <w:bottom w:val="none" w:sz="0" w:space="0" w:color="auto"/>
        <w:right w:val="none" w:sz="0" w:space="0" w:color="auto"/>
      </w:divBdr>
    </w:div>
    <w:div w:id="1698307334">
      <w:bodyDiv w:val="1"/>
      <w:marLeft w:val="0"/>
      <w:marRight w:val="0"/>
      <w:marTop w:val="0"/>
      <w:marBottom w:val="0"/>
      <w:divBdr>
        <w:top w:val="none" w:sz="0" w:space="0" w:color="auto"/>
        <w:left w:val="none" w:sz="0" w:space="0" w:color="auto"/>
        <w:bottom w:val="none" w:sz="0" w:space="0" w:color="auto"/>
        <w:right w:val="none" w:sz="0" w:space="0" w:color="auto"/>
      </w:divBdr>
    </w:div>
    <w:div w:id="1705640361">
      <w:bodyDiv w:val="1"/>
      <w:marLeft w:val="0"/>
      <w:marRight w:val="0"/>
      <w:marTop w:val="0"/>
      <w:marBottom w:val="0"/>
      <w:divBdr>
        <w:top w:val="none" w:sz="0" w:space="0" w:color="auto"/>
        <w:left w:val="none" w:sz="0" w:space="0" w:color="auto"/>
        <w:bottom w:val="none" w:sz="0" w:space="0" w:color="auto"/>
        <w:right w:val="none" w:sz="0" w:space="0" w:color="auto"/>
      </w:divBdr>
    </w:div>
    <w:div w:id="1711759099">
      <w:bodyDiv w:val="1"/>
      <w:marLeft w:val="0"/>
      <w:marRight w:val="0"/>
      <w:marTop w:val="0"/>
      <w:marBottom w:val="0"/>
      <w:divBdr>
        <w:top w:val="none" w:sz="0" w:space="0" w:color="auto"/>
        <w:left w:val="none" w:sz="0" w:space="0" w:color="auto"/>
        <w:bottom w:val="none" w:sz="0" w:space="0" w:color="auto"/>
        <w:right w:val="none" w:sz="0" w:space="0" w:color="auto"/>
      </w:divBdr>
    </w:div>
    <w:div w:id="1836846388">
      <w:bodyDiv w:val="1"/>
      <w:marLeft w:val="0"/>
      <w:marRight w:val="0"/>
      <w:marTop w:val="0"/>
      <w:marBottom w:val="0"/>
      <w:divBdr>
        <w:top w:val="none" w:sz="0" w:space="0" w:color="auto"/>
        <w:left w:val="none" w:sz="0" w:space="0" w:color="auto"/>
        <w:bottom w:val="none" w:sz="0" w:space="0" w:color="auto"/>
        <w:right w:val="none" w:sz="0" w:space="0" w:color="auto"/>
      </w:divBdr>
    </w:div>
    <w:div w:id="1923683685">
      <w:bodyDiv w:val="1"/>
      <w:marLeft w:val="0"/>
      <w:marRight w:val="0"/>
      <w:marTop w:val="0"/>
      <w:marBottom w:val="0"/>
      <w:divBdr>
        <w:top w:val="none" w:sz="0" w:space="0" w:color="auto"/>
        <w:left w:val="none" w:sz="0" w:space="0" w:color="auto"/>
        <w:bottom w:val="none" w:sz="0" w:space="0" w:color="auto"/>
        <w:right w:val="none" w:sz="0" w:space="0" w:color="auto"/>
      </w:divBdr>
    </w:div>
    <w:div w:id="1928735125">
      <w:bodyDiv w:val="1"/>
      <w:marLeft w:val="0"/>
      <w:marRight w:val="0"/>
      <w:marTop w:val="0"/>
      <w:marBottom w:val="0"/>
      <w:divBdr>
        <w:top w:val="none" w:sz="0" w:space="0" w:color="auto"/>
        <w:left w:val="none" w:sz="0" w:space="0" w:color="auto"/>
        <w:bottom w:val="none" w:sz="0" w:space="0" w:color="auto"/>
        <w:right w:val="none" w:sz="0" w:space="0" w:color="auto"/>
      </w:divBdr>
    </w:div>
    <w:div w:id="1979919352">
      <w:bodyDiv w:val="1"/>
      <w:marLeft w:val="0"/>
      <w:marRight w:val="0"/>
      <w:marTop w:val="0"/>
      <w:marBottom w:val="0"/>
      <w:divBdr>
        <w:top w:val="none" w:sz="0" w:space="0" w:color="auto"/>
        <w:left w:val="none" w:sz="0" w:space="0" w:color="auto"/>
        <w:bottom w:val="none" w:sz="0" w:space="0" w:color="auto"/>
        <w:right w:val="none" w:sz="0" w:space="0" w:color="auto"/>
      </w:divBdr>
    </w:div>
    <w:div w:id="1991933689">
      <w:bodyDiv w:val="1"/>
      <w:marLeft w:val="0"/>
      <w:marRight w:val="0"/>
      <w:marTop w:val="0"/>
      <w:marBottom w:val="0"/>
      <w:divBdr>
        <w:top w:val="none" w:sz="0" w:space="0" w:color="auto"/>
        <w:left w:val="none" w:sz="0" w:space="0" w:color="auto"/>
        <w:bottom w:val="none" w:sz="0" w:space="0" w:color="auto"/>
        <w:right w:val="none" w:sz="0" w:space="0" w:color="auto"/>
      </w:divBdr>
    </w:div>
    <w:div w:id="21085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7\CERD%20Submission\17.10.30%20CERD%20Submission%20Draft%2016.docx"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manrights.gov.au"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childdetentionnt.royalcommission.gov.au/about-us/Documents/RCNT-Interim-report.pdf" TargetMode="External"/><Relationship Id="rId21" Type="http://schemas.openxmlformats.org/officeDocument/2006/relationships/hyperlink" Target="http://ap.ohchr.org/documents/dpage_e.aspx?si=A/HRC/35/25/Add.3" TargetMode="External"/><Relationship Id="rId42" Type="http://schemas.openxmlformats.org/officeDocument/2006/relationships/hyperlink" Target="http://scanlonfoundation.org.au/research/surveys" TargetMode="External"/><Relationship Id="rId63" Type="http://schemas.openxmlformats.org/officeDocument/2006/relationships/hyperlink" Target="https://www.screenaustralia.gov.au/fact-finders/reports-and-key-issues/reports-and-discussion-papers/seeing-ourselves" TargetMode="External"/><Relationship Id="rId84" Type="http://schemas.openxmlformats.org/officeDocument/2006/relationships/hyperlink" Target="https://www.pmc.gov.au/sites/default/files/publications/Recognising-Aboriginal-and-Torres-Strait-Islander-Peoples-in-the-constitution-report-of-the-expert-panel_0.pdf" TargetMode="External"/><Relationship Id="rId138" Type="http://schemas.openxmlformats.org/officeDocument/2006/relationships/hyperlink" Target="https://www.humanrights.gov.au/our-work/aboriginal-and-torres-strait-islander-social-justice/publications/close-gap-progress" TargetMode="External"/><Relationship Id="rId159" Type="http://schemas.openxmlformats.org/officeDocument/2006/relationships/hyperlink" Target="http://www.humanrights.gov.au/publications/book-principles-promote-and-protect-human-rights-international-students" TargetMode="External"/><Relationship Id="rId170" Type="http://schemas.openxmlformats.org/officeDocument/2006/relationships/hyperlink" Target="http://www.centralwesterndaily.com.au/story/3509341/orange-church-attacked-by-vandals-police-investigating-arson-and-graffiti/" TargetMode="External"/><Relationship Id="rId191" Type="http://schemas.openxmlformats.org/officeDocument/2006/relationships/hyperlink" Target="https://www.humanrights.gov.au/publications/aushrc-44-mr-toro-martinez-v-commonwealth-australia-department-immigration-and" TargetMode="External"/><Relationship Id="rId205" Type="http://schemas.openxmlformats.org/officeDocument/2006/relationships/hyperlink" Target="http://www.abc.net.au/news/2016-08-30/community-mourns-as-elders-call-for-justice-after-riot/7799942" TargetMode="External"/><Relationship Id="rId226" Type="http://schemas.openxmlformats.org/officeDocument/2006/relationships/hyperlink" Target="http://www.ohchr.org/EN/HRBodies/HRC/RegularSessions/Session35/Documents/A_HRC_35_41_Add_2_EN.docx" TargetMode="External"/><Relationship Id="rId247" Type="http://schemas.openxmlformats.org/officeDocument/2006/relationships/hyperlink" Target="http://www.border.gov.au/about/reports-publications/research-statistics/statistics/live-in-australia/immigration-detention" TargetMode="External"/><Relationship Id="rId107" Type="http://schemas.openxmlformats.org/officeDocument/2006/relationships/hyperlink" Target="http://www.pwd.org.au/about-us/about-pwda.html" TargetMode="External"/><Relationship Id="rId11" Type="http://schemas.openxmlformats.org/officeDocument/2006/relationships/hyperlink" Target="http://tbinternet.ohchr.org/_layouts/treatybodyexternal/Download.aspx?symbolno=CERD%2fC%2fGC%2f32&amp;Lang=en" TargetMode="External"/><Relationship Id="rId32" Type="http://schemas.openxmlformats.org/officeDocument/2006/relationships/hyperlink" Target="https://www.humanrights.gov.au/our-work/race-discrimination/publications/national-anti-racism-strategy-and-racism-it-stops-me" TargetMode="External"/><Relationship Id="rId53" Type="http://schemas.openxmlformats.org/officeDocument/2006/relationships/hyperlink" Target="https://www.pm.gov.au/media/2016-10-10/racial-tolerance-motion-address-parliament" TargetMode="External"/><Relationship Id="rId74" Type="http://schemas.openxmlformats.org/officeDocument/2006/relationships/hyperlink" Target="http://www.health.gov.au/internet/publications/publishing.nsf/Content/oatsih-healthplan-toc~priorities~health-enablers" TargetMode="External"/><Relationship Id="rId128" Type="http://schemas.openxmlformats.org/officeDocument/2006/relationships/hyperlink" Target="http://www.ohchr.org/EN/NewsEvents/Pages/DisplayNews.aspx?NewsID=20689&amp;LangID=E" TargetMode="External"/><Relationship Id="rId149" Type="http://schemas.openxmlformats.org/officeDocument/2006/relationships/hyperlink" Target="https://www.westernsydney.edu.au/__data/assets/pdf_file/0008/988793/12441_text_challenging_racism_WEB.pdf" TargetMode="External"/><Relationship Id="rId5" Type="http://schemas.openxmlformats.org/officeDocument/2006/relationships/hyperlink" Target="http://www.austlii.edu.au/au/journals/MonashULawRw/2015/17.html" TargetMode="External"/><Relationship Id="rId95" Type="http://schemas.openxmlformats.org/officeDocument/2006/relationships/hyperlink" Target="https://www.humanrights.gov.au/our-work/disability-rights/publications/equal-law" TargetMode="External"/><Relationship Id="rId160" Type="http://schemas.openxmlformats.org/officeDocument/2006/relationships/hyperlink" Target="https://www.humanrights.gov.au/our-work/race-discrimination/publications/international-students-human-rights-review-principles-and" TargetMode="External"/><Relationship Id="rId181" Type="http://schemas.openxmlformats.org/officeDocument/2006/relationships/hyperlink" Target="http://www.aph.gov.au/DocumentStore.ashx?id=23c02ad6-1904-478a-adf0-2da8495c28b4&amp;subId=464627" TargetMode="External"/><Relationship Id="rId216" Type="http://schemas.openxmlformats.org/officeDocument/2006/relationships/hyperlink" Target="https://thewest.com.au/news/wa/malcolm-turnbull-will-urge-state-leaders-to-adopt-tough-counter-terrorism-measures-at-special-national-security-summit-ng-b88618145z" TargetMode="External"/><Relationship Id="rId237" Type="http://schemas.openxmlformats.org/officeDocument/2006/relationships/hyperlink" Target="http://www.aph.gov.au/Parliamentary_Business/Committees/Joint/Human_Rights_inquiries/FreedomspeechAustralia/Report" TargetMode="External"/><Relationship Id="rId258" Type="http://schemas.openxmlformats.org/officeDocument/2006/relationships/hyperlink" Target="https://www.hrlc.org.au/news/2017/10/17/government-ignores-advice-of-expert-group-on-business-and-human-rights" TargetMode="External"/><Relationship Id="rId22" Type="http://schemas.openxmlformats.org/officeDocument/2006/relationships/hyperlink" Target="http://ap.ohchr.org/documents/dpage_e.aspx?si=A/HRC/36/46/Add.2" TargetMode="External"/><Relationship Id="rId43" Type="http://schemas.openxmlformats.org/officeDocument/2006/relationships/hyperlink" Target="http://scanlonfoundation.org.au/research/surveys" TargetMode="External"/><Relationship Id="rId64" Type="http://schemas.openxmlformats.org/officeDocument/2006/relationships/hyperlink" Target="https://www.humanrights.gov.au/our-work/race-discrimination/projects/our-own-words-african-australians-review-human-rights-and" TargetMode="External"/><Relationship Id="rId118" Type="http://schemas.openxmlformats.org/officeDocument/2006/relationships/hyperlink" Target="http://www.austlii.edu.au/au/other/IndigLRes/rciadic/national/vol5/5.html" TargetMode="External"/><Relationship Id="rId139" Type="http://schemas.openxmlformats.org/officeDocument/2006/relationships/hyperlink" Target="https://www.pc.gov.au/research/ongoing/overcoming-indigenous-disadvantage/2016/report-documents/oid-2016-chapter9-economic-participation.pdf" TargetMode="External"/><Relationship Id="rId85" Type="http://schemas.openxmlformats.org/officeDocument/2006/relationships/hyperlink" Target="https://www.aph.gov.au/Parliamentary_Business/Committees/Joint/Constitutional_Recognition_of_Aboriginal_and_Torres_Strait_Islander_Peoples/Constitutional_Recognition/Final_Report" TargetMode="External"/><Relationship Id="rId150" Type="http://schemas.openxmlformats.org/officeDocument/2006/relationships/hyperlink" Target="https://www.facebook.com/islamophobiaregisteraustralia/posts/812147742241503" TargetMode="External"/><Relationship Id="rId171" Type="http://schemas.openxmlformats.org/officeDocument/2006/relationships/hyperlink" Target="http://www.smh.com.au/national/muslims-on-what-its-like-to-live-in-australia-20160429-goi953.html" TargetMode="External"/><Relationship Id="rId192" Type="http://schemas.openxmlformats.org/officeDocument/2006/relationships/hyperlink" Target="https://www.humanrights.gov.au/publications/aushrc-45-mr-al-jenabi-v-commonwealth-australia-department-immigration-and-citizenship" TargetMode="External"/><Relationship Id="rId206" Type="http://schemas.openxmlformats.org/officeDocument/2006/relationships/hyperlink" Target="http://www.abc.net.au/news/2016-08-30/protesters-arrested-in-kalgoorlie-riot-after-teens-death/7797804" TargetMode="External"/><Relationship Id="rId227" Type="http://schemas.openxmlformats.org/officeDocument/2006/relationships/hyperlink" Target="http://www.scribd.com/document/292853385/Anti-Muslim-Hate-Online-Interim-Report" TargetMode="External"/><Relationship Id="rId248" Type="http://schemas.openxmlformats.org/officeDocument/2006/relationships/hyperlink" Target="http://parlinfo.aph.gov.au/parlInfo/download/media/pressrel/3165273/upload_binary/3165273.pdf" TargetMode="External"/><Relationship Id="rId12" Type="http://schemas.openxmlformats.org/officeDocument/2006/relationships/hyperlink" Target="http://tbinternet.ohchr.org/_layouts/treatybodyexternal/Download.aspx?symbolno=CERD%2fC%2fGC%2f32&amp;Lang=en" TargetMode="External"/><Relationship Id="rId33" Type="http://schemas.openxmlformats.org/officeDocument/2006/relationships/hyperlink" Target="https://itstopswithme.humanrights.gov.au/" TargetMode="External"/><Relationship Id="rId108" Type="http://schemas.openxmlformats.org/officeDocument/2006/relationships/hyperlink" Target="https://www.alrc.gov.au/inquiries/indigenous-incarceration" TargetMode="External"/><Relationship Id="rId129" Type="http://schemas.openxmlformats.org/officeDocument/2006/relationships/hyperlink" Target="https://www.dpmc.gov.au/sites/default/files/files/COAG_Investigation_into_Indigenous_Land_Administration_and_Use.pdf" TargetMode="External"/><Relationship Id="rId54" Type="http://schemas.openxmlformats.org/officeDocument/2006/relationships/hyperlink" Target="http://www.aph.gov.au/Parliamentary_Business/Committees/Senate/Strengthening_Multiculturalism/Multiculturalism/Final_report" TargetMode="External"/><Relationship Id="rId75" Type="http://schemas.openxmlformats.org/officeDocument/2006/relationships/hyperlink" Target="https://humanrightscommission.vic.gov.au/our-resources-and-publications/reports/item/1391-systemic-racism-as-a-factor-in-the-over-representation-of-aboriginal-people-in-the-victorian-criminal-justice-system-sep-2005" TargetMode="External"/><Relationship Id="rId96" Type="http://schemas.openxmlformats.org/officeDocument/2006/relationships/hyperlink" Target="https://www.mhdcd.unsw.edu.au/a-predictable-and-preventable-path-iamhdcd-report.html" TargetMode="External"/><Relationship Id="rId140" Type="http://schemas.openxmlformats.org/officeDocument/2006/relationships/hyperlink" Target="http://www.aph.gov.au/DocumentStore.ashx?id=1fcbc7ab-effb-4092-bb42-9c743dadf7a5&amp;subId=560832" TargetMode="External"/><Relationship Id="rId161" Type="http://schemas.openxmlformats.org/officeDocument/2006/relationships/hyperlink" Target="https://www.humanrights.gov.au/our-work/race-discrimination/publications/international-students-human-rights-review-principles-and" TargetMode="External"/><Relationship Id="rId182" Type="http://schemas.openxmlformats.org/officeDocument/2006/relationships/hyperlink" Target="https://www.humanrights.gov.au/our-work/race-discrimination/publications/freedom-discrimination-report-40th-anniversary-racial" TargetMode="External"/><Relationship Id="rId217" Type="http://schemas.openxmlformats.org/officeDocument/2006/relationships/hyperlink" Target="http://online.isentialink.com/theaustralian.com.au/2017/10/03/eec83e93-85bb-40c2-babc-10e61e335bf1.html" TargetMode="External"/><Relationship Id="rId1" Type="http://schemas.openxmlformats.org/officeDocument/2006/relationships/hyperlink" Target="http://tbinternet.ohchr.org/_layouts/treatybodyexternal/Download.aspx?symbolno=CERD%2fC%2f35%2fRev.3&amp;Lang=en" TargetMode="External"/><Relationship Id="rId6" Type="http://schemas.openxmlformats.org/officeDocument/2006/relationships/hyperlink" Target="http://www.austlii.edu.au/au/journals/MonashULawRw/2015/17.html" TargetMode="External"/><Relationship Id="rId212" Type="http://schemas.openxmlformats.org/officeDocument/2006/relationships/hyperlink" Target="http://www.watoday.com.au/wa-news/kalgoorlie-riot-accused-walks-free-after-winning-appeal-20171005-gyv5n5.html" TargetMode="External"/><Relationship Id="rId233" Type="http://schemas.openxmlformats.org/officeDocument/2006/relationships/hyperlink" Target="http://www.aph.gov.au/Parliamentary_Business/Committees/Senate/Strengthening_Multiculturalism/Multiculturalism/Final_report" TargetMode="External"/><Relationship Id="rId238" Type="http://schemas.openxmlformats.org/officeDocument/2006/relationships/hyperlink" Target="http://www.aph.gov.au/Parliamentary_Business/Committees/Senate/Legal_and_Constitutional_Affairs/LawofContempt" TargetMode="External"/><Relationship Id="rId254" Type="http://schemas.openxmlformats.org/officeDocument/2006/relationships/hyperlink" Target="http://www.ohchr.org/EN/HRBodies/UPR/Pages/AUIndex.aspx" TargetMode="External"/><Relationship Id="rId259" Type="http://schemas.openxmlformats.org/officeDocument/2006/relationships/hyperlink" Target="https://www.ag.gov.au/Consultations/Pages/modern-slavery-in-supply-chains-reporting-requirement-public-consultation.aspx" TargetMode="External"/><Relationship Id="rId23" Type="http://schemas.openxmlformats.org/officeDocument/2006/relationships/hyperlink" Target="https://www.attorneygeneral.gov.au/Mediareleases/Pages/2017/FirstQuarter/Improving-oversight-and-conditions-in-detention.aspx" TargetMode="External"/><Relationship Id="rId28" Type="http://schemas.openxmlformats.org/officeDocument/2006/relationships/hyperlink" Target="http://scanlonfoundation.org.au/research/surveys" TargetMode="External"/><Relationship Id="rId49" Type="http://schemas.openxmlformats.org/officeDocument/2006/relationships/hyperlink" Target="http://www.smh.com.au/federal-politics/political-news/fairfaxipsos-poll-eight-in-10-voters-oppose-turnbull-governments-18c-race-hate-law-changes-20170327-gv7dlq.html" TargetMode="External"/><Relationship Id="rId114" Type="http://schemas.openxmlformats.org/officeDocument/2006/relationships/hyperlink" Target="https://www.pm.gov.au/media/2016-07-28/royal-commission-child-protection-and-youth-detention-systems-northern-territory" TargetMode="External"/><Relationship Id="rId119" Type="http://schemas.openxmlformats.org/officeDocument/2006/relationships/hyperlink" Target="https://www.humanrights.gov.au/australias-universal-periodic-review-human-rights" TargetMode="External"/><Relationship Id="rId44" Type="http://schemas.openxmlformats.org/officeDocument/2006/relationships/hyperlink" Target="http://scanlonfoundation.org.au/research/surveys" TargetMode="External"/><Relationship Id="rId60" Type="http://schemas.openxmlformats.org/officeDocument/2006/relationships/hyperlink" Target="https://www.dca.org.au/research/project/capitalising-culture" TargetMode="External"/><Relationship Id="rId65" Type="http://schemas.openxmlformats.org/officeDocument/2006/relationships/hyperlink" Target="https://www.humanrights.gov.au/our-work/race-discrimination/projects/our-own-words-african-australians-review-human-rights-and" TargetMode="External"/><Relationship Id="rId81" Type="http://schemas.openxmlformats.org/officeDocument/2006/relationships/hyperlink" Target="https://www.referendumcouncil.org.au/sites/default/files/2017-05/Uluru_Statement_From_The_Heart_0.PDF" TargetMode="External"/><Relationship Id="rId86" Type="http://schemas.openxmlformats.org/officeDocument/2006/relationships/hyperlink" Target="https://www.referendumcouncil.org.au/sites/default/files/report_attachments/Referendum_Council_Final_Report.pdf" TargetMode="External"/><Relationship Id="rId130" Type="http://schemas.openxmlformats.org/officeDocument/2006/relationships/hyperlink" Target="https://www.alrc.gov.au/sites/default/files/pdfs/publications/alrc_126_final_report.pdf" TargetMode="External"/><Relationship Id="rId135" Type="http://schemas.openxmlformats.org/officeDocument/2006/relationships/hyperlink" Target="http://closingthegap.pmc.gov.au/" TargetMode="External"/><Relationship Id="rId151" Type="http://schemas.openxmlformats.org/officeDocument/2006/relationships/hyperlink" Target="https://www.humanrights.gov.au/our-work/race-discrimination/publications/freedom-discrimination-report-40th-anniversary-racial" TargetMode="External"/><Relationship Id="rId156" Type="http://schemas.openxmlformats.org/officeDocument/2006/relationships/hyperlink" Target="http://www.abc.net.au/news/2016-12-04/young-south-sudanese-constantly-stopped-by-police/8078642" TargetMode="External"/><Relationship Id="rId177" Type="http://schemas.openxmlformats.org/officeDocument/2006/relationships/hyperlink" Target="http://www.ecaj.org.au/wp-content/uploads/2012/08/ECAJ-Antisemitism-Report-2016d-WEB.pdf" TargetMode="External"/><Relationship Id="rId198" Type="http://schemas.openxmlformats.org/officeDocument/2006/relationships/hyperlink" Target="http://www.policeaccountability.org.au/issues-and-cases/racial-profiling/" TargetMode="External"/><Relationship Id="rId172" Type="http://schemas.openxmlformats.org/officeDocument/2006/relationships/hyperlink" Target="http://www.smh.com.au/national/dozens-of-antimuslim-attacks-as-islamic-leaders-warn-of-community-fear-20141009-113tmk.html" TargetMode="External"/><Relationship Id="rId193" Type="http://schemas.openxmlformats.org/officeDocument/2006/relationships/hyperlink" Target="https://www.humanrights.gov.au/publications/aushrc-47-mr-heyward-v-commonwealth-australia-department-immigration-and-citizenship" TargetMode="External"/><Relationship Id="rId202" Type="http://schemas.openxmlformats.org/officeDocument/2006/relationships/hyperlink" Target="http://www.judgments.fedcourt.gov.au/judgments/Judgments/fca/single/2016/2016fca1457" TargetMode="External"/><Relationship Id="rId207" Type="http://schemas.openxmlformats.org/officeDocument/2006/relationships/hyperlink" Target="http://www.abc.net.au/news/2016-08-30/community-mourns-as-elders-call-for-justice-after-riot/7799942" TargetMode="External"/><Relationship Id="rId223" Type="http://schemas.openxmlformats.org/officeDocument/2006/relationships/hyperlink" Target="https://www.inslm.gov.au/reviews-reports/inslm-statutory-deadline-reviews" TargetMode="External"/><Relationship Id="rId228" Type="http://schemas.openxmlformats.org/officeDocument/2006/relationships/hyperlink" Target="http://www.aph.gov.au/Parliamentary_Business/Committees/Senate/Legal_and_Constitutional_Affairs/Cyberbullying" TargetMode="External"/><Relationship Id="rId244" Type="http://schemas.openxmlformats.org/officeDocument/2006/relationships/hyperlink" Target="http://www.border.gov.au/ReportsandPublications/Documents/statistics/immigration-detention-statistics-31-august-2017.pdf" TargetMode="External"/><Relationship Id="rId249" Type="http://schemas.openxmlformats.org/officeDocument/2006/relationships/hyperlink" Target="http://parlinfo.aph.gov.au/parlInfo/search/display/display.w3p;query=Id%3A%22media%2Fpressrel%2F3575101%22" TargetMode="External"/><Relationship Id="rId13" Type="http://schemas.openxmlformats.org/officeDocument/2006/relationships/hyperlink" Target="http://tbinternet.ohchr.org/_layouts/treatybodyexternal/Download.aspx?symbolno=INT%2fCERD%2fNGO%2fAUS%2f77%2f8048&amp;Lang=en" TargetMode="External"/><Relationship Id="rId18" Type="http://schemas.openxmlformats.org/officeDocument/2006/relationships/hyperlink" Target="https://www.humanrights.gov.au/publications/constitutional-reform-creating-nation-all-us-2011" TargetMode="External"/><Relationship Id="rId39" Type="http://schemas.openxmlformats.org/officeDocument/2006/relationships/hyperlink" Target="http://scanlonfoundation.org.au/wp-content/uploads/2016/08/Australians-Today.pdf" TargetMode="External"/><Relationship Id="rId109" Type="http://schemas.openxmlformats.org/officeDocument/2006/relationships/hyperlink" Target="https://www.humanrights.gov.au/publications/social-justice-and-native-title-report-2014" TargetMode="External"/><Relationship Id="rId260" Type="http://schemas.openxmlformats.org/officeDocument/2006/relationships/hyperlink" Target="https://www.ministerjustice.gov.au/Media/Pages/Proposed-new-laws-to-help-end-modern-slavery-16-August-2017.aspx/" TargetMode="External"/><Relationship Id="rId34" Type="http://schemas.openxmlformats.org/officeDocument/2006/relationships/hyperlink" Target="http://www.aph.gov.au/Parliamentary_Business/Committees/Senate/Strengthening_Multiculturalism/Multiculturalism/Final_report" TargetMode="External"/><Relationship Id="rId50" Type="http://schemas.openxmlformats.org/officeDocument/2006/relationships/hyperlink" Target="https://www.humanrights.gov.au/our-work/commission-general/publications/annual-report-2016-2017" TargetMode="External"/><Relationship Id="rId55" Type="http://schemas.openxmlformats.org/officeDocument/2006/relationships/hyperlink" Target="https://www.aph.gov.au/Parliamentary_Business/Committees/Senate/Legal_and_Constitutional_Affairs/CitizenshipBill2017/Report" TargetMode="External"/><Relationship Id="rId76" Type="http://schemas.openxmlformats.org/officeDocument/2006/relationships/hyperlink" Target="http://www.humanrights.gov.au/sites/default/files/document/publication/AHRC_SJNTR_2016.pdf" TargetMode="External"/><Relationship Id="rId97" Type="http://schemas.openxmlformats.org/officeDocument/2006/relationships/hyperlink" Target="http://www.aihw.gov.au/publication-detail/?id=60129557387&amp;tab=2" TargetMode="External"/><Relationship Id="rId104" Type="http://schemas.openxmlformats.org/officeDocument/2006/relationships/hyperlink" Target="http://www.correctiveservices.justice.nsw.gov.au/Documents/research-and-statistics/RB034-judicial-outcomes-of-remand-inmates-in-nsw.pdf" TargetMode="External"/><Relationship Id="rId120" Type="http://schemas.openxmlformats.org/officeDocument/2006/relationships/hyperlink" Target="http://www.aph.gov.au/Parliamentary_Business/Committees/Senate/Community_Affairs/Violence_abuse_neglect" TargetMode="External"/><Relationship Id="rId125" Type="http://schemas.openxmlformats.org/officeDocument/2006/relationships/hyperlink" Target="http://closingthegap.pmc.gov.au/sites/default/files/ctg-report-2017.pdf" TargetMode="External"/><Relationship Id="rId141" Type="http://schemas.openxmlformats.org/officeDocument/2006/relationships/hyperlink" Target="http://www.aph.gov.au/DocumentStore.ashx?id=1fcbc7ab-effb-4092-bb42-9c743dadf7a5&amp;subId=560832" TargetMode="External"/><Relationship Id="rId146" Type="http://schemas.openxmlformats.org/officeDocument/2006/relationships/hyperlink" Target="https://www.humanrights.gov.au/our-work/race-discrimination/publications/freedom-discrimination-report-40th-anniversary-racial" TargetMode="External"/><Relationship Id="rId167" Type="http://schemas.openxmlformats.org/officeDocument/2006/relationships/hyperlink" Target="http://www.dailytelegraph.com.au/newslocal/city-east/police-investigate-swastika-graffiti-on-jewish-synagogue/news-story/6b2fd822f1f7853699ced9fcd649dfdb" TargetMode="External"/><Relationship Id="rId188" Type="http://schemas.openxmlformats.org/officeDocument/2006/relationships/hyperlink" Target="https://www.humanrights.gov.au/our-work/asylum-seekers-and-refugees/publications/asylum-seekers-refugees-and-human-rights-snapsho-0" TargetMode="External"/><Relationship Id="rId7" Type="http://schemas.openxmlformats.org/officeDocument/2006/relationships/hyperlink" Target="http://www.austlii.edu.au/cgi-bin/download.cgi/cgi-bin/download.cgi/download/au/journals/UNSWLJ/2015/37.pdf" TargetMode="External"/><Relationship Id="rId71" Type="http://schemas.openxmlformats.org/officeDocument/2006/relationships/hyperlink" Target="https://www.gov.uk/government/speeches/pm-words-at-race-disparity-audit-launch-10-october-2017" TargetMode="External"/><Relationship Id="rId92" Type="http://schemas.openxmlformats.org/officeDocument/2006/relationships/hyperlink" Target="http://www.pc.gov.au/research/recurring/overcoming-indigenous-disadvantage/key-indicators-2014" TargetMode="External"/><Relationship Id="rId162" Type="http://schemas.openxmlformats.org/officeDocument/2006/relationships/hyperlink" Target="https://www.humanrights.gov.au/our-work/race-discrimination/publications/international-students-human-rights-review-principles-and" TargetMode="External"/><Relationship Id="rId183" Type="http://schemas.openxmlformats.org/officeDocument/2006/relationships/hyperlink" Target="https://aifs.gov.au/publications/settlement-experiences-recently-arrived-humanitarian-migrants" TargetMode="External"/><Relationship Id="rId213" Type="http://schemas.openxmlformats.org/officeDocument/2006/relationships/hyperlink" Target="http://www.watoday.com.au/wa-news/kalgoorlie-riot-accused-walks-free-after-winning-appeal-20171005-gyv5n5.html" TargetMode="External"/><Relationship Id="rId218" Type="http://schemas.openxmlformats.org/officeDocument/2006/relationships/hyperlink" Target="http://www.inslm.gov.au/reviews-reports" TargetMode="External"/><Relationship Id="rId234" Type="http://schemas.openxmlformats.org/officeDocument/2006/relationships/hyperlink" Target="http://www.presscouncil.org.au/uploads/52321/ufiles/GENERAL_-_PRIVACY_PRINCIPLES_-_July_2014.pdf" TargetMode="External"/><Relationship Id="rId239" Type="http://schemas.openxmlformats.org/officeDocument/2006/relationships/hyperlink" Target="http://www.aph.gov.au/DocumentStore.ashx?id=d42f430a-869c-4706-9414-bf0cba934162&amp;subId=461226" TargetMode="External"/><Relationship Id="rId2" Type="http://schemas.openxmlformats.org/officeDocument/2006/relationships/hyperlink" Target="http://www.aph.gov.au/Parliamentary_Business/Committees/Joint/Human_Rights/Index_of_bills_and_instruments" TargetMode="External"/><Relationship Id="rId29" Type="http://schemas.openxmlformats.org/officeDocument/2006/relationships/hyperlink" Target="http://www.aph.gov.au/Parliamentary_Business/Committees/Senate/Strengthening_Multiculturalism/Multiculturalism/Final_report" TargetMode="External"/><Relationship Id="rId250" Type="http://schemas.openxmlformats.org/officeDocument/2006/relationships/hyperlink" Target="http://www.minister.border.gov.au/peterdutton/2015/Pages/government-closes-bladin-detention-facility.aspx" TargetMode="External"/><Relationship Id="rId255" Type="http://schemas.openxmlformats.org/officeDocument/2006/relationships/hyperlink" Target="https://foreignminister.gov.au/releases/Pages/2017/jb_mr_170602b.aspx" TargetMode="External"/><Relationship Id="rId24" Type="http://schemas.openxmlformats.org/officeDocument/2006/relationships/hyperlink" Target="http://ap.ohchr.org/documents/dpage_e.aspx?si=A/HRC/36/46/Add.2" TargetMode="External"/><Relationship Id="rId40" Type="http://schemas.openxmlformats.org/officeDocument/2006/relationships/hyperlink" Target="http://scanlonfoundation.org.au/wp-content/uploads/2016/08/Australians-Today.pdf" TargetMode="External"/><Relationship Id="rId45" Type="http://schemas.openxmlformats.org/officeDocument/2006/relationships/hyperlink" Target="https://theconversation.com/australians-believe-18c-protections-should-stay-73049" TargetMode="External"/><Relationship Id="rId66" Type="http://schemas.openxmlformats.org/officeDocument/2006/relationships/hyperlink" Target="http://www.aph.gov.au/Parliamentary_Business/Committees/Senate/Strengthening_Multiculturalism/Multiculturalism/Final_report" TargetMode="External"/><Relationship Id="rId87" Type="http://schemas.openxmlformats.org/officeDocument/2006/relationships/hyperlink" Target="https://www.attorneygeneral.gov.au/Mediareleases/Pages/2017/FourthQuarter/Response-to-Referendum-Councils-report-on-Constitutional-Recognition-27-October-2017.aspx" TargetMode="External"/><Relationship Id="rId110" Type="http://schemas.openxmlformats.org/officeDocument/2006/relationships/hyperlink" Target="http://www.aph.gov.au/Parliamentary_Business/Committees/Senate/Legal_and_Constitutional_Affairs/Completed_inquiries/2010-13/justicereinvestment/report/index" TargetMode="External"/><Relationship Id="rId115" Type="http://schemas.openxmlformats.org/officeDocument/2006/relationships/hyperlink" Target="https://childdetentionnt.royalcommission.gov.au/about-us/Documents/RCNT-Interim-report.pdf" TargetMode="External"/><Relationship Id="rId131" Type="http://schemas.openxmlformats.org/officeDocument/2006/relationships/hyperlink" Target="http://www.humanrights.gov.au/sites/default/files/IndigenousLeadersRoundtable_communique_2015_AHRC.pdf" TargetMode="External"/><Relationship Id="rId136" Type="http://schemas.openxmlformats.org/officeDocument/2006/relationships/hyperlink" Target="http://www.health.gov.au/internet/main/publishing.nsf/Content/AC51639D3C8CD4ECCA257E8B00007AC5/$File/DOH_ImplementationPlan_v3.pdf" TargetMode="External"/><Relationship Id="rId157" Type="http://schemas.openxmlformats.org/officeDocument/2006/relationships/hyperlink" Target="http://www.ohchr.org/EN/HRBodies/HRC/RegularSessions/Session35/Documents/A_HRC_35_41_Add_2_EN.docx" TargetMode="External"/><Relationship Id="rId178" Type="http://schemas.openxmlformats.org/officeDocument/2006/relationships/hyperlink" Target="http://www.ecaj.org.au/wp-content/uploads/2012/08/ECAJ-Antisemitism-Report-2016d-WEB.pdf" TargetMode="External"/><Relationship Id="rId61" Type="http://schemas.openxmlformats.org/officeDocument/2006/relationships/hyperlink" Target="http://www.pwc.com.au/publications/diversity-leading-for-change-jul16.html" TargetMode="External"/><Relationship Id="rId82" Type="http://schemas.openxmlformats.org/officeDocument/2006/relationships/hyperlink" Target="https://www.attorneygeneral.gov.au/Mediareleases/Pages/2017/FourthQuarter/Response-to-Referendum-Councils-report-on-Constitutional-Recognition-27-October-2017.aspx" TargetMode="External"/><Relationship Id="rId152" Type="http://schemas.openxmlformats.org/officeDocument/2006/relationships/hyperlink" Target="https://www.westernsydney.edu.au/__data/assets/pdf_file/0008/988793/12441_text_challenging_racism_WEB.pdf" TargetMode="External"/><Relationship Id="rId173" Type="http://schemas.openxmlformats.org/officeDocument/2006/relationships/hyperlink" Target="http://www.smh.com.au/nsw/teens-arrested-over-racist-attack-on-bus-full-of-jewish-school-students-20140806-101995.html" TargetMode="External"/><Relationship Id="rId194" Type="http://schemas.openxmlformats.org/officeDocument/2006/relationships/hyperlink" Target="https://www.humanrights.gov.au/publications/aushrc-51-brown-v-commonwealth-australia-department-immigration-citizenship" TargetMode="External"/><Relationship Id="rId199" Type="http://schemas.openxmlformats.org/officeDocument/2006/relationships/hyperlink" Target="http://ap.ohchr.org/documents/dpage_e.aspx?si=A/HRC/36/46/Add.2" TargetMode="External"/><Relationship Id="rId203" Type="http://schemas.openxmlformats.org/officeDocument/2006/relationships/hyperlink" Target="http://www.judgments.fedcourt.gov.au/judgments/Judgments/fca/single/2016/2016fca1457/summary/2016fca1457-summary" TargetMode="External"/><Relationship Id="rId208" Type="http://schemas.openxmlformats.org/officeDocument/2006/relationships/hyperlink" Target="http://www.abc.net.au/news/2016-08-30/community-mourns-as-elders-call-for-justice-after-riot/7799942" TargetMode="External"/><Relationship Id="rId229" Type="http://schemas.openxmlformats.org/officeDocument/2006/relationships/hyperlink" Target="https://www.esafety.gov.au/about-the-office" TargetMode="External"/><Relationship Id="rId19" Type="http://schemas.openxmlformats.org/officeDocument/2006/relationships/hyperlink" Target="http://www.humanrights.gov.au/social_justice/sj_report/sjreport08/index.html" TargetMode="External"/><Relationship Id="rId224" Type="http://schemas.openxmlformats.org/officeDocument/2006/relationships/hyperlink" Target="http://www.aph.gov.au/Parliamentary_Business/Committees/Joint/Intelligence_and_Security/AFPpowersreview" TargetMode="External"/><Relationship Id="rId240" Type="http://schemas.openxmlformats.org/officeDocument/2006/relationships/hyperlink" Target="http://www.border.gov.au/ReportsandPublications/Documents/statistics/immigration-detention-statistics-31-july-2017.pdf" TargetMode="External"/><Relationship Id="rId245" Type="http://schemas.openxmlformats.org/officeDocument/2006/relationships/hyperlink" Target="http://www.border.gov.au/ReportsandPublications/Documents/statistics/immigration-detention-statistics-31-august-2017.pdf" TargetMode="External"/><Relationship Id="rId261" Type="http://schemas.openxmlformats.org/officeDocument/2006/relationships/hyperlink" Target="http://parlinfo.aph.gov.au/parlInfo/download/committees/reportjnt/024092/toc_pdf/Modernslaveryandglobalsupplychains.pdf;fileType=application%2Fpdf" TargetMode="External"/><Relationship Id="rId14" Type="http://schemas.openxmlformats.org/officeDocument/2006/relationships/hyperlink" Target="https://www.pmc.gov.au/sites/default/files/publications/Recognising-Aboriginal-and-Torres-Strait-Islander-Peoples-in-the-constitution-report-of-the-expert-panel_0.pdf" TargetMode="External"/><Relationship Id="rId30" Type="http://schemas.openxmlformats.org/officeDocument/2006/relationships/hyperlink" Target="http://www.aph.gov.au/Parliamentary_Business/Committees/Senate/Strengthening_Multiculturalism/Multiculturalism/Final_report" TargetMode="External"/><Relationship Id="rId35" Type="http://schemas.openxmlformats.org/officeDocument/2006/relationships/hyperlink" Target="http://www.abs.gov.au/ausstats/abs@.nsf/mf/2024.0" TargetMode="External"/><Relationship Id="rId56" Type="http://schemas.openxmlformats.org/officeDocument/2006/relationships/hyperlink" Target="http://www.aph.gov.au/Parliamentary_Business/Committees/Senate/Strengthening_Multiculturalism/Multiculturalism/Final_report" TargetMode="External"/><Relationship Id="rId77" Type="http://schemas.openxmlformats.org/officeDocument/2006/relationships/hyperlink" Target="https://www.humanrights.gov.au/our-work/commission-general/publications/annual-report-2016-2017" TargetMode="External"/><Relationship Id="rId100" Type="http://schemas.openxmlformats.org/officeDocument/2006/relationships/hyperlink" Target="https://static1.squarespace.com/static/580025f66b8f5b2dabbe4291/t/59378aa91e5b6cbaaa281d22/1496812234196/OverRepresented_online.pdf" TargetMode="External"/><Relationship Id="rId105" Type="http://schemas.openxmlformats.org/officeDocument/2006/relationships/hyperlink" Target="http://www.ohchr.org/EN/NewsEvents/Pages/DisplayNews.aspx?NewsID=21473&amp;LangID=E" TargetMode="External"/><Relationship Id="rId126" Type="http://schemas.openxmlformats.org/officeDocument/2006/relationships/hyperlink" Target="http://www.upr-info.org/en/review/Australia" TargetMode="External"/><Relationship Id="rId147" Type="http://schemas.openxmlformats.org/officeDocument/2006/relationships/hyperlink" Target="http://scanlonfoundation.org.au/research/surveys" TargetMode="External"/><Relationship Id="rId168" Type="http://schemas.openxmlformats.org/officeDocument/2006/relationships/hyperlink" Target="http://www.jwire.com.au/broken-hill/" TargetMode="External"/><Relationship Id="rId8" Type="http://schemas.openxmlformats.org/officeDocument/2006/relationships/hyperlink" Target="https://www.alrc.gov.au/sites/default/files/pdfs/publications/alrc_129_final_report_.pdf" TargetMode="External"/><Relationship Id="rId51" Type="http://schemas.openxmlformats.org/officeDocument/2006/relationships/hyperlink" Target="https://www.dss.gov.au/settlement-and-multicultural-affairs/australian-governments-multicultural-statement/australian-governments-multicultural-statement" TargetMode="External"/><Relationship Id="rId72" Type="http://schemas.openxmlformats.org/officeDocument/2006/relationships/hyperlink" Target="https://www.humanrights.gov.au/our-work/race-discrimination/publications/freedom-discrimination-report-40th-anniversary-racial" TargetMode="External"/><Relationship Id="rId93" Type="http://schemas.openxmlformats.org/officeDocument/2006/relationships/hyperlink" Target="https://www.aihw.gov.au/getmedia/b85be60c-9fef-436d-85df-82d8e5c5f566/20705.pdf.aspx?inline=true" TargetMode="External"/><Relationship Id="rId98" Type="http://schemas.openxmlformats.org/officeDocument/2006/relationships/hyperlink" Target="http://ap.ohchr.org/documents/dpage_e.aspx?si=A/HRC/36/46/Add.2" TargetMode="External"/><Relationship Id="rId121" Type="http://schemas.openxmlformats.org/officeDocument/2006/relationships/hyperlink" Target="http://www.aph.gov.au/Parliamentary_Business/Committees/Senate/Finance_and_Public_Administration/DV_and_Gender_Inequality" TargetMode="External"/><Relationship Id="rId142" Type="http://schemas.openxmlformats.org/officeDocument/2006/relationships/hyperlink" Target="https://www.humanrights.gov.au/our-work/aboriginal-and-torres-strait-islander-social-justice/projects/social-justice-and-native" TargetMode="External"/><Relationship Id="rId163" Type="http://schemas.openxmlformats.org/officeDocument/2006/relationships/hyperlink" Target="https://www.humanrights.gov.au/our-work/race-discrimination/publications/international-students-human-rights-review-principles-and" TargetMode="External"/><Relationship Id="rId184" Type="http://schemas.openxmlformats.org/officeDocument/2006/relationships/hyperlink" Target="https://www.dss.gov.au/sites/default/files/documents/01_2014/settlement-outcomes-new-arrival_access.pdf" TargetMode="External"/><Relationship Id="rId189" Type="http://schemas.openxmlformats.org/officeDocument/2006/relationships/hyperlink" Target="http://www.border.gov.au/ReportsandPublications/Documents/statistics/ima-legacy-caseload-august-2017.pdf" TargetMode="External"/><Relationship Id="rId219" Type="http://schemas.openxmlformats.org/officeDocument/2006/relationships/hyperlink" Target="https://www.inslm.gov.au/reviews-reports/annual-reports" TargetMode="External"/><Relationship Id="rId3" Type="http://schemas.openxmlformats.org/officeDocument/2006/relationships/hyperlink" Target="http://www.aph.gov.au/Parliamentary_Business/Committees/Joint/Human_Rights/Completed_inquiries" TargetMode="External"/><Relationship Id="rId214" Type="http://schemas.openxmlformats.org/officeDocument/2006/relationships/hyperlink" Target="http://www.watoday.com.au/wa-news/kalgoorlie-riot-accused-walks-free-after-winning-appeal-20171005-gyv5n5.html" TargetMode="External"/><Relationship Id="rId230" Type="http://schemas.openxmlformats.org/officeDocument/2006/relationships/hyperlink" Target="https://www.esafety.gov.au/esafety-information/esafety-issues/cyber-abuse" TargetMode="External"/><Relationship Id="rId235" Type="http://schemas.openxmlformats.org/officeDocument/2006/relationships/hyperlink" Target="http://www.aph.gov.au/Parliamentary_Business/Committees/Senate/Strengthening_Multiculturalism/Multiculturalism/Final_report" TargetMode="External"/><Relationship Id="rId251" Type="http://schemas.openxmlformats.org/officeDocument/2006/relationships/hyperlink" Target="http://budget.gov.au/2016-17/content/bp2/download/BP2_consolidated.pdf" TargetMode="External"/><Relationship Id="rId256" Type="http://schemas.openxmlformats.org/officeDocument/2006/relationships/hyperlink" Target="https://foreignminister.gov.au/releases/Pages/2017/jb_mr_170602b.aspx" TargetMode="External"/><Relationship Id="rId25" Type="http://schemas.openxmlformats.org/officeDocument/2006/relationships/hyperlink" Target="http://www.ohchr.org/EN/HRBodies/HRC/RegularSessions/Session35/Documents/A_HRC_35_41_Add_2_EN.docx" TargetMode="External"/><Relationship Id="rId46" Type="http://schemas.openxmlformats.org/officeDocument/2006/relationships/hyperlink" Target="https://theconversation.com/what-do-australian-internet-users-think-about-racial-vilification-24280" TargetMode="External"/><Relationship Id="rId67" Type="http://schemas.openxmlformats.org/officeDocument/2006/relationships/hyperlink" Target="https://www.humanrights.gov.au/our-work/commission-general/publications/annual-report-2016-2017" TargetMode="External"/><Relationship Id="rId116" Type="http://schemas.openxmlformats.org/officeDocument/2006/relationships/hyperlink" Target="https://childdetentionnt.royalcommission.gov.au/about-us/Documents/RCNT-Interim-report.pdf" TargetMode="External"/><Relationship Id="rId137" Type="http://schemas.openxmlformats.org/officeDocument/2006/relationships/hyperlink" Target="http://www.humanrights.gov.au/sites/default/files/2016%20CTG%20Federal%20Budget%20position%20paper.pdf" TargetMode="External"/><Relationship Id="rId158" Type="http://schemas.openxmlformats.org/officeDocument/2006/relationships/hyperlink" Target="https://www.humanrights.gov.au/our-work/race-discrimination/projects/our-own-words-african-australians-review-human-rights-and" TargetMode="External"/><Relationship Id="rId20" Type="http://schemas.openxmlformats.org/officeDocument/2006/relationships/hyperlink" Target="http://www.ohchr.org/EN/HRBodies/HRC/RegularSessions/Session35/Documents/A_HRC_35_41_Add_2_EN.docx" TargetMode="External"/><Relationship Id="rId41" Type="http://schemas.openxmlformats.org/officeDocument/2006/relationships/hyperlink" Target="http://scanlonfoundation.org.au/wp-content/uploads/2016/08/Australians-Today.pdf" TargetMode="External"/><Relationship Id="rId62" Type="http://schemas.openxmlformats.org/officeDocument/2006/relationships/hyperlink" Target="http://www.pwc.com.au/publications/diversity-leading-for-change-jul16.html" TargetMode="External"/><Relationship Id="rId83" Type="http://schemas.openxmlformats.org/officeDocument/2006/relationships/hyperlink" Target="https://www.attorneygeneral.gov.au/Mediareleases/Pages/2017/FourthQuarter/Response-to-Referendum-Councils-report-on-Constitutional-Recognition-27-October-2017.aspx" TargetMode="External"/><Relationship Id="rId88" Type="http://schemas.openxmlformats.org/officeDocument/2006/relationships/hyperlink" Target="http://www.ohchr.org/EN/NewsEvents/Pages/DisplayNews.aspx?NewsID=21473&amp;LangID=E" TargetMode="External"/><Relationship Id="rId111" Type="http://schemas.openxmlformats.org/officeDocument/2006/relationships/hyperlink" Target="https://www.humanrights.gov.au/our-work/aboriginal-and-torres-strait-islander-social-justice/publications/social-justice-and-nati-0" TargetMode="External"/><Relationship Id="rId132" Type="http://schemas.openxmlformats.org/officeDocument/2006/relationships/hyperlink" Target="http://www.humanrights.gov.au/sites/default/files/Garma%20discussion%20paper%2011%20August%202016_1.pdf" TargetMode="External"/><Relationship Id="rId153" Type="http://schemas.openxmlformats.org/officeDocument/2006/relationships/hyperlink" Target="https://www.humanrights.gov.au/our-work/race-discrimination/publications/freedom-discrimination-report-40th-anniversary-racial" TargetMode="External"/><Relationship Id="rId174" Type="http://schemas.openxmlformats.org/officeDocument/2006/relationships/hyperlink" Target="http://www.theage.com.au/victoria/go-back-to-israel-racial-attack-outside-melbourne-synagogue-posted-online-20151126-gl9gw5.html" TargetMode="External"/><Relationship Id="rId179" Type="http://schemas.openxmlformats.org/officeDocument/2006/relationships/hyperlink" Target="http://www.ecaj.org.au/wp-content/uploads/2012/08/ECAJ-Antisemitism-Report-2016d-WEB.pdf" TargetMode="External"/><Relationship Id="rId195" Type="http://schemas.openxmlformats.org/officeDocument/2006/relationships/hyperlink" Target="https://www.humanrights.gov.au/our-work/asylum-seekers-and-refugees/publications/background-paper-human-rights-issues-raised-visa" TargetMode="External"/><Relationship Id="rId209" Type="http://schemas.openxmlformats.org/officeDocument/2006/relationships/hyperlink" Target="http://www.abc.net.au/news/2016-08-30/protesters-arrested-in-kalgoorlie-riot-after-teens-death/7797804" TargetMode="External"/><Relationship Id="rId190" Type="http://schemas.openxmlformats.org/officeDocument/2006/relationships/hyperlink" Target="https://www.humanrights.gov.au/publications/report-no-43-mr-nk-v-commonwealth-australia-department-immigration-and-citizenship-2011" TargetMode="External"/><Relationship Id="rId204" Type="http://schemas.openxmlformats.org/officeDocument/2006/relationships/hyperlink" Target="http://www.abc.net.au/news/2017-02-28/appeal-dropped-palm-island-riots-court-ruling-qld-government/8310044" TargetMode="External"/><Relationship Id="rId220" Type="http://schemas.openxmlformats.org/officeDocument/2006/relationships/hyperlink" Target="https://www.ag.gov.au/Consultations/Pages/COAGReviewofCounter-TerrorismLegislation.aspx" TargetMode="External"/><Relationship Id="rId225" Type="http://schemas.openxmlformats.org/officeDocument/2006/relationships/hyperlink" Target="https://www.humanrights.gov.au/our-work/commission-general/publications/annual-report-2016-2017" TargetMode="External"/><Relationship Id="rId241" Type="http://schemas.openxmlformats.org/officeDocument/2006/relationships/hyperlink" Target="http://www.border.gov.au/ReportsandPublications/Documents/statistics/immigration-detention-statistics-31-august-2017.pdf" TargetMode="External"/><Relationship Id="rId246" Type="http://schemas.openxmlformats.org/officeDocument/2006/relationships/hyperlink" Target="http://www.border.gov.au/ReportsandPublications/Documents/statistics/immigration-detention-statistics-31-august-2017.pdf" TargetMode="External"/><Relationship Id="rId15" Type="http://schemas.openxmlformats.org/officeDocument/2006/relationships/hyperlink" Target="https://www.aph.gov.au/Parliamentary_Business/Committees/Joint/Constitutional_Recognition_of_Aboriginal_and_Torres_Strait_Islander_Peoples/Constitutional_Recognition/Final_Report" TargetMode="External"/><Relationship Id="rId36" Type="http://schemas.openxmlformats.org/officeDocument/2006/relationships/hyperlink" Target="http://www.aph.gov.au/About_Parliament/Parliamentary_Departments/Parliamentary_Library/pubs/rp/rp1516/Quick_Guides/MigrationStatistics" TargetMode="External"/><Relationship Id="rId57" Type="http://schemas.openxmlformats.org/officeDocument/2006/relationships/hyperlink" Target="https://www.aph.gov.au/Parliamentary_Business/Bills_Legislation/Bills_Search_Results/Result?bId=r5914" TargetMode="External"/><Relationship Id="rId106" Type="http://schemas.openxmlformats.org/officeDocument/2006/relationships/hyperlink" Target="https://www.humanrights.gov.au/our-work/legal/publications/ka-kb-kc-and-kd-v-commonwealth-australia" TargetMode="External"/><Relationship Id="rId127" Type="http://schemas.openxmlformats.org/officeDocument/2006/relationships/hyperlink" Target="http://ap.ohchr.org/documents/dpage_e.aspx?si=A/HRC/36/46/Add.2" TargetMode="External"/><Relationship Id="rId262" Type="http://schemas.openxmlformats.org/officeDocument/2006/relationships/hyperlink" Target="http://www.aph.gov.au/DocumentStore.ashx?id=b8cec9b3-343e-47b4-87f9-fa21808c875f&amp;subId=510109" TargetMode="External"/><Relationship Id="rId10" Type="http://schemas.openxmlformats.org/officeDocument/2006/relationships/hyperlink" Target="http://www.ohchr.org/EN/HRBodies/HRC/RegularSessions/Session35/Documents/A_HRC_35_41_Add_2_EN.docx" TargetMode="External"/><Relationship Id="rId31" Type="http://schemas.openxmlformats.org/officeDocument/2006/relationships/hyperlink" Target="https://www.humanrights.gov.au/our-work/race-discrimination/projects/national-anti-racism-strategy-and-racism-it-stops-me-campaign" TargetMode="External"/><Relationship Id="rId52" Type="http://schemas.openxmlformats.org/officeDocument/2006/relationships/hyperlink" Target="http://www.aph.gov.au/Parliamentary_Business/Committees/Senate/Strengthening_Multiculturalism/Multiculturalism/Final_report" TargetMode="External"/><Relationship Id="rId73" Type="http://schemas.openxmlformats.org/officeDocument/2006/relationships/hyperlink" Target="http://www.health.gov.au/internet/main/publishing.nsf/Content/natsih-plan" TargetMode="External"/><Relationship Id="rId78" Type="http://schemas.openxmlformats.org/officeDocument/2006/relationships/hyperlink" Target="http://ap.ohchr.org/documents/dpage_e.aspx?si=A/HRC/36/46/Add.2" TargetMode="External"/><Relationship Id="rId94" Type="http://schemas.openxmlformats.org/officeDocument/2006/relationships/hyperlink" Target="http://www.abs.gov.au/ausstats/abs@.nsf/Lookup/by%20Subject/4429.0~2009~Main%20Features~Comparison%20of%20disability%20prevalence%20between%20Aboriginal%20and%20Torres%20Strait%20Islander%20peoples%20and%20non-Indigenous%20peoples~10029" TargetMode="External"/><Relationship Id="rId99" Type="http://schemas.openxmlformats.org/officeDocument/2006/relationships/hyperlink" Target="https://static1.squarespace.com/static/580025f66b8f5b2dabbe4291/t/59378aa91e5b6cbaaa281d22/1496812234196/OverRepresented_online.pdf" TargetMode="External"/><Relationship Id="rId101" Type="http://schemas.openxmlformats.org/officeDocument/2006/relationships/hyperlink" Target="http://www.abs.gov.au/ausstats/abs@.nsf/Lookup/by%20Subject/4517.0~2015~Main%20Features~Prisoner%20characteristics,%20Australia~28" TargetMode="External"/><Relationship Id="rId122" Type="http://schemas.openxmlformats.org/officeDocument/2006/relationships/hyperlink" Target="http://closingthegap.pmc.gov.au/sites/default/files/ctg-report-2017.pdf" TargetMode="External"/><Relationship Id="rId143" Type="http://schemas.openxmlformats.org/officeDocument/2006/relationships/hyperlink" Target="http://scanlonfoundation.org.au/wp-content/uploads/2016/08/Australians-Today.pdf" TargetMode="External"/><Relationship Id="rId148" Type="http://schemas.openxmlformats.org/officeDocument/2006/relationships/hyperlink" Target="http://www.scribd.com/document/292853385/Anti-Muslim-Hate-Online-Interim-Report" TargetMode="External"/><Relationship Id="rId164" Type="http://schemas.openxmlformats.org/officeDocument/2006/relationships/hyperlink" Target="https://www.humanrights.gov.au/sites/default/files/document/publication/AHRC_2017_ChangeTheCourse_UniversityReport.pdf" TargetMode="External"/><Relationship Id="rId169" Type="http://schemas.openxmlformats.org/officeDocument/2006/relationships/hyperlink" Target="http://www.abc.net.au/news/2014-06-21/swastikas-graffitied-on-side-of-ukranian-church-in-sydney/5540968" TargetMode="External"/><Relationship Id="rId185" Type="http://schemas.openxmlformats.org/officeDocument/2006/relationships/hyperlink" Target="https://www.border.gov.au/ReportsandPublications/Documents/research/economic-social-civic-contributions-about-the-research2011.pdf" TargetMode="External"/><Relationship Id="rId4" Type="http://schemas.openxmlformats.org/officeDocument/2006/relationships/hyperlink" Target="https://www.legislation.gov.au/Details/C2011A00186" TargetMode="External"/><Relationship Id="rId9" Type="http://schemas.openxmlformats.org/officeDocument/2006/relationships/hyperlink" Target="https://www.alrc.gov.au/sites/default/files/pdfs/publications/alrc_129_final_report_.pdf" TargetMode="External"/><Relationship Id="rId180" Type="http://schemas.openxmlformats.org/officeDocument/2006/relationships/hyperlink" Target="https://www.humanrights.gov.au/our-work/race-discrimination/publications/freedom-discrimination-report-40th-anniversary-racial" TargetMode="External"/><Relationship Id="rId210" Type="http://schemas.openxmlformats.org/officeDocument/2006/relationships/hyperlink" Target="http://www.abc.net.au/news/2016-08-30/community-mourns-as-elders-call-for-justice-after-riot/7799942" TargetMode="External"/><Relationship Id="rId215" Type="http://schemas.openxmlformats.org/officeDocument/2006/relationships/hyperlink" Target="http://online.isentialink.com/theaustralian.com.au/2017/10/03/eec83e93-85bb-40c2-babc-10e61e335bf1.html" TargetMode="External"/><Relationship Id="rId236" Type="http://schemas.openxmlformats.org/officeDocument/2006/relationships/hyperlink" Target="https://www.alrc.gov.au/sites/default/files/pdfs/publications/alrc_129_final_report_.pdf" TargetMode="External"/><Relationship Id="rId257" Type="http://schemas.openxmlformats.org/officeDocument/2006/relationships/hyperlink" Target="http://dfat.gov.au/international-relations/themes/human-rights/business/Pages/multi-stakeholder-advisory-group-on-implementation-of-the-un-guiding-principles-on-business-and-human-rights.aspx" TargetMode="External"/><Relationship Id="rId26" Type="http://schemas.openxmlformats.org/officeDocument/2006/relationships/hyperlink" Target="https://www.legislation.nsw.gov.au/" TargetMode="External"/><Relationship Id="rId231" Type="http://schemas.openxmlformats.org/officeDocument/2006/relationships/hyperlink" Target="https://www.westernsydney.edu.au/challengingracism/challenging_racism_project/our_research/cyber_racism_and_community_resilience" TargetMode="External"/><Relationship Id="rId252" Type="http://schemas.openxmlformats.org/officeDocument/2006/relationships/hyperlink" Target="http://budget.gov.au/2016-17/content/bp2/download/BP2_consolidated.pdf" TargetMode="External"/><Relationship Id="rId47" Type="http://schemas.openxmlformats.org/officeDocument/2006/relationships/hyperlink" Target="https://www.aph.gov.au/Parliamentary_Business/Committees/Joint/Human_Rights_inquiries/FreedomspeechAustralia/Submissions" TargetMode="External"/><Relationship Id="rId68" Type="http://schemas.openxmlformats.org/officeDocument/2006/relationships/hyperlink" Target="https://www.humanrights.gov.au/our-work/race-discrimination/publications/agenda-racial-equality-2012-2016" TargetMode="External"/><Relationship Id="rId89" Type="http://schemas.openxmlformats.org/officeDocument/2006/relationships/hyperlink" Target="https://www.vic.gov.au/aboriginalvictoria/treaty.html" TargetMode="External"/><Relationship Id="rId112" Type="http://schemas.openxmlformats.org/officeDocument/2006/relationships/hyperlink" Target="http://parlinfo.aph.gov.au/parlInfo/search/display/display.w3p;query=Id%3A%22publications%2Ftabledpapers%2F2b5f4c0e-443f-496f-9c94-d162fc1d1dec%22" TargetMode="External"/><Relationship Id="rId133" Type="http://schemas.openxmlformats.org/officeDocument/2006/relationships/hyperlink" Target="https://www.humanrights.gov.au/our-work/aboriginal-and-torres-strait-islander-social-justice/projects/indigenous-property-rights" TargetMode="External"/><Relationship Id="rId154" Type="http://schemas.openxmlformats.org/officeDocument/2006/relationships/hyperlink" Target="http://scanlonfoundation.org.au/wp-content/uploads/2016/08/Australians-Today.pdf" TargetMode="External"/><Relationship Id="rId175" Type="http://schemas.openxmlformats.org/officeDocument/2006/relationships/hyperlink" Target="http://www.sbs.com.au/news/article/2016/03/03/sikh-teen-shaken-after-alleged-turban-attack-bus" TargetMode="External"/><Relationship Id="rId196" Type="http://schemas.openxmlformats.org/officeDocument/2006/relationships/hyperlink" Target="https://www.humanrights.gov.au/sites/default/files/2014.10.28%20Submission%20-%20Final.pdf" TargetMode="External"/><Relationship Id="rId200" Type="http://schemas.openxmlformats.org/officeDocument/2006/relationships/hyperlink" Target="http://www.judgments.fedcourt.gov.au/judgments/Judgments/fca/single/2016/2016fca1457" TargetMode="External"/><Relationship Id="rId16" Type="http://schemas.openxmlformats.org/officeDocument/2006/relationships/hyperlink" Target="https://www.referendumcouncil.org.au/sites/default/files/report_attachments/Referendum_Council_Final_Report.pdf" TargetMode="External"/><Relationship Id="rId221" Type="http://schemas.openxmlformats.org/officeDocument/2006/relationships/hyperlink" Target="https://www.inslm.gov.au/reviews-reports/annual-reports" TargetMode="External"/><Relationship Id="rId242" Type="http://schemas.openxmlformats.org/officeDocument/2006/relationships/hyperlink" Target="http://www.border.gov.au/ReportsandPublications/Documents/statistics/immigration-detention-statistics-31-august-2017.pdf" TargetMode="External"/><Relationship Id="rId263" Type="http://schemas.openxmlformats.org/officeDocument/2006/relationships/hyperlink" Target="http://parlinfo.aph.gov.au/parlInfo/download/committees/reportjnt/024068/toc_pdf/BuyingintoourFuture.pdf;fileType=application%2Fpdf" TargetMode="External"/><Relationship Id="rId37" Type="http://schemas.openxmlformats.org/officeDocument/2006/relationships/hyperlink" Target="https://data.oecd.org/migration/foreign-born-unemployment.htm" TargetMode="External"/><Relationship Id="rId58" Type="http://schemas.openxmlformats.org/officeDocument/2006/relationships/hyperlink" Target="https://www.border.gov.au/Trav/visa-reform/policy-consultation-paper" TargetMode="External"/><Relationship Id="rId79" Type="http://schemas.openxmlformats.org/officeDocument/2006/relationships/hyperlink" Target="http://ap.ohchr.org/documents/dpage_e.aspx?si=A/HRC/36/46/Add.2" TargetMode="External"/><Relationship Id="rId102" Type="http://schemas.openxmlformats.org/officeDocument/2006/relationships/hyperlink" Target="http://www.humanrights.gov.au/sites/default/files/document/publication/AHRC_SJNTR_2016.pdf" TargetMode="External"/><Relationship Id="rId123" Type="http://schemas.openxmlformats.org/officeDocument/2006/relationships/hyperlink" Target="https://www.humanrights.gov.au/our-work/childrens-rights/publications/childrens-rights-report-2015" TargetMode="External"/><Relationship Id="rId144" Type="http://schemas.openxmlformats.org/officeDocument/2006/relationships/hyperlink" Target="https://www.humanrights.gov.au/our-work/race-discrimination/publications/freedom-discrimination-report-40th-anniversary-racial" TargetMode="External"/><Relationship Id="rId90" Type="http://schemas.openxmlformats.org/officeDocument/2006/relationships/hyperlink" Target="https://statedevelopment.sa.gov.au/aboriginal-affairs/aboriginal-affairs-and-reconciliation/initiatives/treaty-discussions" TargetMode="External"/><Relationship Id="rId165" Type="http://schemas.openxmlformats.org/officeDocument/2006/relationships/hyperlink" Target="http://www.abc.net.au/news/2015-11-18/hate-message-taped-to-door-of-newcastle-mosque/6951428" TargetMode="External"/><Relationship Id="rId186" Type="http://schemas.openxmlformats.org/officeDocument/2006/relationships/hyperlink" Target="http://www.aph.gov.au/Parliamentary_Business/Committees/Joint/Migration/settlementoutcomes" TargetMode="External"/><Relationship Id="rId211" Type="http://schemas.openxmlformats.org/officeDocument/2006/relationships/hyperlink" Target="http://www.abc.net.au/news/2016-08-30/protesters-arrested-in-kalgoorlie-riot-after-teens-death/7797804" TargetMode="External"/><Relationship Id="rId232" Type="http://schemas.openxmlformats.org/officeDocument/2006/relationships/hyperlink" Target="https://www.humanrights.gov.au/our-work/race-discrimination/publications/freedom-discrimination-report-40th-anniversary-racial" TargetMode="External"/><Relationship Id="rId253" Type="http://schemas.openxmlformats.org/officeDocument/2006/relationships/hyperlink" Target="https://www.humanrights.gov.au/our-work/asylum-seekers-and-refugees/publications/human-rights-standards-immigration-detention" TargetMode="External"/><Relationship Id="rId27" Type="http://schemas.openxmlformats.org/officeDocument/2006/relationships/hyperlink" Target="http://www.abc.net.au/news/2017-10-11/nsw-passes-unprecedented-laws-to-revive-indigenous-languages/9039746" TargetMode="External"/><Relationship Id="rId48" Type="http://schemas.openxmlformats.org/officeDocument/2006/relationships/hyperlink" Target="https://www.aph.gov.au/Parliamentary_Business/Committees/Joint/Human_Rights_inquiries/FreedomspeechAustralia/Submissions" TargetMode="External"/><Relationship Id="rId69" Type="http://schemas.openxmlformats.org/officeDocument/2006/relationships/hyperlink" Target="http://www.aph.gov.au/Parliamentary_Business/Committees/Senate/Strengthening_Multiculturalism/Multiculturalism/Final_report" TargetMode="External"/><Relationship Id="rId113" Type="http://schemas.openxmlformats.org/officeDocument/2006/relationships/hyperlink" Target="http://parlinfo.aph.gov.au/parlInfo/search/display/display.w3p;query=Id%3A%22publications%2Ftabledpapers%2F2b5f4c0e-443f-496f-9c94-d162fc1d1dec%22" TargetMode="External"/><Relationship Id="rId134" Type="http://schemas.openxmlformats.org/officeDocument/2006/relationships/hyperlink" Target="http://closingthegap.pmc.gov.au/" TargetMode="External"/><Relationship Id="rId80" Type="http://schemas.openxmlformats.org/officeDocument/2006/relationships/hyperlink" Target="http://ap.ohchr.org/documents/dpage_e.aspx?si=A/HRC/36/46/Add.2" TargetMode="External"/><Relationship Id="rId155" Type="http://schemas.openxmlformats.org/officeDocument/2006/relationships/hyperlink" Target="http://www.smartjustice.org.au/cb_pages/files/Media%20Release%20-%20FKCLC%20%26%20ABL%20Feb%202013.pdf" TargetMode="External"/><Relationship Id="rId176" Type="http://schemas.openxmlformats.org/officeDocument/2006/relationships/hyperlink" Target="https://www.humanrights.gov.au/our-work/race-discrimination/publications/freedom-discrimination-report-40th-anniversary-racial" TargetMode="External"/><Relationship Id="rId197" Type="http://schemas.openxmlformats.org/officeDocument/2006/relationships/hyperlink" Target="http://www.policeaccountability.org.au/about/" TargetMode="External"/><Relationship Id="rId201" Type="http://schemas.openxmlformats.org/officeDocument/2006/relationships/hyperlink" Target="http://www.judgments.fedcourt.gov.au/judgments/Judgments/fca/single/2016/2016fca1457/summary/2016fca1457-summary" TargetMode="External"/><Relationship Id="rId222" Type="http://schemas.openxmlformats.org/officeDocument/2006/relationships/hyperlink" Target="https://www.ag.gov.au/Consultations/Pages/COAGReviewofCounter-TerrorismLegislation.aspx" TargetMode="External"/><Relationship Id="rId243" Type="http://schemas.openxmlformats.org/officeDocument/2006/relationships/hyperlink" Target="http://www.border.gov.au/ReportsandPublications/Documents/statistics/immigration-detention-statistics-july2013.pdf" TargetMode="External"/><Relationship Id="rId264" Type="http://schemas.openxmlformats.org/officeDocument/2006/relationships/hyperlink" Target="http://parlinfo.aph.gov.au/parlInfo/download/committees/reportjnt/024092/toc_pdf/Modernslaveryandglobalsupplychains.pdf;fileType=application%2Fpdf" TargetMode="External"/><Relationship Id="rId17" Type="http://schemas.openxmlformats.org/officeDocument/2006/relationships/hyperlink" Target="https://www.referendumcouncil.org.au/sites/default/files/report_attachments/Referendum_Council_Final_Report.pdf" TargetMode="External"/><Relationship Id="rId38" Type="http://schemas.openxmlformats.org/officeDocument/2006/relationships/hyperlink" Target="http://www.oecd.org/berlin/43880918.pdf" TargetMode="External"/><Relationship Id="rId59" Type="http://schemas.openxmlformats.org/officeDocument/2006/relationships/hyperlink" Target="https://www.humanrights.gov.au/sites/default/files/document/publication/2016_AHRC%20Leading%20for%20change.pdf" TargetMode="External"/><Relationship Id="rId103" Type="http://schemas.openxmlformats.org/officeDocument/2006/relationships/hyperlink" Target="http://ap.ohchr.org/documents/dpage_e.aspx?si=A/HRC/36/46/Add.2" TargetMode="External"/><Relationship Id="rId124" Type="http://schemas.openxmlformats.org/officeDocument/2006/relationships/hyperlink" Target="https://www.dss.gov.au/women/programs-services/reducing-violence/the-national-plan-to-reduce-violence-against-women-and-their-children-2010-2022" TargetMode="External"/><Relationship Id="rId70" Type="http://schemas.openxmlformats.org/officeDocument/2006/relationships/hyperlink" Target="https://www.gov.uk/government/publications/race-disparity-audit" TargetMode="External"/><Relationship Id="rId91" Type="http://schemas.openxmlformats.org/officeDocument/2006/relationships/hyperlink" Target="http://www.abs.gov.au/ausstats/abs@.nsf/Lookup/by%20Subject/4517.0~2016~Main%20Features~Aboriginal%20and%20Torres%20Strait%20Islander%20prisoner%20characteristics~5" TargetMode="External"/><Relationship Id="rId145" Type="http://schemas.openxmlformats.org/officeDocument/2006/relationships/hyperlink" Target="https://www.fya.org.au/app/theme/default/design/assets/publications/Impact_of_Racism_FYA_report.pdf" TargetMode="External"/><Relationship Id="rId166" Type="http://schemas.openxmlformats.org/officeDocument/2006/relationships/hyperlink" Target="http://www.brisbanetimes.com.au/queensland/toowoomba-mosque-fire-suspicious-police-20150124-12xi6s.html" TargetMode="External"/><Relationship Id="rId187" Type="http://schemas.openxmlformats.org/officeDocument/2006/relationships/hyperlink" Target="http://www.aph.gov.au/DocumentStore.ashx?id=0c5df94b-1a6b-474f-b347-104561a228c1&amp;subId=463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an.Nanthakumar\AppData\Local\Microsoft\Windows\Temporary%20Internet%20Files\Content.MSO\F623C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2307-CC6B-428A-937B-0D04485E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F623C086.dot</Template>
  <TotalTime>8</TotalTime>
  <Pages>64</Pages>
  <Words>15573</Words>
  <Characters>93797</Characters>
  <Application>Microsoft Office Word</Application>
  <DocSecurity>0</DocSecurity>
  <Lines>1736</Lines>
  <Paragraphs>611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108759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Helen Potts</dc:creator>
  <cp:keywords/>
  <cp:lastModifiedBy>Rohan Nanthakumar</cp:lastModifiedBy>
  <cp:revision>17</cp:revision>
  <cp:lastPrinted>2017-10-30T06:43:00Z</cp:lastPrinted>
  <dcterms:created xsi:type="dcterms:W3CDTF">2017-10-30T06:35:00Z</dcterms:created>
  <dcterms:modified xsi:type="dcterms:W3CDTF">2017-10-30T06:44:00Z</dcterms:modified>
</cp:coreProperties>
</file>