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F936C" w14:textId="2DA70DF9" w:rsidR="00B924E6" w:rsidRPr="00492F36" w:rsidRDefault="006741DF" w:rsidP="00492F36">
      <w:pPr>
        <w:tabs>
          <w:tab w:val="left" w:pos="3014"/>
        </w:tabs>
        <w:spacing w:after="3000"/>
        <w:rPr>
          <w:sz w:val="20"/>
          <w:vertAlign w:val="superscript"/>
        </w:rPr>
        <w:sectPr w:rsidR="00B924E6" w:rsidRPr="00492F3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r>
        <w:rPr>
          <w:noProof/>
        </w:rPr>
        <mc:AlternateContent>
          <mc:Choice Requires="wps">
            <w:drawing>
              <wp:anchor distT="0" distB="0" distL="114300" distR="114300" simplePos="0" relativeHeight="251657728" behindDoc="0" locked="0" layoutInCell="1" allowOverlap="1" wp14:anchorId="206E0C34" wp14:editId="3EB64151">
                <wp:simplePos x="0" y="0"/>
                <wp:positionH relativeFrom="column">
                  <wp:posOffset>28673</wp:posOffset>
                </wp:positionH>
                <wp:positionV relativeFrom="paragraph">
                  <wp:posOffset>1443257</wp:posOffset>
                </wp:positionV>
                <wp:extent cx="5733415"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3415" cy="504825"/>
                        </a:xfrm>
                        <a:prstGeom prst="rect">
                          <a:avLst/>
                        </a:prstGeom>
                        <a:noFill/>
                        <a:ln w="6350">
                          <a:noFill/>
                        </a:ln>
                        <a:effectLst/>
                      </wps:spPr>
                      <wps:txbx>
                        <w:txbxContent>
                          <w:p w14:paraId="725FA969" w14:textId="443644CF" w:rsidR="004244D9" w:rsidRPr="00B74219" w:rsidRDefault="004244D9" w:rsidP="00A11307">
                            <w:pPr>
                              <w:pStyle w:val="Subtitle"/>
                            </w:pPr>
                            <w:bookmarkStart w:id="0" w:name="_Toc475789763"/>
                            <w:r w:rsidRPr="002863D7">
                              <w:t>Australian Human Rights C</w:t>
                            </w:r>
                            <w:r>
                              <w:t>ommission Submission to the Finance and Public administraTion references committee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06E0C34" id="_x0000_t202" coordsize="21600,21600" o:spt="202" path="m0,0l0,21600,21600,21600,21600,0xe">
                <v:stroke joinstyle="miter"/>
                <v:path gradientshapeok="t" o:connecttype="rect"/>
              </v:shapetype>
              <v:shape id="Text Box 3" o:spid="_x0000_s1026" type="#_x0000_t202" style="position:absolute;margin-left:2.25pt;margin-top:113.65pt;width:451.4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" filled="f" stroked="f" strokeweight=".5pt">
                <v:path arrowok="t"/>
                <v:textbox>
                  <w:txbxContent>
                    <w:p w14:paraId="725FA969" w14:textId="443644CF" w:rsidR="004244D9" w:rsidRPr="00B74219" w:rsidRDefault="004244D9" w:rsidP="00A11307">
                      <w:pPr>
                        <w:pStyle w:val="Subtitle"/>
                      </w:pPr>
                      <w:bookmarkStart w:id="1" w:name="_Toc475789763"/>
                      <w:r w:rsidRPr="002863D7">
                        <w:t>Australian Human Rights C</w:t>
                      </w:r>
                      <w:r>
                        <w:t>ommission Submission to the Finance and Public administraTion references committee</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6F29955" wp14:editId="43F123B3">
                <wp:simplePos x="0" y="0"/>
                <wp:positionH relativeFrom="column">
                  <wp:posOffset>1270</wp:posOffset>
                </wp:positionH>
                <wp:positionV relativeFrom="paragraph">
                  <wp:posOffset>-45085</wp:posOffset>
                </wp:positionV>
                <wp:extent cx="57334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3415" cy="1485900"/>
                        </a:xfrm>
                        <a:prstGeom prst="rect">
                          <a:avLst/>
                        </a:prstGeom>
                        <a:noFill/>
                        <a:ln w="6350">
                          <a:noFill/>
                        </a:ln>
                        <a:effectLst/>
                      </wps:spPr>
                      <wps:txbx>
                        <w:txbxContent>
                          <w:p w14:paraId="3A9B58F1" w14:textId="77777777" w:rsidR="004244D9" w:rsidRDefault="004244D9" w:rsidP="00FD01B5">
                            <w:pPr>
                              <w:pStyle w:val="MainTitle"/>
                            </w:pPr>
                            <w:r>
                              <w:t>Gender segregation in the workplace and its impact on women’s economic 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6F29955" id="Text Box 1" o:spid="_x0000_s1027" type="#_x0000_t202" style="position:absolute;margin-left:.1pt;margin-top:-3.5pt;width:451.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" filled="f" stroked="f" strokeweight=".5pt">
                <v:path arrowok="t"/>
                <v:textbox>
                  <w:txbxContent>
                    <w:p w14:paraId="3A9B58F1" w14:textId="77777777" w:rsidR="004244D9" w:rsidRDefault="004244D9" w:rsidP="00FD01B5">
                      <w:pPr>
                        <w:pStyle w:val="MainTitle"/>
                      </w:pPr>
                      <w:r>
                        <w:t>Gender segregation in the workplace and its impact on women’s economic equality</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4F3715B" wp14:editId="5A50760A">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1B464F19" w14:textId="454C696A" w:rsidR="004244D9" w:rsidRPr="00B74219" w:rsidRDefault="00EA1470" w:rsidP="002863D7">
                            <w:pPr>
                              <w:pStyle w:val="Date"/>
                            </w:pPr>
                            <w:r>
                              <w:t xml:space="preserve">6 </w:t>
                            </w:r>
                            <w:r w:rsidR="004244D9">
                              <w:t>March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4F3715B"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" filled="f" stroked="f" strokeweight=".5pt">
                <v:path arrowok="t"/>
                <v:textbox>
                  <w:txbxContent>
                    <w:p w14:paraId="1B464F19" w14:textId="454C696A" w:rsidR="004244D9" w:rsidRPr="00B74219" w:rsidRDefault="00EA1470" w:rsidP="002863D7">
                      <w:pPr>
                        <w:pStyle w:val="Date"/>
                      </w:pPr>
                      <w:r>
                        <w:t xml:space="preserve">6 </w:t>
                      </w:r>
                      <w:bookmarkStart w:id="3" w:name="_GoBack"/>
                      <w:bookmarkEnd w:id="3"/>
                      <w:r w:rsidR="004244D9">
                        <w:t>March 2017</w:t>
                      </w:r>
                    </w:p>
                  </w:txbxContent>
                </v:textbox>
              </v:shape>
            </w:pict>
          </mc:Fallback>
        </mc:AlternateContent>
      </w:r>
      <w:bookmarkStart w:id="1" w:name="_Toc209316062"/>
      <w:bookmarkEnd w:id="1"/>
    </w:p>
    <w:p w14:paraId="2352ADC6" w14:textId="5F4AFAA2" w:rsidR="00CF6374" w:rsidRDefault="000957CE">
      <w:pPr>
        <w:pStyle w:val="TOC1"/>
        <w:tabs>
          <w:tab w:val="right" w:leader="dot" w:pos="9913"/>
        </w:tabs>
        <w:rPr>
          <w:rFonts w:eastAsiaTheme="minorEastAsia" w:cstheme="minorBidi"/>
          <w:b w:val="0"/>
          <w:bCs w:val="0"/>
          <w:caps w:val="0"/>
          <w:noProof/>
          <w:sz w:val="24"/>
          <w:szCs w:val="24"/>
          <w:u w:val="none"/>
          <w:lang w:val="en-US" w:eastAsia="en-US"/>
        </w:rPr>
      </w:pPr>
      <w:r>
        <w:rPr>
          <w:sz w:val="18"/>
        </w:rPr>
        <w:lastRenderedPageBreak/>
        <w:fldChar w:fldCharType="begin"/>
      </w:r>
      <w:r>
        <w:rPr>
          <w:sz w:val="18"/>
        </w:rPr>
        <w:instrText xml:space="preserve"> TOC \f \t "Sub 1,1,Sub 2,2,Sub 3,3,sub 4,4" </w:instrText>
      </w:r>
      <w:r>
        <w:rPr>
          <w:sz w:val="18"/>
        </w:rPr>
        <w:fldChar w:fldCharType="separate"/>
      </w:r>
      <w:r w:rsidR="00CF6374">
        <w:rPr>
          <w:noProof/>
        </w:rPr>
        <w:t>Introduction</w:t>
      </w:r>
      <w:r w:rsidR="00CF6374">
        <w:rPr>
          <w:noProof/>
        </w:rPr>
        <w:tab/>
      </w:r>
      <w:r w:rsidR="00CF6374">
        <w:rPr>
          <w:noProof/>
        </w:rPr>
        <w:fldChar w:fldCharType="begin"/>
      </w:r>
      <w:r w:rsidR="00CF6374">
        <w:rPr>
          <w:noProof/>
        </w:rPr>
        <w:instrText xml:space="preserve"> PAGEREF _Toc476597962 \h </w:instrText>
      </w:r>
      <w:r w:rsidR="00CF6374">
        <w:rPr>
          <w:noProof/>
        </w:rPr>
      </w:r>
      <w:r w:rsidR="00CF6374">
        <w:rPr>
          <w:noProof/>
        </w:rPr>
        <w:fldChar w:fldCharType="separate"/>
      </w:r>
      <w:r w:rsidR="004F0B64">
        <w:rPr>
          <w:noProof/>
        </w:rPr>
        <w:t>3</w:t>
      </w:r>
      <w:r w:rsidR="00CF6374">
        <w:rPr>
          <w:noProof/>
        </w:rPr>
        <w:fldChar w:fldCharType="end"/>
      </w:r>
    </w:p>
    <w:p w14:paraId="35E15721" w14:textId="2E2A5296" w:rsidR="00CF6374" w:rsidRDefault="00CF6374">
      <w:pPr>
        <w:pStyle w:val="TOC1"/>
        <w:tabs>
          <w:tab w:val="right" w:leader="dot" w:pos="9913"/>
        </w:tabs>
        <w:rPr>
          <w:rFonts w:eastAsiaTheme="minorEastAsia" w:cstheme="minorBidi"/>
          <w:b w:val="0"/>
          <w:bCs w:val="0"/>
          <w:caps w:val="0"/>
          <w:noProof/>
          <w:sz w:val="24"/>
          <w:szCs w:val="24"/>
          <w:u w:val="none"/>
          <w:lang w:val="en-US" w:eastAsia="en-US"/>
        </w:rPr>
      </w:pPr>
      <w:r>
        <w:rPr>
          <w:noProof/>
        </w:rPr>
        <w:t>Background</w:t>
      </w:r>
      <w:r>
        <w:rPr>
          <w:noProof/>
        </w:rPr>
        <w:tab/>
      </w:r>
      <w:r>
        <w:rPr>
          <w:noProof/>
        </w:rPr>
        <w:fldChar w:fldCharType="begin"/>
      </w:r>
      <w:r>
        <w:rPr>
          <w:noProof/>
        </w:rPr>
        <w:instrText xml:space="preserve"> PAGEREF _Toc476597963 \h </w:instrText>
      </w:r>
      <w:r>
        <w:rPr>
          <w:noProof/>
        </w:rPr>
      </w:r>
      <w:r>
        <w:rPr>
          <w:noProof/>
        </w:rPr>
        <w:fldChar w:fldCharType="separate"/>
      </w:r>
      <w:r w:rsidR="004F0B64">
        <w:rPr>
          <w:noProof/>
        </w:rPr>
        <w:t>4</w:t>
      </w:r>
      <w:r>
        <w:rPr>
          <w:noProof/>
        </w:rPr>
        <w:fldChar w:fldCharType="end"/>
      </w:r>
    </w:p>
    <w:p w14:paraId="20D84A6F" w14:textId="5C99892F" w:rsidR="00CF6374" w:rsidRDefault="00CF6374">
      <w:pPr>
        <w:pStyle w:val="TOC3"/>
        <w:rPr>
          <w:rFonts w:eastAsiaTheme="minorEastAsia" w:cstheme="minorBidi"/>
          <w:caps w:val="0"/>
          <w:noProof/>
          <w:szCs w:val="24"/>
          <w:lang w:val="en-US" w:eastAsia="en-US"/>
        </w:rPr>
      </w:pPr>
      <w:r>
        <w:rPr>
          <w:noProof/>
        </w:rPr>
        <w:t>International human rights obligations and gender segregation</w:t>
      </w:r>
      <w:r>
        <w:rPr>
          <w:noProof/>
        </w:rPr>
        <w:tab/>
      </w:r>
      <w:r>
        <w:rPr>
          <w:noProof/>
        </w:rPr>
        <w:fldChar w:fldCharType="begin"/>
      </w:r>
      <w:r>
        <w:rPr>
          <w:noProof/>
        </w:rPr>
        <w:instrText xml:space="preserve"> PAGEREF _Toc476597964 \h </w:instrText>
      </w:r>
      <w:r>
        <w:rPr>
          <w:noProof/>
        </w:rPr>
      </w:r>
      <w:r>
        <w:rPr>
          <w:noProof/>
        </w:rPr>
        <w:fldChar w:fldCharType="separate"/>
      </w:r>
      <w:r w:rsidR="004F0B64">
        <w:rPr>
          <w:noProof/>
        </w:rPr>
        <w:t>4</w:t>
      </w:r>
      <w:r>
        <w:rPr>
          <w:noProof/>
        </w:rPr>
        <w:fldChar w:fldCharType="end"/>
      </w:r>
    </w:p>
    <w:p w14:paraId="24AC35B4" w14:textId="2F06B8BC" w:rsidR="00CF6374" w:rsidRDefault="00CF6374">
      <w:pPr>
        <w:pStyle w:val="TOC1"/>
        <w:tabs>
          <w:tab w:val="right" w:leader="dot" w:pos="9913"/>
        </w:tabs>
        <w:rPr>
          <w:rFonts w:eastAsiaTheme="minorEastAsia" w:cstheme="minorBidi"/>
          <w:b w:val="0"/>
          <w:bCs w:val="0"/>
          <w:caps w:val="0"/>
          <w:noProof/>
          <w:sz w:val="24"/>
          <w:szCs w:val="24"/>
          <w:u w:val="none"/>
          <w:lang w:val="en-US" w:eastAsia="en-US"/>
        </w:rPr>
      </w:pPr>
      <w:r>
        <w:rPr>
          <w:noProof/>
        </w:rPr>
        <w:t>Contentions and Discussion</w:t>
      </w:r>
      <w:r>
        <w:rPr>
          <w:noProof/>
        </w:rPr>
        <w:tab/>
      </w:r>
      <w:r>
        <w:rPr>
          <w:noProof/>
        </w:rPr>
        <w:fldChar w:fldCharType="begin"/>
      </w:r>
      <w:r>
        <w:rPr>
          <w:noProof/>
        </w:rPr>
        <w:instrText xml:space="preserve"> PAGEREF _Toc476597965 \h </w:instrText>
      </w:r>
      <w:r>
        <w:rPr>
          <w:noProof/>
        </w:rPr>
      </w:r>
      <w:r>
        <w:rPr>
          <w:noProof/>
        </w:rPr>
        <w:fldChar w:fldCharType="separate"/>
      </w:r>
      <w:r w:rsidR="004F0B64">
        <w:rPr>
          <w:noProof/>
        </w:rPr>
        <w:t>5</w:t>
      </w:r>
      <w:r>
        <w:rPr>
          <w:noProof/>
        </w:rPr>
        <w:fldChar w:fldCharType="end"/>
      </w:r>
    </w:p>
    <w:p w14:paraId="7D9508C3" w14:textId="39F316C6" w:rsidR="00CF6374" w:rsidRDefault="00CF6374">
      <w:pPr>
        <w:pStyle w:val="TOC2"/>
        <w:tabs>
          <w:tab w:val="right" w:leader="dot" w:pos="9913"/>
        </w:tabs>
        <w:rPr>
          <w:rFonts w:eastAsiaTheme="minorEastAsia" w:cstheme="minorBidi"/>
          <w:bCs w:val="0"/>
          <w:caps w:val="0"/>
          <w:noProof/>
          <w:sz w:val="24"/>
          <w:szCs w:val="24"/>
          <w:lang w:val="en-US" w:eastAsia="en-US"/>
        </w:rPr>
      </w:pPr>
      <w:r>
        <w:rPr>
          <w:noProof/>
        </w:rPr>
        <w:t>Nature and extent of gender segregation:</w:t>
      </w:r>
      <w:r>
        <w:rPr>
          <w:noProof/>
        </w:rPr>
        <w:tab/>
      </w:r>
      <w:r>
        <w:rPr>
          <w:noProof/>
        </w:rPr>
        <w:fldChar w:fldCharType="begin"/>
      </w:r>
      <w:r>
        <w:rPr>
          <w:noProof/>
        </w:rPr>
        <w:instrText xml:space="preserve"> PAGEREF _Toc476597966 \h </w:instrText>
      </w:r>
      <w:r>
        <w:rPr>
          <w:noProof/>
        </w:rPr>
      </w:r>
      <w:r>
        <w:rPr>
          <w:noProof/>
        </w:rPr>
        <w:fldChar w:fldCharType="separate"/>
      </w:r>
      <w:r w:rsidR="004F0B64">
        <w:rPr>
          <w:noProof/>
        </w:rPr>
        <w:t>5</w:t>
      </w:r>
      <w:r>
        <w:rPr>
          <w:noProof/>
        </w:rPr>
        <w:fldChar w:fldCharType="end"/>
      </w:r>
    </w:p>
    <w:p w14:paraId="597E20E4" w14:textId="2C3DF9AD" w:rsidR="00CF6374" w:rsidRDefault="00CF6374">
      <w:pPr>
        <w:pStyle w:val="TOC4"/>
        <w:rPr>
          <w:rFonts w:eastAsiaTheme="minorEastAsia" w:cstheme="minorBidi"/>
          <w:noProof/>
          <w:szCs w:val="24"/>
          <w:lang w:val="en-US" w:eastAsia="en-US"/>
        </w:rPr>
      </w:pPr>
      <w:r>
        <w:rPr>
          <w:noProof/>
        </w:rPr>
        <w:t>Statistics on gender segregation</w:t>
      </w:r>
      <w:r>
        <w:rPr>
          <w:noProof/>
        </w:rPr>
        <w:tab/>
      </w:r>
      <w:r>
        <w:rPr>
          <w:noProof/>
        </w:rPr>
        <w:fldChar w:fldCharType="begin"/>
      </w:r>
      <w:r>
        <w:rPr>
          <w:noProof/>
        </w:rPr>
        <w:instrText xml:space="preserve"> PAGEREF _Toc476597967 \h </w:instrText>
      </w:r>
      <w:r>
        <w:rPr>
          <w:noProof/>
        </w:rPr>
      </w:r>
      <w:r>
        <w:rPr>
          <w:noProof/>
        </w:rPr>
        <w:fldChar w:fldCharType="separate"/>
      </w:r>
      <w:r w:rsidR="004F0B64">
        <w:rPr>
          <w:noProof/>
        </w:rPr>
        <w:t>5</w:t>
      </w:r>
      <w:r>
        <w:rPr>
          <w:noProof/>
        </w:rPr>
        <w:fldChar w:fldCharType="end"/>
      </w:r>
    </w:p>
    <w:p w14:paraId="56C0B500" w14:textId="7D9786AF" w:rsidR="00CF6374" w:rsidRDefault="00CF6374">
      <w:pPr>
        <w:pStyle w:val="TOC4"/>
        <w:rPr>
          <w:rFonts w:eastAsiaTheme="minorEastAsia" w:cstheme="minorBidi"/>
          <w:noProof/>
          <w:szCs w:val="24"/>
          <w:lang w:val="en-US" w:eastAsia="en-US"/>
        </w:rPr>
      </w:pPr>
      <w:r>
        <w:rPr>
          <w:noProof/>
        </w:rPr>
        <w:t>Management and leadership roles</w:t>
      </w:r>
      <w:r>
        <w:rPr>
          <w:noProof/>
        </w:rPr>
        <w:tab/>
      </w:r>
      <w:r>
        <w:rPr>
          <w:noProof/>
        </w:rPr>
        <w:fldChar w:fldCharType="begin"/>
      </w:r>
      <w:r>
        <w:rPr>
          <w:noProof/>
        </w:rPr>
        <w:instrText xml:space="preserve"> PAGEREF _Toc476597968 \h </w:instrText>
      </w:r>
      <w:r>
        <w:rPr>
          <w:noProof/>
        </w:rPr>
      </w:r>
      <w:r>
        <w:rPr>
          <w:noProof/>
        </w:rPr>
        <w:fldChar w:fldCharType="separate"/>
      </w:r>
      <w:r w:rsidR="004F0B64">
        <w:rPr>
          <w:noProof/>
        </w:rPr>
        <w:t>6</w:t>
      </w:r>
      <w:r>
        <w:rPr>
          <w:noProof/>
        </w:rPr>
        <w:fldChar w:fldCharType="end"/>
      </w:r>
    </w:p>
    <w:p w14:paraId="39ECA99A" w14:textId="3EFD2CA8" w:rsidR="00CF6374" w:rsidRDefault="00CF6374">
      <w:pPr>
        <w:pStyle w:val="TOC4"/>
        <w:rPr>
          <w:rFonts w:eastAsiaTheme="minorEastAsia" w:cstheme="minorBidi"/>
          <w:noProof/>
          <w:szCs w:val="24"/>
          <w:lang w:val="en-US" w:eastAsia="en-US"/>
        </w:rPr>
      </w:pPr>
      <w:r>
        <w:rPr>
          <w:noProof/>
        </w:rPr>
        <w:t>Findings from the Sex Discrimination Commissioner’s 2016 consultations</w:t>
      </w:r>
      <w:r>
        <w:rPr>
          <w:noProof/>
        </w:rPr>
        <w:tab/>
      </w:r>
      <w:r>
        <w:rPr>
          <w:noProof/>
        </w:rPr>
        <w:fldChar w:fldCharType="begin"/>
      </w:r>
      <w:r>
        <w:rPr>
          <w:noProof/>
        </w:rPr>
        <w:instrText xml:space="preserve"> PAGEREF _Toc476597969 \h </w:instrText>
      </w:r>
      <w:r>
        <w:rPr>
          <w:noProof/>
        </w:rPr>
      </w:r>
      <w:r>
        <w:rPr>
          <w:noProof/>
        </w:rPr>
        <w:fldChar w:fldCharType="separate"/>
      </w:r>
      <w:r w:rsidR="004F0B64">
        <w:rPr>
          <w:noProof/>
        </w:rPr>
        <w:t>6</w:t>
      </w:r>
      <w:r>
        <w:rPr>
          <w:noProof/>
        </w:rPr>
        <w:fldChar w:fldCharType="end"/>
      </w:r>
    </w:p>
    <w:p w14:paraId="4733424D" w14:textId="50EF021F" w:rsidR="00CF6374" w:rsidRDefault="00CF6374">
      <w:pPr>
        <w:pStyle w:val="TOC4"/>
        <w:rPr>
          <w:rFonts w:eastAsiaTheme="minorEastAsia" w:cstheme="minorBidi"/>
          <w:noProof/>
          <w:szCs w:val="24"/>
          <w:lang w:val="en-US" w:eastAsia="en-US"/>
        </w:rPr>
      </w:pPr>
      <w:r>
        <w:rPr>
          <w:noProof/>
        </w:rPr>
        <w:t>Previous Commission research</w:t>
      </w:r>
      <w:r>
        <w:rPr>
          <w:noProof/>
        </w:rPr>
        <w:tab/>
      </w:r>
      <w:r>
        <w:rPr>
          <w:noProof/>
        </w:rPr>
        <w:fldChar w:fldCharType="begin"/>
      </w:r>
      <w:r>
        <w:rPr>
          <w:noProof/>
        </w:rPr>
        <w:instrText xml:space="preserve"> PAGEREF _Toc476597970 \h </w:instrText>
      </w:r>
      <w:r>
        <w:rPr>
          <w:noProof/>
        </w:rPr>
      </w:r>
      <w:r>
        <w:rPr>
          <w:noProof/>
        </w:rPr>
        <w:fldChar w:fldCharType="separate"/>
      </w:r>
      <w:r w:rsidR="004F0B64">
        <w:rPr>
          <w:noProof/>
        </w:rPr>
        <w:t>7</w:t>
      </w:r>
      <w:r>
        <w:rPr>
          <w:noProof/>
        </w:rPr>
        <w:fldChar w:fldCharType="end"/>
      </w:r>
    </w:p>
    <w:p w14:paraId="14835725" w14:textId="06E15233" w:rsidR="00CF6374" w:rsidRDefault="00CF6374">
      <w:pPr>
        <w:pStyle w:val="TOC2"/>
        <w:tabs>
          <w:tab w:val="right" w:leader="dot" w:pos="9913"/>
        </w:tabs>
        <w:rPr>
          <w:rFonts w:eastAsiaTheme="minorEastAsia" w:cstheme="minorBidi"/>
          <w:bCs w:val="0"/>
          <w:caps w:val="0"/>
          <w:noProof/>
          <w:sz w:val="24"/>
          <w:szCs w:val="24"/>
          <w:lang w:val="en-US" w:eastAsia="en-US"/>
        </w:rPr>
      </w:pPr>
      <w:r>
        <w:rPr>
          <w:noProof/>
        </w:rPr>
        <w:t>Impact of gender segregation:</w:t>
      </w:r>
      <w:r>
        <w:rPr>
          <w:noProof/>
        </w:rPr>
        <w:tab/>
      </w:r>
      <w:r>
        <w:rPr>
          <w:noProof/>
        </w:rPr>
        <w:fldChar w:fldCharType="begin"/>
      </w:r>
      <w:r>
        <w:rPr>
          <w:noProof/>
        </w:rPr>
        <w:instrText xml:space="preserve"> PAGEREF _Toc476597971 \h </w:instrText>
      </w:r>
      <w:r>
        <w:rPr>
          <w:noProof/>
        </w:rPr>
      </w:r>
      <w:r>
        <w:rPr>
          <w:noProof/>
        </w:rPr>
        <w:fldChar w:fldCharType="separate"/>
      </w:r>
      <w:r w:rsidR="004F0B64">
        <w:rPr>
          <w:noProof/>
        </w:rPr>
        <w:t>7</w:t>
      </w:r>
      <w:r>
        <w:rPr>
          <w:noProof/>
        </w:rPr>
        <w:fldChar w:fldCharType="end"/>
      </w:r>
    </w:p>
    <w:p w14:paraId="0DB2F1BF" w14:textId="652DCF72" w:rsidR="00CF6374" w:rsidRDefault="00CF6374">
      <w:pPr>
        <w:pStyle w:val="TOC4"/>
        <w:rPr>
          <w:rFonts w:eastAsiaTheme="minorEastAsia" w:cstheme="minorBidi"/>
          <w:noProof/>
          <w:szCs w:val="24"/>
          <w:lang w:val="en-US" w:eastAsia="en-US"/>
        </w:rPr>
      </w:pPr>
      <w:r>
        <w:rPr>
          <w:noProof/>
        </w:rPr>
        <w:t>Statistics on the gender pay gap</w:t>
      </w:r>
      <w:r>
        <w:rPr>
          <w:noProof/>
        </w:rPr>
        <w:tab/>
      </w:r>
      <w:r>
        <w:rPr>
          <w:noProof/>
        </w:rPr>
        <w:fldChar w:fldCharType="begin"/>
      </w:r>
      <w:r>
        <w:rPr>
          <w:noProof/>
        </w:rPr>
        <w:instrText xml:space="preserve"> PAGEREF _Toc476597972 \h </w:instrText>
      </w:r>
      <w:r>
        <w:rPr>
          <w:noProof/>
        </w:rPr>
      </w:r>
      <w:r>
        <w:rPr>
          <w:noProof/>
        </w:rPr>
        <w:fldChar w:fldCharType="separate"/>
      </w:r>
      <w:r w:rsidR="004F0B64">
        <w:rPr>
          <w:noProof/>
        </w:rPr>
        <w:t>8</w:t>
      </w:r>
      <w:r>
        <w:rPr>
          <w:noProof/>
        </w:rPr>
        <w:fldChar w:fldCharType="end"/>
      </w:r>
    </w:p>
    <w:p w14:paraId="24F0F4EB" w14:textId="1F0EF1AD" w:rsidR="00CF6374" w:rsidRDefault="00CF6374">
      <w:pPr>
        <w:pStyle w:val="TOC4"/>
        <w:rPr>
          <w:rFonts w:eastAsiaTheme="minorEastAsia" w:cstheme="minorBidi"/>
          <w:noProof/>
          <w:szCs w:val="24"/>
          <w:lang w:val="en-US" w:eastAsia="en-US"/>
        </w:rPr>
      </w:pPr>
      <w:r>
        <w:rPr>
          <w:noProof/>
        </w:rPr>
        <w:t>Findings from the Sex Discrimination Commissioner’s 2016 consultations</w:t>
      </w:r>
      <w:r>
        <w:rPr>
          <w:noProof/>
        </w:rPr>
        <w:tab/>
      </w:r>
      <w:r>
        <w:rPr>
          <w:noProof/>
        </w:rPr>
        <w:fldChar w:fldCharType="begin"/>
      </w:r>
      <w:r>
        <w:rPr>
          <w:noProof/>
        </w:rPr>
        <w:instrText xml:space="preserve"> PAGEREF _Toc476597973 \h </w:instrText>
      </w:r>
      <w:r>
        <w:rPr>
          <w:noProof/>
        </w:rPr>
      </w:r>
      <w:r>
        <w:rPr>
          <w:noProof/>
        </w:rPr>
        <w:fldChar w:fldCharType="separate"/>
      </w:r>
      <w:r w:rsidR="004F0B64">
        <w:rPr>
          <w:noProof/>
        </w:rPr>
        <w:t>8</w:t>
      </w:r>
      <w:r>
        <w:rPr>
          <w:noProof/>
        </w:rPr>
        <w:fldChar w:fldCharType="end"/>
      </w:r>
    </w:p>
    <w:p w14:paraId="4AF0AE9E" w14:textId="721E660E" w:rsidR="00CF6374" w:rsidRDefault="00CF6374">
      <w:pPr>
        <w:pStyle w:val="TOC4"/>
        <w:rPr>
          <w:rFonts w:eastAsiaTheme="minorEastAsia" w:cstheme="minorBidi"/>
          <w:noProof/>
          <w:szCs w:val="24"/>
          <w:lang w:val="en-US" w:eastAsia="en-US"/>
        </w:rPr>
      </w:pPr>
      <w:r>
        <w:rPr>
          <w:noProof/>
        </w:rPr>
        <w:t>Previous Commission research</w:t>
      </w:r>
      <w:r>
        <w:rPr>
          <w:noProof/>
        </w:rPr>
        <w:tab/>
      </w:r>
      <w:r>
        <w:rPr>
          <w:noProof/>
        </w:rPr>
        <w:fldChar w:fldCharType="begin"/>
      </w:r>
      <w:r>
        <w:rPr>
          <w:noProof/>
        </w:rPr>
        <w:instrText xml:space="preserve"> PAGEREF _Toc476597974 \h </w:instrText>
      </w:r>
      <w:r>
        <w:rPr>
          <w:noProof/>
        </w:rPr>
      </w:r>
      <w:r>
        <w:rPr>
          <w:noProof/>
        </w:rPr>
        <w:fldChar w:fldCharType="separate"/>
      </w:r>
      <w:r w:rsidR="004F0B64">
        <w:rPr>
          <w:noProof/>
        </w:rPr>
        <w:t>9</w:t>
      </w:r>
      <w:r>
        <w:rPr>
          <w:noProof/>
        </w:rPr>
        <w:fldChar w:fldCharType="end"/>
      </w:r>
    </w:p>
    <w:p w14:paraId="0E67B5AC" w14:textId="5361C906" w:rsidR="00CF6374" w:rsidRDefault="00CF6374">
      <w:pPr>
        <w:pStyle w:val="TOC2"/>
        <w:tabs>
          <w:tab w:val="right" w:leader="dot" w:pos="9913"/>
        </w:tabs>
        <w:rPr>
          <w:rFonts w:eastAsiaTheme="minorEastAsia" w:cstheme="minorBidi"/>
          <w:bCs w:val="0"/>
          <w:caps w:val="0"/>
          <w:noProof/>
          <w:sz w:val="24"/>
          <w:szCs w:val="24"/>
          <w:lang w:val="en-US" w:eastAsia="en-US"/>
        </w:rPr>
      </w:pPr>
      <w:r>
        <w:rPr>
          <w:noProof/>
        </w:rPr>
        <w:t>Case for changing gender segregation:</w:t>
      </w:r>
      <w:r>
        <w:rPr>
          <w:noProof/>
        </w:rPr>
        <w:tab/>
      </w:r>
      <w:r>
        <w:rPr>
          <w:noProof/>
        </w:rPr>
        <w:fldChar w:fldCharType="begin"/>
      </w:r>
      <w:r>
        <w:rPr>
          <w:noProof/>
        </w:rPr>
        <w:instrText xml:space="preserve"> PAGEREF _Toc476597975 \h </w:instrText>
      </w:r>
      <w:r>
        <w:rPr>
          <w:noProof/>
        </w:rPr>
      </w:r>
      <w:r>
        <w:rPr>
          <w:noProof/>
        </w:rPr>
        <w:fldChar w:fldCharType="separate"/>
      </w:r>
      <w:r w:rsidR="004F0B64">
        <w:rPr>
          <w:noProof/>
        </w:rPr>
        <w:t>10</w:t>
      </w:r>
      <w:r>
        <w:rPr>
          <w:noProof/>
        </w:rPr>
        <w:fldChar w:fldCharType="end"/>
      </w:r>
    </w:p>
    <w:p w14:paraId="3BB14BE5" w14:textId="1BCBEA91" w:rsidR="00CF6374" w:rsidRDefault="00CF6374">
      <w:pPr>
        <w:pStyle w:val="TOC3"/>
        <w:rPr>
          <w:rFonts w:eastAsiaTheme="minorEastAsia" w:cstheme="minorBidi"/>
          <w:caps w:val="0"/>
          <w:noProof/>
          <w:szCs w:val="24"/>
          <w:lang w:val="en-US" w:eastAsia="en-US"/>
        </w:rPr>
      </w:pPr>
      <w:r>
        <w:rPr>
          <w:noProof/>
        </w:rPr>
        <w:t>The case for improving gender balance in male-dominated industries and workforces</w:t>
      </w:r>
      <w:r>
        <w:rPr>
          <w:noProof/>
        </w:rPr>
        <w:tab/>
      </w:r>
      <w:r>
        <w:rPr>
          <w:noProof/>
        </w:rPr>
        <w:fldChar w:fldCharType="begin"/>
      </w:r>
      <w:r>
        <w:rPr>
          <w:noProof/>
        </w:rPr>
        <w:instrText xml:space="preserve"> PAGEREF _Toc476597976 \h </w:instrText>
      </w:r>
      <w:r>
        <w:rPr>
          <w:noProof/>
        </w:rPr>
      </w:r>
      <w:r>
        <w:rPr>
          <w:noProof/>
        </w:rPr>
        <w:fldChar w:fldCharType="separate"/>
      </w:r>
      <w:r w:rsidR="004F0B64">
        <w:rPr>
          <w:noProof/>
        </w:rPr>
        <w:t>10</w:t>
      </w:r>
      <w:r>
        <w:rPr>
          <w:noProof/>
        </w:rPr>
        <w:fldChar w:fldCharType="end"/>
      </w:r>
    </w:p>
    <w:p w14:paraId="1BB963D0" w14:textId="086EF237" w:rsidR="00CF6374" w:rsidRDefault="00CF6374">
      <w:pPr>
        <w:pStyle w:val="TOC4"/>
        <w:rPr>
          <w:rFonts w:eastAsiaTheme="minorEastAsia" w:cstheme="minorBidi"/>
          <w:noProof/>
          <w:szCs w:val="24"/>
          <w:lang w:val="en-US" w:eastAsia="en-US"/>
        </w:rPr>
      </w:pPr>
      <w:r>
        <w:rPr>
          <w:noProof/>
        </w:rPr>
        <w:t>Previous Commission research</w:t>
      </w:r>
      <w:r>
        <w:rPr>
          <w:noProof/>
        </w:rPr>
        <w:tab/>
      </w:r>
      <w:r>
        <w:rPr>
          <w:noProof/>
        </w:rPr>
        <w:fldChar w:fldCharType="begin"/>
      </w:r>
      <w:r>
        <w:rPr>
          <w:noProof/>
        </w:rPr>
        <w:instrText xml:space="preserve"> PAGEREF _Toc476597977 \h </w:instrText>
      </w:r>
      <w:r>
        <w:rPr>
          <w:noProof/>
        </w:rPr>
      </w:r>
      <w:r>
        <w:rPr>
          <w:noProof/>
        </w:rPr>
        <w:fldChar w:fldCharType="separate"/>
      </w:r>
      <w:r w:rsidR="004F0B64">
        <w:rPr>
          <w:noProof/>
        </w:rPr>
        <w:t>10</w:t>
      </w:r>
      <w:r>
        <w:rPr>
          <w:noProof/>
        </w:rPr>
        <w:fldChar w:fldCharType="end"/>
      </w:r>
    </w:p>
    <w:p w14:paraId="3236F150" w14:textId="21464033" w:rsidR="00CF6374" w:rsidRDefault="00CF6374">
      <w:pPr>
        <w:pStyle w:val="TOC3"/>
        <w:rPr>
          <w:rFonts w:eastAsiaTheme="minorEastAsia" w:cstheme="minorBidi"/>
          <w:caps w:val="0"/>
          <w:noProof/>
          <w:szCs w:val="24"/>
          <w:lang w:val="en-US" w:eastAsia="en-US"/>
        </w:rPr>
      </w:pPr>
      <w:r w:rsidRPr="007F2450">
        <w:rPr>
          <w:noProof/>
        </w:rPr>
        <w:t>Female-dominated industries – the case for improving gender balance in unpaid and caring workforces.</w:t>
      </w:r>
      <w:r>
        <w:rPr>
          <w:noProof/>
        </w:rPr>
        <w:tab/>
      </w:r>
      <w:r>
        <w:rPr>
          <w:noProof/>
        </w:rPr>
        <w:fldChar w:fldCharType="begin"/>
      </w:r>
      <w:r>
        <w:rPr>
          <w:noProof/>
        </w:rPr>
        <w:instrText xml:space="preserve"> PAGEREF _Toc476597978 \h </w:instrText>
      </w:r>
      <w:r>
        <w:rPr>
          <w:noProof/>
        </w:rPr>
      </w:r>
      <w:r>
        <w:rPr>
          <w:noProof/>
        </w:rPr>
        <w:fldChar w:fldCharType="separate"/>
      </w:r>
      <w:r w:rsidR="004F0B64">
        <w:rPr>
          <w:noProof/>
        </w:rPr>
        <w:t>11</w:t>
      </w:r>
      <w:r>
        <w:rPr>
          <w:noProof/>
        </w:rPr>
        <w:fldChar w:fldCharType="end"/>
      </w:r>
    </w:p>
    <w:p w14:paraId="00D4603C" w14:textId="348A28CB" w:rsidR="00CF6374" w:rsidRDefault="00CF6374">
      <w:pPr>
        <w:pStyle w:val="TOC4"/>
        <w:rPr>
          <w:rFonts w:eastAsiaTheme="minorEastAsia" w:cstheme="minorBidi"/>
          <w:noProof/>
          <w:szCs w:val="24"/>
          <w:lang w:val="en-US" w:eastAsia="en-US"/>
        </w:rPr>
      </w:pPr>
      <w:r>
        <w:rPr>
          <w:noProof/>
        </w:rPr>
        <w:t>Statistics on unpaid work</w:t>
      </w:r>
      <w:r>
        <w:rPr>
          <w:noProof/>
        </w:rPr>
        <w:tab/>
      </w:r>
      <w:r>
        <w:rPr>
          <w:noProof/>
        </w:rPr>
        <w:fldChar w:fldCharType="begin"/>
      </w:r>
      <w:r>
        <w:rPr>
          <w:noProof/>
        </w:rPr>
        <w:instrText xml:space="preserve"> PAGEREF _Toc476597979 \h </w:instrText>
      </w:r>
      <w:r>
        <w:rPr>
          <w:noProof/>
        </w:rPr>
      </w:r>
      <w:r>
        <w:rPr>
          <w:noProof/>
        </w:rPr>
        <w:fldChar w:fldCharType="separate"/>
      </w:r>
      <w:r w:rsidR="004F0B64">
        <w:rPr>
          <w:noProof/>
        </w:rPr>
        <w:t>12</w:t>
      </w:r>
      <w:r>
        <w:rPr>
          <w:noProof/>
        </w:rPr>
        <w:fldChar w:fldCharType="end"/>
      </w:r>
    </w:p>
    <w:p w14:paraId="6E7C8CED" w14:textId="7DF286F9" w:rsidR="00CF6374" w:rsidRDefault="00CF6374">
      <w:pPr>
        <w:pStyle w:val="TOC4"/>
        <w:rPr>
          <w:rFonts w:eastAsiaTheme="minorEastAsia" w:cstheme="minorBidi"/>
          <w:noProof/>
          <w:szCs w:val="24"/>
          <w:lang w:val="en-US" w:eastAsia="en-US"/>
        </w:rPr>
      </w:pPr>
      <w:r>
        <w:rPr>
          <w:noProof/>
        </w:rPr>
        <w:t>Findings from the Sex Discrimination Commissioner’s 2016 consultations</w:t>
      </w:r>
      <w:r>
        <w:rPr>
          <w:noProof/>
        </w:rPr>
        <w:tab/>
      </w:r>
      <w:r>
        <w:rPr>
          <w:noProof/>
        </w:rPr>
        <w:fldChar w:fldCharType="begin"/>
      </w:r>
      <w:r>
        <w:rPr>
          <w:noProof/>
        </w:rPr>
        <w:instrText xml:space="preserve"> PAGEREF _Toc476597980 \h </w:instrText>
      </w:r>
      <w:r>
        <w:rPr>
          <w:noProof/>
        </w:rPr>
      </w:r>
      <w:r>
        <w:rPr>
          <w:noProof/>
        </w:rPr>
        <w:fldChar w:fldCharType="separate"/>
      </w:r>
      <w:r w:rsidR="004F0B64">
        <w:rPr>
          <w:noProof/>
        </w:rPr>
        <w:t>12</w:t>
      </w:r>
      <w:r>
        <w:rPr>
          <w:noProof/>
        </w:rPr>
        <w:fldChar w:fldCharType="end"/>
      </w:r>
    </w:p>
    <w:p w14:paraId="3B37439B" w14:textId="5BBB0CC4" w:rsidR="00CF6374" w:rsidRDefault="00CF6374">
      <w:pPr>
        <w:pStyle w:val="TOC4"/>
        <w:rPr>
          <w:rFonts w:eastAsiaTheme="minorEastAsia" w:cstheme="minorBidi"/>
          <w:noProof/>
          <w:szCs w:val="24"/>
          <w:lang w:val="en-US" w:eastAsia="en-US"/>
        </w:rPr>
      </w:pPr>
      <w:r>
        <w:rPr>
          <w:noProof/>
        </w:rPr>
        <w:t>Previous Commission research</w:t>
      </w:r>
      <w:r>
        <w:rPr>
          <w:noProof/>
        </w:rPr>
        <w:tab/>
      </w:r>
      <w:r>
        <w:rPr>
          <w:noProof/>
        </w:rPr>
        <w:fldChar w:fldCharType="begin"/>
      </w:r>
      <w:r>
        <w:rPr>
          <w:noProof/>
        </w:rPr>
        <w:instrText xml:space="preserve"> PAGEREF _Toc476597981 \h </w:instrText>
      </w:r>
      <w:r>
        <w:rPr>
          <w:noProof/>
        </w:rPr>
      </w:r>
      <w:r>
        <w:rPr>
          <w:noProof/>
        </w:rPr>
        <w:fldChar w:fldCharType="separate"/>
      </w:r>
      <w:r w:rsidR="004F0B64">
        <w:rPr>
          <w:noProof/>
        </w:rPr>
        <w:t>13</w:t>
      </w:r>
      <w:r>
        <w:rPr>
          <w:noProof/>
        </w:rPr>
        <w:fldChar w:fldCharType="end"/>
      </w:r>
    </w:p>
    <w:p w14:paraId="522958B7" w14:textId="50263212" w:rsidR="00CF6374" w:rsidRDefault="00CF6374">
      <w:pPr>
        <w:pStyle w:val="TOC2"/>
        <w:tabs>
          <w:tab w:val="right" w:leader="dot" w:pos="9913"/>
        </w:tabs>
        <w:rPr>
          <w:rFonts w:eastAsiaTheme="minorEastAsia" w:cstheme="minorBidi"/>
          <w:bCs w:val="0"/>
          <w:caps w:val="0"/>
          <w:noProof/>
          <w:sz w:val="24"/>
          <w:szCs w:val="24"/>
          <w:lang w:val="en-US" w:eastAsia="en-US"/>
        </w:rPr>
      </w:pPr>
      <w:r>
        <w:rPr>
          <w:noProof/>
        </w:rPr>
        <w:t>Broader consequences of the status quo:</w:t>
      </w:r>
      <w:r>
        <w:rPr>
          <w:noProof/>
        </w:rPr>
        <w:tab/>
      </w:r>
      <w:r>
        <w:rPr>
          <w:noProof/>
        </w:rPr>
        <w:fldChar w:fldCharType="begin"/>
      </w:r>
      <w:r>
        <w:rPr>
          <w:noProof/>
        </w:rPr>
        <w:instrText xml:space="preserve"> PAGEREF _Toc476597982 \h </w:instrText>
      </w:r>
      <w:r>
        <w:rPr>
          <w:noProof/>
        </w:rPr>
      </w:r>
      <w:r>
        <w:rPr>
          <w:noProof/>
        </w:rPr>
        <w:fldChar w:fldCharType="separate"/>
      </w:r>
      <w:r w:rsidR="004F0B64">
        <w:rPr>
          <w:noProof/>
        </w:rPr>
        <w:t>14</w:t>
      </w:r>
      <w:r>
        <w:rPr>
          <w:noProof/>
        </w:rPr>
        <w:fldChar w:fldCharType="end"/>
      </w:r>
    </w:p>
    <w:p w14:paraId="173D424B" w14:textId="305EB728" w:rsidR="00CF6374" w:rsidRDefault="00CF6374">
      <w:pPr>
        <w:pStyle w:val="TOC3"/>
        <w:rPr>
          <w:rFonts w:eastAsiaTheme="minorEastAsia" w:cstheme="minorBidi"/>
          <w:caps w:val="0"/>
          <w:noProof/>
          <w:szCs w:val="24"/>
          <w:lang w:val="en-US" w:eastAsia="en-US"/>
        </w:rPr>
      </w:pPr>
      <w:r>
        <w:rPr>
          <w:noProof/>
        </w:rPr>
        <w:t>Vulnerability of women in female-dominated industries</w:t>
      </w:r>
      <w:r>
        <w:rPr>
          <w:noProof/>
        </w:rPr>
        <w:tab/>
      </w:r>
      <w:r>
        <w:rPr>
          <w:noProof/>
        </w:rPr>
        <w:fldChar w:fldCharType="begin"/>
      </w:r>
      <w:r>
        <w:rPr>
          <w:noProof/>
        </w:rPr>
        <w:instrText xml:space="preserve"> PAGEREF _Toc476597983 \h </w:instrText>
      </w:r>
      <w:r>
        <w:rPr>
          <w:noProof/>
        </w:rPr>
      </w:r>
      <w:r>
        <w:rPr>
          <w:noProof/>
        </w:rPr>
        <w:fldChar w:fldCharType="separate"/>
      </w:r>
      <w:r w:rsidR="004F0B64">
        <w:rPr>
          <w:noProof/>
        </w:rPr>
        <w:t>14</w:t>
      </w:r>
      <w:r>
        <w:rPr>
          <w:noProof/>
        </w:rPr>
        <w:fldChar w:fldCharType="end"/>
      </w:r>
    </w:p>
    <w:p w14:paraId="2424FA9C" w14:textId="2D34586B" w:rsidR="00CF6374" w:rsidRDefault="00CF6374">
      <w:pPr>
        <w:pStyle w:val="TOC4"/>
        <w:rPr>
          <w:rFonts w:eastAsiaTheme="minorEastAsia" w:cstheme="minorBidi"/>
          <w:noProof/>
          <w:szCs w:val="24"/>
          <w:lang w:val="en-US" w:eastAsia="en-US"/>
        </w:rPr>
      </w:pPr>
      <w:r>
        <w:rPr>
          <w:noProof/>
        </w:rPr>
        <w:t>Statistics on female-dominated work</w:t>
      </w:r>
      <w:r>
        <w:rPr>
          <w:noProof/>
        </w:rPr>
        <w:tab/>
      </w:r>
      <w:r>
        <w:rPr>
          <w:noProof/>
        </w:rPr>
        <w:fldChar w:fldCharType="begin"/>
      </w:r>
      <w:r>
        <w:rPr>
          <w:noProof/>
        </w:rPr>
        <w:instrText xml:space="preserve"> PAGEREF _Toc476597984 \h </w:instrText>
      </w:r>
      <w:r>
        <w:rPr>
          <w:noProof/>
        </w:rPr>
      </w:r>
      <w:r>
        <w:rPr>
          <w:noProof/>
        </w:rPr>
        <w:fldChar w:fldCharType="separate"/>
      </w:r>
      <w:r w:rsidR="004F0B64">
        <w:rPr>
          <w:noProof/>
        </w:rPr>
        <w:t>14</w:t>
      </w:r>
      <w:r>
        <w:rPr>
          <w:noProof/>
        </w:rPr>
        <w:fldChar w:fldCharType="end"/>
      </w:r>
    </w:p>
    <w:p w14:paraId="39AEF176" w14:textId="07633F64" w:rsidR="00CF6374" w:rsidRDefault="00CF6374">
      <w:pPr>
        <w:pStyle w:val="TOC4"/>
        <w:rPr>
          <w:rFonts w:eastAsiaTheme="minorEastAsia" w:cstheme="minorBidi"/>
          <w:noProof/>
          <w:szCs w:val="24"/>
          <w:lang w:val="en-US" w:eastAsia="en-US"/>
        </w:rPr>
      </w:pPr>
      <w:r>
        <w:rPr>
          <w:noProof/>
        </w:rPr>
        <w:t>Findings from the Sex Discrimination Commissioner’s 2016 consultations</w:t>
      </w:r>
      <w:r>
        <w:rPr>
          <w:noProof/>
        </w:rPr>
        <w:tab/>
      </w:r>
      <w:r>
        <w:rPr>
          <w:noProof/>
        </w:rPr>
        <w:fldChar w:fldCharType="begin"/>
      </w:r>
      <w:r>
        <w:rPr>
          <w:noProof/>
        </w:rPr>
        <w:instrText xml:space="preserve"> PAGEREF _Toc476597985 \h </w:instrText>
      </w:r>
      <w:r>
        <w:rPr>
          <w:noProof/>
        </w:rPr>
      </w:r>
      <w:r>
        <w:rPr>
          <w:noProof/>
        </w:rPr>
        <w:fldChar w:fldCharType="separate"/>
      </w:r>
      <w:r w:rsidR="004F0B64">
        <w:rPr>
          <w:noProof/>
        </w:rPr>
        <w:t>14</w:t>
      </w:r>
      <w:r>
        <w:rPr>
          <w:noProof/>
        </w:rPr>
        <w:fldChar w:fldCharType="end"/>
      </w:r>
    </w:p>
    <w:p w14:paraId="07721DF4" w14:textId="23395F4B" w:rsidR="00CF6374" w:rsidRDefault="00CF6374">
      <w:pPr>
        <w:pStyle w:val="TOC4"/>
        <w:rPr>
          <w:rFonts w:eastAsiaTheme="minorEastAsia" w:cstheme="minorBidi"/>
          <w:noProof/>
          <w:szCs w:val="24"/>
          <w:lang w:val="en-US" w:eastAsia="en-US"/>
        </w:rPr>
      </w:pPr>
      <w:r>
        <w:rPr>
          <w:noProof/>
        </w:rPr>
        <w:t>Other research</w:t>
      </w:r>
      <w:r>
        <w:rPr>
          <w:noProof/>
        </w:rPr>
        <w:tab/>
      </w:r>
      <w:r>
        <w:rPr>
          <w:noProof/>
        </w:rPr>
        <w:fldChar w:fldCharType="begin"/>
      </w:r>
      <w:r>
        <w:rPr>
          <w:noProof/>
        </w:rPr>
        <w:instrText xml:space="preserve"> PAGEREF _Toc476597986 \h </w:instrText>
      </w:r>
      <w:r>
        <w:rPr>
          <w:noProof/>
        </w:rPr>
      </w:r>
      <w:r>
        <w:rPr>
          <w:noProof/>
        </w:rPr>
        <w:fldChar w:fldCharType="separate"/>
      </w:r>
      <w:r w:rsidR="004F0B64">
        <w:rPr>
          <w:noProof/>
        </w:rPr>
        <w:t>15</w:t>
      </w:r>
      <w:r>
        <w:rPr>
          <w:noProof/>
        </w:rPr>
        <w:fldChar w:fldCharType="end"/>
      </w:r>
    </w:p>
    <w:p w14:paraId="3FF3C433" w14:textId="6A32721E" w:rsidR="00CF6374" w:rsidRDefault="00CF6374">
      <w:pPr>
        <w:pStyle w:val="TOC3"/>
        <w:rPr>
          <w:rFonts w:eastAsiaTheme="minorEastAsia" w:cstheme="minorBidi"/>
          <w:caps w:val="0"/>
          <w:noProof/>
          <w:szCs w:val="24"/>
          <w:lang w:val="en-US" w:eastAsia="en-US"/>
        </w:rPr>
      </w:pPr>
      <w:r>
        <w:rPr>
          <w:noProof/>
        </w:rPr>
        <w:t>Sexual harassment and sex discrimination in gender segregated industries</w:t>
      </w:r>
      <w:r>
        <w:rPr>
          <w:noProof/>
        </w:rPr>
        <w:tab/>
      </w:r>
      <w:r>
        <w:rPr>
          <w:noProof/>
        </w:rPr>
        <w:fldChar w:fldCharType="begin"/>
      </w:r>
      <w:r>
        <w:rPr>
          <w:noProof/>
        </w:rPr>
        <w:instrText xml:space="preserve"> PAGEREF _Toc476597987 \h </w:instrText>
      </w:r>
      <w:r>
        <w:rPr>
          <w:noProof/>
        </w:rPr>
      </w:r>
      <w:r>
        <w:rPr>
          <w:noProof/>
        </w:rPr>
        <w:fldChar w:fldCharType="separate"/>
      </w:r>
      <w:r w:rsidR="004F0B64">
        <w:rPr>
          <w:noProof/>
        </w:rPr>
        <w:t>16</w:t>
      </w:r>
      <w:r>
        <w:rPr>
          <w:noProof/>
        </w:rPr>
        <w:fldChar w:fldCharType="end"/>
      </w:r>
    </w:p>
    <w:p w14:paraId="05BAB8F7" w14:textId="37395A0C" w:rsidR="00CF6374" w:rsidRDefault="00CF6374">
      <w:pPr>
        <w:pStyle w:val="TOC4"/>
        <w:rPr>
          <w:rFonts w:eastAsiaTheme="minorEastAsia" w:cstheme="minorBidi"/>
          <w:noProof/>
          <w:szCs w:val="24"/>
          <w:lang w:val="en-US" w:eastAsia="en-US"/>
        </w:rPr>
      </w:pPr>
      <w:r>
        <w:rPr>
          <w:noProof/>
        </w:rPr>
        <w:t>Findings from the Sex Discrimination Commissioner’s 2016 consultations</w:t>
      </w:r>
      <w:r>
        <w:rPr>
          <w:noProof/>
        </w:rPr>
        <w:tab/>
      </w:r>
      <w:r>
        <w:rPr>
          <w:noProof/>
        </w:rPr>
        <w:fldChar w:fldCharType="begin"/>
      </w:r>
      <w:r>
        <w:rPr>
          <w:noProof/>
        </w:rPr>
        <w:instrText xml:space="preserve"> PAGEREF _Toc476597988 \h </w:instrText>
      </w:r>
      <w:r>
        <w:rPr>
          <w:noProof/>
        </w:rPr>
      </w:r>
      <w:r>
        <w:rPr>
          <w:noProof/>
        </w:rPr>
        <w:fldChar w:fldCharType="separate"/>
      </w:r>
      <w:r w:rsidR="004F0B64">
        <w:rPr>
          <w:noProof/>
        </w:rPr>
        <w:t>16</w:t>
      </w:r>
      <w:r>
        <w:rPr>
          <w:noProof/>
        </w:rPr>
        <w:fldChar w:fldCharType="end"/>
      </w:r>
    </w:p>
    <w:p w14:paraId="67568670" w14:textId="77111C59" w:rsidR="00CF6374" w:rsidRDefault="00CF6374">
      <w:pPr>
        <w:pStyle w:val="TOC4"/>
        <w:rPr>
          <w:rFonts w:eastAsiaTheme="minorEastAsia" w:cstheme="minorBidi"/>
          <w:noProof/>
          <w:szCs w:val="24"/>
          <w:lang w:val="en-US" w:eastAsia="en-US"/>
        </w:rPr>
      </w:pPr>
      <w:r>
        <w:rPr>
          <w:noProof/>
        </w:rPr>
        <w:t>Other research</w:t>
      </w:r>
      <w:r>
        <w:rPr>
          <w:noProof/>
        </w:rPr>
        <w:tab/>
      </w:r>
      <w:r>
        <w:rPr>
          <w:noProof/>
        </w:rPr>
        <w:fldChar w:fldCharType="begin"/>
      </w:r>
      <w:r>
        <w:rPr>
          <w:noProof/>
        </w:rPr>
        <w:instrText xml:space="preserve"> PAGEREF _Toc476597989 \h </w:instrText>
      </w:r>
      <w:r>
        <w:rPr>
          <w:noProof/>
        </w:rPr>
      </w:r>
      <w:r>
        <w:rPr>
          <w:noProof/>
        </w:rPr>
        <w:fldChar w:fldCharType="separate"/>
      </w:r>
      <w:r w:rsidR="004F0B64">
        <w:rPr>
          <w:noProof/>
        </w:rPr>
        <w:t>17</w:t>
      </w:r>
      <w:r>
        <w:rPr>
          <w:noProof/>
        </w:rPr>
        <w:fldChar w:fldCharType="end"/>
      </w:r>
    </w:p>
    <w:p w14:paraId="7D70650E" w14:textId="5F8308A7" w:rsidR="00CF6374" w:rsidRDefault="00CF6374">
      <w:pPr>
        <w:pStyle w:val="TOC1"/>
        <w:tabs>
          <w:tab w:val="right" w:leader="dot" w:pos="9913"/>
        </w:tabs>
        <w:rPr>
          <w:rFonts w:eastAsiaTheme="minorEastAsia" w:cstheme="minorBidi"/>
          <w:b w:val="0"/>
          <w:bCs w:val="0"/>
          <w:caps w:val="0"/>
          <w:noProof/>
          <w:sz w:val="24"/>
          <w:szCs w:val="24"/>
          <w:u w:val="none"/>
          <w:lang w:val="en-US" w:eastAsia="en-US"/>
        </w:rPr>
      </w:pPr>
      <w:r>
        <w:rPr>
          <w:noProof/>
        </w:rPr>
        <w:t>Recommendations</w:t>
      </w:r>
      <w:r>
        <w:rPr>
          <w:noProof/>
        </w:rPr>
        <w:tab/>
      </w:r>
      <w:r>
        <w:rPr>
          <w:noProof/>
        </w:rPr>
        <w:fldChar w:fldCharType="begin"/>
      </w:r>
      <w:r>
        <w:rPr>
          <w:noProof/>
        </w:rPr>
        <w:instrText xml:space="preserve"> PAGEREF _Toc476597990 \h </w:instrText>
      </w:r>
      <w:r>
        <w:rPr>
          <w:noProof/>
        </w:rPr>
      </w:r>
      <w:r>
        <w:rPr>
          <w:noProof/>
        </w:rPr>
        <w:fldChar w:fldCharType="separate"/>
      </w:r>
      <w:r w:rsidR="004F0B64">
        <w:rPr>
          <w:noProof/>
        </w:rPr>
        <w:t>17</w:t>
      </w:r>
      <w:r>
        <w:rPr>
          <w:noProof/>
        </w:rPr>
        <w:fldChar w:fldCharType="end"/>
      </w:r>
    </w:p>
    <w:p w14:paraId="588B078E" w14:textId="28FFA7EF" w:rsidR="004F0B64" w:rsidRDefault="000957CE" w:rsidP="00B94109">
      <w:pPr>
        <w:rPr>
          <w:rFonts w:asciiTheme="minorHAnsi" w:hAnsiTheme="minorHAnsi"/>
          <w:sz w:val="18"/>
          <w:szCs w:val="22"/>
        </w:rPr>
      </w:pPr>
      <w:r>
        <w:rPr>
          <w:rFonts w:asciiTheme="minorHAnsi" w:hAnsiTheme="minorHAnsi"/>
          <w:sz w:val="18"/>
          <w:szCs w:val="22"/>
        </w:rPr>
        <w:fldChar w:fldCharType="end"/>
      </w:r>
    </w:p>
    <w:p w14:paraId="72DA4926" w14:textId="77777777" w:rsidR="004F0B64" w:rsidRDefault="004F0B64">
      <w:pPr>
        <w:spacing w:before="0" w:after="0"/>
        <w:rPr>
          <w:rFonts w:asciiTheme="minorHAnsi" w:hAnsiTheme="minorHAnsi"/>
          <w:sz w:val="18"/>
          <w:szCs w:val="22"/>
        </w:rPr>
      </w:pPr>
      <w:r>
        <w:rPr>
          <w:rFonts w:asciiTheme="minorHAnsi" w:hAnsiTheme="minorHAnsi"/>
          <w:sz w:val="18"/>
          <w:szCs w:val="22"/>
        </w:rPr>
        <w:br w:type="page"/>
      </w:r>
      <w:bookmarkStart w:id="2" w:name="_GoBack"/>
      <w:bookmarkEnd w:id="2"/>
    </w:p>
    <w:p w14:paraId="68E15ED3" w14:textId="77777777" w:rsidR="00E11F80" w:rsidRPr="00862223" w:rsidRDefault="00E11F80" w:rsidP="00B94109">
      <w:pPr>
        <w:rPr>
          <w:rFonts w:cs="Arial"/>
        </w:rPr>
      </w:pP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9629"/>
      </w:tblGrid>
      <w:tr w:rsidR="00492F36" w14:paraId="70BAFFDB" w14:textId="77777777" w:rsidTr="00217432">
        <w:tc>
          <w:tcPr>
            <w:tcW w:w="9629" w:type="dxa"/>
            <w:shd w:val="clear" w:color="auto" w:fill="E7E6E6" w:themeFill="background2"/>
          </w:tcPr>
          <w:p w14:paraId="781C4CCB" w14:textId="77777777" w:rsidR="00492F36" w:rsidRDefault="00492F36" w:rsidP="002B7910">
            <w:pPr>
              <w:pStyle w:val="Sub1"/>
            </w:pPr>
            <w:bookmarkStart w:id="3" w:name="_Toc476597962"/>
            <w:r w:rsidRPr="00F464E5">
              <w:t>Introduction</w:t>
            </w:r>
            <w:bookmarkEnd w:id="3"/>
          </w:p>
        </w:tc>
      </w:tr>
    </w:tbl>
    <w:p w14:paraId="4FC7108F" w14:textId="04DD8BD4" w:rsidR="00553014" w:rsidRPr="00AB7B11"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AB7B11">
        <w:rPr>
          <w:rFonts w:ascii="Arial" w:hAnsi="Arial" w:cs="Arial"/>
          <w:sz w:val="24"/>
          <w:szCs w:val="24"/>
        </w:rPr>
        <w:t xml:space="preserve">The Commission welcomes this inquiry. The Commission contends that reducing gender segregation in workplaces will have significant benefits for Australia. </w:t>
      </w:r>
      <w:r w:rsidR="00DE612F">
        <w:rPr>
          <w:rFonts w:ascii="Arial" w:hAnsi="Arial" w:cs="Arial"/>
          <w:sz w:val="24"/>
          <w:szCs w:val="24"/>
        </w:rPr>
        <w:t xml:space="preserve">Gender-balanced workplaces </w:t>
      </w:r>
      <w:r w:rsidRPr="00AB7B11">
        <w:rPr>
          <w:rFonts w:ascii="Arial" w:hAnsi="Arial" w:cs="Arial"/>
          <w:sz w:val="24"/>
          <w:szCs w:val="24"/>
        </w:rPr>
        <w:t>will</w:t>
      </w:r>
      <w:r w:rsidR="00DE612F">
        <w:rPr>
          <w:rFonts w:ascii="Arial" w:hAnsi="Arial" w:cs="Arial"/>
          <w:sz w:val="24"/>
          <w:szCs w:val="24"/>
        </w:rPr>
        <w:t xml:space="preserve"> </w:t>
      </w:r>
      <w:r w:rsidRPr="00AB7B11">
        <w:rPr>
          <w:rFonts w:ascii="Arial" w:hAnsi="Arial" w:cs="Arial"/>
          <w:sz w:val="24"/>
          <w:szCs w:val="24"/>
        </w:rPr>
        <w:t>benefit workers, families, organisations and the economy.</w:t>
      </w:r>
    </w:p>
    <w:p w14:paraId="22D31F95" w14:textId="380AE4F8" w:rsidR="00553014" w:rsidRPr="00AB7B11"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AB7B11">
        <w:rPr>
          <w:rFonts w:ascii="Arial" w:hAnsi="Arial" w:cs="Arial"/>
          <w:sz w:val="24"/>
          <w:szCs w:val="24"/>
        </w:rPr>
        <w:t>In recent years, many initiatives have been directed towards developing the pipeline for recruitment, women’s development programs, mentoring women on how to s</w:t>
      </w:r>
      <w:r w:rsidR="00DC358E">
        <w:rPr>
          <w:rFonts w:ascii="Arial" w:hAnsi="Arial" w:cs="Arial"/>
          <w:sz w:val="24"/>
          <w:szCs w:val="24"/>
        </w:rPr>
        <w:t>urvive and ‘get ahead in a male-</w:t>
      </w:r>
      <w:r w:rsidRPr="00AB7B11">
        <w:rPr>
          <w:rFonts w:ascii="Arial" w:hAnsi="Arial" w:cs="Arial"/>
          <w:sz w:val="24"/>
          <w:szCs w:val="24"/>
        </w:rPr>
        <w:t>dominated world’. However, little has been done to disrupt the systems and practices of that world, or to engage a wider audience of the workforce, so that long term systemic change can happen.</w:t>
      </w:r>
    </w:p>
    <w:p w14:paraId="186F649C" w14:textId="77777777" w:rsidR="00553014" w:rsidRPr="00AB7B11"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AB7B11">
        <w:rPr>
          <w:rFonts w:ascii="Arial" w:hAnsi="Arial" w:cs="Arial"/>
          <w:sz w:val="24"/>
          <w:szCs w:val="24"/>
        </w:rPr>
        <w:t xml:space="preserve">The Commission has investigated and reported a number of times previously on the causes and impacts of women’s inequality in the workforce and in economic life more broadly. </w:t>
      </w:r>
    </w:p>
    <w:p w14:paraId="0473611C" w14:textId="77777777" w:rsidR="00553014" w:rsidRPr="00AB7B11"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AB7B11">
        <w:rPr>
          <w:rFonts w:ascii="Arial" w:hAnsi="Arial" w:cs="Arial"/>
          <w:sz w:val="24"/>
          <w:szCs w:val="24"/>
        </w:rPr>
        <w:t xml:space="preserve">The causal link between gender segregation in the workplace and low economic security over a woman’s lifetime is clear from those reports, and many other reports from experts in this area. </w:t>
      </w:r>
    </w:p>
    <w:p w14:paraId="1446D757" w14:textId="77777777" w:rsidR="009043E3" w:rsidRPr="00E73B8B"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AB7B11">
        <w:rPr>
          <w:rFonts w:ascii="Arial" w:hAnsi="Arial" w:cs="Arial"/>
          <w:sz w:val="24"/>
          <w:szCs w:val="24"/>
        </w:rPr>
        <w:t xml:space="preserve">A central theme from these reports, and from recent studies around the world, is that addressing the gender pay gap is not just about equal entitlements, but also about equal gender representation throughout the workforce – in </w:t>
      </w:r>
      <w:r w:rsidRPr="00E73B8B">
        <w:rPr>
          <w:rFonts w:ascii="Arial" w:hAnsi="Arial" w:cs="Arial"/>
          <w:sz w:val="24"/>
          <w:szCs w:val="24"/>
        </w:rPr>
        <w:t xml:space="preserve">all industries, occupations and roles. </w:t>
      </w:r>
    </w:p>
    <w:p w14:paraId="49E7EC83" w14:textId="0BFC9549" w:rsidR="009043E3" w:rsidRDefault="009043E3" w:rsidP="00235A4B">
      <w:pPr>
        <w:pStyle w:val="ListParagraph"/>
        <w:numPr>
          <w:ilvl w:val="0"/>
          <w:numId w:val="25"/>
        </w:numPr>
        <w:spacing w:before="240" w:after="240" w:line="240" w:lineRule="auto"/>
        <w:ind w:left="0" w:firstLine="0"/>
        <w:contextualSpacing w:val="0"/>
        <w:rPr>
          <w:rFonts w:ascii="Arial" w:hAnsi="Arial" w:cs="Arial"/>
          <w:sz w:val="24"/>
          <w:szCs w:val="24"/>
        </w:rPr>
      </w:pPr>
      <w:r>
        <w:rPr>
          <w:rFonts w:ascii="Arial" w:hAnsi="Arial" w:cs="Arial"/>
          <w:sz w:val="24"/>
          <w:szCs w:val="24"/>
        </w:rPr>
        <w:t>In this submission we refer to gender segregation in the workplace by reference to</w:t>
      </w:r>
      <w:r w:rsidR="00E73B8B">
        <w:rPr>
          <w:rFonts w:ascii="Arial" w:hAnsi="Arial" w:cs="Arial"/>
          <w:sz w:val="24"/>
          <w:szCs w:val="24"/>
        </w:rPr>
        <w:t xml:space="preserve"> </w:t>
      </w:r>
    </w:p>
    <w:p w14:paraId="244A1939" w14:textId="433F3FC6" w:rsidR="00BF3263" w:rsidRDefault="009043E3" w:rsidP="001643B9">
      <w:pPr>
        <w:pStyle w:val="ListParagraph"/>
        <w:numPr>
          <w:ilvl w:val="1"/>
          <w:numId w:val="28"/>
        </w:numPr>
        <w:spacing w:before="240" w:after="240" w:line="240" w:lineRule="auto"/>
        <w:ind w:left="993" w:hanging="426"/>
        <w:contextualSpacing w:val="0"/>
        <w:rPr>
          <w:rFonts w:ascii="Arial" w:hAnsi="Arial" w:cs="Arial"/>
          <w:sz w:val="24"/>
          <w:szCs w:val="24"/>
        </w:rPr>
      </w:pPr>
      <w:r>
        <w:rPr>
          <w:rFonts w:ascii="Arial" w:hAnsi="Arial" w:cs="Arial"/>
          <w:sz w:val="24"/>
          <w:szCs w:val="24"/>
        </w:rPr>
        <w:t>gender segreg</w:t>
      </w:r>
      <w:r w:rsidR="00DA65F3">
        <w:rPr>
          <w:rFonts w:ascii="Arial" w:hAnsi="Arial" w:cs="Arial"/>
          <w:sz w:val="24"/>
          <w:szCs w:val="24"/>
        </w:rPr>
        <w:t>ation by</w:t>
      </w:r>
      <w:r>
        <w:rPr>
          <w:rFonts w:ascii="Arial" w:hAnsi="Arial" w:cs="Arial"/>
          <w:sz w:val="24"/>
          <w:szCs w:val="24"/>
        </w:rPr>
        <w:t xml:space="preserve"> </w:t>
      </w:r>
      <w:r w:rsidR="00DA65F3">
        <w:rPr>
          <w:rFonts w:ascii="Arial" w:hAnsi="Arial" w:cs="Arial"/>
          <w:sz w:val="24"/>
          <w:szCs w:val="24"/>
        </w:rPr>
        <w:t>industry</w:t>
      </w:r>
      <w:r w:rsidR="00846B8E">
        <w:rPr>
          <w:rFonts w:ascii="Arial" w:hAnsi="Arial" w:cs="Arial"/>
          <w:sz w:val="24"/>
          <w:szCs w:val="24"/>
        </w:rPr>
        <w:t xml:space="preserve">: </w:t>
      </w:r>
      <w:r w:rsidR="00254832">
        <w:rPr>
          <w:rFonts w:ascii="Arial" w:hAnsi="Arial" w:cs="Arial"/>
          <w:sz w:val="24"/>
          <w:szCs w:val="24"/>
        </w:rPr>
        <w:t xml:space="preserve">male dominated industries include </w:t>
      </w:r>
      <w:r w:rsidR="004244D9">
        <w:rPr>
          <w:rFonts w:ascii="Arial" w:hAnsi="Arial" w:cs="Arial"/>
          <w:sz w:val="24"/>
          <w:szCs w:val="24"/>
        </w:rPr>
        <w:t>construction, mining, u</w:t>
      </w:r>
      <w:r w:rsidR="00DA65F3">
        <w:rPr>
          <w:rFonts w:ascii="Arial" w:hAnsi="Arial" w:cs="Arial"/>
          <w:sz w:val="24"/>
          <w:szCs w:val="24"/>
        </w:rPr>
        <w:t xml:space="preserve">tilities and </w:t>
      </w:r>
      <w:r w:rsidR="00846B8E">
        <w:rPr>
          <w:rFonts w:ascii="Arial" w:hAnsi="Arial" w:cs="Arial"/>
          <w:sz w:val="24"/>
          <w:szCs w:val="24"/>
        </w:rPr>
        <w:t xml:space="preserve">several </w:t>
      </w:r>
      <w:r w:rsidR="00DA65F3">
        <w:rPr>
          <w:rFonts w:ascii="Arial" w:hAnsi="Arial" w:cs="Arial"/>
          <w:sz w:val="24"/>
          <w:szCs w:val="24"/>
        </w:rPr>
        <w:t>more; f</w:t>
      </w:r>
      <w:r w:rsidR="004244D9">
        <w:rPr>
          <w:rFonts w:ascii="Arial" w:hAnsi="Arial" w:cs="Arial"/>
          <w:sz w:val="24"/>
          <w:szCs w:val="24"/>
        </w:rPr>
        <w:t>emale dominated industries are education and training, and health c</w:t>
      </w:r>
      <w:r w:rsidR="00843E4F">
        <w:rPr>
          <w:rFonts w:ascii="Arial" w:hAnsi="Arial" w:cs="Arial"/>
          <w:sz w:val="24"/>
          <w:szCs w:val="24"/>
        </w:rPr>
        <w:t>are and social a</w:t>
      </w:r>
      <w:r w:rsidR="00DA65F3">
        <w:rPr>
          <w:rFonts w:ascii="Arial" w:hAnsi="Arial" w:cs="Arial"/>
          <w:sz w:val="24"/>
          <w:szCs w:val="24"/>
        </w:rPr>
        <w:t>ssistance</w:t>
      </w:r>
      <w:r w:rsidR="00BF3263">
        <w:rPr>
          <w:rFonts w:ascii="Arial" w:hAnsi="Arial" w:cs="Arial"/>
          <w:sz w:val="24"/>
          <w:szCs w:val="24"/>
        </w:rPr>
        <w:t>.</w:t>
      </w:r>
    </w:p>
    <w:p w14:paraId="2D2EBB2B" w14:textId="4A0E5D03" w:rsidR="00BF3263" w:rsidRPr="00C134A7" w:rsidRDefault="00DA65F3" w:rsidP="001643B9">
      <w:pPr>
        <w:pStyle w:val="ListParagraph"/>
        <w:numPr>
          <w:ilvl w:val="1"/>
          <w:numId w:val="28"/>
        </w:numPr>
        <w:spacing w:before="240" w:after="240" w:line="240" w:lineRule="auto"/>
        <w:ind w:left="993" w:hanging="426"/>
        <w:contextualSpacing w:val="0"/>
        <w:rPr>
          <w:rFonts w:ascii="Arial" w:hAnsi="Arial" w:cs="Arial"/>
          <w:sz w:val="24"/>
          <w:szCs w:val="24"/>
        </w:rPr>
      </w:pPr>
      <w:r w:rsidRPr="00BF3263">
        <w:rPr>
          <w:rFonts w:ascii="Arial" w:hAnsi="Arial" w:cs="Arial"/>
          <w:sz w:val="24"/>
          <w:szCs w:val="24"/>
        </w:rPr>
        <w:t>gender segregation by occupation</w:t>
      </w:r>
      <w:r w:rsidR="00254832" w:rsidRPr="00C134A7">
        <w:rPr>
          <w:rFonts w:ascii="Arial" w:hAnsi="Arial" w:cs="Arial"/>
          <w:sz w:val="24"/>
          <w:szCs w:val="24"/>
        </w:rPr>
        <w:t xml:space="preserve">: for </w:t>
      </w:r>
      <w:r w:rsidR="00260CEB" w:rsidRPr="00C134A7">
        <w:rPr>
          <w:rFonts w:ascii="Arial" w:hAnsi="Arial" w:cs="Arial"/>
          <w:sz w:val="24"/>
          <w:szCs w:val="24"/>
        </w:rPr>
        <w:t>example,</w:t>
      </w:r>
      <w:r w:rsidR="00254832" w:rsidRPr="00C134A7">
        <w:rPr>
          <w:rFonts w:ascii="Arial" w:hAnsi="Arial" w:cs="Arial"/>
          <w:sz w:val="24"/>
          <w:szCs w:val="24"/>
        </w:rPr>
        <w:t xml:space="preserve"> men dominate </w:t>
      </w:r>
      <w:r w:rsidR="00846B8E" w:rsidRPr="00C134A7">
        <w:rPr>
          <w:rFonts w:ascii="Arial" w:hAnsi="Arial" w:cs="Arial"/>
          <w:sz w:val="24"/>
          <w:szCs w:val="24"/>
        </w:rPr>
        <w:t xml:space="preserve">the </w:t>
      </w:r>
      <w:r w:rsidR="00254832" w:rsidRPr="00C134A7">
        <w:rPr>
          <w:rFonts w:ascii="Arial" w:hAnsi="Arial" w:cs="Arial"/>
          <w:sz w:val="24"/>
          <w:szCs w:val="24"/>
        </w:rPr>
        <w:t xml:space="preserve">occupations </w:t>
      </w:r>
      <w:r w:rsidR="00E73B8B" w:rsidRPr="00C134A7">
        <w:rPr>
          <w:rFonts w:ascii="Arial" w:hAnsi="Arial" w:cs="Arial"/>
          <w:sz w:val="24"/>
          <w:szCs w:val="24"/>
        </w:rPr>
        <w:t>of Machinery Operators and D</w:t>
      </w:r>
      <w:r w:rsidR="00846B8E" w:rsidRPr="00C134A7">
        <w:rPr>
          <w:rFonts w:ascii="Arial" w:hAnsi="Arial" w:cs="Arial"/>
          <w:sz w:val="24"/>
          <w:szCs w:val="24"/>
        </w:rPr>
        <w:t xml:space="preserve">rivers, </w:t>
      </w:r>
      <w:r w:rsidR="00E73B8B" w:rsidRPr="00C134A7">
        <w:rPr>
          <w:rFonts w:ascii="Arial" w:hAnsi="Arial" w:cs="Arial"/>
          <w:sz w:val="24"/>
          <w:szCs w:val="24"/>
        </w:rPr>
        <w:t>Technicians and Trade W</w:t>
      </w:r>
      <w:r w:rsidR="00846B8E" w:rsidRPr="00C134A7">
        <w:rPr>
          <w:rFonts w:ascii="Arial" w:hAnsi="Arial" w:cs="Arial"/>
          <w:sz w:val="24"/>
          <w:szCs w:val="24"/>
        </w:rPr>
        <w:t xml:space="preserve">orkers, Labourers, while women dominate the occupations of: Clerical and </w:t>
      </w:r>
      <w:r w:rsidR="00E73B8B" w:rsidRPr="00C134A7">
        <w:rPr>
          <w:rFonts w:ascii="Arial" w:hAnsi="Arial" w:cs="Arial"/>
          <w:sz w:val="24"/>
          <w:szCs w:val="24"/>
        </w:rPr>
        <w:t>A</w:t>
      </w:r>
      <w:r w:rsidR="00846B8E" w:rsidRPr="00C134A7">
        <w:rPr>
          <w:rFonts w:ascii="Arial" w:hAnsi="Arial" w:cs="Arial"/>
          <w:sz w:val="24"/>
          <w:szCs w:val="24"/>
        </w:rPr>
        <w:t xml:space="preserve">dministrative </w:t>
      </w:r>
      <w:r w:rsidR="00E73B8B" w:rsidRPr="00C134A7">
        <w:rPr>
          <w:rFonts w:ascii="Arial" w:hAnsi="Arial" w:cs="Arial"/>
          <w:sz w:val="24"/>
          <w:szCs w:val="24"/>
        </w:rPr>
        <w:t>W</w:t>
      </w:r>
      <w:r w:rsidR="00846B8E" w:rsidRPr="00C134A7">
        <w:rPr>
          <w:rFonts w:ascii="Arial" w:hAnsi="Arial" w:cs="Arial"/>
          <w:sz w:val="24"/>
          <w:szCs w:val="24"/>
        </w:rPr>
        <w:t xml:space="preserve">orkers, and </w:t>
      </w:r>
      <w:r w:rsidR="00E73B8B" w:rsidRPr="00C134A7">
        <w:rPr>
          <w:rFonts w:ascii="Arial" w:hAnsi="Arial" w:cs="Arial"/>
          <w:sz w:val="24"/>
          <w:szCs w:val="24"/>
        </w:rPr>
        <w:t>Community and Personal Service W</w:t>
      </w:r>
      <w:r w:rsidR="00846B8E" w:rsidRPr="00C134A7">
        <w:rPr>
          <w:rFonts w:ascii="Arial" w:hAnsi="Arial" w:cs="Arial"/>
          <w:sz w:val="24"/>
          <w:szCs w:val="24"/>
        </w:rPr>
        <w:t xml:space="preserve">orkers. </w:t>
      </w:r>
    </w:p>
    <w:p w14:paraId="6B8F6D82" w14:textId="1E9CCC24" w:rsidR="00846B8E" w:rsidRPr="00BF3263" w:rsidRDefault="00DA65F3" w:rsidP="001643B9">
      <w:pPr>
        <w:pStyle w:val="ListParagraph"/>
        <w:numPr>
          <w:ilvl w:val="1"/>
          <w:numId w:val="28"/>
        </w:numPr>
        <w:spacing w:before="240" w:after="240" w:line="240" w:lineRule="auto"/>
        <w:ind w:left="993" w:hanging="426"/>
        <w:contextualSpacing w:val="0"/>
        <w:rPr>
          <w:rFonts w:ascii="Arial" w:hAnsi="Arial" w:cs="Arial"/>
          <w:sz w:val="24"/>
          <w:szCs w:val="24"/>
        </w:rPr>
      </w:pPr>
      <w:r w:rsidRPr="00BF3263">
        <w:rPr>
          <w:rFonts w:ascii="Arial" w:hAnsi="Arial" w:cs="Arial"/>
          <w:sz w:val="24"/>
          <w:szCs w:val="24"/>
        </w:rPr>
        <w:t xml:space="preserve">gender segregation </w:t>
      </w:r>
      <w:r w:rsidR="00E73B8B" w:rsidRPr="00C134A7">
        <w:rPr>
          <w:rFonts w:ascii="Arial" w:hAnsi="Arial" w:cs="Arial"/>
          <w:sz w:val="24"/>
          <w:szCs w:val="24"/>
        </w:rPr>
        <w:t xml:space="preserve">by role </w:t>
      </w:r>
      <w:r w:rsidRPr="00C134A7">
        <w:rPr>
          <w:rFonts w:ascii="Arial" w:hAnsi="Arial" w:cs="Arial"/>
          <w:sz w:val="24"/>
          <w:szCs w:val="24"/>
        </w:rPr>
        <w:t>within organisations</w:t>
      </w:r>
      <w:r w:rsidR="00E73B8B" w:rsidRPr="00C134A7">
        <w:rPr>
          <w:rFonts w:ascii="Arial" w:hAnsi="Arial" w:cs="Arial"/>
          <w:sz w:val="24"/>
          <w:szCs w:val="24"/>
        </w:rPr>
        <w:t>:</w:t>
      </w:r>
      <w:r w:rsidRPr="00C134A7">
        <w:rPr>
          <w:rFonts w:ascii="Arial" w:hAnsi="Arial" w:cs="Arial"/>
          <w:sz w:val="24"/>
          <w:szCs w:val="24"/>
        </w:rPr>
        <w:t xml:space="preserve"> refers to the fact that</w:t>
      </w:r>
      <w:r w:rsidR="00254832" w:rsidRPr="00C134A7">
        <w:rPr>
          <w:rFonts w:ascii="Arial" w:hAnsi="Arial" w:cs="Arial"/>
          <w:sz w:val="24"/>
          <w:szCs w:val="24"/>
        </w:rPr>
        <w:t xml:space="preserve"> </w:t>
      </w:r>
      <w:r w:rsidR="00846B8E" w:rsidRPr="00C134A7">
        <w:rPr>
          <w:rFonts w:ascii="Arial" w:hAnsi="Arial" w:cs="Arial"/>
          <w:sz w:val="24"/>
          <w:szCs w:val="24"/>
        </w:rPr>
        <w:t>men hold the majority of leadership roles</w:t>
      </w:r>
      <w:r w:rsidR="003F3AA0" w:rsidRPr="00C134A7">
        <w:rPr>
          <w:rFonts w:ascii="Arial" w:hAnsi="Arial" w:cs="Arial"/>
          <w:sz w:val="24"/>
          <w:szCs w:val="24"/>
        </w:rPr>
        <w:t xml:space="preserve"> across all </w:t>
      </w:r>
      <w:r w:rsidR="00E73B8B" w:rsidRPr="00C134A7">
        <w:rPr>
          <w:rFonts w:ascii="Arial" w:hAnsi="Arial" w:cs="Arial"/>
          <w:sz w:val="24"/>
          <w:szCs w:val="24"/>
        </w:rPr>
        <w:t>industries; while women dominate part time work.</w:t>
      </w:r>
      <w:r w:rsidR="00F41102">
        <w:rPr>
          <w:rStyle w:val="EndnoteReference"/>
          <w:rFonts w:cs="Arial"/>
          <w:szCs w:val="24"/>
        </w:rPr>
        <w:endnoteReference w:id="1"/>
      </w:r>
    </w:p>
    <w:p w14:paraId="596117A2" w14:textId="466079E3" w:rsidR="00553014" w:rsidRPr="00AB7B11"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AB7B11">
        <w:rPr>
          <w:rFonts w:ascii="Arial" w:hAnsi="Arial" w:cs="Arial"/>
          <w:sz w:val="24"/>
          <w:szCs w:val="24"/>
        </w:rPr>
        <w:t xml:space="preserve">Importantly, unpaid caring work is very much an ‘industry’ and a ‘workplace’ within this analysis. </w:t>
      </w:r>
    </w:p>
    <w:p w14:paraId="7CD47EFC" w14:textId="0B437911" w:rsidR="00553014" w:rsidRPr="00AB7B11"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AB7B11">
        <w:rPr>
          <w:rFonts w:ascii="Arial" w:hAnsi="Arial" w:cs="Arial"/>
          <w:sz w:val="24"/>
          <w:szCs w:val="24"/>
        </w:rPr>
        <w:t xml:space="preserve">This submission refers to some findings </w:t>
      </w:r>
      <w:r w:rsidR="009043E3">
        <w:rPr>
          <w:rFonts w:ascii="Arial" w:hAnsi="Arial" w:cs="Arial"/>
          <w:sz w:val="24"/>
          <w:szCs w:val="24"/>
        </w:rPr>
        <w:t xml:space="preserve">from </w:t>
      </w:r>
      <w:r w:rsidRPr="00AB7B11">
        <w:rPr>
          <w:rFonts w:ascii="Arial" w:hAnsi="Arial" w:cs="Arial"/>
          <w:sz w:val="24"/>
          <w:szCs w:val="24"/>
        </w:rPr>
        <w:t xml:space="preserve">previous studies and reports, as they relate to the Commission’s contentions and recommendations with respect to this inquiry. </w:t>
      </w:r>
    </w:p>
    <w:p w14:paraId="61435E30" w14:textId="2E4931C2" w:rsidR="00553014" w:rsidRPr="00AB7B11"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AB7B11">
        <w:rPr>
          <w:rFonts w:ascii="Arial" w:hAnsi="Arial" w:cs="Arial"/>
          <w:sz w:val="24"/>
          <w:szCs w:val="24"/>
        </w:rPr>
        <w:t>However, the Commission’s recommendations in this submission are confined to areas of action that may be undertaken immediately, and where the Commission believes it may, in a tangible way, assist government and business to address the impact of workplace gender segregation.</w:t>
      </w:r>
    </w:p>
    <w:tbl>
      <w:tblPr>
        <w:tblStyle w:val="TableGrid"/>
        <w:tblW w:w="0" w:type="auto"/>
        <w:tblLook w:val="04A0" w:firstRow="1" w:lastRow="0" w:firstColumn="1" w:lastColumn="0" w:noHBand="0" w:noVBand="1"/>
      </w:tblPr>
      <w:tblGrid>
        <w:gridCol w:w="9661"/>
      </w:tblGrid>
      <w:tr w:rsidR="00553014" w14:paraId="2BFDCC68" w14:textId="77777777" w:rsidTr="00217432">
        <w:tc>
          <w:tcPr>
            <w:tcW w:w="9661" w:type="dxa"/>
            <w:shd w:val="clear" w:color="auto" w:fill="E7E6E6" w:themeFill="background2"/>
          </w:tcPr>
          <w:p w14:paraId="70815098" w14:textId="77777777" w:rsidR="00553014" w:rsidRDefault="00553014" w:rsidP="002B7910">
            <w:pPr>
              <w:pStyle w:val="Sub1"/>
            </w:pPr>
            <w:bookmarkStart w:id="4" w:name="_Toc476597963"/>
            <w:r w:rsidRPr="00F464E5">
              <w:lastRenderedPageBreak/>
              <w:t>Background</w:t>
            </w:r>
            <w:bookmarkEnd w:id="4"/>
          </w:p>
        </w:tc>
      </w:tr>
    </w:tbl>
    <w:p w14:paraId="5465D3B1" w14:textId="148B53C8" w:rsidR="00FD6139" w:rsidRPr="00475066" w:rsidRDefault="00553014" w:rsidP="00475066">
      <w:pPr>
        <w:pStyle w:val="ListParagraph"/>
        <w:numPr>
          <w:ilvl w:val="0"/>
          <w:numId w:val="25"/>
        </w:numPr>
        <w:spacing w:before="240" w:after="240" w:line="240" w:lineRule="auto"/>
        <w:ind w:left="0" w:firstLine="0"/>
        <w:contextualSpacing w:val="0"/>
        <w:rPr>
          <w:rFonts w:ascii="Arial" w:hAnsi="Arial" w:cs="Arial"/>
          <w:sz w:val="24"/>
          <w:szCs w:val="24"/>
        </w:rPr>
      </w:pPr>
      <w:r w:rsidRPr="009C1E74">
        <w:rPr>
          <w:rFonts w:ascii="Arial" w:hAnsi="Arial" w:cs="Arial"/>
          <w:sz w:val="24"/>
          <w:szCs w:val="24"/>
        </w:rPr>
        <w:t>Australia’s record on gender equality is mixed. Despite very high attainment in educatio</w:t>
      </w:r>
      <w:r w:rsidR="00A25E05">
        <w:rPr>
          <w:rFonts w:ascii="Arial" w:hAnsi="Arial" w:cs="Arial"/>
          <w:sz w:val="24"/>
          <w:szCs w:val="24"/>
        </w:rPr>
        <w:t>n, Australia’s position on the Global Gender Gap I</w:t>
      </w:r>
      <w:r w:rsidRPr="009C1E74">
        <w:rPr>
          <w:rFonts w:ascii="Arial" w:hAnsi="Arial" w:cs="Arial"/>
          <w:sz w:val="24"/>
          <w:szCs w:val="24"/>
        </w:rPr>
        <w:t xml:space="preserve">ndex is comparatively very low at 46th.  </w:t>
      </w:r>
      <w:r w:rsidRPr="00475066">
        <w:rPr>
          <w:rFonts w:ascii="Arial" w:hAnsi="Arial" w:cs="Arial"/>
          <w:sz w:val="24"/>
          <w:szCs w:val="24"/>
        </w:rPr>
        <w:t>Economic participation and opportunity of women is one of the areas where Australia lags most significantly - it is 42nd</w:t>
      </w:r>
      <w:r w:rsidRPr="00475066">
        <w:rPr>
          <w:rStyle w:val="EndnoteReference"/>
        </w:rPr>
        <w:endnoteReference w:id="2"/>
      </w:r>
      <w:r w:rsidRPr="00475066">
        <w:rPr>
          <w:rStyle w:val="EndnoteReference"/>
        </w:rPr>
        <w:t xml:space="preserve"> </w:t>
      </w:r>
      <w:r w:rsidRPr="00475066">
        <w:rPr>
          <w:rFonts w:ascii="Arial" w:hAnsi="Arial" w:cs="Arial"/>
          <w:sz w:val="24"/>
          <w:szCs w:val="24"/>
        </w:rPr>
        <w:t>on the World Economic Forum’s global index.</w:t>
      </w:r>
    </w:p>
    <w:p w14:paraId="3BA0C2E7" w14:textId="7194BB4F"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rele</w:t>
      </w:r>
      <w:r w:rsidR="00F3087C">
        <w:rPr>
          <w:rFonts w:ascii="Arial" w:hAnsi="Arial" w:cs="Arial"/>
          <w:sz w:val="24"/>
          <w:szCs w:val="24"/>
        </w:rPr>
        <w:t>vant table from the WEF’s 2016 Global R</w:t>
      </w:r>
      <w:r w:rsidRPr="00FD6139">
        <w:rPr>
          <w:rFonts w:ascii="Arial" w:hAnsi="Arial" w:cs="Arial"/>
          <w:sz w:val="24"/>
          <w:szCs w:val="24"/>
        </w:rPr>
        <w:t>eport paints a sobering picture:</w:t>
      </w:r>
      <w:r w:rsidRPr="00F464E5">
        <w:rPr>
          <w:rFonts w:cs="Arial"/>
          <w:noProof/>
        </w:rPr>
        <w:drawing>
          <wp:inline distT="0" distB="0" distL="0" distR="0" wp14:anchorId="7CF7B6B6" wp14:editId="462950B0">
            <wp:extent cx="5852760" cy="16497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430" cy="1651046"/>
                    </a:xfrm>
                    <a:prstGeom prst="rect">
                      <a:avLst/>
                    </a:prstGeom>
                    <a:noFill/>
                    <a:ln>
                      <a:noFill/>
                    </a:ln>
                  </pic:spPr>
                </pic:pic>
              </a:graphicData>
            </a:graphic>
          </wp:inline>
        </w:drawing>
      </w:r>
    </w:p>
    <w:p w14:paraId="2161F6A1"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This picture is reflected, most recently, in the experiences that the Sex Discrimination Commission heard from Australian women in consultations she conducted across the country in 2016, and which are described further below (‘the SDC consultations’).</w:t>
      </w:r>
      <w:r w:rsidRPr="00952C58">
        <w:rPr>
          <w:rStyle w:val="EndnoteReference"/>
        </w:rPr>
        <w:endnoteReference w:id="3"/>
      </w:r>
    </w:p>
    <w:p w14:paraId="450C5AD0" w14:textId="38BF2A41" w:rsidR="00607913"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Women remain under-represented in traditionally male-dominated industries, such as science, technology, engineering and m</w:t>
      </w:r>
      <w:r w:rsidR="009043E3">
        <w:rPr>
          <w:rFonts w:ascii="Arial" w:hAnsi="Arial" w:cs="Arial"/>
          <w:sz w:val="24"/>
          <w:szCs w:val="24"/>
        </w:rPr>
        <w:t>aths</w:t>
      </w:r>
      <w:r w:rsidRPr="00FD6139">
        <w:rPr>
          <w:rFonts w:ascii="Arial" w:hAnsi="Arial" w:cs="Arial"/>
          <w:sz w:val="24"/>
          <w:szCs w:val="24"/>
        </w:rPr>
        <w:t xml:space="preserve"> (STEM), as well as </w:t>
      </w:r>
      <w:r w:rsidR="009043E3">
        <w:rPr>
          <w:rFonts w:ascii="Arial" w:hAnsi="Arial" w:cs="Arial"/>
          <w:sz w:val="24"/>
          <w:szCs w:val="24"/>
        </w:rPr>
        <w:t xml:space="preserve">mining and </w:t>
      </w:r>
      <w:r w:rsidRPr="00FD6139">
        <w:rPr>
          <w:rFonts w:ascii="Arial" w:hAnsi="Arial" w:cs="Arial"/>
          <w:sz w:val="24"/>
          <w:szCs w:val="24"/>
        </w:rPr>
        <w:t xml:space="preserve">construction. Workers in the male-dominated industries </w:t>
      </w:r>
      <w:r w:rsidR="009043E3">
        <w:rPr>
          <w:rFonts w:ascii="Arial" w:hAnsi="Arial" w:cs="Arial"/>
          <w:sz w:val="24"/>
          <w:szCs w:val="24"/>
        </w:rPr>
        <w:t xml:space="preserve">and occupations </w:t>
      </w:r>
      <w:r w:rsidRPr="00FD6139">
        <w:rPr>
          <w:rFonts w:ascii="Arial" w:hAnsi="Arial" w:cs="Arial"/>
          <w:sz w:val="24"/>
          <w:szCs w:val="24"/>
        </w:rPr>
        <w:t xml:space="preserve">generally earn more than those who work in industries </w:t>
      </w:r>
      <w:r w:rsidR="009043E3">
        <w:rPr>
          <w:rFonts w:ascii="Arial" w:hAnsi="Arial" w:cs="Arial"/>
          <w:sz w:val="24"/>
          <w:szCs w:val="24"/>
        </w:rPr>
        <w:t xml:space="preserve">and occupations </w:t>
      </w:r>
      <w:r w:rsidRPr="00FD6139">
        <w:rPr>
          <w:rFonts w:ascii="Arial" w:hAnsi="Arial" w:cs="Arial"/>
          <w:sz w:val="24"/>
          <w:szCs w:val="24"/>
        </w:rPr>
        <w:t xml:space="preserve">dominated by women such as education and training, </w:t>
      </w:r>
      <w:r w:rsidR="009043E3">
        <w:rPr>
          <w:rFonts w:ascii="Arial" w:hAnsi="Arial" w:cs="Arial"/>
          <w:sz w:val="24"/>
          <w:szCs w:val="24"/>
        </w:rPr>
        <w:t xml:space="preserve">administrative support, </w:t>
      </w:r>
      <w:r w:rsidRPr="00FD6139">
        <w:rPr>
          <w:rFonts w:ascii="Arial" w:hAnsi="Arial" w:cs="Arial"/>
          <w:sz w:val="24"/>
          <w:szCs w:val="24"/>
        </w:rPr>
        <w:t xml:space="preserve">health care and social assistance. </w:t>
      </w:r>
    </w:p>
    <w:p w14:paraId="10A77226" w14:textId="18C4E046" w:rsidR="00607913" w:rsidRPr="00FD6139" w:rsidRDefault="00607913"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Conversely men are under-represented in female-dominated industries – other than in senior management and leadership positions</w:t>
      </w:r>
      <w:r w:rsidR="00E20760" w:rsidRPr="00FD6139">
        <w:rPr>
          <w:rFonts w:ascii="Arial" w:hAnsi="Arial" w:cs="Arial"/>
          <w:sz w:val="24"/>
          <w:szCs w:val="24"/>
        </w:rPr>
        <w:t xml:space="preserve"> – </w:t>
      </w:r>
      <w:r w:rsidR="0082142D" w:rsidRPr="00FD6139">
        <w:rPr>
          <w:rFonts w:ascii="Arial" w:hAnsi="Arial" w:cs="Arial"/>
          <w:sz w:val="24"/>
          <w:szCs w:val="24"/>
        </w:rPr>
        <w:t xml:space="preserve">and rarely </w:t>
      </w:r>
      <w:r w:rsidR="00E73B8B">
        <w:rPr>
          <w:rFonts w:ascii="Arial" w:hAnsi="Arial" w:cs="Arial"/>
          <w:sz w:val="24"/>
          <w:szCs w:val="24"/>
        </w:rPr>
        <w:t xml:space="preserve">responsible for </w:t>
      </w:r>
      <w:r w:rsidR="0082142D" w:rsidRPr="00FD6139">
        <w:rPr>
          <w:rFonts w:ascii="Arial" w:hAnsi="Arial" w:cs="Arial"/>
          <w:sz w:val="24"/>
          <w:szCs w:val="24"/>
        </w:rPr>
        <w:t xml:space="preserve">unpaid and </w:t>
      </w:r>
      <w:r w:rsidR="00E73B8B">
        <w:rPr>
          <w:rFonts w:ascii="Arial" w:hAnsi="Arial" w:cs="Arial"/>
          <w:sz w:val="24"/>
          <w:szCs w:val="24"/>
        </w:rPr>
        <w:t xml:space="preserve">primary </w:t>
      </w:r>
      <w:r w:rsidR="0082142D" w:rsidRPr="00FD6139">
        <w:rPr>
          <w:rFonts w:ascii="Arial" w:hAnsi="Arial" w:cs="Arial"/>
          <w:sz w:val="24"/>
          <w:szCs w:val="24"/>
        </w:rPr>
        <w:t>caring roles.</w:t>
      </w:r>
      <w:r w:rsidR="00E73B8B">
        <w:rPr>
          <w:rFonts w:ascii="Arial" w:hAnsi="Arial" w:cs="Arial"/>
          <w:sz w:val="24"/>
          <w:szCs w:val="24"/>
        </w:rPr>
        <w:t xml:space="preserve"> As well as those larger employers captured by the Workplace Gender Equality Agency reporting, </w:t>
      </w:r>
      <w:r w:rsidR="00A85799">
        <w:rPr>
          <w:rFonts w:ascii="Arial" w:hAnsi="Arial" w:cs="Arial"/>
          <w:sz w:val="24"/>
          <w:szCs w:val="24"/>
        </w:rPr>
        <w:t>many small to medium size businesses are in industries dominated by female workers, including retail, hospitality, cleaning, home child and elder care, where many roles are casual, rosters uncertain, payment cash in hand, and no human resources support.</w:t>
      </w:r>
    </w:p>
    <w:p w14:paraId="463F48BE" w14:textId="02D2CDA3"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The economic consequences of this imbalance disproportionately disadvantages women and contributes to the gender pay gap and lifetime economic inequality. </w:t>
      </w:r>
    </w:p>
    <w:p w14:paraId="722C7420" w14:textId="77777777" w:rsidR="002B7910" w:rsidRPr="002B7910" w:rsidRDefault="002B7910" w:rsidP="00217432">
      <w:pPr>
        <w:pStyle w:val="Sub3"/>
      </w:pPr>
      <w:bookmarkStart w:id="5" w:name="_Toc476597964"/>
      <w:r w:rsidRPr="002B7910">
        <w:t>International human rights obligations and gender segregation</w:t>
      </w:r>
      <w:bookmarkEnd w:id="5"/>
    </w:p>
    <w:p w14:paraId="41A66B11" w14:textId="6E743CFF"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Australia is a party to the seven key human rights treaties. The Convention on the Elimination of All Forms of Discrimination against Women (CEDAW) provides the overarching international human rights legal framework for the protection, promotion and fulfilment of the human rights of women.</w:t>
      </w:r>
      <w:r w:rsidRPr="00952C58">
        <w:rPr>
          <w:rStyle w:val="EndnoteReference"/>
        </w:rPr>
        <w:t xml:space="preserve"> </w:t>
      </w:r>
      <w:r w:rsidRPr="00FD6139">
        <w:rPr>
          <w:rFonts w:ascii="Arial" w:hAnsi="Arial" w:cs="Arial"/>
          <w:sz w:val="24"/>
          <w:szCs w:val="24"/>
        </w:rPr>
        <w:t xml:space="preserve">The International Covenant on Economic, Social and Cultural Rights (ICESCR) sets out the rights to work, equal remuneration for work of equal value, and safe working conditions. </w:t>
      </w:r>
    </w:p>
    <w:p w14:paraId="28663A87"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UN Committee on the Elimination of Discrimination against Women (CEDAW Committee) considered Australia’s combined 6th and 7th periodic reports in 2010.</w:t>
      </w:r>
      <w:r w:rsidRPr="00952C58">
        <w:rPr>
          <w:rStyle w:val="EndnoteReference"/>
          <w:rFonts w:eastAsia="MS Mincho"/>
        </w:rPr>
        <w:endnoteReference w:id="4"/>
      </w:r>
      <w:r w:rsidRPr="00952C58">
        <w:rPr>
          <w:rStyle w:val="EndnoteReference"/>
        </w:rPr>
        <w:t xml:space="preserve"> </w:t>
      </w:r>
      <w:r w:rsidRPr="00FD6139">
        <w:rPr>
          <w:rFonts w:ascii="Arial" w:hAnsi="Arial" w:cs="Arial"/>
          <w:sz w:val="24"/>
          <w:szCs w:val="24"/>
        </w:rPr>
        <w:t xml:space="preserve">The Commission made a submission to the UN Committee that addressed, amongst other issues, </w:t>
      </w:r>
      <w:r w:rsidRPr="00FD6139">
        <w:rPr>
          <w:rFonts w:ascii="Arial" w:hAnsi="Arial" w:cs="Arial"/>
          <w:sz w:val="24"/>
          <w:szCs w:val="24"/>
        </w:rPr>
        <w:lastRenderedPageBreak/>
        <w:t>occupational segregation, the gender pay gap, unpaid caring work, the absence of superannuation from paid parental leave and the gender gap in retirement savings.</w:t>
      </w:r>
      <w:r w:rsidRPr="00952C58">
        <w:rPr>
          <w:rStyle w:val="EndnoteReference"/>
        </w:rPr>
        <w:endnoteReference w:id="5"/>
      </w:r>
    </w:p>
    <w:p w14:paraId="74E00E3A"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In its Concluding Observations, the CEDAW Committee urged the Australian Government to take concrete measures to eliminate occupational segregation by removing barriers to women in all sectors and to ensure equal opportunities for, and equal treatment of, women and men in the labour market.</w:t>
      </w:r>
      <w:r w:rsidRPr="00952C58">
        <w:rPr>
          <w:rStyle w:val="EndnoteReference"/>
        </w:rPr>
        <w:endnoteReference w:id="6"/>
      </w:r>
      <w:r w:rsidRPr="00952C58">
        <w:rPr>
          <w:rStyle w:val="EndnoteReference"/>
        </w:rPr>
        <w:t xml:space="preserve"> </w:t>
      </w:r>
    </w:p>
    <w:p w14:paraId="3C1F2078" w14:textId="53DC9D0B" w:rsid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UN Committee on Economic, Social and Cultural Rights (ESC Committee) considered the fourth periodic report of Australia on the implementation of ICESCR in May 2009. In its Concluding Observations, the ESC Committee noted concern with the gender pay gap between women and men in the workplace, particularly in managerial positions, and low representation of women in high-ranking positions in political and public life, and recommended action to address this.</w:t>
      </w:r>
      <w:r w:rsidRPr="00952C58">
        <w:rPr>
          <w:rStyle w:val="EndnoteReference"/>
        </w:rPr>
        <w:endnoteReference w:id="7"/>
      </w:r>
    </w:p>
    <w:p w14:paraId="4AA7D85E" w14:textId="112D81CD"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In 2014, the Australian Government, along with other G20 members committed to reducing the gender gap in workforce participation by 25 percent by 2025. Reducing gender segregation in the workforce will be central to achieving this goal.</w:t>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9629"/>
      </w:tblGrid>
      <w:tr w:rsidR="00553014" w14:paraId="21CA9CB3" w14:textId="77777777" w:rsidTr="00217432">
        <w:tc>
          <w:tcPr>
            <w:tcW w:w="9629" w:type="dxa"/>
            <w:shd w:val="clear" w:color="auto" w:fill="E7E6E6" w:themeFill="background2"/>
          </w:tcPr>
          <w:p w14:paraId="24245B2D" w14:textId="63A22047" w:rsidR="00553014" w:rsidRDefault="00202183" w:rsidP="00217432">
            <w:pPr>
              <w:pStyle w:val="Sub1"/>
            </w:pPr>
            <w:bookmarkStart w:id="6" w:name="_Toc476597965"/>
            <w:r>
              <w:t>Contentions and Discussion</w:t>
            </w:r>
            <w:bookmarkEnd w:id="6"/>
          </w:p>
        </w:tc>
      </w:tr>
    </w:tbl>
    <w:p w14:paraId="74EA4036" w14:textId="77777777" w:rsidR="00553014" w:rsidRPr="00F464E5" w:rsidRDefault="00553014" w:rsidP="00553014">
      <w:pPr>
        <w:keepNext/>
        <w:spacing w:before="0" w:after="0"/>
        <w:rPr>
          <w:rFonts w:cs="Arial"/>
          <w:b/>
        </w:rPr>
      </w:pPr>
    </w:p>
    <w:tbl>
      <w:tblPr>
        <w:tblStyle w:val="TableGrid"/>
        <w:tblW w:w="0" w:type="auto"/>
        <w:tblLook w:val="04A0" w:firstRow="1" w:lastRow="0" w:firstColumn="1" w:lastColumn="0" w:noHBand="0" w:noVBand="1"/>
      </w:tblPr>
      <w:tblGrid>
        <w:gridCol w:w="9639"/>
      </w:tblGrid>
      <w:tr w:rsidR="00553014" w:rsidRPr="00F464E5" w14:paraId="1E183519" w14:textId="77777777" w:rsidTr="00217432">
        <w:tc>
          <w:tcPr>
            <w:tcW w:w="9639" w:type="dxa"/>
            <w:shd w:val="clear" w:color="auto" w:fill="E7E6E6" w:themeFill="background2"/>
          </w:tcPr>
          <w:p w14:paraId="59AE58DE" w14:textId="414E76D5" w:rsidR="00553014" w:rsidRPr="006D1528" w:rsidRDefault="00553014" w:rsidP="00217432">
            <w:pPr>
              <w:pStyle w:val="Sub2"/>
            </w:pPr>
            <w:bookmarkStart w:id="7" w:name="_Toc476597966"/>
            <w:r w:rsidRPr="006D1528">
              <w:t>Nature and extent</w:t>
            </w:r>
            <w:r w:rsidR="002B7910">
              <w:t xml:space="preserve"> of gender segregation</w:t>
            </w:r>
            <w:r w:rsidRPr="006D1528">
              <w:t>:</w:t>
            </w:r>
            <w:bookmarkEnd w:id="7"/>
          </w:p>
          <w:p w14:paraId="1094233A" w14:textId="72A49D51" w:rsidR="00553014" w:rsidRPr="008A3BEB" w:rsidRDefault="00553014" w:rsidP="00217432">
            <w:pPr>
              <w:keepNext/>
              <w:rPr>
                <w:rFonts w:cs="Arial"/>
              </w:rPr>
            </w:pPr>
            <w:r w:rsidRPr="00862223">
              <w:rPr>
                <w:rFonts w:cs="Arial"/>
              </w:rPr>
              <w:t xml:space="preserve">Gender segregation in the Australian workforce is significant and operates at three levels: </w:t>
            </w:r>
            <w:r w:rsidR="00DE612F">
              <w:rPr>
                <w:rFonts w:cs="Arial"/>
              </w:rPr>
              <w:t xml:space="preserve">industry, </w:t>
            </w:r>
            <w:r w:rsidRPr="00862223">
              <w:rPr>
                <w:rFonts w:cs="Arial"/>
              </w:rPr>
              <w:t>occupation</w:t>
            </w:r>
            <w:r w:rsidR="00DE612F">
              <w:rPr>
                <w:rFonts w:cs="Arial"/>
              </w:rPr>
              <w:t xml:space="preserve"> and</w:t>
            </w:r>
            <w:r w:rsidRPr="00862223">
              <w:rPr>
                <w:rFonts w:cs="Arial"/>
              </w:rPr>
              <w:t xml:space="preserve"> role.</w:t>
            </w:r>
          </w:p>
        </w:tc>
      </w:tr>
    </w:tbl>
    <w:p w14:paraId="21B9CF6F" w14:textId="199E6179"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Gender segregation in the workplace has been a persistent feature of the Australian economy for over 20 years.</w:t>
      </w:r>
      <w:r w:rsidRPr="00952C58">
        <w:rPr>
          <w:rStyle w:val="EndnoteReference"/>
        </w:rPr>
        <w:endnoteReference w:id="8"/>
      </w:r>
      <w:r w:rsidRPr="00952C58">
        <w:rPr>
          <w:rStyle w:val="EndnoteReference"/>
        </w:rPr>
        <w:t xml:space="preserve"> </w:t>
      </w:r>
      <w:r w:rsidRPr="00FD6139">
        <w:rPr>
          <w:rFonts w:ascii="Arial" w:hAnsi="Arial" w:cs="Arial"/>
          <w:sz w:val="24"/>
          <w:szCs w:val="24"/>
        </w:rPr>
        <w:t xml:space="preserve">Gender segregation occurs at the occupation, role and industry </w:t>
      </w:r>
      <w:r w:rsidR="00260CEB" w:rsidRPr="00FD6139">
        <w:rPr>
          <w:rFonts w:ascii="Arial" w:hAnsi="Arial" w:cs="Arial"/>
          <w:sz w:val="24"/>
          <w:szCs w:val="24"/>
        </w:rPr>
        <w:t>levels.</w:t>
      </w:r>
      <w:r w:rsidR="00260CEB">
        <w:rPr>
          <w:rFonts w:ascii="Arial" w:hAnsi="Arial" w:cs="Arial"/>
          <w:sz w:val="24"/>
          <w:szCs w:val="24"/>
        </w:rPr>
        <w:t xml:space="preserve"> In 2015, less than 30% of workers in reporting organisations worked in gender balanced organisations</w:t>
      </w:r>
    </w:p>
    <w:p w14:paraId="70579682"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Statistics clearly demonstrate that women are more likely to be employed in lower paying and insecure jobs, while men are more likely to work full-time and in the highest paid industries. </w:t>
      </w:r>
    </w:p>
    <w:p w14:paraId="6B35FA7A" w14:textId="5C47C26B"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This significantly impacts on women’s economic </w:t>
      </w:r>
      <w:r w:rsidR="006E0C97">
        <w:rPr>
          <w:rFonts w:ascii="Arial" w:hAnsi="Arial" w:cs="Arial"/>
          <w:sz w:val="24"/>
          <w:szCs w:val="24"/>
        </w:rPr>
        <w:t>security</w:t>
      </w:r>
      <w:r w:rsidRPr="00FD6139">
        <w:rPr>
          <w:rFonts w:ascii="Arial" w:hAnsi="Arial" w:cs="Arial"/>
          <w:sz w:val="24"/>
          <w:szCs w:val="24"/>
        </w:rPr>
        <w:t xml:space="preserve"> and the gender pay gap, and the high levels of poverty experienced by many older Australian women. </w:t>
      </w:r>
    </w:p>
    <w:p w14:paraId="25C2F9B2" w14:textId="7D96380C" w:rsidR="00F52077" w:rsidRPr="00FD6139" w:rsidRDefault="00D11F8D" w:rsidP="00B94109">
      <w:pPr>
        <w:pStyle w:val="sub4"/>
      </w:pPr>
      <w:bookmarkStart w:id="8" w:name="_Toc476597967"/>
      <w:r>
        <w:t>Statistics</w:t>
      </w:r>
      <w:r w:rsidR="00F52077" w:rsidRPr="00FD6139">
        <w:t xml:space="preserve"> on gender segregation</w:t>
      </w:r>
      <w:bookmarkEnd w:id="8"/>
    </w:p>
    <w:p w14:paraId="3ADCFA47" w14:textId="77777777" w:rsidR="00FD6139" w:rsidRDefault="00F52077"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Current data shows us that gender segregation is not reducing with time. The most recent Workplace Gender Equality Agency (WGEA) reporting identifies that the Australian labour market is highly gender-segregated by industry and occupation, a pattern that has persisted over the past two decades.</w:t>
      </w:r>
      <w:r w:rsidRPr="00952C58">
        <w:rPr>
          <w:rStyle w:val="EndnoteReference"/>
        </w:rPr>
        <w:endnoteReference w:id="9"/>
      </w:r>
    </w:p>
    <w:p w14:paraId="782176FA" w14:textId="4A7A53D4" w:rsidR="00F52077" w:rsidRPr="00FD6139" w:rsidRDefault="00F52077"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Other key findings include: </w:t>
      </w:r>
    </w:p>
    <w:p w14:paraId="36DE56E6" w14:textId="23419418" w:rsidR="00F52077" w:rsidRPr="000A254A" w:rsidRDefault="00F52077" w:rsidP="00235A4B">
      <w:pPr>
        <w:numPr>
          <w:ilvl w:val="0"/>
          <w:numId w:val="19"/>
        </w:numPr>
        <w:spacing w:before="100" w:beforeAutospacing="1" w:after="100" w:afterAutospacing="1"/>
        <w:ind w:left="426" w:hanging="426"/>
        <w:rPr>
          <w:rFonts w:eastAsia="Times New Roman" w:cs="Arial"/>
          <w:lang w:val="en-US" w:eastAsia="en-US"/>
        </w:rPr>
      </w:pPr>
      <w:r w:rsidRPr="00F464E5">
        <w:rPr>
          <w:rFonts w:eastAsia="Times New Roman" w:cs="Arial"/>
          <w:lang w:val="en-US" w:eastAsia="en-US"/>
        </w:rPr>
        <w:t>Traditionally female-dominated industries (</w:t>
      </w:r>
      <w:r w:rsidR="007B34A8">
        <w:rPr>
          <w:rFonts w:eastAsia="Times New Roman" w:cs="Arial"/>
          <w:i/>
          <w:iCs/>
          <w:lang w:val="en-US" w:eastAsia="en-US"/>
        </w:rPr>
        <w:t>health care and social a</w:t>
      </w:r>
      <w:r w:rsidRPr="00F464E5">
        <w:rPr>
          <w:rFonts w:eastAsia="Times New Roman" w:cs="Arial"/>
          <w:i/>
          <w:iCs/>
          <w:lang w:val="en-US" w:eastAsia="en-US"/>
        </w:rPr>
        <w:t>ssistance</w:t>
      </w:r>
      <w:r w:rsidR="007B34A8">
        <w:rPr>
          <w:rFonts w:eastAsia="Times New Roman" w:cs="Arial"/>
          <w:i/>
          <w:iCs/>
          <w:lang w:val="en-US" w:eastAsia="en-US"/>
        </w:rPr>
        <w:t>,</w:t>
      </w:r>
      <w:r w:rsidRPr="00F464E5">
        <w:rPr>
          <w:rFonts w:eastAsia="Times New Roman" w:cs="Arial"/>
          <w:i/>
          <w:iCs/>
          <w:lang w:val="en-US" w:eastAsia="en-US"/>
        </w:rPr>
        <w:t xml:space="preserve"> </w:t>
      </w:r>
      <w:r w:rsidRPr="00F464E5">
        <w:rPr>
          <w:rFonts w:eastAsia="Times New Roman" w:cs="Arial"/>
          <w:lang w:val="en-US" w:eastAsia="en-US"/>
        </w:rPr>
        <w:t xml:space="preserve">and </w:t>
      </w:r>
      <w:r w:rsidR="007B34A8">
        <w:rPr>
          <w:rFonts w:eastAsia="Times New Roman" w:cs="Arial"/>
          <w:i/>
          <w:iCs/>
          <w:lang w:val="en-US" w:eastAsia="en-US"/>
        </w:rPr>
        <w:t>e</w:t>
      </w:r>
      <w:r w:rsidRPr="00F464E5">
        <w:rPr>
          <w:rFonts w:eastAsia="Times New Roman" w:cs="Arial"/>
          <w:i/>
          <w:iCs/>
          <w:lang w:val="en-US" w:eastAsia="en-US"/>
        </w:rPr>
        <w:t xml:space="preserve">ducation and </w:t>
      </w:r>
      <w:r w:rsidR="007B34A8">
        <w:rPr>
          <w:rFonts w:eastAsia="Times New Roman" w:cs="Arial"/>
          <w:i/>
          <w:iCs/>
          <w:lang w:val="en-US" w:eastAsia="en-US"/>
        </w:rPr>
        <w:t>t</w:t>
      </w:r>
      <w:r w:rsidRPr="000A254A">
        <w:rPr>
          <w:rFonts w:eastAsia="Times New Roman" w:cs="Arial"/>
          <w:i/>
          <w:iCs/>
          <w:lang w:val="en-US" w:eastAsia="en-US"/>
        </w:rPr>
        <w:t>raining</w:t>
      </w:r>
      <w:r w:rsidRPr="000A254A">
        <w:rPr>
          <w:rFonts w:eastAsia="Times New Roman" w:cs="Arial"/>
          <w:lang w:val="en-US" w:eastAsia="en-US"/>
        </w:rPr>
        <w:t xml:space="preserve">) have seen the proportion of women increase further. </w:t>
      </w:r>
    </w:p>
    <w:p w14:paraId="0AB8759F" w14:textId="174C865D" w:rsidR="00F52077" w:rsidRDefault="00F52077" w:rsidP="00235A4B">
      <w:pPr>
        <w:numPr>
          <w:ilvl w:val="0"/>
          <w:numId w:val="19"/>
        </w:numPr>
        <w:spacing w:before="100" w:beforeAutospacing="1" w:after="100" w:afterAutospacing="1"/>
        <w:ind w:left="426" w:hanging="426"/>
        <w:rPr>
          <w:rFonts w:eastAsia="Times New Roman" w:cs="Arial"/>
          <w:lang w:val="en-US" w:eastAsia="en-US"/>
        </w:rPr>
      </w:pPr>
      <w:r w:rsidRPr="00F464E5">
        <w:rPr>
          <w:rFonts w:eastAsia="Times New Roman" w:cs="Arial"/>
          <w:lang w:val="en-US" w:eastAsia="en-US"/>
        </w:rPr>
        <w:lastRenderedPageBreak/>
        <w:t>Some male-dominated industries (</w:t>
      </w:r>
      <w:r w:rsidR="007B34A8">
        <w:rPr>
          <w:rFonts w:eastAsia="Times New Roman" w:cs="Arial"/>
          <w:i/>
          <w:iCs/>
          <w:lang w:val="en-US" w:eastAsia="en-US"/>
        </w:rPr>
        <w:t>c</w:t>
      </w:r>
      <w:r w:rsidRPr="00F464E5">
        <w:rPr>
          <w:rFonts w:eastAsia="Times New Roman" w:cs="Arial"/>
          <w:i/>
          <w:iCs/>
          <w:lang w:val="en-US" w:eastAsia="en-US"/>
        </w:rPr>
        <w:t xml:space="preserve">onstruction </w:t>
      </w:r>
      <w:r w:rsidRPr="00F464E5">
        <w:rPr>
          <w:rFonts w:eastAsia="Times New Roman" w:cs="Arial"/>
          <w:lang w:val="en-US" w:eastAsia="en-US"/>
        </w:rPr>
        <w:t xml:space="preserve">and </w:t>
      </w:r>
      <w:r w:rsidR="007B34A8">
        <w:rPr>
          <w:rFonts w:eastAsia="Times New Roman" w:cs="Arial"/>
          <w:i/>
          <w:iCs/>
          <w:lang w:val="en-US" w:eastAsia="en-US"/>
        </w:rPr>
        <w:t>wholesale t</w:t>
      </w:r>
      <w:r w:rsidRPr="00F464E5">
        <w:rPr>
          <w:rFonts w:eastAsia="Times New Roman" w:cs="Arial"/>
          <w:i/>
          <w:iCs/>
          <w:lang w:val="en-US" w:eastAsia="en-US"/>
        </w:rPr>
        <w:t>rade</w:t>
      </w:r>
      <w:r w:rsidRPr="00F464E5">
        <w:rPr>
          <w:rFonts w:eastAsia="Times New Roman" w:cs="Arial"/>
          <w:lang w:val="en-US" w:eastAsia="en-US"/>
        </w:rPr>
        <w:t xml:space="preserve">) recorded a decline in female representation, while others (including </w:t>
      </w:r>
      <w:r w:rsidR="007B34A8">
        <w:rPr>
          <w:rFonts w:eastAsia="Times New Roman" w:cs="Arial"/>
          <w:i/>
          <w:iCs/>
          <w:lang w:val="en-US" w:eastAsia="en-US"/>
        </w:rPr>
        <w:t>electricity, gas, water and waste s</w:t>
      </w:r>
      <w:r w:rsidRPr="00F464E5">
        <w:rPr>
          <w:rFonts w:eastAsia="Times New Roman" w:cs="Arial"/>
          <w:i/>
          <w:iCs/>
          <w:lang w:val="en-US" w:eastAsia="en-US"/>
        </w:rPr>
        <w:t xml:space="preserve">ervices </w:t>
      </w:r>
      <w:r w:rsidRPr="00F464E5">
        <w:rPr>
          <w:rFonts w:eastAsia="Times New Roman" w:cs="Arial"/>
          <w:lang w:val="en-US" w:eastAsia="en-US"/>
        </w:rPr>
        <w:t xml:space="preserve">and </w:t>
      </w:r>
      <w:r w:rsidR="007B34A8">
        <w:rPr>
          <w:rFonts w:eastAsia="Times New Roman" w:cs="Arial"/>
          <w:i/>
          <w:iCs/>
          <w:lang w:val="en-US" w:eastAsia="en-US"/>
        </w:rPr>
        <w:t>transport, postal and w</w:t>
      </w:r>
      <w:r w:rsidRPr="00F464E5">
        <w:rPr>
          <w:rFonts w:eastAsia="Times New Roman" w:cs="Arial"/>
          <w:i/>
          <w:iCs/>
          <w:lang w:val="en-US" w:eastAsia="en-US"/>
        </w:rPr>
        <w:t>arehousing</w:t>
      </w:r>
      <w:r w:rsidRPr="00F464E5">
        <w:rPr>
          <w:rFonts w:eastAsia="Times New Roman" w:cs="Arial"/>
          <w:lang w:val="en-US" w:eastAsia="en-US"/>
        </w:rPr>
        <w:t xml:space="preserve">) recorded growth. </w:t>
      </w:r>
    </w:p>
    <w:p w14:paraId="5EFD3DDD" w14:textId="4D5C80EE" w:rsidR="003F3AA0" w:rsidRPr="00F464E5" w:rsidRDefault="003F3AA0" w:rsidP="00235A4B">
      <w:pPr>
        <w:numPr>
          <w:ilvl w:val="0"/>
          <w:numId w:val="19"/>
        </w:numPr>
        <w:spacing w:before="100" w:beforeAutospacing="1" w:after="100" w:afterAutospacing="1"/>
        <w:ind w:left="426" w:hanging="426"/>
        <w:rPr>
          <w:rFonts w:eastAsia="Times New Roman" w:cs="Arial"/>
          <w:lang w:val="en-US" w:eastAsia="en-US"/>
        </w:rPr>
      </w:pPr>
      <w:r>
        <w:rPr>
          <w:rFonts w:eastAsia="Times New Roman" w:cs="Arial"/>
          <w:lang w:val="en-US" w:eastAsia="en-US"/>
        </w:rPr>
        <w:t>Although men dominate in leadership roles across all industries, women are substantially more likely to hold CEO or key management personnel roles in female dominated industries than male dominated industries.</w:t>
      </w:r>
    </w:p>
    <w:p w14:paraId="618513DA" w14:textId="77777777" w:rsidR="00F52077" w:rsidRPr="00F464E5" w:rsidRDefault="00F52077" w:rsidP="00235A4B">
      <w:pPr>
        <w:numPr>
          <w:ilvl w:val="0"/>
          <w:numId w:val="19"/>
        </w:numPr>
        <w:spacing w:before="100" w:beforeAutospacing="1" w:after="100" w:afterAutospacing="1"/>
        <w:ind w:left="426" w:hanging="426"/>
        <w:rPr>
          <w:rFonts w:eastAsia="Times New Roman" w:cs="Arial"/>
          <w:lang w:val="en-US" w:eastAsia="en-US"/>
        </w:rPr>
      </w:pPr>
      <w:r>
        <w:rPr>
          <w:rFonts w:eastAsia="Times New Roman" w:cs="Arial"/>
          <w:color w:val="000000" w:themeColor="text1"/>
          <w:lang w:val="en-US" w:eastAsia="en-US"/>
        </w:rPr>
        <w:t>A</w:t>
      </w:r>
      <w:r w:rsidRPr="00F464E5">
        <w:rPr>
          <w:rFonts w:eastAsia="Times New Roman" w:cs="Arial"/>
          <w:lang w:val="en-US" w:eastAsia="en-US"/>
        </w:rPr>
        <w:t xml:space="preserve">verage remuneration in female-dominated organisations is lower than in male-dominated organisations. However female managers working in male-dominated organisations are more likely to earn salaries closer to their male colleagues. </w:t>
      </w:r>
    </w:p>
    <w:p w14:paraId="495769C9" w14:textId="77777777" w:rsidR="00F52077" w:rsidRPr="00F464E5" w:rsidRDefault="00F52077" w:rsidP="00235A4B">
      <w:pPr>
        <w:numPr>
          <w:ilvl w:val="0"/>
          <w:numId w:val="19"/>
        </w:numPr>
        <w:spacing w:before="100" w:beforeAutospacing="1" w:after="100" w:afterAutospacing="1"/>
        <w:ind w:left="426" w:hanging="426"/>
        <w:rPr>
          <w:rFonts w:eastAsia="Times New Roman" w:cs="Arial"/>
          <w:lang w:val="en-US" w:eastAsia="en-US"/>
        </w:rPr>
      </w:pPr>
      <w:r w:rsidRPr="00F464E5">
        <w:rPr>
          <w:rFonts w:eastAsia="Times New Roman" w:cs="Arial"/>
          <w:lang w:val="en-US" w:eastAsia="en-US"/>
        </w:rPr>
        <w:t xml:space="preserve">Performance pay and other additional remuneration plays a greater role in male-dominated industries, leading to higher gender pay gaps for total remuneration. </w:t>
      </w:r>
    </w:p>
    <w:p w14:paraId="39822AD2" w14:textId="77777777" w:rsidR="00F52077" w:rsidRPr="00F464E5" w:rsidRDefault="00F52077" w:rsidP="00235A4B">
      <w:pPr>
        <w:numPr>
          <w:ilvl w:val="0"/>
          <w:numId w:val="19"/>
        </w:numPr>
        <w:spacing w:before="100" w:beforeAutospacing="1" w:after="100" w:afterAutospacing="1"/>
        <w:ind w:left="426" w:hanging="426"/>
        <w:rPr>
          <w:rFonts w:eastAsia="Times New Roman" w:cs="Arial"/>
          <w:lang w:val="en-US" w:eastAsia="en-US"/>
        </w:rPr>
      </w:pPr>
      <w:r w:rsidRPr="00F464E5">
        <w:rPr>
          <w:rFonts w:eastAsia="Times New Roman" w:cs="Arial"/>
          <w:lang w:val="en-US" w:eastAsia="en-US"/>
        </w:rPr>
        <w:t xml:space="preserve">On an occupational level, male-dominated workplaces have smaller proportions of part-time employees while full-time employees tend to work longer hours </w:t>
      </w:r>
      <w:r>
        <w:rPr>
          <w:rFonts w:eastAsia="Times New Roman" w:cs="Arial"/>
          <w:lang w:val="en-US" w:eastAsia="en-US"/>
        </w:rPr>
        <w:t xml:space="preserve">- </w:t>
      </w:r>
      <w:r w:rsidRPr="00F464E5">
        <w:rPr>
          <w:rFonts w:eastAsia="Times New Roman" w:cs="Arial"/>
          <w:lang w:val="en-US" w:eastAsia="en-US"/>
        </w:rPr>
        <w:t xml:space="preserve">attributes that may deter people with family and caring responsibilities. </w:t>
      </w:r>
    </w:p>
    <w:p w14:paraId="344FAD34" w14:textId="0493821A" w:rsidR="00E230BE" w:rsidRPr="00E230BE" w:rsidRDefault="00E230BE" w:rsidP="00007B1A">
      <w:pPr>
        <w:pStyle w:val="sub4"/>
      </w:pPr>
      <w:bookmarkStart w:id="9" w:name="_Toc476597968"/>
      <w:r>
        <w:t>Management and leadership roles</w:t>
      </w:r>
      <w:bookmarkEnd w:id="9"/>
    </w:p>
    <w:p w14:paraId="3DD62B83" w14:textId="39C467EE" w:rsidR="00DC358E" w:rsidRDefault="00553014" w:rsidP="00DC358E">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This imbalance not only disadvantages women economically but also means diversity of decision making is missing in both </w:t>
      </w:r>
      <w:r w:rsidR="004D7724">
        <w:rPr>
          <w:rFonts w:ascii="Arial" w:hAnsi="Arial" w:cs="Arial"/>
          <w:sz w:val="24"/>
          <w:szCs w:val="24"/>
        </w:rPr>
        <w:t xml:space="preserve">male and female dominated </w:t>
      </w:r>
      <w:r w:rsidRPr="00FD6139">
        <w:rPr>
          <w:rFonts w:ascii="Arial" w:hAnsi="Arial" w:cs="Arial"/>
          <w:sz w:val="24"/>
          <w:szCs w:val="24"/>
        </w:rPr>
        <w:t>industries.</w:t>
      </w:r>
    </w:p>
    <w:p w14:paraId="165B09CB" w14:textId="33714F43" w:rsidR="00DC358E" w:rsidRPr="00DC358E" w:rsidRDefault="00553014" w:rsidP="00DC358E">
      <w:pPr>
        <w:pStyle w:val="ListParagraph"/>
        <w:numPr>
          <w:ilvl w:val="0"/>
          <w:numId w:val="25"/>
        </w:numPr>
        <w:spacing w:before="240" w:after="240" w:line="240" w:lineRule="auto"/>
        <w:ind w:left="0" w:firstLine="0"/>
        <w:contextualSpacing w:val="0"/>
        <w:rPr>
          <w:rFonts w:ascii="Arial" w:hAnsi="Arial" w:cs="Arial"/>
          <w:sz w:val="24"/>
          <w:szCs w:val="24"/>
        </w:rPr>
      </w:pPr>
      <w:r w:rsidRPr="00DC358E">
        <w:rPr>
          <w:rFonts w:ascii="Arial" w:hAnsi="Arial" w:cs="Arial"/>
          <w:sz w:val="24"/>
          <w:szCs w:val="24"/>
        </w:rPr>
        <w:t>Women are still significantly under-represented in senior leadership positions right across public, private and community sectors, and in parliament.</w:t>
      </w:r>
      <w:r w:rsidR="00830BAB" w:rsidRPr="00DC358E">
        <w:rPr>
          <w:rFonts w:ascii="Arial" w:hAnsi="Arial" w:cs="Arial"/>
          <w:sz w:val="24"/>
          <w:szCs w:val="24"/>
        </w:rPr>
        <w:t xml:space="preserve"> </w:t>
      </w:r>
      <w:r w:rsidR="00DC358E" w:rsidRPr="00FD6139">
        <w:rPr>
          <w:rFonts w:ascii="Arial" w:hAnsi="Arial" w:cs="Arial"/>
          <w:sz w:val="24"/>
          <w:szCs w:val="24"/>
        </w:rPr>
        <w:t>Clearly, this perpetuates the gender pay gap.</w:t>
      </w:r>
    </w:p>
    <w:p w14:paraId="65550053" w14:textId="0BB3CE51" w:rsidR="00DC358E" w:rsidRDefault="00553014" w:rsidP="00DC358E">
      <w:pPr>
        <w:numPr>
          <w:ilvl w:val="0"/>
          <w:numId w:val="19"/>
        </w:numPr>
        <w:spacing w:before="100" w:beforeAutospacing="1" w:after="100" w:afterAutospacing="1"/>
        <w:ind w:left="426" w:hanging="426"/>
        <w:rPr>
          <w:rFonts w:cs="Arial"/>
        </w:rPr>
      </w:pPr>
      <w:r w:rsidRPr="00DC358E">
        <w:rPr>
          <w:rFonts w:cs="Arial"/>
        </w:rPr>
        <w:t>In the private sector, there are</w:t>
      </w:r>
      <w:r w:rsidR="008B34B8">
        <w:rPr>
          <w:rFonts w:cs="Arial"/>
        </w:rPr>
        <w:t xml:space="preserve"> around 3 times as many men on b</w:t>
      </w:r>
      <w:r w:rsidRPr="00DC358E">
        <w:rPr>
          <w:rFonts w:cs="Arial"/>
        </w:rPr>
        <w:t>oards as women and around 10 times in executive management positions.</w:t>
      </w:r>
      <w:r w:rsidRPr="00952C58">
        <w:rPr>
          <w:rStyle w:val="EndnoteReference"/>
        </w:rPr>
        <w:endnoteReference w:id="10"/>
      </w:r>
    </w:p>
    <w:p w14:paraId="4714404C" w14:textId="07A1882B" w:rsidR="00553014" w:rsidRDefault="00DC358E" w:rsidP="00DC358E">
      <w:pPr>
        <w:numPr>
          <w:ilvl w:val="0"/>
          <w:numId w:val="19"/>
        </w:numPr>
        <w:spacing w:before="100" w:beforeAutospacing="1" w:after="100" w:afterAutospacing="1"/>
        <w:ind w:left="426" w:hanging="426"/>
        <w:rPr>
          <w:rFonts w:cs="Arial"/>
        </w:rPr>
      </w:pPr>
      <w:r>
        <w:rPr>
          <w:rFonts w:cs="Arial"/>
        </w:rPr>
        <w:t>I</w:t>
      </w:r>
      <w:r w:rsidR="00553014" w:rsidRPr="00DC358E">
        <w:rPr>
          <w:rFonts w:cs="Arial"/>
        </w:rPr>
        <w:t>n the Commonwealth public sector, around six in ten staff are women but only 4 in ten senior executive roles are held by women.</w:t>
      </w:r>
      <w:r w:rsidR="00553014" w:rsidRPr="00952C58">
        <w:rPr>
          <w:rStyle w:val="EndnoteReference"/>
        </w:rPr>
        <w:endnoteReference w:id="11"/>
      </w:r>
    </w:p>
    <w:p w14:paraId="6EF3774D" w14:textId="616B374C"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disproportionate amount of unpaid caring by women is identified as a key barrier to progressing to leadership positions as it prevents women from achieving their full economic potential</w:t>
      </w:r>
      <w:r w:rsidRPr="00952C58">
        <w:rPr>
          <w:rStyle w:val="EndnoteReference"/>
        </w:rPr>
        <w:t>.</w:t>
      </w:r>
      <w:r w:rsidRPr="00952C58">
        <w:rPr>
          <w:rStyle w:val="EndnoteReference"/>
        </w:rPr>
        <w:endnoteReference w:id="12"/>
      </w:r>
      <w:r w:rsidRPr="00952C58">
        <w:rPr>
          <w:rStyle w:val="EndnoteReference"/>
        </w:rPr>
        <w:t xml:space="preserve">  </w:t>
      </w:r>
      <w:r w:rsidRPr="00952C58">
        <w:rPr>
          <w:rStyle w:val="EndnoteReference"/>
        </w:rPr>
        <w:tab/>
      </w:r>
    </w:p>
    <w:p w14:paraId="1A31BA3D" w14:textId="5A8C0BE0" w:rsidR="00C60CB8" w:rsidRPr="00FD6139" w:rsidRDefault="00C60CB8" w:rsidP="00B94109">
      <w:pPr>
        <w:pStyle w:val="sub4"/>
      </w:pPr>
      <w:bookmarkStart w:id="10" w:name="_Toc476597969"/>
      <w:r w:rsidRPr="00FD6139">
        <w:t>Findings from the Sex Discrimination Commissioner’s 2016 consultations</w:t>
      </w:r>
      <w:bookmarkEnd w:id="10"/>
    </w:p>
    <w:p w14:paraId="652A4E53" w14:textId="711384F0"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In the SDC consultations, a consistent story was heard.</w:t>
      </w:r>
      <w:r w:rsidR="00C60CB8" w:rsidRPr="00FD6139">
        <w:rPr>
          <w:rFonts w:ascii="Arial" w:hAnsi="Arial" w:cs="Arial"/>
          <w:sz w:val="24"/>
          <w:szCs w:val="24"/>
        </w:rPr>
        <w:t xml:space="preserve"> </w:t>
      </w:r>
      <w:r w:rsidRPr="00FD6139">
        <w:rPr>
          <w:rFonts w:ascii="Arial" w:hAnsi="Arial" w:cs="Arial"/>
          <w:sz w:val="24"/>
          <w:szCs w:val="24"/>
        </w:rPr>
        <w:t xml:space="preserve">While some progress is being made in gender equality for women in larger workplaces and full time employment, many women are constrained by structural barriers and the lack of choice when it comes to work and care, casual work, gender segregated industries and new ways of work. </w:t>
      </w:r>
    </w:p>
    <w:p w14:paraId="157AA619" w14:textId="57A683BD" w:rsidR="00553014" w:rsidRPr="00924687"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These challenges are exacerbated by policies that cause some sectors to expand and contract, effectively clustering women in vulnerable sectors. For example, the SDC was told that:</w:t>
      </w:r>
    </w:p>
    <w:p w14:paraId="23A00E1C" w14:textId="0D9D548B" w:rsidR="00553014" w:rsidRPr="00432589" w:rsidRDefault="00553014" w:rsidP="00432589">
      <w:pPr>
        <w:numPr>
          <w:ilvl w:val="0"/>
          <w:numId w:val="19"/>
        </w:numPr>
        <w:spacing w:before="100" w:beforeAutospacing="1" w:after="100" w:afterAutospacing="1"/>
        <w:ind w:left="426" w:hanging="426"/>
        <w:rPr>
          <w:rFonts w:cs="Arial"/>
        </w:rPr>
      </w:pPr>
      <w:r w:rsidRPr="00432589">
        <w:rPr>
          <w:rFonts w:cs="Arial"/>
        </w:rPr>
        <w:t>Women hold the majority of administrative roles, and men the operational roles, in the mining sector. During the mining downturn this meant women were more susceptible to losing their jobs.</w:t>
      </w:r>
    </w:p>
    <w:p w14:paraId="07649FB0" w14:textId="3FD2EAF8" w:rsidR="00553014" w:rsidRPr="00B94109" w:rsidRDefault="00553014" w:rsidP="00432589">
      <w:pPr>
        <w:numPr>
          <w:ilvl w:val="0"/>
          <w:numId w:val="19"/>
        </w:numPr>
        <w:spacing w:before="100" w:beforeAutospacing="1" w:after="100" w:afterAutospacing="1"/>
        <w:ind w:left="426" w:hanging="426"/>
        <w:rPr>
          <w:rFonts w:cs="Arial"/>
          <w:color w:val="000000" w:themeColor="text1"/>
        </w:rPr>
      </w:pPr>
      <w:r w:rsidRPr="00432589">
        <w:rPr>
          <w:rFonts w:cs="Arial"/>
        </w:rPr>
        <w:t>Women</w:t>
      </w:r>
      <w:r w:rsidRPr="00A24889">
        <w:rPr>
          <w:rFonts w:cs="Arial"/>
          <w:color w:val="000000" w:themeColor="text1"/>
        </w:rPr>
        <w:t xml:space="preserve"> employed in the care sector (aged care, N</w:t>
      </w:r>
      <w:r w:rsidR="008B34B8">
        <w:rPr>
          <w:rFonts w:cs="Arial"/>
          <w:color w:val="000000" w:themeColor="text1"/>
        </w:rPr>
        <w:t xml:space="preserve">ational </w:t>
      </w:r>
      <w:r w:rsidRPr="00A24889">
        <w:rPr>
          <w:rFonts w:cs="Arial"/>
          <w:color w:val="000000" w:themeColor="text1"/>
        </w:rPr>
        <w:t>D</w:t>
      </w:r>
      <w:r w:rsidR="008B34B8">
        <w:rPr>
          <w:rFonts w:cs="Arial"/>
          <w:color w:val="000000" w:themeColor="text1"/>
        </w:rPr>
        <w:t xml:space="preserve">isability </w:t>
      </w:r>
      <w:r w:rsidRPr="00A24889">
        <w:rPr>
          <w:rFonts w:cs="Arial"/>
          <w:color w:val="000000" w:themeColor="text1"/>
        </w:rPr>
        <w:t>I</w:t>
      </w:r>
      <w:r w:rsidR="008B34B8">
        <w:rPr>
          <w:rFonts w:cs="Arial"/>
          <w:color w:val="000000" w:themeColor="text1"/>
        </w:rPr>
        <w:t xml:space="preserve">nsurance </w:t>
      </w:r>
      <w:r w:rsidRPr="00A24889">
        <w:rPr>
          <w:rFonts w:cs="Arial"/>
          <w:color w:val="000000" w:themeColor="text1"/>
        </w:rPr>
        <w:t>S</w:t>
      </w:r>
      <w:r w:rsidR="008B34B8">
        <w:rPr>
          <w:rFonts w:cs="Arial"/>
          <w:color w:val="000000" w:themeColor="text1"/>
        </w:rPr>
        <w:t>cheme</w:t>
      </w:r>
      <w:r w:rsidRPr="00A24889">
        <w:rPr>
          <w:rFonts w:cs="Arial"/>
          <w:color w:val="000000" w:themeColor="text1"/>
        </w:rPr>
        <w:t xml:space="preserve"> providers, child care</w:t>
      </w:r>
      <w:r>
        <w:rPr>
          <w:rFonts w:cs="Arial"/>
          <w:color w:val="000000" w:themeColor="text1"/>
        </w:rPr>
        <w:t xml:space="preserve"> etc</w:t>
      </w:r>
      <w:r w:rsidRPr="00A24889">
        <w:rPr>
          <w:rFonts w:cs="Arial"/>
          <w:color w:val="000000" w:themeColor="text1"/>
        </w:rPr>
        <w:t xml:space="preserve">) are being impacted by the casualisation of the industry, low pay and poor conditions. This is particularly prevalent for young women and </w:t>
      </w:r>
      <w:r w:rsidR="008B34B8">
        <w:rPr>
          <w:rFonts w:cs="Arial"/>
          <w:color w:val="000000" w:themeColor="text1"/>
        </w:rPr>
        <w:t>Culturally and Linguistically Diverse (</w:t>
      </w:r>
      <w:r w:rsidRPr="00A24889">
        <w:rPr>
          <w:rFonts w:cs="Arial"/>
          <w:color w:val="000000" w:themeColor="text1"/>
        </w:rPr>
        <w:t>CALD</w:t>
      </w:r>
      <w:r w:rsidR="008B34B8">
        <w:rPr>
          <w:rFonts w:cs="Arial"/>
          <w:color w:val="000000" w:themeColor="text1"/>
        </w:rPr>
        <w:t>)</w:t>
      </w:r>
      <w:r w:rsidRPr="00A24889">
        <w:rPr>
          <w:rFonts w:cs="Arial"/>
          <w:color w:val="000000" w:themeColor="text1"/>
        </w:rPr>
        <w:t xml:space="preserve"> workers</w:t>
      </w:r>
      <w:r>
        <w:rPr>
          <w:rFonts w:cs="Arial"/>
          <w:color w:val="000000" w:themeColor="text1"/>
        </w:rPr>
        <w:t>.</w:t>
      </w:r>
    </w:p>
    <w:p w14:paraId="608D3725" w14:textId="31473532" w:rsidR="00553014" w:rsidRPr="00B9410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lastRenderedPageBreak/>
        <w:t>In the SDC consultations, there was a strong desire from women working in male dominated industries to raise awareness of the pathways</w:t>
      </w:r>
      <w:r w:rsidR="00D223D3">
        <w:rPr>
          <w:rFonts w:ascii="Arial" w:hAnsi="Arial" w:cs="Arial"/>
          <w:sz w:val="24"/>
          <w:szCs w:val="24"/>
        </w:rPr>
        <w:t xml:space="preserve"> available through STEM </w:t>
      </w:r>
      <w:r w:rsidRPr="00FD6139">
        <w:rPr>
          <w:rFonts w:ascii="Arial" w:hAnsi="Arial" w:cs="Arial"/>
          <w:sz w:val="24"/>
          <w:szCs w:val="24"/>
        </w:rPr>
        <w:t>careers.</w:t>
      </w:r>
    </w:p>
    <w:p w14:paraId="24896201" w14:textId="5FC84561"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However, employers are responsible for creating jobs, advertising jobs, setting rosters, hours of work and conditions. Women are being channelled to occupations and tasks unde</w:t>
      </w:r>
      <w:r w:rsidR="00C70654">
        <w:rPr>
          <w:rFonts w:ascii="Arial" w:hAnsi="Arial" w:cs="Arial"/>
          <w:sz w:val="24"/>
          <w:szCs w:val="24"/>
        </w:rPr>
        <w:t>rtaken by casual roles, while</w:t>
      </w:r>
      <w:r w:rsidRPr="00FD6139">
        <w:rPr>
          <w:rFonts w:ascii="Arial" w:hAnsi="Arial" w:cs="Arial"/>
          <w:sz w:val="24"/>
          <w:szCs w:val="24"/>
        </w:rPr>
        <w:t xml:space="preserve"> men are being channelled to occupations and tasks undertaken by permanent roles. </w:t>
      </w:r>
    </w:p>
    <w:p w14:paraId="458198DB" w14:textId="59D13331" w:rsidR="00553014"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w:t>
      </w:r>
      <w:r w:rsidR="00B94109">
        <w:rPr>
          <w:rFonts w:ascii="Arial" w:hAnsi="Arial" w:cs="Arial"/>
          <w:sz w:val="24"/>
          <w:szCs w:val="24"/>
        </w:rPr>
        <w:t xml:space="preserve">he SDC consultations heard that, out of the need for more flexibility, </w:t>
      </w:r>
      <w:r w:rsidRPr="00FD6139">
        <w:rPr>
          <w:rFonts w:ascii="Arial" w:hAnsi="Arial" w:cs="Arial"/>
          <w:sz w:val="24"/>
          <w:szCs w:val="24"/>
        </w:rPr>
        <w:t xml:space="preserve">women entrepreneurs are emerging across all industries </w:t>
      </w:r>
      <w:r w:rsidR="00B94109">
        <w:rPr>
          <w:rFonts w:ascii="Arial" w:hAnsi="Arial" w:cs="Arial"/>
          <w:sz w:val="24"/>
          <w:szCs w:val="24"/>
        </w:rPr>
        <w:t xml:space="preserve">but </w:t>
      </w:r>
      <w:r w:rsidR="006C692E">
        <w:rPr>
          <w:rFonts w:ascii="Arial" w:hAnsi="Arial" w:cs="Arial"/>
          <w:sz w:val="24"/>
          <w:szCs w:val="24"/>
        </w:rPr>
        <w:t xml:space="preserve">the </w:t>
      </w:r>
      <w:r w:rsidRPr="00FD6139">
        <w:rPr>
          <w:rFonts w:ascii="Arial" w:hAnsi="Arial" w:cs="Arial"/>
          <w:sz w:val="24"/>
          <w:szCs w:val="24"/>
        </w:rPr>
        <w:t xml:space="preserve">challenge for these women is that often building their businesses comes at the cost of </w:t>
      </w:r>
      <w:r w:rsidR="00D223D3">
        <w:rPr>
          <w:rFonts w:ascii="Arial" w:hAnsi="Arial" w:cs="Arial"/>
          <w:sz w:val="24"/>
          <w:szCs w:val="24"/>
        </w:rPr>
        <w:t xml:space="preserve">their economic security – </w:t>
      </w:r>
      <w:r w:rsidRPr="00FD6139">
        <w:rPr>
          <w:rFonts w:ascii="Arial" w:hAnsi="Arial" w:cs="Arial"/>
          <w:sz w:val="24"/>
          <w:szCs w:val="24"/>
        </w:rPr>
        <w:t xml:space="preserve">for example, they are not paying themselves superannuation. </w:t>
      </w:r>
    </w:p>
    <w:p w14:paraId="4C8F5F3C" w14:textId="5FCCDF7D" w:rsidR="00B94109" w:rsidRPr="00B94109" w:rsidRDefault="009B505B" w:rsidP="00F76452">
      <w:pPr>
        <w:pStyle w:val="sub4"/>
        <w:rPr>
          <w:color w:val="auto"/>
        </w:rPr>
      </w:pPr>
      <w:bookmarkStart w:id="11" w:name="_Toc476597970"/>
      <w:r>
        <w:t>Previous C</w:t>
      </w:r>
      <w:r w:rsidR="00F76452">
        <w:t>ommission research</w:t>
      </w:r>
      <w:bookmarkEnd w:id="11"/>
    </w:p>
    <w:p w14:paraId="17D1D0E5"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These stories are consistent with the Commission’s findings from its 2013 examination of women in male dominated industries.</w:t>
      </w:r>
      <w:r w:rsidRPr="00952C58">
        <w:rPr>
          <w:rStyle w:val="EndnoteReference"/>
        </w:rPr>
        <w:endnoteReference w:id="13"/>
      </w:r>
      <w:r w:rsidRPr="00952C58">
        <w:rPr>
          <w:rStyle w:val="EndnoteReference"/>
        </w:rPr>
        <w:t xml:space="preserve"> </w:t>
      </w:r>
    </w:p>
    <w:p w14:paraId="2853D48C" w14:textId="7C54EFCE" w:rsidR="00553014" w:rsidRDefault="00553014" w:rsidP="00D223D3">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Commission noted that the mining, construction and utilities industries have historically been perceived to be a ‘man’s domain’ and the representation of women has remained low across all levels.</w:t>
      </w:r>
      <w:r w:rsidR="00D223D3">
        <w:rPr>
          <w:rFonts w:ascii="Arial" w:hAnsi="Arial" w:cs="Arial"/>
          <w:sz w:val="24"/>
          <w:szCs w:val="24"/>
        </w:rPr>
        <w:t xml:space="preserve"> </w:t>
      </w:r>
      <w:r w:rsidRPr="00D223D3">
        <w:rPr>
          <w:rFonts w:ascii="Arial" w:hAnsi="Arial" w:cs="Arial"/>
          <w:sz w:val="24"/>
          <w:szCs w:val="24"/>
        </w:rPr>
        <w:t>Industries that have the greatest representation of women at all levels include health care, education and training and retail trade.</w:t>
      </w:r>
      <w:r w:rsidR="00D223D3" w:rsidRPr="00D223D3">
        <w:rPr>
          <w:rStyle w:val="EndnoteReference"/>
        </w:rPr>
        <w:t xml:space="preserve"> </w:t>
      </w:r>
    </w:p>
    <w:p w14:paraId="228E5F82" w14:textId="223D2B99" w:rsidR="00D35222" w:rsidRDefault="00D35222" w:rsidP="00D35222">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Health Care and Social Assistance, and Education and Training industries are increasingly dominated by women. In 2015, the former industry had almost 80 percent female employees, while the latter had 70.6 percent.</w:t>
      </w:r>
      <w:r w:rsidR="00EF0D47" w:rsidRPr="00FD6139">
        <w:rPr>
          <w:rFonts w:ascii="Arial" w:hAnsi="Arial" w:cs="Arial"/>
          <w:sz w:val="24"/>
          <w:szCs w:val="24"/>
        </w:rPr>
        <w:t xml:space="preserve"> </w:t>
      </w:r>
      <w:r w:rsidRPr="00FD6139">
        <w:rPr>
          <w:rFonts w:ascii="Arial" w:hAnsi="Arial" w:cs="Arial"/>
          <w:sz w:val="24"/>
          <w:szCs w:val="24"/>
        </w:rPr>
        <w:t>The top two male-dominated industries are Mining and Construction with the workforce comprising only 12.9 percent and 12 percent female employees respectively in 2015.</w:t>
      </w:r>
    </w:p>
    <w:p w14:paraId="7E8E577D" w14:textId="232770FF" w:rsidR="00D35222" w:rsidRPr="00D35222" w:rsidRDefault="00D35222" w:rsidP="00D35222">
      <w:pPr>
        <w:pStyle w:val="ListParagraph"/>
        <w:numPr>
          <w:ilvl w:val="0"/>
          <w:numId w:val="25"/>
        </w:numPr>
        <w:spacing w:before="240" w:after="240" w:line="240" w:lineRule="auto"/>
        <w:ind w:left="0" w:firstLine="0"/>
        <w:contextualSpacing w:val="0"/>
        <w:rPr>
          <w:rFonts w:ascii="Arial" w:hAnsi="Arial" w:cs="Arial"/>
          <w:sz w:val="24"/>
          <w:szCs w:val="24"/>
        </w:rPr>
      </w:pPr>
      <w:r w:rsidRPr="00D223D3">
        <w:rPr>
          <w:rFonts w:ascii="Arial" w:hAnsi="Arial" w:cs="Arial"/>
          <w:sz w:val="24"/>
          <w:szCs w:val="24"/>
        </w:rPr>
        <w:t>Where women do find employment in male-dominated industries, it is in lower-paid administrative roles.</w:t>
      </w:r>
    </w:p>
    <w:p w14:paraId="330DB70F"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The stark consequence of this multi-faceted gender segregation is that no matter what industry a woman chooses, she is likely to lose out on the gender pay gap, which means that women on average earn 16.2 per cent less than men. </w:t>
      </w:r>
    </w:p>
    <w:p w14:paraId="67BD1F82" w14:textId="210903A3"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Even women who take out no time for parenting, and who work fulltime over a 45-year career, will earn seven hundred thousand dollars less than an equivalent man.</w:t>
      </w:r>
      <w:r w:rsidRPr="00952C58">
        <w:rPr>
          <w:rStyle w:val="EndnoteReference"/>
          <w:rFonts w:eastAsia="Calibri"/>
        </w:rPr>
        <w:endnoteReference w:id="14"/>
      </w:r>
    </w:p>
    <w:tbl>
      <w:tblPr>
        <w:tblStyle w:val="TableGrid"/>
        <w:tblW w:w="0" w:type="auto"/>
        <w:tblLook w:val="04A0" w:firstRow="1" w:lastRow="0" w:firstColumn="1" w:lastColumn="0" w:noHBand="0" w:noVBand="1"/>
      </w:tblPr>
      <w:tblGrid>
        <w:gridCol w:w="9639"/>
      </w:tblGrid>
      <w:tr w:rsidR="00553014" w:rsidRPr="00F464E5" w14:paraId="41D89C73" w14:textId="77777777" w:rsidTr="00217432">
        <w:tc>
          <w:tcPr>
            <w:tcW w:w="9639" w:type="dxa"/>
            <w:shd w:val="clear" w:color="auto" w:fill="E7E6E6" w:themeFill="background2"/>
          </w:tcPr>
          <w:p w14:paraId="5D6EA40D" w14:textId="10F6EC60" w:rsidR="00553014" w:rsidRPr="004361CC" w:rsidRDefault="00553014" w:rsidP="00217432">
            <w:pPr>
              <w:pStyle w:val="Sub2"/>
            </w:pPr>
            <w:bookmarkStart w:id="12" w:name="_Toc476597971"/>
            <w:r w:rsidRPr="004361CC">
              <w:t>Impact</w:t>
            </w:r>
            <w:r w:rsidR="00217432">
              <w:t xml:space="preserve"> of gender segregation</w:t>
            </w:r>
            <w:r w:rsidRPr="004361CC">
              <w:t>:</w:t>
            </w:r>
            <w:bookmarkEnd w:id="12"/>
          </w:p>
          <w:p w14:paraId="78988127" w14:textId="587C3E08" w:rsidR="00553014" w:rsidRDefault="00553014" w:rsidP="00217432">
            <w:pPr>
              <w:spacing w:before="120" w:after="120"/>
              <w:rPr>
                <w:rFonts w:cs="Arial"/>
              </w:rPr>
            </w:pPr>
            <w:r w:rsidRPr="00967AB2">
              <w:rPr>
                <w:rFonts w:cs="Arial"/>
              </w:rPr>
              <w:t>Gender segregation contributes</w:t>
            </w:r>
            <w:r>
              <w:rPr>
                <w:rFonts w:cs="Arial"/>
              </w:rPr>
              <w:t xml:space="preserve"> to systemic gender inequality and </w:t>
            </w:r>
            <w:r w:rsidRPr="00967AB2">
              <w:rPr>
                <w:rFonts w:cs="Arial"/>
              </w:rPr>
              <w:t>low economic security</w:t>
            </w:r>
            <w:r>
              <w:rPr>
                <w:rFonts w:cs="Arial"/>
              </w:rPr>
              <w:t xml:space="preserve"> and for many Australian women, </w:t>
            </w:r>
            <w:r w:rsidRPr="00967AB2">
              <w:rPr>
                <w:rFonts w:cs="Arial"/>
              </w:rPr>
              <w:t>due both to the resulting gender pay g</w:t>
            </w:r>
            <w:r>
              <w:rPr>
                <w:rFonts w:cs="Arial"/>
              </w:rPr>
              <w:t>ap and long term career impacts</w:t>
            </w:r>
            <w:r w:rsidR="00741F84">
              <w:rPr>
                <w:rFonts w:cs="Arial"/>
              </w:rPr>
              <w:t>.</w:t>
            </w:r>
          </w:p>
          <w:p w14:paraId="0D9FADBB" w14:textId="77777777" w:rsidR="00553014" w:rsidRPr="00F03F4D" w:rsidRDefault="00553014" w:rsidP="00217432">
            <w:pPr>
              <w:pStyle w:val="SubmissionNormal"/>
              <w:numPr>
                <w:ilvl w:val="0"/>
                <w:numId w:val="0"/>
              </w:numPr>
              <w:rPr>
                <w:rFonts w:cs="Arial"/>
              </w:rPr>
            </w:pPr>
            <w:r w:rsidRPr="005734C6">
              <w:rPr>
                <w:rFonts w:cs="Arial"/>
              </w:rPr>
              <w:t>Gender segregation is a significant cause of lifetime poverty accumulation for women.</w:t>
            </w:r>
          </w:p>
        </w:tc>
      </w:tr>
    </w:tbl>
    <w:p w14:paraId="6E8E94A5" w14:textId="77777777" w:rsidR="00F76452" w:rsidRPr="00FD6139" w:rsidRDefault="00F76452"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In 2016, the Senate Standing Committee on Economics noted that women are more likely to work in lower paid roles and lower paid fields, are more likely to work part-time or casually, and are more likely to take breaks from paid employment to provide unpaid care for others, and concluded that Australia's retirement income system does not adequately accommodate these gender differences.</w:t>
      </w:r>
      <w:r w:rsidRPr="00952C58">
        <w:rPr>
          <w:rStyle w:val="EndnoteReference"/>
          <w:rFonts w:eastAsia="MS Mincho"/>
        </w:rPr>
        <w:endnoteReference w:id="15"/>
      </w:r>
      <w:r w:rsidRPr="00952C58">
        <w:rPr>
          <w:rStyle w:val="EndnoteReference"/>
          <w:rFonts w:eastAsia="MS Mincho"/>
        </w:rPr>
        <w:t xml:space="preserve"> </w:t>
      </w:r>
    </w:p>
    <w:p w14:paraId="6BDF3F5C" w14:textId="6EE9598B" w:rsidR="00F76452" w:rsidRPr="00F76452" w:rsidRDefault="00F76452"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lastRenderedPageBreak/>
        <w:t>Importantly, despite the assumption that most women will have access to the retirement savings or income of a partner, the statistics show through death, divorce or choosing not to partner, a significant proportion of women end their lives without a partner. Many of these women will live the final years of their life in poverty.</w:t>
      </w:r>
      <w:r w:rsidRPr="00952C58">
        <w:rPr>
          <w:rStyle w:val="EndnoteReference"/>
        </w:rPr>
        <w:endnoteReference w:id="16"/>
      </w:r>
    </w:p>
    <w:p w14:paraId="65650A64" w14:textId="6E1702FB" w:rsidR="00F76452" w:rsidRDefault="00D11F8D" w:rsidP="00C134A7">
      <w:pPr>
        <w:pStyle w:val="sub4"/>
        <w:keepNext/>
      </w:pPr>
      <w:bookmarkStart w:id="13" w:name="_Toc476597972"/>
      <w:r>
        <w:t>Statistics</w:t>
      </w:r>
      <w:r w:rsidR="00F76452">
        <w:t xml:space="preserve"> on the gender pay gap</w:t>
      </w:r>
      <w:bookmarkEnd w:id="13"/>
    </w:p>
    <w:p w14:paraId="2DF6C67D"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national gender pay gap is currently at 17.7 percent (based on average full-time earnings).</w:t>
      </w:r>
      <w:r w:rsidRPr="00B94109">
        <w:rPr>
          <w:rStyle w:val="EndnoteReference"/>
        </w:rPr>
        <w:endnoteReference w:id="17"/>
      </w:r>
      <w:r w:rsidRPr="00B94109">
        <w:rPr>
          <w:rStyle w:val="EndnoteReference"/>
        </w:rPr>
        <w:t xml:space="preserve"> </w:t>
      </w:r>
      <w:r w:rsidRPr="00FD6139">
        <w:rPr>
          <w:rFonts w:ascii="Arial" w:hAnsi="Arial" w:cs="Arial"/>
          <w:sz w:val="24"/>
          <w:szCs w:val="24"/>
        </w:rPr>
        <w:t>Industrial and occupational gender segregation accounts for 30 percent of the gender pay gap.</w:t>
      </w:r>
      <w:r w:rsidRPr="00B94109">
        <w:rPr>
          <w:rStyle w:val="EndnoteReference"/>
        </w:rPr>
        <w:endnoteReference w:id="18"/>
      </w:r>
      <w:r w:rsidRPr="00FD6139">
        <w:rPr>
          <w:rFonts w:ascii="Arial" w:hAnsi="Arial" w:cs="Arial"/>
          <w:sz w:val="24"/>
          <w:szCs w:val="24"/>
        </w:rPr>
        <w:t xml:space="preserve"> </w:t>
      </w:r>
    </w:p>
    <w:p w14:paraId="6F2973A9" w14:textId="5580749E" w:rsidR="00553014"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This is the second biggest contributing factor to the gender pay gap following sex discrimination, which accounts for 38 percent in 2014</w:t>
      </w:r>
      <w:r w:rsidR="00224B99">
        <w:rPr>
          <w:rFonts w:ascii="Arial" w:hAnsi="Arial" w:cs="Arial"/>
          <w:sz w:val="24"/>
          <w:szCs w:val="24"/>
        </w:rPr>
        <w:t>.</w:t>
      </w:r>
      <w:r w:rsidRPr="00952C58">
        <w:rPr>
          <w:rStyle w:val="EndnoteReference"/>
        </w:rPr>
        <w:endnoteReference w:id="19"/>
      </w:r>
      <w:r w:rsidRPr="00952C58">
        <w:rPr>
          <w:rStyle w:val="EndnoteReference"/>
        </w:rPr>
        <w:t xml:space="preserve"> </w:t>
      </w:r>
      <w:r w:rsidR="00224B99">
        <w:rPr>
          <w:rFonts w:ascii="Arial" w:hAnsi="Arial" w:cs="Arial"/>
          <w:sz w:val="24"/>
          <w:szCs w:val="24"/>
        </w:rPr>
        <w:t xml:space="preserve"> </w:t>
      </w:r>
    </w:p>
    <w:p w14:paraId="7362867C" w14:textId="1FBE3F63" w:rsidR="00F76452" w:rsidRPr="00F76452" w:rsidRDefault="00F76452"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In May 2016, those employed in the Mining industry had the highest full-time adult average weekly ea</w:t>
      </w:r>
      <w:r w:rsidR="00487210">
        <w:rPr>
          <w:rFonts w:ascii="Arial" w:hAnsi="Arial" w:cs="Arial"/>
          <w:sz w:val="24"/>
          <w:szCs w:val="24"/>
        </w:rPr>
        <w:t>rnings in Australia at $2,597</w:t>
      </w:r>
      <w:r w:rsidRPr="00FD6139">
        <w:rPr>
          <w:rFonts w:ascii="Arial" w:hAnsi="Arial" w:cs="Arial"/>
          <w:sz w:val="24"/>
          <w:szCs w:val="24"/>
        </w:rPr>
        <w:t>.</w:t>
      </w:r>
      <w:r w:rsidR="003341A0">
        <w:rPr>
          <w:rStyle w:val="EndnoteReference"/>
        </w:rPr>
        <w:t xml:space="preserve"> </w:t>
      </w:r>
      <w:r w:rsidRPr="00FD6139">
        <w:rPr>
          <w:rFonts w:ascii="Arial" w:hAnsi="Arial" w:cs="Arial"/>
          <w:sz w:val="24"/>
          <w:szCs w:val="24"/>
        </w:rPr>
        <w:t>In comparison, the full-time adult average weekly earnings for people employed in Health Care and Social Assistance was much lower (between $1,300 - $1,600 per week).</w:t>
      </w:r>
      <w:r w:rsidRPr="00952C58">
        <w:rPr>
          <w:rStyle w:val="EndnoteReference"/>
        </w:rPr>
        <w:endnoteReference w:id="20"/>
      </w:r>
      <w:r w:rsidRPr="00952C58">
        <w:rPr>
          <w:rStyle w:val="EndnoteReference"/>
        </w:rPr>
        <w:t xml:space="preserve"> </w:t>
      </w:r>
    </w:p>
    <w:p w14:paraId="24471AD3" w14:textId="4AD60718" w:rsidR="00553014" w:rsidRPr="006544F8" w:rsidRDefault="00F76452" w:rsidP="00235A4B">
      <w:pPr>
        <w:pStyle w:val="ListParagraph"/>
        <w:numPr>
          <w:ilvl w:val="0"/>
          <w:numId w:val="25"/>
        </w:numPr>
        <w:spacing w:before="240" w:after="240" w:line="240" w:lineRule="auto"/>
        <w:ind w:left="0" w:firstLine="0"/>
        <w:contextualSpacing w:val="0"/>
        <w:rPr>
          <w:rFonts w:ascii="Arial" w:hAnsi="Arial" w:cs="Arial"/>
          <w:sz w:val="24"/>
          <w:szCs w:val="24"/>
        </w:rPr>
      </w:pPr>
      <w:r>
        <w:rPr>
          <w:rFonts w:ascii="Arial" w:hAnsi="Arial" w:cs="Arial"/>
          <w:sz w:val="24"/>
          <w:szCs w:val="24"/>
        </w:rPr>
        <w:t xml:space="preserve">The pay gap of course translates into a longer-term gap in economic security. </w:t>
      </w:r>
      <w:r w:rsidR="00553014" w:rsidRPr="00FD6139">
        <w:rPr>
          <w:rFonts w:ascii="Arial" w:hAnsi="Arial" w:cs="Arial"/>
          <w:sz w:val="24"/>
          <w:szCs w:val="24"/>
        </w:rPr>
        <w:t>On average, the superannuation balances of women at retirement are 46.6% less than those of men.</w:t>
      </w:r>
      <w:r w:rsidR="00553014" w:rsidRPr="00952C58">
        <w:rPr>
          <w:rStyle w:val="EndnoteReference"/>
        </w:rPr>
        <w:endnoteReference w:id="21"/>
      </w:r>
      <w:r w:rsidR="00553014" w:rsidRPr="00952C58">
        <w:rPr>
          <w:rStyle w:val="EndnoteReference"/>
        </w:rPr>
        <w:t xml:space="preserve"> </w:t>
      </w:r>
    </w:p>
    <w:p w14:paraId="6170C32F" w14:textId="7BD40E19" w:rsidR="006544F8" w:rsidRPr="006544F8" w:rsidRDefault="006544F8" w:rsidP="006544F8">
      <w:pPr>
        <w:pStyle w:val="sub4"/>
      </w:pPr>
      <w:bookmarkStart w:id="14" w:name="_Toc475805494"/>
      <w:bookmarkStart w:id="15" w:name="_Toc476597973"/>
      <w:r w:rsidRPr="00FD6139">
        <w:t>Findings from the Sex Discrimination Commissioner’s 2016 consultations</w:t>
      </w:r>
      <w:bookmarkEnd w:id="14"/>
      <w:bookmarkEnd w:id="15"/>
    </w:p>
    <w:p w14:paraId="16E50CFB"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The SDC consultations heard that women’s experience of economic disadvantage often arises from a false sense of having options whereas, in fact, women are not making informed choices – rather, entrenched societal attitudes and culture are strongly guiding their “choice”. </w:t>
      </w:r>
    </w:p>
    <w:p w14:paraId="6C2FBB31"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Gender segregation in the workplace has become an almost inevitable consequence of this situation. </w:t>
      </w:r>
    </w:p>
    <w:p w14:paraId="7E2D47F9"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For example:</w:t>
      </w:r>
    </w:p>
    <w:p w14:paraId="2A2F215B" w14:textId="77777777" w:rsidR="00553014" w:rsidRPr="0051159D" w:rsidRDefault="00553014" w:rsidP="00235A4B">
      <w:pPr>
        <w:numPr>
          <w:ilvl w:val="0"/>
          <w:numId w:val="24"/>
        </w:numPr>
        <w:spacing w:before="0" w:after="0"/>
        <w:ind w:left="426" w:hanging="426"/>
        <w:contextualSpacing/>
        <w:rPr>
          <w:rFonts w:cs="Arial"/>
          <w:color w:val="000000" w:themeColor="text1"/>
        </w:rPr>
      </w:pPr>
      <w:r w:rsidRPr="0051159D">
        <w:rPr>
          <w:rFonts w:cs="Arial"/>
          <w:color w:val="000000" w:themeColor="text1"/>
        </w:rPr>
        <w:t xml:space="preserve">The “choice” of subjects at school is influenced by parents, teachers and friends and women are guided into subjects that result in lower paying roles (eg. caring professions vs. STEM). </w:t>
      </w:r>
    </w:p>
    <w:p w14:paraId="6D1F6A4F" w14:textId="79CA22C4" w:rsidR="00553014" w:rsidRPr="0051159D" w:rsidRDefault="00553014" w:rsidP="00235A4B">
      <w:pPr>
        <w:numPr>
          <w:ilvl w:val="0"/>
          <w:numId w:val="24"/>
        </w:numPr>
        <w:spacing w:before="0" w:after="0"/>
        <w:ind w:left="426" w:hanging="426"/>
        <w:contextualSpacing/>
        <w:rPr>
          <w:rFonts w:cs="Arial"/>
          <w:color w:val="000000" w:themeColor="text1"/>
        </w:rPr>
      </w:pPr>
      <w:r w:rsidRPr="0051159D">
        <w:rPr>
          <w:rFonts w:cs="Arial"/>
          <w:color w:val="000000" w:themeColor="text1"/>
        </w:rPr>
        <w:t xml:space="preserve">The “choice” </w:t>
      </w:r>
      <w:r w:rsidR="006C692E">
        <w:rPr>
          <w:rFonts w:cs="Arial"/>
          <w:color w:val="000000" w:themeColor="text1"/>
        </w:rPr>
        <w:t xml:space="preserve">of </w:t>
      </w:r>
      <w:r w:rsidRPr="0051159D">
        <w:rPr>
          <w:rFonts w:cs="Arial"/>
          <w:color w:val="000000" w:themeColor="text1"/>
        </w:rPr>
        <w:t>profession or industry steers women towards lower paid, female dominated industries due to the fear and challenge of male dominated professions</w:t>
      </w:r>
    </w:p>
    <w:p w14:paraId="693E5920" w14:textId="77777777" w:rsidR="00553014" w:rsidRPr="0051159D" w:rsidRDefault="00553014" w:rsidP="00235A4B">
      <w:pPr>
        <w:numPr>
          <w:ilvl w:val="0"/>
          <w:numId w:val="24"/>
        </w:numPr>
        <w:spacing w:before="0" w:after="0"/>
        <w:ind w:left="426" w:hanging="426"/>
        <w:contextualSpacing/>
        <w:rPr>
          <w:rFonts w:cs="Arial"/>
          <w:color w:val="000000" w:themeColor="text1"/>
        </w:rPr>
      </w:pPr>
      <w:r w:rsidRPr="0051159D">
        <w:rPr>
          <w:rFonts w:cs="Arial"/>
          <w:color w:val="000000" w:themeColor="text1"/>
        </w:rPr>
        <w:t xml:space="preserve">The “choice” to take on unpaid caring responsibilities is influenced by family economic decisions such as the cost of care and comparative wages of men and women after parental leave </w:t>
      </w:r>
    </w:p>
    <w:p w14:paraId="17EE075B" w14:textId="3C03BFF2" w:rsidR="00553014" w:rsidRPr="0051159D" w:rsidRDefault="00553014" w:rsidP="00235A4B">
      <w:pPr>
        <w:numPr>
          <w:ilvl w:val="0"/>
          <w:numId w:val="24"/>
        </w:numPr>
        <w:spacing w:before="0" w:after="0"/>
        <w:ind w:left="426" w:hanging="426"/>
        <w:contextualSpacing/>
        <w:rPr>
          <w:rFonts w:cs="Arial"/>
          <w:color w:val="000000" w:themeColor="text1"/>
        </w:rPr>
      </w:pPr>
      <w:r w:rsidRPr="0051159D">
        <w:rPr>
          <w:rFonts w:cs="Arial"/>
          <w:color w:val="000000" w:themeColor="text1"/>
        </w:rPr>
        <w:t>Social disapproval of wor</w:t>
      </w:r>
      <w:r w:rsidR="009D4B9B">
        <w:rPr>
          <w:rFonts w:cs="Arial"/>
          <w:color w:val="000000" w:themeColor="text1"/>
        </w:rPr>
        <w:t>king mothers, and stay at home d</w:t>
      </w:r>
      <w:r w:rsidRPr="0051159D">
        <w:rPr>
          <w:rFonts w:cs="Arial"/>
          <w:color w:val="000000" w:themeColor="text1"/>
        </w:rPr>
        <w:t>ads impacts decision to return to work or study</w:t>
      </w:r>
    </w:p>
    <w:p w14:paraId="219CE2A9" w14:textId="75984197" w:rsidR="00553014" w:rsidRPr="0051159D" w:rsidRDefault="00553014" w:rsidP="00235A4B">
      <w:pPr>
        <w:numPr>
          <w:ilvl w:val="0"/>
          <w:numId w:val="24"/>
        </w:numPr>
        <w:spacing w:before="0" w:after="0"/>
        <w:ind w:left="426" w:hanging="426"/>
        <w:contextualSpacing/>
        <w:rPr>
          <w:rFonts w:cs="Arial"/>
          <w:color w:val="000000" w:themeColor="text1"/>
        </w:rPr>
      </w:pPr>
      <w:r w:rsidRPr="0051159D">
        <w:rPr>
          <w:rFonts w:cs="Arial"/>
          <w:color w:val="000000" w:themeColor="text1"/>
        </w:rPr>
        <w:t xml:space="preserve">The “choice” </w:t>
      </w:r>
      <w:r w:rsidR="006C692E">
        <w:rPr>
          <w:rFonts w:cs="Arial"/>
          <w:color w:val="000000" w:themeColor="text1"/>
        </w:rPr>
        <w:t xml:space="preserve">of </w:t>
      </w:r>
      <w:r w:rsidRPr="0051159D">
        <w:rPr>
          <w:rFonts w:cs="Arial"/>
          <w:color w:val="000000" w:themeColor="text1"/>
        </w:rPr>
        <w:t>affordable and flexible child care is not accessible to many women</w:t>
      </w:r>
      <w:r>
        <w:rPr>
          <w:rFonts w:cs="Arial"/>
          <w:color w:val="000000" w:themeColor="text1"/>
        </w:rPr>
        <w:t>.</w:t>
      </w:r>
    </w:p>
    <w:p w14:paraId="1AB03481" w14:textId="77777777" w:rsidR="00553014" w:rsidRPr="0051159D" w:rsidRDefault="00553014" w:rsidP="00235A4B">
      <w:pPr>
        <w:numPr>
          <w:ilvl w:val="0"/>
          <w:numId w:val="24"/>
        </w:numPr>
        <w:spacing w:before="0" w:after="0"/>
        <w:ind w:left="426" w:hanging="426"/>
        <w:contextualSpacing/>
        <w:rPr>
          <w:rFonts w:cs="Arial"/>
          <w:color w:val="000000" w:themeColor="text1"/>
        </w:rPr>
      </w:pPr>
      <w:r w:rsidRPr="0051159D">
        <w:rPr>
          <w:rFonts w:cs="Arial"/>
          <w:color w:val="000000" w:themeColor="text1"/>
        </w:rPr>
        <w:t>Teenage parents are more likely to experience lower education and employment prospects</w:t>
      </w:r>
      <w:r>
        <w:rPr>
          <w:rFonts w:cs="Arial"/>
          <w:color w:val="000000" w:themeColor="text1"/>
        </w:rPr>
        <w:t>.</w:t>
      </w:r>
    </w:p>
    <w:p w14:paraId="74DAFACC" w14:textId="77777777" w:rsidR="00553014" w:rsidRDefault="00553014" w:rsidP="00553014">
      <w:pPr>
        <w:rPr>
          <w:rFonts w:cs="Arial"/>
        </w:rPr>
      </w:pPr>
      <w:r>
        <w:rPr>
          <w:rFonts w:cs="Arial"/>
        </w:rPr>
        <w:t>The ‘choices’ serve to make the gender segregation a self-fulfilling prophecy about the life of many women, where the cultural drivers in their early lives crowd them into industries with limited career and financial propsects, and the closed culture of male dominate industries perpetuate and reinforce those cultural drivers.</w:t>
      </w:r>
    </w:p>
    <w:p w14:paraId="0FD45E52" w14:textId="77777777" w:rsidR="00553014" w:rsidRPr="00F464E5" w:rsidRDefault="00553014" w:rsidP="00553014">
      <w:pPr>
        <w:rPr>
          <w:rFonts w:cs="Arial"/>
        </w:rPr>
      </w:pPr>
      <w:r>
        <w:rPr>
          <w:rFonts w:cs="Arial"/>
        </w:rPr>
        <w:lastRenderedPageBreak/>
        <w:t>The consultations identified</w:t>
      </w:r>
      <w:r w:rsidRPr="00F464E5">
        <w:rPr>
          <w:rFonts w:cs="Arial"/>
        </w:rPr>
        <w:t xml:space="preserve"> </w:t>
      </w:r>
      <w:r>
        <w:rPr>
          <w:rFonts w:cs="Arial"/>
        </w:rPr>
        <w:t xml:space="preserve">that this ‘choice’ scenario is at the heart of </w:t>
      </w:r>
      <w:r w:rsidRPr="00F464E5">
        <w:rPr>
          <w:rFonts w:cs="Arial"/>
        </w:rPr>
        <w:t xml:space="preserve">the ongoing challenge of economic insecurity for women </w:t>
      </w:r>
      <w:r>
        <w:rPr>
          <w:rFonts w:cs="Arial"/>
        </w:rPr>
        <w:t>which accumulates to a</w:t>
      </w:r>
      <w:r w:rsidRPr="00F464E5">
        <w:rPr>
          <w:rFonts w:cs="Arial"/>
        </w:rPr>
        <w:t xml:space="preserve"> lifetime </w:t>
      </w:r>
      <w:r>
        <w:rPr>
          <w:rFonts w:cs="Arial"/>
        </w:rPr>
        <w:t xml:space="preserve">of experiences that continue their </w:t>
      </w:r>
      <w:r w:rsidRPr="00F464E5">
        <w:rPr>
          <w:rFonts w:cs="Arial"/>
        </w:rPr>
        <w:t>economic disadvantage</w:t>
      </w:r>
      <w:r>
        <w:rPr>
          <w:rFonts w:cs="Arial"/>
        </w:rPr>
        <w:t>. For example, they:</w:t>
      </w:r>
    </w:p>
    <w:p w14:paraId="61332D27" w14:textId="77777777" w:rsidR="00553014" w:rsidRDefault="00553014" w:rsidP="00235A4B">
      <w:pPr>
        <w:numPr>
          <w:ilvl w:val="0"/>
          <w:numId w:val="24"/>
        </w:numPr>
        <w:spacing w:before="0" w:after="0"/>
        <w:ind w:left="426" w:hanging="426"/>
        <w:contextualSpacing/>
        <w:rPr>
          <w:rFonts w:cs="Arial"/>
        </w:rPr>
      </w:pPr>
      <w:r>
        <w:rPr>
          <w:rFonts w:cs="Arial"/>
        </w:rPr>
        <w:t>are restricted by the ge</w:t>
      </w:r>
      <w:r w:rsidRPr="002E379F">
        <w:rPr>
          <w:rFonts w:cs="Arial"/>
        </w:rPr>
        <w:t>nder segregation of industries (male dominated industries earn more)</w:t>
      </w:r>
      <w:r>
        <w:rPr>
          <w:rFonts w:cs="Arial"/>
        </w:rPr>
        <w:t>, and of occupation</w:t>
      </w:r>
      <w:r w:rsidRPr="002E379F">
        <w:rPr>
          <w:rFonts w:cs="Arial"/>
        </w:rPr>
        <w:t xml:space="preserve"> (again men earn more)</w:t>
      </w:r>
    </w:p>
    <w:p w14:paraId="0358284F" w14:textId="77777777" w:rsidR="00553014" w:rsidRDefault="00553014" w:rsidP="00235A4B">
      <w:pPr>
        <w:numPr>
          <w:ilvl w:val="0"/>
          <w:numId w:val="24"/>
        </w:numPr>
        <w:spacing w:before="0" w:after="0"/>
        <w:ind w:left="426" w:hanging="426"/>
        <w:contextualSpacing/>
        <w:rPr>
          <w:rFonts w:cs="Arial"/>
        </w:rPr>
      </w:pPr>
      <w:r>
        <w:rPr>
          <w:rFonts w:cs="Arial"/>
        </w:rPr>
        <w:t>are at the wrong end of the g</w:t>
      </w:r>
      <w:r w:rsidRPr="002E379F">
        <w:rPr>
          <w:rFonts w:cs="Arial"/>
        </w:rPr>
        <w:t xml:space="preserve">ender pay gap, </w:t>
      </w:r>
      <w:r>
        <w:rPr>
          <w:rFonts w:cs="Arial"/>
        </w:rPr>
        <w:t>which includes salaries, superannuation contributions, bonuses, incentives and control over flexible workplace practices (or their lack)</w:t>
      </w:r>
    </w:p>
    <w:p w14:paraId="680F0AD4" w14:textId="77777777" w:rsidR="00553014" w:rsidRDefault="00553014" w:rsidP="00235A4B">
      <w:pPr>
        <w:numPr>
          <w:ilvl w:val="0"/>
          <w:numId w:val="24"/>
        </w:numPr>
        <w:spacing w:before="0" w:after="0"/>
        <w:ind w:left="426" w:hanging="426"/>
        <w:contextualSpacing/>
        <w:rPr>
          <w:rFonts w:cs="Arial"/>
        </w:rPr>
      </w:pPr>
      <w:r w:rsidRPr="006E78AB">
        <w:rPr>
          <w:rFonts w:cs="Arial"/>
        </w:rPr>
        <w:t>are very likely to experience sexual harassment</w:t>
      </w:r>
    </w:p>
    <w:p w14:paraId="241F66B2" w14:textId="3164925F" w:rsidR="00553014" w:rsidRDefault="00553014" w:rsidP="00235A4B">
      <w:pPr>
        <w:numPr>
          <w:ilvl w:val="0"/>
          <w:numId w:val="24"/>
        </w:numPr>
        <w:spacing w:before="0" w:after="0"/>
        <w:ind w:left="426" w:hanging="426"/>
        <w:contextualSpacing/>
        <w:rPr>
          <w:rFonts w:cs="Arial"/>
        </w:rPr>
      </w:pPr>
      <w:r w:rsidRPr="006E78AB">
        <w:rPr>
          <w:rFonts w:cs="Arial"/>
        </w:rPr>
        <w:t xml:space="preserve">experience domestic violence </w:t>
      </w:r>
      <w:r>
        <w:rPr>
          <w:rFonts w:cs="Arial"/>
        </w:rPr>
        <w:t>without workplace obligations to assist</w:t>
      </w:r>
      <w:r w:rsidR="006C692E">
        <w:rPr>
          <w:rFonts w:cs="Arial"/>
        </w:rPr>
        <w:t xml:space="preserve"> maintaining her connection with employment</w:t>
      </w:r>
    </w:p>
    <w:p w14:paraId="63B381EB" w14:textId="77777777" w:rsidR="00553014" w:rsidRDefault="00553014" w:rsidP="00235A4B">
      <w:pPr>
        <w:numPr>
          <w:ilvl w:val="0"/>
          <w:numId w:val="24"/>
        </w:numPr>
        <w:spacing w:before="0" w:after="0"/>
        <w:ind w:left="426" w:hanging="426"/>
        <w:contextualSpacing/>
        <w:rPr>
          <w:rFonts w:cs="Arial"/>
        </w:rPr>
      </w:pPr>
      <w:r>
        <w:rPr>
          <w:rFonts w:cs="Arial"/>
        </w:rPr>
        <w:t>break from e</w:t>
      </w:r>
      <w:r w:rsidRPr="006E78AB">
        <w:rPr>
          <w:rFonts w:cs="Arial"/>
        </w:rPr>
        <w:t xml:space="preserve">mployment </w:t>
      </w:r>
      <w:r>
        <w:rPr>
          <w:rFonts w:cs="Arial"/>
        </w:rPr>
        <w:t>when they have children</w:t>
      </w:r>
    </w:p>
    <w:p w14:paraId="788C0A9B" w14:textId="58EAC165" w:rsidR="00553014" w:rsidRDefault="00553014" w:rsidP="00235A4B">
      <w:pPr>
        <w:numPr>
          <w:ilvl w:val="0"/>
          <w:numId w:val="24"/>
        </w:numPr>
        <w:spacing w:before="0" w:after="0"/>
        <w:ind w:left="426" w:hanging="426"/>
        <w:contextualSpacing/>
        <w:rPr>
          <w:rFonts w:cs="Arial"/>
        </w:rPr>
      </w:pPr>
      <w:r>
        <w:rPr>
          <w:rFonts w:cs="Arial"/>
        </w:rPr>
        <w:t>experience d</w:t>
      </w:r>
      <w:r w:rsidRPr="006E78AB">
        <w:rPr>
          <w:rFonts w:cs="Arial"/>
        </w:rPr>
        <w:t xml:space="preserve">iscrimination through pregnancy, </w:t>
      </w:r>
      <w:r>
        <w:rPr>
          <w:rFonts w:cs="Arial"/>
        </w:rPr>
        <w:t xml:space="preserve">when they are </w:t>
      </w:r>
      <w:r w:rsidR="006C692E">
        <w:rPr>
          <w:rFonts w:cs="Arial"/>
        </w:rPr>
        <w:t xml:space="preserve">on </w:t>
      </w:r>
      <w:r w:rsidRPr="006E78AB">
        <w:rPr>
          <w:rFonts w:cs="Arial"/>
        </w:rPr>
        <w:t xml:space="preserve">maternity leave and </w:t>
      </w:r>
      <w:r>
        <w:rPr>
          <w:rFonts w:cs="Arial"/>
        </w:rPr>
        <w:t xml:space="preserve">when they </w:t>
      </w:r>
      <w:r w:rsidRPr="006E78AB">
        <w:rPr>
          <w:rFonts w:cs="Arial"/>
        </w:rPr>
        <w:t>return to work</w:t>
      </w:r>
    </w:p>
    <w:p w14:paraId="2F7FCE47" w14:textId="77777777" w:rsidR="00553014" w:rsidRDefault="00553014" w:rsidP="00235A4B">
      <w:pPr>
        <w:numPr>
          <w:ilvl w:val="0"/>
          <w:numId w:val="24"/>
        </w:numPr>
        <w:spacing w:before="0" w:after="0"/>
        <w:ind w:left="426" w:hanging="426"/>
        <w:contextualSpacing/>
        <w:rPr>
          <w:rFonts w:cs="Arial"/>
        </w:rPr>
      </w:pPr>
      <w:r>
        <w:rPr>
          <w:rFonts w:cs="Arial"/>
        </w:rPr>
        <w:t xml:space="preserve">cannot access </w:t>
      </w:r>
      <w:r w:rsidRPr="006E78AB">
        <w:rPr>
          <w:rFonts w:cs="Arial"/>
        </w:rPr>
        <w:t>affordable and accessible/ flexible child care options</w:t>
      </w:r>
    </w:p>
    <w:p w14:paraId="551937E8" w14:textId="77777777" w:rsidR="00553014" w:rsidRDefault="00553014" w:rsidP="00235A4B">
      <w:pPr>
        <w:numPr>
          <w:ilvl w:val="0"/>
          <w:numId w:val="24"/>
        </w:numPr>
        <w:spacing w:before="0" w:after="0"/>
        <w:ind w:left="426" w:hanging="426"/>
        <w:contextualSpacing/>
        <w:rPr>
          <w:rFonts w:cs="Arial"/>
        </w:rPr>
      </w:pPr>
      <w:r>
        <w:rPr>
          <w:rFonts w:cs="Arial"/>
        </w:rPr>
        <w:t xml:space="preserve">face barriers to </w:t>
      </w:r>
      <w:r w:rsidRPr="006E78AB">
        <w:rPr>
          <w:rFonts w:cs="Arial"/>
        </w:rPr>
        <w:t>returning to decent secure work, more likely part time than fulltime.</w:t>
      </w:r>
    </w:p>
    <w:p w14:paraId="4382AF60" w14:textId="77777777" w:rsidR="00553014" w:rsidRDefault="00553014" w:rsidP="00235A4B">
      <w:pPr>
        <w:numPr>
          <w:ilvl w:val="0"/>
          <w:numId w:val="24"/>
        </w:numPr>
        <w:spacing w:before="0" w:after="0"/>
        <w:ind w:left="426" w:hanging="426"/>
        <w:contextualSpacing/>
        <w:rPr>
          <w:rFonts w:cs="Arial"/>
        </w:rPr>
      </w:pPr>
      <w:r>
        <w:rPr>
          <w:rFonts w:cs="Arial"/>
        </w:rPr>
        <w:t>accumulate n</w:t>
      </w:r>
      <w:r w:rsidRPr="006E78AB">
        <w:rPr>
          <w:rFonts w:cs="Arial"/>
        </w:rPr>
        <w:t>o or low superannuation (which accumulates most beneficially for those who are employed, earning higher wages, and accumulated at an early age</w:t>
      </w:r>
      <w:r>
        <w:rPr>
          <w:rFonts w:cs="Arial"/>
        </w:rPr>
        <w:t>, typically</w:t>
      </w:r>
      <w:r w:rsidRPr="006E78AB">
        <w:rPr>
          <w:rFonts w:cs="Arial"/>
        </w:rPr>
        <w:t xml:space="preserve"> men)</w:t>
      </w:r>
    </w:p>
    <w:p w14:paraId="078EC587" w14:textId="195DF94A" w:rsidR="00553014" w:rsidRDefault="00553014" w:rsidP="00235A4B">
      <w:pPr>
        <w:numPr>
          <w:ilvl w:val="0"/>
          <w:numId w:val="24"/>
        </w:numPr>
        <w:spacing w:before="0" w:after="0"/>
        <w:ind w:left="426" w:hanging="426"/>
        <w:contextualSpacing/>
        <w:rPr>
          <w:rFonts w:cs="Arial"/>
        </w:rPr>
      </w:pPr>
      <w:r w:rsidRPr="00596933">
        <w:rPr>
          <w:rFonts w:cs="Arial"/>
        </w:rPr>
        <w:t>face gender segregation in leadership roles (ie men dominate boards and executive positions and also by salary</w:t>
      </w:r>
      <w:r>
        <w:rPr>
          <w:rFonts w:cs="Arial"/>
        </w:rPr>
        <w:t xml:space="preserve"> breakdown </w:t>
      </w:r>
      <w:r w:rsidR="006C692E">
        <w:rPr>
          <w:rFonts w:cs="Arial"/>
        </w:rPr>
        <w:t xml:space="preserve">in the </w:t>
      </w:r>
      <w:r>
        <w:rPr>
          <w:rFonts w:cs="Arial"/>
        </w:rPr>
        <w:t>highest paid roles), and</w:t>
      </w:r>
    </w:p>
    <w:p w14:paraId="0B3C82BF" w14:textId="77777777" w:rsidR="00553014" w:rsidRDefault="00553014" w:rsidP="00235A4B">
      <w:pPr>
        <w:numPr>
          <w:ilvl w:val="0"/>
          <w:numId w:val="24"/>
        </w:numPr>
        <w:spacing w:before="0" w:after="0"/>
        <w:ind w:left="426" w:hanging="426"/>
        <w:contextualSpacing/>
        <w:rPr>
          <w:rFonts w:cs="Arial"/>
        </w:rPr>
      </w:pPr>
      <w:r w:rsidRPr="00596933">
        <w:rPr>
          <w:rFonts w:cs="Arial"/>
        </w:rPr>
        <w:t>take responsibility for most unpaid caring and domestic duties, including for children and other dependent family members.</w:t>
      </w:r>
    </w:p>
    <w:p w14:paraId="0A1A4D0F" w14:textId="002B756B" w:rsidR="0053381D" w:rsidRPr="00D11F8D" w:rsidRDefault="0053381D" w:rsidP="00725A5F">
      <w:pPr>
        <w:pStyle w:val="sub4"/>
        <w:keepNext/>
        <w:rPr>
          <w:color w:val="auto"/>
        </w:rPr>
      </w:pPr>
      <w:r>
        <w:t xml:space="preserve"> </w:t>
      </w:r>
      <w:bookmarkStart w:id="16" w:name="_Toc476597974"/>
      <w:r w:rsidR="009B505B">
        <w:t>Previous C</w:t>
      </w:r>
      <w:r>
        <w:t>ommission research</w:t>
      </w:r>
      <w:bookmarkEnd w:id="16"/>
    </w:p>
    <w:p w14:paraId="3CF72805" w14:textId="77777777" w:rsidR="00BC11E6"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Commission’s 2013 study on women in male-dominated indust</w:t>
      </w:r>
      <w:r w:rsidR="00BC11E6">
        <w:rPr>
          <w:rFonts w:ascii="Arial" w:hAnsi="Arial" w:cs="Arial"/>
          <w:sz w:val="24"/>
          <w:szCs w:val="24"/>
        </w:rPr>
        <w:t>ries, also identifies that the</w:t>
      </w:r>
      <w:r w:rsidRPr="00FD6139">
        <w:rPr>
          <w:rFonts w:ascii="Arial" w:hAnsi="Arial" w:cs="Arial"/>
          <w:sz w:val="24"/>
          <w:szCs w:val="24"/>
        </w:rPr>
        <w:t xml:space="preserve"> systemic barriers lead</w:t>
      </w:r>
      <w:r w:rsidR="00BC11E6">
        <w:rPr>
          <w:rFonts w:ascii="Arial" w:hAnsi="Arial" w:cs="Arial"/>
          <w:sz w:val="24"/>
          <w:szCs w:val="24"/>
        </w:rPr>
        <w:t>ing</w:t>
      </w:r>
      <w:r w:rsidRPr="00FD6139">
        <w:rPr>
          <w:rFonts w:ascii="Arial" w:hAnsi="Arial" w:cs="Arial"/>
          <w:sz w:val="24"/>
          <w:szCs w:val="24"/>
        </w:rPr>
        <w:t xml:space="preserve"> to gender segregation, </w:t>
      </w:r>
    </w:p>
    <w:p w14:paraId="2B707D6E" w14:textId="70C7142A" w:rsidR="00553014" w:rsidRPr="00BC11E6" w:rsidRDefault="00553014" w:rsidP="00BC11E6">
      <w:pPr>
        <w:pStyle w:val="ListParagraph"/>
        <w:spacing w:before="240" w:after="240" w:line="240" w:lineRule="auto"/>
        <w:ind w:left="567"/>
        <w:contextualSpacing w:val="0"/>
        <w:rPr>
          <w:rFonts w:ascii="Arial" w:hAnsi="Arial" w:cs="Arial"/>
          <w:i/>
          <w:sz w:val="24"/>
          <w:szCs w:val="24"/>
        </w:rPr>
      </w:pPr>
      <w:r w:rsidRPr="00BC11E6">
        <w:rPr>
          <w:rFonts w:ascii="Arial" w:hAnsi="Arial" w:cs="Arial"/>
          <w:i/>
          <w:sz w:val="24"/>
          <w:szCs w:val="24"/>
        </w:rPr>
        <w:t>“include the lack of family role models, stereotypes and bias starting at school, negative perceptions and lack of awareness of occupations in male-dominated industries, stereotypes about women in the workplace, ‘blokey’ non-inclusive workplace cultures, and lack of flexibility and work-life balance.</w:t>
      </w:r>
      <w:r w:rsidRPr="00BC11E6">
        <w:rPr>
          <w:rStyle w:val="EndnoteReference"/>
          <w:i/>
        </w:rPr>
        <w:endnoteReference w:id="22"/>
      </w:r>
      <w:r w:rsidRPr="00BC11E6">
        <w:rPr>
          <w:rStyle w:val="EndnoteReference"/>
          <w:i/>
        </w:rPr>
        <w:t xml:space="preserve"> </w:t>
      </w:r>
    </w:p>
    <w:p w14:paraId="1588A69A" w14:textId="0CF535D5"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In 2009</w:t>
      </w:r>
      <w:r w:rsidR="00BB23D3">
        <w:rPr>
          <w:rFonts w:ascii="Arial" w:hAnsi="Arial" w:cs="Arial"/>
          <w:sz w:val="24"/>
          <w:szCs w:val="24"/>
        </w:rPr>
        <w:t>,</w:t>
      </w:r>
      <w:r w:rsidRPr="00FD6139">
        <w:rPr>
          <w:rFonts w:ascii="Arial" w:hAnsi="Arial" w:cs="Arial"/>
          <w:sz w:val="24"/>
          <w:szCs w:val="24"/>
        </w:rPr>
        <w:t xml:space="preserve"> the AHRC report, </w:t>
      </w:r>
      <w:r w:rsidRPr="00BB23D3">
        <w:rPr>
          <w:rFonts w:ascii="Arial" w:hAnsi="Arial" w:cs="Arial"/>
          <w:i/>
          <w:sz w:val="24"/>
          <w:szCs w:val="24"/>
        </w:rPr>
        <w:t>Accumulating poverty: Women’s experiences of inequality over the lifecycle</w:t>
      </w:r>
      <w:r w:rsidRPr="00FD6139">
        <w:rPr>
          <w:rFonts w:ascii="Arial" w:hAnsi="Arial" w:cs="Arial"/>
          <w:sz w:val="24"/>
          <w:szCs w:val="24"/>
        </w:rPr>
        <w:t>,</w:t>
      </w:r>
      <w:r w:rsidRPr="00BB23D3">
        <w:rPr>
          <w:rStyle w:val="EndnoteReference"/>
          <w:i/>
        </w:rPr>
        <w:endnoteReference w:id="23"/>
      </w:r>
      <w:r w:rsidRPr="00FD6139">
        <w:rPr>
          <w:rFonts w:cs="Arial"/>
          <w:szCs w:val="24"/>
        </w:rPr>
        <w:t xml:space="preserve"> </w:t>
      </w:r>
      <w:r w:rsidRPr="00FD6139">
        <w:rPr>
          <w:rFonts w:ascii="Arial" w:hAnsi="Arial" w:cs="Arial"/>
          <w:sz w:val="24"/>
          <w:szCs w:val="24"/>
        </w:rPr>
        <w:t>articulated succinctly the long-term impact of a workplace culture which is centred on gender segregation:</w:t>
      </w:r>
    </w:p>
    <w:p w14:paraId="6C2B1A25" w14:textId="139EA985" w:rsidR="00553014" w:rsidRPr="00B94109" w:rsidRDefault="00553014" w:rsidP="00B94109">
      <w:pPr>
        <w:spacing w:before="0" w:after="0"/>
        <w:ind w:left="567"/>
        <w:rPr>
          <w:rFonts w:cs="Arial"/>
          <w:i/>
          <w:lang w:val="en"/>
        </w:rPr>
      </w:pPr>
      <w:r w:rsidRPr="00534F17">
        <w:rPr>
          <w:rFonts w:cs="Arial"/>
          <w:i/>
          <w:lang w:val="en"/>
        </w:rPr>
        <w:t>“Currently, superannuation balances and payouts for women are approximately half of those of men… Instead of accumulating wealth through the retirement income system as intended, due to experiences of inequality over the lifecycle, women are more likely to be accumulating poverty.”</w:t>
      </w:r>
    </w:p>
    <w:p w14:paraId="54ECD2F3" w14:textId="6E17EF26" w:rsidR="00553014" w:rsidRPr="00B94109" w:rsidRDefault="006F25B6" w:rsidP="00235A4B">
      <w:pPr>
        <w:pStyle w:val="ListParagraph"/>
        <w:numPr>
          <w:ilvl w:val="0"/>
          <w:numId w:val="25"/>
        </w:numPr>
        <w:spacing w:before="240" w:after="240" w:line="240" w:lineRule="auto"/>
        <w:ind w:left="0" w:firstLine="0"/>
        <w:contextualSpacing w:val="0"/>
        <w:rPr>
          <w:rFonts w:ascii="Arial" w:hAnsi="Arial" w:cs="Arial"/>
          <w:sz w:val="24"/>
          <w:szCs w:val="24"/>
        </w:rPr>
      </w:pPr>
      <w:r>
        <w:rPr>
          <w:rFonts w:ascii="Arial" w:hAnsi="Arial" w:cs="Arial"/>
          <w:sz w:val="24"/>
          <w:szCs w:val="24"/>
        </w:rPr>
        <w:t xml:space="preserve">The </w:t>
      </w:r>
      <w:r w:rsidR="00553014" w:rsidRPr="00FD6139">
        <w:rPr>
          <w:rFonts w:ascii="Arial" w:hAnsi="Arial" w:cs="Arial"/>
          <w:sz w:val="24"/>
          <w:szCs w:val="24"/>
        </w:rPr>
        <w:t>report also strongly supports the findings from the SDC consultations about the link between the constrained choices presented to women, gender segregation in employment, and longer term economic insecurity:</w:t>
      </w:r>
    </w:p>
    <w:p w14:paraId="1C6599E2" w14:textId="77777777" w:rsidR="00553014" w:rsidRDefault="00553014" w:rsidP="00B94109">
      <w:pPr>
        <w:spacing w:before="0" w:after="0"/>
        <w:ind w:left="567"/>
        <w:rPr>
          <w:rFonts w:cs="Arial"/>
          <w:i/>
          <w:lang w:val="en"/>
        </w:rPr>
      </w:pPr>
      <w:r w:rsidRPr="00534F17">
        <w:rPr>
          <w:rFonts w:cs="Arial"/>
          <w:i/>
          <w:lang w:val="en"/>
        </w:rPr>
        <w:t xml:space="preserve">“Women’s decisions to take time out of paid work, to trade salary for flexibility or to work in a low paid job are often viewed as a matter of individual choice and responsibility. Yet, these choices are very often constrained by a range of external factors such as inflexible workplace structures, family dynamics, cultural pressures and gendered </w:t>
      </w:r>
      <w:r w:rsidRPr="00534F17">
        <w:rPr>
          <w:rFonts w:cs="Arial"/>
          <w:i/>
          <w:lang w:val="en"/>
        </w:rPr>
        <w:lastRenderedPageBreak/>
        <w:t>stereotypes</w:t>
      </w:r>
      <w:r>
        <w:rPr>
          <w:rFonts w:cs="Arial"/>
          <w:i/>
          <w:lang w:val="en"/>
        </w:rPr>
        <w:t>…</w:t>
      </w:r>
      <w:r w:rsidRPr="00534F17">
        <w:rPr>
          <w:rFonts w:cs="Arial"/>
          <w:i/>
          <w:lang w:val="en"/>
        </w:rPr>
        <w:t xml:space="preserve"> the sum of these factors could leave her in a financially impoverished retir</w:t>
      </w:r>
      <w:r>
        <w:rPr>
          <w:rFonts w:cs="Arial"/>
          <w:i/>
          <w:lang w:val="en"/>
        </w:rPr>
        <w:t>ement.”</w:t>
      </w:r>
    </w:p>
    <w:p w14:paraId="00CD3245" w14:textId="77777777" w:rsidR="00553014" w:rsidRPr="00735F79" w:rsidRDefault="00553014" w:rsidP="00553014">
      <w:pPr>
        <w:spacing w:before="0" w:after="0"/>
        <w:rPr>
          <w:rFonts w:cs="Arial"/>
          <w:i/>
          <w:lang w:val="en"/>
        </w:rPr>
      </w:pPr>
    </w:p>
    <w:tbl>
      <w:tblPr>
        <w:tblStyle w:val="TableGrid"/>
        <w:tblW w:w="9780" w:type="dxa"/>
        <w:tblLook w:val="04A0" w:firstRow="1" w:lastRow="0" w:firstColumn="1" w:lastColumn="0" w:noHBand="0" w:noVBand="1"/>
      </w:tblPr>
      <w:tblGrid>
        <w:gridCol w:w="9780"/>
      </w:tblGrid>
      <w:tr w:rsidR="00553014" w14:paraId="5A91634D" w14:textId="77777777" w:rsidTr="00553014">
        <w:tc>
          <w:tcPr>
            <w:tcW w:w="9780" w:type="dxa"/>
            <w:shd w:val="clear" w:color="auto" w:fill="E7E6E6" w:themeFill="background2"/>
          </w:tcPr>
          <w:p w14:paraId="5B0E3943" w14:textId="63D3EF1B" w:rsidR="00553014" w:rsidRPr="004361CC" w:rsidRDefault="00217432" w:rsidP="00217432">
            <w:pPr>
              <w:pStyle w:val="Sub2"/>
            </w:pPr>
            <w:bookmarkStart w:id="17" w:name="_Toc476597975"/>
            <w:r>
              <w:t>Case for changing gender segregation</w:t>
            </w:r>
            <w:r w:rsidR="00553014" w:rsidRPr="004361CC">
              <w:t>:</w:t>
            </w:r>
            <w:bookmarkEnd w:id="17"/>
          </w:p>
          <w:p w14:paraId="4BB7A205" w14:textId="7A501BB4" w:rsidR="00553014" w:rsidRPr="005734C6" w:rsidRDefault="00553014" w:rsidP="00217432">
            <w:pPr>
              <w:spacing w:before="120" w:after="120"/>
              <w:rPr>
                <w:rFonts w:cs="Arial"/>
              </w:rPr>
            </w:pPr>
            <w:r w:rsidRPr="00967AB2">
              <w:rPr>
                <w:rFonts w:cs="Arial"/>
              </w:rPr>
              <w:t>Improving gender balance in all industries</w:t>
            </w:r>
            <w:r w:rsidR="00741F84">
              <w:rPr>
                <w:rFonts w:cs="Arial"/>
              </w:rPr>
              <w:t>, occupations and roles</w:t>
            </w:r>
            <w:r w:rsidRPr="00967AB2">
              <w:rPr>
                <w:rFonts w:cs="Arial"/>
              </w:rPr>
              <w:t xml:space="preserve"> (whether traditionally male or female dominated) would benefit businesses and the broader economy</w:t>
            </w:r>
            <w:r w:rsidR="00741F84">
              <w:rPr>
                <w:rFonts w:cs="Arial"/>
              </w:rPr>
              <w:t>, as well as significantly advance economic gender equality</w:t>
            </w:r>
            <w:r w:rsidRPr="00967AB2">
              <w:rPr>
                <w:rFonts w:cs="Arial"/>
              </w:rPr>
              <w:t>.</w:t>
            </w:r>
          </w:p>
          <w:p w14:paraId="5ECF8796" w14:textId="4BAA9A28" w:rsidR="00553014" w:rsidRPr="0059061E" w:rsidRDefault="00553014" w:rsidP="00217432">
            <w:pPr>
              <w:rPr>
                <w:rFonts w:cs="Arial"/>
                <w:b/>
              </w:rPr>
            </w:pPr>
            <w:r w:rsidRPr="00967AB2">
              <w:rPr>
                <w:rFonts w:cs="Arial"/>
              </w:rPr>
              <w:t>This includes improved gender balance in unpaid and caring workforces, and support for those workforce by government and industry</w:t>
            </w:r>
            <w:r w:rsidR="00741F84">
              <w:rPr>
                <w:rFonts w:cs="Arial"/>
              </w:rPr>
              <w:t>.</w:t>
            </w:r>
          </w:p>
        </w:tc>
      </w:tr>
    </w:tbl>
    <w:p w14:paraId="169B6AB3" w14:textId="77777777" w:rsidR="00553014" w:rsidRPr="00005827" w:rsidRDefault="00553014" w:rsidP="00553014">
      <w:pPr>
        <w:pStyle w:val="SubmissionNormal"/>
        <w:numPr>
          <w:ilvl w:val="0"/>
          <w:numId w:val="0"/>
        </w:numPr>
        <w:spacing w:before="0" w:after="0"/>
        <w:rPr>
          <w:rFonts w:cs="Arial"/>
          <w:b/>
          <w:color w:val="000000" w:themeColor="text1"/>
        </w:rPr>
      </w:pPr>
    </w:p>
    <w:tbl>
      <w:tblPr>
        <w:tblStyle w:val="TableGrid"/>
        <w:tblW w:w="0" w:type="auto"/>
        <w:tblLook w:val="04A0" w:firstRow="1" w:lastRow="0" w:firstColumn="1" w:lastColumn="0" w:noHBand="0" w:noVBand="1"/>
      </w:tblPr>
      <w:tblGrid>
        <w:gridCol w:w="9771"/>
      </w:tblGrid>
      <w:tr w:rsidR="00553014" w14:paraId="6B5A1B01" w14:textId="77777777" w:rsidTr="00217432">
        <w:tc>
          <w:tcPr>
            <w:tcW w:w="9771" w:type="dxa"/>
          </w:tcPr>
          <w:p w14:paraId="635913D1" w14:textId="77777777" w:rsidR="00553014" w:rsidRPr="001660ED" w:rsidRDefault="00553014" w:rsidP="00217432">
            <w:pPr>
              <w:pStyle w:val="Sub3"/>
            </w:pPr>
            <w:bookmarkStart w:id="18" w:name="_Toc476597976"/>
            <w:r w:rsidRPr="001660ED">
              <w:t>The case for improving gender balance in male-dominated industries and workforces</w:t>
            </w:r>
            <w:bookmarkEnd w:id="18"/>
          </w:p>
        </w:tc>
      </w:tr>
    </w:tbl>
    <w:p w14:paraId="7ACAECA5"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Increasing participation of women in male-dominated industries also has benefits for organisations and the Australian economy. </w:t>
      </w:r>
    </w:p>
    <w:p w14:paraId="55E57CBD"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With respect to organisations, increased employment of women can address the skills shortage and improve organisational performance.</w:t>
      </w:r>
      <w:r w:rsidRPr="00952C58">
        <w:rPr>
          <w:rStyle w:val="EndnoteReference"/>
        </w:rPr>
        <w:endnoteReference w:id="24"/>
      </w:r>
      <w:r w:rsidRPr="00952C58">
        <w:rPr>
          <w:rStyle w:val="EndnoteReference"/>
        </w:rPr>
        <w:t xml:space="preserve"> </w:t>
      </w:r>
    </w:p>
    <w:p w14:paraId="5FEF2FCE" w14:textId="6DF382F2"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It is only in recent times that the focus on advancing gender equality has been on increasing women in male dominated occupations, roles and indu</w:t>
      </w:r>
      <w:r w:rsidR="00EF591A">
        <w:rPr>
          <w:rFonts w:ascii="Arial" w:hAnsi="Arial" w:cs="Arial"/>
          <w:sz w:val="24"/>
          <w:szCs w:val="24"/>
        </w:rPr>
        <w:t>stries. Previously the focus had been on improving</w:t>
      </w:r>
      <w:r w:rsidRPr="00FD6139">
        <w:rPr>
          <w:rFonts w:ascii="Arial" w:hAnsi="Arial" w:cs="Arial"/>
          <w:sz w:val="24"/>
          <w:szCs w:val="24"/>
        </w:rPr>
        <w:t xml:space="preserve"> pay and working conditions</w:t>
      </w:r>
      <w:r w:rsidR="00EF591A">
        <w:rPr>
          <w:rFonts w:ascii="Arial" w:hAnsi="Arial" w:cs="Arial"/>
          <w:sz w:val="24"/>
          <w:szCs w:val="24"/>
        </w:rPr>
        <w:t xml:space="preserve"> </w:t>
      </w:r>
      <w:r w:rsidR="00300BFC">
        <w:rPr>
          <w:rFonts w:ascii="Arial" w:hAnsi="Arial" w:cs="Arial"/>
          <w:sz w:val="24"/>
          <w:szCs w:val="24"/>
        </w:rPr>
        <w:t xml:space="preserve">in </w:t>
      </w:r>
      <w:r w:rsidR="00EF591A" w:rsidRPr="00FD6139">
        <w:rPr>
          <w:rFonts w:ascii="Arial" w:hAnsi="Arial" w:cs="Arial"/>
          <w:sz w:val="24"/>
          <w:szCs w:val="24"/>
        </w:rPr>
        <w:t>female dominated industries and occupations</w:t>
      </w:r>
      <w:r w:rsidRPr="00FD6139">
        <w:rPr>
          <w:rFonts w:ascii="Arial" w:hAnsi="Arial" w:cs="Arial"/>
          <w:sz w:val="24"/>
          <w:szCs w:val="24"/>
        </w:rPr>
        <w:t xml:space="preserve">. </w:t>
      </w:r>
    </w:p>
    <w:p w14:paraId="7609E72C"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An increased focus on increasing gender balance in male-dominated industries, as well as improving pay and conditions in female dominated industries, will be a key to addressing the negative impacts on women, the community and the economy in the long term.</w:t>
      </w:r>
    </w:p>
    <w:p w14:paraId="74F66E0E"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The motivation for change in those industries (supported by authoritative research) has been recognition of business benefits for those organisations, whether through: </w:t>
      </w:r>
    </w:p>
    <w:p w14:paraId="2CE8FEA8" w14:textId="77777777" w:rsidR="00553014" w:rsidRDefault="00553014" w:rsidP="00235A4B">
      <w:pPr>
        <w:numPr>
          <w:ilvl w:val="0"/>
          <w:numId w:val="24"/>
        </w:numPr>
        <w:spacing w:before="0" w:after="0"/>
        <w:ind w:left="426" w:hanging="426"/>
        <w:contextualSpacing/>
        <w:rPr>
          <w:rFonts w:cs="Arial"/>
        </w:rPr>
      </w:pPr>
      <w:r w:rsidRPr="0088487A">
        <w:rPr>
          <w:rFonts w:cs="Arial"/>
        </w:rPr>
        <w:t xml:space="preserve">the diversity and increased talent in their employee and management pool, </w:t>
      </w:r>
      <w:r>
        <w:rPr>
          <w:rFonts w:cs="Arial"/>
        </w:rPr>
        <w:t xml:space="preserve"> </w:t>
      </w:r>
    </w:p>
    <w:p w14:paraId="017E3858" w14:textId="77777777" w:rsidR="00553014" w:rsidRDefault="00553014" w:rsidP="00235A4B">
      <w:pPr>
        <w:numPr>
          <w:ilvl w:val="0"/>
          <w:numId w:val="24"/>
        </w:numPr>
        <w:spacing w:before="0" w:after="0"/>
        <w:ind w:left="426" w:hanging="426"/>
        <w:contextualSpacing/>
        <w:rPr>
          <w:rFonts w:cs="Arial"/>
        </w:rPr>
      </w:pPr>
      <w:r>
        <w:rPr>
          <w:rFonts w:cs="Arial"/>
        </w:rPr>
        <w:t>impro</w:t>
      </w:r>
      <w:r w:rsidRPr="0088487A">
        <w:rPr>
          <w:rFonts w:cs="Arial"/>
        </w:rPr>
        <w:t>ved per</w:t>
      </w:r>
      <w:r>
        <w:rPr>
          <w:rFonts w:cs="Arial"/>
        </w:rPr>
        <w:t>formance an</w:t>
      </w:r>
      <w:r w:rsidRPr="0088487A">
        <w:rPr>
          <w:rFonts w:cs="Arial"/>
        </w:rPr>
        <w:t>d innovation in key business areas, and/</w:t>
      </w:r>
      <w:r>
        <w:rPr>
          <w:rFonts w:cs="Arial"/>
        </w:rPr>
        <w:t>or</w:t>
      </w:r>
    </w:p>
    <w:p w14:paraId="02D40D31" w14:textId="1973E88F" w:rsidR="003A682B" w:rsidRPr="003A682B" w:rsidRDefault="00553014" w:rsidP="00235A4B">
      <w:pPr>
        <w:numPr>
          <w:ilvl w:val="0"/>
          <w:numId w:val="24"/>
        </w:numPr>
        <w:spacing w:before="0" w:after="0"/>
        <w:ind w:left="426" w:hanging="426"/>
        <w:contextualSpacing/>
        <w:rPr>
          <w:rFonts w:cs="Arial"/>
        </w:rPr>
      </w:pPr>
      <w:r w:rsidRPr="0088487A">
        <w:rPr>
          <w:rFonts w:cs="Arial"/>
        </w:rPr>
        <w:t>enhanced capability to meet customer and community wants and needs.</w:t>
      </w:r>
      <w:r>
        <w:rPr>
          <w:rStyle w:val="EndnoteReference"/>
          <w:rFonts w:cs="Arial"/>
        </w:rPr>
        <w:endnoteReference w:id="25"/>
      </w:r>
    </w:p>
    <w:p w14:paraId="1C0AC9D3" w14:textId="6E43B662" w:rsidR="003A682B" w:rsidRPr="003A682B" w:rsidRDefault="003A682B" w:rsidP="003A682B">
      <w:pPr>
        <w:pStyle w:val="sub4"/>
        <w:rPr>
          <w:color w:val="auto"/>
        </w:rPr>
      </w:pPr>
      <w:bookmarkStart w:id="19" w:name="_Toc476597977"/>
      <w:r>
        <w:t xml:space="preserve">Previous </w:t>
      </w:r>
      <w:r w:rsidR="00A10FD1">
        <w:t>C</w:t>
      </w:r>
      <w:r>
        <w:t>ommission research</w:t>
      </w:r>
      <w:bookmarkEnd w:id="19"/>
    </w:p>
    <w:p w14:paraId="6EC334EC" w14:textId="77777777" w:rsidR="00553014" w:rsidRDefault="00553014" w:rsidP="00553014">
      <w:pPr>
        <w:rPr>
          <w:rFonts w:cs="Arial"/>
        </w:rPr>
      </w:pPr>
      <w:r>
        <w:rPr>
          <w:rFonts w:cs="Arial"/>
        </w:rPr>
        <w:t>The Commission has had significant experience working with organisations to close the gender gap in male dominated industries, in particular:</w:t>
      </w:r>
    </w:p>
    <w:p w14:paraId="51D227DC" w14:textId="77777777" w:rsidR="00553014" w:rsidRPr="0005122C" w:rsidRDefault="00553014" w:rsidP="00235A4B">
      <w:pPr>
        <w:numPr>
          <w:ilvl w:val="0"/>
          <w:numId w:val="24"/>
        </w:numPr>
        <w:spacing w:before="0" w:after="0"/>
        <w:ind w:left="426" w:hanging="426"/>
        <w:contextualSpacing/>
        <w:rPr>
          <w:rFonts w:cs="Arial"/>
        </w:rPr>
      </w:pPr>
      <w:r w:rsidRPr="0005122C">
        <w:rPr>
          <w:rFonts w:cs="Arial"/>
        </w:rPr>
        <w:t>Since 2014, the Commission has been working in a collaborative relationship with the ADF, to encourage cultural reform and enhance the participation of women in the ADF. This builds on cultural reform initiatives in Pathway to Change, an implementation strategy for cultural change across the ADF.</w:t>
      </w:r>
      <w:r w:rsidRPr="0005122C">
        <w:rPr>
          <w:rStyle w:val="EndnoteReference"/>
        </w:rPr>
        <w:endnoteReference w:id="26"/>
      </w:r>
    </w:p>
    <w:p w14:paraId="065012F2" w14:textId="77777777" w:rsidR="00553014" w:rsidRDefault="00553014" w:rsidP="00553014">
      <w:pPr>
        <w:spacing w:before="0" w:after="0"/>
        <w:ind w:left="426"/>
        <w:contextualSpacing/>
        <w:rPr>
          <w:rFonts w:cs="Arial"/>
        </w:rPr>
      </w:pPr>
    </w:p>
    <w:p w14:paraId="48F3703B" w14:textId="0D770FAD" w:rsidR="00553014" w:rsidRPr="00F27F0B" w:rsidRDefault="00553014" w:rsidP="00235A4B">
      <w:pPr>
        <w:numPr>
          <w:ilvl w:val="0"/>
          <w:numId w:val="24"/>
        </w:numPr>
        <w:spacing w:before="0" w:after="0"/>
        <w:ind w:left="426" w:hanging="426"/>
        <w:contextualSpacing/>
        <w:rPr>
          <w:rFonts w:cs="Arial"/>
        </w:rPr>
      </w:pPr>
      <w:r>
        <w:rPr>
          <w:rFonts w:ascii="Helvetica" w:eastAsia="Times New Roman" w:hAnsi="Helvetica" w:cs="Helvetica"/>
          <w:lang w:val="en-US"/>
        </w:rPr>
        <w:t>T</w:t>
      </w:r>
      <w:r w:rsidRPr="00B6650E">
        <w:rPr>
          <w:rFonts w:cs="Arial"/>
        </w:rPr>
        <w:t xml:space="preserve">he </w:t>
      </w:r>
      <w:r>
        <w:rPr>
          <w:rFonts w:cs="Arial"/>
        </w:rPr>
        <w:t>‘</w:t>
      </w:r>
      <w:r w:rsidRPr="00B6650E">
        <w:rPr>
          <w:rFonts w:cs="Arial"/>
        </w:rPr>
        <w:t>Male Champions of Change</w:t>
      </w:r>
      <w:r>
        <w:rPr>
          <w:rFonts w:cs="Arial"/>
        </w:rPr>
        <w:t>’,</w:t>
      </w:r>
      <w:r w:rsidRPr="00B6650E">
        <w:rPr>
          <w:rFonts w:cs="Arial"/>
        </w:rPr>
        <w:t xml:space="preserve"> </w:t>
      </w:r>
      <w:r w:rsidR="006C692E">
        <w:rPr>
          <w:rFonts w:cs="Arial"/>
        </w:rPr>
        <w:t xml:space="preserve">is a group of </w:t>
      </w:r>
      <w:r w:rsidR="00045750">
        <w:rPr>
          <w:rFonts w:cs="Arial"/>
        </w:rPr>
        <w:t xml:space="preserve">senior </w:t>
      </w:r>
      <w:r w:rsidRPr="00B6650E">
        <w:rPr>
          <w:rFonts w:cs="Arial"/>
        </w:rPr>
        <w:t xml:space="preserve">male leaders </w:t>
      </w:r>
      <w:r w:rsidR="00045750">
        <w:rPr>
          <w:rFonts w:cs="Arial"/>
        </w:rPr>
        <w:t>across industry and government</w:t>
      </w:r>
      <w:r w:rsidR="006C692E">
        <w:rPr>
          <w:rFonts w:cs="Arial"/>
        </w:rPr>
        <w:t xml:space="preserve"> who have committed to advance gender equality.</w:t>
      </w:r>
      <w:r w:rsidR="00045750">
        <w:rPr>
          <w:rFonts w:cs="Arial"/>
        </w:rPr>
        <w:t xml:space="preserve"> </w:t>
      </w:r>
      <w:r w:rsidRPr="00F27F0B">
        <w:rPr>
          <w:rFonts w:cs="Arial"/>
        </w:rPr>
        <w:t xml:space="preserve">The Group uses their individual and collective influence and commitment to ensure the issue of women’s representation in leadership is elevated on the national business agenda, with a focus is </w:t>
      </w:r>
      <w:r w:rsidRPr="00F27F0B">
        <w:rPr>
          <w:rFonts w:cs="Arial"/>
        </w:rPr>
        <w:lastRenderedPageBreak/>
        <w:t>on addressing systemic, policy, behavioural and cu</w:t>
      </w:r>
      <w:r>
        <w:rPr>
          <w:rFonts w:cs="Arial"/>
        </w:rPr>
        <w:t>ltural impediments.</w:t>
      </w:r>
      <w:r w:rsidR="006C692E">
        <w:rPr>
          <w:rFonts w:cs="Arial"/>
        </w:rPr>
        <w:t xml:space="preserve"> In particular, their focus is to elevate women into traditionally male dominated leadership roles; but they are also interested in opening access of flexible work to more men and challenging male dominated workplaces</w:t>
      </w:r>
      <w:r w:rsidR="00741F84">
        <w:rPr>
          <w:rFonts w:cs="Arial"/>
        </w:rPr>
        <w:t xml:space="preserve"> such as defence, police, emergency services and sporting organisations.</w:t>
      </w:r>
      <w:r w:rsidR="0097197B">
        <w:rPr>
          <w:rStyle w:val="EndnoteReference"/>
          <w:rFonts w:cs="Arial"/>
        </w:rPr>
        <w:endnoteReference w:id="27"/>
      </w:r>
    </w:p>
    <w:p w14:paraId="3E25689E"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As the Commission asserted in its 2013 study on women in male-dominated industries:</w:t>
      </w:r>
    </w:p>
    <w:p w14:paraId="3C2B3F6E" w14:textId="77777777" w:rsidR="00553014" w:rsidRPr="00E16A6B" w:rsidRDefault="00553014" w:rsidP="003A682B">
      <w:pPr>
        <w:ind w:left="567"/>
        <w:rPr>
          <w:rFonts w:cs="Arial"/>
          <w:i/>
        </w:rPr>
      </w:pPr>
      <w:r w:rsidRPr="00E16A6B">
        <w:rPr>
          <w:rFonts w:cs="Arial"/>
          <w:i/>
        </w:rPr>
        <w:t>“The organisations that develop and implement strategies to recruit and retain women, will reap the economic benefits of gender diversity and equality and be the most competitive and sustainable in the long term”</w:t>
      </w:r>
      <w:r w:rsidRPr="00E16A6B">
        <w:rPr>
          <w:rStyle w:val="EndnoteReference"/>
          <w:rFonts w:cs="Arial"/>
          <w:i/>
        </w:rPr>
        <w:endnoteReference w:id="28"/>
      </w:r>
    </w:p>
    <w:p w14:paraId="622D241E"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Commission made strong arguments in support of the benefits to the broader economy and individual organisations, of narrowing the gender gap in employment, noting that:</w:t>
      </w:r>
    </w:p>
    <w:p w14:paraId="78CF85D6" w14:textId="77777777" w:rsidR="00553014" w:rsidRDefault="00553014" w:rsidP="00235A4B">
      <w:pPr>
        <w:pStyle w:val="SubmissionNormal"/>
        <w:numPr>
          <w:ilvl w:val="0"/>
          <w:numId w:val="20"/>
        </w:numPr>
        <w:ind w:left="426" w:hanging="426"/>
        <w:rPr>
          <w:rFonts w:cs="Arial"/>
          <w:color w:val="000000" w:themeColor="text1"/>
        </w:rPr>
      </w:pPr>
      <w:r>
        <w:rPr>
          <w:rFonts w:cs="Arial"/>
          <w:color w:val="000000" w:themeColor="text1"/>
        </w:rPr>
        <w:t>Research has estimated that i</w:t>
      </w:r>
      <w:r w:rsidRPr="0052658A">
        <w:rPr>
          <w:rFonts w:cs="Arial"/>
          <w:color w:val="000000" w:themeColor="text1"/>
        </w:rPr>
        <w:t>ncreasing the overall hours worked by women across sectors would substantially bridge the gender gap and increase a country’s GDP.</w:t>
      </w:r>
      <w:r w:rsidRPr="0052658A">
        <w:rPr>
          <w:rStyle w:val="EndnoteReference"/>
          <w:rFonts w:cs="Arial"/>
          <w:color w:val="000000" w:themeColor="text1"/>
          <w:sz w:val="24"/>
        </w:rPr>
        <w:t xml:space="preserve"> </w:t>
      </w:r>
      <w:r w:rsidRPr="0052658A">
        <w:rPr>
          <w:rStyle w:val="EndnoteReference"/>
          <w:rFonts w:cs="Arial"/>
          <w:color w:val="000000" w:themeColor="text1"/>
          <w:sz w:val="24"/>
        </w:rPr>
        <w:endnoteReference w:id="29"/>
      </w:r>
      <w:r w:rsidRPr="0052658A">
        <w:rPr>
          <w:rFonts w:cs="Arial"/>
          <w:color w:val="000000" w:themeColor="text1"/>
        </w:rPr>
        <w:t xml:space="preserve"> </w:t>
      </w:r>
      <w:r>
        <w:rPr>
          <w:rFonts w:cs="Arial"/>
          <w:color w:val="000000" w:themeColor="text1"/>
        </w:rPr>
        <w:t>For example,</w:t>
      </w:r>
      <w:r w:rsidRPr="0052658A">
        <w:rPr>
          <w:rFonts w:cs="Arial"/>
          <w:color w:val="000000" w:themeColor="text1"/>
        </w:rPr>
        <w:t xml:space="preserve"> a six percent increase in overall women’s workforce participation could boost Australia’s GDP by $25 billion.</w:t>
      </w:r>
      <w:r w:rsidRPr="00952C58">
        <w:rPr>
          <w:rStyle w:val="EndnoteReference"/>
          <w:szCs w:val="22"/>
        </w:rPr>
        <w:endnoteReference w:id="30"/>
      </w:r>
    </w:p>
    <w:p w14:paraId="4C4E5502" w14:textId="77777777" w:rsidR="00553014" w:rsidRPr="001B049E" w:rsidRDefault="00553014" w:rsidP="00235A4B">
      <w:pPr>
        <w:pStyle w:val="SubmissionNormal"/>
        <w:numPr>
          <w:ilvl w:val="0"/>
          <w:numId w:val="20"/>
        </w:numPr>
        <w:ind w:left="426" w:hanging="426"/>
        <w:rPr>
          <w:rFonts w:cs="Arial"/>
          <w:color w:val="000000" w:themeColor="text1"/>
        </w:rPr>
      </w:pPr>
      <w:r w:rsidRPr="001B049E">
        <w:rPr>
          <w:rFonts w:cs="Arial"/>
          <w:lang w:val="en"/>
        </w:rPr>
        <w:t xml:space="preserve">The current </w:t>
      </w:r>
      <w:r w:rsidRPr="001B049E">
        <w:rPr>
          <w:rFonts w:cs="Arial"/>
        </w:rPr>
        <w:t>composition</w:t>
      </w:r>
      <w:r w:rsidRPr="001B049E">
        <w:rPr>
          <w:rFonts w:cs="Arial"/>
          <w:lang w:val="en"/>
        </w:rPr>
        <w:t xml:space="preserve"> of the workforce</w:t>
      </w:r>
      <w:r w:rsidRPr="001B049E">
        <w:rPr>
          <w:rFonts w:cs="Arial"/>
          <w:color w:val="FF0000"/>
          <w:lang w:val="en"/>
        </w:rPr>
        <w:t xml:space="preserve"> </w:t>
      </w:r>
      <w:r w:rsidRPr="001B049E">
        <w:rPr>
          <w:rFonts w:cs="Arial"/>
          <w:lang w:val="en"/>
        </w:rPr>
        <w:t>means that women may be employed in roles where their productivity is not maximised. If the gender productivity gap was minimised by increasing the number of women in leadership positions, the level of economic activity in Australia could be boosted by 20%.</w:t>
      </w:r>
      <w:r w:rsidRPr="00952C58">
        <w:rPr>
          <w:rStyle w:val="EndnoteReference"/>
          <w:szCs w:val="22"/>
        </w:rPr>
        <w:endnoteReference w:id="31"/>
      </w:r>
    </w:p>
    <w:p w14:paraId="742007B6" w14:textId="77777777" w:rsidR="00553014" w:rsidRPr="001B049E" w:rsidRDefault="00553014" w:rsidP="00235A4B">
      <w:pPr>
        <w:pStyle w:val="SubmissionNormal"/>
        <w:numPr>
          <w:ilvl w:val="0"/>
          <w:numId w:val="20"/>
        </w:numPr>
        <w:ind w:left="426" w:hanging="426"/>
        <w:rPr>
          <w:rFonts w:cs="Arial"/>
          <w:color w:val="000000" w:themeColor="text1"/>
        </w:rPr>
      </w:pPr>
      <w:r>
        <w:rPr>
          <w:rFonts w:cs="Arial"/>
          <w:lang w:val="en"/>
        </w:rPr>
        <w:t>Flow-on economic benefi</w:t>
      </w:r>
      <w:r w:rsidRPr="001B049E">
        <w:rPr>
          <w:rFonts w:cs="Arial"/>
          <w:lang w:val="en"/>
        </w:rPr>
        <w:t>ts to the community would include addressing the problem of pension sustainability by lifting the longer term levels of retirement incomes, lifting household savings rates and increasing tax received by the government.</w:t>
      </w:r>
      <w:r w:rsidRPr="00952C58">
        <w:rPr>
          <w:rStyle w:val="EndnoteReference"/>
          <w:szCs w:val="22"/>
        </w:rPr>
        <w:endnoteReference w:id="32"/>
      </w:r>
    </w:p>
    <w:p w14:paraId="0BD4D718"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Commission also described the benefits to individual organisations, including:</w:t>
      </w:r>
    </w:p>
    <w:p w14:paraId="7F4C5E80" w14:textId="77777777" w:rsidR="00553014" w:rsidRPr="00FD17DA" w:rsidRDefault="00553014" w:rsidP="00235A4B">
      <w:pPr>
        <w:pStyle w:val="SubmissionNormal"/>
        <w:numPr>
          <w:ilvl w:val="0"/>
          <w:numId w:val="20"/>
        </w:numPr>
        <w:ind w:left="426" w:hanging="426"/>
        <w:rPr>
          <w:rFonts w:cs="Arial"/>
          <w:bCs/>
          <w:color w:val="000000"/>
        </w:rPr>
      </w:pPr>
      <w:r w:rsidRPr="00792DDE">
        <w:rPr>
          <w:rFonts w:cs="Arial"/>
          <w:lang w:val="en"/>
        </w:rPr>
        <w:t>Addressing</w:t>
      </w:r>
      <w:r>
        <w:rPr>
          <w:rFonts w:cs="Arial"/>
          <w:bCs/>
          <w:color w:val="000000"/>
        </w:rPr>
        <w:t xml:space="preserve"> the skills shortage where it is most pronounced: in occupations such as </w:t>
      </w:r>
      <w:r w:rsidRPr="00F464E5">
        <w:rPr>
          <w:rFonts w:cs="Arial"/>
          <w:color w:val="000000"/>
          <w:lang w:val="en-US"/>
        </w:rPr>
        <w:t>trades</w:t>
      </w:r>
      <w:r>
        <w:rPr>
          <w:rFonts w:cs="Arial"/>
          <w:color w:val="000000"/>
          <w:lang w:val="en-US"/>
        </w:rPr>
        <w:t xml:space="preserve">, </w:t>
      </w:r>
      <w:r>
        <w:rPr>
          <w:rFonts w:cs="Arial"/>
          <w:lang w:val="en-US"/>
        </w:rPr>
        <w:t>engineering and sales</w:t>
      </w:r>
      <w:r w:rsidRPr="00F464E5">
        <w:rPr>
          <w:rFonts w:cs="Arial"/>
          <w:color w:val="000000"/>
          <w:lang w:val="en-US"/>
        </w:rPr>
        <w:t xml:space="preserve">, all of which have remained at the top of the local skills shortage list </w:t>
      </w:r>
      <w:r>
        <w:rPr>
          <w:rFonts w:cs="Arial"/>
          <w:color w:val="000000"/>
          <w:lang w:val="en-US"/>
        </w:rPr>
        <w:t>for more than a decade</w:t>
      </w:r>
      <w:r>
        <w:rPr>
          <w:rFonts w:cs="Arial"/>
          <w:bCs/>
          <w:color w:val="000000"/>
        </w:rPr>
        <w:t>,</w:t>
      </w:r>
      <w:r w:rsidRPr="00952C58">
        <w:rPr>
          <w:rStyle w:val="EndnoteReference"/>
          <w:szCs w:val="22"/>
        </w:rPr>
        <w:endnoteReference w:id="33"/>
      </w:r>
      <w:r w:rsidRPr="00952C58">
        <w:rPr>
          <w:rStyle w:val="EndnoteReference"/>
          <w:szCs w:val="22"/>
        </w:rPr>
        <w:t xml:space="preserve"> </w:t>
      </w:r>
      <w:r>
        <w:rPr>
          <w:rFonts w:cs="Arial"/>
          <w:bCs/>
          <w:color w:val="000000"/>
        </w:rPr>
        <w:t>and in traditionally male-dominated industries such as</w:t>
      </w:r>
      <w:r w:rsidRPr="00792DDE">
        <w:rPr>
          <w:rFonts w:cs="Arial"/>
          <w:lang w:val="en"/>
        </w:rPr>
        <w:t xml:space="preserve"> mining, construction and utilities industries.  </w:t>
      </w:r>
    </w:p>
    <w:p w14:paraId="2FD249D7" w14:textId="77777777" w:rsidR="00553014" w:rsidRDefault="00553014" w:rsidP="00235A4B">
      <w:pPr>
        <w:pStyle w:val="SubmissionNormal"/>
        <w:numPr>
          <w:ilvl w:val="0"/>
          <w:numId w:val="20"/>
        </w:numPr>
        <w:ind w:left="426" w:hanging="426"/>
        <w:rPr>
          <w:rFonts w:cs="Arial"/>
          <w:bCs/>
          <w:color w:val="000000"/>
        </w:rPr>
      </w:pPr>
      <w:r>
        <w:rPr>
          <w:rFonts w:cs="Arial"/>
          <w:lang w:val="en"/>
        </w:rPr>
        <w:t xml:space="preserve">Reaching a </w:t>
      </w:r>
      <w:r w:rsidRPr="00FD17DA">
        <w:rPr>
          <w:rFonts w:cs="Arial"/>
          <w:bCs/>
          <w:color w:val="000000"/>
        </w:rPr>
        <w:t xml:space="preserve">critical mass of women at all levels of the organisation, including senior management, </w:t>
      </w:r>
      <w:r>
        <w:rPr>
          <w:rFonts w:cs="Arial"/>
          <w:bCs/>
          <w:color w:val="000000"/>
        </w:rPr>
        <w:t>which studies have shown to:</w:t>
      </w:r>
    </w:p>
    <w:p w14:paraId="316781F7" w14:textId="77777777" w:rsidR="00553014" w:rsidRDefault="00553014" w:rsidP="00235A4B">
      <w:pPr>
        <w:pStyle w:val="SubmissionNormal"/>
        <w:numPr>
          <w:ilvl w:val="1"/>
          <w:numId w:val="20"/>
        </w:numPr>
        <w:rPr>
          <w:rFonts w:cs="Arial"/>
          <w:bCs/>
          <w:color w:val="000000"/>
        </w:rPr>
      </w:pPr>
      <w:r>
        <w:rPr>
          <w:rFonts w:cs="Arial"/>
          <w:bCs/>
          <w:color w:val="000000"/>
        </w:rPr>
        <w:t>improve business outcomes across the board (including</w:t>
      </w:r>
      <w:r w:rsidRPr="0009709B">
        <w:rPr>
          <w:rFonts w:cs="Arial"/>
          <w:bCs/>
          <w:color w:val="000000"/>
        </w:rPr>
        <w:t xml:space="preserve"> higher customer satisfaction, greater productivity, </w:t>
      </w:r>
      <w:r>
        <w:rPr>
          <w:rFonts w:cs="Arial"/>
          <w:bCs/>
          <w:color w:val="000000"/>
        </w:rPr>
        <w:t xml:space="preserve">and </w:t>
      </w:r>
      <w:r w:rsidRPr="0009709B">
        <w:rPr>
          <w:rFonts w:cs="Arial"/>
          <w:bCs/>
          <w:color w:val="000000"/>
        </w:rPr>
        <w:t>higher profitability</w:t>
      </w:r>
      <w:r>
        <w:rPr>
          <w:rFonts w:cs="Arial"/>
          <w:bCs/>
          <w:color w:val="000000"/>
        </w:rPr>
        <w:t>),</w:t>
      </w:r>
      <w:r w:rsidRPr="00952C58">
        <w:rPr>
          <w:rStyle w:val="EndnoteReference"/>
          <w:szCs w:val="22"/>
        </w:rPr>
        <w:endnoteReference w:id="34"/>
      </w:r>
      <w:r w:rsidRPr="00952C58">
        <w:rPr>
          <w:rStyle w:val="EndnoteReference"/>
          <w:szCs w:val="22"/>
        </w:rPr>
        <w:t xml:space="preserve"> </w:t>
      </w:r>
      <w:r>
        <w:rPr>
          <w:rFonts w:cs="Arial"/>
          <w:bCs/>
          <w:color w:val="000000"/>
        </w:rPr>
        <w:t xml:space="preserve">and </w:t>
      </w:r>
    </w:p>
    <w:p w14:paraId="6AF1B7CB" w14:textId="77777777" w:rsidR="00553014" w:rsidRPr="0009709B" w:rsidRDefault="00553014" w:rsidP="00235A4B">
      <w:pPr>
        <w:pStyle w:val="SubmissionNormal"/>
        <w:numPr>
          <w:ilvl w:val="1"/>
          <w:numId w:val="20"/>
        </w:numPr>
        <w:rPr>
          <w:rFonts w:cs="Arial"/>
          <w:bCs/>
          <w:color w:val="000000"/>
        </w:rPr>
      </w:pPr>
      <w:r w:rsidRPr="0009709B">
        <w:rPr>
          <w:rFonts w:cs="Arial"/>
          <w:bCs/>
          <w:color w:val="000000"/>
        </w:rPr>
        <w:t>result in significantly better return on equity and operating results than companies that have all-male executive committees.</w:t>
      </w:r>
      <w:r w:rsidRPr="00952C58">
        <w:rPr>
          <w:rStyle w:val="EndnoteReference"/>
          <w:szCs w:val="22"/>
        </w:rPr>
        <w:endnoteReference w:id="35"/>
      </w:r>
    </w:p>
    <w:tbl>
      <w:tblPr>
        <w:tblStyle w:val="TableGrid"/>
        <w:tblW w:w="0" w:type="auto"/>
        <w:tblLook w:val="04A0" w:firstRow="1" w:lastRow="0" w:firstColumn="1" w:lastColumn="0" w:noHBand="0" w:noVBand="1"/>
      </w:tblPr>
      <w:tblGrid>
        <w:gridCol w:w="9771"/>
      </w:tblGrid>
      <w:tr w:rsidR="00553014" w14:paraId="611E85A0" w14:textId="77777777" w:rsidTr="00217432">
        <w:tc>
          <w:tcPr>
            <w:tcW w:w="9771" w:type="dxa"/>
          </w:tcPr>
          <w:p w14:paraId="5624E97F" w14:textId="77777777" w:rsidR="00553014" w:rsidRPr="008326E4" w:rsidRDefault="00553014" w:rsidP="00217432">
            <w:pPr>
              <w:pStyle w:val="Sub3"/>
              <w:rPr>
                <w:rFonts w:eastAsia="MS Mincho"/>
              </w:rPr>
            </w:pPr>
            <w:bookmarkStart w:id="20" w:name="_Toc476597978"/>
            <w:r w:rsidRPr="008326E4">
              <w:rPr>
                <w:rFonts w:eastAsia="MS Mincho"/>
              </w:rPr>
              <w:t>Female-dominated industries – the case for improving gender balance in unpaid and caring workforces</w:t>
            </w:r>
            <w:r>
              <w:rPr>
                <w:rFonts w:eastAsia="MS Mincho"/>
              </w:rPr>
              <w:t>.</w:t>
            </w:r>
            <w:bookmarkEnd w:id="20"/>
          </w:p>
        </w:tc>
      </w:tr>
    </w:tbl>
    <w:p w14:paraId="6AF938D1"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gendered segregation of unpaid caring work in another key driver of gender gaps in workforce participation, wages and retirement incomes and savings.</w:t>
      </w:r>
      <w:r w:rsidRPr="00952C58">
        <w:rPr>
          <w:rStyle w:val="EndnoteReference"/>
        </w:rPr>
        <w:endnoteReference w:id="36"/>
      </w:r>
    </w:p>
    <w:p w14:paraId="7605A721"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lastRenderedPageBreak/>
        <w:t xml:space="preserve">There is a lack of social and economic value placed on unpaid caring work. Despite its significant contribution to the economy, the care of children and other family still does not have the status or value of paid work. </w:t>
      </w:r>
    </w:p>
    <w:p w14:paraId="44326376" w14:textId="77777777" w:rsidR="005D07E4" w:rsidRDefault="00553014" w:rsidP="005D07E4">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This situation is caused by a cumulative and interconnected set of circumstances, including social expectations of women, gender inequity in the division of unpaid work, the absence of proper structural support for employees with caring responsibilities, and the lack of economic benefit ascribed to caring work.</w:t>
      </w:r>
      <w:r w:rsidRPr="00952C58">
        <w:rPr>
          <w:rStyle w:val="EndnoteReference"/>
        </w:rPr>
        <w:endnoteReference w:id="37"/>
      </w:r>
    </w:p>
    <w:p w14:paraId="6854A768" w14:textId="0DDAC028" w:rsidR="005D07E4" w:rsidRPr="00F95D2B" w:rsidRDefault="005D07E4" w:rsidP="00F95D2B">
      <w:pPr>
        <w:pStyle w:val="ListParagraph"/>
        <w:numPr>
          <w:ilvl w:val="0"/>
          <w:numId w:val="25"/>
        </w:numPr>
        <w:spacing w:before="240" w:after="240" w:line="240" w:lineRule="auto"/>
        <w:ind w:left="0" w:firstLine="0"/>
        <w:contextualSpacing w:val="0"/>
        <w:rPr>
          <w:rFonts w:ascii="Arial" w:hAnsi="Arial" w:cs="Arial"/>
          <w:sz w:val="24"/>
          <w:szCs w:val="24"/>
        </w:rPr>
      </w:pPr>
      <w:r w:rsidRPr="005D07E4">
        <w:rPr>
          <w:rFonts w:ascii="Arial" w:hAnsi="Arial" w:cs="Arial"/>
          <w:sz w:val="24"/>
          <w:szCs w:val="24"/>
        </w:rPr>
        <w:t>There are also some very significant consequences for those industries/sectors where women have disproportionate</w:t>
      </w:r>
      <w:r w:rsidR="00F95D2B">
        <w:rPr>
          <w:rFonts w:ascii="Arial" w:hAnsi="Arial" w:cs="Arial"/>
          <w:sz w:val="24"/>
          <w:szCs w:val="24"/>
        </w:rPr>
        <w:t>ly high representation, and this</w:t>
      </w:r>
      <w:r w:rsidRPr="005D07E4">
        <w:rPr>
          <w:rFonts w:ascii="Arial" w:hAnsi="Arial" w:cs="Arial"/>
          <w:sz w:val="24"/>
          <w:szCs w:val="24"/>
        </w:rPr>
        <w:t xml:space="preserve"> can have an impact on the broader ec</w:t>
      </w:r>
      <w:r w:rsidR="00F95D2B">
        <w:rPr>
          <w:rFonts w:ascii="Arial" w:hAnsi="Arial" w:cs="Arial"/>
          <w:sz w:val="24"/>
          <w:szCs w:val="24"/>
        </w:rPr>
        <w:t xml:space="preserve">onomy and </w:t>
      </w:r>
      <w:r w:rsidR="00B8275E">
        <w:rPr>
          <w:rFonts w:ascii="Arial" w:hAnsi="Arial" w:cs="Arial"/>
          <w:sz w:val="24"/>
          <w:szCs w:val="24"/>
        </w:rPr>
        <w:t>community</w:t>
      </w:r>
      <w:r w:rsidR="00F95D2B">
        <w:rPr>
          <w:rFonts w:ascii="Arial" w:hAnsi="Arial" w:cs="Arial"/>
          <w:sz w:val="24"/>
          <w:szCs w:val="24"/>
        </w:rPr>
        <w:t xml:space="preserve">. For example: </w:t>
      </w:r>
      <w:r w:rsidRPr="00F95D2B">
        <w:rPr>
          <w:rFonts w:ascii="Arial" w:hAnsi="Arial" w:cs="Arial"/>
          <w:sz w:val="24"/>
          <w:szCs w:val="24"/>
        </w:rPr>
        <w:t xml:space="preserve">the paid parental leave ‘burden’ falls disproportionately on those sectors </w:t>
      </w:r>
      <w:r w:rsidR="00F95D2B" w:rsidRPr="00F95D2B">
        <w:rPr>
          <w:rFonts w:ascii="Arial" w:hAnsi="Arial" w:cs="Arial"/>
          <w:sz w:val="24"/>
          <w:szCs w:val="24"/>
        </w:rPr>
        <w:t>and is relatively light in bus</w:t>
      </w:r>
      <w:r w:rsidR="00F95D2B">
        <w:rPr>
          <w:rFonts w:ascii="Arial" w:hAnsi="Arial" w:cs="Arial"/>
          <w:sz w:val="24"/>
          <w:szCs w:val="24"/>
        </w:rPr>
        <w:t xml:space="preserve">inesses that mainly employ men; </w:t>
      </w:r>
      <w:r w:rsidR="00F95D2B" w:rsidRPr="00F95D2B">
        <w:rPr>
          <w:rFonts w:ascii="Arial" w:hAnsi="Arial" w:cs="Arial"/>
          <w:sz w:val="24"/>
          <w:szCs w:val="24"/>
        </w:rPr>
        <w:t xml:space="preserve">and female-dominated businesses are more likely to have their workers taking leave </w:t>
      </w:r>
      <w:r w:rsidR="00B8275E" w:rsidRPr="00F95D2B">
        <w:rPr>
          <w:rFonts w:ascii="Arial" w:hAnsi="Arial" w:cs="Arial"/>
          <w:sz w:val="24"/>
          <w:szCs w:val="24"/>
        </w:rPr>
        <w:t>to</w:t>
      </w:r>
      <w:r w:rsidR="00F95D2B" w:rsidRPr="00F95D2B">
        <w:rPr>
          <w:rFonts w:ascii="Arial" w:hAnsi="Arial" w:cs="Arial"/>
          <w:sz w:val="24"/>
          <w:szCs w:val="24"/>
        </w:rPr>
        <w:t xml:space="preserve"> care for children.</w:t>
      </w:r>
    </w:p>
    <w:p w14:paraId="5C4B7D0F" w14:textId="6E43B1B6" w:rsidR="00FE3693" w:rsidRPr="00FD6139" w:rsidRDefault="00FE3693" w:rsidP="00FE3693">
      <w:pPr>
        <w:pStyle w:val="sub4"/>
      </w:pPr>
      <w:bookmarkStart w:id="21" w:name="_Toc476597979"/>
      <w:r>
        <w:t>Statistics on unpaid work</w:t>
      </w:r>
      <w:bookmarkEnd w:id="21"/>
    </w:p>
    <w:p w14:paraId="0782D21B"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It is estimated that, in 2005, informal carers provided approximately 1.2 billion hours of care at an estimated replacement value of $30.5 billion.</w:t>
      </w:r>
      <w:r w:rsidRPr="00FE3693">
        <w:rPr>
          <w:rStyle w:val="EndnoteReference"/>
        </w:rPr>
        <w:endnoteReference w:id="38"/>
      </w:r>
      <w:r w:rsidRPr="00FE3693">
        <w:rPr>
          <w:rStyle w:val="EndnoteReference"/>
        </w:rPr>
        <w:t xml:space="preserve"> </w:t>
      </w:r>
      <w:r w:rsidRPr="00FD6139">
        <w:rPr>
          <w:rFonts w:ascii="Arial" w:hAnsi="Arial" w:cs="Arial"/>
          <w:sz w:val="24"/>
          <w:szCs w:val="24"/>
        </w:rPr>
        <w:t xml:space="preserve">Yet, this work is not recognised or rewarded as work in the retirement income system. </w:t>
      </w:r>
    </w:p>
    <w:p w14:paraId="40C317E5"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Women do two thirds of the unpaid caring and domestic work in Australian households and spend almost three times as many hours each week looking after children as men. Women who work as unpaid carers have considerably lower rates of employment: less than 23 percent of female primary carers are in full time employment. </w:t>
      </w:r>
    </w:p>
    <w:p w14:paraId="17788DFA" w14:textId="77777777" w:rsidR="00553014"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Caring responsibilities can span a woman’s lifetime including the care of elderly people, children and adults with disability and grandchildren.</w:t>
      </w:r>
    </w:p>
    <w:p w14:paraId="52117D4B" w14:textId="45C1A687" w:rsidR="006544F8" w:rsidRPr="006544F8" w:rsidRDefault="006544F8" w:rsidP="006544F8">
      <w:pPr>
        <w:pStyle w:val="sub4"/>
      </w:pPr>
      <w:bookmarkStart w:id="22" w:name="_Toc476597980"/>
      <w:r w:rsidRPr="00FD6139">
        <w:t>Findings from the Sex Discrimination Commissioner’s 2016 consultations</w:t>
      </w:r>
      <w:bookmarkEnd w:id="22"/>
    </w:p>
    <w:p w14:paraId="06EB64E0"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In the SDC consultations, many stories were heard about undeviating cycles of pregnancy and caring related discrimination experienced by women: </w:t>
      </w:r>
    </w:p>
    <w:p w14:paraId="0F898992" w14:textId="77777777" w:rsidR="00553014" w:rsidRPr="009620DC" w:rsidRDefault="00553014" w:rsidP="00235A4B">
      <w:pPr>
        <w:pStyle w:val="SubmissionNormal"/>
        <w:numPr>
          <w:ilvl w:val="0"/>
          <w:numId w:val="20"/>
        </w:numPr>
        <w:ind w:left="426" w:hanging="426"/>
        <w:rPr>
          <w:rFonts w:cs="Arial"/>
          <w:color w:val="000000" w:themeColor="text1"/>
        </w:rPr>
      </w:pPr>
      <w:r w:rsidRPr="009620DC">
        <w:rPr>
          <w:rFonts w:cs="Arial"/>
          <w:color w:val="000000" w:themeColor="text1"/>
        </w:rPr>
        <w:t xml:space="preserve">Women </w:t>
      </w:r>
      <w:r w:rsidRPr="009620DC">
        <w:rPr>
          <w:rFonts w:cs="Arial"/>
          <w:color w:val="000000" w:themeColor="text1"/>
          <w:lang w:val="en-US"/>
        </w:rPr>
        <w:t>talked</w:t>
      </w:r>
      <w:r w:rsidRPr="009620DC">
        <w:rPr>
          <w:rFonts w:cs="Arial"/>
          <w:color w:val="000000" w:themeColor="text1"/>
        </w:rPr>
        <w:t xml:space="preserve"> of entrenched norms in workplaces that prevent flexible work policies and grievance and complaint </w:t>
      </w:r>
      <w:r w:rsidRPr="009D3C6C">
        <w:rPr>
          <w:rFonts w:cs="Arial"/>
          <w:color w:val="000000" w:themeColor="text1"/>
        </w:rPr>
        <w:t>policies</w:t>
      </w:r>
      <w:r w:rsidRPr="009620DC">
        <w:rPr>
          <w:rFonts w:cs="Arial"/>
          <w:color w:val="000000" w:themeColor="text1"/>
        </w:rPr>
        <w:t xml:space="preserve"> being adopted equally by women and men. </w:t>
      </w:r>
    </w:p>
    <w:p w14:paraId="2A6F4F40" w14:textId="77777777" w:rsidR="00553014" w:rsidRPr="009620DC" w:rsidRDefault="00553014" w:rsidP="00235A4B">
      <w:pPr>
        <w:pStyle w:val="SubmissionNormal"/>
        <w:numPr>
          <w:ilvl w:val="0"/>
          <w:numId w:val="20"/>
        </w:numPr>
        <w:ind w:left="426" w:hanging="426"/>
        <w:rPr>
          <w:rFonts w:cs="Arial"/>
          <w:color w:val="000000" w:themeColor="text1"/>
        </w:rPr>
      </w:pPr>
      <w:r w:rsidRPr="009620DC">
        <w:rPr>
          <w:rFonts w:cs="Arial"/>
          <w:color w:val="000000" w:themeColor="text1"/>
        </w:rPr>
        <w:t>Even where leadership in an organisation is ‘on message’ about flexible practices, a gap often exists between what leaders are saying and middle management is implementing.</w:t>
      </w:r>
    </w:p>
    <w:p w14:paraId="0B402059" w14:textId="4F793A33"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division of paid and unpaid work is also influenced by workplace cultures and attit</w:t>
      </w:r>
      <w:r w:rsidR="00CD5487">
        <w:rPr>
          <w:rFonts w:ascii="Arial" w:hAnsi="Arial" w:cs="Arial"/>
          <w:sz w:val="24"/>
          <w:szCs w:val="24"/>
        </w:rPr>
        <w:t xml:space="preserve">udes to flexible work that </w:t>
      </w:r>
      <w:r w:rsidRPr="00FD6139">
        <w:rPr>
          <w:rFonts w:ascii="Arial" w:hAnsi="Arial" w:cs="Arial"/>
          <w:sz w:val="24"/>
          <w:szCs w:val="24"/>
        </w:rPr>
        <w:t>constrain men. This maintains the status-quo of the male breadwinner/female carer model</w:t>
      </w:r>
      <w:r w:rsidR="00CD5487">
        <w:rPr>
          <w:rFonts w:ascii="Arial" w:hAnsi="Arial" w:cs="Arial"/>
          <w:sz w:val="24"/>
          <w:szCs w:val="24"/>
        </w:rPr>
        <w:t>.</w:t>
      </w:r>
      <w:r w:rsidRPr="00952C58">
        <w:rPr>
          <w:rStyle w:val="EndnoteReference"/>
        </w:rPr>
        <w:endnoteReference w:id="39"/>
      </w:r>
    </w:p>
    <w:p w14:paraId="58AD3DE9" w14:textId="59F8EF53" w:rsidR="00553014" w:rsidRDefault="00553014" w:rsidP="00A703C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Commission heard positive stories about men, particularly those with young children, becoming increasingly aware and interested in ad</w:t>
      </w:r>
      <w:r w:rsidR="00CD5487">
        <w:rPr>
          <w:rFonts w:ascii="Arial" w:hAnsi="Arial" w:cs="Arial"/>
          <w:sz w:val="24"/>
          <w:szCs w:val="24"/>
        </w:rPr>
        <w:t>vancing gender equality</w:t>
      </w:r>
      <w:r w:rsidR="00A703CB">
        <w:rPr>
          <w:rFonts w:ascii="Arial" w:hAnsi="Arial" w:cs="Arial"/>
          <w:sz w:val="24"/>
          <w:szCs w:val="24"/>
        </w:rPr>
        <w:t>,</w:t>
      </w:r>
      <w:r w:rsidR="00CD5487">
        <w:rPr>
          <w:rFonts w:ascii="Arial" w:hAnsi="Arial" w:cs="Arial"/>
          <w:sz w:val="24"/>
          <w:szCs w:val="24"/>
        </w:rPr>
        <w:t xml:space="preserve"> and in improving</w:t>
      </w:r>
      <w:r w:rsidRPr="00FD6139">
        <w:rPr>
          <w:rFonts w:ascii="Arial" w:hAnsi="Arial" w:cs="Arial"/>
          <w:sz w:val="24"/>
          <w:szCs w:val="24"/>
        </w:rPr>
        <w:t xml:space="preserve"> the balance of caring responsibility. </w:t>
      </w:r>
      <w:r w:rsidRPr="00A703CB">
        <w:rPr>
          <w:rFonts w:ascii="Arial" w:hAnsi="Arial" w:cs="Arial"/>
          <w:sz w:val="24"/>
          <w:szCs w:val="24"/>
        </w:rPr>
        <w:t xml:space="preserve">However, the motivation to do so tends to be focussed on reducing the harm caused by the imbalance, rather than achieving a genuine, substantive equality, where paid and unpaid responsibilities are equally respected and valued. </w:t>
      </w:r>
      <w:r w:rsidR="00A703CB">
        <w:rPr>
          <w:rFonts w:ascii="Arial" w:hAnsi="Arial" w:cs="Arial"/>
          <w:sz w:val="24"/>
          <w:szCs w:val="24"/>
        </w:rPr>
        <w:t>Consequently,</w:t>
      </w:r>
      <w:r w:rsidRPr="00FD6139">
        <w:rPr>
          <w:rFonts w:ascii="Arial" w:hAnsi="Arial" w:cs="Arial"/>
          <w:sz w:val="24"/>
          <w:szCs w:val="24"/>
        </w:rPr>
        <w:t xml:space="preserve"> there has not been a </w:t>
      </w:r>
      <w:r w:rsidR="004A028D">
        <w:rPr>
          <w:rFonts w:ascii="Arial" w:hAnsi="Arial" w:cs="Arial"/>
          <w:sz w:val="24"/>
          <w:szCs w:val="24"/>
        </w:rPr>
        <w:t xml:space="preserve">significant </w:t>
      </w:r>
      <w:r w:rsidRPr="00FD6139">
        <w:rPr>
          <w:rFonts w:ascii="Arial" w:hAnsi="Arial" w:cs="Arial"/>
          <w:sz w:val="24"/>
          <w:szCs w:val="24"/>
        </w:rPr>
        <w:t xml:space="preserve">shift of responsibility in caring. </w:t>
      </w:r>
    </w:p>
    <w:p w14:paraId="4B127D18" w14:textId="2BA12AA1" w:rsidR="003A682B" w:rsidRPr="003A682B" w:rsidRDefault="003A682B" w:rsidP="00CF6374">
      <w:pPr>
        <w:pStyle w:val="sub4"/>
        <w:keepNext/>
        <w:rPr>
          <w:color w:val="auto"/>
        </w:rPr>
      </w:pPr>
      <w:bookmarkStart w:id="23" w:name="_Toc476597981"/>
      <w:r>
        <w:lastRenderedPageBreak/>
        <w:t xml:space="preserve">Previous </w:t>
      </w:r>
      <w:r w:rsidR="00A10FD1">
        <w:t>C</w:t>
      </w:r>
      <w:r>
        <w:t>ommission research</w:t>
      </w:r>
      <w:bookmarkEnd w:id="23"/>
    </w:p>
    <w:p w14:paraId="092CF607"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The social case for unpaid and caring work being valued equally with paid work is well understood. The Commission’s 2013 research, </w:t>
      </w:r>
      <w:r w:rsidRPr="003A682B">
        <w:rPr>
          <w:rFonts w:ascii="Arial" w:hAnsi="Arial" w:cs="Arial"/>
          <w:i/>
          <w:sz w:val="24"/>
          <w:szCs w:val="24"/>
        </w:rPr>
        <w:t>Investing in care: Recognising and valuing those who care</w:t>
      </w:r>
      <w:r w:rsidRPr="00FD6139">
        <w:rPr>
          <w:rFonts w:ascii="Arial" w:hAnsi="Arial" w:cs="Arial"/>
          <w:sz w:val="24"/>
          <w:szCs w:val="24"/>
        </w:rPr>
        <w:t>,</w:t>
      </w:r>
      <w:r w:rsidRPr="00952C58">
        <w:rPr>
          <w:rStyle w:val="EndnoteReference"/>
        </w:rPr>
        <w:endnoteReference w:id="40"/>
      </w:r>
      <w:r w:rsidRPr="00952C58">
        <w:rPr>
          <w:rStyle w:val="EndnoteReference"/>
        </w:rPr>
        <w:t xml:space="preserve"> </w:t>
      </w:r>
      <w:r w:rsidRPr="00FD6139">
        <w:rPr>
          <w:rFonts w:ascii="Arial" w:hAnsi="Arial" w:cs="Arial"/>
          <w:sz w:val="24"/>
          <w:szCs w:val="24"/>
        </w:rPr>
        <w:t>succinctly describes caring as: an inevitable function of living in a society, work that is central element of social and civic responsibilities, relationships that are crucial for the social fabric.</w:t>
      </w:r>
    </w:p>
    <w:p w14:paraId="1CE730FA"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However, there are equally strong economic and business cases for genuine equal value being given to paid and unpaid work.</w:t>
      </w:r>
    </w:p>
    <w:p w14:paraId="6C4EB6C4"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The economic case is based on four key elements: </w:t>
      </w:r>
    </w:p>
    <w:p w14:paraId="22C67624" w14:textId="3A53AE0D" w:rsidR="00553014" w:rsidRPr="00F464E5" w:rsidRDefault="00553014" w:rsidP="00235A4B">
      <w:pPr>
        <w:numPr>
          <w:ilvl w:val="0"/>
          <w:numId w:val="21"/>
        </w:numPr>
        <w:ind w:left="426" w:hanging="426"/>
        <w:rPr>
          <w:rFonts w:cs="Arial"/>
        </w:rPr>
      </w:pPr>
      <w:r w:rsidRPr="00F464E5">
        <w:rPr>
          <w:rFonts w:cs="Arial"/>
        </w:rPr>
        <w:t>the importance of recognising non-market productivity, in particular the provision of care, as essential to economic productivity</w:t>
      </w:r>
      <w:r w:rsidR="00A10FD1">
        <w:rPr>
          <w:rFonts w:cs="Arial"/>
        </w:rPr>
        <w:t>;</w:t>
      </w:r>
    </w:p>
    <w:p w14:paraId="32AEFD26" w14:textId="6BB4CB5E" w:rsidR="00553014" w:rsidRPr="00F464E5" w:rsidRDefault="00553014" w:rsidP="00235A4B">
      <w:pPr>
        <w:numPr>
          <w:ilvl w:val="0"/>
          <w:numId w:val="21"/>
        </w:numPr>
        <w:ind w:left="426" w:hanging="426"/>
        <w:rPr>
          <w:rFonts w:cs="Arial"/>
        </w:rPr>
      </w:pPr>
      <w:r w:rsidRPr="00F464E5">
        <w:rPr>
          <w:rFonts w:cs="Arial"/>
        </w:rPr>
        <w:t>the need to maintain a supply of unpaid care which underpins the formal care economy</w:t>
      </w:r>
      <w:r w:rsidR="00A10FD1">
        <w:rPr>
          <w:rFonts w:cs="Arial"/>
        </w:rPr>
        <w:t>;</w:t>
      </w:r>
    </w:p>
    <w:p w14:paraId="7E326BE0" w14:textId="057E584A" w:rsidR="00553014" w:rsidRPr="00F464E5" w:rsidRDefault="00553014" w:rsidP="00235A4B">
      <w:pPr>
        <w:numPr>
          <w:ilvl w:val="0"/>
          <w:numId w:val="21"/>
        </w:numPr>
        <w:ind w:left="426" w:hanging="426"/>
        <w:rPr>
          <w:rFonts w:cs="Arial"/>
        </w:rPr>
      </w:pPr>
      <w:r w:rsidRPr="00F464E5">
        <w:rPr>
          <w:rFonts w:cs="Arial"/>
        </w:rPr>
        <w:t>ensuring women’s workforce participation is not underutilised so that women’s skills are fully valued and Australia’s investment in human capital is utilised</w:t>
      </w:r>
      <w:r w:rsidR="00A10FD1">
        <w:rPr>
          <w:rFonts w:cs="Arial"/>
        </w:rPr>
        <w:t>;</w:t>
      </w:r>
      <w:r>
        <w:rPr>
          <w:rFonts w:cs="Arial"/>
        </w:rPr>
        <w:t xml:space="preserve"> and</w:t>
      </w:r>
    </w:p>
    <w:p w14:paraId="6F615EBE" w14:textId="50F05A3B" w:rsidR="00553014" w:rsidRPr="00F464E5" w:rsidRDefault="00553014" w:rsidP="00235A4B">
      <w:pPr>
        <w:numPr>
          <w:ilvl w:val="0"/>
          <w:numId w:val="21"/>
        </w:numPr>
        <w:ind w:left="426" w:hanging="426"/>
        <w:rPr>
          <w:rFonts w:cs="Arial"/>
        </w:rPr>
      </w:pPr>
      <w:r w:rsidRPr="00F464E5">
        <w:rPr>
          <w:rFonts w:cs="Arial"/>
        </w:rPr>
        <w:t>enabling women’s workforce participation</w:t>
      </w:r>
      <w:r w:rsidR="00690566">
        <w:rPr>
          <w:rFonts w:cs="Arial"/>
        </w:rPr>
        <w:t>,</w:t>
      </w:r>
      <w:r w:rsidRPr="00F464E5">
        <w:rPr>
          <w:rFonts w:cs="Arial"/>
        </w:rPr>
        <w:t xml:space="preserve"> which contributes to women’s greater financial security and greater productivity in the market sphere. </w:t>
      </w:r>
    </w:p>
    <w:p w14:paraId="057C8E4C"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business case focuses on the need for:</w:t>
      </w:r>
    </w:p>
    <w:p w14:paraId="166BA30C" w14:textId="4BE67C2F" w:rsidR="00553014" w:rsidRPr="00F464E5" w:rsidRDefault="00553014" w:rsidP="00235A4B">
      <w:pPr>
        <w:numPr>
          <w:ilvl w:val="0"/>
          <w:numId w:val="22"/>
        </w:numPr>
        <w:ind w:left="426" w:hanging="426"/>
        <w:rPr>
          <w:rFonts w:cs="Arial"/>
        </w:rPr>
      </w:pPr>
      <w:r w:rsidRPr="00F464E5">
        <w:rPr>
          <w:rFonts w:cs="Arial"/>
        </w:rPr>
        <w:t>efficiency – it is more cost-effective to support unpaid carers in the workplace and retain their skills and knowledge than train new employees</w:t>
      </w:r>
      <w:r w:rsidR="00A10FD1">
        <w:rPr>
          <w:rFonts w:cs="Arial"/>
        </w:rPr>
        <w:t>;</w:t>
      </w:r>
    </w:p>
    <w:p w14:paraId="3A5AC7FF" w14:textId="5B0DBBB0" w:rsidR="00553014" w:rsidRPr="00F464E5" w:rsidRDefault="00553014" w:rsidP="00235A4B">
      <w:pPr>
        <w:numPr>
          <w:ilvl w:val="0"/>
          <w:numId w:val="22"/>
        </w:numPr>
        <w:ind w:left="426" w:hanging="426"/>
        <w:rPr>
          <w:rFonts w:cs="Arial"/>
        </w:rPr>
      </w:pPr>
      <w:r w:rsidRPr="00F464E5">
        <w:rPr>
          <w:rFonts w:cs="Arial"/>
        </w:rPr>
        <w:t>productivity – support for carers in the workplace enhances employees’ attachment, loyalty and commitment</w:t>
      </w:r>
      <w:r w:rsidR="00A10FD1">
        <w:rPr>
          <w:rFonts w:cs="Arial"/>
        </w:rPr>
        <w:t>;</w:t>
      </w:r>
      <w:r>
        <w:rPr>
          <w:rFonts w:cs="Arial"/>
        </w:rPr>
        <w:t xml:space="preserve"> and</w:t>
      </w:r>
    </w:p>
    <w:p w14:paraId="47B743CC" w14:textId="77777777" w:rsidR="00553014" w:rsidRPr="005252C5" w:rsidRDefault="00553014" w:rsidP="00235A4B">
      <w:pPr>
        <w:numPr>
          <w:ilvl w:val="0"/>
          <w:numId w:val="22"/>
        </w:numPr>
        <w:ind w:left="426" w:hanging="426"/>
        <w:rPr>
          <w:rFonts w:cs="Arial"/>
        </w:rPr>
      </w:pPr>
      <w:r w:rsidRPr="00F464E5">
        <w:rPr>
          <w:rFonts w:cs="Arial"/>
        </w:rPr>
        <w:t>diversity – a diverse workforce, that includes unpaid carers, means a diverse set of skills, expertise, different ways of thinking, which contributes to greater innovation and productivity</w:t>
      </w:r>
      <w:r>
        <w:rPr>
          <w:rFonts w:cs="Arial"/>
        </w:rPr>
        <w:t>.</w:t>
      </w:r>
    </w:p>
    <w:p w14:paraId="5CB0D1DC" w14:textId="094A14F9"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Options </w:t>
      </w:r>
      <w:r w:rsidR="00A10FD1">
        <w:rPr>
          <w:rFonts w:ascii="Arial" w:hAnsi="Arial" w:cs="Arial"/>
          <w:sz w:val="24"/>
          <w:szCs w:val="24"/>
        </w:rPr>
        <w:t xml:space="preserve">for </w:t>
      </w:r>
      <w:r w:rsidRPr="00FD6139">
        <w:rPr>
          <w:rFonts w:ascii="Arial" w:hAnsi="Arial" w:cs="Arial"/>
          <w:sz w:val="24"/>
          <w:szCs w:val="24"/>
        </w:rPr>
        <w:t>reform were presented by the Commission in the abovementioned reports, and include a range of areas such as better legislative protection (</w:t>
      </w:r>
      <w:r w:rsidR="00F207E5">
        <w:rPr>
          <w:rFonts w:ascii="Arial" w:hAnsi="Arial" w:cs="Arial"/>
          <w:sz w:val="24"/>
          <w:szCs w:val="24"/>
        </w:rPr>
        <w:t xml:space="preserve">eg </w:t>
      </w:r>
      <w:r w:rsidRPr="00FD6139">
        <w:rPr>
          <w:rFonts w:ascii="Arial" w:hAnsi="Arial" w:cs="Arial"/>
          <w:sz w:val="24"/>
          <w:szCs w:val="24"/>
        </w:rPr>
        <w:t>regarding</w:t>
      </w:r>
      <w:r w:rsidR="00124E9F">
        <w:rPr>
          <w:rFonts w:ascii="Arial" w:hAnsi="Arial" w:cs="Arial"/>
          <w:sz w:val="24"/>
          <w:szCs w:val="24"/>
        </w:rPr>
        <w:t xml:space="preserve"> Paid Parental Leave</w:t>
      </w:r>
      <w:r w:rsidRPr="00FD6139">
        <w:rPr>
          <w:rFonts w:ascii="Arial" w:hAnsi="Arial" w:cs="Arial"/>
          <w:sz w:val="24"/>
          <w:szCs w:val="24"/>
        </w:rPr>
        <w:t>)</w:t>
      </w:r>
      <w:r w:rsidR="00A10FD1">
        <w:rPr>
          <w:rFonts w:ascii="Arial" w:hAnsi="Arial" w:cs="Arial"/>
          <w:sz w:val="24"/>
          <w:szCs w:val="24"/>
        </w:rPr>
        <w:t>,</w:t>
      </w:r>
      <w:r w:rsidRPr="00FD6139">
        <w:rPr>
          <w:rFonts w:ascii="Arial" w:hAnsi="Arial" w:cs="Arial"/>
          <w:sz w:val="24"/>
          <w:szCs w:val="24"/>
        </w:rPr>
        <w:t xml:space="preserve"> flexible work arrangements, leave arrangements, income support, services, early childhood education and care, workplace mechanisms, and community education. </w:t>
      </w:r>
    </w:p>
    <w:p w14:paraId="066FBC38" w14:textId="4E8EEE3F"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These options merit review and further consideration, taking into accou</w:t>
      </w:r>
      <w:r w:rsidR="00FD6139">
        <w:rPr>
          <w:rFonts w:ascii="Arial" w:hAnsi="Arial" w:cs="Arial"/>
          <w:sz w:val="24"/>
          <w:szCs w:val="24"/>
        </w:rPr>
        <w:t>nt the findings of this inquiry.</w:t>
      </w:r>
    </w:p>
    <w:tbl>
      <w:tblPr>
        <w:tblStyle w:val="TableGrid"/>
        <w:tblW w:w="0" w:type="auto"/>
        <w:tblLook w:val="04A0" w:firstRow="1" w:lastRow="0" w:firstColumn="1" w:lastColumn="0" w:noHBand="0" w:noVBand="1"/>
      </w:tblPr>
      <w:tblGrid>
        <w:gridCol w:w="9629"/>
      </w:tblGrid>
      <w:tr w:rsidR="00553014" w14:paraId="3E48940A" w14:textId="77777777" w:rsidTr="00217432">
        <w:tc>
          <w:tcPr>
            <w:tcW w:w="9629" w:type="dxa"/>
            <w:shd w:val="clear" w:color="auto" w:fill="E7E6E6" w:themeFill="background2"/>
          </w:tcPr>
          <w:p w14:paraId="079454EA" w14:textId="77777777" w:rsidR="00553014" w:rsidRPr="00C50BC9" w:rsidRDefault="00553014" w:rsidP="00C134A7">
            <w:pPr>
              <w:pStyle w:val="Sub2"/>
            </w:pPr>
            <w:bookmarkStart w:id="24" w:name="_Toc476597982"/>
            <w:r w:rsidRPr="00C50BC9">
              <w:lastRenderedPageBreak/>
              <w:t>Broader consequences of the status quo:</w:t>
            </w:r>
            <w:bookmarkEnd w:id="24"/>
          </w:p>
          <w:p w14:paraId="608A3AB2" w14:textId="77777777" w:rsidR="00553014" w:rsidRPr="0076229D" w:rsidRDefault="00553014" w:rsidP="00C134A7">
            <w:pPr>
              <w:keepNext/>
              <w:spacing w:before="120" w:after="120"/>
              <w:rPr>
                <w:rFonts w:cs="Arial"/>
              </w:rPr>
            </w:pPr>
            <w:r w:rsidRPr="0076229D">
              <w:rPr>
                <w:rFonts w:cs="Arial"/>
              </w:rPr>
              <w:t>In addition to the pay-gap created by gender segregation in workforces, it causes other significant economic and social impacts:</w:t>
            </w:r>
          </w:p>
          <w:p w14:paraId="77D2E659" w14:textId="193FB978" w:rsidR="00553014" w:rsidRPr="001C5E38" w:rsidRDefault="00553014" w:rsidP="00C134A7">
            <w:pPr>
              <w:pStyle w:val="ListParagraph"/>
              <w:keepNext/>
              <w:numPr>
                <w:ilvl w:val="0"/>
                <w:numId w:val="23"/>
              </w:numPr>
              <w:spacing w:before="120" w:after="120"/>
              <w:ind w:left="309" w:hanging="284"/>
              <w:rPr>
                <w:rFonts w:ascii="Arial" w:hAnsi="Arial" w:cs="Arial"/>
                <w:sz w:val="24"/>
                <w:szCs w:val="24"/>
              </w:rPr>
            </w:pPr>
            <w:r w:rsidRPr="00770B1F">
              <w:rPr>
                <w:rFonts w:ascii="Arial" w:hAnsi="Arial" w:cs="Arial"/>
                <w:sz w:val="24"/>
                <w:szCs w:val="24"/>
              </w:rPr>
              <w:t xml:space="preserve">Female-dominated industries often create or perpetuate vulnerability of female workers, and are prone to intersectional disadvantage </w:t>
            </w:r>
            <w:r>
              <w:rPr>
                <w:rFonts w:ascii="Arial" w:hAnsi="Arial" w:cs="Arial"/>
                <w:sz w:val="24"/>
                <w:szCs w:val="24"/>
              </w:rPr>
              <w:t>and sexualisation.</w:t>
            </w:r>
          </w:p>
          <w:p w14:paraId="70DBE0B6" w14:textId="77777777" w:rsidR="00553014" w:rsidRPr="000C66E4" w:rsidRDefault="00553014" w:rsidP="00C134A7">
            <w:pPr>
              <w:pStyle w:val="ListParagraph"/>
              <w:keepNext/>
              <w:numPr>
                <w:ilvl w:val="0"/>
                <w:numId w:val="23"/>
              </w:numPr>
              <w:spacing w:before="120" w:after="120"/>
              <w:ind w:left="309" w:hanging="284"/>
              <w:rPr>
                <w:rFonts w:ascii="Arial" w:hAnsi="Arial" w:cs="Arial"/>
                <w:sz w:val="24"/>
                <w:szCs w:val="24"/>
              </w:rPr>
            </w:pPr>
            <w:r w:rsidRPr="000C66E4">
              <w:rPr>
                <w:rFonts w:ascii="Arial" w:hAnsi="Arial" w:cs="Arial"/>
                <w:sz w:val="24"/>
                <w:szCs w:val="24"/>
              </w:rPr>
              <w:t>Industries with male-dominated management and executive leadership can be prone to sexual harassment and sex discrimination.</w:t>
            </w:r>
          </w:p>
        </w:tc>
      </w:tr>
    </w:tbl>
    <w:p w14:paraId="01640918" w14:textId="77777777" w:rsidR="00553014" w:rsidRDefault="00553014" w:rsidP="00C134A7">
      <w:pPr>
        <w:keepNext/>
        <w:spacing w:before="0" w:after="0"/>
        <w:rPr>
          <w:rFonts w:cs="Arial"/>
          <w:b/>
        </w:rPr>
      </w:pPr>
    </w:p>
    <w:tbl>
      <w:tblPr>
        <w:tblStyle w:val="TableGrid"/>
        <w:tblW w:w="0" w:type="auto"/>
        <w:tblLook w:val="04A0" w:firstRow="1" w:lastRow="0" w:firstColumn="1" w:lastColumn="0" w:noHBand="0" w:noVBand="1"/>
      </w:tblPr>
      <w:tblGrid>
        <w:gridCol w:w="9771"/>
      </w:tblGrid>
      <w:tr w:rsidR="00553014" w14:paraId="06A8839F" w14:textId="77777777" w:rsidTr="00217432">
        <w:tc>
          <w:tcPr>
            <w:tcW w:w="9771" w:type="dxa"/>
          </w:tcPr>
          <w:p w14:paraId="75BD9FCD" w14:textId="77777777" w:rsidR="00553014" w:rsidRPr="00CD3FB7" w:rsidRDefault="00553014" w:rsidP="00C134A7">
            <w:pPr>
              <w:pStyle w:val="Sub3"/>
              <w:keepNext/>
            </w:pPr>
            <w:bookmarkStart w:id="25" w:name="_Toc476597983"/>
            <w:r w:rsidRPr="00CD3FB7">
              <w:t>Vulnerability of women in female-dominated industries</w:t>
            </w:r>
            <w:bookmarkEnd w:id="25"/>
          </w:p>
        </w:tc>
      </w:tr>
    </w:tbl>
    <w:p w14:paraId="250B542A" w14:textId="241E1FEA" w:rsidR="00FE3693" w:rsidRDefault="00FE3693" w:rsidP="00C134A7">
      <w:pPr>
        <w:pStyle w:val="sub4"/>
        <w:keepNext/>
      </w:pPr>
      <w:bookmarkStart w:id="26" w:name="_Toc476597984"/>
      <w:r>
        <w:t>Statistics on female-dominated work</w:t>
      </w:r>
      <w:bookmarkEnd w:id="26"/>
    </w:p>
    <w:p w14:paraId="09CE2B6E" w14:textId="2BC6616A"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When employed, women are far more likely to work in part-time or casual roles than men. Within the Workplace Gender Equality Agency’s 2015-16 dataset, </w:t>
      </w:r>
      <w:r w:rsidR="0054365F">
        <w:rPr>
          <w:rFonts w:ascii="Arial" w:hAnsi="Arial" w:cs="Arial"/>
          <w:sz w:val="24"/>
          <w:szCs w:val="24"/>
        </w:rPr>
        <w:t xml:space="preserve">around </w:t>
      </w:r>
      <w:r w:rsidRPr="00FD6139">
        <w:rPr>
          <w:rFonts w:ascii="Arial" w:hAnsi="Arial" w:cs="Arial"/>
          <w:sz w:val="24"/>
          <w:szCs w:val="24"/>
        </w:rPr>
        <w:t>60% of women were in part-time or casual roles compared with 30% of men.</w:t>
      </w:r>
    </w:p>
    <w:p w14:paraId="4564C512"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Compounding this, part-time workers earn less and their income decreases comparatively over time, as their career progresses slowly, if at all, especially given likely breaks and caring commitments.</w:t>
      </w:r>
      <w:r w:rsidRPr="00952C58">
        <w:rPr>
          <w:rStyle w:val="EndnoteReference"/>
        </w:rPr>
        <w:endnoteReference w:id="41"/>
      </w:r>
      <w:r w:rsidRPr="00952C58">
        <w:rPr>
          <w:rStyle w:val="EndnoteReference"/>
        </w:rPr>
        <w:t xml:space="preserve"> </w:t>
      </w:r>
    </w:p>
    <w:p w14:paraId="45E92086"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As women are more commonly engaged in part-time work or take time off for carer commitments, this affects their earnings disproportionately when compared with men. </w:t>
      </w:r>
    </w:p>
    <w:p w14:paraId="1B919E7B"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There are also lower levels of regulatory protections for casual and fixed term employees, such as lack of access to guaranteed hours of work and paid leave, and lower job security generally.</w:t>
      </w:r>
      <w:r w:rsidRPr="00952C58">
        <w:rPr>
          <w:rStyle w:val="EndnoteReference"/>
        </w:rPr>
        <w:endnoteReference w:id="42"/>
      </w:r>
      <w:r w:rsidRPr="00952C58">
        <w:rPr>
          <w:rStyle w:val="EndnoteReference"/>
        </w:rPr>
        <w:t xml:space="preserve"> </w:t>
      </w:r>
    </w:p>
    <w:p w14:paraId="3C799A71" w14:textId="6B981F97" w:rsidR="00553014"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outcomes for women in insecure work include financial insecurity, difficulty planning and saving for the future, and stress (including in the management of working time and family commitments).</w:t>
      </w:r>
      <w:r w:rsidRPr="00952C58">
        <w:rPr>
          <w:rStyle w:val="EndnoteReference"/>
        </w:rPr>
        <w:endnoteReference w:id="43"/>
      </w:r>
      <w:r w:rsidRPr="00952C58">
        <w:rPr>
          <w:rStyle w:val="EndnoteReference"/>
        </w:rPr>
        <w:t xml:space="preserve"> </w:t>
      </w:r>
      <w:r w:rsidRPr="00FD6139">
        <w:rPr>
          <w:rFonts w:ascii="Arial" w:hAnsi="Arial" w:cs="Arial"/>
          <w:sz w:val="24"/>
          <w:szCs w:val="24"/>
        </w:rPr>
        <w:t>The higher propo</w:t>
      </w:r>
      <w:r w:rsidR="0054365F">
        <w:rPr>
          <w:rFonts w:ascii="Arial" w:hAnsi="Arial" w:cs="Arial"/>
          <w:sz w:val="24"/>
          <w:szCs w:val="24"/>
        </w:rPr>
        <w:t>rtion of women engaged in part-time</w:t>
      </w:r>
      <w:r w:rsidRPr="00FD6139">
        <w:rPr>
          <w:rFonts w:ascii="Arial" w:hAnsi="Arial" w:cs="Arial"/>
          <w:sz w:val="24"/>
          <w:szCs w:val="24"/>
        </w:rPr>
        <w:t xml:space="preserve"> employment thus places them at higher risk of financial insecurity.  </w:t>
      </w:r>
    </w:p>
    <w:p w14:paraId="311E5120" w14:textId="50A86C0B" w:rsidR="006544F8" w:rsidRPr="006544F8" w:rsidRDefault="006544F8" w:rsidP="00EA74F2">
      <w:pPr>
        <w:pStyle w:val="sub4"/>
        <w:keepNext/>
      </w:pPr>
      <w:bookmarkStart w:id="27" w:name="_Toc476597985"/>
      <w:r w:rsidRPr="00FD6139">
        <w:t>Findings from the Sex Discrimination Commissioner’s 2016 consultations</w:t>
      </w:r>
      <w:bookmarkEnd w:id="27"/>
    </w:p>
    <w:p w14:paraId="2026BF03"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One of the recurring themes in the SDC consultations was concern about women often being limited to insecure work. </w:t>
      </w:r>
    </w:p>
    <w:p w14:paraId="097AA764"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Women in casual employment reported receiving unreasonable demands from their employers, and needing to trade-off decent work for poor quality jobs in order to accommodate their family responsibilities. For many women, casual employment also offered fewer opportunities for career development, progression and leadership.  </w:t>
      </w:r>
    </w:p>
    <w:p w14:paraId="28423D35" w14:textId="3BF37E9F"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SDC consultations heard that the increasing casualisation of the care and social assistance industries, low wages, and poor working conditions, contributes to women’s economic inequality. This is particularly prevalent for young women, Indigenous women,</w:t>
      </w:r>
      <w:r w:rsidR="004F7018">
        <w:rPr>
          <w:rFonts w:ascii="Arial" w:hAnsi="Arial" w:cs="Arial"/>
          <w:sz w:val="24"/>
          <w:szCs w:val="24"/>
        </w:rPr>
        <w:t xml:space="preserve"> women with disability</w:t>
      </w:r>
      <w:r w:rsidRPr="00FD6139">
        <w:rPr>
          <w:rFonts w:ascii="Arial" w:hAnsi="Arial" w:cs="Arial"/>
          <w:sz w:val="24"/>
          <w:szCs w:val="24"/>
        </w:rPr>
        <w:t xml:space="preserve"> and migrant and refugee women.  </w:t>
      </w:r>
    </w:p>
    <w:p w14:paraId="0B66C9F1" w14:textId="7F5543E8"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lastRenderedPageBreak/>
        <w:t>Women from culturally and linguistically diverse backgrounds often “put up with” poor conditions or insecure work in order to maintain some form of employment, and have limited information about their rights. Very few report or seek remedy for loss of pay, poor working conditions, loss of employment or sexual harassment and assault.</w:t>
      </w:r>
      <w:r w:rsidR="009467FE">
        <w:rPr>
          <w:rFonts w:ascii="Arial" w:hAnsi="Arial" w:cs="Arial"/>
          <w:sz w:val="24"/>
          <w:szCs w:val="24"/>
        </w:rPr>
        <w:t xml:space="preserve"> Women with disability frequently exp</w:t>
      </w:r>
      <w:r w:rsidR="009B36E6">
        <w:rPr>
          <w:rFonts w:ascii="Arial" w:hAnsi="Arial" w:cs="Arial"/>
          <w:sz w:val="24"/>
          <w:szCs w:val="24"/>
        </w:rPr>
        <w:t xml:space="preserve">erience the same barriers and disadvantage when seeking employment and </w:t>
      </w:r>
      <w:r w:rsidR="00925616">
        <w:rPr>
          <w:rFonts w:ascii="Arial" w:hAnsi="Arial" w:cs="Arial"/>
          <w:sz w:val="24"/>
          <w:szCs w:val="24"/>
        </w:rPr>
        <w:t>equal rights when employed.</w:t>
      </w:r>
    </w:p>
    <w:p w14:paraId="072804E2" w14:textId="3A7E39D7" w:rsidR="00553014" w:rsidRDefault="0054365F" w:rsidP="00235A4B">
      <w:pPr>
        <w:pStyle w:val="ListParagraph"/>
        <w:numPr>
          <w:ilvl w:val="0"/>
          <w:numId w:val="25"/>
        </w:numPr>
        <w:spacing w:before="240" w:after="240" w:line="240" w:lineRule="auto"/>
        <w:ind w:left="0" w:firstLine="0"/>
        <w:contextualSpacing w:val="0"/>
        <w:rPr>
          <w:rFonts w:ascii="Arial" w:hAnsi="Arial" w:cs="Arial"/>
          <w:sz w:val="24"/>
          <w:szCs w:val="24"/>
        </w:rPr>
      </w:pPr>
      <w:r>
        <w:rPr>
          <w:rFonts w:ascii="Arial" w:hAnsi="Arial" w:cs="Arial"/>
          <w:sz w:val="24"/>
          <w:szCs w:val="24"/>
        </w:rPr>
        <w:t xml:space="preserve">Women in these insecure jobs </w:t>
      </w:r>
      <w:r w:rsidR="00AA3F81">
        <w:rPr>
          <w:rFonts w:ascii="Arial" w:hAnsi="Arial" w:cs="Arial"/>
          <w:sz w:val="24"/>
          <w:szCs w:val="24"/>
        </w:rPr>
        <w:t>d</w:t>
      </w:r>
      <w:r>
        <w:rPr>
          <w:rFonts w:ascii="Arial" w:hAnsi="Arial" w:cs="Arial"/>
          <w:sz w:val="24"/>
          <w:szCs w:val="24"/>
        </w:rPr>
        <w:t>o not have the protections typical of full-</w:t>
      </w:r>
      <w:r w:rsidR="00D95AD0">
        <w:rPr>
          <w:rFonts w:ascii="Arial" w:hAnsi="Arial" w:cs="Arial"/>
          <w:sz w:val="24"/>
          <w:szCs w:val="24"/>
        </w:rPr>
        <w:t>time</w:t>
      </w:r>
      <w:r>
        <w:rPr>
          <w:rFonts w:ascii="Arial" w:hAnsi="Arial" w:cs="Arial"/>
          <w:sz w:val="24"/>
          <w:szCs w:val="24"/>
        </w:rPr>
        <w:t xml:space="preserve"> jobs, such as under </w:t>
      </w:r>
      <w:r w:rsidR="00553014" w:rsidRPr="00FD6139">
        <w:rPr>
          <w:rFonts w:ascii="Arial" w:hAnsi="Arial" w:cs="Arial"/>
          <w:sz w:val="24"/>
          <w:szCs w:val="24"/>
        </w:rPr>
        <w:t>Enterprise Bargaining Agreements</w:t>
      </w:r>
      <w:r>
        <w:rPr>
          <w:rFonts w:ascii="Arial" w:hAnsi="Arial" w:cs="Arial"/>
          <w:sz w:val="24"/>
          <w:szCs w:val="24"/>
        </w:rPr>
        <w:t xml:space="preserve">. </w:t>
      </w:r>
      <w:r w:rsidR="00553014" w:rsidRPr="00FD6139">
        <w:rPr>
          <w:rFonts w:ascii="Arial" w:hAnsi="Arial" w:cs="Arial"/>
          <w:sz w:val="24"/>
          <w:szCs w:val="24"/>
        </w:rPr>
        <w:t xml:space="preserve">This further </w:t>
      </w:r>
      <w:r w:rsidR="004F7018">
        <w:rPr>
          <w:rFonts w:ascii="Arial" w:hAnsi="Arial" w:cs="Arial"/>
          <w:sz w:val="24"/>
          <w:szCs w:val="24"/>
        </w:rPr>
        <w:t>marginalises</w:t>
      </w:r>
      <w:r w:rsidR="00553014" w:rsidRPr="00FD6139">
        <w:rPr>
          <w:rFonts w:ascii="Arial" w:hAnsi="Arial" w:cs="Arial"/>
          <w:sz w:val="24"/>
          <w:szCs w:val="24"/>
        </w:rPr>
        <w:t xml:space="preserve"> women in insecure work. Many of these workers are completely unprotected as they are invisible to mainstream work, employed for “cash-in-hand” as cleaners or carers. </w:t>
      </w:r>
    </w:p>
    <w:p w14:paraId="32FD3FFD" w14:textId="63EEF695" w:rsidR="006823E2" w:rsidRPr="006823E2" w:rsidRDefault="006823E2" w:rsidP="006823E2">
      <w:pPr>
        <w:pStyle w:val="sub4"/>
      </w:pPr>
      <w:bookmarkStart w:id="28" w:name="_Toc476597986"/>
      <w:r>
        <w:t>Other research</w:t>
      </w:r>
      <w:bookmarkEnd w:id="28"/>
    </w:p>
    <w:p w14:paraId="769F38F8" w14:textId="1BB2B1E3" w:rsidR="00553014" w:rsidRPr="00524DEF" w:rsidRDefault="00553014" w:rsidP="00524DEF">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A roundtable on vulnerable workers and gender equality in late 2016</w:t>
      </w:r>
      <w:r w:rsidR="00524DEF">
        <w:rPr>
          <w:rFonts w:ascii="Arial" w:hAnsi="Arial" w:cs="Arial"/>
          <w:sz w:val="24"/>
          <w:szCs w:val="24"/>
        </w:rPr>
        <w:t>, which</w:t>
      </w:r>
      <w:r w:rsidRPr="00FD6139">
        <w:rPr>
          <w:rFonts w:ascii="Arial" w:hAnsi="Arial" w:cs="Arial"/>
          <w:sz w:val="24"/>
          <w:szCs w:val="24"/>
        </w:rPr>
        <w:t xml:space="preserve"> exami</w:t>
      </w:r>
      <w:r w:rsidR="00524DEF">
        <w:rPr>
          <w:rFonts w:ascii="Arial" w:hAnsi="Arial" w:cs="Arial"/>
          <w:sz w:val="24"/>
          <w:szCs w:val="24"/>
        </w:rPr>
        <w:t xml:space="preserve">ned these issues in detail, </w:t>
      </w:r>
      <w:r w:rsidRPr="00524DEF">
        <w:rPr>
          <w:rFonts w:ascii="Arial" w:hAnsi="Arial" w:cs="Arial"/>
          <w:sz w:val="24"/>
          <w:szCs w:val="24"/>
        </w:rPr>
        <w:t>n</w:t>
      </w:r>
      <w:r w:rsidR="00524DEF">
        <w:rPr>
          <w:rFonts w:ascii="Arial" w:hAnsi="Arial" w:cs="Arial"/>
          <w:sz w:val="24"/>
          <w:szCs w:val="24"/>
        </w:rPr>
        <w:t xml:space="preserve">oted that there are </w:t>
      </w:r>
      <w:r w:rsidRPr="00524DEF">
        <w:rPr>
          <w:rFonts w:ascii="Arial" w:hAnsi="Arial" w:cs="Arial"/>
          <w:sz w:val="24"/>
          <w:szCs w:val="24"/>
        </w:rPr>
        <w:t>female-dominated</w:t>
      </w:r>
      <w:r w:rsidR="00524DEF">
        <w:rPr>
          <w:rFonts w:ascii="Arial" w:hAnsi="Arial" w:cs="Arial"/>
          <w:sz w:val="24"/>
          <w:szCs w:val="24"/>
        </w:rPr>
        <w:t xml:space="preserve"> i</w:t>
      </w:r>
      <w:r w:rsidR="00524DEF" w:rsidRPr="00524DEF">
        <w:rPr>
          <w:rFonts w:ascii="Arial" w:hAnsi="Arial" w:cs="Arial"/>
          <w:sz w:val="24"/>
          <w:szCs w:val="24"/>
        </w:rPr>
        <w:t>ndustries</w:t>
      </w:r>
      <w:r w:rsidRPr="00524DEF">
        <w:rPr>
          <w:rFonts w:ascii="Arial" w:hAnsi="Arial" w:cs="Arial"/>
          <w:sz w:val="24"/>
          <w:szCs w:val="24"/>
        </w:rPr>
        <w:t xml:space="preserve"> which are known for having vulnerable female workers: particularly hospitality (cleaners, bar and wait staff, hotel staff) and the aged care/child care sectors.</w:t>
      </w:r>
      <w:r w:rsidR="00524DEF" w:rsidRPr="00952C58">
        <w:rPr>
          <w:rStyle w:val="EndnoteReference"/>
        </w:rPr>
        <w:endnoteReference w:id="44"/>
      </w:r>
    </w:p>
    <w:p w14:paraId="4115B072" w14:textId="5A79A64C"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roundtable also noted that vulnerable fem</w:t>
      </w:r>
      <w:r w:rsidR="00FD6139">
        <w:rPr>
          <w:rFonts w:ascii="Arial" w:hAnsi="Arial" w:cs="Arial"/>
          <w:sz w:val="24"/>
          <w:szCs w:val="24"/>
        </w:rPr>
        <w:t>ale workers are increasingly in</w:t>
      </w:r>
      <w:r w:rsidRPr="00FD6139">
        <w:rPr>
          <w:rFonts w:ascii="Arial" w:hAnsi="Arial" w:cs="Arial"/>
          <w:sz w:val="24"/>
          <w:szCs w:val="24"/>
        </w:rPr>
        <w:t xml:space="preserve"> “invisible workplaces”, such as domestic cleaning and home care. These spaces are not regulated like a regular workplace. Women are required to</w:t>
      </w:r>
      <w:r w:rsidR="00E44678">
        <w:rPr>
          <w:rFonts w:ascii="Arial" w:hAnsi="Arial" w:cs="Arial"/>
          <w:sz w:val="24"/>
          <w:szCs w:val="24"/>
        </w:rPr>
        <w:t xml:space="preserve"> work under service contracts and to </w:t>
      </w:r>
      <w:r w:rsidRPr="00FD6139">
        <w:rPr>
          <w:rFonts w:ascii="Arial" w:hAnsi="Arial" w:cs="Arial"/>
          <w:sz w:val="24"/>
          <w:szCs w:val="24"/>
        </w:rPr>
        <w:t xml:space="preserve">forgo workers compensation, award protection and other legal rights. </w:t>
      </w:r>
    </w:p>
    <w:p w14:paraId="548CC518" w14:textId="181C5E78"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Women workers </w:t>
      </w:r>
      <w:r w:rsidR="00AA3F81">
        <w:rPr>
          <w:rFonts w:ascii="Arial" w:hAnsi="Arial" w:cs="Arial"/>
          <w:sz w:val="24"/>
          <w:szCs w:val="24"/>
        </w:rPr>
        <w:t xml:space="preserve">are </w:t>
      </w:r>
      <w:r w:rsidRPr="00FD6139">
        <w:rPr>
          <w:rFonts w:ascii="Arial" w:hAnsi="Arial" w:cs="Arial"/>
          <w:sz w:val="24"/>
          <w:szCs w:val="24"/>
        </w:rPr>
        <w:t>often unable to report issues of sexual harassment and assault because of fear they will lose their job, or it will affect their visa or immigration status.</w:t>
      </w:r>
    </w:p>
    <w:p w14:paraId="2C2D548E" w14:textId="6093863D"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These assertions are supported by international research in this area. International Labour Organisation studies of the hotels, catering and tourism (HCT) sector have found that women facing multiple levels of disadvantage are particularly at risk in this regard. </w:t>
      </w:r>
    </w:p>
    <w:p w14:paraId="55D108A3" w14:textId="54C1E9CB" w:rsidR="00553014"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Unskilled or semi-skilled women reportedly tend to occupy the most vulnerable jobs in the HCT sector, where they are more likely to experience poor working conditions, inequality of opportunity and treatment, violence, exploitation, stress and sexual harassment.</w:t>
      </w:r>
      <w:r w:rsidRPr="00952C58">
        <w:rPr>
          <w:rStyle w:val="EndnoteReference"/>
        </w:rPr>
        <w:endnoteReference w:id="45"/>
      </w:r>
    </w:p>
    <w:p w14:paraId="67A5B559" w14:textId="37CB5FA5" w:rsidR="00E31B2C" w:rsidRDefault="00F0047D" w:rsidP="00F0047D">
      <w:pPr>
        <w:pStyle w:val="ListParagraph"/>
        <w:numPr>
          <w:ilvl w:val="0"/>
          <w:numId w:val="25"/>
        </w:numPr>
        <w:spacing w:before="240" w:after="240" w:line="240" w:lineRule="auto"/>
        <w:ind w:left="0" w:firstLine="0"/>
        <w:contextualSpacing w:val="0"/>
        <w:rPr>
          <w:rFonts w:ascii="Arial" w:hAnsi="Arial" w:cs="Arial"/>
          <w:sz w:val="24"/>
          <w:szCs w:val="24"/>
        </w:rPr>
      </w:pPr>
      <w:r>
        <w:rPr>
          <w:rFonts w:ascii="Arial" w:hAnsi="Arial" w:cs="Arial"/>
          <w:sz w:val="24"/>
          <w:szCs w:val="24"/>
        </w:rPr>
        <w:t>In particular, m</w:t>
      </w:r>
      <w:r w:rsidRPr="00A83BDB">
        <w:rPr>
          <w:rFonts w:ascii="Arial" w:hAnsi="Arial" w:cs="Arial"/>
          <w:sz w:val="24"/>
          <w:szCs w:val="24"/>
        </w:rPr>
        <w:t xml:space="preserve">igrant and refugee </w:t>
      </w:r>
      <w:r>
        <w:rPr>
          <w:rFonts w:ascii="Arial" w:hAnsi="Arial" w:cs="Arial"/>
          <w:sz w:val="24"/>
          <w:szCs w:val="24"/>
        </w:rPr>
        <w:t>women</w:t>
      </w:r>
      <w:r w:rsidR="009036DC">
        <w:rPr>
          <w:rFonts w:ascii="Arial" w:hAnsi="Arial" w:cs="Arial"/>
          <w:sz w:val="24"/>
          <w:szCs w:val="24"/>
        </w:rPr>
        <w:t>,</w:t>
      </w:r>
      <w:r w:rsidR="00E31B2C">
        <w:rPr>
          <w:rFonts w:ascii="Arial" w:hAnsi="Arial" w:cs="Arial"/>
          <w:sz w:val="24"/>
          <w:szCs w:val="24"/>
        </w:rPr>
        <w:t xml:space="preserve"> and women with disability</w:t>
      </w:r>
      <w:r w:rsidR="00ED0B9A">
        <w:rPr>
          <w:rFonts w:ascii="Arial" w:hAnsi="Arial" w:cs="Arial"/>
          <w:sz w:val="24"/>
          <w:szCs w:val="24"/>
        </w:rPr>
        <w:t>,</w:t>
      </w:r>
      <w:r w:rsidRPr="00A83BDB">
        <w:rPr>
          <w:rFonts w:ascii="Arial" w:hAnsi="Arial" w:cs="Arial"/>
          <w:sz w:val="24"/>
          <w:szCs w:val="24"/>
        </w:rPr>
        <w:t xml:space="preserve"> face many barriers</w:t>
      </w:r>
      <w:r>
        <w:rPr>
          <w:rFonts w:ascii="Arial" w:hAnsi="Arial" w:cs="Arial"/>
          <w:sz w:val="24"/>
          <w:szCs w:val="24"/>
        </w:rPr>
        <w:t xml:space="preserve"> to equal employment rights</w:t>
      </w:r>
      <w:r w:rsidRPr="00A83BDB">
        <w:rPr>
          <w:rFonts w:ascii="Arial" w:hAnsi="Arial" w:cs="Arial"/>
          <w:sz w:val="24"/>
          <w:szCs w:val="24"/>
        </w:rPr>
        <w:t xml:space="preserve">, first in finding employment, and then </w:t>
      </w:r>
      <w:r>
        <w:rPr>
          <w:rFonts w:ascii="Arial" w:hAnsi="Arial" w:cs="Arial"/>
          <w:sz w:val="24"/>
          <w:szCs w:val="24"/>
        </w:rPr>
        <w:t xml:space="preserve">being </w:t>
      </w:r>
      <w:r w:rsidRPr="00A83BDB">
        <w:rPr>
          <w:rFonts w:ascii="Arial" w:hAnsi="Arial" w:cs="Arial"/>
          <w:sz w:val="24"/>
          <w:szCs w:val="24"/>
        </w:rPr>
        <w:t xml:space="preserve">prone to exploitation, while not aware of their rights, or how to access help or enforce the law. </w:t>
      </w:r>
    </w:p>
    <w:p w14:paraId="60A60976" w14:textId="5B2B17AF" w:rsidR="00F0047D" w:rsidRDefault="00F0047D" w:rsidP="00F0047D">
      <w:pPr>
        <w:pStyle w:val="ListParagraph"/>
        <w:numPr>
          <w:ilvl w:val="0"/>
          <w:numId w:val="25"/>
        </w:numPr>
        <w:spacing w:before="240" w:after="240" w:line="240" w:lineRule="auto"/>
        <w:ind w:left="0" w:firstLine="0"/>
        <w:contextualSpacing w:val="0"/>
        <w:rPr>
          <w:rFonts w:ascii="Arial" w:hAnsi="Arial" w:cs="Arial"/>
          <w:sz w:val="24"/>
          <w:szCs w:val="24"/>
        </w:rPr>
      </w:pPr>
      <w:r w:rsidRPr="00A83BDB">
        <w:rPr>
          <w:rFonts w:ascii="Arial" w:hAnsi="Arial" w:cs="Arial"/>
          <w:sz w:val="24"/>
          <w:szCs w:val="24"/>
        </w:rPr>
        <w:t>Migrant women often take cleaning work where they frequently experience underpayment or non-payment of wages, workplace injury, bullying and discrimination.</w:t>
      </w:r>
      <w:r w:rsidRPr="00260CEB">
        <w:rPr>
          <w:rStyle w:val="EndnoteReference"/>
          <w:rFonts w:cs="Arial"/>
          <w:szCs w:val="24"/>
        </w:rPr>
        <w:endnoteReference w:id="46"/>
      </w:r>
    </w:p>
    <w:p w14:paraId="562A4A5F" w14:textId="6E81F414" w:rsidR="00FF7DEE" w:rsidRPr="00730BE6" w:rsidRDefault="004E1539" w:rsidP="00224C02">
      <w:pPr>
        <w:pStyle w:val="ListParagraph"/>
        <w:numPr>
          <w:ilvl w:val="0"/>
          <w:numId w:val="25"/>
        </w:numPr>
        <w:spacing w:before="240" w:after="240" w:line="240" w:lineRule="auto"/>
        <w:ind w:left="0" w:firstLine="0"/>
        <w:contextualSpacing w:val="0"/>
        <w:rPr>
          <w:rFonts w:ascii="Arial" w:hAnsi="Arial" w:cs="Arial"/>
          <w:sz w:val="24"/>
          <w:szCs w:val="24"/>
        </w:rPr>
      </w:pPr>
      <w:r>
        <w:rPr>
          <w:rFonts w:ascii="Arial" w:hAnsi="Arial" w:cs="Arial"/>
          <w:sz w:val="24"/>
          <w:szCs w:val="24"/>
        </w:rPr>
        <w:t>Women with disability face similar</w:t>
      </w:r>
      <w:r w:rsidR="00E5476E">
        <w:rPr>
          <w:rFonts w:ascii="Arial" w:hAnsi="Arial" w:cs="Arial"/>
          <w:sz w:val="24"/>
          <w:szCs w:val="24"/>
        </w:rPr>
        <w:t xml:space="preserve"> disadvantage,</w:t>
      </w:r>
      <w:r w:rsidR="00140792">
        <w:rPr>
          <w:rFonts w:ascii="Arial" w:hAnsi="Arial" w:cs="Arial"/>
          <w:sz w:val="24"/>
          <w:szCs w:val="24"/>
        </w:rPr>
        <w:t xml:space="preserve"> and</w:t>
      </w:r>
      <w:r w:rsidR="00E5476E">
        <w:rPr>
          <w:rFonts w:ascii="Arial" w:hAnsi="Arial" w:cs="Arial"/>
          <w:sz w:val="24"/>
          <w:szCs w:val="24"/>
        </w:rPr>
        <w:t xml:space="preserve"> often very pronounced limitations are place upon them by employers’ limited understanding about disability</w:t>
      </w:r>
      <w:r w:rsidR="00140792">
        <w:rPr>
          <w:rFonts w:ascii="Arial" w:hAnsi="Arial" w:cs="Arial"/>
          <w:sz w:val="24"/>
          <w:szCs w:val="24"/>
        </w:rPr>
        <w:t>. In</w:t>
      </w:r>
      <w:r w:rsidR="00ED0B9A">
        <w:rPr>
          <w:rFonts w:ascii="Arial" w:hAnsi="Arial" w:cs="Arial"/>
          <w:sz w:val="24"/>
          <w:szCs w:val="24"/>
        </w:rPr>
        <w:t xml:space="preserve"> addition,</w:t>
      </w:r>
      <w:r>
        <w:rPr>
          <w:rFonts w:ascii="Arial" w:hAnsi="Arial" w:cs="Arial"/>
          <w:sz w:val="24"/>
          <w:szCs w:val="24"/>
        </w:rPr>
        <w:t xml:space="preserve"> </w:t>
      </w:r>
      <w:r w:rsidR="001C0EF2">
        <w:rPr>
          <w:rFonts w:ascii="Arial" w:hAnsi="Arial" w:cs="Arial"/>
          <w:sz w:val="24"/>
          <w:szCs w:val="24"/>
        </w:rPr>
        <w:t>often</w:t>
      </w:r>
      <w:r w:rsidRPr="004E1539">
        <w:rPr>
          <w:rFonts w:ascii="Arial" w:hAnsi="Arial" w:cs="Arial"/>
          <w:sz w:val="24"/>
          <w:szCs w:val="24"/>
        </w:rPr>
        <w:t xml:space="preserve"> disability policies</w:t>
      </w:r>
      <w:r w:rsidR="00560372">
        <w:rPr>
          <w:rFonts w:ascii="Arial" w:hAnsi="Arial" w:cs="Arial"/>
          <w:sz w:val="24"/>
          <w:szCs w:val="24"/>
        </w:rPr>
        <w:t xml:space="preserve"> and programs</w:t>
      </w:r>
      <w:r w:rsidRPr="004E1539">
        <w:rPr>
          <w:rFonts w:ascii="Arial" w:hAnsi="Arial" w:cs="Arial"/>
          <w:sz w:val="24"/>
          <w:szCs w:val="24"/>
        </w:rPr>
        <w:t xml:space="preserve"> aimed to ensure employment of people with d</w:t>
      </w:r>
      <w:r w:rsidR="00D92309">
        <w:rPr>
          <w:rFonts w:ascii="Arial" w:hAnsi="Arial" w:cs="Arial"/>
          <w:sz w:val="24"/>
          <w:szCs w:val="24"/>
        </w:rPr>
        <w:t xml:space="preserve">isabilities do not address </w:t>
      </w:r>
      <w:r w:rsidRPr="004E1539">
        <w:rPr>
          <w:rFonts w:ascii="Arial" w:hAnsi="Arial" w:cs="Arial"/>
          <w:sz w:val="24"/>
          <w:szCs w:val="24"/>
        </w:rPr>
        <w:t>the specific employment barriers experienced by women wit</w:t>
      </w:r>
      <w:r w:rsidR="009A0C00">
        <w:rPr>
          <w:rFonts w:ascii="Arial" w:hAnsi="Arial" w:cs="Arial"/>
          <w:sz w:val="24"/>
          <w:szCs w:val="24"/>
        </w:rPr>
        <w:t xml:space="preserve">h disabilities, </w:t>
      </w:r>
      <w:r w:rsidR="00513B48">
        <w:rPr>
          <w:rFonts w:ascii="Arial" w:hAnsi="Arial" w:cs="Arial"/>
          <w:sz w:val="24"/>
          <w:szCs w:val="24"/>
        </w:rPr>
        <w:t>so that</w:t>
      </w:r>
      <w:r w:rsidR="006C321B">
        <w:rPr>
          <w:rFonts w:ascii="Arial" w:hAnsi="Arial" w:cs="Arial"/>
          <w:sz w:val="24"/>
          <w:szCs w:val="24"/>
        </w:rPr>
        <w:t xml:space="preserve"> ‘</w:t>
      </w:r>
      <w:r w:rsidR="00243608" w:rsidRPr="00243608">
        <w:rPr>
          <w:rFonts w:ascii="Arial" w:hAnsi="Arial" w:cs="Arial"/>
          <w:sz w:val="24"/>
          <w:szCs w:val="24"/>
        </w:rPr>
        <w:t>they often feel they have to put their disability first and their womanhood second.</w:t>
      </w:r>
      <w:r w:rsidR="00ED0B9A">
        <w:rPr>
          <w:rFonts w:ascii="Arial" w:hAnsi="Arial" w:cs="Arial"/>
          <w:sz w:val="24"/>
          <w:szCs w:val="24"/>
        </w:rPr>
        <w:t>’</w:t>
      </w:r>
      <w:r w:rsidR="00224C02">
        <w:rPr>
          <w:rStyle w:val="EndnoteReference"/>
          <w:rFonts w:cs="Arial"/>
          <w:szCs w:val="24"/>
        </w:rPr>
        <w:endnoteReference w:id="47"/>
      </w:r>
    </w:p>
    <w:p w14:paraId="2D1C72E5" w14:textId="1F30C16A" w:rsidR="00553014"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While these insecure industries are f</w:t>
      </w:r>
      <w:r w:rsidR="00566F17">
        <w:rPr>
          <w:rFonts w:ascii="Arial" w:hAnsi="Arial" w:cs="Arial"/>
          <w:sz w:val="24"/>
          <w:szCs w:val="24"/>
        </w:rPr>
        <w:t>emale-dominated overall</w:t>
      </w:r>
      <w:r w:rsidRPr="00FD6139">
        <w:rPr>
          <w:rFonts w:ascii="Arial" w:hAnsi="Arial" w:cs="Arial"/>
          <w:sz w:val="24"/>
          <w:szCs w:val="24"/>
        </w:rPr>
        <w:t xml:space="preserve">, they are often male-dominated at the management level, while women are disproportionately represented in lower-skilled and lower-paid areas of work. </w:t>
      </w:r>
    </w:p>
    <w:p w14:paraId="74DE67E7" w14:textId="430B9C9F"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lastRenderedPageBreak/>
        <w:t xml:space="preserve">The ILO studies show that, while women comprise comprise 55% of employees in the HTC sector globally, they are predominantly employed in ‘traditional’ areas of work carrying lesser responsibility, such as housekeeping, cleaning and some customer contact areas, and within informal and marginalised areas of work subject to disproportionate exploitation. There are </w:t>
      </w:r>
      <w:r w:rsidR="00CC16C2">
        <w:rPr>
          <w:rFonts w:ascii="Arial" w:hAnsi="Arial" w:cs="Arial"/>
          <w:sz w:val="24"/>
          <w:szCs w:val="24"/>
        </w:rPr>
        <w:t xml:space="preserve">few </w:t>
      </w:r>
      <w:r w:rsidR="00D95AD0">
        <w:rPr>
          <w:rFonts w:ascii="Arial" w:hAnsi="Arial" w:cs="Arial"/>
          <w:sz w:val="24"/>
          <w:szCs w:val="24"/>
        </w:rPr>
        <w:t>industries</w:t>
      </w:r>
      <w:r w:rsidR="00CC16C2">
        <w:rPr>
          <w:rFonts w:ascii="Arial" w:hAnsi="Arial" w:cs="Arial"/>
          <w:sz w:val="24"/>
          <w:szCs w:val="24"/>
        </w:rPr>
        <w:t xml:space="preserve"> where </w:t>
      </w:r>
      <w:r w:rsidRPr="00FD6139">
        <w:rPr>
          <w:rFonts w:ascii="Arial" w:hAnsi="Arial" w:cs="Arial"/>
          <w:sz w:val="24"/>
          <w:szCs w:val="24"/>
        </w:rPr>
        <w:t xml:space="preserve">women </w:t>
      </w:r>
      <w:r w:rsidR="00CC16C2">
        <w:rPr>
          <w:rFonts w:ascii="Arial" w:hAnsi="Arial" w:cs="Arial"/>
          <w:sz w:val="24"/>
          <w:szCs w:val="24"/>
        </w:rPr>
        <w:t xml:space="preserve">can </w:t>
      </w:r>
      <w:r w:rsidRPr="00FD6139">
        <w:rPr>
          <w:rFonts w:ascii="Arial" w:hAnsi="Arial" w:cs="Arial"/>
          <w:sz w:val="24"/>
          <w:szCs w:val="24"/>
        </w:rPr>
        <w:t>access senior technical and managerial roles.</w:t>
      </w:r>
    </w:p>
    <w:p w14:paraId="428C04C5" w14:textId="77777777" w:rsidR="00717582"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In addition, work in female-dominated industries can often be sexualised, with female workers expected to adopt stereotyped, sexualised roles in order to conform to the expectations of some customer market segments. </w:t>
      </w:r>
    </w:p>
    <w:p w14:paraId="5A08C12E" w14:textId="109FDB34"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A study conducted in the United Kingdom on travel agencies, tour operators and other tourism organisations found that men dominated managerial, financial and business development positions while women worked predominantly in personnel, retail and marketing. The companies studied used young, attractive women as marketing images for selling tourist destinations and services, as they represented gendered images of care, patience and hospitality.</w:t>
      </w:r>
    </w:p>
    <w:tbl>
      <w:tblPr>
        <w:tblStyle w:val="TableGrid"/>
        <w:tblW w:w="0" w:type="auto"/>
        <w:tblLook w:val="04A0" w:firstRow="1" w:lastRow="0" w:firstColumn="1" w:lastColumn="0" w:noHBand="0" w:noVBand="1"/>
      </w:tblPr>
      <w:tblGrid>
        <w:gridCol w:w="9771"/>
      </w:tblGrid>
      <w:tr w:rsidR="00553014" w14:paraId="088D82FD" w14:textId="77777777" w:rsidTr="00217432">
        <w:tc>
          <w:tcPr>
            <w:tcW w:w="9771" w:type="dxa"/>
          </w:tcPr>
          <w:p w14:paraId="1CE7ED76" w14:textId="47DAE673" w:rsidR="00553014" w:rsidRPr="007556DB" w:rsidRDefault="00553014" w:rsidP="00217432">
            <w:pPr>
              <w:pStyle w:val="Sub3"/>
              <w:rPr>
                <w:b/>
                <w:color w:val="538135" w:themeColor="accent6" w:themeShade="BF"/>
              </w:rPr>
            </w:pPr>
            <w:bookmarkStart w:id="29" w:name="_Toc476597987"/>
            <w:r w:rsidRPr="007556DB">
              <w:t xml:space="preserve">Sexual harassment and sex discrimination in </w:t>
            </w:r>
            <w:r w:rsidR="00494A11">
              <w:t>gender segregated</w:t>
            </w:r>
            <w:r w:rsidRPr="007556DB">
              <w:t xml:space="preserve"> industries</w:t>
            </w:r>
            <w:bookmarkEnd w:id="29"/>
          </w:p>
        </w:tc>
      </w:tr>
    </w:tbl>
    <w:p w14:paraId="3533C5BD" w14:textId="277242FD" w:rsidR="00741006" w:rsidRDefault="00553014" w:rsidP="00741006">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Despite passionately pursuing careers in male dominated industries that they love, women </w:t>
      </w:r>
      <w:r w:rsidR="00717582">
        <w:rPr>
          <w:rFonts w:ascii="Arial" w:hAnsi="Arial" w:cs="Arial"/>
          <w:sz w:val="24"/>
          <w:szCs w:val="24"/>
        </w:rPr>
        <w:t>often</w:t>
      </w:r>
      <w:r w:rsidRPr="00FD6139">
        <w:rPr>
          <w:rFonts w:ascii="Arial" w:hAnsi="Arial" w:cs="Arial"/>
          <w:sz w:val="24"/>
          <w:szCs w:val="24"/>
        </w:rPr>
        <w:t xml:space="preserve"> experience isolation and discrimination. </w:t>
      </w:r>
      <w:r w:rsidRPr="00717582">
        <w:rPr>
          <w:rFonts w:ascii="Arial" w:hAnsi="Arial" w:cs="Arial"/>
          <w:sz w:val="24"/>
          <w:szCs w:val="24"/>
        </w:rPr>
        <w:t>In her first five years of work a woman has a one in four chance of experiencing sexual harassment and a one in three chance over her career.</w:t>
      </w:r>
      <w:r w:rsidRPr="00717582">
        <w:rPr>
          <w:rStyle w:val="EndnoteReference"/>
          <w:rFonts w:eastAsia="Calibri"/>
        </w:rPr>
        <w:t xml:space="preserve"> </w:t>
      </w:r>
      <w:r w:rsidR="00717582" w:rsidRPr="00717582">
        <w:rPr>
          <w:rFonts w:ascii="Arial" w:hAnsi="Arial" w:cs="Arial"/>
          <w:sz w:val="24"/>
          <w:szCs w:val="24"/>
        </w:rPr>
        <w:t>Women are un</w:t>
      </w:r>
      <w:r w:rsidRPr="00717582">
        <w:rPr>
          <w:rFonts w:ascii="Arial" w:hAnsi="Arial" w:cs="Arial"/>
          <w:sz w:val="24"/>
          <w:szCs w:val="24"/>
        </w:rPr>
        <w:t>likely to speak up or seek help when faced with sexual</w:t>
      </w:r>
      <w:r w:rsidR="00717582" w:rsidRPr="00717582">
        <w:rPr>
          <w:rFonts w:ascii="Arial" w:hAnsi="Arial" w:cs="Arial"/>
          <w:sz w:val="24"/>
          <w:szCs w:val="24"/>
        </w:rPr>
        <w:t xml:space="preserve"> harassment and discrimination.</w:t>
      </w:r>
      <w:r w:rsidR="00717582" w:rsidRPr="00952C58">
        <w:rPr>
          <w:rStyle w:val="EndnoteReference"/>
          <w:rFonts w:eastAsia="Calibri" w:cs="Arial"/>
        </w:rPr>
        <w:endnoteReference w:id="48"/>
      </w:r>
    </w:p>
    <w:p w14:paraId="0D46999A" w14:textId="76EA2559" w:rsidR="00741006" w:rsidRDefault="00741006" w:rsidP="00741006">
      <w:pPr>
        <w:pStyle w:val="sub4"/>
      </w:pPr>
      <w:bookmarkStart w:id="30" w:name="_Toc476597988"/>
      <w:r w:rsidRPr="00FD6139">
        <w:t>Findings from the Sex Discrimination Commissioner’s 2016 consultations</w:t>
      </w:r>
      <w:bookmarkEnd w:id="30"/>
    </w:p>
    <w:p w14:paraId="607B64A6" w14:textId="0573A358" w:rsidR="00553014" w:rsidRPr="00741006" w:rsidRDefault="0080616C" w:rsidP="00741006">
      <w:pPr>
        <w:pStyle w:val="ListParagraph"/>
        <w:numPr>
          <w:ilvl w:val="0"/>
          <w:numId w:val="25"/>
        </w:numPr>
        <w:spacing w:before="240" w:after="240" w:line="240" w:lineRule="auto"/>
        <w:ind w:left="0" w:firstLine="0"/>
        <w:contextualSpacing w:val="0"/>
        <w:rPr>
          <w:rFonts w:ascii="Arial" w:hAnsi="Arial" w:cs="Arial"/>
          <w:sz w:val="24"/>
          <w:szCs w:val="24"/>
        </w:rPr>
      </w:pPr>
      <w:r w:rsidRPr="00741006">
        <w:rPr>
          <w:rFonts w:ascii="Arial" w:hAnsi="Arial" w:cs="Arial"/>
          <w:sz w:val="24"/>
          <w:szCs w:val="24"/>
        </w:rPr>
        <w:t>T</w:t>
      </w:r>
      <w:r w:rsidR="00553014" w:rsidRPr="00741006">
        <w:rPr>
          <w:rFonts w:ascii="Arial" w:hAnsi="Arial" w:cs="Arial"/>
          <w:sz w:val="24"/>
          <w:szCs w:val="24"/>
        </w:rPr>
        <w:t xml:space="preserve">he SDC Consultations </w:t>
      </w:r>
      <w:r w:rsidRPr="00741006">
        <w:rPr>
          <w:rFonts w:ascii="Arial" w:hAnsi="Arial" w:cs="Arial"/>
          <w:sz w:val="24"/>
          <w:szCs w:val="24"/>
        </w:rPr>
        <w:t>heard of women being asked to wear revealing</w:t>
      </w:r>
      <w:r w:rsidR="00B7027B" w:rsidRPr="00741006">
        <w:rPr>
          <w:rFonts w:ascii="Arial" w:hAnsi="Arial" w:cs="Arial"/>
          <w:sz w:val="24"/>
          <w:szCs w:val="24"/>
        </w:rPr>
        <w:t xml:space="preserve"> clothing (eg bikinis) at work; </w:t>
      </w:r>
      <w:r w:rsidRPr="00741006">
        <w:rPr>
          <w:rFonts w:ascii="Arial" w:hAnsi="Arial" w:cs="Arial"/>
          <w:sz w:val="24"/>
          <w:szCs w:val="24"/>
        </w:rPr>
        <w:t xml:space="preserve">women being sexually harassed at work but unable to complain because the </w:t>
      </w:r>
      <w:r w:rsidR="00D95AD0" w:rsidRPr="00741006">
        <w:rPr>
          <w:rFonts w:ascii="Arial" w:hAnsi="Arial" w:cs="Arial"/>
          <w:sz w:val="24"/>
          <w:szCs w:val="24"/>
        </w:rPr>
        <w:t>business</w:t>
      </w:r>
      <w:r w:rsidRPr="00741006">
        <w:rPr>
          <w:rFonts w:ascii="Arial" w:hAnsi="Arial" w:cs="Arial"/>
          <w:sz w:val="24"/>
          <w:szCs w:val="24"/>
        </w:rPr>
        <w:t xml:space="preserve"> was in a small community where there was no pr</w:t>
      </w:r>
      <w:r w:rsidR="00B7027B" w:rsidRPr="00741006">
        <w:rPr>
          <w:rFonts w:ascii="Arial" w:hAnsi="Arial" w:cs="Arial"/>
          <w:sz w:val="24"/>
          <w:szCs w:val="24"/>
        </w:rPr>
        <w:t>ivacy;</w:t>
      </w:r>
      <w:r w:rsidRPr="00741006">
        <w:rPr>
          <w:rFonts w:ascii="Arial" w:hAnsi="Arial" w:cs="Arial"/>
          <w:sz w:val="24"/>
          <w:szCs w:val="24"/>
        </w:rPr>
        <w:t xml:space="preserve"> and </w:t>
      </w:r>
      <w:r w:rsidR="00B7027B" w:rsidRPr="00741006">
        <w:rPr>
          <w:rFonts w:ascii="Arial" w:hAnsi="Arial" w:cs="Arial"/>
          <w:sz w:val="24"/>
          <w:szCs w:val="24"/>
        </w:rPr>
        <w:t>young</w:t>
      </w:r>
      <w:r w:rsidRPr="00741006">
        <w:rPr>
          <w:rFonts w:ascii="Arial" w:hAnsi="Arial" w:cs="Arial"/>
          <w:sz w:val="24"/>
          <w:szCs w:val="24"/>
        </w:rPr>
        <w:t xml:space="preserve"> women</w:t>
      </w:r>
      <w:r w:rsidR="00B7027B" w:rsidRPr="00741006">
        <w:rPr>
          <w:rFonts w:ascii="Arial" w:hAnsi="Arial" w:cs="Arial"/>
          <w:sz w:val="24"/>
          <w:szCs w:val="24"/>
        </w:rPr>
        <w:t xml:space="preserve"> </w:t>
      </w:r>
      <w:r w:rsidRPr="00741006">
        <w:rPr>
          <w:rFonts w:ascii="Arial" w:hAnsi="Arial" w:cs="Arial"/>
          <w:sz w:val="24"/>
          <w:szCs w:val="24"/>
        </w:rPr>
        <w:t>in casual jobs being</w:t>
      </w:r>
      <w:r w:rsidR="00553014" w:rsidRPr="00741006">
        <w:rPr>
          <w:rFonts w:ascii="Arial" w:hAnsi="Arial" w:cs="Arial"/>
          <w:sz w:val="24"/>
          <w:szCs w:val="24"/>
        </w:rPr>
        <w:t xml:space="preserve"> subject to </w:t>
      </w:r>
      <w:r w:rsidR="00B7027B" w:rsidRPr="00741006">
        <w:rPr>
          <w:rFonts w:ascii="Arial" w:hAnsi="Arial" w:cs="Arial"/>
          <w:sz w:val="24"/>
          <w:szCs w:val="24"/>
        </w:rPr>
        <w:t>verbal abuse and intimidation</w:t>
      </w:r>
      <w:r w:rsidR="00952C58" w:rsidRPr="00741006">
        <w:rPr>
          <w:rFonts w:ascii="Arial" w:hAnsi="Arial" w:cs="Arial"/>
          <w:sz w:val="24"/>
          <w:szCs w:val="24"/>
        </w:rPr>
        <w:t>.</w:t>
      </w:r>
    </w:p>
    <w:p w14:paraId="07ED298C" w14:textId="3D6494CF" w:rsidR="00553014" w:rsidRPr="00FD6139" w:rsidRDefault="00672EFE" w:rsidP="00235A4B">
      <w:pPr>
        <w:pStyle w:val="ListParagraph"/>
        <w:numPr>
          <w:ilvl w:val="0"/>
          <w:numId w:val="25"/>
        </w:numPr>
        <w:spacing w:before="240" w:after="240" w:line="240" w:lineRule="auto"/>
        <w:ind w:left="0" w:firstLine="0"/>
        <w:contextualSpacing w:val="0"/>
        <w:rPr>
          <w:rFonts w:ascii="Arial" w:hAnsi="Arial" w:cs="Arial"/>
          <w:sz w:val="24"/>
          <w:szCs w:val="24"/>
        </w:rPr>
      </w:pPr>
      <w:r>
        <w:rPr>
          <w:rFonts w:ascii="Arial" w:hAnsi="Arial" w:cs="Arial"/>
          <w:sz w:val="24"/>
          <w:szCs w:val="24"/>
        </w:rPr>
        <w:t xml:space="preserve">Often the barriers, perceived by employers, to </w:t>
      </w:r>
      <w:r w:rsidR="00553014" w:rsidRPr="00FD6139">
        <w:rPr>
          <w:rFonts w:ascii="Arial" w:hAnsi="Arial" w:cs="Arial"/>
          <w:sz w:val="24"/>
          <w:szCs w:val="24"/>
        </w:rPr>
        <w:t>women being employed in male-dominated industries spoke of an assumed and accepted gender discrimination – such as the lack of female toilets on a building site</w:t>
      </w:r>
      <w:r w:rsidR="00E837FB">
        <w:rPr>
          <w:rFonts w:ascii="Arial" w:hAnsi="Arial" w:cs="Arial"/>
          <w:sz w:val="24"/>
          <w:szCs w:val="24"/>
        </w:rPr>
        <w:t>,</w:t>
      </w:r>
      <w:r w:rsidR="00553014" w:rsidRPr="00FD6139">
        <w:rPr>
          <w:rFonts w:ascii="Arial" w:hAnsi="Arial" w:cs="Arial"/>
          <w:sz w:val="24"/>
          <w:szCs w:val="24"/>
        </w:rPr>
        <w:t xml:space="preserve"> or that a woman might </w:t>
      </w:r>
      <w:r w:rsidR="00E837FB">
        <w:rPr>
          <w:rFonts w:ascii="Arial" w:hAnsi="Arial" w:cs="Arial"/>
          <w:sz w:val="24"/>
          <w:szCs w:val="24"/>
        </w:rPr>
        <w:t xml:space="preserve">be refused a job because she would ‘find it </w:t>
      </w:r>
      <w:r w:rsidR="00553014" w:rsidRPr="00FD6139">
        <w:rPr>
          <w:rFonts w:ascii="Arial" w:hAnsi="Arial" w:cs="Arial"/>
          <w:sz w:val="24"/>
          <w:szCs w:val="24"/>
        </w:rPr>
        <w:t xml:space="preserve">unpleasant’ being in such a gender minority. </w:t>
      </w:r>
    </w:p>
    <w:p w14:paraId="2CFE9056" w14:textId="2E706531" w:rsidR="00553014" w:rsidRPr="00BA0147" w:rsidRDefault="00553014" w:rsidP="00BA0147">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SDC consultations heard that the attachment of the community, to gender stereotypes around work and leadership</w:t>
      </w:r>
      <w:r w:rsidR="00741006">
        <w:rPr>
          <w:rFonts w:ascii="Arial" w:hAnsi="Arial" w:cs="Arial"/>
          <w:sz w:val="24"/>
          <w:szCs w:val="24"/>
        </w:rPr>
        <w:t xml:space="preserve"> is pervasive and entrenched.</w:t>
      </w:r>
      <w:r w:rsidRPr="00FD6139">
        <w:rPr>
          <w:rFonts w:ascii="Arial" w:hAnsi="Arial" w:cs="Arial"/>
          <w:sz w:val="24"/>
          <w:szCs w:val="24"/>
        </w:rPr>
        <w:t xml:space="preserve"> </w:t>
      </w:r>
      <w:r w:rsidR="00BA0147">
        <w:rPr>
          <w:rFonts w:ascii="Arial" w:hAnsi="Arial" w:cs="Arial"/>
          <w:sz w:val="24"/>
          <w:szCs w:val="24"/>
        </w:rPr>
        <w:t xml:space="preserve"> </w:t>
      </w:r>
      <w:r w:rsidRPr="00BA0147">
        <w:rPr>
          <w:rFonts w:ascii="Arial" w:hAnsi="Arial" w:cs="Arial"/>
          <w:sz w:val="24"/>
          <w:szCs w:val="24"/>
        </w:rPr>
        <w:t xml:space="preserve">Of particular concern </w:t>
      </w:r>
      <w:r w:rsidR="00741006" w:rsidRPr="00BA0147">
        <w:rPr>
          <w:rFonts w:ascii="Arial" w:hAnsi="Arial" w:cs="Arial"/>
          <w:sz w:val="24"/>
          <w:szCs w:val="24"/>
        </w:rPr>
        <w:t xml:space="preserve">were prevalent mixed messages for young </w:t>
      </w:r>
      <w:r w:rsidR="00DF38E2">
        <w:rPr>
          <w:rFonts w:ascii="Arial" w:hAnsi="Arial" w:cs="Arial"/>
          <w:sz w:val="24"/>
          <w:szCs w:val="24"/>
        </w:rPr>
        <w:t xml:space="preserve">people in the commercial world - </w:t>
      </w:r>
      <w:r w:rsidRPr="00BA0147">
        <w:rPr>
          <w:rFonts w:ascii="Arial" w:hAnsi="Arial" w:cs="Arial"/>
          <w:sz w:val="24"/>
          <w:szCs w:val="24"/>
        </w:rPr>
        <w:t>such as toys targeted at boys and girls separately, pop culture, accessible pornography and games</w:t>
      </w:r>
      <w:r w:rsidR="00DF38E2">
        <w:rPr>
          <w:rFonts w:ascii="Arial" w:hAnsi="Arial" w:cs="Arial"/>
          <w:sz w:val="24"/>
          <w:szCs w:val="24"/>
        </w:rPr>
        <w:t xml:space="preserve"> - </w:t>
      </w:r>
      <w:r w:rsidRPr="00BA0147">
        <w:rPr>
          <w:rFonts w:ascii="Arial" w:hAnsi="Arial" w:cs="Arial"/>
          <w:sz w:val="24"/>
          <w:szCs w:val="24"/>
        </w:rPr>
        <w:t xml:space="preserve"> reinforcing discriminatory attitudes and social media backlash against those speaking out against the norm.</w:t>
      </w:r>
    </w:p>
    <w:p w14:paraId="3CF4054A"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Women also experience backlash for asking about employment conditions. When they have questions about pay and conditions they are perceived as ‘too assertive/threatening’, especially in a male dominated workplace. Women are often bullied or their employment is terminated when they make complaints.</w:t>
      </w:r>
    </w:p>
    <w:p w14:paraId="787BBDBF" w14:textId="158F30D9" w:rsidR="00553014"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research in this area indicates some complex connections between sexual harassment prevalence, and the gendered nature of industries and the roles within them.</w:t>
      </w:r>
      <w:r w:rsidR="005D7D6D" w:rsidRPr="00952C58">
        <w:rPr>
          <w:rStyle w:val="EndnoteReference"/>
        </w:rPr>
        <w:endnoteReference w:id="49"/>
      </w:r>
    </w:p>
    <w:p w14:paraId="4227C7B3" w14:textId="03CBF489" w:rsidR="00D11F8D" w:rsidRPr="00D11F8D" w:rsidRDefault="00D11F8D" w:rsidP="00D11F8D">
      <w:pPr>
        <w:pStyle w:val="sub4"/>
      </w:pPr>
      <w:bookmarkStart w:id="31" w:name="_Toc476597989"/>
      <w:r>
        <w:lastRenderedPageBreak/>
        <w:t>Other research</w:t>
      </w:r>
      <w:bookmarkEnd w:id="31"/>
    </w:p>
    <w:p w14:paraId="3E2B4EBC" w14:textId="77777777"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Some studies suggest that a woman’s specific role or occupation, and the power differentials between levels in the workplace, can affect women’s likelihood of experiencing sexual harassment.</w:t>
      </w:r>
      <w:r w:rsidRPr="00952C58">
        <w:rPr>
          <w:rStyle w:val="EndnoteReference"/>
        </w:rPr>
        <w:endnoteReference w:id="50"/>
      </w:r>
      <w:r w:rsidRPr="00952C58">
        <w:rPr>
          <w:rStyle w:val="EndnoteReference"/>
        </w:rPr>
        <w:t xml:space="preserve"> </w:t>
      </w:r>
      <w:r w:rsidRPr="00FD6139">
        <w:rPr>
          <w:rFonts w:ascii="Arial" w:hAnsi="Arial" w:cs="Arial"/>
          <w:sz w:val="24"/>
          <w:szCs w:val="24"/>
        </w:rPr>
        <w:t>Other research has shown that employment status, particularly precarious employment types such as casual or temporary employment, is a risk factor.</w:t>
      </w:r>
      <w:r w:rsidRPr="00952C58">
        <w:rPr>
          <w:rStyle w:val="EndnoteReference"/>
        </w:rPr>
        <w:endnoteReference w:id="51"/>
      </w:r>
    </w:p>
    <w:p w14:paraId="1E785000" w14:textId="45A35AB8"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The Commission’s sexual harassment workplace prevalence survey</w:t>
      </w:r>
      <w:r w:rsidR="00DF38E2">
        <w:rPr>
          <w:rFonts w:ascii="Arial" w:hAnsi="Arial" w:cs="Arial"/>
          <w:sz w:val="24"/>
          <w:szCs w:val="24"/>
        </w:rPr>
        <w:t xml:space="preserve"> (2012) produced some key</w:t>
      </w:r>
      <w:r w:rsidRPr="00FD6139">
        <w:rPr>
          <w:rFonts w:ascii="Arial" w:hAnsi="Arial" w:cs="Arial"/>
          <w:sz w:val="24"/>
          <w:szCs w:val="24"/>
        </w:rPr>
        <w:t xml:space="preserve"> data with respect to the prevalence of sexual assault by gender in specific industries.</w:t>
      </w:r>
      <w:r w:rsidRPr="00952C58">
        <w:rPr>
          <w:rStyle w:val="EndnoteReference"/>
        </w:rPr>
        <w:endnoteReference w:id="52"/>
      </w:r>
    </w:p>
    <w:p w14:paraId="75109F6F" w14:textId="406E2FA0" w:rsidR="00553014" w:rsidRPr="00146041" w:rsidRDefault="00553014" w:rsidP="00146041">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 xml:space="preserve">The lowest prevalence rates for sexual harassment, regardless of gender, was reported in traditional male-dominated industries (trades, technology, manufacturing etc). </w:t>
      </w:r>
      <w:r w:rsidRPr="00146041">
        <w:rPr>
          <w:rFonts w:ascii="Arial" w:hAnsi="Arial" w:cs="Arial"/>
          <w:sz w:val="24"/>
          <w:szCs w:val="24"/>
        </w:rPr>
        <w:t xml:space="preserve">Higher rates of sexual harassment, more so against women, were reported in traditional female-dominated industries. However, by far the highest rates of sexual harassment were reported in ‘professional’ workplaces, and much higher rates experienced by women. </w:t>
      </w:r>
    </w:p>
    <w:p w14:paraId="28869EA4" w14:textId="44C5D9D8" w:rsidR="00553014" w:rsidRPr="00FD6139" w:rsidRDefault="00553014" w:rsidP="00235A4B">
      <w:pPr>
        <w:pStyle w:val="ListParagraph"/>
        <w:numPr>
          <w:ilvl w:val="0"/>
          <w:numId w:val="25"/>
        </w:numPr>
        <w:spacing w:before="240" w:after="240" w:line="240" w:lineRule="auto"/>
        <w:ind w:left="0" w:firstLine="0"/>
        <w:contextualSpacing w:val="0"/>
        <w:rPr>
          <w:rFonts w:ascii="Arial" w:hAnsi="Arial" w:cs="Arial"/>
          <w:sz w:val="24"/>
          <w:szCs w:val="24"/>
        </w:rPr>
      </w:pPr>
      <w:r w:rsidRPr="00FD6139">
        <w:rPr>
          <w:rFonts w:ascii="Arial" w:hAnsi="Arial" w:cs="Arial"/>
          <w:sz w:val="24"/>
          <w:szCs w:val="24"/>
        </w:rPr>
        <w:t>While these statistics at first glance appear contradictory, the common thread is an increasing rate of sexual harassment where the domination by males of management and leadership roles increases. In professional workplaces, for example, we know the the majority of staff are women, but an inversely proportional majority of executive management roles are held by men.</w:t>
      </w:r>
    </w:p>
    <w:tbl>
      <w:tblPr>
        <w:tblStyle w:val="TableGrid"/>
        <w:tblW w:w="0" w:type="auto"/>
        <w:tblLook w:val="04A0" w:firstRow="1" w:lastRow="0" w:firstColumn="1" w:lastColumn="0" w:noHBand="0" w:noVBand="1"/>
      </w:tblPr>
      <w:tblGrid>
        <w:gridCol w:w="9629"/>
      </w:tblGrid>
      <w:tr w:rsidR="00553014" w14:paraId="191985A1" w14:textId="77777777" w:rsidTr="00217432">
        <w:tc>
          <w:tcPr>
            <w:tcW w:w="9629" w:type="dxa"/>
            <w:shd w:val="clear" w:color="auto" w:fill="E7E6E6" w:themeFill="background2"/>
          </w:tcPr>
          <w:p w14:paraId="4F80BE83" w14:textId="77777777" w:rsidR="00553014" w:rsidRPr="00770B1F" w:rsidRDefault="00553014" w:rsidP="00217432">
            <w:pPr>
              <w:pStyle w:val="Sub1"/>
              <w:rPr>
                <w:i/>
              </w:rPr>
            </w:pPr>
            <w:bookmarkStart w:id="32" w:name="_Toc476597990"/>
            <w:r w:rsidRPr="00770B1F">
              <w:t>Recommendations</w:t>
            </w:r>
            <w:bookmarkEnd w:id="32"/>
            <w:r w:rsidRPr="00770B1F">
              <w:t xml:space="preserve"> </w:t>
            </w:r>
          </w:p>
        </w:tc>
      </w:tr>
    </w:tbl>
    <w:p w14:paraId="03282365" w14:textId="77777777" w:rsidR="00553014" w:rsidRPr="005734C6" w:rsidRDefault="00553014" w:rsidP="00553014">
      <w:pPr>
        <w:spacing w:before="0" w:after="0"/>
        <w:rPr>
          <w:rFonts w:cs="Arial"/>
        </w:rPr>
      </w:pPr>
    </w:p>
    <w:tbl>
      <w:tblPr>
        <w:tblStyle w:val="TableGrid"/>
        <w:tblW w:w="0" w:type="auto"/>
        <w:tblLook w:val="04A0" w:firstRow="1" w:lastRow="0" w:firstColumn="1" w:lastColumn="0" w:noHBand="0" w:noVBand="1"/>
      </w:tblPr>
      <w:tblGrid>
        <w:gridCol w:w="9629"/>
      </w:tblGrid>
      <w:tr w:rsidR="00553014" w14:paraId="4F263E1B" w14:textId="77777777" w:rsidTr="00217432">
        <w:tc>
          <w:tcPr>
            <w:tcW w:w="9629" w:type="dxa"/>
          </w:tcPr>
          <w:p w14:paraId="35E28C1E" w14:textId="3151C083" w:rsidR="00553014" w:rsidRPr="00770B1F" w:rsidRDefault="00553014" w:rsidP="00235A4B">
            <w:pPr>
              <w:pStyle w:val="SubmissionNormal"/>
              <w:numPr>
                <w:ilvl w:val="0"/>
                <w:numId w:val="17"/>
              </w:numPr>
              <w:ind w:left="450" w:hanging="283"/>
              <w:rPr>
                <w:rFonts w:cs="Arial"/>
                <w:color w:val="000000" w:themeColor="text1"/>
              </w:rPr>
            </w:pPr>
            <w:r>
              <w:rPr>
                <w:rFonts w:cs="Arial"/>
                <w:color w:val="000000" w:themeColor="text1"/>
              </w:rPr>
              <w:t>A</w:t>
            </w:r>
            <w:r w:rsidRPr="00F464E5">
              <w:rPr>
                <w:rFonts w:cs="Arial"/>
                <w:color w:val="000000" w:themeColor="text1"/>
              </w:rPr>
              <w:t xml:space="preserve">ctions supporting </w:t>
            </w:r>
            <w:r>
              <w:rPr>
                <w:rFonts w:cs="Arial"/>
                <w:color w:val="000000" w:themeColor="text1"/>
              </w:rPr>
              <w:t xml:space="preserve">the </w:t>
            </w:r>
            <w:r w:rsidRPr="00F464E5">
              <w:rPr>
                <w:rFonts w:cs="Arial"/>
                <w:color w:val="000000" w:themeColor="text1"/>
              </w:rPr>
              <w:t xml:space="preserve">reduction of gender segregation </w:t>
            </w:r>
            <w:r>
              <w:rPr>
                <w:rFonts w:cs="Arial"/>
                <w:color w:val="000000" w:themeColor="text1"/>
              </w:rPr>
              <w:t xml:space="preserve">in Australian </w:t>
            </w:r>
            <w:r w:rsidRPr="00F464E5">
              <w:rPr>
                <w:rFonts w:cs="Arial"/>
                <w:color w:val="000000" w:themeColor="text1"/>
              </w:rPr>
              <w:t>workplaces</w:t>
            </w:r>
            <w:r>
              <w:rPr>
                <w:rFonts w:cs="Arial"/>
                <w:color w:val="000000" w:themeColor="text1"/>
              </w:rPr>
              <w:t xml:space="preserve"> should be included</w:t>
            </w:r>
            <w:r w:rsidRPr="00F464E5">
              <w:rPr>
                <w:rFonts w:cs="Arial"/>
                <w:color w:val="000000" w:themeColor="text1"/>
              </w:rPr>
              <w:t xml:space="preserve"> as a priority in the forthcoming Government </w:t>
            </w:r>
            <w:r>
              <w:rPr>
                <w:rFonts w:cs="Arial"/>
                <w:i/>
                <w:color w:val="000000" w:themeColor="text1"/>
              </w:rPr>
              <w:t xml:space="preserve">Women’s </w:t>
            </w:r>
            <w:r w:rsidR="00494A11">
              <w:rPr>
                <w:rFonts w:cs="Arial"/>
                <w:i/>
                <w:color w:val="000000" w:themeColor="text1"/>
              </w:rPr>
              <w:t>W</w:t>
            </w:r>
            <w:r>
              <w:rPr>
                <w:rFonts w:cs="Arial"/>
                <w:i/>
                <w:color w:val="000000" w:themeColor="text1"/>
              </w:rPr>
              <w:t>orkforce S</w:t>
            </w:r>
            <w:r w:rsidRPr="00F23892">
              <w:rPr>
                <w:rFonts w:cs="Arial"/>
                <w:i/>
                <w:color w:val="000000" w:themeColor="text1"/>
              </w:rPr>
              <w:t>trategy.</w:t>
            </w:r>
          </w:p>
        </w:tc>
      </w:tr>
    </w:tbl>
    <w:p w14:paraId="09296F2C" w14:textId="77777777" w:rsidR="00553014" w:rsidRPr="005734C6" w:rsidRDefault="00553014" w:rsidP="00553014">
      <w:pPr>
        <w:spacing w:before="0" w:after="0"/>
        <w:rPr>
          <w:rFonts w:cs="Arial"/>
        </w:rPr>
      </w:pPr>
    </w:p>
    <w:tbl>
      <w:tblPr>
        <w:tblStyle w:val="TableGrid"/>
        <w:tblW w:w="0" w:type="auto"/>
        <w:tblLook w:val="04A0" w:firstRow="1" w:lastRow="0" w:firstColumn="1" w:lastColumn="0" w:noHBand="0" w:noVBand="1"/>
      </w:tblPr>
      <w:tblGrid>
        <w:gridCol w:w="9629"/>
      </w:tblGrid>
      <w:tr w:rsidR="00553014" w14:paraId="5F5CCE6F" w14:textId="77777777" w:rsidTr="00217432">
        <w:trPr>
          <w:trHeight w:val="505"/>
        </w:trPr>
        <w:tc>
          <w:tcPr>
            <w:tcW w:w="9629" w:type="dxa"/>
          </w:tcPr>
          <w:p w14:paraId="159AAAE7" w14:textId="77777777" w:rsidR="00553014" w:rsidRPr="00F464E5" w:rsidRDefault="00553014" w:rsidP="00235A4B">
            <w:pPr>
              <w:pStyle w:val="SubmissionNormal"/>
              <w:numPr>
                <w:ilvl w:val="0"/>
                <w:numId w:val="17"/>
              </w:numPr>
              <w:ind w:left="450" w:hanging="283"/>
              <w:rPr>
                <w:rFonts w:cs="Arial"/>
                <w:color w:val="000000" w:themeColor="text1"/>
              </w:rPr>
            </w:pPr>
            <w:r>
              <w:rPr>
                <w:rFonts w:cs="Arial"/>
                <w:color w:val="000000" w:themeColor="text1"/>
              </w:rPr>
              <w:t>The</w:t>
            </w:r>
            <w:r w:rsidRPr="00F464E5">
              <w:rPr>
                <w:rFonts w:cs="Arial"/>
                <w:color w:val="000000" w:themeColor="text1"/>
              </w:rPr>
              <w:t xml:space="preserve"> Commonwealth Government </w:t>
            </w:r>
            <w:r>
              <w:rPr>
                <w:rFonts w:cs="Arial"/>
                <w:color w:val="000000" w:themeColor="text1"/>
              </w:rPr>
              <w:t>should develop and commit to a strategy for becoming</w:t>
            </w:r>
            <w:r w:rsidRPr="00F464E5">
              <w:rPr>
                <w:rFonts w:cs="Arial"/>
                <w:color w:val="000000" w:themeColor="text1"/>
              </w:rPr>
              <w:t xml:space="preserve"> a model ‘industry’ in reducing gender segregation:</w:t>
            </w:r>
          </w:p>
          <w:p w14:paraId="699B1112" w14:textId="77777777" w:rsidR="00553014" w:rsidRPr="00F464E5" w:rsidRDefault="00553014" w:rsidP="00235A4B">
            <w:pPr>
              <w:pStyle w:val="SubmissionNormal"/>
              <w:numPr>
                <w:ilvl w:val="2"/>
                <w:numId w:val="16"/>
              </w:numPr>
              <w:ind w:left="734" w:hanging="284"/>
              <w:rPr>
                <w:rFonts w:cs="Arial"/>
                <w:color w:val="000000" w:themeColor="text1"/>
              </w:rPr>
            </w:pPr>
            <w:r>
              <w:rPr>
                <w:rFonts w:cs="Arial"/>
                <w:color w:val="000000" w:themeColor="text1"/>
              </w:rPr>
              <w:t>a</w:t>
            </w:r>
            <w:r w:rsidRPr="00F464E5">
              <w:rPr>
                <w:rFonts w:cs="Arial"/>
                <w:color w:val="000000" w:themeColor="text1"/>
              </w:rPr>
              <w:t>s an employer (roles and occupations, management levels, flexibility, parental leave arrang</w:t>
            </w:r>
            <w:r>
              <w:rPr>
                <w:rFonts w:cs="Arial"/>
                <w:color w:val="000000" w:themeColor="text1"/>
              </w:rPr>
              <w:t>ements/inducements for men etc)</w:t>
            </w:r>
          </w:p>
          <w:p w14:paraId="7CEABF5E" w14:textId="77777777" w:rsidR="00553014" w:rsidRPr="00F464E5" w:rsidRDefault="00553014" w:rsidP="00235A4B">
            <w:pPr>
              <w:pStyle w:val="SubmissionNormal"/>
              <w:numPr>
                <w:ilvl w:val="2"/>
                <w:numId w:val="16"/>
              </w:numPr>
              <w:ind w:left="734" w:hanging="284"/>
              <w:rPr>
                <w:rFonts w:cs="Arial"/>
                <w:color w:val="000000" w:themeColor="text1"/>
              </w:rPr>
            </w:pPr>
            <w:r>
              <w:rPr>
                <w:rFonts w:cs="Arial"/>
                <w:color w:val="000000" w:themeColor="text1"/>
              </w:rPr>
              <w:t>i</w:t>
            </w:r>
            <w:r w:rsidRPr="00F464E5">
              <w:rPr>
                <w:rFonts w:cs="Arial"/>
                <w:color w:val="000000" w:themeColor="text1"/>
              </w:rPr>
              <w:t>n policy</w:t>
            </w:r>
            <w:r>
              <w:rPr>
                <w:rFonts w:cs="Arial"/>
                <w:color w:val="000000" w:themeColor="text1"/>
              </w:rPr>
              <w:t xml:space="preserve"> and program design/development, and</w:t>
            </w:r>
          </w:p>
          <w:p w14:paraId="54BC8590" w14:textId="2853269A" w:rsidR="00553014" w:rsidRPr="00770B1F" w:rsidRDefault="00553014" w:rsidP="00235A4B">
            <w:pPr>
              <w:pStyle w:val="SubmissionNormal"/>
              <w:numPr>
                <w:ilvl w:val="2"/>
                <w:numId w:val="16"/>
              </w:numPr>
              <w:ind w:left="734" w:hanging="284"/>
              <w:rPr>
                <w:rFonts w:cs="Arial"/>
                <w:color w:val="000000" w:themeColor="text1"/>
              </w:rPr>
            </w:pPr>
            <w:r>
              <w:rPr>
                <w:rFonts w:cs="Arial"/>
                <w:color w:val="000000" w:themeColor="text1"/>
              </w:rPr>
              <w:t>w</w:t>
            </w:r>
            <w:r w:rsidRPr="00F464E5">
              <w:rPr>
                <w:rFonts w:cs="Arial"/>
                <w:color w:val="000000" w:themeColor="text1"/>
              </w:rPr>
              <w:t xml:space="preserve">hen contracting (impose </w:t>
            </w:r>
            <w:r w:rsidR="00494A11">
              <w:rPr>
                <w:rFonts w:cs="Arial"/>
                <w:color w:val="000000" w:themeColor="text1"/>
              </w:rPr>
              <w:t>c</w:t>
            </w:r>
            <w:r w:rsidRPr="00F464E5">
              <w:rPr>
                <w:rFonts w:cs="Arial"/>
                <w:color w:val="000000" w:themeColor="text1"/>
              </w:rPr>
              <w:t>ontractual terms requiring demonstrated efforts to improve gender balance to 40-40-20 in organisations engaged by Government.)</w:t>
            </w:r>
          </w:p>
        </w:tc>
      </w:tr>
    </w:tbl>
    <w:p w14:paraId="06687276" w14:textId="77777777" w:rsidR="00553014" w:rsidRPr="005734C6" w:rsidRDefault="00553014" w:rsidP="00553014">
      <w:pPr>
        <w:spacing w:before="0" w:after="0"/>
        <w:rPr>
          <w:rFonts w:cs="Arial"/>
        </w:rPr>
      </w:pPr>
    </w:p>
    <w:tbl>
      <w:tblPr>
        <w:tblStyle w:val="TableGrid"/>
        <w:tblW w:w="0" w:type="auto"/>
        <w:tblLook w:val="04A0" w:firstRow="1" w:lastRow="0" w:firstColumn="1" w:lastColumn="0" w:noHBand="0" w:noVBand="1"/>
      </w:tblPr>
      <w:tblGrid>
        <w:gridCol w:w="9629"/>
      </w:tblGrid>
      <w:tr w:rsidR="00553014" w:rsidRPr="00494A11" w14:paraId="4798E106" w14:textId="77777777" w:rsidTr="00217432">
        <w:tc>
          <w:tcPr>
            <w:tcW w:w="9629" w:type="dxa"/>
          </w:tcPr>
          <w:p w14:paraId="1E827294" w14:textId="5604DEC3" w:rsidR="00D80F1E" w:rsidRPr="001E4FBB" w:rsidRDefault="00D011F5" w:rsidP="001E4FBB">
            <w:pPr>
              <w:pStyle w:val="SubmissionNormal"/>
              <w:numPr>
                <w:ilvl w:val="0"/>
                <w:numId w:val="17"/>
              </w:numPr>
              <w:ind w:left="450" w:hanging="283"/>
              <w:rPr>
                <w:rStyle w:val="s1"/>
                <w:rFonts w:ascii="Arial" w:hAnsi="Arial"/>
                <w:color w:val="000000" w:themeColor="text1"/>
                <w:sz w:val="24"/>
                <w:szCs w:val="24"/>
              </w:rPr>
            </w:pPr>
            <w:r w:rsidRPr="001E4FBB">
              <w:rPr>
                <w:rFonts w:cs="Arial"/>
                <w:color w:val="000000" w:themeColor="text1"/>
              </w:rPr>
              <w:t xml:space="preserve">The Government should fund a </w:t>
            </w:r>
            <w:r w:rsidR="00553014" w:rsidRPr="001E4FBB">
              <w:rPr>
                <w:rFonts w:cs="Arial"/>
                <w:color w:val="000000" w:themeColor="text1"/>
              </w:rPr>
              <w:t xml:space="preserve">quantitative and qualitative study </w:t>
            </w:r>
            <w:r w:rsidR="003C2ACE" w:rsidRPr="001E4FBB">
              <w:rPr>
                <w:color w:val="000000" w:themeColor="text1"/>
              </w:rPr>
              <w:t>into the features of male and female-dominated workplaces industries and barriers to employees entering non-traditional fields</w:t>
            </w:r>
            <w:r w:rsidR="000157F4" w:rsidRPr="001E4FBB">
              <w:rPr>
                <w:color w:val="000000" w:themeColor="text1"/>
              </w:rPr>
              <w:t>.</w:t>
            </w:r>
            <w:r w:rsidR="001E4FBB">
              <w:rPr>
                <w:color w:val="000000" w:themeColor="text1"/>
              </w:rPr>
              <w:t xml:space="preserve"> </w:t>
            </w:r>
            <w:r w:rsidR="000157F4" w:rsidRPr="001E4FBB">
              <w:rPr>
                <w:rStyle w:val="s1"/>
                <w:rFonts w:ascii="Arial" w:eastAsia="MS Mincho" w:hAnsi="Arial" w:cs="Arial"/>
                <w:sz w:val="24"/>
                <w:szCs w:val="24"/>
              </w:rPr>
              <w:t xml:space="preserve">The study should </w:t>
            </w:r>
            <w:r w:rsidR="00D80F1E" w:rsidRPr="001E4FBB">
              <w:rPr>
                <w:rStyle w:val="s1"/>
                <w:rFonts w:ascii="Arial" w:eastAsia="MS Mincho" w:hAnsi="Arial" w:cs="Arial"/>
                <w:sz w:val="24"/>
                <w:szCs w:val="24"/>
              </w:rPr>
              <w:t xml:space="preserve">build on the data held by the Workplace Gender Equality Agency, and </w:t>
            </w:r>
            <w:r w:rsidR="00DD7EEE" w:rsidRPr="001E4FBB">
              <w:rPr>
                <w:rStyle w:val="s1"/>
                <w:rFonts w:ascii="Arial" w:eastAsia="MS Mincho" w:hAnsi="Arial" w:cs="Arial"/>
                <w:sz w:val="24"/>
                <w:szCs w:val="24"/>
              </w:rPr>
              <w:t xml:space="preserve">of the relevant </w:t>
            </w:r>
            <w:r w:rsidR="00D80F1E" w:rsidRPr="001E4FBB">
              <w:rPr>
                <w:rStyle w:val="s1"/>
                <w:rFonts w:ascii="Arial" w:eastAsia="MS Mincho" w:hAnsi="Arial" w:cs="Arial"/>
                <w:sz w:val="24"/>
                <w:szCs w:val="24"/>
              </w:rPr>
              <w:t>inquiries and reports previously conducted by the AHR</w:t>
            </w:r>
            <w:r w:rsidR="00E84B5A" w:rsidRPr="001E4FBB">
              <w:rPr>
                <w:rStyle w:val="s1"/>
                <w:rFonts w:ascii="Arial" w:eastAsia="MS Mincho" w:hAnsi="Arial" w:cs="Arial"/>
                <w:sz w:val="24"/>
                <w:szCs w:val="24"/>
              </w:rPr>
              <w:t>C.</w:t>
            </w:r>
          </w:p>
          <w:p w14:paraId="7590742E" w14:textId="77777777" w:rsidR="00E84B5A" w:rsidRPr="00546042" w:rsidRDefault="00E84B5A" w:rsidP="00DF2D69">
            <w:pPr>
              <w:pStyle w:val="p2"/>
              <w:ind w:left="720"/>
              <w:rPr>
                <w:rStyle w:val="s1"/>
                <w:rFonts w:ascii="Arial" w:eastAsia="MS Mincho" w:hAnsi="Arial" w:cs="Arial"/>
                <w:sz w:val="24"/>
                <w:szCs w:val="24"/>
                <w:lang w:val="en-AU"/>
              </w:rPr>
            </w:pPr>
          </w:p>
          <w:p w14:paraId="6FFBCF30" w14:textId="1BA1C749" w:rsidR="00553014" w:rsidRPr="00546042" w:rsidRDefault="00E84B5A" w:rsidP="00DF2D69">
            <w:pPr>
              <w:pStyle w:val="p2"/>
              <w:ind w:left="720"/>
              <w:rPr>
                <w:rFonts w:ascii="Arial" w:hAnsi="Arial" w:cs="Arial"/>
                <w:sz w:val="24"/>
                <w:szCs w:val="24"/>
                <w:lang w:val="en-AU"/>
              </w:rPr>
            </w:pPr>
            <w:r w:rsidRPr="00546042">
              <w:rPr>
                <w:rStyle w:val="s1"/>
                <w:rFonts w:ascii="Arial" w:eastAsia="MS Mincho" w:hAnsi="Arial" w:cs="Arial"/>
                <w:sz w:val="24"/>
                <w:szCs w:val="24"/>
                <w:lang w:val="en-AU"/>
              </w:rPr>
              <w:t xml:space="preserve">Based on this study, a report should be prepared for </w:t>
            </w:r>
            <w:r w:rsidR="00B6393B" w:rsidRPr="00546042">
              <w:rPr>
                <w:rStyle w:val="s1"/>
                <w:rFonts w:ascii="Arial" w:eastAsia="MS Mincho" w:hAnsi="Arial" w:cs="Arial"/>
                <w:sz w:val="24"/>
                <w:szCs w:val="24"/>
                <w:lang w:val="en-AU"/>
              </w:rPr>
              <w:t>Parliament, including</w:t>
            </w:r>
            <w:r w:rsidR="00DF2D69">
              <w:rPr>
                <w:rStyle w:val="s1"/>
                <w:rFonts w:ascii="Arial" w:eastAsia="MS Mincho" w:hAnsi="Arial" w:cs="Arial"/>
                <w:sz w:val="24"/>
                <w:szCs w:val="24"/>
                <w:lang w:val="en-AU"/>
              </w:rPr>
              <w:t>:</w:t>
            </w:r>
            <w:r w:rsidR="00B6393B" w:rsidRPr="00546042">
              <w:rPr>
                <w:rStyle w:val="s1"/>
                <w:rFonts w:ascii="Arial" w:eastAsia="MS Mincho" w:hAnsi="Arial" w:cs="Arial"/>
                <w:sz w:val="24"/>
                <w:szCs w:val="24"/>
                <w:lang w:val="en-AU"/>
              </w:rPr>
              <w:t xml:space="preserve"> </w:t>
            </w:r>
          </w:p>
          <w:p w14:paraId="2A4858BA" w14:textId="77777777" w:rsidR="00553014" w:rsidRPr="00546042" w:rsidRDefault="00553014" w:rsidP="00DF2D69">
            <w:pPr>
              <w:pStyle w:val="SubmissionNormal"/>
              <w:numPr>
                <w:ilvl w:val="3"/>
                <w:numId w:val="16"/>
              </w:numPr>
              <w:ind w:left="1169" w:hanging="425"/>
              <w:rPr>
                <w:rFonts w:cs="Arial"/>
              </w:rPr>
            </w:pPr>
            <w:r w:rsidRPr="00546042">
              <w:rPr>
                <w:rFonts w:cs="Arial"/>
              </w:rPr>
              <w:t>proposed guidelines on the use of special measures to reduce gender segregation (ie using special measures to support women in male dominated and men in female dominated workplaces, including in non-paid caring roles), and</w:t>
            </w:r>
          </w:p>
          <w:p w14:paraId="3480ADD0" w14:textId="7F3579FF" w:rsidR="00C118EC" w:rsidRPr="0041082B" w:rsidRDefault="00553014" w:rsidP="00DF2D69">
            <w:pPr>
              <w:pStyle w:val="SubmissionNormal"/>
              <w:numPr>
                <w:ilvl w:val="3"/>
                <w:numId w:val="16"/>
              </w:numPr>
              <w:ind w:left="1169" w:hanging="425"/>
              <w:rPr>
                <w:rFonts w:cs="Arial"/>
                <w:sz w:val="28"/>
              </w:rPr>
            </w:pPr>
            <w:r w:rsidRPr="00546042">
              <w:rPr>
                <w:rFonts w:cs="Arial"/>
              </w:rPr>
              <w:t>options for facilitating relationships between employers and women’s networks to workshop solutions to segregation in male dominated industries</w:t>
            </w:r>
            <w:r w:rsidR="00494A11" w:rsidRPr="00546042">
              <w:rPr>
                <w:rFonts w:cs="Arial"/>
              </w:rPr>
              <w:t>, and similar with male workers in female dominated industries.</w:t>
            </w:r>
          </w:p>
        </w:tc>
      </w:tr>
    </w:tbl>
    <w:p w14:paraId="4EFD8290" w14:textId="77777777" w:rsidR="00553014" w:rsidRPr="00494A11" w:rsidRDefault="00553014" w:rsidP="00553014">
      <w:pPr>
        <w:spacing w:before="0" w:after="0"/>
        <w:rPr>
          <w:rFonts w:cs="Arial"/>
        </w:rPr>
      </w:pPr>
    </w:p>
    <w:tbl>
      <w:tblPr>
        <w:tblStyle w:val="TableGrid"/>
        <w:tblW w:w="9680" w:type="dxa"/>
        <w:tblLook w:val="04A0" w:firstRow="1" w:lastRow="0" w:firstColumn="1" w:lastColumn="0" w:noHBand="0" w:noVBand="1"/>
      </w:tblPr>
      <w:tblGrid>
        <w:gridCol w:w="9680"/>
      </w:tblGrid>
      <w:tr w:rsidR="00553014" w14:paraId="25FAC3C8" w14:textId="77777777" w:rsidTr="005D5FEF">
        <w:tc>
          <w:tcPr>
            <w:tcW w:w="9680" w:type="dxa"/>
          </w:tcPr>
          <w:p w14:paraId="6E86B0EA" w14:textId="77777777" w:rsidR="00553014" w:rsidRDefault="00553014" w:rsidP="00235A4B">
            <w:pPr>
              <w:pStyle w:val="SubmissionNormal"/>
              <w:numPr>
                <w:ilvl w:val="0"/>
                <w:numId w:val="17"/>
              </w:numPr>
              <w:ind w:left="450" w:hanging="283"/>
              <w:rPr>
                <w:rFonts w:cs="Arial"/>
                <w:color w:val="000000" w:themeColor="text1"/>
              </w:rPr>
            </w:pPr>
            <w:r w:rsidRPr="00F464E5">
              <w:rPr>
                <w:rFonts w:cs="Arial"/>
                <w:color w:val="000000" w:themeColor="text1"/>
              </w:rPr>
              <w:t xml:space="preserve">Research </w:t>
            </w:r>
            <w:r>
              <w:rPr>
                <w:rFonts w:cs="Arial"/>
                <w:color w:val="000000" w:themeColor="text1"/>
              </w:rPr>
              <w:t xml:space="preserve">should be conducted </w:t>
            </w:r>
            <w:r w:rsidRPr="00F464E5">
              <w:rPr>
                <w:rFonts w:cs="Arial"/>
                <w:color w:val="000000" w:themeColor="text1"/>
              </w:rPr>
              <w:t>on whether there is higher prevalence of sexual harassment/sex discrimination in gender segregated workplaces</w:t>
            </w:r>
            <w:r>
              <w:rPr>
                <w:rFonts w:cs="Arial"/>
                <w:color w:val="000000" w:themeColor="text1"/>
              </w:rPr>
              <w:t>, and if so,</w:t>
            </w:r>
            <w:r w:rsidRPr="00F464E5">
              <w:rPr>
                <w:rFonts w:cs="Arial"/>
                <w:color w:val="000000" w:themeColor="text1"/>
              </w:rPr>
              <w:t xml:space="preserve"> </w:t>
            </w:r>
            <w:r>
              <w:rPr>
                <w:rFonts w:cs="Arial"/>
                <w:color w:val="000000" w:themeColor="text1"/>
              </w:rPr>
              <w:t xml:space="preserve">recommendations for change </w:t>
            </w:r>
          </w:p>
          <w:p w14:paraId="403E02B6" w14:textId="4B4734EC" w:rsidR="00553014" w:rsidRPr="00770B1F" w:rsidRDefault="00553014" w:rsidP="00235A4B">
            <w:pPr>
              <w:pStyle w:val="SubmissionNormal"/>
              <w:numPr>
                <w:ilvl w:val="2"/>
                <w:numId w:val="16"/>
              </w:numPr>
              <w:ind w:left="734" w:hanging="284"/>
              <w:rPr>
                <w:rFonts w:cs="Arial"/>
                <w:color w:val="000000" w:themeColor="text1"/>
              </w:rPr>
            </w:pPr>
            <w:r w:rsidRPr="009747ED">
              <w:rPr>
                <w:rFonts w:cs="Arial"/>
                <w:color w:val="000000" w:themeColor="text1"/>
              </w:rPr>
              <w:t>noting</w:t>
            </w:r>
            <w:r>
              <w:rPr>
                <w:rFonts w:cs="Arial"/>
                <w:color w:val="000000" w:themeColor="text1"/>
              </w:rPr>
              <w:t xml:space="preserve"> that, as a first step, t</w:t>
            </w:r>
            <w:r w:rsidRPr="00F464E5">
              <w:rPr>
                <w:rFonts w:cs="Arial"/>
                <w:color w:val="000000" w:themeColor="text1"/>
              </w:rPr>
              <w:t xml:space="preserve">he </w:t>
            </w:r>
            <w:r>
              <w:rPr>
                <w:rFonts w:cs="Arial"/>
                <w:color w:val="000000" w:themeColor="text1"/>
              </w:rPr>
              <w:t>Commission’s 2017</w:t>
            </w:r>
            <w:r w:rsidRPr="00F464E5">
              <w:rPr>
                <w:rFonts w:cs="Arial"/>
                <w:color w:val="000000" w:themeColor="text1"/>
              </w:rPr>
              <w:t xml:space="preserve"> workplace sexual harassment </w:t>
            </w:r>
            <w:r>
              <w:rPr>
                <w:rFonts w:cs="Arial"/>
                <w:color w:val="000000" w:themeColor="text1"/>
              </w:rPr>
              <w:t xml:space="preserve">prevalence </w:t>
            </w:r>
            <w:r w:rsidRPr="00F464E5">
              <w:rPr>
                <w:rFonts w:cs="Arial"/>
                <w:color w:val="000000" w:themeColor="text1"/>
              </w:rPr>
              <w:t>survey</w:t>
            </w:r>
            <w:r>
              <w:rPr>
                <w:rFonts w:cs="Arial"/>
                <w:color w:val="000000" w:themeColor="text1"/>
              </w:rPr>
              <w:t>, to be conducted mid-year,</w:t>
            </w:r>
            <w:r w:rsidRPr="00F464E5">
              <w:rPr>
                <w:rFonts w:cs="Arial"/>
                <w:color w:val="000000" w:themeColor="text1"/>
              </w:rPr>
              <w:t xml:space="preserve"> </w:t>
            </w:r>
            <w:r w:rsidR="00F41102">
              <w:rPr>
                <w:rFonts w:cs="Arial"/>
                <w:color w:val="000000" w:themeColor="text1"/>
              </w:rPr>
              <w:t xml:space="preserve">can </w:t>
            </w:r>
            <w:r>
              <w:rPr>
                <w:rFonts w:cs="Arial"/>
                <w:color w:val="000000" w:themeColor="text1"/>
              </w:rPr>
              <w:t>examine this issue.</w:t>
            </w:r>
          </w:p>
        </w:tc>
      </w:tr>
    </w:tbl>
    <w:p w14:paraId="203583F5" w14:textId="77777777" w:rsidR="00553014" w:rsidRPr="005734C6" w:rsidRDefault="00553014" w:rsidP="00553014">
      <w:pPr>
        <w:spacing w:before="0" w:after="0"/>
        <w:rPr>
          <w:rFonts w:cs="Arial"/>
        </w:rPr>
      </w:pPr>
    </w:p>
    <w:tbl>
      <w:tblPr>
        <w:tblStyle w:val="TableGrid"/>
        <w:tblW w:w="9780" w:type="dxa"/>
        <w:tblLook w:val="04A0" w:firstRow="1" w:lastRow="0" w:firstColumn="1" w:lastColumn="0" w:noHBand="0" w:noVBand="1"/>
      </w:tblPr>
      <w:tblGrid>
        <w:gridCol w:w="9780"/>
      </w:tblGrid>
      <w:tr w:rsidR="00553014" w14:paraId="16F8CD7F" w14:textId="77777777" w:rsidTr="00553014">
        <w:tc>
          <w:tcPr>
            <w:tcW w:w="9780" w:type="dxa"/>
          </w:tcPr>
          <w:p w14:paraId="5F0D295D" w14:textId="5BD48507" w:rsidR="00553014" w:rsidRPr="00C134A7" w:rsidRDefault="00553014" w:rsidP="00D17017">
            <w:pPr>
              <w:pStyle w:val="SubmissionNormal"/>
              <w:numPr>
                <w:ilvl w:val="0"/>
                <w:numId w:val="17"/>
              </w:numPr>
              <w:ind w:left="450" w:hanging="283"/>
              <w:rPr>
                <w:rFonts w:cs="Arial"/>
                <w:color w:val="000000" w:themeColor="text1"/>
              </w:rPr>
            </w:pPr>
            <w:r>
              <w:rPr>
                <w:rFonts w:cs="Arial"/>
                <w:color w:val="000000" w:themeColor="text1"/>
              </w:rPr>
              <w:t xml:space="preserve">The </w:t>
            </w:r>
            <w:r w:rsidR="00D17017">
              <w:rPr>
                <w:rFonts w:cs="Arial"/>
                <w:color w:val="000000" w:themeColor="text1"/>
              </w:rPr>
              <w:t xml:space="preserve">Department of Foreign Affairs and Trade </w:t>
            </w:r>
            <w:r>
              <w:rPr>
                <w:rFonts w:cs="Arial"/>
                <w:color w:val="000000" w:themeColor="text1"/>
              </w:rPr>
              <w:t xml:space="preserve">should </w:t>
            </w:r>
            <w:r w:rsidRPr="00F464E5">
              <w:rPr>
                <w:rFonts w:cs="Arial"/>
                <w:color w:val="000000" w:themeColor="text1"/>
              </w:rPr>
              <w:t xml:space="preserve">partner with </w:t>
            </w:r>
            <w:r>
              <w:rPr>
                <w:rFonts w:cs="Arial"/>
                <w:color w:val="000000" w:themeColor="text1"/>
              </w:rPr>
              <w:t xml:space="preserve">the </w:t>
            </w:r>
            <w:r w:rsidR="00D17017">
              <w:rPr>
                <w:rFonts w:cs="Arial"/>
                <w:color w:val="000000" w:themeColor="text1"/>
              </w:rPr>
              <w:t>Commission</w:t>
            </w:r>
            <w:r w:rsidR="00D17017" w:rsidRPr="00F464E5">
              <w:rPr>
                <w:rFonts w:cs="Arial"/>
                <w:color w:val="000000" w:themeColor="text1"/>
              </w:rPr>
              <w:t xml:space="preserve"> </w:t>
            </w:r>
            <w:r w:rsidRPr="00F464E5">
              <w:rPr>
                <w:rFonts w:cs="Arial"/>
                <w:color w:val="000000" w:themeColor="text1"/>
              </w:rPr>
              <w:t>to consult internationally on special measures</w:t>
            </w:r>
            <w:r>
              <w:rPr>
                <w:rFonts w:cs="Arial"/>
                <w:color w:val="000000" w:themeColor="text1"/>
              </w:rPr>
              <w:t xml:space="preserve"> to reduce workplace gender segregation</w:t>
            </w:r>
            <w:r w:rsidR="00E32193">
              <w:rPr>
                <w:rFonts w:cs="Arial"/>
                <w:color w:val="000000" w:themeColor="text1"/>
              </w:rPr>
              <w:t>, focusing on States comparable to Australia in this context</w:t>
            </w:r>
            <w:r w:rsidR="00F41102">
              <w:rPr>
                <w:rFonts w:cs="Arial"/>
                <w:color w:val="000000" w:themeColor="text1"/>
              </w:rPr>
              <w:t>.</w:t>
            </w:r>
            <w:r w:rsidR="00494A11" w:rsidRPr="00C134A7">
              <w:rPr>
                <w:rFonts w:cs="Arial"/>
                <w:color w:val="000000" w:themeColor="text1"/>
                <w:highlight w:val="yellow"/>
              </w:rPr>
              <w:t xml:space="preserve"> </w:t>
            </w:r>
          </w:p>
        </w:tc>
      </w:tr>
    </w:tbl>
    <w:p w14:paraId="051ABD82" w14:textId="77777777" w:rsidR="00AC6A9C" w:rsidRPr="00417405" w:rsidRDefault="00AC6A9C" w:rsidP="00741006">
      <w:pPr>
        <w:pStyle w:val="SubmissionNormal"/>
        <w:numPr>
          <w:ilvl w:val="0"/>
          <w:numId w:val="0"/>
        </w:numPr>
      </w:pPr>
    </w:p>
    <w:sectPr w:rsidR="00AC6A9C" w:rsidRPr="00417405" w:rsidSect="00D11F8D">
      <w:headerReference w:type="even" r:id="rId14"/>
      <w:headerReference w:type="default" r:id="rId15"/>
      <w:footerReference w:type="default" r:id="rId16"/>
      <w:headerReference w:type="first" r:id="rId17"/>
      <w:endnotePr>
        <w:numFmt w:val="decimal"/>
      </w:endnotePr>
      <w:pgSz w:w="11906" w:h="16838" w:code="9"/>
      <w:pgMar w:top="1134" w:right="849" w:bottom="100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77119" w14:textId="77777777" w:rsidR="00BF1CAB" w:rsidRDefault="00BF1CAB" w:rsidP="00F14C6D">
      <w:r>
        <w:separator/>
      </w:r>
    </w:p>
  </w:endnote>
  <w:endnote w:type="continuationSeparator" w:id="0">
    <w:p w14:paraId="03A9573F" w14:textId="77777777" w:rsidR="00BF1CAB" w:rsidRDefault="00BF1CAB" w:rsidP="00F14C6D">
      <w:r>
        <w:continuationSeparator/>
      </w:r>
    </w:p>
  </w:endnote>
  <w:endnote w:id="1">
    <w:p w14:paraId="00503EC0" w14:textId="527DCFED" w:rsidR="004244D9" w:rsidRPr="00C134A7" w:rsidRDefault="004244D9">
      <w:pPr>
        <w:pStyle w:val="EndnoteText"/>
        <w:rPr>
          <w:lang w:val="en-US"/>
        </w:rPr>
      </w:pPr>
      <w:r>
        <w:rPr>
          <w:rStyle w:val="EndnoteReference"/>
        </w:rPr>
        <w:endnoteRef/>
      </w:r>
      <w:r>
        <w:t xml:space="preserve"> </w:t>
      </w:r>
      <w:r w:rsidRPr="00C134A7">
        <w:rPr>
          <w:rFonts w:asciiTheme="minorHAnsi" w:hAnsiTheme="minorHAnsi" w:cs="Arial"/>
          <w:i/>
          <w:color w:val="000000" w:themeColor="text1"/>
          <w:sz w:val="16"/>
          <w:szCs w:val="16"/>
        </w:rPr>
        <w:t>WGEA fact sheet https://www.wgea.gov.au/sites/default/files/20160801_Industry_occupational_segregation_factsheet.pdf</w:t>
      </w:r>
    </w:p>
  </w:endnote>
  <w:endnote w:id="2">
    <w:p w14:paraId="3A09516B"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http://reports.weforum.org/global-gender-gap-report-2016/economies/#economy=AUS</w:t>
      </w:r>
    </w:p>
  </w:endnote>
  <w:endnote w:id="3">
    <w:p w14:paraId="12855BC7" w14:textId="77777777" w:rsidR="004244D9" w:rsidRPr="00D95AD0" w:rsidRDefault="004244D9" w:rsidP="00553014">
      <w:pPr>
        <w:pStyle w:val="EndnoteText"/>
        <w:rPr>
          <w:rFonts w:asciiTheme="minorHAnsi" w:hAnsiTheme="minorHAnsi"/>
          <w:color w:val="000000" w:themeColor="text1"/>
          <w:sz w:val="16"/>
          <w:szCs w:val="16"/>
          <w:lang w:val="en-US"/>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w:t>
      </w:r>
      <w:r w:rsidRPr="00D95AD0">
        <w:rPr>
          <w:rFonts w:asciiTheme="minorHAnsi" w:hAnsiTheme="minorHAnsi" w:cs="Arial"/>
          <w:i/>
          <w:color w:val="000000" w:themeColor="text1"/>
          <w:sz w:val="16"/>
          <w:szCs w:val="16"/>
        </w:rPr>
        <w:t>Findings from SDC 2016 engagement with Australian Women (“The Voices of Women in Australia” - Reflections on Conversations in Gender Equality, May – December 2016)</w:t>
      </w:r>
    </w:p>
  </w:endnote>
  <w:endnote w:id="4">
    <w:p w14:paraId="2D6C192C"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Committee on the Elimination of Discrimination against Women. At </w:t>
      </w:r>
      <w:hyperlink r:id="rId1" w:history="1">
        <w:r w:rsidRPr="00D95AD0">
          <w:rPr>
            <w:rStyle w:val="Hyperlink"/>
            <w:rFonts w:asciiTheme="minorHAnsi" w:hAnsiTheme="minorHAnsi"/>
            <w:color w:val="000000" w:themeColor="text1"/>
            <w:sz w:val="16"/>
            <w:szCs w:val="16"/>
          </w:rPr>
          <w:t>http://tbinternet.ohchr.org/_layouts/TreatyBodyExternal/Countries.aspx?CountryCode=AUS&amp;Lang=EN</w:t>
        </w:r>
      </w:hyperlink>
      <w:r w:rsidRPr="00D95AD0">
        <w:rPr>
          <w:rFonts w:asciiTheme="minorHAnsi" w:hAnsiTheme="minorHAnsi"/>
          <w:color w:val="000000" w:themeColor="text1"/>
          <w:sz w:val="16"/>
          <w:szCs w:val="16"/>
        </w:rPr>
        <w:t xml:space="preserve"> (viewed 23 October 2015).</w:t>
      </w:r>
    </w:p>
  </w:endnote>
  <w:endnote w:id="5">
    <w:p w14:paraId="270E6ACD"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Australian Human Rights Commission, </w:t>
      </w:r>
      <w:r w:rsidRPr="00D95AD0">
        <w:rPr>
          <w:rFonts w:asciiTheme="minorHAnsi" w:hAnsiTheme="minorHAnsi"/>
          <w:i/>
          <w:color w:val="000000" w:themeColor="text1"/>
          <w:sz w:val="16"/>
          <w:szCs w:val="16"/>
        </w:rPr>
        <w:t>Australia’s Implementation of the Convention on the Elimination of All Forms of Discrimination against Women (CEDAW)</w:t>
      </w:r>
      <w:r w:rsidRPr="00D95AD0">
        <w:rPr>
          <w:rFonts w:asciiTheme="minorHAnsi" w:hAnsiTheme="minorHAnsi"/>
          <w:color w:val="000000" w:themeColor="text1"/>
          <w:sz w:val="16"/>
          <w:szCs w:val="16"/>
        </w:rPr>
        <w:t xml:space="preserve">. At </w:t>
      </w:r>
      <w:hyperlink r:id="rId2" w:history="1">
        <w:r w:rsidRPr="00D95AD0">
          <w:rPr>
            <w:rStyle w:val="Hyperlink"/>
            <w:rFonts w:asciiTheme="minorHAnsi" w:hAnsiTheme="minorHAnsi"/>
            <w:color w:val="000000" w:themeColor="text1"/>
            <w:sz w:val="16"/>
            <w:szCs w:val="16"/>
          </w:rPr>
          <w:t>https://www.humanrights.gov.au/australia-s-implementation-convention-elimination-all-forms-discrimination-against-women-cedaw-2010</w:t>
        </w:r>
      </w:hyperlink>
      <w:r w:rsidRPr="00D95AD0">
        <w:rPr>
          <w:rFonts w:asciiTheme="minorHAnsi" w:hAnsiTheme="minorHAnsi"/>
          <w:color w:val="000000" w:themeColor="text1"/>
          <w:sz w:val="16"/>
          <w:szCs w:val="16"/>
        </w:rPr>
        <w:t xml:space="preserve"> (viewed 7 February 2017).</w:t>
      </w:r>
    </w:p>
  </w:endnote>
  <w:endnote w:id="6">
    <w:p w14:paraId="6F240EB1"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Committee on the Elimination of Discrimination against Women, </w:t>
      </w:r>
      <w:r w:rsidRPr="00D95AD0">
        <w:rPr>
          <w:rFonts w:asciiTheme="minorHAnsi" w:hAnsiTheme="minorHAnsi"/>
          <w:i/>
          <w:color w:val="000000" w:themeColor="text1"/>
          <w:sz w:val="16"/>
          <w:szCs w:val="16"/>
        </w:rPr>
        <w:t xml:space="preserve">Concluding observations of the Committee on the Elimination of Discrimination against Women, </w:t>
      </w:r>
      <w:r w:rsidRPr="00D95AD0">
        <w:rPr>
          <w:rFonts w:asciiTheme="minorHAnsi" w:hAnsiTheme="minorHAnsi"/>
          <w:color w:val="000000" w:themeColor="text1"/>
          <w:sz w:val="16"/>
          <w:szCs w:val="16"/>
        </w:rPr>
        <w:t>UN Doc CEDAW/C/AUL/CO/7</w:t>
      </w:r>
      <w:r w:rsidRPr="00D95AD0">
        <w:rPr>
          <w:rFonts w:asciiTheme="minorHAnsi" w:hAnsiTheme="minorHAnsi"/>
          <w:i/>
          <w:color w:val="000000" w:themeColor="text1"/>
          <w:sz w:val="16"/>
          <w:szCs w:val="16"/>
        </w:rPr>
        <w:t xml:space="preserve"> </w:t>
      </w:r>
      <w:r w:rsidRPr="00D95AD0">
        <w:rPr>
          <w:rFonts w:asciiTheme="minorHAnsi" w:hAnsiTheme="minorHAnsi"/>
          <w:color w:val="000000" w:themeColor="text1"/>
          <w:sz w:val="16"/>
          <w:szCs w:val="16"/>
        </w:rPr>
        <w:t xml:space="preserve">(July 2010), paras 38 and 39. At </w:t>
      </w:r>
      <w:hyperlink r:id="rId3" w:history="1">
        <w:r w:rsidRPr="00D95AD0">
          <w:rPr>
            <w:rStyle w:val="Hyperlink"/>
            <w:rFonts w:asciiTheme="minorHAnsi" w:hAnsiTheme="minorHAnsi"/>
            <w:color w:val="000000" w:themeColor="text1"/>
            <w:sz w:val="16"/>
            <w:szCs w:val="16"/>
          </w:rPr>
          <w:t>http://tbinternet.ohchr.org/_layouts/treatybodyexternal/Download.aspx?symbolno=CEDAW%2fC%2fAUL%2fCO%2f7&amp;Lang=en</w:t>
        </w:r>
      </w:hyperlink>
      <w:r w:rsidRPr="00D95AD0">
        <w:rPr>
          <w:rFonts w:asciiTheme="minorHAnsi" w:hAnsiTheme="minorHAnsi"/>
          <w:color w:val="000000" w:themeColor="text1"/>
          <w:sz w:val="16"/>
          <w:szCs w:val="16"/>
        </w:rPr>
        <w:t xml:space="preserve"> (viewed 7 February 2017).</w:t>
      </w:r>
    </w:p>
  </w:endnote>
  <w:endnote w:id="7">
    <w:p w14:paraId="55547C6F"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Committee on Economic, Social and Cultural Rights, </w:t>
      </w:r>
      <w:r w:rsidRPr="00D95AD0">
        <w:rPr>
          <w:rFonts w:asciiTheme="minorHAnsi" w:hAnsiTheme="minorHAnsi"/>
          <w:i/>
          <w:color w:val="000000" w:themeColor="text1"/>
          <w:sz w:val="16"/>
          <w:szCs w:val="16"/>
        </w:rPr>
        <w:t>Concluding Observations of the Committee on Economic, Social and Cultural Rights</w:t>
      </w:r>
      <w:r w:rsidRPr="00D95AD0">
        <w:rPr>
          <w:rFonts w:asciiTheme="minorHAnsi" w:hAnsiTheme="minorHAnsi"/>
          <w:color w:val="000000" w:themeColor="text1"/>
          <w:sz w:val="16"/>
          <w:szCs w:val="16"/>
        </w:rPr>
        <w:t xml:space="preserve">, UN Doc E/C.12/AUS/CO/4 (12 June 2009), para 17. At: </w:t>
      </w:r>
      <w:hyperlink r:id="rId4" w:history="1">
        <w:r w:rsidRPr="00D95AD0">
          <w:rPr>
            <w:rStyle w:val="Hyperlink"/>
            <w:rFonts w:asciiTheme="minorHAnsi" w:hAnsiTheme="minorHAnsi"/>
            <w:color w:val="000000" w:themeColor="text1"/>
            <w:sz w:val="16"/>
            <w:szCs w:val="16"/>
          </w:rPr>
          <w:t>http://tbinternet.ohchr.org/_layouts/treatybodyexternal/Download.aspx?symbolno=E%2fC.12%2fAUS%2fCO%2f4&amp;Lang=en</w:t>
        </w:r>
      </w:hyperlink>
      <w:r w:rsidRPr="00D95AD0">
        <w:rPr>
          <w:rFonts w:asciiTheme="minorHAnsi" w:hAnsiTheme="minorHAnsi"/>
          <w:color w:val="000000" w:themeColor="text1"/>
          <w:sz w:val="16"/>
          <w:szCs w:val="16"/>
        </w:rPr>
        <w:t xml:space="preserve"> (viewed 8 February 2017).</w:t>
      </w:r>
    </w:p>
  </w:endnote>
  <w:endnote w:id="8">
    <w:p w14:paraId="253689F7"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Workplace Gender Equality Agency, </w:t>
      </w:r>
      <w:r w:rsidRPr="00D95AD0">
        <w:rPr>
          <w:rFonts w:asciiTheme="minorHAnsi" w:hAnsiTheme="minorHAnsi"/>
          <w:i/>
          <w:color w:val="000000" w:themeColor="text1"/>
          <w:sz w:val="16"/>
          <w:szCs w:val="16"/>
        </w:rPr>
        <w:t>Gender segregation in Australia’s workforce</w:t>
      </w:r>
      <w:r w:rsidRPr="00D95AD0">
        <w:rPr>
          <w:rFonts w:asciiTheme="minorHAnsi" w:hAnsiTheme="minorHAnsi"/>
          <w:color w:val="000000" w:themeColor="text1"/>
          <w:sz w:val="16"/>
          <w:szCs w:val="16"/>
        </w:rPr>
        <w:t xml:space="preserve"> (August 2016). At </w:t>
      </w:r>
      <w:hyperlink r:id="rId5" w:history="1">
        <w:r w:rsidRPr="00D95AD0">
          <w:rPr>
            <w:rStyle w:val="Hyperlink"/>
            <w:rFonts w:asciiTheme="minorHAnsi" w:hAnsiTheme="minorHAnsi"/>
            <w:color w:val="000000" w:themeColor="text1"/>
            <w:sz w:val="16"/>
            <w:szCs w:val="16"/>
          </w:rPr>
          <w:t>https://www.wgea.gov.au/sites/default/files/20160801_Industry_occupational_segregation_factsheet.pdf</w:t>
        </w:r>
      </w:hyperlink>
      <w:r w:rsidRPr="00D95AD0">
        <w:rPr>
          <w:rFonts w:asciiTheme="minorHAnsi" w:hAnsiTheme="minorHAnsi"/>
          <w:color w:val="000000" w:themeColor="text1"/>
          <w:sz w:val="16"/>
          <w:szCs w:val="16"/>
        </w:rPr>
        <w:t xml:space="preserve"> (viewed 6 February 2017). </w:t>
      </w:r>
    </w:p>
  </w:endnote>
  <w:endnote w:id="9">
    <w:p w14:paraId="51B19C38" w14:textId="77777777" w:rsidR="004244D9" w:rsidRPr="00D95AD0" w:rsidRDefault="004244D9" w:rsidP="00F52077">
      <w:pPr>
        <w:pStyle w:val="EndnoteText"/>
        <w:rPr>
          <w:rFonts w:asciiTheme="minorHAnsi" w:hAnsiTheme="minorHAnsi"/>
          <w:color w:val="000000" w:themeColor="text1"/>
          <w:sz w:val="16"/>
          <w:szCs w:val="16"/>
          <w:lang w:val="en-US"/>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w:t>
      </w:r>
      <w:hyperlink r:id="rId6" w:history="1">
        <w:r w:rsidRPr="00D95AD0">
          <w:rPr>
            <w:rStyle w:val="Hyperlink"/>
            <w:rFonts w:asciiTheme="minorHAnsi" w:hAnsiTheme="minorHAnsi" w:cs="Arial"/>
            <w:color w:val="000000" w:themeColor="text1"/>
            <w:sz w:val="16"/>
            <w:szCs w:val="16"/>
          </w:rPr>
          <w:t>https://www.wgea.gov.au/sites/default/files/20160801_Industry_occupational_segregation_factsheet.pdf</w:t>
        </w:r>
      </w:hyperlink>
    </w:p>
  </w:endnote>
  <w:endnote w:id="10">
    <w:p w14:paraId="5CF921A4" w14:textId="77777777" w:rsidR="004244D9" w:rsidRPr="00D95AD0" w:rsidRDefault="004244D9" w:rsidP="00553014">
      <w:pPr>
        <w:pStyle w:val="EndnoteText"/>
        <w:rPr>
          <w:rFonts w:asciiTheme="minorHAnsi" w:hAnsiTheme="minorHAnsi" w:cs="Arial"/>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s="Arial"/>
          <w:color w:val="000000" w:themeColor="text1"/>
          <w:sz w:val="16"/>
          <w:szCs w:val="16"/>
        </w:rPr>
        <w:t xml:space="preserve"> Australian Institute of Company Directors, </w:t>
      </w:r>
      <w:r w:rsidRPr="00D95AD0">
        <w:rPr>
          <w:rFonts w:asciiTheme="minorHAnsi" w:hAnsiTheme="minorHAnsi" w:cs="Arial"/>
          <w:i/>
          <w:color w:val="000000" w:themeColor="text1"/>
          <w:sz w:val="16"/>
          <w:szCs w:val="16"/>
        </w:rPr>
        <w:t>Board Diversity Statistics</w:t>
      </w:r>
      <w:r w:rsidRPr="00D95AD0">
        <w:rPr>
          <w:rFonts w:asciiTheme="minorHAnsi" w:hAnsiTheme="minorHAnsi" w:cs="Arial"/>
          <w:color w:val="000000" w:themeColor="text1"/>
          <w:sz w:val="16"/>
          <w:szCs w:val="16"/>
        </w:rPr>
        <w:t xml:space="preserve">, (2016) At: </w:t>
      </w:r>
      <w:hyperlink r:id="rId7" w:history="1">
        <w:r w:rsidRPr="00D95AD0">
          <w:rPr>
            <w:rStyle w:val="Hyperlink"/>
            <w:rFonts w:asciiTheme="minorHAnsi" w:hAnsiTheme="minorHAnsi" w:cs="Arial"/>
            <w:color w:val="000000" w:themeColor="text1"/>
            <w:sz w:val="16"/>
            <w:szCs w:val="16"/>
          </w:rPr>
          <w:t>http://www.companydirectors.com.au/director-resource-centre/governance-and-director-issues/board-diversity/statistics</w:t>
        </w:r>
      </w:hyperlink>
      <w:r w:rsidRPr="00D95AD0">
        <w:rPr>
          <w:rFonts w:asciiTheme="minorHAnsi" w:hAnsiTheme="minorHAnsi" w:cs="Arial"/>
          <w:color w:val="000000" w:themeColor="text1"/>
          <w:sz w:val="16"/>
          <w:szCs w:val="16"/>
        </w:rPr>
        <w:t xml:space="preserve"> </w:t>
      </w:r>
      <w:r w:rsidRPr="00D95AD0">
        <w:rPr>
          <w:rStyle w:val="Hyperlink"/>
          <w:rFonts w:asciiTheme="minorHAnsi" w:hAnsiTheme="minorHAnsi" w:cs="Arial"/>
          <w:color w:val="000000" w:themeColor="text1"/>
          <w:sz w:val="16"/>
          <w:szCs w:val="16"/>
        </w:rPr>
        <w:t xml:space="preserve">(viewed 2 September 2016); </w:t>
      </w:r>
      <w:r w:rsidRPr="00D95AD0">
        <w:rPr>
          <w:rFonts w:asciiTheme="minorHAnsi" w:hAnsiTheme="minorHAnsi" w:cs="Arial"/>
          <w:color w:val="000000" w:themeColor="text1"/>
          <w:sz w:val="16"/>
          <w:szCs w:val="16"/>
        </w:rPr>
        <w:t xml:space="preserve">Workplace Gender Equality Agency, </w:t>
      </w:r>
      <w:r w:rsidRPr="00D95AD0">
        <w:rPr>
          <w:rFonts w:asciiTheme="minorHAnsi" w:hAnsiTheme="minorHAnsi" w:cs="Arial"/>
          <w:i/>
          <w:iCs/>
          <w:color w:val="000000" w:themeColor="text1"/>
          <w:sz w:val="16"/>
          <w:szCs w:val="16"/>
        </w:rPr>
        <w:t xml:space="preserve">Gender Work Place Statistics At A Glance </w:t>
      </w:r>
      <w:r w:rsidRPr="00D95AD0">
        <w:rPr>
          <w:rFonts w:asciiTheme="minorHAnsi" w:hAnsiTheme="minorHAnsi" w:cs="Arial"/>
          <w:color w:val="000000" w:themeColor="text1"/>
          <w:sz w:val="16"/>
          <w:szCs w:val="16"/>
        </w:rPr>
        <w:t xml:space="preserve">(2016),1. At </w:t>
      </w:r>
      <w:hyperlink r:id="rId8" w:history="1">
        <w:r w:rsidRPr="00D95AD0">
          <w:rPr>
            <w:rStyle w:val="Hyperlink"/>
            <w:rFonts w:asciiTheme="minorHAnsi" w:hAnsiTheme="minorHAnsi"/>
            <w:color w:val="000000" w:themeColor="text1"/>
            <w:sz w:val="16"/>
            <w:szCs w:val="16"/>
          </w:rPr>
          <w:t>https://www.wgea.gov.au/fact-sheets-and-research-reports/fact-sheets-and-statistics</w:t>
        </w:r>
      </w:hyperlink>
      <w:r w:rsidRPr="00D95AD0">
        <w:rPr>
          <w:rFonts w:asciiTheme="minorHAnsi" w:hAnsiTheme="minorHAnsi"/>
          <w:color w:val="000000" w:themeColor="text1"/>
          <w:sz w:val="16"/>
          <w:szCs w:val="16"/>
        </w:rPr>
        <w:t xml:space="preserve"> </w:t>
      </w:r>
      <w:r w:rsidRPr="00D95AD0">
        <w:rPr>
          <w:rFonts w:asciiTheme="minorHAnsi" w:hAnsiTheme="minorHAnsi" w:cs="Arial"/>
          <w:color w:val="000000" w:themeColor="text1"/>
          <w:sz w:val="16"/>
          <w:szCs w:val="16"/>
        </w:rPr>
        <w:t xml:space="preserve"> </w:t>
      </w:r>
      <w:r w:rsidRPr="00D95AD0">
        <w:rPr>
          <w:rStyle w:val="Hyperlink"/>
          <w:rFonts w:asciiTheme="minorHAnsi" w:hAnsiTheme="minorHAnsi" w:cs="Arial"/>
          <w:color w:val="000000" w:themeColor="text1"/>
          <w:sz w:val="16"/>
          <w:szCs w:val="16"/>
          <w:u w:val="none"/>
        </w:rPr>
        <w:t xml:space="preserve">(viewed 19 August 2016); </w:t>
      </w:r>
      <w:r w:rsidRPr="00D95AD0">
        <w:rPr>
          <w:rFonts w:asciiTheme="minorHAnsi" w:hAnsiTheme="minorHAnsi" w:cs="Arial"/>
          <w:color w:val="000000" w:themeColor="text1"/>
          <w:sz w:val="16"/>
          <w:szCs w:val="16"/>
        </w:rPr>
        <w:t xml:space="preserve">Workplace Gender Equality Agency, </w:t>
      </w:r>
      <w:r w:rsidRPr="00D95AD0">
        <w:rPr>
          <w:rFonts w:asciiTheme="minorHAnsi" w:hAnsiTheme="minorHAnsi" w:cs="Arial"/>
          <w:i/>
          <w:color w:val="000000" w:themeColor="text1"/>
          <w:sz w:val="16"/>
          <w:szCs w:val="16"/>
        </w:rPr>
        <w:t>2012 Australian Census of Women in Leadership</w:t>
      </w:r>
      <w:r w:rsidRPr="00D95AD0">
        <w:rPr>
          <w:rFonts w:asciiTheme="minorHAnsi" w:hAnsiTheme="minorHAnsi" w:cs="Arial"/>
          <w:color w:val="000000" w:themeColor="text1"/>
          <w:sz w:val="16"/>
          <w:szCs w:val="16"/>
        </w:rPr>
        <w:t xml:space="preserve"> (2012). At </w:t>
      </w:r>
      <w:hyperlink r:id="rId9" w:history="1">
        <w:r w:rsidRPr="00D95AD0">
          <w:rPr>
            <w:rStyle w:val="Hyperlink"/>
            <w:rFonts w:asciiTheme="minorHAnsi" w:hAnsiTheme="minorHAnsi" w:cs="Arial"/>
            <w:color w:val="000000" w:themeColor="text1"/>
            <w:sz w:val="16"/>
            <w:szCs w:val="16"/>
          </w:rPr>
          <w:t>https://www.wgea.gov.au/sites/default/files/2012_census_summary_tag.pdf</w:t>
        </w:r>
      </w:hyperlink>
      <w:r w:rsidRPr="00D95AD0">
        <w:rPr>
          <w:rStyle w:val="Hyperlink"/>
          <w:rFonts w:asciiTheme="minorHAnsi" w:hAnsiTheme="minorHAnsi" w:cs="Arial"/>
          <w:color w:val="000000" w:themeColor="text1"/>
          <w:sz w:val="16"/>
          <w:szCs w:val="16"/>
        </w:rPr>
        <w:t xml:space="preserve"> </w:t>
      </w:r>
      <w:r w:rsidRPr="00D95AD0">
        <w:rPr>
          <w:rStyle w:val="Hyperlink"/>
          <w:rFonts w:asciiTheme="minorHAnsi" w:hAnsiTheme="minorHAnsi" w:cs="Arial"/>
          <w:color w:val="000000" w:themeColor="text1"/>
          <w:sz w:val="16"/>
          <w:szCs w:val="16"/>
          <w:u w:val="none"/>
        </w:rPr>
        <w:t>(viewed 22 February 2016)</w:t>
      </w:r>
      <w:r w:rsidRPr="00D95AD0">
        <w:rPr>
          <w:rFonts w:asciiTheme="minorHAnsi" w:hAnsiTheme="minorHAnsi" w:cs="Arial"/>
          <w:color w:val="000000" w:themeColor="text1"/>
          <w:sz w:val="16"/>
          <w:szCs w:val="16"/>
        </w:rPr>
        <w:t>.</w:t>
      </w:r>
    </w:p>
  </w:endnote>
  <w:endnote w:id="11">
    <w:p w14:paraId="5C8C780D"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Australian Government, </w:t>
      </w:r>
      <w:r w:rsidRPr="00D95AD0">
        <w:rPr>
          <w:rFonts w:asciiTheme="minorHAnsi" w:hAnsiTheme="minorHAnsi"/>
          <w:i/>
          <w:color w:val="000000" w:themeColor="text1"/>
          <w:sz w:val="16"/>
          <w:szCs w:val="16"/>
        </w:rPr>
        <w:t xml:space="preserve">Balancing the Future: The Australian Public Service Gender Equality Strategy 2016-19 </w:t>
      </w:r>
      <w:r w:rsidRPr="00D95AD0">
        <w:rPr>
          <w:rFonts w:asciiTheme="minorHAnsi" w:hAnsiTheme="minorHAnsi"/>
          <w:color w:val="000000" w:themeColor="text1"/>
          <w:sz w:val="16"/>
          <w:szCs w:val="16"/>
        </w:rPr>
        <w:t xml:space="preserve">(2016). At </w:t>
      </w:r>
      <w:hyperlink r:id="rId10" w:history="1">
        <w:r w:rsidRPr="00D95AD0">
          <w:rPr>
            <w:rStyle w:val="Hyperlink"/>
            <w:rFonts w:asciiTheme="minorHAnsi" w:hAnsiTheme="minorHAnsi"/>
            <w:color w:val="000000" w:themeColor="text1"/>
            <w:sz w:val="16"/>
            <w:szCs w:val="16"/>
          </w:rPr>
          <w:t>http://www.apsc.gov.au/__data/assets/pdf_file/0017/80117/FINAL-Balancing-the-future-the-Australian-Public-Service-gender-equality-strategy-2016-19.pdf</w:t>
        </w:r>
      </w:hyperlink>
      <w:r w:rsidRPr="00D95AD0">
        <w:rPr>
          <w:rStyle w:val="Hyperlink"/>
          <w:rFonts w:asciiTheme="minorHAnsi" w:hAnsiTheme="minorHAnsi"/>
          <w:color w:val="000000" w:themeColor="text1"/>
          <w:sz w:val="16"/>
          <w:szCs w:val="16"/>
        </w:rPr>
        <w:t xml:space="preserve"> (viewed 10 August 2016).</w:t>
      </w:r>
    </w:p>
  </w:endnote>
  <w:endnote w:id="12">
    <w:p w14:paraId="0D8961FD"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McKinsey&amp;Company</w:t>
      </w:r>
      <w:r w:rsidRPr="00D95AD0">
        <w:rPr>
          <w:rFonts w:asciiTheme="minorHAnsi" w:hAnsiTheme="minorHAnsi"/>
          <w:i/>
          <w:color w:val="000000" w:themeColor="text1"/>
          <w:sz w:val="16"/>
          <w:szCs w:val="16"/>
        </w:rPr>
        <w:t>, Women Matter 2016: Reinventing the workplace to unlock the potential of gender diversity (2016)</w:t>
      </w:r>
      <w:r w:rsidRPr="00D95AD0">
        <w:rPr>
          <w:rFonts w:asciiTheme="minorHAnsi" w:hAnsiTheme="minorHAnsi"/>
          <w:color w:val="000000" w:themeColor="text1"/>
          <w:sz w:val="16"/>
          <w:szCs w:val="16"/>
        </w:rPr>
        <w:t xml:space="preserve">. At: </w:t>
      </w:r>
      <w:hyperlink r:id="rId11" w:history="1">
        <w:r w:rsidRPr="00D95AD0">
          <w:rPr>
            <w:rStyle w:val="Hyperlink"/>
            <w:rFonts w:asciiTheme="minorHAnsi" w:hAnsiTheme="minorHAnsi"/>
            <w:color w:val="000000" w:themeColor="text1"/>
            <w:sz w:val="16"/>
            <w:szCs w:val="16"/>
          </w:rPr>
          <w:t>http://www.mckinsey.com/global-themes/women-matter/reinventing-the-workplace-for-greater-gender-diversity</w:t>
        </w:r>
      </w:hyperlink>
      <w:r w:rsidRPr="00D95AD0">
        <w:rPr>
          <w:rFonts w:asciiTheme="minorHAnsi" w:hAnsiTheme="minorHAnsi"/>
          <w:color w:val="000000" w:themeColor="text1"/>
          <w:sz w:val="16"/>
          <w:szCs w:val="16"/>
        </w:rPr>
        <w:t xml:space="preserve"> (viewed 8 February 2017).</w:t>
      </w:r>
    </w:p>
  </w:endnote>
  <w:endnote w:id="13">
    <w:p w14:paraId="21EE9F0A" w14:textId="77777777" w:rsidR="004244D9" w:rsidRPr="00D95AD0" w:rsidRDefault="004244D9" w:rsidP="00553014">
      <w:pPr>
        <w:pStyle w:val="EndnoteText"/>
        <w:rPr>
          <w:rFonts w:asciiTheme="minorHAnsi" w:hAnsiTheme="minorHAnsi"/>
          <w:color w:val="000000" w:themeColor="text1"/>
          <w:sz w:val="16"/>
          <w:szCs w:val="16"/>
          <w:lang w:val="en-US"/>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Australian Human Rights Commission, </w:t>
      </w:r>
      <w:r w:rsidRPr="00D95AD0">
        <w:rPr>
          <w:rFonts w:asciiTheme="minorHAnsi" w:hAnsiTheme="minorHAnsi"/>
          <w:i/>
          <w:color w:val="000000" w:themeColor="text1"/>
          <w:sz w:val="16"/>
          <w:szCs w:val="16"/>
        </w:rPr>
        <w:t>Women in male-dominated industries: A toolkit of strategies</w:t>
      </w:r>
      <w:r w:rsidRPr="00D95AD0">
        <w:rPr>
          <w:rFonts w:asciiTheme="minorHAnsi" w:hAnsiTheme="minorHAnsi"/>
          <w:color w:val="000000" w:themeColor="text1"/>
          <w:sz w:val="16"/>
          <w:szCs w:val="16"/>
        </w:rPr>
        <w:t xml:space="preserve"> (2013), at </w:t>
      </w:r>
      <w:hyperlink r:id="rId12" w:history="1">
        <w:r w:rsidRPr="00D95AD0">
          <w:rPr>
            <w:rStyle w:val="Hyperlink"/>
            <w:rFonts w:asciiTheme="minorHAnsi" w:hAnsiTheme="minorHAnsi" w:cs="Arial"/>
            <w:color w:val="000000" w:themeColor="text1"/>
            <w:sz w:val="16"/>
            <w:szCs w:val="16"/>
          </w:rPr>
          <w:t>http://www.humanrights.gov.au/women-male-dominated-industries-toolkit-strategies</w:t>
        </w:r>
      </w:hyperlink>
      <w:r w:rsidRPr="00D95AD0">
        <w:rPr>
          <w:rStyle w:val="Hyperlink"/>
          <w:rFonts w:asciiTheme="minorHAnsi" w:hAnsiTheme="minorHAnsi" w:cs="Arial"/>
          <w:color w:val="000000" w:themeColor="text1"/>
          <w:sz w:val="16"/>
          <w:szCs w:val="16"/>
        </w:rPr>
        <w:t xml:space="preserve"> (viewed 1 February 2017).</w:t>
      </w:r>
    </w:p>
  </w:endnote>
  <w:endnote w:id="14">
    <w:p w14:paraId="7BF0DD2F" w14:textId="77777777" w:rsidR="004244D9" w:rsidRPr="00D95AD0" w:rsidRDefault="004244D9" w:rsidP="00553014">
      <w:pPr>
        <w:pStyle w:val="Body"/>
        <w:rPr>
          <w:rFonts w:asciiTheme="minorHAnsi" w:eastAsia="Calibri" w:hAnsiTheme="minorHAnsi" w:cs="Arial"/>
          <w:bCs/>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w:t>
      </w:r>
      <w:r w:rsidRPr="00D95AD0">
        <w:rPr>
          <w:rFonts w:asciiTheme="minorHAnsi" w:eastAsia="Calibri" w:hAnsiTheme="minorHAnsi" w:cs="Arial"/>
          <w:bCs/>
          <w:color w:val="000000" w:themeColor="text1"/>
          <w:sz w:val="16"/>
          <w:szCs w:val="16"/>
          <w:lang w:val="en-US"/>
        </w:rPr>
        <w:t>CEDA Women in Leadership: Diversity and equity priorities</w:t>
      </w:r>
      <w:r w:rsidRPr="00D95AD0">
        <w:rPr>
          <w:rFonts w:asciiTheme="minorHAnsi" w:eastAsia="Calibri" w:hAnsiTheme="minorHAnsi" w:cs="Arial"/>
          <w:bCs/>
          <w:color w:val="000000" w:themeColor="text1"/>
          <w:sz w:val="16"/>
          <w:szCs w:val="16"/>
        </w:rPr>
        <w:t>, 16 November 2016</w:t>
      </w:r>
    </w:p>
    <w:p w14:paraId="626258EC" w14:textId="77777777" w:rsidR="004244D9" w:rsidRPr="00D95AD0" w:rsidRDefault="004244D9" w:rsidP="00553014">
      <w:pPr>
        <w:pStyle w:val="Body"/>
        <w:rPr>
          <w:rFonts w:asciiTheme="minorHAnsi" w:eastAsia="Calibri" w:hAnsiTheme="minorHAnsi" w:cs="Arial"/>
          <w:bCs/>
          <w:color w:val="000000" w:themeColor="text1"/>
          <w:sz w:val="16"/>
          <w:szCs w:val="16"/>
        </w:rPr>
      </w:pPr>
      <w:r w:rsidRPr="00D95AD0">
        <w:rPr>
          <w:rFonts w:asciiTheme="minorHAnsi" w:eastAsia="Calibri" w:hAnsiTheme="minorHAnsi" w:cs="Arial"/>
          <w:bCs/>
          <w:color w:val="000000" w:themeColor="text1"/>
          <w:sz w:val="16"/>
          <w:szCs w:val="16"/>
        </w:rPr>
        <w:t>Brisbane, Queensland</w:t>
      </w:r>
    </w:p>
  </w:endnote>
  <w:endnote w:id="15">
    <w:p w14:paraId="0CAAB970" w14:textId="77777777" w:rsidR="004244D9" w:rsidRPr="00D95AD0" w:rsidRDefault="004244D9" w:rsidP="00F76452">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Senate Standing Committee on Economics, </w:t>
      </w:r>
      <w:r w:rsidRPr="00D95AD0">
        <w:rPr>
          <w:rFonts w:asciiTheme="minorHAnsi" w:hAnsiTheme="minorHAnsi" w:cs="Arial"/>
          <w:bCs/>
          <w:i/>
          <w:color w:val="000000" w:themeColor="text1"/>
          <w:sz w:val="16"/>
          <w:szCs w:val="16"/>
        </w:rPr>
        <w:t>'A husband is not a retirement plan' Achieving economic security for women in retirement</w:t>
      </w:r>
      <w:r w:rsidRPr="00D95AD0">
        <w:rPr>
          <w:rFonts w:asciiTheme="minorHAnsi" w:hAnsiTheme="minorHAnsi" w:cs="Arial"/>
          <w:color w:val="000000" w:themeColor="text1"/>
          <w:sz w:val="16"/>
          <w:szCs w:val="16"/>
        </w:rPr>
        <w:t xml:space="preserve"> (2016), At  </w:t>
      </w:r>
      <w:hyperlink r:id="rId13" w:history="1">
        <w:r w:rsidRPr="00D95AD0">
          <w:rPr>
            <w:rStyle w:val="Hyperlink"/>
            <w:rFonts w:asciiTheme="minorHAnsi" w:hAnsiTheme="minorHAnsi" w:cs="Arial"/>
            <w:color w:val="000000" w:themeColor="text1"/>
            <w:sz w:val="16"/>
            <w:szCs w:val="16"/>
          </w:rPr>
          <w:t>http://www.aph.gov.au/Parliamentary_Business/Committees/Senate/Economics/Economic_security_for_women_in_retirement</w:t>
        </w:r>
      </w:hyperlink>
      <w:r w:rsidRPr="00D95AD0">
        <w:rPr>
          <w:rFonts w:asciiTheme="minorHAnsi" w:hAnsiTheme="minorHAnsi"/>
          <w:color w:val="000000" w:themeColor="text1"/>
          <w:sz w:val="16"/>
          <w:szCs w:val="16"/>
        </w:rPr>
        <w:t xml:space="preserve"> (viewed 1 July 2016).</w:t>
      </w:r>
    </w:p>
  </w:endnote>
  <w:endnote w:id="16">
    <w:p w14:paraId="0C98A3AE" w14:textId="77777777" w:rsidR="004244D9" w:rsidRPr="00D95AD0" w:rsidRDefault="004244D9" w:rsidP="00F76452">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Australian Human Rights Commission, </w:t>
      </w:r>
      <w:r w:rsidRPr="00D95AD0">
        <w:rPr>
          <w:rFonts w:asciiTheme="minorHAnsi" w:hAnsiTheme="minorHAnsi"/>
          <w:i/>
          <w:color w:val="000000" w:themeColor="text1"/>
          <w:sz w:val="16"/>
          <w:szCs w:val="16"/>
        </w:rPr>
        <w:t>Accumulating poverty? Women’s experiences of inequality over the lifecycle</w:t>
      </w:r>
      <w:r w:rsidRPr="00D95AD0">
        <w:rPr>
          <w:rFonts w:asciiTheme="minorHAnsi" w:hAnsiTheme="minorHAnsi"/>
          <w:color w:val="000000" w:themeColor="text1"/>
          <w:sz w:val="16"/>
          <w:szCs w:val="16"/>
        </w:rPr>
        <w:t xml:space="preserve">, (2009). At </w:t>
      </w:r>
      <w:hyperlink r:id="rId14" w:history="1">
        <w:r w:rsidRPr="00D95AD0">
          <w:rPr>
            <w:rStyle w:val="Hyperlink"/>
            <w:rFonts w:asciiTheme="minorHAnsi" w:hAnsiTheme="minorHAnsi"/>
            <w:color w:val="000000" w:themeColor="text1"/>
            <w:sz w:val="16"/>
            <w:szCs w:val="16"/>
            <w:lang w:val="en"/>
          </w:rPr>
          <w:t>http://www.humanrights.gov.au/sex_discrimination/publication/gender_gap/</w:t>
        </w:r>
      </w:hyperlink>
      <w:r w:rsidRPr="00D95AD0">
        <w:rPr>
          <w:rFonts w:asciiTheme="minorHAnsi" w:hAnsiTheme="minorHAnsi"/>
          <w:color w:val="000000" w:themeColor="text1"/>
          <w:sz w:val="16"/>
          <w:szCs w:val="16"/>
          <w:lang w:val="en"/>
        </w:rPr>
        <w:t xml:space="preserve">. </w:t>
      </w:r>
    </w:p>
  </w:endnote>
  <w:endnote w:id="17">
    <w:p w14:paraId="71FA3185"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Workplace Gender Equality Agency, </w:t>
      </w:r>
      <w:r w:rsidRPr="00D95AD0">
        <w:rPr>
          <w:rFonts w:asciiTheme="minorHAnsi" w:hAnsiTheme="minorHAnsi"/>
          <w:i/>
          <w:color w:val="000000" w:themeColor="text1"/>
          <w:sz w:val="16"/>
          <w:szCs w:val="16"/>
        </w:rPr>
        <w:t xml:space="preserve">Australia’s gender equality scorecard </w:t>
      </w:r>
      <w:r w:rsidRPr="00D95AD0">
        <w:rPr>
          <w:rFonts w:asciiTheme="minorHAnsi" w:hAnsiTheme="minorHAnsi"/>
          <w:color w:val="000000" w:themeColor="text1"/>
          <w:sz w:val="16"/>
          <w:szCs w:val="16"/>
        </w:rPr>
        <w:t xml:space="preserve">(November 2016). At </w:t>
      </w:r>
      <w:hyperlink r:id="rId15" w:history="1">
        <w:r w:rsidRPr="00D95AD0">
          <w:rPr>
            <w:rStyle w:val="Hyperlink"/>
            <w:rFonts w:asciiTheme="minorHAnsi" w:hAnsiTheme="minorHAnsi"/>
            <w:color w:val="000000" w:themeColor="text1"/>
            <w:sz w:val="16"/>
            <w:szCs w:val="16"/>
          </w:rPr>
          <w:t>https://www.google.com.au/url?sa=t&amp;rct=j&amp;q=&amp;esrc=s&amp;source=web&amp;cd=2&amp;cad=rja&amp;uact=8&amp;ved=0ahUKEwiugOSlwr7RAhWBE5QKHe2wAZ0QFgggMAE&amp;url=https%3A%2F%2Fwww.wgea.gov.au%2Fsites%2Fdefault%2Ffiles%2F80653_2015-16-gender-equality-scorecard.pdf&amp;usg=AFQjCNEwfbUW-ZwYe_1pp5gtJd8b9X09ew&amp;bvm=bv.144224172,d.dGo</w:t>
        </w:r>
      </w:hyperlink>
      <w:r w:rsidRPr="00D95AD0">
        <w:rPr>
          <w:rFonts w:asciiTheme="minorHAnsi" w:hAnsiTheme="minorHAnsi"/>
          <w:color w:val="000000" w:themeColor="text1"/>
          <w:sz w:val="16"/>
          <w:szCs w:val="16"/>
        </w:rPr>
        <w:t xml:space="preserve"> (viewed 13 January 2017).</w:t>
      </w:r>
    </w:p>
  </w:endnote>
  <w:endnote w:id="18">
    <w:p w14:paraId="264AA8B7"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KPMG, </w:t>
      </w:r>
      <w:r w:rsidRPr="00D95AD0">
        <w:rPr>
          <w:rFonts w:asciiTheme="minorHAnsi" w:hAnsiTheme="minorHAnsi"/>
          <w:i/>
          <w:color w:val="000000" w:themeColor="text1"/>
          <w:sz w:val="16"/>
          <w:szCs w:val="16"/>
        </w:rPr>
        <w:t>She’s Price(d)less: The economics of the gender pay gap. Update Report prepared for Diversity Council Australia (DCA) and the Workplace Gender Equality Agency</w:t>
      </w:r>
      <w:r w:rsidRPr="00D95AD0">
        <w:rPr>
          <w:rFonts w:asciiTheme="minorHAnsi" w:hAnsiTheme="minorHAnsi"/>
          <w:color w:val="000000" w:themeColor="text1"/>
          <w:sz w:val="16"/>
          <w:szCs w:val="16"/>
        </w:rPr>
        <w:t xml:space="preserve"> (October 2016). At </w:t>
      </w:r>
      <w:hyperlink r:id="rId16" w:history="1">
        <w:r w:rsidRPr="00D95AD0">
          <w:rPr>
            <w:rStyle w:val="Hyperlink"/>
            <w:rFonts w:asciiTheme="minorHAnsi" w:hAnsiTheme="minorHAnsi"/>
            <w:color w:val="000000" w:themeColor="text1"/>
            <w:sz w:val="16"/>
            <w:szCs w:val="16"/>
          </w:rPr>
          <w:t>https://home.kpmg.com/au/en/home/insights/2016/10/gender-pay-gap-economics.html</w:t>
        </w:r>
      </w:hyperlink>
      <w:r w:rsidRPr="00D95AD0">
        <w:rPr>
          <w:rFonts w:asciiTheme="minorHAnsi" w:hAnsiTheme="minorHAnsi"/>
          <w:color w:val="000000" w:themeColor="text1"/>
          <w:sz w:val="16"/>
          <w:szCs w:val="16"/>
        </w:rPr>
        <w:t xml:space="preserve"> (viewed 6 February 2017). </w:t>
      </w:r>
    </w:p>
  </w:endnote>
  <w:endnote w:id="19">
    <w:p w14:paraId="19372F74"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KPMG, </w:t>
      </w:r>
      <w:r w:rsidRPr="00D95AD0">
        <w:rPr>
          <w:rFonts w:asciiTheme="minorHAnsi" w:hAnsiTheme="minorHAnsi"/>
          <w:i/>
          <w:color w:val="000000" w:themeColor="text1"/>
          <w:sz w:val="16"/>
          <w:szCs w:val="16"/>
        </w:rPr>
        <w:t>She’s Price(d)less: The economics of the gender pay gap. Update Report prepared for Diversity Council Australia (DCA) and the Workplace Gender Equality Agency</w:t>
      </w:r>
      <w:r w:rsidRPr="00D95AD0">
        <w:rPr>
          <w:rFonts w:asciiTheme="minorHAnsi" w:hAnsiTheme="minorHAnsi"/>
          <w:color w:val="000000" w:themeColor="text1"/>
          <w:sz w:val="16"/>
          <w:szCs w:val="16"/>
        </w:rPr>
        <w:t xml:space="preserve"> (October 2016). At </w:t>
      </w:r>
      <w:hyperlink r:id="rId17" w:history="1">
        <w:r w:rsidRPr="00D95AD0">
          <w:rPr>
            <w:rStyle w:val="Hyperlink"/>
            <w:rFonts w:asciiTheme="minorHAnsi" w:hAnsiTheme="minorHAnsi"/>
            <w:color w:val="000000" w:themeColor="text1"/>
            <w:sz w:val="16"/>
            <w:szCs w:val="16"/>
          </w:rPr>
          <w:t>https://home.kpmg.com/au/en/home/insights/2016/10/gender-pay-gap-economics.html</w:t>
        </w:r>
      </w:hyperlink>
      <w:r w:rsidRPr="00D95AD0">
        <w:rPr>
          <w:rFonts w:asciiTheme="minorHAnsi" w:hAnsiTheme="minorHAnsi"/>
          <w:color w:val="000000" w:themeColor="text1"/>
          <w:sz w:val="16"/>
          <w:szCs w:val="16"/>
        </w:rPr>
        <w:t xml:space="preserve"> (viewed 6 February 2017). </w:t>
      </w:r>
    </w:p>
  </w:endnote>
  <w:endnote w:id="20">
    <w:p w14:paraId="7F87B4BF" w14:textId="77777777" w:rsidR="004244D9" w:rsidRPr="00D95AD0" w:rsidRDefault="004244D9" w:rsidP="00F76452">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Australian Bureau of Statistics, </w:t>
      </w:r>
      <w:r w:rsidRPr="00D95AD0">
        <w:rPr>
          <w:rFonts w:asciiTheme="minorHAnsi" w:hAnsiTheme="minorHAnsi" w:cs="Arial"/>
          <w:i/>
          <w:color w:val="000000" w:themeColor="text1"/>
          <w:sz w:val="16"/>
          <w:szCs w:val="16"/>
        </w:rPr>
        <w:t xml:space="preserve">6302.0 Average weekly earnings, Australia </w:t>
      </w:r>
      <w:r w:rsidRPr="00D95AD0">
        <w:rPr>
          <w:rFonts w:asciiTheme="minorHAnsi" w:hAnsiTheme="minorHAnsi" w:cs="Arial"/>
          <w:color w:val="000000" w:themeColor="text1"/>
          <w:sz w:val="16"/>
          <w:szCs w:val="16"/>
        </w:rPr>
        <w:t xml:space="preserve">(May 2016). At: </w:t>
      </w:r>
      <w:hyperlink r:id="rId18" w:history="1">
        <w:r w:rsidRPr="00D95AD0">
          <w:rPr>
            <w:rStyle w:val="Hyperlink"/>
            <w:rFonts w:asciiTheme="minorHAnsi" w:hAnsiTheme="minorHAnsi" w:cs="Arial"/>
            <w:color w:val="000000" w:themeColor="text1"/>
            <w:sz w:val="16"/>
            <w:szCs w:val="16"/>
          </w:rPr>
          <w:t>http://www.abs.gov.au/ausstats/abs@.nsf/mf/6302.0/</w:t>
        </w:r>
      </w:hyperlink>
      <w:r w:rsidRPr="00D95AD0">
        <w:rPr>
          <w:rFonts w:asciiTheme="minorHAnsi" w:hAnsiTheme="minorHAnsi" w:cs="Arial"/>
          <w:color w:val="000000" w:themeColor="text1"/>
          <w:sz w:val="16"/>
          <w:szCs w:val="16"/>
        </w:rPr>
        <w:t xml:space="preserve"> (viewed 6 February 2017). </w:t>
      </w:r>
    </w:p>
  </w:endnote>
  <w:endnote w:id="21">
    <w:p w14:paraId="752426BE"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w:t>
      </w:r>
      <w:r w:rsidRPr="00D95AD0">
        <w:rPr>
          <w:rFonts w:asciiTheme="minorHAnsi" w:hAnsiTheme="minorHAnsi" w:cs="Arial"/>
          <w:color w:val="000000" w:themeColor="text1"/>
          <w:sz w:val="16"/>
          <w:szCs w:val="16"/>
        </w:rPr>
        <w:t xml:space="preserve">R Clare, </w:t>
      </w:r>
      <w:r w:rsidRPr="00D95AD0">
        <w:rPr>
          <w:rFonts w:asciiTheme="minorHAnsi" w:hAnsiTheme="minorHAnsi" w:cs="Arial"/>
          <w:i/>
          <w:iCs/>
          <w:color w:val="000000" w:themeColor="text1"/>
          <w:sz w:val="16"/>
          <w:szCs w:val="16"/>
        </w:rPr>
        <w:t>Superannuation and high account balances, April 2015</w:t>
      </w:r>
      <w:r w:rsidRPr="00D95AD0">
        <w:rPr>
          <w:rFonts w:asciiTheme="minorHAnsi" w:hAnsiTheme="minorHAnsi" w:cs="Arial"/>
          <w:color w:val="000000" w:themeColor="text1"/>
          <w:sz w:val="16"/>
          <w:szCs w:val="16"/>
        </w:rPr>
        <w:t>, (2015).   </w:t>
      </w:r>
    </w:p>
  </w:endnote>
  <w:endnote w:id="22">
    <w:p w14:paraId="6F66817C"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Australian Human Rights Commission, </w:t>
      </w:r>
      <w:r w:rsidRPr="00D95AD0">
        <w:rPr>
          <w:rFonts w:asciiTheme="minorHAnsi" w:hAnsiTheme="minorHAnsi"/>
          <w:i/>
          <w:color w:val="000000" w:themeColor="text1"/>
          <w:sz w:val="16"/>
          <w:szCs w:val="16"/>
        </w:rPr>
        <w:t>Women in male-dominated industries: A toolkit of strategies</w:t>
      </w:r>
      <w:r w:rsidRPr="00D95AD0">
        <w:rPr>
          <w:rFonts w:asciiTheme="minorHAnsi" w:hAnsiTheme="minorHAnsi"/>
          <w:color w:val="000000" w:themeColor="text1"/>
          <w:sz w:val="16"/>
          <w:szCs w:val="16"/>
        </w:rPr>
        <w:t xml:space="preserve"> (2013), at </w:t>
      </w:r>
      <w:hyperlink r:id="rId19" w:history="1">
        <w:r w:rsidRPr="00D95AD0">
          <w:rPr>
            <w:rStyle w:val="Hyperlink"/>
            <w:rFonts w:asciiTheme="minorHAnsi" w:hAnsiTheme="minorHAnsi" w:cs="Arial"/>
            <w:color w:val="000000" w:themeColor="text1"/>
            <w:sz w:val="16"/>
            <w:szCs w:val="16"/>
          </w:rPr>
          <w:t>http://www.humanrights.gov.au/women-male-dominated-industries-toolkit-strategies</w:t>
        </w:r>
      </w:hyperlink>
      <w:r w:rsidRPr="00D95AD0">
        <w:rPr>
          <w:rStyle w:val="Hyperlink"/>
          <w:rFonts w:asciiTheme="minorHAnsi" w:hAnsiTheme="minorHAnsi" w:cs="Arial"/>
          <w:color w:val="000000" w:themeColor="text1"/>
          <w:sz w:val="16"/>
          <w:szCs w:val="16"/>
        </w:rPr>
        <w:t xml:space="preserve"> (viewed 1 February 2017).</w:t>
      </w:r>
    </w:p>
  </w:endnote>
  <w:endnote w:id="23">
    <w:p w14:paraId="4A826B5B"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Australian Human Rights Commission, </w:t>
      </w:r>
      <w:r w:rsidRPr="00D95AD0">
        <w:rPr>
          <w:rFonts w:asciiTheme="minorHAnsi" w:hAnsiTheme="minorHAnsi"/>
          <w:i/>
          <w:color w:val="000000" w:themeColor="text1"/>
          <w:sz w:val="16"/>
          <w:szCs w:val="16"/>
        </w:rPr>
        <w:t>Accumulating poverty? Women’s experiences of inequality over the lifecycle</w:t>
      </w:r>
      <w:r w:rsidRPr="00D95AD0">
        <w:rPr>
          <w:rFonts w:asciiTheme="minorHAnsi" w:hAnsiTheme="minorHAnsi"/>
          <w:color w:val="000000" w:themeColor="text1"/>
          <w:sz w:val="16"/>
          <w:szCs w:val="16"/>
        </w:rPr>
        <w:t xml:space="preserve">, (2009). At </w:t>
      </w:r>
      <w:hyperlink r:id="rId20" w:history="1">
        <w:r w:rsidRPr="00D95AD0">
          <w:rPr>
            <w:rStyle w:val="Hyperlink"/>
            <w:rFonts w:asciiTheme="minorHAnsi" w:hAnsiTheme="minorHAnsi"/>
            <w:color w:val="000000" w:themeColor="text1"/>
            <w:sz w:val="16"/>
            <w:szCs w:val="16"/>
            <w:lang w:val="en"/>
          </w:rPr>
          <w:t>http://www.humanrights.gov.au/sex_discrimination/publication/gender_gap/</w:t>
        </w:r>
      </w:hyperlink>
      <w:r w:rsidRPr="00D95AD0">
        <w:rPr>
          <w:rFonts w:asciiTheme="minorHAnsi" w:hAnsiTheme="minorHAnsi"/>
          <w:color w:val="000000" w:themeColor="text1"/>
          <w:sz w:val="16"/>
          <w:szCs w:val="16"/>
          <w:lang w:val="en"/>
        </w:rPr>
        <w:t xml:space="preserve">. </w:t>
      </w:r>
    </w:p>
  </w:endnote>
  <w:endnote w:id="24">
    <w:p w14:paraId="085D5EE6"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Australian Human Rights Commission, </w:t>
      </w:r>
      <w:r w:rsidRPr="00D95AD0">
        <w:rPr>
          <w:rFonts w:asciiTheme="minorHAnsi" w:hAnsiTheme="minorHAnsi"/>
          <w:i/>
          <w:color w:val="000000" w:themeColor="text1"/>
          <w:sz w:val="16"/>
          <w:szCs w:val="16"/>
        </w:rPr>
        <w:t>Women in male-dominated industries: A toolkit of strategies</w:t>
      </w:r>
      <w:r w:rsidRPr="00D95AD0">
        <w:rPr>
          <w:rFonts w:asciiTheme="minorHAnsi" w:hAnsiTheme="minorHAnsi"/>
          <w:color w:val="000000" w:themeColor="text1"/>
          <w:sz w:val="16"/>
          <w:szCs w:val="16"/>
        </w:rPr>
        <w:t xml:space="preserve"> (2013). At </w:t>
      </w:r>
      <w:hyperlink r:id="rId21" w:history="1">
        <w:r w:rsidRPr="00D95AD0">
          <w:rPr>
            <w:rStyle w:val="Hyperlink"/>
            <w:rFonts w:asciiTheme="minorHAnsi" w:hAnsiTheme="minorHAnsi" w:cs="Arial"/>
            <w:color w:val="000000" w:themeColor="text1"/>
            <w:sz w:val="16"/>
            <w:szCs w:val="16"/>
          </w:rPr>
          <w:t>http://www.humanrights.gov.au/women-male-dominated-industries-toolkit-strategies</w:t>
        </w:r>
      </w:hyperlink>
      <w:r w:rsidRPr="00D95AD0">
        <w:rPr>
          <w:rStyle w:val="Hyperlink"/>
          <w:rFonts w:asciiTheme="minorHAnsi" w:hAnsiTheme="minorHAnsi" w:cs="Arial"/>
          <w:color w:val="000000" w:themeColor="text1"/>
          <w:sz w:val="16"/>
          <w:szCs w:val="16"/>
        </w:rPr>
        <w:t xml:space="preserve"> (viewed 1 February 2017).</w:t>
      </w:r>
    </w:p>
  </w:endnote>
  <w:endnote w:id="25">
    <w:p w14:paraId="010E530F" w14:textId="77777777" w:rsidR="004244D9" w:rsidRPr="00D95AD0" w:rsidRDefault="004244D9" w:rsidP="00553014">
      <w:pPr>
        <w:pStyle w:val="EndnoteText"/>
        <w:rPr>
          <w:rFonts w:asciiTheme="minorHAnsi" w:hAnsiTheme="minorHAnsi" w:cs="Arial"/>
          <w:color w:val="000000" w:themeColor="text1"/>
          <w:sz w:val="16"/>
          <w:szCs w:val="16"/>
          <w:lang w:val="en"/>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w:t>
      </w:r>
      <w:r w:rsidRPr="00D95AD0">
        <w:rPr>
          <w:rFonts w:asciiTheme="minorHAnsi" w:hAnsiTheme="minorHAnsi" w:cs="Arial"/>
          <w:color w:val="000000" w:themeColor="text1"/>
          <w:sz w:val="16"/>
          <w:szCs w:val="16"/>
          <w:lang w:val="en"/>
        </w:rPr>
        <w:t>‘Filling the Pool Committee’ for Perth https://www.committeeforperth.com.au/research/research-projects/filling-the-pool, ‘Unearthing new resources’http://www.minerals.org.au/file_upload/files/publications/unearthing_new_resources.pdf )</w:t>
      </w:r>
    </w:p>
    <w:p w14:paraId="1D950E17" w14:textId="77777777" w:rsidR="004244D9" w:rsidRPr="00D95AD0" w:rsidRDefault="004244D9" w:rsidP="00553014">
      <w:pPr>
        <w:pStyle w:val="EndnoteText"/>
        <w:rPr>
          <w:rFonts w:asciiTheme="minorHAnsi" w:hAnsiTheme="minorHAnsi" w:cs="Arial"/>
          <w:color w:val="000000" w:themeColor="text1"/>
          <w:sz w:val="16"/>
          <w:szCs w:val="16"/>
          <w:lang w:val="en"/>
        </w:rPr>
      </w:pPr>
      <w:r w:rsidRPr="00D95AD0">
        <w:rPr>
          <w:rFonts w:asciiTheme="minorHAnsi" w:hAnsiTheme="minorHAnsi" w:cs="Arial"/>
          <w:color w:val="000000" w:themeColor="text1"/>
          <w:sz w:val="16"/>
          <w:szCs w:val="16"/>
          <w:lang w:val="en"/>
        </w:rPr>
        <w:t>Catalyst, Deloitte (Juliet Bourke book “which 2 heads are better than one?”)</w:t>
      </w:r>
    </w:p>
  </w:endnote>
  <w:endnote w:id="26">
    <w:p w14:paraId="7A4A3F33" w14:textId="720E2008" w:rsidR="004244D9" w:rsidRPr="00C134A7" w:rsidRDefault="004244D9" w:rsidP="00553014">
      <w:pPr>
        <w:pStyle w:val="EndnoteText"/>
        <w:rPr>
          <w:rFonts w:asciiTheme="minorHAnsi" w:hAnsiTheme="minorHAnsi" w:cs="Arial"/>
          <w:color w:val="000000" w:themeColor="text1"/>
          <w:sz w:val="16"/>
          <w:szCs w:val="16"/>
          <w:lang w:val="en"/>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Department of Defence, </w:t>
      </w:r>
      <w:r w:rsidRPr="00D95AD0">
        <w:rPr>
          <w:rFonts w:asciiTheme="minorHAnsi" w:hAnsiTheme="minorHAnsi"/>
          <w:i/>
          <w:color w:val="000000" w:themeColor="text1"/>
          <w:sz w:val="16"/>
          <w:szCs w:val="16"/>
        </w:rPr>
        <w:t>Pathway to Change: Evolving Defence Culture</w:t>
      </w:r>
      <w:r w:rsidRPr="00D95AD0">
        <w:rPr>
          <w:rFonts w:asciiTheme="minorHAnsi" w:hAnsiTheme="minorHAnsi"/>
          <w:color w:val="000000" w:themeColor="text1"/>
          <w:sz w:val="16"/>
          <w:szCs w:val="16"/>
        </w:rPr>
        <w:t xml:space="preserve"> (2012). At </w:t>
      </w:r>
      <w:hyperlink r:id="rId22" w:history="1">
        <w:r w:rsidRPr="00D95AD0">
          <w:rPr>
            <w:rStyle w:val="Hyperlink"/>
            <w:rFonts w:asciiTheme="minorHAnsi" w:hAnsiTheme="minorHAnsi"/>
            <w:color w:val="000000" w:themeColor="text1"/>
            <w:sz w:val="16"/>
            <w:szCs w:val="16"/>
          </w:rPr>
          <w:t>http://www.defence.gov.au/PathwayToChange/</w:t>
        </w:r>
      </w:hyperlink>
      <w:r w:rsidRPr="00D95AD0">
        <w:rPr>
          <w:rFonts w:asciiTheme="minorHAnsi" w:hAnsiTheme="minorHAnsi"/>
          <w:color w:val="000000" w:themeColor="text1"/>
          <w:sz w:val="16"/>
          <w:szCs w:val="16"/>
        </w:rPr>
        <w:t xml:space="preserve"> (viewed 15 January 2017). </w:t>
      </w:r>
      <w:hyperlink r:id="rId23" w:history="1">
        <w:r w:rsidRPr="00C134A7">
          <w:rPr>
            <w:rFonts w:asciiTheme="minorHAnsi" w:hAnsiTheme="minorHAnsi" w:cs="Arial"/>
            <w:color w:val="000000" w:themeColor="text1"/>
            <w:sz w:val="16"/>
            <w:szCs w:val="16"/>
            <w:lang w:val="en"/>
          </w:rPr>
          <w:t>http://www.westjustice.org.au/cms_uploads/docs/westjustice-not-just-work-report-part-1.pdf</w:t>
        </w:r>
      </w:hyperlink>
      <w:r w:rsidRPr="00C134A7">
        <w:rPr>
          <w:rFonts w:asciiTheme="minorHAnsi" w:hAnsiTheme="minorHAnsi" w:cs="Arial"/>
          <w:color w:val="000000" w:themeColor="text1"/>
          <w:sz w:val="16"/>
          <w:szCs w:val="16"/>
          <w:lang w:val="en"/>
        </w:rPr>
        <w:t>, p218-219</w:t>
      </w:r>
    </w:p>
  </w:endnote>
  <w:endnote w:id="27">
    <w:p w14:paraId="3F36E380" w14:textId="176C63B9" w:rsidR="004244D9" w:rsidRPr="00C134A7" w:rsidRDefault="004244D9">
      <w:pPr>
        <w:pStyle w:val="EndnoteText"/>
        <w:rPr>
          <w:rFonts w:asciiTheme="minorHAnsi" w:hAnsiTheme="minorHAnsi" w:cs="Arial"/>
          <w:color w:val="000000" w:themeColor="text1"/>
          <w:sz w:val="16"/>
          <w:szCs w:val="16"/>
          <w:lang w:val="en"/>
        </w:rPr>
      </w:pPr>
      <w:r w:rsidRPr="008D058B">
        <w:rPr>
          <w:rStyle w:val="EndnoteReference"/>
          <w:rFonts w:asciiTheme="minorHAnsi" w:hAnsiTheme="minorHAnsi"/>
          <w:sz w:val="16"/>
        </w:rPr>
        <w:endnoteRef/>
      </w:r>
      <w:r w:rsidRPr="008D058B">
        <w:rPr>
          <w:rStyle w:val="EndnoteReference"/>
          <w:rFonts w:asciiTheme="minorHAnsi" w:hAnsiTheme="minorHAnsi"/>
          <w:sz w:val="16"/>
        </w:rPr>
        <w:t xml:space="preserve"> </w:t>
      </w:r>
      <w:r w:rsidRPr="00C134A7">
        <w:rPr>
          <w:rFonts w:asciiTheme="minorHAnsi" w:hAnsiTheme="minorHAnsi" w:cs="Arial"/>
          <w:color w:val="000000" w:themeColor="text1"/>
          <w:sz w:val="16"/>
          <w:szCs w:val="16"/>
          <w:lang w:val="en"/>
        </w:rPr>
        <w:t>www.malechampionsofchange.com</w:t>
      </w:r>
    </w:p>
  </w:endnote>
  <w:endnote w:id="28">
    <w:p w14:paraId="0D6791BC" w14:textId="1B14E620" w:rsidR="004244D9" w:rsidRPr="00C134A7" w:rsidRDefault="004244D9" w:rsidP="00553014">
      <w:pPr>
        <w:pStyle w:val="EndnoteText"/>
        <w:rPr>
          <w:rFonts w:asciiTheme="minorHAnsi" w:hAnsiTheme="minorHAnsi" w:cs="Arial"/>
          <w:color w:val="000000" w:themeColor="text1"/>
          <w:sz w:val="16"/>
          <w:szCs w:val="16"/>
          <w:lang w:val="en"/>
        </w:rPr>
      </w:pPr>
      <w:r w:rsidRPr="008D058B">
        <w:rPr>
          <w:rStyle w:val="EndnoteReference"/>
          <w:rFonts w:asciiTheme="minorHAnsi" w:hAnsiTheme="minorHAnsi"/>
          <w:sz w:val="16"/>
        </w:rPr>
        <w:endnoteRef/>
      </w:r>
      <w:r w:rsidRPr="008D058B">
        <w:rPr>
          <w:rStyle w:val="EndnoteReference"/>
          <w:rFonts w:asciiTheme="minorHAnsi" w:hAnsiTheme="minorHAnsi"/>
          <w:sz w:val="16"/>
        </w:rPr>
        <w:t xml:space="preserve"> </w:t>
      </w:r>
      <w:r w:rsidRPr="00C134A7">
        <w:rPr>
          <w:rFonts w:asciiTheme="minorHAnsi" w:hAnsiTheme="minorHAnsi" w:cs="Arial"/>
          <w:color w:val="000000" w:themeColor="text1"/>
          <w:sz w:val="16"/>
          <w:szCs w:val="16"/>
          <w:lang w:val="en"/>
        </w:rPr>
        <w:t xml:space="preserve">Australian Human Rights Commission, Women in male-dominated industries: A toolkit of strategies (2013). </w:t>
      </w:r>
    </w:p>
  </w:endnote>
  <w:endnote w:id="29">
    <w:p w14:paraId="594EA174" w14:textId="57CF3851" w:rsidR="004244D9" w:rsidRPr="00C134A7" w:rsidRDefault="004244D9" w:rsidP="00553014">
      <w:pPr>
        <w:pStyle w:val="EndnoteText"/>
        <w:rPr>
          <w:rFonts w:asciiTheme="minorHAnsi" w:hAnsiTheme="minorHAnsi" w:cs="Arial"/>
          <w:color w:val="000000" w:themeColor="text1"/>
          <w:sz w:val="16"/>
          <w:szCs w:val="16"/>
          <w:lang w:val="en"/>
        </w:rPr>
      </w:pPr>
      <w:r w:rsidRPr="008D058B">
        <w:rPr>
          <w:rStyle w:val="EndnoteReference"/>
          <w:rFonts w:asciiTheme="minorHAnsi" w:hAnsiTheme="minorHAnsi"/>
          <w:sz w:val="16"/>
        </w:rPr>
        <w:endnoteRef/>
      </w:r>
      <w:r w:rsidR="008D058B" w:rsidRPr="008D058B">
        <w:rPr>
          <w:rStyle w:val="EndnoteReference"/>
          <w:rFonts w:asciiTheme="minorHAnsi" w:hAnsiTheme="minorHAnsi"/>
          <w:sz w:val="16"/>
        </w:rPr>
        <w:t xml:space="preserve"> </w:t>
      </w:r>
      <w:r w:rsidRPr="00C134A7">
        <w:rPr>
          <w:rFonts w:asciiTheme="minorHAnsi" w:hAnsiTheme="minorHAnsi" w:cs="Arial"/>
          <w:color w:val="000000" w:themeColor="text1"/>
          <w:sz w:val="16"/>
          <w:szCs w:val="16"/>
          <w:lang w:val="en"/>
        </w:rPr>
        <w:t xml:space="preserve">McKinsey&amp;Company, Women Matter 2016: Reinventing the workplace to unlock the potential of gender diversity (2016), p9. At: </w:t>
      </w:r>
      <w:hyperlink r:id="rId24" w:history="1">
        <w:r w:rsidRPr="00C134A7">
          <w:rPr>
            <w:rFonts w:asciiTheme="minorHAnsi" w:hAnsiTheme="minorHAnsi" w:cs="Arial"/>
            <w:color w:val="000000" w:themeColor="text1"/>
            <w:sz w:val="16"/>
            <w:szCs w:val="16"/>
            <w:lang w:val="en"/>
          </w:rPr>
          <w:t>http://www.mckinsey.com/global-themes/women-matter/reinventing-the-workplace-for-greater-gender-diversity</w:t>
        </w:r>
      </w:hyperlink>
      <w:r w:rsidRPr="00C134A7">
        <w:rPr>
          <w:rFonts w:asciiTheme="minorHAnsi" w:hAnsiTheme="minorHAnsi" w:cs="Arial"/>
          <w:color w:val="000000" w:themeColor="text1"/>
          <w:sz w:val="16"/>
          <w:szCs w:val="16"/>
          <w:lang w:val="en"/>
        </w:rPr>
        <w:t xml:space="preserve"> (viewed 8 February 2017).</w:t>
      </w:r>
    </w:p>
  </w:endnote>
  <w:endnote w:id="30">
    <w:p w14:paraId="3894B5E9" w14:textId="77777777" w:rsidR="004244D9" w:rsidRPr="00D95AD0" w:rsidRDefault="004244D9" w:rsidP="00553014">
      <w:pPr>
        <w:pStyle w:val="EndnoteText"/>
        <w:rPr>
          <w:rFonts w:asciiTheme="minorHAnsi" w:hAnsiTheme="minorHAnsi"/>
          <w:color w:val="000000" w:themeColor="text1"/>
          <w:sz w:val="16"/>
          <w:szCs w:val="16"/>
        </w:rPr>
      </w:pPr>
      <w:r w:rsidRPr="008D058B">
        <w:rPr>
          <w:rStyle w:val="EndnoteReference"/>
          <w:rFonts w:asciiTheme="minorHAnsi" w:hAnsiTheme="minorHAnsi"/>
          <w:sz w:val="16"/>
        </w:rPr>
        <w:endnoteRef/>
      </w:r>
      <w:r w:rsidRPr="008D058B">
        <w:rPr>
          <w:rStyle w:val="EndnoteReference"/>
          <w:rFonts w:asciiTheme="minorHAnsi" w:hAnsiTheme="minorHAnsi"/>
          <w:sz w:val="16"/>
        </w:rPr>
        <w:t xml:space="preserve"> </w:t>
      </w:r>
      <w:r w:rsidRPr="00C134A7">
        <w:rPr>
          <w:rFonts w:asciiTheme="minorHAnsi" w:hAnsiTheme="minorHAnsi" w:cs="Arial"/>
          <w:color w:val="000000" w:themeColor="text1"/>
          <w:sz w:val="16"/>
          <w:szCs w:val="16"/>
          <w:lang w:val="en"/>
        </w:rPr>
        <w:t>Grattan</w:t>
      </w:r>
      <w:r w:rsidRPr="00D95AD0">
        <w:rPr>
          <w:rFonts w:asciiTheme="minorHAnsi" w:hAnsiTheme="minorHAnsi"/>
          <w:color w:val="000000" w:themeColor="text1"/>
          <w:sz w:val="16"/>
          <w:szCs w:val="16"/>
        </w:rPr>
        <w:t xml:space="preserve"> Institute, ‘Game-changers: Economic reform priorities for Australia’ (2012), p39. At: </w:t>
      </w:r>
      <w:hyperlink r:id="rId25" w:history="1">
        <w:r w:rsidRPr="00D95AD0">
          <w:rPr>
            <w:rStyle w:val="Hyperlink"/>
            <w:rFonts w:asciiTheme="minorHAnsi" w:hAnsiTheme="minorHAnsi"/>
            <w:color w:val="000000" w:themeColor="text1"/>
            <w:sz w:val="16"/>
            <w:szCs w:val="16"/>
          </w:rPr>
          <w:t>https://grattan.edu.au/report/game-changers-economic-reform-priorities-for-australia/</w:t>
        </w:r>
      </w:hyperlink>
      <w:r w:rsidRPr="00D95AD0">
        <w:rPr>
          <w:rFonts w:asciiTheme="minorHAnsi" w:hAnsiTheme="minorHAnsi"/>
          <w:color w:val="000000" w:themeColor="text1"/>
          <w:sz w:val="16"/>
          <w:szCs w:val="16"/>
        </w:rPr>
        <w:t xml:space="preserve"> (viewed 8 February 2017).</w:t>
      </w:r>
    </w:p>
  </w:endnote>
  <w:endnote w:id="31">
    <w:p w14:paraId="3C136C29" w14:textId="77777777" w:rsidR="004244D9" w:rsidRPr="00D95AD0" w:rsidRDefault="004244D9" w:rsidP="00553014">
      <w:pPr>
        <w:pStyle w:val="EndnoteText"/>
        <w:rPr>
          <w:rFonts w:asciiTheme="minorHAnsi" w:hAnsiTheme="minorHAnsi" w:cs="Arial"/>
          <w:iCs/>
          <w:color w:val="000000" w:themeColor="text1"/>
          <w:sz w:val="16"/>
          <w:szCs w:val="16"/>
        </w:rPr>
      </w:pPr>
      <w:r w:rsidRPr="00D95AD0">
        <w:rPr>
          <w:rStyle w:val="EndnoteReference"/>
          <w:rFonts w:asciiTheme="minorHAnsi" w:hAnsiTheme="minorHAnsi" w:cs="Arial"/>
          <w:color w:val="000000" w:themeColor="text1"/>
          <w:sz w:val="16"/>
          <w:szCs w:val="16"/>
        </w:rPr>
        <w:endnoteRef/>
      </w:r>
      <w:r w:rsidRPr="00D95AD0">
        <w:rPr>
          <w:rFonts w:asciiTheme="minorHAnsi" w:hAnsiTheme="minorHAnsi" w:cs="Arial"/>
          <w:color w:val="000000" w:themeColor="text1"/>
          <w:sz w:val="16"/>
          <w:szCs w:val="16"/>
        </w:rPr>
        <w:t xml:space="preserve"> </w:t>
      </w:r>
      <w:r w:rsidRPr="00D95AD0">
        <w:rPr>
          <w:rFonts w:asciiTheme="minorHAnsi" w:hAnsiTheme="minorHAnsi" w:cs="Arial"/>
          <w:color w:val="000000" w:themeColor="text1"/>
          <w:sz w:val="16"/>
          <w:szCs w:val="16"/>
          <w:lang w:val="en"/>
        </w:rPr>
        <w:t xml:space="preserve">Goldman Sachs JB Were Investment Research, </w:t>
      </w:r>
      <w:r w:rsidRPr="00D95AD0">
        <w:rPr>
          <w:rFonts w:asciiTheme="minorHAnsi" w:hAnsiTheme="minorHAnsi" w:cs="Arial"/>
          <w:i/>
          <w:iCs/>
          <w:color w:val="000000" w:themeColor="text1"/>
          <w:sz w:val="16"/>
          <w:szCs w:val="16"/>
          <w:lang w:val="en"/>
        </w:rPr>
        <w:t>Australia’s Hidden Resource: The Economic Case for Increasing Female Participation</w:t>
      </w:r>
      <w:r w:rsidRPr="00D95AD0">
        <w:rPr>
          <w:rFonts w:asciiTheme="minorHAnsi" w:hAnsiTheme="minorHAnsi" w:cs="Arial"/>
          <w:color w:val="000000" w:themeColor="text1"/>
          <w:sz w:val="16"/>
          <w:szCs w:val="16"/>
          <w:lang w:val="en"/>
        </w:rPr>
        <w:t xml:space="preserve"> (2009)</w:t>
      </w:r>
      <w:r w:rsidRPr="00D95AD0">
        <w:rPr>
          <w:rFonts w:asciiTheme="minorHAnsi" w:hAnsiTheme="minorHAnsi" w:cs="Arial"/>
          <w:color w:val="000000" w:themeColor="text1"/>
          <w:sz w:val="16"/>
          <w:szCs w:val="16"/>
        </w:rPr>
        <w:t xml:space="preserve">. At </w:t>
      </w:r>
      <w:hyperlink r:id="rId26" w:history="1">
        <w:r w:rsidRPr="00D95AD0">
          <w:rPr>
            <w:rStyle w:val="Hyperlink"/>
            <w:rFonts w:asciiTheme="minorHAnsi" w:hAnsiTheme="minorHAnsi" w:cs="Arial"/>
            <w:color w:val="000000" w:themeColor="text1"/>
            <w:sz w:val="16"/>
            <w:szCs w:val="16"/>
          </w:rPr>
          <w:t>www.</w:t>
        </w:r>
        <w:r w:rsidRPr="00D95AD0">
          <w:rPr>
            <w:rStyle w:val="Hyperlink"/>
            <w:rFonts w:asciiTheme="minorHAnsi" w:hAnsiTheme="minorHAnsi" w:cs="Arial"/>
            <w:bCs/>
            <w:color w:val="000000" w:themeColor="text1"/>
            <w:sz w:val="16"/>
            <w:szCs w:val="16"/>
          </w:rPr>
          <w:t>women</w:t>
        </w:r>
        <w:r w:rsidRPr="00D95AD0">
          <w:rPr>
            <w:rStyle w:val="Hyperlink"/>
            <w:rFonts w:asciiTheme="minorHAnsi" w:hAnsiTheme="minorHAnsi" w:cs="Arial"/>
            <w:color w:val="000000" w:themeColor="text1"/>
            <w:sz w:val="16"/>
            <w:szCs w:val="16"/>
          </w:rPr>
          <w:t>onboards.org.au/pubs/reports/091130gsjbw.pdf</w:t>
        </w:r>
      </w:hyperlink>
      <w:r w:rsidRPr="00D95AD0">
        <w:rPr>
          <w:rStyle w:val="Hyperlink"/>
          <w:rFonts w:asciiTheme="minorHAnsi" w:hAnsiTheme="minorHAnsi" w:cs="Arial"/>
          <w:color w:val="000000" w:themeColor="text1"/>
          <w:sz w:val="16"/>
          <w:szCs w:val="16"/>
          <w:u w:val="none"/>
        </w:rPr>
        <w:t xml:space="preserve"> </w:t>
      </w:r>
      <w:r w:rsidRPr="00D95AD0">
        <w:rPr>
          <w:rFonts w:asciiTheme="minorHAnsi" w:hAnsiTheme="minorHAnsi" w:cs="Arial"/>
          <w:color w:val="000000" w:themeColor="text1"/>
          <w:sz w:val="16"/>
          <w:szCs w:val="16"/>
        </w:rPr>
        <w:t>(viewed 6 February 2013).</w:t>
      </w:r>
    </w:p>
  </w:endnote>
  <w:endnote w:id="32">
    <w:p w14:paraId="5029236E" w14:textId="77777777" w:rsidR="004244D9" w:rsidRPr="00D95AD0" w:rsidRDefault="004244D9" w:rsidP="00553014">
      <w:pPr>
        <w:pStyle w:val="EndnoteText"/>
        <w:rPr>
          <w:rFonts w:asciiTheme="minorHAnsi" w:hAnsiTheme="minorHAnsi" w:cs="Arial"/>
          <w:color w:val="000000" w:themeColor="text1"/>
          <w:sz w:val="16"/>
          <w:szCs w:val="16"/>
        </w:rPr>
      </w:pPr>
      <w:r w:rsidRPr="00D95AD0">
        <w:rPr>
          <w:rStyle w:val="EndnoteReference"/>
          <w:rFonts w:asciiTheme="minorHAnsi" w:hAnsiTheme="minorHAnsi" w:cs="Arial"/>
          <w:color w:val="000000" w:themeColor="text1"/>
          <w:sz w:val="16"/>
          <w:szCs w:val="16"/>
        </w:rPr>
        <w:endnoteRef/>
      </w:r>
      <w:r w:rsidRPr="00D95AD0">
        <w:rPr>
          <w:rFonts w:asciiTheme="minorHAnsi" w:hAnsiTheme="minorHAnsi" w:cs="Arial"/>
          <w:color w:val="000000" w:themeColor="text1"/>
          <w:sz w:val="16"/>
          <w:szCs w:val="16"/>
        </w:rPr>
        <w:t xml:space="preserve"> </w:t>
      </w:r>
      <w:r w:rsidRPr="00D95AD0">
        <w:rPr>
          <w:rFonts w:asciiTheme="minorHAnsi" w:hAnsiTheme="minorHAnsi" w:cs="Arial"/>
          <w:color w:val="000000" w:themeColor="text1"/>
          <w:sz w:val="16"/>
          <w:szCs w:val="16"/>
          <w:lang w:val="en"/>
        </w:rPr>
        <w:t xml:space="preserve">Goldman Sachs JB Were Investment Research, </w:t>
      </w:r>
      <w:r w:rsidRPr="00D95AD0">
        <w:rPr>
          <w:rFonts w:asciiTheme="minorHAnsi" w:hAnsiTheme="minorHAnsi" w:cs="Arial"/>
          <w:i/>
          <w:iCs/>
          <w:color w:val="000000" w:themeColor="text1"/>
          <w:sz w:val="16"/>
          <w:szCs w:val="16"/>
          <w:lang w:val="en"/>
        </w:rPr>
        <w:t>Australia’s Hidden Resource: The Economic Case for Increasing Female Participation</w:t>
      </w:r>
      <w:r w:rsidRPr="00D95AD0">
        <w:rPr>
          <w:rFonts w:asciiTheme="minorHAnsi" w:hAnsiTheme="minorHAnsi" w:cs="Arial"/>
          <w:color w:val="000000" w:themeColor="text1"/>
          <w:sz w:val="16"/>
          <w:szCs w:val="16"/>
          <w:lang w:val="en"/>
        </w:rPr>
        <w:t xml:space="preserve"> (2009)</w:t>
      </w:r>
      <w:r w:rsidRPr="00D95AD0">
        <w:rPr>
          <w:rFonts w:asciiTheme="minorHAnsi" w:hAnsiTheme="minorHAnsi" w:cs="Arial"/>
          <w:color w:val="000000" w:themeColor="text1"/>
          <w:sz w:val="16"/>
          <w:szCs w:val="16"/>
        </w:rPr>
        <w:t xml:space="preserve">. At </w:t>
      </w:r>
      <w:hyperlink r:id="rId27" w:history="1">
        <w:r w:rsidRPr="00D95AD0">
          <w:rPr>
            <w:rStyle w:val="Hyperlink"/>
            <w:rFonts w:asciiTheme="minorHAnsi" w:hAnsiTheme="minorHAnsi" w:cs="Arial"/>
            <w:color w:val="000000" w:themeColor="text1"/>
            <w:sz w:val="16"/>
            <w:szCs w:val="16"/>
          </w:rPr>
          <w:t>www.</w:t>
        </w:r>
        <w:r w:rsidRPr="00D95AD0">
          <w:rPr>
            <w:rStyle w:val="Hyperlink"/>
            <w:rFonts w:asciiTheme="minorHAnsi" w:hAnsiTheme="minorHAnsi" w:cs="Arial"/>
            <w:bCs/>
            <w:color w:val="000000" w:themeColor="text1"/>
            <w:sz w:val="16"/>
            <w:szCs w:val="16"/>
          </w:rPr>
          <w:t>women</w:t>
        </w:r>
        <w:r w:rsidRPr="00D95AD0">
          <w:rPr>
            <w:rStyle w:val="Hyperlink"/>
            <w:rFonts w:asciiTheme="minorHAnsi" w:hAnsiTheme="minorHAnsi" w:cs="Arial"/>
            <w:color w:val="000000" w:themeColor="text1"/>
            <w:sz w:val="16"/>
            <w:szCs w:val="16"/>
          </w:rPr>
          <w:t>onboards.org.au/pubs/reports/091130gsjbw.pdf</w:t>
        </w:r>
      </w:hyperlink>
      <w:r w:rsidRPr="00D95AD0">
        <w:rPr>
          <w:rStyle w:val="Hyperlink"/>
          <w:rFonts w:asciiTheme="minorHAnsi" w:hAnsiTheme="minorHAnsi" w:cs="Arial"/>
          <w:color w:val="000000" w:themeColor="text1"/>
          <w:sz w:val="16"/>
          <w:szCs w:val="16"/>
          <w:u w:val="none"/>
        </w:rPr>
        <w:t xml:space="preserve"> </w:t>
      </w:r>
      <w:r w:rsidRPr="00D95AD0">
        <w:rPr>
          <w:rFonts w:asciiTheme="minorHAnsi" w:hAnsiTheme="minorHAnsi" w:cs="Arial"/>
          <w:color w:val="000000" w:themeColor="text1"/>
          <w:sz w:val="16"/>
          <w:szCs w:val="16"/>
        </w:rPr>
        <w:t>(viewed 6 February 2013).</w:t>
      </w:r>
    </w:p>
  </w:endnote>
  <w:endnote w:id="33">
    <w:p w14:paraId="55411830" w14:textId="77777777" w:rsidR="004244D9" w:rsidRPr="00D95AD0" w:rsidRDefault="004244D9" w:rsidP="00553014">
      <w:pPr>
        <w:pStyle w:val="EndnoteText"/>
        <w:rPr>
          <w:rFonts w:asciiTheme="minorHAnsi" w:hAnsiTheme="minorHAnsi" w:cs="Arial"/>
          <w:color w:val="000000" w:themeColor="text1"/>
          <w:sz w:val="16"/>
          <w:szCs w:val="16"/>
        </w:rPr>
      </w:pPr>
      <w:r w:rsidRPr="00D95AD0">
        <w:rPr>
          <w:rStyle w:val="EndnoteReference"/>
          <w:rFonts w:asciiTheme="minorHAnsi" w:hAnsiTheme="minorHAnsi" w:cs="Arial"/>
          <w:color w:val="000000" w:themeColor="text1"/>
          <w:sz w:val="16"/>
          <w:szCs w:val="16"/>
        </w:rPr>
        <w:endnoteRef/>
      </w:r>
      <w:r w:rsidRPr="00D95AD0">
        <w:rPr>
          <w:rFonts w:asciiTheme="minorHAnsi" w:hAnsiTheme="minorHAnsi" w:cs="Arial"/>
          <w:color w:val="000000" w:themeColor="text1"/>
          <w:sz w:val="16"/>
          <w:szCs w:val="16"/>
        </w:rPr>
        <w:t xml:space="preserve"> </w:t>
      </w:r>
      <w:r w:rsidRPr="00D95AD0">
        <w:rPr>
          <w:rFonts w:asciiTheme="minorHAnsi" w:hAnsiTheme="minorHAnsi" w:cs="Arial"/>
          <w:color w:val="000000" w:themeColor="text1"/>
          <w:sz w:val="16"/>
          <w:szCs w:val="16"/>
          <w:lang w:val="en"/>
        </w:rPr>
        <w:t xml:space="preserve">Manpower Group, </w:t>
      </w:r>
      <w:r w:rsidRPr="00D95AD0">
        <w:rPr>
          <w:rFonts w:asciiTheme="minorHAnsi" w:hAnsiTheme="minorHAnsi" w:cs="Arial"/>
          <w:bCs/>
          <w:i/>
          <w:iCs/>
          <w:color w:val="000000" w:themeColor="text1"/>
          <w:sz w:val="16"/>
          <w:szCs w:val="16"/>
        </w:rPr>
        <w:t>"Manufacturing" Talent for the HUMAN AGE</w:t>
      </w:r>
      <w:r w:rsidRPr="00D95AD0">
        <w:rPr>
          <w:rFonts w:asciiTheme="minorHAnsi" w:hAnsiTheme="minorHAnsi" w:cs="Arial"/>
          <w:i/>
          <w:iCs/>
          <w:color w:val="000000" w:themeColor="text1"/>
          <w:sz w:val="16"/>
          <w:szCs w:val="16"/>
          <w:lang w:val="en"/>
        </w:rPr>
        <w:t xml:space="preserve"> </w:t>
      </w:r>
      <w:r w:rsidRPr="00D95AD0">
        <w:rPr>
          <w:rFonts w:asciiTheme="minorHAnsi" w:hAnsiTheme="minorHAnsi" w:cs="Arial"/>
          <w:bCs/>
          <w:i/>
          <w:iCs/>
          <w:color w:val="000000" w:themeColor="text1"/>
          <w:sz w:val="16"/>
          <w:szCs w:val="16"/>
        </w:rPr>
        <w:t>2011 Talent Shortage Survey Results</w:t>
      </w:r>
      <w:r w:rsidRPr="00D95AD0">
        <w:rPr>
          <w:rFonts w:asciiTheme="minorHAnsi" w:hAnsiTheme="minorHAnsi" w:cs="Arial"/>
          <w:color w:val="000000" w:themeColor="text1"/>
          <w:sz w:val="16"/>
          <w:szCs w:val="16"/>
          <w:lang w:val="en"/>
        </w:rPr>
        <w:t xml:space="preserve"> (2011). At </w:t>
      </w:r>
      <w:hyperlink r:id="rId28" w:history="1">
        <w:r w:rsidRPr="00D95AD0">
          <w:rPr>
            <w:rStyle w:val="Hyperlink"/>
            <w:rFonts w:asciiTheme="minorHAnsi" w:hAnsiTheme="minorHAnsi" w:cs="Arial"/>
            <w:color w:val="000000" w:themeColor="text1"/>
            <w:sz w:val="16"/>
            <w:szCs w:val="16"/>
          </w:rPr>
          <w:t>https://www.manpower.com.au/Research/white-papers.aspx</w:t>
        </w:r>
      </w:hyperlink>
      <w:r w:rsidRPr="00D95AD0">
        <w:rPr>
          <w:rStyle w:val="Hyperlink"/>
          <w:rFonts w:asciiTheme="minorHAnsi" w:hAnsiTheme="minorHAnsi" w:cs="Arial"/>
          <w:color w:val="000000" w:themeColor="text1"/>
          <w:sz w:val="16"/>
          <w:szCs w:val="16"/>
          <w:u w:val="none"/>
        </w:rPr>
        <w:t xml:space="preserve"> </w:t>
      </w:r>
      <w:r w:rsidRPr="00D95AD0">
        <w:rPr>
          <w:rFonts w:asciiTheme="minorHAnsi" w:hAnsiTheme="minorHAnsi" w:cs="Arial"/>
          <w:color w:val="000000" w:themeColor="text1"/>
          <w:sz w:val="16"/>
          <w:szCs w:val="16"/>
        </w:rPr>
        <w:t>(viewed 6 February 2013).</w:t>
      </w:r>
    </w:p>
  </w:endnote>
  <w:endnote w:id="34">
    <w:p w14:paraId="3D49D27D" w14:textId="77777777" w:rsidR="004244D9" w:rsidRPr="00D95AD0" w:rsidRDefault="004244D9" w:rsidP="00553014">
      <w:pPr>
        <w:pStyle w:val="EndnoteText"/>
        <w:rPr>
          <w:rFonts w:asciiTheme="minorHAnsi" w:hAnsiTheme="minorHAnsi" w:cs="Arial"/>
          <w:i/>
          <w:iCs/>
          <w:color w:val="000000" w:themeColor="text1"/>
          <w:sz w:val="16"/>
          <w:szCs w:val="16"/>
        </w:rPr>
      </w:pPr>
      <w:r w:rsidRPr="00D95AD0">
        <w:rPr>
          <w:rStyle w:val="EndnoteReference"/>
          <w:rFonts w:asciiTheme="minorHAnsi" w:hAnsiTheme="minorHAnsi" w:cs="Arial"/>
          <w:color w:val="000000" w:themeColor="text1"/>
          <w:sz w:val="16"/>
          <w:szCs w:val="16"/>
        </w:rPr>
        <w:endnoteRef/>
      </w:r>
      <w:r w:rsidRPr="00D95AD0">
        <w:rPr>
          <w:rFonts w:asciiTheme="minorHAnsi" w:hAnsiTheme="minorHAnsi" w:cs="Arial"/>
          <w:color w:val="000000" w:themeColor="text1"/>
          <w:sz w:val="16"/>
          <w:szCs w:val="16"/>
        </w:rPr>
        <w:t xml:space="preserve"> M Robinson, C Pfeffer and J Buccigrossi, </w:t>
      </w:r>
      <w:r w:rsidRPr="00D95AD0">
        <w:rPr>
          <w:rFonts w:asciiTheme="minorHAnsi" w:hAnsiTheme="minorHAnsi" w:cs="Arial"/>
          <w:i/>
          <w:color w:val="000000" w:themeColor="text1"/>
          <w:sz w:val="16"/>
          <w:szCs w:val="16"/>
          <w:lang w:val="en"/>
        </w:rPr>
        <w:t>Business Case for Diversity with Inclusion</w:t>
      </w:r>
      <w:r w:rsidRPr="00D95AD0">
        <w:rPr>
          <w:rFonts w:asciiTheme="minorHAnsi" w:hAnsiTheme="minorHAnsi" w:cs="Arial"/>
          <w:color w:val="000000" w:themeColor="text1"/>
          <w:sz w:val="16"/>
          <w:szCs w:val="16"/>
          <w:lang w:val="en"/>
        </w:rPr>
        <w:t>, wetWare, Inc</w:t>
      </w:r>
      <w:r w:rsidRPr="00D95AD0">
        <w:rPr>
          <w:rFonts w:asciiTheme="minorHAnsi" w:hAnsiTheme="minorHAnsi" w:cs="Arial"/>
          <w:color w:val="000000" w:themeColor="text1"/>
          <w:sz w:val="16"/>
          <w:szCs w:val="16"/>
        </w:rPr>
        <w:t xml:space="preserve"> (2003). At </w:t>
      </w:r>
      <w:hyperlink r:id="rId29" w:history="1">
        <w:r w:rsidRPr="00D95AD0">
          <w:rPr>
            <w:rStyle w:val="Hyperlink"/>
            <w:rFonts w:asciiTheme="minorHAnsi" w:hAnsiTheme="minorHAnsi" w:cs="Arial"/>
            <w:color w:val="000000" w:themeColor="text1"/>
            <w:sz w:val="16"/>
            <w:szCs w:val="16"/>
            <w:lang w:val="en"/>
          </w:rPr>
          <w:t>www.</w:t>
        </w:r>
        <w:r w:rsidRPr="00D95AD0">
          <w:rPr>
            <w:rStyle w:val="Hyperlink"/>
            <w:rFonts w:asciiTheme="minorHAnsi" w:hAnsiTheme="minorHAnsi" w:cs="Arial"/>
            <w:color w:val="000000" w:themeColor="text1"/>
            <w:sz w:val="16"/>
            <w:szCs w:val="16"/>
          </w:rPr>
          <w:t>workforce</w:t>
        </w:r>
        <w:r w:rsidRPr="00D95AD0">
          <w:rPr>
            <w:rStyle w:val="Hyperlink"/>
            <w:rFonts w:asciiTheme="minorHAnsi" w:hAnsiTheme="minorHAnsi" w:cs="Arial"/>
            <w:bCs/>
            <w:color w:val="000000" w:themeColor="text1"/>
            <w:sz w:val="16"/>
            <w:szCs w:val="16"/>
          </w:rPr>
          <w:t>diversity</w:t>
        </w:r>
        <w:r w:rsidRPr="00D95AD0">
          <w:rPr>
            <w:rStyle w:val="Hyperlink"/>
            <w:rFonts w:asciiTheme="minorHAnsi" w:hAnsiTheme="minorHAnsi" w:cs="Arial"/>
            <w:color w:val="000000" w:themeColor="text1"/>
            <w:sz w:val="16"/>
            <w:szCs w:val="16"/>
          </w:rPr>
          <w:t>network.com/docs/</w:t>
        </w:r>
        <w:r w:rsidRPr="00D95AD0">
          <w:rPr>
            <w:rStyle w:val="Hyperlink"/>
            <w:rFonts w:asciiTheme="minorHAnsi" w:hAnsiTheme="minorHAnsi" w:cs="Arial"/>
            <w:bCs/>
            <w:color w:val="000000" w:themeColor="text1"/>
            <w:sz w:val="16"/>
            <w:szCs w:val="16"/>
          </w:rPr>
          <w:t>business</w:t>
        </w:r>
        <w:r w:rsidRPr="00D95AD0">
          <w:rPr>
            <w:rStyle w:val="Hyperlink"/>
            <w:rFonts w:asciiTheme="minorHAnsi" w:hAnsiTheme="minorHAnsi" w:cs="Arial"/>
            <w:color w:val="000000" w:themeColor="text1"/>
            <w:sz w:val="16"/>
            <w:szCs w:val="16"/>
          </w:rPr>
          <w:t>_</w:t>
        </w:r>
        <w:r w:rsidRPr="00D95AD0">
          <w:rPr>
            <w:rStyle w:val="Hyperlink"/>
            <w:rFonts w:asciiTheme="minorHAnsi" w:hAnsiTheme="minorHAnsi" w:cs="Arial"/>
            <w:bCs/>
            <w:color w:val="000000" w:themeColor="text1"/>
            <w:sz w:val="16"/>
            <w:szCs w:val="16"/>
          </w:rPr>
          <w:t>case</w:t>
        </w:r>
        <w:r w:rsidRPr="00D95AD0">
          <w:rPr>
            <w:rStyle w:val="Hyperlink"/>
            <w:rFonts w:asciiTheme="minorHAnsi" w:hAnsiTheme="minorHAnsi" w:cs="Arial"/>
            <w:color w:val="000000" w:themeColor="text1"/>
            <w:sz w:val="16"/>
            <w:szCs w:val="16"/>
          </w:rPr>
          <w:t>_3.pdf</w:t>
        </w:r>
      </w:hyperlink>
      <w:r w:rsidRPr="00D95AD0">
        <w:rPr>
          <w:rStyle w:val="Hyperlink"/>
          <w:rFonts w:asciiTheme="minorHAnsi" w:hAnsiTheme="minorHAnsi" w:cs="Arial"/>
          <w:i/>
          <w:color w:val="000000" w:themeColor="text1"/>
          <w:sz w:val="16"/>
          <w:szCs w:val="16"/>
          <w:u w:val="none"/>
        </w:rPr>
        <w:t xml:space="preserve"> </w:t>
      </w:r>
      <w:r w:rsidRPr="00D95AD0">
        <w:rPr>
          <w:rFonts w:asciiTheme="minorHAnsi" w:hAnsiTheme="minorHAnsi" w:cs="Arial"/>
          <w:color w:val="000000" w:themeColor="text1"/>
          <w:sz w:val="16"/>
          <w:szCs w:val="16"/>
        </w:rPr>
        <w:t>(viewed 6 February 2013).</w:t>
      </w:r>
    </w:p>
  </w:endnote>
  <w:endnote w:id="35">
    <w:p w14:paraId="541CD236" w14:textId="77777777" w:rsidR="004244D9" w:rsidRPr="00D95AD0" w:rsidRDefault="004244D9" w:rsidP="00553014">
      <w:pPr>
        <w:pStyle w:val="EndnoteText"/>
        <w:rPr>
          <w:rFonts w:asciiTheme="minorHAnsi" w:hAnsiTheme="minorHAnsi" w:cs="Arial"/>
          <w:color w:val="000000" w:themeColor="text1"/>
          <w:sz w:val="16"/>
          <w:szCs w:val="16"/>
        </w:rPr>
      </w:pPr>
      <w:r w:rsidRPr="00D95AD0">
        <w:rPr>
          <w:rStyle w:val="EndnoteReference"/>
          <w:rFonts w:asciiTheme="minorHAnsi" w:hAnsiTheme="minorHAnsi" w:cs="Arial"/>
          <w:color w:val="000000" w:themeColor="text1"/>
          <w:sz w:val="16"/>
          <w:szCs w:val="16"/>
        </w:rPr>
        <w:endnoteRef/>
      </w:r>
      <w:r w:rsidRPr="00D95AD0">
        <w:rPr>
          <w:rFonts w:asciiTheme="minorHAnsi" w:hAnsiTheme="minorHAnsi" w:cs="Arial"/>
          <w:color w:val="000000" w:themeColor="text1"/>
          <w:sz w:val="16"/>
          <w:szCs w:val="16"/>
        </w:rPr>
        <w:t xml:space="preserve"> </w:t>
      </w:r>
      <w:r w:rsidRPr="00D95AD0">
        <w:rPr>
          <w:rFonts w:asciiTheme="minorHAnsi" w:hAnsiTheme="minorHAnsi" w:cs="Arial"/>
          <w:color w:val="000000" w:themeColor="text1"/>
          <w:sz w:val="16"/>
          <w:szCs w:val="16"/>
          <w:lang w:val="en"/>
        </w:rPr>
        <w:t>I</w:t>
      </w:r>
      <w:r w:rsidRPr="00D95AD0">
        <w:rPr>
          <w:rFonts w:asciiTheme="minorHAnsi" w:hAnsiTheme="minorHAnsi" w:cs="Arial"/>
          <w:color w:val="000000" w:themeColor="text1"/>
          <w:sz w:val="16"/>
          <w:szCs w:val="16"/>
        </w:rPr>
        <w:t xml:space="preserve">n comparing the top 25 percent of companies in terms of share of women in executive committees against, McKinsey found that the former companies exceeded the latter by 41% in return on equity and by 56% in operating results.  D Borisova and O Sterkhova, Women as a Valuable Asset, McKinsey &amp; Company (2012). At </w:t>
      </w:r>
      <w:hyperlink r:id="rId30" w:history="1">
        <w:r w:rsidRPr="00D95AD0">
          <w:rPr>
            <w:rStyle w:val="Hyperlink"/>
            <w:rFonts w:asciiTheme="minorHAnsi" w:hAnsiTheme="minorHAnsi" w:cs="Arial"/>
            <w:color w:val="000000" w:themeColor="text1"/>
            <w:sz w:val="16"/>
            <w:szCs w:val="16"/>
          </w:rPr>
          <w:t>http://www.mckinsey.com/global_locations/europe_and_middleeast/russia/en/latest_thinking</w:t>
        </w:r>
      </w:hyperlink>
      <w:r w:rsidRPr="00D95AD0">
        <w:rPr>
          <w:rFonts w:asciiTheme="minorHAnsi" w:hAnsiTheme="minorHAnsi" w:cs="Arial"/>
          <w:color w:val="000000" w:themeColor="text1"/>
          <w:sz w:val="16"/>
          <w:szCs w:val="16"/>
        </w:rPr>
        <w:t xml:space="preserve">(viewed 6 February 2013). </w:t>
      </w:r>
      <w:r w:rsidRPr="00D95AD0">
        <w:rPr>
          <w:rFonts w:asciiTheme="minorHAnsi" w:hAnsiTheme="minorHAnsi" w:cs="Arial"/>
          <w:color w:val="000000" w:themeColor="text1"/>
          <w:sz w:val="16"/>
          <w:szCs w:val="16"/>
          <w:lang w:val="en"/>
        </w:rPr>
        <w:t xml:space="preserve">Catalyst reported that Fortune 500 companies with 3 or more women on the board gain a significant performance advantage over those with the fewest women. These advantages include </w:t>
      </w:r>
      <w:r w:rsidRPr="00D95AD0">
        <w:rPr>
          <w:rFonts w:asciiTheme="minorHAnsi" w:hAnsiTheme="minorHAnsi" w:cs="Arial"/>
          <w:bCs/>
          <w:color w:val="000000" w:themeColor="text1"/>
          <w:sz w:val="16"/>
          <w:szCs w:val="16"/>
        </w:rPr>
        <w:t>an increase of 73% return on sales</w:t>
      </w:r>
      <w:r w:rsidRPr="00D95AD0">
        <w:rPr>
          <w:rFonts w:asciiTheme="minorHAnsi" w:hAnsiTheme="minorHAnsi" w:cs="Arial"/>
          <w:color w:val="000000" w:themeColor="text1"/>
          <w:sz w:val="16"/>
          <w:szCs w:val="16"/>
          <w:lang w:val="en"/>
        </w:rPr>
        <w:t xml:space="preserve">, </w:t>
      </w:r>
      <w:r w:rsidRPr="00D95AD0">
        <w:rPr>
          <w:rFonts w:asciiTheme="minorHAnsi" w:hAnsiTheme="minorHAnsi" w:cs="Arial"/>
          <w:bCs/>
          <w:color w:val="000000" w:themeColor="text1"/>
          <w:sz w:val="16"/>
          <w:szCs w:val="16"/>
        </w:rPr>
        <w:t>83% return on equity</w:t>
      </w:r>
      <w:r w:rsidRPr="00D95AD0">
        <w:rPr>
          <w:rFonts w:asciiTheme="minorHAnsi" w:hAnsiTheme="minorHAnsi" w:cs="Arial"/>
          <w:color w:val="000000" w:themeColor="text1"/>
          <w:sz w:val="16"/>
          <w:szCs w:val="16"/>
          <w:lang w:val="en"/>
        </w:rPr>
        <w:t xml:space="preserve"> and </w:t>
      </w:r>
      <w:r w:rsidRPr="00D95AD0">
        <w:rPr>
          <w:rFonts w:asciiTheme="minorHAnsi" w:hAnsiTheme="minorHAnsi" w:cs="Arial"/>
          <w:bCs/>
          <w:color w:val="000000" w:themeColor="text1"/>
          <w:sz w:val="16"/>
          <w:szCs w:val="16"/>
        </w:rPr>
        <w:t xml:space="preserve">112% return on invested capital. </w:t>
      </w:r>
      <w:r w:rsidRPr="00D95AD0">
        <w:rPr>
          <w:rFonts w:asciiTheme="minorHAnsi" w:hAnsiTheme="minorHAnsi" w:cs="Arial"/>
          <w:color w:val="000000" w:themeColor="text1"/>
          <w:sz w:val="16"/>
          <w:szCs w:val="16"/>
        </w:rPr>
        <w:t xml:space="preserve">L Joy and N Carter, </w:t>
      </w:r>
      <w:r w:rsidRPr="00D95AD0">
        <w:rPr>
          <w:rFonts w:asciiTheme="minorHAnsi" w:hAnsiTheme="minorHAnsi" w:cs="Arial"/>
          <w:i/>
          <w:color w:val="000000" w:themeColor="text1"/>
          <w:sz w:val="16"/>
          <w:szCs w:val="16"/>
        </w:rPr>
        <w:t>The Bottom Line: Corporate Performance and Women's Representation on Boards</w:t>
      </w:r>
      <w:r w:rsidRPr="00D95AD0">
        <w:rPr>
          <w:rFonts w:asciiTheme="minorHAnsi" w:hAnsiTheme="minorHAnsi" w:cs="Arial"/>
          <w:color w:val="000000" w:themeColor="text1"/>
          <w:sz w:val="16"/>
          <w:szCs w:val="16"/>
        </w:rPr>
        <w:t>,</w:t>
      </w:r>
      <w:r w:rsidRPr="00D95AD0">
        <w:rPr>
          <w:rFonts w:asciiTheme="minorHAnsi" w:hAnsiTheme="minorHAnsi" w:cs="Arial"/>
          <w:color w:val="000000" w:themeColor="text1"/>
          <w:sz w:val="16"/>
          <w:szCs w:val="16"/>
          <w:lang w:val="en"/>
        </w:rPr>
        <w:t xml:space="preserve"> Catalyst</w:t>
      </w:r>
      <w:r w:rsidRPr="00D95AD0">
        <w:rPr>
          <w:rFonts w:asciiTheme="minorHAnsi" w:hAnsiTheme="minorHAnsi" w:cs="Arial"/>
          <w:color w:val="000000" w:themeColor="text1"/>
          <w:sz w:val="16"/>
          <w:szCs w:val="16"/>
        </w:rPr>
        <w:t xml:space="preserve"> (2007). At</w:t>
      </w:r>
    </w:p>
    <w:p w14:paraId="70B9426C" w14:textId="77777777" w:rsidR="004244D9" w:rsidRPr="00D95AD0" w:rsidRDefault="004F0B64" w:rsidP="00553014">
      <w:pPr>
        <w:pStyle w:val="EndnoteText"/>
        <w:rPr>
          <w:rFonts w:asciiTheme="minorHAnsi" w:hAnsiTheme="minorHAnsi" w:cs="Arial"/>
          <w:color w:val="000000" w:themeColor="text1"/>
          <w:sz w:val="16"/>
          <w:szCs w:val="16"/>
        </w:rPr>
      </w:pPr>
      <w:hyperlink r:id="rId31" w:history="1">
        <w:r w:rsidR="004244D9" w:rsidRPr="00D95AD0">
          <w:rPr>
            <w:rStyle w:val="Hyperlink"/>
            <w:rFonts w:asciiTheme="minorHAnsi" w:hAnsiTheme="minorHAnsi" w:cs="Arial"/>
            <w:color w:val="000000" w:themeColor="text1"/>
            <w:sz w:val="16"/>
            <w:szCs w:val="16"/>
          </w:rPr>
          <w:t>http://www.catalyst.org/knowledge/bottom-line-corporate-performance-and-womens-representation-boards</w:t>
        </w:r>
      </w:hyperlink>
      <w:r w:rsidR="004244D9" w:rsidRPr="00D95AD0">
        <w:rPr>
          <w:rStyle w:val="Hyperlink"/>
          <w:rFonts w:asciiTheme="minorHAnsi" w:hAnsiTheme="minorHAnsi" w:cs="Arial"/>
          <w:color w:val="000000" w:themeColor="text1"/>
          <w:sz w:val="16"/>
          <w:szCs w:val="16"/>
          <w:u w:val="none"/>
        </w:rPr>
        <w:t xml:space="preserve"> </w:t>
      </w:r>
      <w:r w:rsidR="004244D9" w:rsidRPr="00D95AD0">
        <w:rPr>
          <w:rFonts w:asciiTheme="minorHAnsi" w:hAnsiTheme="minorHAnsi" w:cs="Arial"/>
          <w:color w:val="000000" w:themeColor="text1"/>
          <w:sz w:val="16"/>
          <w:szCs w:val="16"/>
        </w:rPr>
        <w:t>(viewed 6 February 2013).</w:t>
      </w:r>
    </w:p>
  </w:endnote>
  <w:endnote w:id="36">
    <w:p w14:paraId="0E361D27"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Australian human Rights Commission, </w:t>
      </w:r>
      <w:r w:rsidRPr="00D95AD0">
        <w:rPr>
          <w:rFonts w:asciiTheme="minorHAnsi" w:hAnsiTheme="minorHAnsi"/>
          <w:i/>
          <w:color w:val="000000" w:themeColor="text1"/>
          <w:sz w:val="16"/>
          <w:szCs w:val="16"/>
        </w:rPr>
        <w:t xml:space="preserve">Accumulating Poverty? Women’s experiences of inequality over the lifecycle </w:t>
      </w:r>
      <w:r w:rsidRPr="00D95AD0">
        <w:rPr>
          <w:rFonts w:asciiTheme="minorHAnsi" w:hAnsiTheme="minorHAnsi"/>
          <w:color w:val="000000" w:themeColor="text1"/>
          <w:sz w:val="16"/>
          <w:szCs w:val="16"/>
        </w:rPr>
        <w:t xml:space="preserve">(2009). At </w:t>
      </w:r>
      <w:hyperlink r:id="rId32" w:history="1">
        <w:r w:rsidRPr="00D95AD0">
          <w:rPr>
            <w:rStyle w:val="Hyperlink"/>
            <w:rFonts w:asciiTheme="minorHAnsi" w:hAnsiTheme="minorHAnsi"/>
            <w:color w:val="000000" w:themeColor="text1"/>
            <w:sz w:val="16"/>
            <w:szCs w:val="16"/>
          </w:rPr>
          <w:t>https://www.humanrights.gov.au/our-work/sex-discrimination/publications/accumulating-poverty-women-s-experiences-inequality-over</w:t>
        </w:r>
      </w:hyperlink>
      <w:r w:rsidRPr="00D95AD0">
        <w:rPr>
          <w:rFonts w:asciiTheme="minorHAnsi" w:hAnsiTheme="minorHAnsi"/>
          <w:color w:val="000000" w:themeColor="text1"/>
          <w:sz w:val="16"/>
          <w:szCs w:val="16"/>
        </w:rPr>
        <w:t xml:space="preserve"> (viewed 23 August 2016); Australian Human Rights Commission, </w:t>
      </w:r>
      <w:r w:rsidRPr="00D95AD0">
        <w:rPr>
          <w:rFonts w:asciiTheme="minorHAnsi" w:hAnsiTheme="minorHAnsi"/>
          <w:i/>
          <w:color w:val="000000" w:themeColor="text1"/>
          <w:sz w:val="16"/>
          <w:szCs w:val="16"/>
        </w:rPr>
        <w:t>Investing in care: Recognising and valuing those who care</w:t>
      </w:r>
      <w:r w:rsidRPr="00D95AD0">
        <w:rPr>
          <w:rFonts w:asciiTheme="minorHAnsi" w:hAnsiTheme="minorHAnsi"/>
          <w:color w:val="000000" w:themeColor="text1"/>
          <w:sz w:val="16"/>
          <w:szCs w:val="16"/>
        </w:rPr>
        <w:t xml:space="preserve"> (2013). At </w:t>
      </w:r>
      <w:hyperlink r:id="rId33" w:history="1">
        <w:r w:rsidRPr="00D95AD0">
          <w:rPr>
            <w:rStyle w:val="Hyperlink"/>
            <w:rFonts w:asciiTheme="minorHAnsi" w:hAnsiTheme="minorHAnsi"/>
            <w:color w:val="000000" w:themeColor="text1"/>
            <w:sz w:val="16"/>
            <w:szCs w:val="16"/>
          </w:rPr>
          <w:t>https://www.humanrights.gov.au/our-work/sex-discrimination/projects/investing-care-recognising-and-valuing-those-who-care</w:t>
        </w:r>
      </w:hyperlink>
      <w:r w:rsidRPr="00D95AD0">
        <w:rPr>
          <w:rFonts w:asciiTheme="minorHAnsi" w:hAnsiTheme="minorHAnsi"/>
          <w:color w:val="000000" w:themeColor="text1"/>
          <w:sz w:val="16"/>
          <w:szCs w:val="16"/>
        </w:rPr>
        <w:t xml:space="preserve"> (viewed 23 August 2016).</w:t>
      </w:r>
    </w:p>
  </w:endnote>
  <w:endnote w:id="37">
    <w:p w14:paraId="4D0914A5" w14:textId="77777777" w:rsidR="004244D9" w:rsidRPr="00D95AD0" w:rsidRDefault="004244D9" w:rsidP="00553014">
      <w:pPr>
        <w:pStyle w:val="EndnoteText"/>
        <w:rPr>
          <w:rFonts w:asciiTheme="minorHAnsi" w:hAnsiTheme="minorHAnsi"/>
          <w:color w:val="000000" w:themeColor="text1"/>
          <w:sz w:val="16"/>
          <w:szCs w:val="16"/>
          <w:lang w:val="en-US"/>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Australian Human Rights Commission, </w:t>
      </w:r>
      <w:r w:rsidRPr="00D95AD0">
        <w:rPr>
          <w:rFonts w:asciiTheme="minorHAnsi" w:hAnsiTheme="minorHAnsi"/>
          <w:i/>
          <w:color w:val="000000" w:themeColor="text1"/>
          <w:sz w:val="16"/>
          <w:szCs w:val="16"/>
        </w:rPr>
        <w:t>Accumulating poverty? Women’s experiences of inequality over the lifecycle</w:t>
      </w:r>
      <w:r w:rsidRPr="00D95AD0">
        <w:rPr>
          <w:rFonts w:asciiTheme="minorHAnsi" w:hAnsiTheme="minorHAnsi"/>
          <w:color w:val="000000" w:themeColor="text1"/>
          <w:sz w:val="16"/>
          <w:szCs w:val="16"/>
        </w:rPr>
        <w:t xml:space="preserve">, (2009). At </w:t>
      </w:r>
      <w:hyperlink r:id="rId34" w:history="1">
        <w:r w:rsidRPr="00D95AD0">
          <w:rPr>
            <w:rStyle w:val="Hyperlink"/>
            <w:rFonts w:asciiTheme="minorHAnsi" w:hAnsiTheme="minorHAnsi"/>
            <w:color w:val="000000" w:themeColor="text1"/>
            <w:sz w:val="16"/>
            <w:szCs w:val="16"/>
            <w:lang w:val="en"/>
          </w:rPr>
          <w:t>http://www.humanrights.gov.au/sex_discrimination/publication/gender_gap/</w:t>
        </w:r>
      </w:hyperlink>
      <w:r w:rsidRPr="00D95AD0">
        <w:rPr>
          <w:rFonts w:asciiTheme="minorHAnsi" w:hAnsiTheme="minorHAnsi"/>
          <w:color w:val="000000" w:themeColor="text1"/>
          <w:sz w:val="16"/>
          <w:szCs w:val="16"/>
          <w:lang w:val="en"/>
        </w:rPr>
        <w:t>.</w:t>
      </w:r>
    </w:p>
  </w:endnote>
  <w:endnote w:id="38">
    <w:p w14:paraId="7069CF9C"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Access Economics, </w:t>
      </w:r>
      <w:r w:rsidRPr="00D95AD0">
        <w:rPr>
          <w:rFonts w:asciiTheme="minorHAnsi" w:hAnsiTheme="minorHAnsi"/>
          <w:i/>
          <w:color w:val="000000" w:themeColor="text1"/>
          <w:sz w:val="16"/>
          <w:szCs w:val="16"/>
        </w:rPr>
        <w:t>The Economic Value of Informal Care</w:t>
      </w:r>
      <w:r w:rsidRPr="00D95AD0">
        <w:rPr>
          <w:rFonts w:asciiTheme="minorHAnsi" w:hAnsiTheme="minorHAnsi"/>
          <w:color w:val="000000" w:themeColor="text1"/>
          <w:sz w:val="16"/>
          <w:szCs w:val="16"/>
        </w:rPr>
        <w:t xml:space="preserve"> (2005) p i. At </w:t>
      </w:r>
      <w:hyperlink r:id="rId35" w:history="1">
        <w:r w:rsidRPr="00D95AD0">
          <w:rPr>
            <w:rStyle w:val="Hyperlink"/>
            <w:rFonts w:asciiTheme="minorHAnsi" w:hAnsiTheme="minorHAnsi"/>
            <w:color w:val="000000" w:themeColor="text1"/>
            <w:sz w:val="16"/>
            <w:szCs w:val="16"/>
          </w:rPr>
          <w:t>http://www.accesseconomics.com.au/publicationsreports/getreport.php?report=6&amp;id=6</w:t>
        </w:r>
      </w:hyperlink>
      <w:r w:rsidRPr="00D95AD0">
        <w:rPr>
          <w:rFonts w:asciiTheme="minorHAnsi" w:hAnsiTheme="minorHAnsi"/>
          <w:color w:val="000000" w:themeColor="text1"/>
          <w:sz w:val="16"/>
          <w:szCs w:val="16"/>
        </w:rPr>
        <w:t xml:space="preserve"> (viewed 2 September 2009).</w:t>
      </w:r>
    </w:p>
  </w:endnote>
  <w:endnote w:id="39">
    <w:p w14:paraId="264E936D" w14:textId="77777777" w:rsidR="004244D9" w:rsidRPr="00D95AD0" w:rsidRDefault="004244D9" w:rsidP="00553014">
      <w:pPr>
        <w:pStyle w:val="EndnoteText"/>
        <w:rPr>
          <w:rFonts w:asciiTheme="minorHAnsi" w:hAnsiTheme="minorHAnsi"/>
          <w:color w:val="000000" w:themeColor="text1"/>
          <w:sz w:val="16"/>
          <w:szCs w:val="16"/>
          <w:lang w:val="en-US"/>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Australian Human Rights Commission, </w:t>
      </w:r>
      <w:r w:rsidRPr="00D95AD0">
        <w:rPr>
          <w:rFonts w:asciiTheme="minorHAnsi" w:hAnsiTheme="minorHAnsi"/>
          <w:i/>
          <w:color w:val="000000" w:themeColor="text1"/>
          <w:sz w:val="16"/>
          <w:szCs w:val="16"/>
        </w:rPr>
        <w:t>Accumulating poverty? Women’s experiences of inequality over the lifecycle</w:t>
      </w:r>
      <w:r w:rsidRPr="00D95AD0">
        <w:rPr>
          <w:rFonts w:asciiTheme="minorHAnsi" w:hAnsiTheme="minorHAnsi"/>
          <w:color w:val="000000" w:themeColor="text1"/>
          <w:sz w:val="16"/>
          <w:szCs w:val="16"/>
        </w:rPr>
        <w:t xml:space="preserve">, (2009). At </w:t>
      </w:r>
      <w:hyperlink r:id="rId36" w:history="1">
        <w:r w:rsidRPr="00D95AD0">
          <w:rPr>
            <w:rStyle w:val="Hyperlink"/>
            <w:rFonts w:asciiTheme="minorHAnsi" w:hAnsiTheme="minorHAnsi"/>
            <w:color w:val="000000" w:themeColor="text1"/>
            <w:sz w:val="16"/>
            <w:szCs w:val="16"/>
            <w:lang w:val="en"/>
          </w:rPr>
          <w:t>http://www.humanrights.gov.au/sex_discrimination/publication/gender_gap/</w:t>
        </w:r>
      </w:hyperlink>
      <w:r w:rsidRPr="00D95AD0">
        <w:rPr>
          <w:rFonts w:asciiTheme="minorHAnsi" w:hAnsiTheme="minorHAnsi"/>
          <w:color w:val="000000" w:themeColor="text1"/>
          <w:sz w:val="16"/>
          <w:szCs w:val="16"/>
          <w:lang w:val="en"/>
        </w:rPr>
        <w:t>.</w:t>
      </w:r>
    </w:p>
  </w:endnote>
  <w:endnote w:id="40">
    <w:p w14:paraId="2F7A8AE6" w14:textId="77777777" w:rsidR="004244D9" w:rsidRPr="00D95AD0" w:rsidRDefault="004244D9" w:rsidP="00553014">
      <w:pPr>
        <w:pStyle w:val="EndnoteText"/>
        <w:rPr>
          <w:rFonts w:asciiTheme="minorHAnsi" w:hAnsiTheme="minorHAnsi" w:cs="Arial"/>
          <w:color w:val="000000" w:themeColor="text1"/>
          <w:sz w:val="16"/>
          <w:szCs w:val="16"/>
        </w:rPr>
      </w:pPr>
      <w:r w:rsidRPr="00D95AD0">
        <w:rPr>
          <w:rStyle w:val="EndnoteReference"/>
          <w:rFonts w:asciiTheme="minorHAnsi" w:hAnsiTheme="minorHAnsi" w:cs="Arial"/>
          <w:color w:val="000000" w:themeColor="text1"/>
          <w:sz w:val="16"/>
          <w:szCs w:val="16"/>
        </w:rPr>
        <w:endnoteRef/>
      </w:r>
      <w:r w:rsidRPr="00D95AD0">
        <w:rPr>
          <w:rFonts w:asciiTheme="minorHAnsi" w:hAnsiTheme="minorHAnsi" w:cs="Arial"/>
          <w:color w:val="000000" w:themeColor="text1"/>
          <w:sz w:val="16"/>
          <w:szCs w:val="16"/>
        </w:rPr>
        <w:t xml:space="preserve"> Australian Human Rights Commission, </w:t>
      </w:r>
      <w:r w:rsidRPr="00D95AD0">
        <w:rPr>
          <w:rFonts w:asciiTheme="minorHAnsi" w:hAnsiTheme="minorHAnsi" w:cs="Arial"/>
          <w:i/>
          <w:color w:val="000000" w:themeColor="text1"/>
          <w:sz w:val="16"/>
          <w:szCs w:val="16"/>
        </w:rPr>
        <w:t>Investing in care; Recognising and valuing those who care</w:t>
      </w:r>
      <w:r w:rsidRPr="00D95AD0">
        <w:rPr>
          <w:rFonts w:asciiTheme="minorHAnsi" w:hAnsiTheme="minorHAnsi" w:cs="Arial"/>
          <w:color w:val="000000" w:themeColor="text1"/>
          <w:sz w:val="16"/>
          <w:szCs w:val="16"/>
        </w:rPr>
        <w:t xml:space="preserve">, (2013). At </w:t>
      </w:r>
      <w:hyperlink r:id="rId37" w:history="1">
        <w:r w:rsidRPr="00D95AD0">
          <w:rPr>
            <w:rStyle w:val="Hyperlink"/>
            <w:rFonts w:asciiTheme="minorHAnsi" w:hAnsiTheme="minorHAnsi" w:cs="Arial"/>
            <w:color w:val="000000" w:themeColor="text1"/>
            <w:sz w:val="16"/>
            <w:szCs w:val="16"/>
          </w:rPr>
          <w:t>http://www.humanrights.gov.au/investing-care-recognising-and-valuing-those-who-care</w:t>
        </w:r>
      </w:hyperlink>
      <w:r w:rsidRPr="00D95AD0">
        <w:rPr>
          <w:rFonts w:asciiTheme="minorHAnsi" w:hAnsiTheme="minorHAnsi" w:cs="Arial"/>
          <w:color w:val="000000" w:themeColor="text1"/>
          <w:sz w:val="16"/>
          <w:szCs w:val="16"/>
        </w:rPr>
        <w:t>.</w:t>
      </w:r>
    </w:p>
  </w:endnote>
  <w:endnote w:id="41">
    <w:p w14:paraId="0B2F6C47"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KPMG, </w:t>
      </w:r>
      <w:r w:rsidRPr="00D95AD0">
        <w:rPr>
          <w:rFonts w:asciiTheme="minorHAnsi" w:hAnsiTheme="minorHAnsi"/>
          <w:i/>
          <w:color w:val="000000" w:themeColor="text1"/>
          <w:sz w:val="16"/>
          <w:szCs w:val="16"/>
        </w:rPr>
        <w:t>She’s Pricedless, The economics of the gender pay gap</w:t>
      </w:r>
      <w:r w:rsidRPr="00D95AD0">
        <w:rPr>
          <w:rFonts w:asciiTheme="minorHAnsi" w:hAnsiTheme="minorHAnsi"/>
          <w:color w:val="000000" w:themeColor="text1"/>
          <w:sz w:val="16"/>
          <w:szCs w:val="16"/>
        </w:rPr>
        <w:t xml:space="preserve"> (2016) p. 11 (viewed 1 February 2017)</w:t>
      </w:r>
    </w:p>
  </w:endnote>
  <w:endnote w:id="42">
    <w:p w14:paraId="3559A7A6"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Victorian Department of Economic Development, Jobs, Transport and Resources, </w:t>
      </w:r>
      <w:r w:rsidRPr="00D95AD0">
        <w:rPr>
          <w:rFonts w:asciiTheme="minorHAnsi" w:hAnsiTheme="minorHAnsi"/>
          <w:i/>
          <w:color w:val="000000" w:themeColor="text1"/>
          <w:sz w:val="16"/>
          <w:szCs w:val="16"/>
        </w:rPr>
        <w:t xml:space="preserve">Victorian Inquiry into the Labour Hire Industry and Insecure Work Final Report </w:t>
      </w:r>
      <w:r w:rsidRPr="00D95AD0">
        <w:rPr>
          <w:rFonts w:asciiTheme="minorHAnsi" w:hAnsiTheme="minorHAnsi"/>
          <w:color w:val="000000" w:themeColor="text1"/>
          <w:sz w:val="16"/>
          <w:szCs w:val="16"/>
        </w:rPr>
        <w:t xml:space="preserve">(31 August 2016), Chapter 6. At: </w:t>
      </w:r>
      <w:hyperlink r:id="rId38" w:history="1">
        <w:r w:rsidRPr="00D95AD0">
          <w:rPr>
            <w:rStyle w:val="Hyperlink"/>
            <w:rFonts w:asciiTheme="minorHAnsi" w:hAnsiTheme="minorHAnsi"/>
            <w:color w:val="000000" w:themeColor="text1"/>
            <w:sz w:val="16"/>
            <w:szCs w:val="16"/>
          </w:rPr>
          <w:t>http://economicdevelopment.vic.gov.au/inquiry-into-the-labour-hire-industry</w:t>
        </w:r>
      </w:hyperlink>
      <w:r w:rsidRPr="00D95AD0">
        <w:rPr>
          <w:rFonts w:asciiTheme="minorHAnsi" w:hAnsiTheme="minorHAnsi"/>
          <w:color w:val="000000" w:themeColor="text1"/>
          <w:sz w:val="16"/>
          <w:szCs w:val="16"/>
        </w:rPr>
        <w:t xml:space="preserve"> (viewed 6 February 2017).</w:t>
      </w:r>
    </w:p>
  </w:endnote>
  <w:endnote w:id="43">
    <w:p w14:paraId="4B816C90" w14:textId="77777777" w:rsidR="004244D9" w:rsidRPr="00D95AD0" w:rsidRDefault="004244D9" w:rsidP="00553014">
      <w:pPr>
        <w:pStyle w:val="EndnoteText"/>
        <w:rPr>
          <w:rFonts w:asciiTheme="minorHAnsi" w:hAnsiTheme="minorHAnsi"/>
          <w:color w:val="000000" w:themeColor="text1"/>
          <w:sz w:val="16"/>
          <w:szCs w:val="16"/>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Victorian Department of Economic Development, Jobs, Transport and Resources, </w:t>
      </w:r>
      <w:r w:rsidRPr="00D95AD0">
        <w:rPr>
          <w:rFonts w:asciiTheme="minorHAnsi" w:hAnsiTheme="minorHAnsi"/>
          <w:i/>
          <w:color w:val="000000" w:themeColor="text1"/>
          <w:sz w:val="16"/>
          <w:szCs w:val="16"/>
        </w:rPr>
        <w:t xml:space="preserve">Victorian Inquiry into the Labour Hire Industry and Insecure Work Final Report </w:t>
      </w:r>
      <w:r w:rsidRPr="00D95AD0">
        <w:rPr>
          <w:rFonts w:asciiTheme="minorHAnsi" w:hAnsiTheme="minorHAnsi"/>
          <w:color w:val="000000" w:themeColor="text1"/>
          <w:sz w:val="16"/>
          <w:szCs w:val="16"/>
        </w:rPr>
        <w:t xml:space="preserve">(31 August 2016), Chapter 6. At: </w:t>
      </w:r>
      <w:hyperlink r:id="rId39" w:history="1">
        <w:r w:rsidRPr="00D95AD0">
          <w:rPr>
            <w:rStyle w:val="Hyperlink"/>
            <w:rFonts w:asciiTheme="minorHAnsi" w:hAnsiTheme="minorHAnsi"/>
            <w:color w:val="000000" w:themeColor="text1"/>
            <w:sz w:val="16"/>
            <w:szCs w:val="16"/>
          </w:rPr>
          <w:t>http://economicdevelopment.vic.gov.au/inquiry-into-the-labour-hire-industry</w:t>
        </w:r>
      </w:hyperlink>
      <w:r w:rsidRPr="00D95AD0">
        <w:rPr>
          <w:rFonts w:asciiTheme="minorHAnsi" w:hAnsiTheme="minorHAnsi"/>
          <w:color w:val="000000" w:themeColor="text1"/>
          <w:sz w:val="16"/>
          <w:szCs w:val="16"/>
        </w:rPr>
        <w:t xml:space="preserve"> (viewed 6 February 2017).</w:t>
      </w:r>
    </w:p>
  </w:endnote>
  <w:endnote w:id="44">
    <w:p w14:paraId="622C4626" w14:textId="77777777" w:rsidR="004244D9" w:rsidRPr="00D95AD0" w:rsidRDefault="004244D9" w:rsidP="00524DEF">
      <w:pPr>
        <w:pStyle w:val="EndnoteText"/>
        <w:rPr>
          <w:rFonts w:asciiTheme="minorHAnsi" w:hAnsiTheme="minorHAnsi"/>
          <w:color w:val="000000" w:themeColor="text1"/>
          <w:sz w:val="16"/>
          <w:szCs w:val="16"/>
          <w:lang w:val="en-US"/>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w:t>
      </w:r>
      <w:r w:rsidRPr="00D95AD0">
        <w:rPr>
          <w:rFonts w:asciiTheme="minorHAnsi" w:eastAsia="Times New Roman" w:hAnsiTheme="minorHAnsi" w:cs="Arial"/>
          <w:bCs/>
          <w:color w:val="000000" w:themeColor="text1"/>
          <w:sz w:val="16"/>
          <w:szCs w:val="16"/>
          <w:lang w:val="en-US"/>
        </w:rPr>
        <w:t>Roundtable on vulnerable workers and gender equality 10am – 12pm, 10 November 2016</w:t>
      </w:r>
      <w:r w:rsidRPr="00D95AD0">
        <w:rPr>
          <w:rFonts w:ascii="MS Mincho" w:hAnsi="MS Mincho" w:cs="MS Mincho"/>
          <w:bCs/>
          <w:color w:val="000000" w:themeColor="text1"/>
          <w:sz w:val="16"/>
          <w:szCs w:val="16"/>
          <w:lang w:val="en-US"/>
        </w:rPr>
        <w:t> </w:t>
      </w:r>
      <w:r w:rsidRPr="00D95AD0">
        <w:rPr>
          <w:rFonts w:asciiTheme="minorHAnsi" w:eastAsia="Times New Roman" w:hAnsiTheme="minorHAnsi" w:cs="Arial"/>
          <w:bCs/>
          <w:color w:val="000000" w:themeColor="text1"/>
          <w:sz w:val="16"/>
          <w:szCs w:val="16"/>
          <w:lang w:val="en-US"/>
        </w:rPr>
        <w:t>RMIT Building 80, 445 Swanston St, Level 9, Room 11</w:t>
      </w:r>
    </w:p>
  </w:endnote>
  <w:endnote w:id="45">
    <w:p w14:paraId="7AEF3B19" w14:textId="77777777" w:rsidR="004244D9" w:rsidRPr="00D95AD0" w:rsidRDefault="004244D9" w:rsidP="00553014">
      <w:pPr>
        <w:pStyle w:val="EndnoteText"/>
        <w:rPr>
          <w:rFonts w:asciiTheme="minorHAnsi" w:hAnsiTheme="minorHAnsi"/>
          <w:color w:val="000000" w:themeColor="text1"/>
          <w:sz w:val="16"/>
          <w:szCs w:val="16"/>
          <w:lang w:val="en-US"/>
        </w:rPr>
      </w:pPr>
      <w:r w:rsidRPr="00D95AD0">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International Labour Force, International Perspectives on Women and Work in Hotels, Catering and Tourism: Working Paper 1 (2013), p.2-59</w:t>
      </w:r>
    </w:p>
  </w:endnote>
  <w:endnote w:id="46">
    <w:p w14:paraId="2A326692" w14:textId="22EFCA92" w:rsidR="004244D9" w:rsidRPr="00224C02" w:rsidRDefault="004244D9" w:rsidP="00224C02">
      <w:pPr>
        <w:pStyle w:val="EndnoteText"/>
        <w:rPr>
          <w:color w:val="000000" w:themeColor="text1"/>
          <w:szCs w:val="16"/>
        </w:rPr>
      </w:pPr>
      <w:r w:rsidRPr="00224C02">
        <w:rPr>
          <w:rStyle w:val="EndnoteReference"/>
          <w:rFonts w:asciiTheme="minorHAnsi" w:hAnsiTheme="minorHAnsi"/>
          <w:color w:val="000000" w:themeColor="text1"/>
          <w:sz w:val="16"/>
          <w:szCs w:val="16"/>
        </w:rPr>
        <w:endnoteRef/>
      </w:r>
      <w:r w:rsidRPr="00224C02">
        <w:rPr>
          <w:rStyle w:val="EndnoteReference"/>
          <w:rFonts w:asciiTheme="minorHAnsi" w:hAnsiTheme="minorHAnsi"/>
          <w:color w:val="000000" w:themeColor="text1"/>
          <w:sz w:val="16"/>
          <w:szCs w:val="16"/>
        </w:rPr>
        <w:t xml:space="preserve"> </w:t>
      </w:r>
      <w:r w:rsidRPr="00224C02">
        <w:rPr>
          <w:rFonts w:asciiTheme="minorHAnsi" w:hAnsiTheme="minorHAnsi"/>
          <w:color w:val="000000" w:themeColor="text1"/>
          <w:sz w:val="16"/>
          <w:szCs w:val="16"/>
        </w:rPr>
        <w:t>WestJustice Report “Not Just Work: ending the exploitation of refuge and migrant workers” talks about the vulnerability of migrant women working in female specific jobs: unskilled (cleaning etc) and skilled (teachers nurses). See: Dec 2016.</w:t>
      </w:r>
    </w:p>
  </w:endnote>
  <w:endnote w:id="47">
    <w:p w14:paraId="0A7DA0C6" w14:textId="4DBCBC4F" w:rsidR="004244D9" w:rsidRPr="00224C02" w:rsidRDefault="004244D9" w:rsidP="00224C02">
      <w:pPr>
        <w:pStyle w:val="EndnoteText"/>
        <w:rPr>
          <w:rFonts w:asciiTheme="minorHAnsi" w:hAnsiTheme="minorHAnsi"/>
          <w:color w:val="000000" w:themeColor="text1"/>
          <w:sz w:val="16"/>
          <w:szCs w:val="16"/>
        </w:rPr>
      </w:pPr>
      <w:r w:rsidRPr="00224C02">
        <w:rPr>
          <w:rStyle w:val="EndnoteReference"/>
          <w:rFonts w:asciiTheme="minorHAnsi" w:hAnsiTheme="minorHAnsi"/>
          <w:color w:val="000000" w:themeColor="text1"/>
          <w:sz w:val="16"/>
          <w:szCs w:val="16"/>
        </w:rPr>
        <w:endnoteRef/>
      </w:r>
      <w:r w:rsidRPr="00224C02">
        <w:rPr>
          <w:rStyle w:val="EndnoteReference"/>
          <w:rFonts w:asciiTheme="minorHAnsi" w:hAnsiTheme="minorHAnsi"/>
          <w:sz w:val="16"/>
        </w:rPr>
        <w:t xml:space="preserve"> </w:t>
      </w:r>
      <w:r w:rsidRPr="00224C02">
        <w:rPr>
          <w:rFonts w:asciiTheme="minorHAnsi" w:hAnsiTheme="minorHAnsi"/>
          <w:color w:val="000000" w:themeColor="text1"/>
          <w:sz w:val="16"/>
          <w:szCs w:val="16"/>
        </w:rPr>
        <w:t>Speech to the World Blind Women's Forum Melbourne Town Hall, Friday 17 November 2000 Susan Halliday, Sex Discrimination Commissioner and Acting Disability Discrimination Commissioner)</w:t>
      </w:r>
    </w:p>
  </w:endnote>
  <w:endnote w:id="48">
    <w:p w14:paraId="69BF81C1" w14:textId="77777777" w:rsidR="004244D9" w:rsidRPr="00224C02" w:rsidRDefault="004244D9" w:rsidP="00224C02">
      <w:pPr>
        <w:pStyle w:val="EndnoteText"/>
        <w:rPr>
          <w:rFonts w:asciiTheme="minorHAnsi" w:hAnsiTheme="minorHAnsi"/>
          <w:color w:val="000000" w:themeColor="text1"/>
          <w:sz w:val="16"/>
          <w:szCs w:val="16"/>
        </w:rPr>
      </w:pPr>
      <w:r w:rsidRPr="00224C02">
        <w:rPr>
          <w:rStyle w:val="EndnoteReference"/>
          <w:rFonts w:asciiTheme="minorHAnsi" w:hAnsiTheme="minorHAnsi"/>
          <w:color w:val="000000" w:themeColor="text1"/>
          <w:sz w:val="16"/>
          <w:szCs w:val="16"/>
        </w:rPr>
        <w:endnoteRef/>
      </w:r>
      <w:r w:rsidRPr="00224C02">
        <w:rPr>
          <w:rStyle w:val="EndnoteReference"/>
          <w:rFonts w:asciiTheme="minorHAnsi" w:hAnsiTheme="minorHAnsi"/>
          <w:sz w:val="16"/>
        </w:rPr>
        <w:t xml:space="preserve"> </w:t>
      </w:r>
      <w:r w:rsidRPr="00224C02">
        <w:rPr>
          <w:rFonts w:asciiTheme="minorHAnsi" w:hAnsiTheme="minorHAnsi"/>
          <w:color w:val="000000" w:themeColor="text1"/>
          <w:sz w:val="16"/>
          <w:szCs w:val="16"/>
        </w:rPr>
        <w:t>CEDA Women in Leadership: Diversity and equity priorities, 16 November 2016</w:t>
      </w:r>
    </w:p>
    <w:p w14:paraId="1BE36187" w14:textId="72E1B455" w:rsidR="004244D9" w:rsidRPr="00224C02" w:rsidRDefault="004244D9" w:rsidP="00D95AD0">
      <w:pPr>
        <w:pStyle w:val="EndnoteText"/>
        <w:rPr>
          <w:rFonts w:asciiTheme="minorHAnsi" w:hAnsiTheme="minorHAnsi"/>
          <w:color w:val="000000" w:themeColor="text1"/>
          <w:sz w:val="16"/>
          <w:szCs w:val="16"/>
        </w:rPr>
      </w:pPr>
      <w:r w:rsidRPr="00224C02">
        <w:rPr>
          <w:rFonts w:asciiTheme="minorHAnsi" w:hAnsiTheme="minorHAnsi"/>
          <w:color w:val="000000" w:themeColor="text1"/>
          <w:sz w:val="16"/>
          <w:szCs w:val="16"/>
        </w:rPr>
        <w:t>Brisbane, Queensland</w:t>
      </w:r>
    </w:p>
  </w:endnote>
  <w:endnote w:id="49">
    <w:p w14:paraId="3C722500" w14:textId="77777777" w:rsidR="004244D9" w:rsidRPr="00224C02" w:rsidRDefault="004244D9" w:rsidP="005D7D6D">
      <w:pPr>
        <w:pStyle w:val="EndnoteText"/>
        <w:rPr>
          <w:rFonts w:asciiTheme="minorHAnsi" w:hAnsiTheme="minorHAnsi"/>
          <w:color w:val="000000" w:themeColor="text1"/>
          <w:sz w:val="16"/>
          <w:szCs w:val="16"/>
        </w:rPr>
      </w:pPr>
      <w:r w:rsidRPr="00224C02">
        <w:rPr>
          <w:rStyle w:val="EndnoteReference"/>
          <w:rFonts w:asciiTheme="minorHAnsi" w:hAnsiTheme="minorHAnsi"/>
          <w:color w:val="000000" w:themeColor="text1"/>
          <w:sz w:val="16"/>
          <w:szCs w:val="16"/>
        </w:rPr>
        <w:endnoteRef/>
      </w:r>
      <w:r w:rsidRPr="00D95AD0">
        <w:rPr>
          <w:rFonts w:asciiTheme="minorHAnsi" w:hAnsiTheme="minorHAnsi"/>
          <w:color w:val="000000" w:themeColor="text1"/>
          <w:sz w:val="16"/>
          <w:szCs w:val="16"/>
        </w:rPr>
        <w:t xml:space="preserve"> https://www.humanrights.gov.au/working-without-fear-results-sexual-harassment-national-telephone-survey-2012</w:t>
      </w:r>
    </w:p>
  </w:endnote>
  <w:endnote w:id="50">
    <w:p w14:paraId="13FD0E83" w14:textId="77777777" w:rsidR="004244D9" w:rsidRPr="00224C02" w:rsidRDefault="004244D9" w:rsidP="00224C02">
      <w:pPr>
        <w:pStyle w:val="EndnoteText"/>
        <w:rPr>
          <w:rFonts w:asciiTheme="minorHAnsi" w:hAnsiTheme="minorHAnsi"/>
          <w:color w:val="000000" w:themeColor="text1"/>
          <w:sz w:val="16"/>
          <w:szCs w:val="16"/>
        </w:rPr>
      </w:pPr>
      <w:r w:rsidRPr="00224C02">
        <w:rPr>
          <w:rStyle w:val="EndnoteReference"/>
          <w:rFonts w:asciiTheme="minorHAnsi" w:hAnsiTheme="minorHAnsi"/>
          <w:color w:val="000000" w:themeColor="text1"/>
          <w:sz w:val="16"/>
          <w:szCs w:val="16"/>
        </w:rPr>
        <w:endnoteRef/>
      </w:r>
      <w:r w:rsidRPr="00224C02">
        <w:rPr>
          <w:rStyle w:val="EndnoteReference"/>
          <w:rFonts w:asciiTheme="minorHAnsi" w:hAnsiTheme="minorHAnsi"/>
          <w:sz w:val="16"/>
        </w:rPr>
        <w:t xml:space="preserve"> </w:t>
      </w:r>
      <w:r w:rsidRPr="00224C02">
        <w:rPr>
          <w:rFonts w:asciiTheme="minorHAnsi" w:hAnsiTheme="minorHAnsi"/>
          <w:color w:val="000000" w:themeColor="text1"/>
          <w:sz w:val="16"/>
          <w:szCs w:val="16"/>
        </w:rPr>
        <w:t>P McDonald and K Dear, ‘Discrimination and harassment affecting working women: Evidence from Australia’ (2008) 22(1/2) Women’s Studies Journal p.29; R Illies et al, ‘Reported incidence rates of work-related sexual harassment in the United States: Using meta-analysis to explain reported rate disparities, 56(3), 607-618.’ (2003) 56(3) Personnel Psychology p.607; R Jackson and M Newman, ‘Sexual harassment in the federal workplace revisited: Influences on sexual harassment by gender’ (2004) 64 Public Administration Review p.705.</w:t>
      </w:r>
    </w:p>
  </w:endnote>
  <w:endnote w:id="51">
    <w:p w14:paraId="6E2283DD" w14:textId="77777777" w:rsidR="004244D9" w:rsidRPr="00224C02" w:rsidRDefault="004244D9" w:rsidP="00224C02">
      <w:pPr>
        <w:pStyle w:val="EndnoteText"/>
        <w:rPr>
          <w:rFonts w:asciiTheme="minorHAnsi" w:hAnsiTheme="minorHAnsi"/>
          <w:color w:val="000000" w:themeColor="text1"/>
          <w:sz w:val="16"/>
          <w:szCs w:val="16"/>
        </w:rPr>
      </w:pPr>
      <w:r w:rsidRPr="00224C02">
        <w:rPr>
          <w:rStyle w:val="EndnoteReference"/>
          <w:rFonts w:asciiTheme="minorHAnsi" w:hAnsiTheme="minorHAnsi"/>
          <w:color w:val="000000" w:themeColor="text1"/>
          <w:sz w:val="16"/>
          <w:szCs w:val="16"/>
        </w:rPr>
        <w:endnoteRef/>
      </w:r>
      <w:r w:rsidRPr="00224C02">
        <w:rPr>
          <w:rStyle w:val="EndnoteReference"/>
          <w:rFonts w:asciiTheme="minorHAnsi" w:hAnsiTheme="minorHAnsi"/>
          <w:sz w:val="16"/>
        </w:rPr>
        <w:t xml:space="preserve"> </w:t>
      </w:r>
      <w:r w:rsidRPr="00224C02">
        <w:rPr>
          <w:rFonts w:asciiTheme="minorHAnsi" w:hAnsiTheme="minorHAnsi"/>
          <w:color w:val="000000" w:themeColor="text1"/>
          <w:sz w:val="16"/>
          <w:szCs w:val="16"/>
        </w:rPr>
        <w:t>A LaMontagne et al, ‘Unwanted sexual advances in Australian Workplaces: variations by employment arrangement’ (Paper presented at the World Conference of the Promotion of Mental Health and the Prevention of Mental and Behavioural Disorders, Melbourne, 10-12 September 2008).</w:t>
      </w:r>
    </w:p>
  </w:endnote>
  <w:endnote w:id="52">
    <w:p w14:paraId="3D29B20B" w14:textId="77777777" w:rsidR="004244D9" w:rsidRPr="00D95AD0" w:rsidRDefault="004244D9" w:rsidP="00553014">
      <w:pPr>
        <w:pStyle w:val="EndnoteText"/>
        <w:rPr>
          <w:color w:val="000000" w:themeColor="text1"/>
          <w:lang w:val="en-US"/>
        </w:rPr>
      </w:pPr>
      <w:r w:rsidRPr="00224C02">
        <w:rPr>
          <w:rStyle w:val="EndnoteReference"/>
          <w:rFonts w:asciiTheme="minorHAnsi" w:hAnsiTheme="minorHAnsi"/>
          <w:color w:val="000000" w:themeColor="text1"/>
          <w:sz w:val="16"/>
          <w:szCs w:val="16"/>
        </w:rPr>
        <w:endnoteRef/>
      </w:r>
      <w:r w:rsidRPr="00224C02">
        <w:rPr>
          <w:rStyle w:val="EndnoteReference"/>
          <w:rFonts w:asciiTheme="minorHAnsi" w:hAnsiTheme="minorHAnsi"/>
          <w:sz w:val="16"/>
        </w:rPr>
        <w:t xml:space="preserve"> </w:t>
      </w:r>
      <w:r w:rsidRPr="00D95AD0">
        <w:rPr>
          <w:rFonts w:asciiTheme="minorHAnsi" w:hAnsiTheme="minorHAnsi"/>
          <w:color w:val="000000" w:themeColor="text1"/>
          <w:sz w:val="16"/>
          <w:szCs w:val="16"/>
        </w:rPr>
        <w:t>https://www.humanrights.gov.au/working-without-fear-results-sexual-harassment-national-telephone-survey-2012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Book">
    <w:altName w:val="Calibri"/>
    <w:panose1 w:val="00000000000000000000"/>
    <w:charset w:val="00"/>
    <w:family w:val="roman"/>
    <w:notTrueType/>
    <w:pitch w:val="default"/>
    <w:sig w:usb0="00000003" w:usb1="00000000" w:usb2="00000000" w:usb3="00000000" w:csb0="00000001" w:csb1="00000000"/>
  </w:font>
  <w:font w:name="Yu Mincho">
    <w:altName w:val="游明朝"/>
    <w:charset w:val="80"/>
    <w:family w:val="auto"/>
    <w:pitch w:val="variable"/>
    <w:sig w:usb0="800002E7" w:usb1="2AC7FCFF" w:usb2="00000012" w:usb3="00000000" w:csb0="0002009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95B3" w14:textId="77777777" w:rsidR="004244D9" w:rsidRPr="0090165F" w:rsidRDefault="004244D9"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BE7A" w14:textId="77777777" w:rsidR="004244D9" w:rsidRPr="004A187B" w:rsidRDefault="004244D9" w:rsidP="008B23BC">
    <w:pPr>
      <w:pStyle w:val="Footer"/>
    </w:pPr>
    <w:r>
      <w:rPr>
        <w:noProof/>
      </w:rPr>
      <mc:AlternateContent>
        <mc:Choice Requires="wps">
          <w:drawing>
            <wp:anchor distT="0" distB="0" distL="114300" distR="114300" simplePos="0" relativeHeight="251660288" behindDoc="0" locked="0" layoutInCell="1" allowOverlap="1" wp14:anchorId="59B282AB" wp14:editId="304BC5DF">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4792B202" w14:textId="77777777" w:rsidR="004244D9" w:rsidRPr="0003606D" w:rsidRDefault="004244D9" w:rsidP="0003606D">
                          <w:pPr>
                            <w:pStyle w:val="coveraddresses"/>
                          </w:pPr>
                          <w:r w:rsidRPr="0003606D">
                            <w:t>ABN 47 996 232 602</w:t>
                          </w:r>
                        </w:p>
                        <w:p w14:paraId="61C3D7FB" w14:textId="77777777" w:rsidR="004244D9" w:rsidRPr="0003606D" w:rsidRDefault="004244D9" w:rsidP="0003606D">
                          <w:pPr>
                            <w:pStyle w:val="coveraddresses"/>
                          </w:pPr>
                          <w:r w:rsidRPr="0003606D">
                            <w:t>Level 3, 175 Pitt Street, Sydney NSW 2000</w:t>
                          </w:r>
                        </w:p>
                        <w:p w14:paraId="3141AF8C" w14:textId="77777777" w:rsidR="004244D9" w:rsidRPr="0003606D" w:rsidRDefault="004244D9" w:rsidP="0003606D">
                          <w:pPr>
                            <w:pStyle w:val="coveraddresses"/>
                          </w:pPr>
                          <w:r w:rsidRPr="0003606D">
                            <w:t>GPO Box 5218, Sydney NSW 2001</w:t>
                          </w:r>
                        </w:p>
                        <w:p w14:paraId="3FF84EE6" w14:textId="77777777" w:rsidR="004244D9" w:rsidRPr="0003606D" w:rsidRDefault="004244D9" w:rsidP="0003606D">
                          <w:pPr>
                            <w:pStyle w:val="coveraddresses"/>
                          </w:pPr>
                          <w:r w:rsidRPr="0003606D">
                            <w:t>General enquiries 1300 369 711</w:t>
                          </w:r>
                        </w:p>
                        <w:p w14:paraId="33F79A82" w14:textId="77777777" w:rsidR="004244D9" w:rsidRPr="0003606D" w:rsidRDefault="004244D9" w:rsidP="0003606D">
                          <w:pPr>
                            <w:pStyle w:val="coveraddresses"/>
                          </w:pPr>
                          <w:r w:rsidRPr="0003606D">
                            <w:t>Complaints info line 1300 656 419</w:t>
                          </w:r>
                        </w:p>
                        <w:p w14:paraId="3CEF359C" w14:textId="77777777" w:rsidR="004244D9" w:rsidRPr="0003606D" w:rsidRDefault="004244D9" w:rsidP="0003606D">
                          <w:pPr>
                            <w:pStyle w:val="coveraddresses"/>
                          </w:pPr>
                          <w:r w:rsidRPr="0003606D">
                            <w:t>TTY 1800 620 241</w:t>
                          </w:r>
                        </w:p>
                        <w:p w14:paraId="3FE866FB" w14:textId="77777777" w:rsidR="004244D9" w:rsidRPr="00B63D24" w:rsidRDefault="004244D9"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9B282AB" id="_x0000_t202" coordsize="21600,21600" o:spt="202" path="m0,0l0,21600,21600,21600,21600,0xe">
              <v:stroke joinstyle="miter"/>
              <v:path gradientshapeok="t" o:connecttype="rect"/>
            </v:shapetype>
            <v:shape id="Text Box 9" o:spid="_x0000_s1029" type="#_x0000_t202" style="position:absolute;margin-left:-43.15pt;margin-top:-102.75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" filled="f" stroked="f" strokeweight=".5pt">
              <v:path arrowok="t"/>
              <v:textbox inset="0,0,0,0">
                <w:txbxContent>
                  <w:p w14:paraId="4792B202" w14:textId="77777777" w:rsidR="004244D9" w:rsidRPr="0003606D" w:rsidRDefault="004244D9" w:rsidP="0003606D">
                    <w:pPr>
                      <w:pStyle w:val="coveraddresses"/>
                    </w:pPr>
                    <w:r w:rsidRPr="0003606D">
                      <w:t>ABN 47 996 232 602</w:t>
                    </w:r>
                  </w:p>
                  <w:p w14:paraId="61C3D7FB" w14:textId="77777777" w:rsidR="004244D9" w:rsidRPr="0003606D" w:rsidRDefault="004244D9" w:rsidP="0003606D">
                    <w:pPr>
                      <w:pStyle w:val="coveraddresses"/>
                    </w:pPr>
                    <w:r w:rsidRPr="0003606D">
                      <w:t>Level 3, 175 Pitt Street, Sydney NSW 2000</w:t>
                    </w:r>
                  </w:p>
                  <w:p w14:paraId="3141AF8C" w14:textId="77777777" w:rsidR="004244D9" w:rsidRPr="0003606D" w:rsidRDefault="004244D9" w:rsidP="0003606D">
                    <w:pPr>
                      <w:pStyle w:val="coveraddresses"/>
                    </w:pPr>
                    <w:r w:rsidRPr="0003606D">
                      <w:t>GPO Box 5218, Sydney NSW 2001</w:t>
                    </w:r>
                  </w:p>
                  <w:p w14:paraId="3FF84EE6" w14:textId="77777777" w:rsidR="004244D9" w:rsidRPr="0003606D" w:rsidRDefault="004244D9" w:rsidP="0003606D">
                    <w:pPr>
                      <w:pStyle w:val="coveraddresses"/>
                    </w:pPr>
                    <w:r w:rsidRPr="0003606D">
                      <w:t>General enquiries 1300 369 711</w:t>
                    </w:r>
                  </w:p>
                  <w:p w14:paraId="33F79A82" w14:textId="77777777" w:rsidR="004244D9" w:rsidRPr="0003606D" w:rsidRDefault="004244D9" w:rsidP="0003606D">
                    <w:pPr>
                      <w:pStyle w:val="coveraddresses"/>
                    </w:pPr>
                    <w:r w:rsidRPr="0003606D">
                      <w:t>Complaints info line 1300 656 419</w:t>
                    </w:r>
                  </w:p>
                  <w:p w14:paraId="3CEF359C" w14:textId="77777777" w:rsidR="004244D9" w:rsidRPr="0003606D" w:rsidRDefault="004244D9" w:rsidP="0003606D">
                    <w:pPr>
                      <w:pStyle w:val="coveraddresses"/>
                    </w:pPr>
                    <w:r w:rsidRPr="0003606D">
                      <w:t>TTY 1800 620 241</w:t>
                    </w:r>
                  </w:p>
                  <w:p w14:paraId="3FE866FB" w14:textId="77777777" w:rsidR="004244D9" w:rsidRPr="00B63D24" w:rsidRDefault="004244D9"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C243" w14:textId="4F5C5442" w:rsidR="004244D9" w:rsidRPr="0090165F" w:rsidRDefault="004244D9"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4F0B64">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CF20" w14:textId="77777777" w:rsidR="00BF1CAB" w:rsidRDefault="00BF1CAB" w:rsidP="00F14C6D">
      <w:r>
        <w:separator/>
      </w:r>
    </w:p>
  </w:footnote>
  <w:footnote w:type="continuationSeparator" w:id="0">
    <w:p w14:paraId="1900C5B4" w14:textId="77777777" w:rsidR="00BF1CAB" w:rsidRDefault="00BF1CAB"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EA17" w14:textId="77777777" w:rsidR="004244D9" w:rsidRDefault="004F0B64">
    <w:pPr>
      <w:pStyle w:val="Header"/>
    </w:pPr>
    <w:r>
      <w:rPr>
        <w:noProof/>
      </w:rPr>
      <w:pict w14:anchorId="0FA4C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64BB" w14:textId="77777777" w:rsidR="004244D9" w:rsidRPr="00D27262" w:rsidRDefault="004F0B64" w:rsidP="002B1B65">
    <w:pPr>
      <w:spacing w:before="0" w:after="0"/>
      <w:jc w:val="right"/>
      <w:rPr>
        <w:sz w:val="22"/>
        <w:szCs w:val="22"/>
      </w:rPr>
    </w:pPr>
    <w:r>
      <w:rPr>
        <w:noProof/>
        <w:sz w:val="22"/>
        <w:szCs w:val="22"/>
      </w:rPr>
      <w:pict w14:anchorId="3F560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4244D9" w:rsidRPr="00D27262">
      <w:rPr>
        <w:sz w:val="22"/>
        <w:szCs w:val="22"/>
      </w:rPr>
      <w:t>Au</w:t>
    </w:r>
    <w:r w:rsidR="004244D9">
      <w:rPr>
        <w:sz w:val="22"/>
        <w:szCs w:val="22"/>
      </w:rPr>
      <w:t>stralian Human Rights Commission</w:t>
    </w:r>
  </w:p>
  <w:p w14:paraId="4C0634E5" w14:textId="77777777" w:rsidR="004244D9" w:rsidRDefault="004244D9"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244D9" w:rsidRPr="00B85DD4" w14:paraId="40849420" w14:textId="77777777" w:rsidTr="00165E3C">
      <w:trPr>
        <w:trHeight w:val="1276"/>
      </w:trPr>
      <w:tc>
        <w:tcPr>
          <w:tcW w:w="1508" w:type="dxa"/>
        </w:tcPr>
        <w:p w14:paraId="7F65DBE1" w14:textId="77777777" w:rsidR="004244D9" w:rsidRPr="00B85DD4" w:rsidRDefault="004244D9" w:rsidP="00B520BC">
          <w:pPr>
            <w:pStyle w:val="Header"/>
            <w:tabs>
              <w:tab w:val="left" w:pos="4686"/>
              <w:tab w:val="left" w:pos="7088"/>
              <w:tab w:val="left" w:pos="7242"/>
            </w:tabs>
            <w:ind w:left="-108"/>
            <w:rPr>
              <w:rFonts w:cs="ArialMT"/>
              <w:b/>
              <w:spacing w:val="-20"/>
            </w:rPr>
          </w:pPr>
        </w:p>
      </w:tc>
      <w:tc>
        <w:tcPr>
          <w:tcW w:w="2688" w:type="dxa"/>
          <w:vAlign w:val="center"/>
        </w:tcPr>
        <w:p w14:paraId="01B136E9" w14:textId="77777777" w:rsidR="004244D9" w:rsidRPr="00B85DD4" w:rsidRDefault="004244D9" w:rsidP="002B1B65">
          <w:pPr>
            <w:spacing w:before="0" w:after="0"/>
            <w:rPr>
              <w:rFonts w:cs="ArialMT"/>
              <w:i/>
              <w:color w:val="808080"/>
              <w:sz w:val="17"/>
            </w:rPr>
          </w:pPr>
        </w:p>
      </w:tc>
      <w:tc>
        <w:tcPr>
          <w:tcW w:w="2302" w:type="dxa"/>
        </w:tcPr>
        <w:p w14:paraId="069438FA" w14:textId="77777777" w:rsidR="004244D9" w:rsidRPr="00B85DD4" w:rsidRDefault="004244D9" w:rsidP="00B520BC">
          <w:pPr>
            <w:pStyle w:val="HeaderFooter"/>
            <w:rPr>
              <w:b/>
              <w:spacing w:val="-20"/>
              <w:sz w:val="40"/>
            </w:rPr>
          </w:pPr>
        </w:p>
      </w:tc>
      <w:tc>
        <w:tcPr>
          <w:tcW w:w="2130" w:type="dxa"/>
        </w:tcPr>
        <w:p w14:paraId="7F5A885D" w14:textId="77777777" w:rsidR="004244D9" w:rsidRPr="00B85DD4" w:rsidRDefault="004244D9" w:rsidP="00B520BC">
          <w:pPr>
            <w:pStyle w:val="HeaderFooter"/>
            <w:rPr>
              <w:b/>
              <w:spacing w:val="-20"/>
              <w:sz w:val="40"/>
            </w:rPr>
          </w:pPr>
        </w:p>
      </w:tc>
      <w:tc>
        <w:tcPr>
          <w:tcW w:w="1721" w:type="dxa"/>
        </w:tcPr>
        <w:p w14:paraId="4F2E5BCD" w14:textId="77777777" w:rsidR="004244D9" w:rsidRPr="00B85DD4" w:rsidRDefault="004244D9" w:rsidP="00B520BC">
          <w:pPr>
            <w:pStyle w:val="HeaderFooter"/>
            <w:spacing w:before="227" w:after="340"/>
            <w:rPr>
              <w:b/>
              <w:spacing w:val="-20"/>
              <w:sz w:val="40"/>
            </w:rPr>
          </w:pPr>
        </w:p>
      </w:tc>
    </w:tr>
  </w:tbl>
  <w:p w14:paraId="3933627F" w14:textId="77777777" w:rsidR="004244D9" w:rsidRDefault="004F0B64">
    <w:pPr>
      <w:pStyle w:val="Header"/>
    </w:pPr>
    <w:r>
      <w:rPr>
        <w:rFonts w:cs="ArialMT"/>
        <w:b/>
        <w:noProof/>
        <w:spacing w:val="-20"/>
      </w:rPr>
      <w:pict w14:anchorId="62A11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6F9A" w14:textId="77777777" w:rsidR="004244D9" w:rsidRDefault="004F0B64">
    <w:pPr>
      <w:pStyle w:val="Header"/>
    </w:pPr>
    <w:r>
      <w:rPr>
        <w:noProof/>
      </w:rPr>
      <w:pict w14:anchorId="03A01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9" type="#_x0000_t75" style="position:absolute;margin-left:0;margin-top:0;width:595.65pt;height:870.15pt;z-index:-251653120;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9767" w14:textId="77777777" w:rsidR="004244D9" w:rsidRPr="007B4CCC" w:rsidRDefault="004244D9" w:rsidP="00B34946">
    <w:pPr>
      <w:spacing w:before="0" w:after="60"/>
      <w:jc w:val="right"/>
      <w:rPr>
        <w:color w:val="BFBFBF" w:themeColor="background1" w:themeShade="BF"/>
        <w:sz w:val="22"/>
        <w:szCs w:val="22"/>
      </w:rPr>
    </w:pPr>
    <w:r w:rsidRPr="007B4CCC">
      <w:rPr>
        <w:color w:val="BFBFBF" w:themeColor="background1" w:themeShade="BF"/>
        <w:sz w:val="22"/>
        <w:szCs w:val="22"/>
      </w:rPr>
      <w:t>Australian Human Rights Commission</w:t>
    </w:r>
  </w:p>
  <w:p w14:paraId="18F80D42" w14:textId="77777777" w:rsidR="004244D9" w:rsidRPr="007B4CCC" w:rsidRDefault="004244D9" w:rsidP="00217432">
    <w:pPr>
      <w:pStyle w:val="Footer"/>
      <w:spacing w:after="360"/>
      <w:jc w:val="right"/>
      <w:rPr>
        <w:i/>
        <w:color w:val="BFBFBF" w:themeColor="background1" w:themeShade="BF"/>
        <w:szCs w:val="18"/>
      </w:rPr>
    </w:pPr>
    <w:r w:rsidRPr="007B4CCC">
      <w:rPr>
        <w:b/>
        <w:i/>
        <w:color w:val="BFBFBF" w:themeColor="background1" w:themeShade="BF"/>
        <w:szCs w:val="18"/>
      </w:rPr>
      <w:t>Gender segregation in the workplace and its impact on women’s economic equality</w:t>
    </w:r>
    <w:r w:rsidRPr="007B4CCC">
      <w:rPr>
        <w:i/>
        <w:color w:val="BFBFBF" w:themeColor="background1" w:themeShade="BF"/>
        <w:szCs w:val="18"/>
      </w:rPr>
      <w:t xml:space="preserve"> – February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244D9" w:rsidRPr="00B85DD4" w14:paraId="7C45A2C3" w14:textId="77777777" w:rsidTr="002B1B65">
      <w:trPr>
        <w:trHeight w:val="1603"/>
      </w:trPr>
      <w:tc>
        <w:tcPr>
          <w:tcW w:w="1508" w:type="dxa"/>
        </w:tcPr>
        <w:p w14:paraId="3FE3F00A" w14:textId="77777777" w:rsidR="004244D9" w:rsidRPr="00B85DD4" w:rsidRDefault="004244D9"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11F7DE1C" wp14:editId="6D10A62B">
                <wp:extent cx="819150" cy="819150"/>
                <wp:effectExtent l="0" t="0" r="0" b="0"/>
                <wp:docPr id="8"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267C959D" w14:textId="77777777" w:rsidR="004244D9" w:rsidRPr="00D36BB2" w:rsidRDefault="004244D9" w:rsidP="002B1B65">
          <w:pPr>
            <w:pStyle w:val="LogoType"/>
            <w:pBdr>
              <w:bottom w:val="single" w:sz="4" w:space="1" w:color="808080"/>
            </w:pBdr>
            <w:spacing w:line="240" w:lineRule="auto"/>
          </w:pPr>
          <w:r w:rsidRPr="00D36BB2">
            <w:t>Australian</w:t>
          </w:r>
        </w:p>
        <w:p w14:paraId="148463AE" w14:textId="77777777" w:rsidR="004244D9" w:rsidRPr="00D36BB2" w:rsidRDefault="004244D9" w:rsidP="002B1B65">
          <w:pPr>
            <w:pStyle w:val="LogoType"/>
            <w:pBdr>
              <w:bottom w:val="single" w:sz="4" w:space="1" w:color="808080"/>
            </w:pBdr>
            <w:spacing w:line="240" w:lineRule="auto"/>
          </w:pPr>
          <w:r w:rsidRPr="00D36BB2">
            <w:t>Human Rights</w:t>
          </w:r>
        </w:p>
        <w:p w14:paraId="35F0D42B" w14:textId="77777777" w:rsidR="004244D9" w:rsidRPr="00D36BB2" w:rsidRDefault="004244D9" w:rsidP="002B1B65">
          <w:pPr>
            <w:pStyle w:val="LogoType"/>
            <w:pBdr>
              <w:bottom w:val="single" w:sz="4" w:space="1" w:color="808080"/>
            </w:pBdr>
            <w:spacing w:line="240" w:lineRule="auto"/>
          </w:pPr>
          <w:r w:rsidRPr="00D36BB2">
            <w:t>Commission</w:t>
          </w:r>
        </w:p>
        <w:p w14:paraId="730833CF" w14:textId="77777777" w:rsidR="004244D9" w:rsidRPr="00B85DD4" w:rsidRDefault="004244D9"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1CB88343" w14:textId="77777777" w:rsidR="004244D9" w:rsidRPr="00B85DD4" w:rsidRDefault="004244D9" w:rsidP="00B520BC">
          <w:pPr>
            <w:pStyle w:val="HeaderFooter"/>
            <w:rPr>
              <w:b/>
              <w:spacing w:val="-20"/>
              <w:sz w:val="40"/>
            </w:rPr>
          </w:pPr>
        </w:p>
      </w:tc>
      <w:tc>
        <w:tcPr>
          <w:tcW w:w="2130" w:type="dxa"/>
        </w:tcPr>
        <w:p w14:paraId="6D906CF1" w14:textId="77777777" w:rsidR="004244D9" w:rsidRPr="00B85DD4" w:rsidRDefault="004244D9" w:rsidP="00B520BC">
          <w:pPr>
            <w:pStyle w:val="HeaderFooter"/>
            <w:rPr>
              <w:b/>
              <w:spacing w:val="-20"/>
              <w:sz w:val="40"/>
            </w:rPr>
          </w:pPr>
        </w:p>
      </w:tc>
      <w:tc>
        <w:tcPr>
          <w:tcW w:w="1721" w:type="dxa"/>
        </w:tcPr>
        <w:p w14:paraId="58B03DF4" w14:textId="77777777" w:rsidR="004244D9" w:rsidRPr="00B85DD4" w:rsidRDefault="004244D9" w:rsidP="00B520BC">
          <w:pPr>
            <w:pStyle w:val="HeaderFooter"/>
            <w:spacing w:before="227" w:after="340"/>
            <w:rPr>
              <w:b/>
              <w:spacing w:val="-20"/>
              <w:sz w:val="40"/>
            </w:rPr>
          </w:pPr>
        </w:p>
      </w:tc>
    </w:tr>
  </w:tbl>
  <w:p w14:paraId="16820CFA" w14:textId="77777777" w:rsidR="004244D9" w:rsidRDefault="004F0B64">
    <w:pPr>
      <w:pStyle w:val="Header"/>
    </w:pPr>
    <w:r>
      <w:rPr>
        <w:rFonts w:cs="ArialMT"/>
        <w:b/>
        <w:noProof/>
        <w:spacing w:val="-20"/>
      </w:rPr>
      <w:pict w14:anchorId="2F302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8" type="#_x0000_t75" style="position:absolute;margin-left:0;margin-top:0;width:595.65pt;height:870.15pt;z-index:-251654144;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644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C7D19C8"/>
    <w:multiLevelType w:val="multilevel"/>
    <w:tmpl w:val="A73A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CB237C"/>
    <w:multiLevelType w:val="hybridMultilevel"/>
    <w:tmpl w:val="C6E8378C"/>
    <w:lvl w:ilvl="0" w:tplc="83EC9434">
      <w:start w:val="1"/>
      <w:numFmt w:val="decimal"/>
      <w:pStyle w:val="SubmissionNormal"/>
      <w:lvlText w:val="%1"/>
      <w:lvlJc w:val="left"/>
      <w:pPr>
        <w:tabs>
          <w:tab w:val="num" w:pos="720"/>
        </w:tabs>
        <w:ind w:left="720" w:hanging="360"/>
      </w:pPr>
      <w:rPr>
        <w:rFonts w:ascii="Arial" w:eastAsia="Times New Roman" w:hAnsi="Arial" w:cs="Times New Roman"/>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F9137D0"/>
    <w:multiLevelType w:val="hybridMultilevel"/>
    <w:tmpl w:val="499A1920"/>
    <w:lvl w:ilvl="0" w:tplc="C9BE1A1E">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14527B"/>
    <w:multiLevelType w:val="hybridMultilevel"/>
    <w:tmpl w:val="0F244052"/>
    <w:lvl w:ilvl="0" w:tplc="B18E02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D1CA7"/>
    <w:multiLevelType w:val="hybridMultilevel"/>
    <w:tmpl w:val="E0967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861110"/>
    <w:multiLevelType w:val="hybridMultilevel"/>
    <w:tmpl w:val="36D262F4"/>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A75806"/>
    <w:multiLevelType w:val="hybridMultilevel"/>
    <w:tmpl w:val="4A1EC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0C7432"/>
    <w:multiLevelType w:val="multilevel"/>
    <w:tmpl w:val="D07A8D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FF7A73"/>
    <w:multiLevelType w:val="multilevel"/>
    <w:tmpl w:val="6DD2952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6.%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0424222"/>
    <w:multiLevelType w:val="hybridMultilevel"/>
    <w:tmpl w:val="99802C9A"/>
    <w:lvl w:ilvl="0" w:tplc="04090001">
      <w:start w:val="1"/>
      <w:numFmt w:val="bullet"/>
      <w:lvlText w:val=""/>
      <w:lvlJc w:val="left"/>
      <w:pPr>
        <w:ind w:left="720" w:hanging="360"/>
      </w:pPr>
      <w:rPr>
        <w:rFonts w:ascii="Symbol" w:hAnsi="Symbol" w:hint="default"/>
      </w:rPr>
    </w:lvl>
    <w:lvl w:ilvl="1" w:tplc="B18E0298">
      <w:start w:val="1"/>
      <w:numFmt w:val="bullet"/>
      <w:lvlText w:val="—"/>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D73BE"/>
    <w:multiLevelType w:val="hybridMultilevel"/>
    <w:tmpl w:val="361EA1D0"/>
    <w:lvl w:ilvl="0" w:tplc="0409000F">
      <w:start w:val="1"/>
      <w:numFmt w:val="decimal"/>
      <w:lvlText w:val="%1."/>
      <w:lvlJc w:val="left"/>
      <w:pPr>
        <w:ind w:left="36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C0FA0"/>
    <w:multiLevelType w:val="hybridMultilevel"/>
    <w:tmpl w:val="961A09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C09000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15:restartNumberingAfterBreak="0">
    <w:nsid w:val="68D91262"/>
    <w:multiLevelType w:val="hybridMultilevel"/>
    <w:tmpl w:val="D07A8D3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A5EC3"/>
    <w:multiLevelType w:val="hybridMultilevel"/>
    <w:tmpl w:val="5824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BC74C2"/>
    <w:multiLevelType w:val="hybridMultilevel"/>
    <w:tmpl w:val="0E5EA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B23D0C"/>
    <w:multiLevelType w:val="hybridMultilevel"/>
    <w:tmpl w:val="53008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22"/>
  </w:num>
  <w:num w:numId="13">
    <w:abstractNumId w:val="18"/>
  </w:num>
  <w:num w:numId="14">
    <w:abstractNumId w:val="14"/>
  </w:num>
  <w:num w:numId="15">
    <w:abstractNumId w:val="12"/>
  </w:num>
  <w:num w:numId="16">
    <w:abstractNumId w:val="25"/>
  </w:num>
  <w:num w:numId="17">
    <w:abstractNumId w:val="17"/>
  </w:num>
  <w:num w:numId="18">
    <w:abstractNumId w:val="29"/>
  </w:num>
  <w:num w:numId="19">
    <w:abstractNumId w:val="11"/>
  </w:num>
  <w:num w:numId="20">
    <w:abstractNumId w:val="23"/>
  </w:num>
  <w:num w:numId="21">
    <w:abstractNumId w:val="28"/>
  </w:num>
  <w:num w:numId="22">
    <w:abstractNumId w:val="27"/>
  </w:num>
  <w:num w:numId="23">
    <w:abstractNumId w:val="15"/>
  </w:num>
  <w:num w:numId="24">
    <w:abstractNumId w:val="19"/>
  </w:num>
  <w:num w:numId="25">
    <w:abstractNumId w:val="26"/>
  </w:num>
  <w:num w:numId="26">
    <w:abstractNumId w:val="0"/>
  </w:num>
  <w:num w:numId="27">
    <w:abstractNumId w:val="20"/>
  </w:num>
  <w:num w:numId="28">
    <w:abstractNumId w:val="24"/>
  </w:num>
  <w:num w:numId="29">
    <w:abstractNumId w:val="16"/>
  </w:num>
  <w:num w:numId="30">
    <w:abstractNumId w:val="12"/>
  </w:num>
  <w:num w:numId="31">
    <w:abstractNumId w:val="12"/>
  </w:num>
  <w:num w:numId="32">
    <w:abstractNumId w:val="13"/>
  </w:num>
  <w:num w:numId="3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DF"/>
    <w:rsid w:val="00001EFC"/>
    <w:rsid w:val="00007B1A"/>
    <w:rsid w:val="00007F65"/>
    <w:rsid w:val="00012272"/>
    <w:rsid w:val="000157F4"/>
    <w:rsid w:val="000169A4"/>
    <w:rsid w:val="000242E3"/>
    <w:rsid w:val="000250F5"/>
    <w:rsid w:val="00025BC5"/>
    <w:rsid w:val="00027C93"/>
    <w:rsid w:val="0003606D"/>
    <w:rsid w:val="00040051"/>
    <w:rsid w:val="00042E67"/>
    <w:rsid w:val="00044A6F"/>
    <w:rsid w:val="00045750"/>
    <w:rsid w:val="0005056D"/>
    <w:rsid w:val="000506C3"/>
    <w:rsid w:val="00050C47"/>
    <w:rsid w:val="000579B1"/>
    <w:rsid w:val="0006067C"/>
    <w:rsid w:val="000636E9"/>
    <w:rsid w:val="0006698E"/>
    <w:rsid w:val="00072D2F"/>
    <w:rsid w:val="00073902"/>
    <w:rsid w:val="00073E23"/>
    <w:rsid w:val="00074319"/>
    <w:rsid w:val="0007469A"/>
    <w:rsid w:val="00084DA2"/>
    <w:rsid w:val="00085A1B"/>
    <w:rsid w:val="00093FD3"/>
    <w:rsid w:val="000957CE"/>
    <w:rsid w:val="00096668"/>
    <w:rsid w:val="00097AD5"/>
    <w:rsid w:val="000A1DB8"/>
    <w:rsid w:val="000A48AC"/>
    <w:rsid w:val="000A5AEF"/>
    <w:rsid w:val="000A61E3"/>
    <w:rsid w:val="000B0A5D"/>
    <w:rsid w:val="000B13C3"/>
    <w:rsid w:val="000B1E9D"/>
    <w:rsid w:val="000B3BE8"/>
    <w:rsid w:val="000C0B2D"/>
    <w:rsid w:val="000C1279"/>
    <w:rsid w:val="000C4F8E"/>
    <w:rsid w:val="000C530C"/>
    <w:rsid w:val="000D2D9C"/>
    <w:rsid w:val="000D58C6"/>
    <w:rsid w:val="000E130A"/>
    <w:rsid w:val="000E2641"/>
    <w:rsid w:val="000E7922"/>
    <w:rsid w:val="000F5DCD"/>
    <w:rsid w:val="00105997"/>
    <w:rsid w:val="0011105C"/>
    <w:rsid w:val="00116042"/>
    <w:rsid w:val="00120890"/>
    <w:rsid w:val="00124E9F"/>
    <w:rsid w:val="00126841"/>
    <w:rsid w:val="00130103"/>
    <w:rsid w:val="0013145A"/>
    <w:rsid w:val="00132E82"/>
    <w:rsid w:val="00134774"/>
    <w:rsid w:val="00136DA1"/>
    <w:rsid w:val="00140274"/>
    <w:rsid w:val="00140792"/>
    <w:rsid w:val="00143E80"/>
    <w:rsid w:val="00146041"/>
    <w:rsid w:val="001479CC"/>
    <w:rsid w:val="001502DE"/>
    <w:rsid w:val="00151263"/>
    <w:rsid w:val="001575F2"/>
    <w:rsid w:val="00162A8D"/>
    <w:rsid w:val="001643B9"/>
    <w:rsid w:val="0016494D"/>
    <w:rsid w:val="00165E3C"/>
    <w:rsid w:val="00173FB5"/>
    <w:rsid w:val="00175CCC"/>
    <w:rsid w:val="00176BBD"/>
    <w:rsid w:val="0018004E"/>
    <w:rsid w:val="001910E4"/>
    <w:rsid w:val="001B0353"/>
    <w:rsid w:val="001C0EF2"/>
    <w:rsid w:val="001C1F8B"/>
    <w:rsid w:val="001C5730"/>
    <w:rsid w:val="001C5E38"/>
    <w:rsid w:val="001C6886"/>
    <w:rsid w:val="001D38F1"/>
    <w:rsid w:val="001D40A9"/>
    <w:rsid w:val="001E4FBB"/>
    <w:rsid w:val="001F2BBB"/>
    <w:rsid w:val="001F548F"/>
    <w:rsid w:val="001F6736"/>
    <w:rsid w:val="00200677"/>
    <w:rsid w:val="00202183"/>
    <w:rsid w:val="00217432"/>
    <w:rsid w:val="00224AA3"/>
    <w:rsid w:val="00224B99"/>
    <w:rsid w:val="00224C02"/>
    <w:rsid w:val="00231ED1"/>
    <w:rsid w:val="00235A4B"/>
    <w:rsid w:val="0023620B"/>
    <w:rsid w:val="002409E0"/>
    <w:rsid w:val="00241272"/>
    <w:rsid w:val="002420A6"/>
    <w:rsid w:val="00242624"/>
    <w:rsid w:val="00242EF2"/>
    <w:rsid w:val="00242FCC"/>
    <w:rsid w:val="00243608"/>
    <w:rsid w:val="0024557E"/>
    <w:rsid w:val="00254832"/>
    <w:rsid w:val="00257B59"/>
    <w:rsid w:val="00260BFE"/>
    <w:rsid w:val="00260CEB"/>
    <w:rsid w:val="00260DF4"/>
    <w:rsid w:val="00265D45"/>
    <w:rsid w:val="00266949"/>
    <w:rsid w:val="0027037F"/>
    <w:rsid w:val="0027152A"/>
    <w:rsid w:val="00277874"/>
    <w:rsid w:val="002824D3"/>
    <w:rsid w:val="00285AF8"/>
    <w:rsid w:val="002863D7"/>
    <w:rsid w:val="002903FA"/>
    <w:rsid w:val="002965C1"/>
    <w:rsid w:val="002A5101"/>
    <w:rsid w:val="002A62FF"/>
    <w:rsid w:val="002B16B9"/>
    <w:rsid w:val="002B1B65"/>
    <w:rsid w:val="002B7910"/>
    <w:rsid w:val="002C03D0"/>
    <w:rsid w:val="002C1866"/>
    <w:rsid w:val="002C228A"/>
    <w:rsid w:val="002C4DDF"/>
    <w:rsid w:val="002D17BA"/>
    <w:rsid w:val="002D6716"/>
    <w:rsid w:val="002E2C72"/>
    <w:rsid w:val="002F1229"/>
    <w:rsid w:val="002F15ED"/>
    <w:rsid w:val="002F3156"/>
    <w:rsid w:val="002F4CE1"/>
    <w:rsid w:val="00300063"/>
    <w:rsid w:val="00300BFC"/>
    <w:rsid w:val="00300F22"/>
    <w:rsid w:val="003035FE"/>
    <w:rsid w:val="00303743"/>
    <w:rsid w:val="00303AE3"/>
    <w:rsid w:val="00304A37"/>
    <w:rsid w:val="00307852"/>
    <w:rsid w:val="00307D93"/>
    <w:rsid w:val="00310ED4"/>
    <w:rsid w:val="00312301"/>
    <w:rsid w:val="00314497"/>
    <w:rsid w:val="0031492A"/>
    <w:rsid w:val="003163A0"/>
    <w:rsid w:val="00316C1A"/>
    <w:rsid w:val="00323C73"/>
    <w:rsid w:val="00323F52"/>
    <w:rsid w:val="003263F9"/>
    <w:rsid w:val="00331141"/>
    <w:rsid w:val="003341A0"/>
    <w:rsid w:val="003349EA"/>
    <w:rsid w:val="00335361"/>
    <w:rsid w:val="003362BE"/>
    <w:rsid w:val="00340D1F"/>
    <w:rsid w:val="003417F1"/>
    <w:rsid w:val="00344758"/>
    <w:rsid w:val="00347142"/>
    <w:rsid w:val="003561AC"/>
    <w:rsid w:val="003565A8"/>
    <w:rsid w:val="003566EA"/>
    <w:rsid w:val="00372C79"/>
    <w:rsid w:val="00384027"/>
    <w:rsid w:val="003860FB"/>
    <w:rsid w:val="003932AC"/>
    <w:rsid w:val="00396346"/>
    <w:rsid w:val="0039636F"/>
    <w:rsid w:val="003A682B"/>
    <w:rsid w:val="003A7CD7"/>
    <w:rsid w:val="003B05EE"/>
    <w:rsid w:val="003B2899"/>
    <w:rsid w:val="003B5C30"/>
    <w:rsid w:val="003B6BC1"/>
    <w:rsid w:val="003C1536"/>
    <w:rsid w:val="003C2ACE"/>
    <w:rsid w:val="003D1E2A"/>
    <w:rsid w:val="003D2E8E"/>
    <w:rsid w:val="003D46F1"/>
    <w:rsid w:val="003E0120"/>
    <w:rsid w:val="003E17C1"/>
    <w:rsid w:val="003E2EC1"/>
    <w:rsid w:val="003E3265"/>
    <w:rsid w:val="003F2E5B"/>
    <w:rsid w:val="003F3AA0"/>
    <w:rsid w:val="003F61B3"/>
    <w:rsid w:val="0040371E"/>
    <w:rsid w:val="00404298"/>
    <w:rsid w:val="004044DE"/>
    <w:rsid w:val="00404859"/>
    <w:rsid w:val="00406FFE"/>
    <w:rsid w:val="00407D0D"/>
    <w:rsid w:val="0041053A"/>
    <w:rsid w:val="0041082B"/>
    <w:rsid w:val="00417405"/>
    <w:rsid w:val="00422417"/>
    <w:rsid w:val="00424233"/>
    <w:rsid w:val="004244D9"/>
    <w:rsid w:val="00427B77"/>
    <w:rsid w:val="0043042B"/>
    <w:rsid w:val="004309ED"/>
    <w:rsid w:val="00432589"/>
    <w:rsid w:val="004353FD"/>
    <w:rsid w:val="00437873"/>
    <w:rsid w:val="00440B4F"/>
    <w:rsid w:val="00453DB4"/>
    <w:rsid w:val="004540A4"/>
    <w:rsid w:val="004608CE"/>
    <w:rsid w:val="00461472"/>
    <w:rsid w:val="00463200"/>
    <w:rsid w:val="00467F3A"/>
    <w:rsid w:val="0047096D"/>
    <w:rsid w:val="00472EFF"/>
    <w:rsid w:val="0047339C"/>
    <w:rsid w:val="00474063"/>
    <w:rsid w:val="00475066"/>
    <w:rsid w:val="00475C01"/>
    <w:rsid w:val="00476793"/>
    <w:rsid w:val="00480B2E"/>
    <w:rsid w:val="00487210"/>
    <w:rsid w:val="00492F36"/>
    <w:rsid w:val="00494A11"/>
    <w:rsid w:val="004A028D"/>
    <w:rsid w:val="004A187B"/>
    <w:rsid w:val="004A1A44"/>
    <w:rsid w:val="004A2D3C"/>
    <w:rsid w:val="004A76F1"/>
    <w:rsid w:val="004A7852"/>
    <w:rsid w:val="004B04EC"/>
    <w:rsid w:val="004B5F95"/>
    <w:rsid w:val="004C41F6"/>
    <w:rsid w:val="004C7412"/>
    <w:rsid w:val="004C7806"/>
    <w:rsid w:val="004D04BF"/>
    <w:rsid w:val="004D35CA"/>
    <w:rsid w:val="004D6E55"/>
    <w:rsid w:val="004D7724"/>
    <w:rsid w:val="004E0DFF"/>
    <w:rsid w:val="004E1158"/>
    <w:rsid w:val="004E1539"/>
    <w:rsid w:val="004E1C8E"/>
    <w:rsid w:val="004E34F2"/>
    <w:rsid w:val="004E6756"/>
    <w:rsid w:val="004F0B64"/>
    <w:rsid w:val="004F1C7C"/>
    <w:rsid w:val="004F3E1C"/>
    <w:rsid w:val="004F7018"/>
    <w:rsid w:val="005123F0"/>
    <w:rsid w:val="00512AF9"/>
    <w:rsid w:val="00513076"/>
    <w:rsid w:val="00513540"/>
    <w:rsid w:val="00513941"/>
    <w:rsid w:val="00513B48"/>
    <w:rsid w:val="0051763B"/>
    <w:rsid w:val="00524DEF"/>
    <w:rsid w:val="00525C3F"/>
    <w:rsid w:val="0053051D"/>
    <w:rsid w:val="0053381D"/>
    <w:rsid w:val="0054365F"/>
    <w:rsid w:val="00546042"/>
    <w:rsid w:val="00553014"/>
    <w:rsid w:val="00553F89"/>
    <w:rsid w:val="00555F68"/>
    <w:rsid w:val="00560372"/>
    <w:rsid w:val="00564208"/>
    <w:rsid w:val="00566F17"/>
    <w:rsid w:val="00571076"/>
    <w:rsid w:val="00571CEB"/>
    <w:rsid w:val="00571DF3"/>
    <w:rsid w:val="00580E42"/>
    <w:rsid w:val="00580F4A"/>
    <w:rsid w:val="005819CD"/>
    <w:rsid w:val="00582D11"/>
    <w:rsid w:val="00583223"/>
    <w:rsid w:val="00584609"/>
    <w:rsid w:val="00591951"/>
    <w:rsid w:val="005A458D"/>
    <w:rsid w:val="005B0899"/>
    <w:rsid w:val="005C133D"/>
    <w:rsid w:val="005C2B6B"/>
    <w:rsid w:val="005C5D41"/>
    <w:rsid w:val="005D07E4"/>
    <w:rsid w:val="005D1F34"/>
    <w:rsid w:val="005D383D"/>
    <w:rsid w:val="005D3B5B"/>
    <w:rsid w:val="005D473B"/>
    <w:rsid w:val="005D5FEF"/>
    <w:rsid w:val="005D7D6D"/>
    <w:rsid w:val="005E5243"/>
    <w:rsid w:val="005E7575"/>
    <w:rsid w:val="005F762B"/>
    <w:rsid w:val="00603762"/>
    <w:rsid w:val="00607913"/>
    <w:rsid w:val="00612D6A"/>
    <w:rsid w:val="0061564B"/>
    <w:rsid w:val="00630312"/>
    <w:rsid w:val="00635F12"/>
    <w:rsid w:val="006523C6"/>
    <w:rsid w:val="006544F8"/>
    <w:rsid w:val="00654793"/>
    <w:rsid w:val="006551DD"/>
    <w:rsid w:val="00662952"/>
    <w:rsid w:val="00672BE3"/>
    <w:rsid w:val="00672EFE"/>
    <w:rsid w:val="006741DF"/>
    <w:rsid w:val="00680DD6"/>
    <w:rsid w:val="006823E2"/>
    <w:rsid w:val="006829F6"/>
    <w:rsid w:val="00685E96"/>
    <w:rsid w:val="00690566"/>
    <w:rsid w:val="0069338D"/>
    <w:rsid w:val="00695886"/>
    <w:rsid w:val="006A0A9D"/>
    <w:rsid w:val="006A6BB3"/>
    <w:rsid w:val="006B1071"/>
    <w:rsid w:val="006B1822"/>
    <w:rsid w:val="006B4B13"/>
    <w:rsid w:val="006C2A88"/>
    <w:rsid w:val="006C321B"/>
    <w:rsid w:val="006C368D"/>
    <w:rsid w:val="006C692E"/>
    <w:rsid w:val="006D3AE7"/>
    <w:rsid w:val="006D4F2D"/>
    <w:rsid w:val="006D5EE5"/>
    <w:rsid w:val="006E0C97"/>
    <w:rsid w:val="006E44B1"/>
    <w:rsid w:val="006F25B6"/>
    <w:rsid w:val="006F41F4"/>
    <w:rsid w:val="00707782"/>
    <w:rsid w:val="00711A6F"/>
    <w:rsid w:val="007137E5"/>
    <w:rsid w:val="007139A1"/>
    <w:rsid w:val="007146C4"/>
    <w:rsid w:val="00714C85"/>
    <w:rsid w:val="00717582"/>
    <w:rsid w:val="00724916"/>
    <w:rsid w:val="00725A5F"/>
    <w:rsid w:val="00730BE6"/>
    <w:rsid w:val="00730F5C"/>
    <w:rsid w:val="00741006"/>
    <w:rsid w:val="007410E6"/>
    <w:rsid w:val="007413CC"/>
    <w:rsid w:val="00741F84"/>
    <w:rsid w:val="00742794"/>
    <w:rsid w:val="00743727"/>
    <w:rsid w:val="00743D31"/>
    <w:rsid w:val="007540BF"/>
    <w:rsid w:val="00756936"/>
    <w:rsid w:val="00770DCB"/>
    <w:rsid w:val="007726C0"/>
    <w:rsid w:val="00775485"/>
    <w:rsid w:val="00781062"/>
    <w:rsid w:val="0078385A"/>
    <w:rsid w:val="00786FD2"/>
    <w:rsid w:val="00787686"/>
    <w:rsid w:val="00795C9A"/>
    <w:rsid w:val="007A2040"/>
    <w:rsid w:val="007B34A8"/>
    <w:rsid w:val="007B4CAE"/>
    <w:rsid w:val="007B6C78"/>
    <w:rsid w:val="007C012C"/>
    <w:rsid w:val="007C22CD"/>
    <w:rsid w:val="007C4D48"/>
    <w:rsid w:val="007C53BD"/>
    <w:rsid w:val="007C679A"/>
    <w:rsid w:val="007D6D7B"/>
    <w:rsid w:val="007D74FB"/>
    <w:rsid w:val="007E040B"/>
    <w:rsid w:val="007E34B7"/>
    <w:rsid w:val="007E5B88"/>
    <w:rsid w:val="007F0D0B"/>
    <w:rsid w:val="007F11AF"/>
    <w:rsid w:val="007F4597"/>
    <w:rsid w:val="007F5ADB"/>
    <w:rsid w:val="008007A8"/>
    <w:rsid w:val="008042D9"/>
    <w:rsid w:val="0080616C"/>
    <w:rsid w:val="00814FC0"/>
    <w:rsid w:val="0082142D"/>
    <w:rsid w:val="00823E97"/>
    <w:rsid w:val="008254ED"/>
    <w:rsid w:val="00825A69"/>
    <w:rsid w:val="008272D6"/>
    <w:rsid w:val="00830BAB"/>
    <w:rsid w:val="00831183"/>
    <w:rsid w:val="00843E4F"/>
    <w:rsid w:val="00846B8E"/>
    <w:rsid w:val="00850E98"/>
    <w:rsid w:val="00852F8F"/>
    <w:rsid w:val="00866C9D"/>
    <w:rsid w:val="008724DE"/>
    <w:rsid w:val="008748E4"/>
    <w:rsid w:val="0087594A"/>
    <w:rsid w:val="00877A1F"/>
    <w:rsid w:val="00886851"/>
    <w:rsid w:val="00890382"/>
    <w:rsid w:val="00897D80"/>
    <w:rsid w:val="008A2E67"/>
    <w:rsid w:val="008A3D57"/>
    <w:rsid w:val="008A4AC3"/>
    <w:rsid w:val="008B23BC"/>
    <w:rsid w:val="008B34B8"/>
    <w:rsid w:val="008B5541"/>
    <w:rsid w:val="008C4E0B"/>
    <w:rsid w:val="008D058B"/>
    <w:rsid w:val="008E0EF4"/>
    <w:rsid w:val="008E2BF6"/>
    <w:rsid w:val="008E3D60"/>
    <w:rsid w:val="008E3F4C"/>
    <w:rsid w:val="008E454B"/>
    <w:rsid w:val="008F0195"/>
    <w:rsid w:val="008F5A5A"/>
    <w:rsid w:val="008F6B7B"/>
    <w:rsid w:val="0090165F"/>
    <w:rsid w:val="00901B82"/>
    <w:rsid w:val="009036DC"/>
    <w:rsid w:val="009043E3"/>
    <w:rsid w:val="00907C1C"/>
    <w:rsid w:val="00912B09"/>
    <w:rsid w:val="00912EB6"/>
    <w:rsid w:val="009178CA"/>
    <w:rsid w:val="00920C35"/>
    <w:rsid w:val="00924687"/>
    <w:rsid w:val="00925616"/>
    <w:rsid w:val="00940747"/>
    <w:rsid w:val="009428A5"/>
    <w:rsid w:val="00944C15"/>
    <w:rsid w:val="009467FE"/>
    <w:rsid w:val="00952C58"/>
    <w:rsid w:val="00962242"/>
    <w:rsid w:val="009660B9"/>
    <w:rsid w:val="00966C2F"/>
    <w:rsid w:val="009674FD"/>
    <w:rsid w:val="009700FE"/>
    <w:rsid w:val="009718E7"/>
    <w:rsid w:val="0097197B"/>
    <w:rsid w:val="0097512B"/>
    <w:rsid w:val="00975B8E"/>
    <w:rsid w:val="00976BC0"/>
    <w:rsid w:val="00981D22"/>
    <w:rsid w:val="0098311C"/>
    <w:rsid w:val="00983F3D"/>
    <w:rsid w:val="009925D4"/>
    <w:rsid w:val="00992867"/>
    <w:rsid w:val="00995386"/>
    <w:rsid w:val="00996D5D"/>
    <w:rsid w:val="009A0C00"/>
    <w:rsid w:val="009A1EA9"/>
    <w:rsid w:val="009A25B9"/>
    <w:rsid w:val="009A608A"/>
    <w:rsid w:val="009B151F"/>
    <w:rsid w:val="009B36E6"/>
    <w:rsid w:val="009B505B"/>
    <w:rsid w:val="009C1E74"/>
    <w:rsid w:val="009C3D4D"/>
    <w:rsid w:val="009C40CA"/>
    <w:rsid w:val="009C6958"/>
    <w:rsid w:val="009C7626"/>
    <w:rsid w:val="009D1EB1"/>
    <w:rsid w:val="009D40B0"/>
    <w:rsid w:val="009D41E3"/>
    <w:rsid w:val="009D4B9B"/>
    <w:rsid w:val="009D4E22"/>
    <w:rsid w:val="009D67F6"/>
    <w:rsid w:val="009E0FE1"/>
    <w:rsid w:val="009E29B4"/>
    <w:rsid w:val="009E2E00"/>
    <w:rsid w:val="009E5121"/>
    <w:rsid w:val="009E7388"/>
    <w:rsid w:val="009E7731"/>
    <w:rsid w:val="009F0433"/>
    <w:rsid w:val="009F1E64"/>
    <w:rsid w:val="009F2593"/>
    <w:rsid w:val="00A0406E"/>
    <w:rsid w:val="00A10FD1"/>
    <w:rsid w:val="00A11307"/>
    <w:rsid w:val="00A12502"/>
    <w:rsid w:val="00A13AF3"/>
    <w:rsid w:val="00A21388"/>
    <w:rsid w:val="00A25078"/>
    <w:rsid w:val="00A25E05"/>
    <w:rsid w:val="00A27791"/>
    <w:rsid w:val="00A31AB0"/>
    <w:rsid w:val="00A41355"/>
    <w:rsid w:val="00A43B92"/>
    <w:rsid w:val="00A53058"/>
    <w:rsid w:val="00A538E7"/>
    <w:rsid w:val="00A54251"/>
    <w:rsid w:val="00A603DA"/>
    <w:rsid w:val="00A604C4"/>
    <w:rsid w:val="00A6179E"/>
    <w:rsid w:val="00A64316"/>
    <w:rsid w:val="00A703CB"/>
    <w:rsid w:val="00A71AD5"/>
    <w:rsid w:val="00A7310A"/>
    <w:rsid w:val="00A762DB"/>
    <w:rsid w:val="00A804D9"/>
    <w:rsid w:val="00A810D2"/>
    <w:rsid w:val="00A83567"/>
    <w:rsid w:val="00A84493"/>
    <w:rsid w:val="00A85799"/>
    <w:rsid w:val="00A90BFE"/>
    <w:rsid w:val="00A92F92"/>
    <w:rsid w:val="00A96892"/>
    <w:rsid w:val="00AA2051"/>
    <w:rsid w:val="00AA2565"/>
    <w:rsid w:val="00AA3F81"/>
    <w:rsid w:val="00AB29BB"/>
    <w:rsid w:val="00AB4F2E"/>
    <w:rsid w:val="00AB6466"/>
    <w:rsid w:val="00AB77A7"/>
    <w:rsid w:val="00AB7B11"/>
    <w:rsid w:val="00AC6A9C"/>
    <w:rsid w:val="00AD3C7F"/>
    <w:rsid w:val="00AE0C56"/>
    <w:rsid w:val="00AE17B2"/>
    <w:rsid w:val="00AE6A20"/>
    <w:rsid w:val="00AE773B"/>
    <w:rsid w:val="00AF32F9"/>
    <w:rsid w:val="00AF445B"/>
    <w:rsid w:val="00AF54C4"/>
    <w:rsid w:val="00B067C1"/>
    <w:rsid w:val="00B22674"/>
    <w:rsid w:val="00B233D5"/>
    <w:rsid w:val="00B24B1D"/>
    <w:rsid w:val="00B25405"/>
    <w:rsid w:val="00B2775A"/>
    <w:rsid w:val="00B277E0"/>
    <w:rsid w:val="00B34946"/>
    <w:rsid w:val="00B37A2A"/>
    <w:rsid w:val="00B519FD"/>
    <w:rsid w:val="00B520BC"/>
    <w:rsid w:val="00B628DE"/>
    <w:rsid w:val="00B62D80"/>
    <w:rsid w:val="00B6393B"/>
    <w:rsid w:val="00B63D24"/>
    <w:rsid w:val="00B7027B"/>
    <w:rsid w:val="00B8275E"/>
    <w:rsid w:val="00B8635B"/>
    <w:rsid w:val="00B8725F"/>
    <w:rsid w:val="00B924E6"/>
    <w:rsid w:val="00B94109"/>
    <w:rsid w:val="00B9461C"/>
    <w:rsid w:val="00B97B03"/>
    <w:rsid w:val="00BA0147"/>
    <w:rsid w:val="00BA262D"/>
    <w:rsid w:val="00BA30F4"/>
    <w:rsid w:val="00BA5698"/>
    <w:rsid w:val="00BB23D3"/>
    <w:rsid w:val="00BB3E34"/>
    <w:rsid w:val="00BB5A0F"/>
    <w:rsid w:val="00BC11E6"/>
    <w:rsid w:val="00BC4B67"/>
    <w:rsid w:val="00BC79EB"/>
    <w:rsid w:val="00BD0EAC"/>
    <w:rsid w:val="00BD440B"/>
    <w:rsid w:val="00BD7FCF"/>
    <w:rsid w:val="00BE020D"/>
    <w:rsid w:val="00BE4B00"/>
    <w:rsid w:val="00BF1CAB"/>
    <w:rsid w:val="00BF3263"/>
    <w:rsid w:val="00BF3F91"/>
    <w:rsid w:val="00BF4B9C"/>
    <w:rsid w:val="00BF72D3"/>
    <w:rsid w:val="00BF7409"/>
    <w:rsid w:val="00C118EC"/>
    <w:rsid w:val="00C11ECA"/>
    <w:rsid w:val="00C134A7"/>
    <w:rsid w:val="00C14603"/>
    <w:rsid w:val="00C219F4"/>
    <w:rsid w:val="00C25BDA"/>
    <w:rsid w:val="00C26287"/>
    <w:rsid w:val="00C27B9B"/>
    <w:rsid w:val="00C3198D"/>
    <w:rsid w:val="00C324C3"/>
    <w:rsid w:val="00C33104"/>
    <w:rsid w:val="00C3592E"/>
    <w:rsid w:val="00C35F0A"/>
    <w:rsid w:val="00C3663C"/>
    <w:rsid w:val="00C435D6"/>
    <w:rsid w:val="00C44180"/>
    <w:rsid w:val="00C453B6"/>
    <w:rsid w:val="00C4681A"/>
    <w:rsid w:val="00C47D4A"/>
    <w:rsid w:val="00C521E7"/>
    <w:rsid w:val="00C53580"/>
    <w:rsid w:val="00C603E1"/>
    <w:rsid w:val="00C60CB8"/>
    <w:rsid w:val="00C63412"/>
    <w:rsid w:val="00C70654"/>
    <w:rsid w:val="00C76EE9"/>
    <w:rsid w:val="00C81530"/>
    <w:rsid w:val="00C84492"/>
    <w:rsid w:val="00C854D4"/>
    <w:rsid w:val="00C85AE4"/>
    <w:rsid w:val="00C866F4"/>
    <w:rsid w:val="00C875C7"/>
    <w:rsid w:val="00C90556"/>
    <w:rsid w:val="00CA0D78"/>
    <w:rsid w:val="00CA4855"/>
    <w:rsid w:val="00CA7CA6"/>
    <w:rsid w:val="00CB24FE"/>
    <w:rsid w:val="00CB4FFA"/>
    <w:rsid w:val="00CB50E5"/>
    <w:rsid w:val="00CC16C2"/>
    <w:rsid w:val="00CC618C"/>
    <w:rsid w:val="00CC6670"/>
    <w:rsid w:val="00CD3AF6"/>
    <w:rsid w:val="00CD5487"/>
    <w:rsid w:val="00CD58FD"/>
    <w:rsid w:val="00CD5FE6"/>
    <w:rsid w:val="00CF104A"/>
    <w:rsid w:val="00CF36FA"/>
    <w:rsid w:val="00CF4B94"/>
    <w:rsid w:val="00CF5DB2"/>
    <w:rsid w:val="00CF6374"/>
    <w:rsid w:val="00D011F5"/>
    <w:rsid w:val="00D05B32"/>
    <w:rsid w:val="00D11A11"/>
    <w:rsid w:val="00D11F8D"/>
    <w:rsid w:val="00D14E2D"/>
    <w:rsid w:val="00D158F0"/>
    <w:rsid w:val="00D17017"/>
    <w:rsid w:val="00D223D3"/>
    <w:rsid w:val="00D30A61"/>
    <w:rsid w:val="00D343FA"/>
    <w:rsid w:val="00D35222"/>
    <w:rsid w:val="00D35BEF"/>
    <w:rsid w:val="00D37AFA"/>
    <w:rsid w:val="00D418FF"/>
    <w:rsid w:val="00D41B55"/>
    <w:rsid w:val="00D43ACA"/>
    <w:rsid w:val="00D504C6"/>
    <w:rsid w:val="00D51A9A"/>
    <w:rsid w:val="00D55D6B"/>
    <w:rsid w:val="00D55F52"/>
    <w:rsid w:val="00D57D28"/>
    <w:rsid w:val="00D6068E"/>
    <w:rsid w:val="00D642A5"/>
    <w:rsid w:val="00D65544"/>
    <w:rsid w:val="00D65C76"/>
    <w:rsid w:val="00D66CAF"/>
    <w:rsid w:val="00D729AD"/>
    <w:rsid w:val="00D734C7"/>
    <w:rsid w:val="00D7395F"/>
    <w:rsid w:val="00D80F1E"/>
    <w:rsid w:val="00D816AE"/>
    <w:rsid w:val="00D92309"/>
    <w:rsid w:val="00D958D0"/>
    <w:rsid w:val="00D95AD0"/>
    <w:rsid w:val="00DA2F73"/>
    <w:rsid w:val="00DA65F3"/>
    <w:rsid w:val="00DA79EA"/>
    <w:rsid w:val="00DC358E"/>
    <w:rsid w:val="00DC462F"/>
    <w:rsid w:val="00DC7CBC"/>
    <w:rsid w:val="00DD0094"/>
    <w:rsid w:val="00DD3350"/>
    <w:rsid w:val="00DD5E5E"/>
    <w:rsid w:val="00DD6A21"/>
    <w:rsid w:val="00DD7EEE"/>
    <w:rsid w:val="00DE0306"/>
    <w:rsid w:val="00DE548C"/>
    <w:rsid w:val="00DE60CA"/>
    <w:rsid w:val="00DE612F"/>
    <w:rsid w:val="00DE6C17"/>
    <w:rsid w:val="00DF0403"/>
    <w:rsid w:val="00DF2D69"/>
    <w:rsid w:val="00DF38E2"/>
    <w:rsid w:val="00DF5444"/>
    <w:rsid w:val="00DF5FB4"/>
    <w:rsid w:val="00E01DC8"/>
    <w:rsid w:val="00E044CE"/>
    <w:rsid w:val="00E065DD"/>
    <w:rsid w:val="00E11F80"/>
    <w:rsid w:val="00E13CF9"/>
    <w:rsid w:val="00E145BC"/>
    <w:rsid w:val="00E17506"/>
    <w:rsid w:val="00E20388"/>
    <w:rsid w:val="00E20760"/>
    <w:rsid w:val="00E230BE"/>
    <w:rsid w:val="00E24FA3"/>
    <w:rsid w:val="00E26B28"/>
    <w:rsid w:val="00E31465"/>
    <w:rsid w:val="00E31B2C"/>
    <w:rsid w:val="00E32193"/>
    <w:rsid w:val="00E328CD"/>
    <w:rsid w:val="00E34D14"/>
    <w:rsid w:val="00E35B50"/>
    <w:rsid w:val="00E36B95"/>
    <w:rsid w:val="00E37415"/>
    <w:rsid w:val="00E4003F"/>
    <w:rsid w:val="00E44678"/>
    <w:rsid w:val="00E457D2"/>
    <w:rsid w:val="00E458F6"/>
    <w:rsid w:val="00E45954"/>
    <w:rsid w:val="00E52C22"/>
    <w:rsid w:val="00E5476E"/>
    <w:rsid w:val="00E627A1"/>
    <w:rsid w:val="00E63A4B"/>
    <w:rsid w:val="00E66FCB"/>
    <w:rsid w:val="00E73B8B"/>
    <w:rsid w:val="00E74E97"/>
    <w:rsid w:val="00E75628"/>
    <w:rsid w:val="00E82522"/>
    <w:rsid w:val="00E837FB"/>
    <w:rsid w:val="00E84B5A"/>
    <w:rsid w:val="00E86A8F"/>
    <w:rsid w:val="00E9271D"/>
    <w:rsid w:val="00E9408F"/>
    <w:rsid w:val="00E961F5"/>
    <w:rsid w:val="00EA1470"/>
    <w:rsid w:val="00EA44D9"/>
    <w:rsid w:val="00EA74F2"/>
    <w:rsid w:val="00EA7A08"/>
    <w:rsid w:val="00EB296F"/>
    <w:rsid w:val="00EB4650"/>
    <w:rsid w:val="00EB49EB"/>
    <w:rsid w:val="00EB4C9F"/>
    <w:rsid w:val="00EB6A76"/>
    <w:rsid w:val="00EC241F"/>
    <w:rsid w:val="00EC788B"/>
    <w:rsid w:val="00ED0B9A"/>
    <w:rsid w:val="00ED5203"/>
    <w:rsid w:val="00EE2A1A"/>
    <w:rsid w:val="00EE6709"/>
    <w:rsid w:val="00EF0D47"/>
    <w:rsid w:val="00EF591A"/>
    <w:rsid w:val="00F0047D"/>
    <w:rsid w:val="00F05060"/>
    <w:rsid w:val="00F05CDB"/>
    <w:rsid w:val="00F07E34"/>
    <w:rsid w:val="00F14C6D"/>
    <w:rsid w:val="00F207E5"/>
    <w:rsid w:val="00F21097"/>
    <w:rsid w:val="00F3087C"/>
    <w:rsid w:val="00F35001"/>
    <w:rsid w:val="00F41102"/>
    <w:rsid w:val="00F44AE5"/>
    <w:rsid w:val="00F500E3"/>
    <w:rsid w:val="00F52077"/>
    <w:rsid w:val="00F57CB8"/>
    <w:rsid w:val="00F66D0F"/>
    <w:rsid w:val="00F727B5"/>
    <w:rsid w:val="00F7423A"/>
    <w:rsid w:val="00F75FFB"/>
    <w:rsid w:val="00F76452"/>
    <w:rsid w:val="00F8222A"/>
    <w:rsid w:val="00F82F25"/>
    <w:rsid w:val="00F85942"/>
    <w:rsid w:val="00F87019"/>
    <w:rsid w:val="00F93663"/>
    <w:rsid w:val="00F9377B"/>
    <w:rsid w:val="00F95103"/>
    <w:rsid w:val="00F95D2B"/>
    <w:rsid w:val="00F95FE7"/>
    <w:rsid w:val="00F96245"/>
    <w:rsid w:val="00FA4916"/>
    <w:rsid w:val="00FA6E16"/>
    <w:rsid w:val="00FA714C"/>
    <w:rsid w:val="00FB0AB9"/>
    <w:rsid w:val="00FC1152"/>
    <w:rsid w:val="00FD01B5"/>
    <w:rsid w:val="00FD0C57"/>
    <w:rsid w:val="00FD3A1E"/>
    <w:rsid w:val="00FD6139"/>
    <w:rsid w:val="00FE3693"/>
    <w:rsid w:val="00FE7696"/>
    <w:rsid w:val="00FF0275"/>
    <w:rsid w:val="00FF1B0C"/>
    <w:rsid w:val="00FF2B48"/>
    <w:rsid w:val="00FF4EEF"/>
    <w:rsid w:val="00FF5E9E"/>
    <w:rsid w:val="00FF7D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09424FB9"/>
  <w15:docId w15:val="{925B4642-3CBA-4F0F-A036-5E4FA5B9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F41102"/>
    <w:pPr>
      <w:tabs>
        <w:tab w:val="right" w:leader="dot" w:pos="9913"/>
      </w:tabs>
      <w:spacing w:before="0" w:after="0"/>
      <w:ind w:left="454"/>
    </w:pPr>
    <w:rPr>
      <w:rFonts w:asciiTheme="minorHAnsi" w:hAnsiTheme="minorHAnsi"/>
      <w:caps/>
      <w:szCs w:val="22"/>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F41102"/>
    <w:pPr>
      <w:spacing w:after="120"/>
    </w:pPr>
    <w:rPr>
      <w:rFonts w:asciiTheme="minorHAnsi" w:hAnsiTheme="minorHAnsi"/>
      <w:b/>
      <w:bCs/>
      <w:caps/>
      <w:sz w:val="28"/>
      <w:szCs w:val="22"/>
      <w:u w:val="single"/>
    </w:rPr>
  </w:style>
  <w:style w:type="paragraph" w:styleId="TOC2">
    <w:name w:val="toc 2"/>
    <w:basedOn w:val="Normal"/>
    <w:next w:val="Normal"/>
    <w:autoRedefine/>
    <w:uiPriority w:val="39"/>
    <w:qFormat/>
    <w:locked/>
    <w:rsid w:val="00F41102"/>
    <w:pPr>
      <w:spacing w:before="0" w:after="0"/>
    </w:pPr>
    <w:rPr>
      <w:rFonts w:asciiTheme="minorHAnsi" w:hAnsiTheme="minorHAnsi"/>
      <w:bCs/>
      <w:caps/>
      <w:sz w:val="28"/>
      <w:szCs w:val="22"/>
    </w:rPr>
  </w:style>
  <w:style w:type="paragraph" w:styleId="TOC4">
    <w:name w:val="toc 4"/>
    <w:basedOn w:val="Normal"/>
    <w:next w:val="Normal"/>
    <w:autoRedefine/>
    <w:uiPriority w:val="39"/>
    <w:locked/>
    <w:rsid w:val="00F41102"/>
    <w:pPr>
      <w:tabs>
        <w:tab w:val="right" w:leader="dot" w:pos="9913"/>
      </w:tabs>
      <w:spacing w:before="0" w:after="0"/>
      <w:ind w:left="680"/>
    </w:pPr>
    <w:rPr>
      <w:rFonts w:asciiTheme="minorHAnsi" w:hAnsiTheme="minorHAnsi"/>
      <w:szCs w:val="22"/>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uiPriority w:val="99"/>
    <w:semiHidden/>
    <w:rsid w:val="000A1DB8"/>
    <w:rPr>
      <w:rFonts w:ascii="Arial" w:hAnsi="Arial"/>
      <w:sz w:val="20"/>
      <w:vertAlign w:val="superscript"/>
    </w:rPr>
  </w:style>
  <w:style w:type="paragraph" w:styleId="FootnoteText">
    <w:name w:val="footnote text"/>
    <w:basedOn w:val="Normal"/>
    <w:link w:val="FootnoteTextChar"/>
    <w:uiPriority w:val="99"/>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aliases w:val="Recommendation,List Paragraph1,List Paragraph11,L,EOT List Paragraph"/>
    <w:basedOn w:val="Normal"/>
    <w:link w:val="ListParagraphChar"/>
    <w:qFormat/>
    <w:rsid w:val="005819CD"/>
    <w:pPr>
      <w:spacing w:before="0" w:after="200" w:line="276" w:lineRule="auto"/>
      <w:ind w:left="720"/>
      <w:contextualSpacing/>
    </w:pPr>
    <w:rPr>
      <w:rFonts w:ascii="Times New Roman" w:eastAsia="Times New Roman" w:hAnsi="Times New Roman"/>
      <w:sz w:val="22"/>
      <w:szCs w:val="22"/>
    </w:rPr>
  </w:style>
  <w:style w:type="paragraph" w:customStyle="1" w:styleId="Pa27">
    <w:name w:val="Pa27"/>
    <w:basedOn w:val="Normal"/>
    <w:next w:val="Normal"/>
    <w:uiPriority w:val="99"/>
    <w:rsid w:val="005819CD"/>
    <w:pPr>
      <w:autoSpaceDE w:val="0"/>
      <w:autoSpaceDN w:val="0"/>
      <w:adjustRightInd w:val="0"/>
      <w:spacing w:before="0" w:after="0" w:line="171" w:lineRule="atLeast"/>
    </w:pPr>
    <w:rPr>
      <w:rFonts w:ascii="Helvetica Neue" w:eastAsia="Times New Roman" w:hAnsi="Helvetica Neue"/>
    </w:rPr>
  </w:style>
  <w:style w:type="paragraph" w:customStyle="1" w:styleId="Pa34">
    <w:name w:val="Pa34"/>
    <w:basedOn w:val="Normal"/>
    <w:next w:val="Normal"/>
    <w:uiPriority w:val="99"/>
    <w:rsid w:val="005819CD"/>
    <w:pPr>
      <w:autoSpaceDE w:val="0"/>
      <w:autoSpaceDN w:val="0"/>
      <w:adjustRightInd w:val="0"/>
      <w:spacing w:before="0" w:after="0" w:line="171" w:lineRule="atLeast"/>
    </w:pPr>
    <w:rPr>
      <w:rFonts w:ascii="Helvetica Neue" w:eastAsia="Times New Roman" w:hAnsi="Helvetica Neue"/>
    </w:rPr>
  </w:style>
  <w:style w:type="paragraph" w:customStyle="1" w:styleId="Pa43">
    <w:name w:val="Pa43"/>
    <w:basedOn w:val="Normal"/>
    <w:next w:val="Normal"/>
    <w:uiPriority w:val="99"/>
    <w:rsid w:val="005819CD"/>
    <w:pPr>
      <w:autoSpaceDE w:val="0"/>
      <w:autoSpaceDN w:val="0"/>
      <w:adjustRightInd w:val="0"/>
      <w:spacing w:before="0" w:after="0" w:line="171" w:lineRule="atLeast"/>
    </w:pPr>
    <w:rPr>
      <w:rFonts w:ascii="Helvetica Neue" w:eastAsia="Times New Roman" w:hAnsi="Helvetica Neue"/>
    </w:rPr>
  </w:style>
  <w:style w:type="paragraph" w:customStyle="1" w:styleId="Pa44">
    <w:name w:val="Pa44"/>
    <w:basedOn w:val="Normal"/>
    <w:next w:val="Normal"/>
    <w:uiPriority w:val="99"/>
    <w:rsid w:val="005819CD"/>
    <w:pPr>
      <w:autoSpaceDE w:val="0"/>
      <w:autoSpaceDN w:val="0"/>
      <w:adjustRightInd w:val="0"/>
      <w:spacing w:before="0" w:after="0" w:line="171" w:lineRule="atLeast"/>
    </w:pPr>
    <w:rPr>
      <w:rFonts w:ascii="Helvetica Neue" w:eastAsia="Times New Roman" w:hAnsi="Helvetica Neue"/>
    </w:rPr>
  </w:style>
  <w:style w:type="character" w:customStyle="1" w:styleId="ListParagraphChar">
    <w:name w:val="List Paragraph Char"/>
    <w:aliases w:val="Recommendation Char,List Paragraph1 Char,List Paragraph11 Char,L Char,EOT List Paragraph Char"/>
    <w:link w:val="ListParagraph"/>
    <w:locked/>
    <w:rsid w:val="005819CD"/>
    <w:rPr>
      <w:sz w:val="22"/>
      <w:szCs w:val="22"/>
    </w:rPr>
  </w:style>
  <w:style w:type="paragraph" w:customStyle="1" w:styleId="Default">
    <w:name w:val="Default"/>
    <w:rsid w:val="00B62D8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locked/>
    <w:rsid w:val="009C6958"/>
    <w:rPr>
      <w:sz w:val="16"/>
      <w:szCs w:val="16"/>
    </w:rPr>
  </w:style>
  <w:style w:type="paragraph" w:styleId="CommentText">
    <w:name w:val="annotation text"/>
    <w:basedOn w:val="Normal"/>
    <w:link w:val="CommentTextChar"/>
    <w:locked/>
    <w:rsid w:val="009C6958"/>
    <w:rPr>
      <w:sz w:val="20"/>
      <w:szCs w:val="20"/>
    </w:rPr>
  </w:style>
  <w:style w:type="character" w:customStyle="1" w:styleId="CommentTextChar">
    <w:name w:val="Comment Text Char"/>
    <w:basedOn w:val="DefaultParagraphFont"/>
    <w:link w:val="CommentText"/>
    <w:rsid w:val="009C6958"/>
    <w:rPr>
      <w:rFonts w:ascii="Arial" w:eastAsia="MS Mincho" w:hAnsi="Arial"/>
    </w:rPr>
  </w:style>
  <w:style w:type="paragraph" w:styleId="CommentSubject">
    <w:name w:val="annotation subject"/>
    <w:basedOn w:val="CommentText"/>
    <w:next w:val="CommentText"/>
    <w:link w:val="CommentSubjectChar"/>
    <w:locked/>
    <w:rsid w:val="009C6958"/>
    <w:rPr>
      <w:b/>
      <w:bCs/>
    </w:rPr>
  </w:style>
  <w:style w:type="character" w:customStyle="1" w:styleId="CommentSubjectChar">
    <w:name w:val="Comment Subject Char"/>
    <w:basedOn w:val="CommentTextChar"/>
    <w:link w:val="CommentSubject"/>
    <w:rsid w:val="009C6958"/>
    <w:rPr>
      <w:rFonts w:ascii="Arial" w:eastAsia="MS Mincho" w:hAnsi="Arial"/>
      <w:b/>
      <w:bCs/>
    </w:rPr>
  </w:style>
  <w:style w:type="character" w:customStyle="1" w:styleId="FootnoteTextChar">
    <w:name w:val="Footnote Text Char"/>
    <w:basedOn w:val="DefaultParagraphFont"/>
    <w:link w:val="FootnoteText"/>
    <w:uiPriority w:val="99"/>
    <w:semiHidden/>
    <w:locked/>
    <w:rsid w:val="00F7423A"/>
    <w:rPr>
      <w:rFonts w:ascii="Arial" w:eastAsia="MS Mincho" w:hAnsi="Arial"/>
    </w:rPr>
  </w:style>
  <w:style w:type="paragraph" w:customStyle="1" w:styleId="xmsolistparagraph">
    <w:name w:val="x_msolistparagraph"/>
    <w:basedOn w:val="Normal"/>
    <w:rsid w:val="009A25B9"/>
    <w:pPr>
      <w:spacing w:before="100" w:beforeAutospacing="1" w:after="100" w:afterAutospacing="1"/>
    </w:pPr>
    <w:rPr>
      <w:rFonts w:ascii="Times" w:eastAsia="Times New Roman" w:hAnsi="Times"/>
      <w:sz w:val="20"/>
      <w:szCs w:val="20"/>
      <w:lang w:eastAsia="en-US"/>
    </w:rPr>
  </w:style>
  <w:style w:type="character" w:customStyle="1" w:styleId="apple-converted-space">
    <w:name w:val="apple-converted-space"/>
    <w:basedOn w:val="DefaultParagraphFont"/>
    <w:rsid w:val="009A25B9"/>
  </w:style>
  <w:style w:type="paragraph" w:customStyle="1" w:styleId="Body">
    <w:name w:val="Body"/>
    <w:rsid w:val="00553014"/>
    <w:pPr>
      <w:widowControl w:val="0"/>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Pa29">
    <w:name w:val="Pa29"/>
    <w:basedOn w:val="Normal"/>
    <w:next w:val="Normal"/>
    <w:uiPriority w:val="99"/>
    <w:rsid w:val="00553014"/>
    <w:pPr>
      <w:autoSpaceDE w:val="0"/>
      <w:autoSpaceDN w:val="0"/>
      <w:adjustRightInd w:val="0"/>
      <w:spacing w:before="0" w:after="0" w:line="161" w:lineRule="atLeast"/>
    </w:pPr>
    <w:rPr>
      <w:rFonts w:ascii="Archer Book" w:eastAsia="Times New Roman" w:hAnsi="Archer Book"/>
    </w:rPr>
  </w:style>
  <w:style w:type="paragraph" w:styleId="TOC5">
    <w:name w:val="toc 5"/>
    <w:basedOn w:val="Normal"/>
    <w:next w:val="Normal"/>
    <w:autoRedefine/>
    <w:unhideWhenUsed/>
    <w:locked/>
    <w:rsid w:val="00C3198D"/>
    <w:pPr>
      <w:spacing w:before="0" w:after="0"/>
    </w:pPr>
    <w:rPr>
      <w:rFonts w:asciiTheme="minorHAnsi" w:hAnsiTheme="minorHAnsi"/>
      <w:sz w:val="22"/>
      <w:szCs w:val="22"/>
    </w:rPr>
  </w:style>
  <w:style w:type="paragraph" w:styleId="TOC6">
    <w:name w:val="toc 6"/>
    <w:basedOn w:val="Normal"/>
    <w:next w:val="Normal"/>
    <w:autoRedefine/>
    <w:unhideWhenUsed/>
    <w:locked/>
    <w:rsid w:val="00C3198D"/>
    <w:pPr>
      <w:spacing w:before="0" w:after="0"/>
    </w:pPr>
    <w:rPr>
      <w:rFonts w:asciiTheme="minorHAnsi" w:hAnsiTheme="minorHAnsi"/>
      <w:sz w:val="22"/>
      <w:szCs w:val="22"/>
    </w:rPr>
  </w:style>
  <w:style w:type="paragraph" w:styleId="TOC7">
    <w:name w:val="toc 7"/>
    <w:basedOn w:val="Normal"/>
    <w:next w:val="Normal"/>
    <w:autoRedefine/>
    <w:unhideWhenUsed/>
    <w:locked/>
    <w:rsid w:val="00C3198D"/>
    <w:pPr>
      <w:spacing w:before="0" w:after="0"/>
    </w:pPr>
    <w:rPr>
      <w:rFonts w:asciiTheme="minorHAnsi" w:hAnsiTheme="minorHAnsi"/>
      <w:sz w:val="22"/>
      <w:szCs w:val="22"/>
    </w:rPr>
  </w:style>
  <w:style w:type="paragraph" w:styleId="TOC8">
    <w:name w:val="toc 8"/>
    <w:basedOn w:val="Normal"/>
    <w:next w:val="Normal"/>
    <w:autoRedefine/>
    <w:unhideWhenUsed/>
    <w:locked/>
    <w:rsid w:val="00C3198D"/>
    <w:pPr>
      <w:spacing w:before="0" w:after="0"/>
    </w:pPr>
    <w:rPr>
      <w:rFonts w:asciiTheme="minorHAnsi" w:hAnsiTheme="minorHAnsi"/>
      <w:sz w:val="22"/>
      <w:szCs w:val="22"/>
    </w:rPr>
  </w:style>
  <w:style w:type="paragraph" w:styleId="TOC9">
    <w:name w:val="toc 9"/>
    <w:basedOn w:val="Normal"/>
    <w:next w:val="Normal"/>
    <w:autoRedefine/>
    <w:unhideWhenUsed/>
    <w:locked/>
    <w:rsid w:val="00C3198D"/>
    <w:pPr>
      <w:spacing w:before="0" w:after="0"/>
    </w:pPr>
    <w:rPr>
      <w:rFonts w:asciiTheme="minorHAnsi" w:hAnsiTheme="minorHAnsi"/>
      <w:sz w:val="22"/>
      <w:szCs w:val="22"/>
    </w:rPr>
  </w:style>
  <w:style w:type="paragraph" w:customStyle="1" w:styleId="Sub1">
    <w:name w:val="Sub 1"/>
    <w:basedOn w:val="Normal"/>
    <w:autoRedefine/>
    <w:qFormat/>
    <w:rsid w:val="002B7910"/>
    <w:rPr>
      <w:rFonts w:cs="Arial"/>
      <w:b/>
    </w:rPr>
  </w:style>
  <w:style w:type="paragraph" w:customStyle="1" w:styleId="Sub2">
    <w:name w:val="Sub 2"/>
    <w:basedOn w:val="Normal"/>
    <w:qFormat/>
    <w:rsid w:val="002B7910"/>
    <w:pPr>
      <w:keepNext/>
      <w:spacing w:before="120" w:after="120"/>
    </w:pPr>
    <w:rPr>
      <w:rFonts w:cs="Arial"/>
      <w:u w:val="single"/>
    </w:rPr>
  </w:style>
  <w:style w:type="paragraph" w:customStyle="1" w:styleId="Sub3">
    <w:name w:val="Sub 3"/>
    <w:basedOn w:val="SubmissionNormal"/>
    <w:qFormat/>
    <w:rsid w:val="002B7910"/>
    <w:pPr>
      <w:numPr>
        <w:numId w:val="0"/>
      </w:numPr>
    </w:pPr>
    <w:rPr>
      <w:rFonts w:cs="Arial"/>
      <w:i/>
      <w:color w:val="000000" w:themeColor="text1"/>
      <w:lang w:val="en"/>
    </w:rPr>
  </w:style>
  <w:style w:type="paragraph" w:customStyle="1" w:styleId="sub4">
    <w:name w:val="sub 4"/>
    <w:basedOn w:val="Sub3"/>
    <w:qFormat/>
    <w:rsid w:val="00007B1A"/>
  </w:style>
  <w:style w:type="paragraph" w:customStyle="1" w:styleId="p1">
    <w:name w:val="p1"/>
    <w:basedOn w:val="Normal"/>
    <w:rsid w:val="00C118EC"/>
    <w:pPr>
      <w:spacing w:before="0" w:after="0"/>
    </w:pPr>
    <w:rPr>
      <w:rFonts w:ascii="Times New Roman" w:eastAsia="Times New Roman" w:hAnsi="Times New Roman"/>
      <w:sz w:val="22"/>
      <w:szCs w:val="22"/>
      <w:lang w:val="en-GB" w:eastAsia="en-GB"/>
    </w:rPr>
  </w:style>
  <w:style w:type="paragraph" w:customStyle="1" w:styleId="p2">
    <w:name w:val="p2"/>
    <w:basedOn w:val="Normal"/>
    <w:rsid w:val="00C118EC"/>
    <w:pPr>
      <w:spacing w:before="0" w:after="0"/>
    </w:pPr>
    <w:rPr>
      <w:rFonts w:ascii="Times New Roman" w:eastAsia="Times New Roman" w:hAnsi="Times New Roman"/>
      <w:sz w:val="22"/>
      <w:szCs w:val="22"/>
      <w:lang w:val="en-GB" w:eastAsia="en-GB"/>
    </w:rPr>
  </w:style>
  <w:style w:type="character" w:customStyle="1" w:styleId="s1">
    <w:name w:val="s1"/>
    <w:basedOn w:val="DefaultParagraphFont"/>
    <w:rsid w:val="00C118EC"/>
    <w:rPr>
      <w:rFonts w:ascii="Times New Roman" w:hAnsi="Times New Roman" w:cs="Times New Roman" w:hint="default"/>
      <w:b w:val="0"/>
      <w:bCs w:val="0"/>
      <w:i w:val="0"/>
      <w:iCs w:val="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11302">
      <w:bodyDiv w:val="1"/>
      <w:marLeft w:val="0"/>
      <w:marRight w:val="0"/>
      <w:marTop w:val="0"/>
      <w:marBottom w:val="0"/>
      <w:divBdr>
        <w:top w:val="none" w:sz="0" w:space="0" w:color="auto"/>
        <w:left w:val="none" w:sz="0" w:space="0" w:color="auto"/>
        <w:bottom w:val="none" w:sz="0" w:space="0" w:color="auto"/>
        <w:right w:val="none" w:sz="0" w:space="0" w:color="auto"/>
      </w:divBdr>
      <w:divsChild>
        <w:div w:id="2048749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7097">
              <w:marLeft w:val="0"/>
              <w:marRight w:val="0"/>
              <w:marTop w:val="0"/>
              <w:marBottom w:val="0"/>
              <w:divBdr>
                <w:top w:val="none" w:sz="0" w:space="0" w:color="auto"/>
                <w:left w:val="none" w:sz="0" w:space="0" w:color="auto"/>
                <w:bottom w:val="none" w:sz="0" w:space="0" w:color="auto"/>
                <w:right w:val="none" w:sz="0" w:space="0" w:color="auto"/>
              </w:divBdr>
              <w:divsChild>
                <w:div w:id="19168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42881088">
      <w:bodyDiv w:val="1"/>
      <w:marLeft w:val="0"/>
      <w:marRight w:val="0"/>
      <w:marTop w:val="0"/>
      <w:marBottom w:val="0"/>
      <w:divBdr>
        <w:top w:val="none" w:sz="0" w:space="0" w:color="auto"/>
        <w:left w:val="none" w:sz="0" w:space="0" w:color="auto"/>
        <w:bottom w:val="none" w:sz="0" w:space="0" w:color="auto"/>
        <w:right w:val="none" w:sz="0" w:space="0" w:color="auto"/>
      </w:divBdr>
      <w:divsChild>
        <w:div w:id="1481769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399728">
              <w:marLeft w:val="0"/>
              <w:marRight w:val="0"/>
              <w:marTop w:val="0"/>
              <w:marBottom w:val="0"/>
              <w:divBdr>
                <w:top w:val="none" w:sz="0" w:space="0" w:color="auto"/>
                <w:left w:val="none" w:sz="0" w:space="0" w:color="auto"/>
                <w:bottom w:val="none" w:sz="0" w:space="0" w:color="auto"/>
                <w:right w:val="none" w:sz="0" w:space="0" w:color="auto"/>
              </w:divBdr>
              <w:divsChild>
                <w:div w:id="20050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651639685">
      <w:bodyDiv w:val="1"/>
      <w:marLeft w:val="0"/>
      <w:marRight w:val="0"/>
      <w:marTop w:val="0"/>
      <w:marBottom w:val="0"/>
      <w:divBdr>
        <w:top w:val="none" w:sz="0" w:space="0" w:color="auto"/>
        <w:left w:val="none" w:sz="0" w:space="0" w:color="auto"/>
        <w:bottom w:val="none" w:sz="0" w:space="0" w:color="auto"/>
        <w:right w:val="none" w:sz="0" w:space="0" w:color="auto"/>
      </w:divBdr>
    </w:div>
    <w:div w:id="1814103580">
      <w:bodyDiv w:val="1"/>
      <w:marLeft w:val="0"/>
      <w:marRight w:val="0"/>
      <w:marTop w:val="0"/>
      <w:marBottom w:val="0"/>
      <w:divBdr>
        <w:top w:val="none" w:sz="0" w:space="0" w:color="auto"/>
        <w:left w:val="none" w:sz="0" w:space="0" w:color="auto"/>
        <w:bottom w:val="none" w:sz="0" w:space="0" w:color="auto"/>
        <w:right w:val="none" w:sz="0" w:space="0" w:color="auto"/>
      </w:divBdr>
      <w:divsChild>
        <w:div w:id="1137259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602746">
              <w:marLeft w:val="0"/>
              <w:marRight w:val="0"/>
              <w:marTop w:val="0"/>
              <w:marBottom w:val="0"/>
              <w:divBdr>
                <w:top w:val="none" w:sz="0" w:space="0" w:color="auto"/>
                <w:left w:val="none" w:sz="0" w:space="0" w:color="auto"/>
                <w:bottom w:val="none" w:sz="0" w:space="0" w:color="auto"/>
                <w:right w:val="none" w:sz="0" w:space="0" w:color="auto"/>
              </w:divBdr>
              <w:divsChild>
                <w:div w:id="3099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5876">
      <w:bodyDiv w:val="1"/>
      <w:marLeft w:val="0"/>
      <w:marRight w:val="0"/>
      <w:marTop w:val="0"/>
      <w:marBottom w:val="0"/>
      <w:divBdr>
        <w:top w:val="none" w:sz="0" w:space="0" w:color="auto"/>
        <w:left w:val="none" w:sz="0" w:space="0" w:color="auto"/>
        <w:bottom w:val="none" w:sz="0" w:space="0" w:color="auto"/>
        <w:right w:val="none" w:sz="0" w:space="0" w:color="auto"/>
      </w:divBdr>
      <w:divsChild>
        <w:div w:id="1682777394">
          <w:marLeft w:val="0"/>
          <w:marRight w:val="0"/>
          <w:marTop w:val="0"/>
          <w:marBottom w:val="0"/>
          <w:divBdr>
            <w:top w:val="none" w:sz="0" w:space="0" w:color="auto"/>
            <w:left w:val="none" w:sz="0" w:space="0" w:color="auto"/>
            <w:bottom w:val="none" w:sz="0" w:space="0" w:color="auto"/>
            <w:right w:val="none" w:sz="0" w:space="0" w:color="auto"/>
          </w:divBdr>
          <w:divsChild>
            <w:div w:id="1023753323">
              <w:marLeft w:val="0"/>
              <w:marRight w:val="0"/>
              <w:marTop w:val="0"/>
              <w:marBottom w:val="0"/>
              <w:divBdr>
                <w:top w:val="none" w:sz="0" w:space="0" w:color="auto"/>
                <w:left w:val="none" w:sz="0" w:space="0" w:color="auto"/>
                <w:bottom w:val="none" w:sz="0" w:space="0" w:color="auto"/>
                <w:right w:val="none" w:sz="0" w:space="0" w:color="auto"/>
              </w:divBdr>
              <w:divsChild>
                <w:div w:id="1368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2326">
      <w:bodyDiv w:val="1"/>
      <w:marLeft w:val="0"/>
      <w:marRight w:val="0"/>
      <w:marTop w:val="0"/>
      <w:marBottom w:val="0"/>
      <w:divBdr>
        <w:top w:val="none" w:sz="0" w:space="0" w:color="auto"/>
        <w:left w:val="none" w:sz="0" w:space="0" w:color="auto"/>
        <w:bottom w:val="none" w:sz="0" w:space="0" w:color="auto"/>
        <w:right w:val="none" w:sz="0" w:space="0" w:color="auto"/>
      </w:divBdr>
      <w:divsChild>
        <w:div w:id="1774125326">
          <w:marLeft w:val="0"/>
          <w:marRight w:val="0"/>
          <w:marTop w:val="0"/>
          <w:marBottom w:val="0"/>
          <w:divBdr>
            <w:top w:val="none" w:sz="0" w:space="0" w:color="auto"/>
            <w:left w:val="none" w:sz="0" w:space="0" w:color="auto"/>
            <w:bottom w:val="none" w:sz="0" w:space="0" w:color="auto"/>
            <w:right w:val="none" w:sz="0" w:space="0" w:color="auto"/>
          </w:divBdr>
          <w:divsChild>
            <w:div w:id="72122009">
              <w:marLeft w:val="0"/>
              <w:marRight w:val="0"/>
              <w:marTop w:val="0"/>
              <w:marBottom w:val="0"/>
              <w:divBdr>
                <w:top w:val="none" w:sz="0" w:space="0" w:color="auto"/>
                <w:left w:val="none" w:sz="0" w:space="0" w:color="auto"/>
                <w:bottom w:val="none" w:sz="0" w:space="0" w:color="auto"/>
                <w:right w:val="none" w:sz="0" w:space="0" w:color="auto"/>
              </w:divBdr>
              <w:divsChild>
                <w:div w:id="5684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8" Type="http://schemas.openxmlformats.org/officeDocument/2006/relationships/hyperlink" Target="https://www.wgea.gov.au/fact-sheets-and-research-reports/fact-sheets-and-statistics" TargetMode="External"/><Relationship Id="rId13" Type="http://schemas.openxmlformats.org/officeDocument/2006/relationships/hyperlink" Target="http://www.aph.gov.au/Parliamentary_Business/Committees/Senate/Economics/Economic_security_for_women_in_retirement" TargetMode="External"/><Relationship Id="rId18" Type="http://schemas.openxmlformats.org/officeDocument/2006/relationships/hyperlink" Target="http://www.abs.gov.au/ausstats/abs@.nsf/mf/6302.0/" TargetMode="External"/><Relationship Id="rId26" Type="http://schemas.openxmlformats.org/officeDocument/2006/relationships/hyperlink" Target="http://www.womenonboards.org.au/pubs/reports/091130gsjbw.pdf" TargetMode="External"/><Relationship Id="rId39" Type="http://schemas.openxmlformats.org/officeDocument/2006/relationships/hyperlink" Target="http://economicdevelopment.vic.gov.au/inquiry-into-the-labour-hire-industry" TargetMode="External"/><Relationship Id="rId3" Type="http://schemas.openxmlformats.org/officeDocument/2006/relationships/hyperlink" Target="http://tbinternet.ohchr.org/_layouts/treatybodyexternal/Download.aspx?symbolno=CEDAW%2fC%2fAUL%2fCO%2f7&amp;Lang=en" TargetMode="External"/><Relationship Id="rId21" Type="http://schemas.openxmlformats.org/officeDocument/2006/relationships/hyperlink" Target="http://www.humanrights.gov.au/women-male-dominated-industries-toolkit-strategies" TargetMode="External"/><Relationship Id="rId34" Type="http://schemas.openxmlformats.org/officeDocument/2006/relationships/hyperlink" Target="https://www.humanrights.gov.au/sex_discrimination/publication/gender_gap/index.html" TargetMode="External"/><Relationship Id="rId7" Type="http://schemas.openxmlformats.org/officeDocument/2006/relationships/hyperlink" Target="http://www.companydirectors.com.au/director-resource-centre/governance-and-director-issues/board-diversity/statistics" TargetMode="External"/><Relationship Id="rId12" Type="http://schemas.openxmlformats.org/officeDocument/2006/relationships/hyperlink" Target="http://www.humanrights.gov.au/women-male-dominated-industries-toolkit-strategies" TargetMode="External"/><Relationship Id="rId17" Type="http://schemas.openxmlformats.org/officeDocument/2006/relationships/hyperlink" Target="https://home.kpmg.com/au/en/home/insights/2016/10/gender-pay-gap-economics.html" TargetMode="External"/><Relationship Id="rId25" Type="http://schemas.openxmlformats.org/officeDocument/2006/relationships/hyperlink" Target="https://grattan.edu.au/report/game-changers-economic-reform-priorities-for-australia/" TargetMode="External"/><Relationship Id="rId33" Type="http://schemas.openxmlformats.org/officeDocument/2006/relationships/hyperlink" Target="https://www.humanrights.gov.au/our-work/sex-discrimination/projects/investing-care-recognising-and-valuing-those-who-care" TargetMode="External"/><Relationship Id="rId38" Type="http://schemas.openxmlformats.org/officeDocument/2006/relationships/hyperlink" Target="http://economicdevelopment.vic.gov.au/inquiry-into-the-labour-hire-industry" TargetMode="External"/><Relationship Id="rId2" Type="http://schemas.openxmlformats.org/officeDocument/2006/relationships/hyperlink" Target="https://www.humanrights.gov.au/australia-s-implementation-convention-elimination-all-forms-discrimination-against-women-cedaw-2010" TargetMode="External"/><Relationship Id="rId16" Type="http://schemas.openxmlformats.org/officeDocument/2006/relationships/hyperlink" Target="https://home.kpmg.com/au/en/home/insights/2016/10/gender-pay-gap-economics.html" TargetMode="External"/><Relationship Id="rId20" Type="http://schemas.openxmlformats.org/officeDocument/2006/relationships/hyperlink" Target="https://www.humanrights.gov.au/sex_discrimination/publication/gender_gap/index.html" TargetMode="External"/><Relationship Id="rId29" Type="http://schemas.openxmlformats.org/officeDocument/2006/relationships/hyperlink" Target="http://www.workforcediversitynetwork.com/docs/business_case_3.pdf" TargetMode="External"/><Relationship Id="rId1" Type="http://schemas.openxmlformats.org/officeDocument/2006/relationships/hyperlink" Target="http://tbinternet.ohchr.org/_layouts/TreatyBodyExternal/Countries.aspx?CountryCode=AUS&amp;Lang=EN" TargetMode="External"/><Relationship Id="rId6" Type="http://schemas.openxmlformats.org/officeDocument/2006/relationships/hyperlink" Target="https://www.wgea.gov.au/sites/default/files/20160801_Industry_occupational_segregation_factsheet.pdf" TargetMode="External"/><Relationship Id="rId11" Type="http://schemas.openxmlformats.org/officeDocument/2006/relationships/hyperlink" Target="http://www.mckinsey.com/global-themes/women-matter/reinventing-the-workplace-for-greater-gender-diversity" TargetMode="External"/><Relationship Id="rId24" Type="http://schemas.openxmlformats.org/officeDocument/2006/relationships/hyperlink" Target="http://www.mckinsey.com/global-themes/women-matter/reinventing-the-workplace-for-greater-gender-diversity" TargetMode="External"/><Relationship Id="rId32" Type="http://schemas.openxmlformats.org/officeDocument/2006/relationships/hyperlink" Target="https://www.humanrights.gov.au/our-work/sex-discrimination/publications/accumulating-poverty-women-s-experiences-inequality-over" TargetMode="External"/><Relationship Id="rId37" Type="http://schemas.openxmlformats.org/officeDocument/2006/relationships/hyperlink" Target="http://www.humanrights.gov.au/investing-care-recognising-and-valuing-those-who-care" TargetMode="External"/><Relationship Id="rId5" Type="http://schemas.openxmlformats.org/officeDocument/2006/relationships/hyperlink" Target="https://www.wgea.gov.au/sites/default/files/20160801_Industry_occupational_segregation_factsheet.pdf" TargetMode="External"/><Relationship Id="rId15" Type="http://schemas.openxmlformats.org/officeDocument/2006/relationships/hyperlink" Target="https://www.google.com.au/url?sa=t&amp;rct=j&amp;q=&amp;esrc=s&amp;source=web&amp;cd=2&amp;cad=rja&amp;uact=8&amp;ved=0ahUKEwiugOSlwr7RAhWBE5QKHe2wAZ0QFgggMAE&amp;url=https%3A%2F%2Fwww.wgea.gov.au%2Fsites%2Fdefault%2Ffiles%2F80653_2015-16-gender-equality-scorecard.pdf&amp;usg=AFQjCNEwfbUW-ZwYe_1pp5gtJd8b9X09ew&amp;bvm=bv.144224172,d.dGo" TargetMode="External"/><Relationship Id="rId23" Type="http://schemas.openxmlformats.org/officeDocument/2006/relationships/hyperlink" Target="http://www.westjustice.org.au/cms_uploads/docs/westjustice-not-just-work-report-part-1.pdf" TargetMode="External"/><Relationship Id="rId28" Type="http://schemas.openxmlformats.org/officeDocument/2006/relationships/hyperlink" Target="https://www.manpower.com.au/Research/white-papers.aspx" TargetMode="External"/><Relationship Id="rId36" Type="http://schemas.openxmlformats.org/officeDocument/2006/relationships/hyperlink" Target="https://www.humanrights.gov.au/sex_discrimination/publication/gender_gap/index.html" TargetMode="External"/><Relationship Id="rId10" Type="http://schemas.openxmlformats.org/officeDocument/2006/relationships/hyperlink" Target="http://www.apsc.gov.au/__data/assets/pdf_file/0017/80117/FINAL-Balancing-the-future-the-Australian-Public-Service-gender-equality-strategy-2016-19.pdf" TargetMode="External"/><Relationship Id="rId19" Type="http://schemas.openxmlformats.org/officeDocument/2006/relationships/hyperlink" Target="http://www.humanrights.gov.au/women-male-dominated-industries-toolkit-strategies" TargetMode="External"/><Relationship Id="rId31" Type="http://schemas.openxmlformats.org/officeDocument/2006/relationships/hyperlink" Target="http://www.catalyst.org/knowledge/bottom-line-corporate-performance-and-womens-representation-boards" TargetMode="External"/><Relationship Id="rId4" Type="http://schemas.openxmlformats.org/officeDocument/2006/relationships/hyperlink" Target="http://tbinternet.ohchr.org/_layouts/treatybodyexternal/Download.aspx?symbolno=E%2fC.12%2fAUS%2fCO%2f4&amp;Lang=en" TargetMode="External"/><Relationship Id="rId9" Type="http://schemas.openxmlformats.org/officeDocument/2006/relationships/hyperlink" Target="https://www.wgea.gov.au/sites/default/files/2012_census_summary_tag.pdf" TargetMode="External"/><Relationship Id="rId14" Type="http://schemas.openxmlformats.org/officeDocument/2006/relationships/hyperlink" Target="https://www.humanrights.gov.au/sex_discrimination/publication/gender_gap/index.html" TargetMode="External"/><Relationship Id="rId22" Type="http://schemas.openxmlformats.org/officeDocument/2006/relationships/hyperlink" Target="http://www.defence.gov.au/PathwayToChange/" TargetMode="External"/><Relationship Id="rId27" Type="http://schemas.openxmlformats.org/officeDocument/2006/relationships/hyperlink" Target="http://www.womenonboards.org.au/pubs/reports/091130gsjbw.pdf" TargetMode="External"/><Relationship Id="rId30" Type="http://schemas.openxmlformats.org/officeDocument/2006/relationships/hyperlink" Target="http://www.mckinsey.com/global_locations/europe_and_middleeast/russia/en/latest_thinking" TargetMode="External"/><Relationship Id="rId35" Type="http://schemas.openxmlformats.org/officeDocument/2006/relationships/hyperlink" Target="http://www.accesseconomics.com.au/publicationsreports/getreport.php?report=6&amp;id=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5326-EF11-4555-BB4F-EA262701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13</TotalTime>
  <Pages>20</Pages>
  <Words>6417</Words>
  <Characters>37678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44007</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Angela Zaballa</dc:creator>
  <cp:keywords/>
  <cp:lastModifiedBy>Leon Wild</cp:lastModifiedBy>
  <cp:revision>9</cp:revision>
  <cp:lastPrinted>1900-12-31T14:00:00Z</cp:lastPrinted>
  <dcterms:created xsi:type="dcterms:W3CDTF">2017-03-06T10:00:00Z</dcterms:created>
  <dcterms:modified xsi:type="dcterms:W3CDTF">2017-03-07T05:27:00Z</dcterms:modified>
</cp:coreProperties>
</file>